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1F62" w:rsidP="00440719" w:rsidRDefault="00971F62" w14:paraId="5F26F0FA" w14:textId="77777777">
      <w:pPr>
        <w:autoSpaceDE w:val="0"/>
        <w:autoSpaceDN w:val="0"/>
        <w:adjustRightInd w:val="0"/>
        <w:jc w:val="center"/>
        <w:rPr>
          <w:b/>
          <w:bCs/>
          <w:color w:val="000000" w:themeColor="text1"/>
        </w:rPr>
      </w:pPr>
      <w:bookmarkStart w:name="_Hlk33689908" w:id="0"/>
    </w:p>
    <w:p w:rsidR="00971F62" w:rsidP="00440719" w:rsidRDefault="00971F62" w14:paraId="7E22EA9C" w14:textId="2597C69F">
      <w:pPr>
        <w:autoSpaceDE w:val="0"/>
        <w:autoSpaceDN w:val="0"/>
        <w:adjustRightInd w:val="0"/>
        <w:jc w:val="center"/>
        <w:rPr>
          <w:b/>
          <w:bCs/>
          <w:color w:val="000000" w:themeColor="text1"/>
        </w:rPr>
      </w:pPr>
      <w:r w:rsidRPr="00B41672">
        <w:rPr>
          <w:rFonts w:eastAsiaTheme="majorEastAsia"/>
          <w:b/>
          <w:color w:val="000000" w:themeColor="text1"/>
        </w:rPr>
        <w:t>Supporting Statement: Part A</w:t>
      </w:r>
    </w:p>
    <w:p w:rsidR="00971F62" w:rsidP="00440719" w:rsidRDefault="00971F62" w14:paraId="4095225E" w14:textId="77777777">
      <w:pPr>
        <w:autoSpaceDE w:val="0"/>
        <w:autoSpaceDN w:val="0"/>
        <w:adjustRightInd w:val="0"/>
        <w:jc w:val="center"/>
        <w:rPr>
          <w:b/>
          <w:bCs/>
          <w:color w:val="000000" w:themeColor="text1"/>
        </w:rPr>
      </w:pPr>
    </w:p>
    <w:p w:rsidR="00971F62" w:rsidP="00440719" w:rsidRDefault="00971F62" w14:paraId="21455979" w14:textId="59ABE6BD">
      <w:pPr>
        <w:autoSpaceDE w:val="0"/>
        <w:autoSpaceDN w:val="0"/>
        <w:adjustRightInd w:val="0"/>
        <w:jc w:val="center"/>
        <w:rPr>
          <w:b/>
          <w:bCs/>
          <w:color w:val="000000" w:themeColor="text1"/>
        </w:rPr>
      </w:pPr>
    </w:p>
    <w:p w:rsidR="00211CEE" w:rsidP="00440719" w:rsidRDefault="00211CEE" w14:paraId="32BFBCD3" w14:textId="00BBAE2B">
      <w:pPr>
        <w:autoSpaceDE w:val="0"/>
        <w:autoSpaceDN w:val="0"/>
        <w:adjustRightInd w:val="0"/>
        <w:jc w:val="center"/>
        <w:rPr>
          <w:b/>
          <w:bCs/>
          <w:color w:val="000000" w:themeColor="text1"/>
        </w:rPr>
      </w:pPr>
    </w:p>
    <w:p w:rsidR="00211CEE" w:rsidP="00440719" w:rsidRDefault="00211CEE" w14:paraId="3B154DFC" w14:textId="3B5D9663">
      <w:pPr>
        <w:autoSpaceDE w:val="0"/>
        <w:autoSpaceDN w:val="0"/>
        <w:adjustRightInd w:val="0"/>
        <w:jc w:val="center"/>
        <w:rPr>
          <w:b/>
          <w:bCs/>
          <w:color w:val="000000" w:themeColor="text1"/>
        </w:rPr>
      </w:pPr>
    </w:p>
    <w:p w:rsidR="00211CEE" w:rsidP="00440719" w:rsidRDefault="00211CEE" w14:paraId="105F311B" w14:textId="77777777">
      <w:pPr>
        <w:autoSpaceDE w:val="0"/>
        <w:autoSpaceDN w:val="0"/>
        <w:adjustRightInd w:val="0"/>
        <w:jc w:val="center"/>
        <w:rPr>
          <w:b/>
          <w:bCs/>
          <w:color w:val="000000" w:themeColor="text1"/>
        </w:rPr>
      </w:pPr>
    </w:p>
    <w:p w:rsidR="00971F62" w:rsidP="00440719" w:rsidRDefault="00971F62" w14:paraId="428C90B2" w14:textId="77777777">
      <w:pPr>
        <w:autoSpaceDE w:val="0"/>
        <w:autoSpaceDN w:val="0"/>
        <w:adjustRightInd w:val="0"/>
        <w:jc w:val="center"/>
        <w:rPr>
          <w:b/>
          <w:bCs/>
          <w:color w:val="000000" w:themeColor="text1"/>
        </w:rPr>
      </w:pPr>
    </w:p>
    <w:p w:rsidRPr="00B41672" w:rsidR="00B71E3D" w:rsidP="00440719" w:rsidRDefault="00B71E3D" w14:paraId="08796A80" w14:textId="7C862D80">
      <w:pPr>
        <w:autoSpaceDE w:val="0"/>
        <w:autoSpaceDN w:val="0"/>
        <w:adjustRightInd w:val="0"/>
        <w:jc w:val="center"/>
        <w:rPr>
          <w:b/>
          <w:bCs/>
          <w:color w:val="000000" w:themeColor="text1"/>
        </w:rPr>
      </w:pPr>
      <w:r w:rsidRPr="00B41672">
        <w:rPr>
          <w:b/>
          <w:bCs/>
          <w:color w:val="000000" w:themeColor="text1"/>
        </w:rPr>
        <w:t xml:space="preserve">Formative Research on Community-Level Factors that Promote the Primary Prevention of Adverse Childhood Experiences </w:t>
      </w:r>
      <w:r w:rsidRPr="00B41672" w:rsidR="00B51B21">
        <w:rPr>
          <w:b/>
          <w:bCs/>
          <w:color w:val="000000" w:themeColor="text1"/>
        </w:rPr>
        <w:t xml:space="preserve">(ACEs) </w:t>
      </w:r>
      <w:r w:rsidRPr="00B41672">
        <w:rPr>
          <w:b/>
          <w:bCs/>
          <w:color w:val="000000" w:themeColor="text1"/>
        </w:rPr>
        <w:t xml:space="preserve">and Opioid Misuse Among Children, Youth, and Families in </w:t>
      </w:r>
      <w:r w:rsidRPr="00B41672" w:rsidR="00B51B21">
        <w:rPr>
          <w:b/>
          <w:bCs/>
          <w:color w:val="000000" w:themeColor="text1"/>
        </w:rPr>
        <w:t xml:space="preserve">Tribal </w:t>
      </w:r>
      <w:r w:rsidRPr="00B41672">
        <w:rPr>
          <w:b/>
          <w:bCs/>
          <w:color w:val="000000" w:themeColor="text1"/>
        </w:rPr>
        <w:t xml:space="preserve">American Indian and Alaska Native </w:t>
      </w:r>
      <w:r w:rsidRPr="00B41672">
        <w:rPr>
          <w:b/>
          <w:bCs/>
        </w:rPr>
        <w:t xml:space="preserve">(AI/AN) </w:t>
      </w:r>
      <w:r w:rsidRPr="00B41672">
        <w:rPr>
          <w:b/>
          <w:bCs/>
          <w:color w:val="000000" w:themeColor="text1"/>
        </w:rPr>
        <w:t>Communities</w:t>
      </w:r>
    </w:p>
    <w:p w:rsidRPr="00B41672" w:rsidR="00B71E3D" w:rsidP="003507BC" w:rsidRDefault="00B71E3D" w14:paraId="55A0B35C" w14:textId="77777777">
      <w:pPr>
        <w:contextualSpacing/>
        <w:jc w:val="center"/>
        <w:rPr>
          <w:b/>
          <w:color w:val="000000" w:themeColor="text1"/>
        </w:rPr>
      </w:pPr>
    </w:p>
    <w:p w:rsidR="00971F62" w:rsidP="003507BC" w:rsidRDefault="00971F62" w14:paraId="30588457" w14:textId="77777777">
      <w:pPr>
        <w:contextualSpacing/>
        <w:jc w:val="center"/>
        <w:rPr>
          <w:b/>
          <w:color w:val="000000" w:themeColor="text1"/>
        </w:rPr>
      </w:pPr>
    </w:p>
    <w:p w:rsidR="00971F62" w:rsidP="003507BC" w:rsidRDefault="00971F62" w14:paraId="1405FACA" w14:textId="77777777">
      <w:pPr>
        <w:contextualSpacing/>
        <w:jc w:val="center"/>
        <w:rPr>
          <w:b/>
          <w:color w:val="000000" w:themeColor="text1"/>
        </w:rPr>
      </w:pPr>
    </w:p>
    <w:p w:rsidR="00971F62" w:rsidP="003507BC" w:rsidRDefault="00971F62" w14:paraId="05C5AA1A" w14:textId="77777777">
      <w:pPr>
        <w:contextualSpacing/>
        <w:jc w:val="center"/>
        <w:rPr>
          <w:b/>
          <w:color w:val="000000" w:themeColor="text1"/>
        </w:rPr>
      </w:pPr>
    </w:p>
    <w:p w:rsidR="00971F62" w:rsidP="003507BC" w:rsidRDefault="00971F62" w14:paraId="3470366A" w14:textId="77777777">
      <w:pPr>
        <w:contextualSpacing/>
        <w:jc w:val="center"/>
        <w:rPr>
          <w:b/>
          <w:color w:val="000000" w:themeColor="text1"/>
        </w:rPr>
      </w:pPr>
    </w:p>
    <w:p w:rsidRPr="00B41672" w:rsidR="00B71E3D" w:rsidP="003507BC" w:rsidRDefault="00B71E3D" w14:paraId="6381844E" w14:textId="05690336">
      <w:pPr>
        <w:contextualSpacing/>
        <w:jc w:val="center"/>
        <w:rPr>
          <w:b/>
          <w:color w:val="000000" w:themeColor="text1"/>
        </w:rPr>
      </w:pPr>
      <w:r w:rsidRPr="00B41672">
        <w:rPr>
          <w:b/>
          <w:color w:val="000000" w:themeColor="text1"/>
        </w:rPr>
        <w:t>OMB# 0920-</w:t>
      </w:r>
      <w:r w:rsidRPr="00D8294B" w:rsidR="00065420">
        <w:rPr>
          <w:b/>
          <w:color w:val="000000" w:themeColor="text1"/>
        </w:rPr>
        <w:t>20PJ</w:t>
      </w:r>
    </w:p>
    <w:p w:rsidRPr="00B41672" w:rsidR="00B71E3D" w:rsidP="003507BC" w:rsidRDefault="00B71E3D" w14:paraId="35A48E61" w14:textId="02BEE71C">
      <w:pPr>
        <w:keepNext/>
        <w:keepLines/>
        <w:contextualSpacing/>
        <w:jc w:val="center"/>
        <w:outlineLvl w:val="6"/>
        <w:rPr>
          <w:rFonts w:eastAsiaTheme="majorEastAsia"/>
          <w:b/>
          <w:color w:val="000000" w:themeColor="text1"/>
        </w:rPr>
      </w:pPr>
    </w:p>
    <w:p w:rsidRPr="00B41672" w:rsidR="00B71E3D" w:rsidP="003507BC" w:rsidRDefault="00B71E3D" w14:paraId="70B4CF4C" w14:textId="77777777">
      <w:pPr>
        <w:keepNext/>
        <w:keepLines/>
        <w:contextualSpacing/>
        <w:jc w:val="center"/>
        <w:outlineLvl w:val="6"/>
        <w:rPr>
          <w:rFonts w:eastAsiaTheme="majorEastAsia"/>
          <w:b/>
          <w:color w:val="000000" w:themeColor="text1"/>
        </w:rPr>
      </w:pPr>
    </w:p>
    <w:p w:rsidRPr="00B41672" w:rsidR="00384074" w:rsidP="003507BC" w:rsidRDefault="00384074" w14:paraId="256D8D56" w14:textId="10E9B3A4">
      <w:pPr>
        <w:keepNext/>
        <w:keepLines/>
        <w:contextualSpacing/>
        <w:jc w:val="center"/>
        <w:outlineLvl w:val="6"/>
        <w:rPr>
          <w:rFonts w:eastAsiaTheme="majorEastAsia"/>
          <w:b/>
          <w:color w:val="000000" w:themeColor="text1"/>
        </w:rPr>
      </w:pPr>
    </w:p>
    <w:p w:rsidRPr="00B41672" w:rsidR="00F72B17" w:rsidP="003507BC" w:rsidRDefault="00F72B17" w14:paraId="490D27EF" w14:textId="18C1DFC8">
      <w:pPr>
        <w:keepNext/>
        <w:keepLines/>
        <w:contextualSpacing/>
        <w:jc w:val="center"/>
        <w:outlineLvl w:val="6"/>
        <w:rPr>
          <w:rFonts w:eastAsiaTheme="majorEastAsia"/>
          <w:b/>
          <w:color w:val="000000" w:themeColor="text1"/>
        </w:rPr>
      </w:pPr>
    </w:p>
    <w:p w:rsidRPr="00B41672" w:rsidR="009B57AB" w:rsidP="003507BC" w:rsidRDefault="0092047B" w14:paraId="02316701" w14:textId="0C9EF274">
      <w:pPr>
        <w:autoSpaceDE w:val="0"/>
        <w:autoSpaceDN w:val="0"/>
        <w:adjustRightInd w:val="0"/>
        <w:ind w:left="720"/>
        <w:contextualSpacing/>
        <w:rPr>
          <w:color w:val="000000" w:themeColor="text1"/>
        </w:rPr>
      </w:pPr>
      <w:r w:rsidRPr="00B41672">
        <w:rPr>
          <w:b/>
          <w:bCs/>
          <w:color w:val="000000" w:themeColor="text1"/>
        </w:rPr>
        <w:t xml:space="preserve">                        </w:t>
      </w:r>
    </w:p>
    <w:p w:rsidRPr="00B41672" w:rsidR="009B57AB" w:rsidP="003507BC" w:rsidRDefault="00E05905" w14:paraId="3C493EB2" w14:textId="10F4163F">
      <w:pPr>
        <w:contextualSpacing/>
        <w:jc w:val="center"/>
        <w:rPr>
          <w:b/>
          <w:color w:val="000000" w:themeColor="text1"/>
        </w:rPr>
      </w:pPr>
      <w:r w:rsidRPr="005F7852">
        <w:rPr>
          <w:b/>
          <w:color w:val="000000" w:themeColor="text1"/>
        </w:rPr>
        <w:t xml:space="preserve">April </w:t>
      </w:r>
      <w:r w:rsidRPr="005F7852" w:rsidR="005F7852">
        <w:rPr>
          <w:b/>
          <w:color w:val="000000" w:themeColor="text1"/>
        </w:rPr>
        <w:t>16</w:t>
      </w:r>
      <w:r w:rsidRPr="005F7852">
        <w:rPr>
          <w:b/>
          <w:color w:val="000000" w:themeColor="text1"/>
        </w:rPr>
        <w:t>, 2021</w:t>
      </w:r>
    </w:p>
    <w:p w:rsidRPr="00B41672" w:rsidR="009B57AB" w:rsidP="003507BC" w:rsidRDefault="009B57AB" w14:paraId="60F70862" w14:textId="77777777">
      <w:pPr>
        <w:contextualSpacing/>
        <w:jc w:val="center"/>
        <w:rPr>
          <w:b/>
        </w:rPr>
      </w:pPr>
    </w:p>
    <w:p w:rsidRPr="00B41672" w:rsidR="009B57AB" w:rsidP="003507BC" w:rsidRDefault="009B57AB" w14:paraId="000980A8" w14:textId="77777777">
      <w:pPr>
        <w:contextualSpacing/>
        <w:jc w:val="center"/>
      </w:pPr>
    </w:p>
    <w:p w:rsidRPr="00B41672" w:rsidR="009B57AB" w:rsidP="003507BC" w:rsidRDefault="009B57AB" w14:paraId="07995379" w14:textId="77777777">
      <w:pPr>
        <w:contextualSpacing/>
        <w:jc w:val="center"/>
      </w:pPr>
    </w:p>
    <w:p w:rsidRPr="00B41672" w:rsidR="009B57AB" w:rsidP="009B57AB" w:rsidRDefault="009B57AB" w14:paraId="20240368" w14:textId="77777777">
      <w:pPr>
        <w:jc w:val="center"/>
      </w:pPr>
    </w:p>
    <w:p w:rsidRPr="00B41672" w:rsidR="009B57AB" w:rsidP="009B57AB" w:rsidRDefault="009B57AB" w14:paraId="20A361A0" w14:textId="77777777">
      <w:pPr>
        <w:jc w:val="center"/>
      </w:pPr>
    </w:p>
    <w:p w:rsidRPr="00B41672" w:rsidR="009B57AB" w:rsidP="009B57AB" w:rsidRDefault="009B57AB" w14:paraId="36E50B45" w14:textId="77777777">
      <w:pPr>
        <w:jc w:val="center"/>
      </w:pPr>
    </w:p>
    <w:p w:rsidRPr="00B41672" w:rsidR="00F72B17" w:rsidP="00B71E3D" w:rsidRDefault="00F72B17" w14:paraId="55470592" w14:textId="77777777">
      <w:bookmarkStart w:name="_Hlk33689482" w:id="1"/>
    </w:p>
    <w:p w:rsidRPr="00B41672" w:rsidR="00F72B17" w:rsidP="00B71E3D" w:rsidRDefault="00F72B17" w14:paraId="27D0896F" w14:textId="77777777"/>
    <w:p w:rsidRPr="00B41672" w:rsidR="00F72B17" w:rsidP="00B71E3D" w:rsidRDefault="00F72B17" w14:paraId="44A95D78" w14:textId="77777777"/>
    <w:p w:rsidRPr="00B41672" w:rsidR="00F72B17" w:rsidP="00B71E3D" w:rsidRDefault="00F72B17" w14:paraId="5F49D1B8" w14:textId="77777777"/>
    <w:p w:rsidRPr="00B41672" w:rsidR="009B57AB" w:rsidP="00B71E3D" w:rsidRDefault="009B57AB" w14:paraId="0BEE2F3C" w14:textId="3073A33B">
      <w:r w:rsidRPr="00B41672">
        <w:t>Point of Contact</w:t>
      </w:r>
    </w:p>
    <w:p w:rsidRPr="00B41672" w:rsidR="009B57AB" w:rsidP="00B71E3D" w:rsidRDefault="009B57AB" w14:paraId="4B96CA1E" w14:textId="20B50764">
      <w:bookmarkStart w:name="_Hlk66794834" w:id="2"/>
      <w:r w:rsidRPr="00B41672">
        <w:t>J</w:t>
      </w:r>
      <w:r w:rsidR="00067909">
        <w:t xml:space="preserve">essica </w:t>
      </w:r>
      <w:r w:rsidR="00A710E6">
        <w:t>E</w:t>
      </w:r>
      <w:r w:rsidR="00067909">
        <w:t>lm</w:t>
      </w:r>
      <w:r w:rsidRPr="00B41672">
        <w:t>,</w:t>
      </w:r>
      <w:r w:rsidR="00067909">
        <w:t xml:space="preserve"> MSW</w:t>
      </w:r>
      <w:r w:rsidRPr="00B41672">
        <w:t xml:space="preserve"> PhD</w:t>
      </w:r>
    </w:p>
    <w:p w:rsidRPr="00B41672" w:rsidR="009B57AB" w:rsidP="00B71E3D" w:rsidRDefault="00067909" w14:paraId="72D4B903" w14:textId="5BE94465">
      <w:r>
        <w:t>Health</w:t>
      </w:r>
      <w:r w:rsidRPr="00B41672">
        <w:t xml:space="preserve"> </w:t>
      </w:r>
      <w:r w:rsidRPr="00B41672" w:rsidR="009B57AB">
        <w:t>Scientist</w:t>
      </w:r>
    </w:p>
    <w:bookmarkEnd w:id="2"/>
    <w:p w:rsidRPr="00B41672" w:rsidR="009B57AB" w:rsidP="00B71E3D" w:rsidRDefault="009B57AB" w14:paraId="65CA994E" w14:textId="77777777"/>
    <w:p w:rsidRPr="00B41672" w:rsidR="009B57AB" w:rsidP="00B71E3D" w:rsidRDefault="009B57AB" w14:paraId="286830DC" w14:textId="06843C30">
      <w:r w:rsidRPr="00B41672">
        <w:t>Contact Information</w:t>
      </w:r>
    </w:p>
    <w:p w:rsidRPr="00B41672" w:rsidR="009B57AB" w:rsidP="00B71E3D" w:rsidRDefault="009B57AB" w14:paraId="40273480" w14:textId="3E936028">
      <w:pPr>
        <w:pStyle w:val="E-mailSignature"/>
        <w:rPr>
          <w:noProof/>
        </w:rPr>
      </w:pPr>
      <w:r w:rsidRPr="00B41672">
        <w:rPr>
          <w:noProof/>
        </w:rPr>
        <w:t>Centers for Disease Control and Prevention</w:t>
      </w:r>
    </w:p>
    <w:p w:rsidRPr="00B41672" w:rsidR="009B57AB" w:rsidP="00B71E3D" w:rsidRDefault="009B57AB" w14:paraId="3B15DE67" w14:textId="36DCB42D">
      <w:pPr>
        <w:pStyle w:val="E-mailSignature"/>
        <w:rPr>
          <w:noProof/>
        </w:rPr>
      </w:pPr>
      <w:r w:rsidRPr="00B41672">
        <w:rPr>
          <w:noProof/>
        </w:rPr>
        <w:t xml:space="preserve">National Center for Injury Prevention and Control </w:t>
      </w:r>
    </w:p>
    <w:p w:rsidRPr="00B41672" w:rsidR="009B57AB" w:rsidP="00B71E3D" w:rsidRDefault="009B57AB" w14:paraId="5101EF55" w14:textId="0DD058D8">
      <w:pPr>
        <w:pStyle w:val="E-mailSignature"/>
        <w:rPr>
          <w:noProof/>
        </w:rPr>
      </w:pPr>
      <w:r w:rsidRPr="00B41672">
        <w:rPr>
          <w:noProof/>
        </w:rPr>
        <w:t>4770 Buford Highway NE</w:t>
      </w:r>
    </w:p>
    <w:p w:rsidRPr="00B41672" w:rsidR="009B57AB" w:rsidP="00B71E3D" w:rsidRDefault="009B57AB" w14:paraId="52476885" w14:textId="77777777">
      <w:pPr>
        <w:pStyle w:val="E-mailSignature"/>
        <w:rPr>
          <w:noProof/>
        </w:rPr>
      </w:pPr>
      <w:r w:rsidRPr="00B41672">
        <w:rPr>
          <w:noProof/>
        </w:rPr>
        <w:t>Atlanta, GA 30341-3724</w:t>
      </w:r>
    </w:p>
    <w:p w:rsidRPr="009E56FF" w:rsidR="009E56FF" w:rsidP="00CB5416" w:rsidRDefault="009B57AB" w14:paraId="344B7355" w14:textId="77777777">
      <w:pPr>
        <w:pStyle w:val="E-mailSignature"/>
        <w:rPr>
          <w:noProof/>
        </w:rPr>
      </w:pPr>
      <w:r w:rsidRPr="009E56FF">
        <w:rPr>
          <w:noProof/>
        </w:rPr>
        <w:t xml:space="preserve">Phone </w:t>
      </w:r>
      <w:r w:rsidRPr="009E56FF" w:rsidR="00CB5416">
        <w:rPr>
          <w:noProof/>
        </w:rPr>
        <w:t>770-488-6727</w:t>
      </w:r>
    </w:p>
    <w:p w:rsidRPr="009E56FF" w:rsidR="009B57AB" w:rsidP="00CB5416" w:rsidRDefault="009B57AB" w14:paraId="4A0D08F3" w14:textId="43FBF74F">
      <w:pPr>
        <w:pStyle w:val="E-mailSignature"/>
        <w:rPr>
          <w:noProof/>
        </w:rPr>
      </w:pPr>
      <w:r w:rsidRPr="009E56FF">
        <w:rPr>
          <w:noProof/>
        </w:rPr>
        <w:t xml:space="preserve">Email </w:t>
      </w:r>
      <w:hyperlink w:history="1" r:id="rId12">
        <w:r w:rsidRPr="009E56FF" w:rsidR="00067909">
          <w:rPr>
            <w:rStyle w:val="Hyperlink"/>
            <w:noProof/>
            <w:color w:val="auto"/>
            <w:u w:val="none"/>
          </w:rPr>
          <w:t>qsj3@cdc.gov</w:t>
        </w:r>
      </w:hyperlink>
    </w:p>
    <w:p w:rsidRPr="00B41672" w:rsidR="00211CEE" w:rsidP="00A24490" w:rsidRDefault="00211CEE" w14:paraId="1C2CCCCF" w14:textId="77777777">
      <w:pPr>
        <w:pStyle w:val="E-mailSignature"/>
        <w:jc w:val="both"/>
        <w:rPr>
          <w:noProof/>
        </w:rPr>
      </w:pPr>
    </w:p>
    <w:bookmarkEnd w:id="0"/>
    <w:bookmarkEnd w:id="1"/>
    <w:p w:rsidR="005D380A" w:rsidP="00A24490" w:rsidRDefault="005D380A" w14:paraId="46780046" w14:textId="77777777">
      <w:pPr>
        <w:ind w:firstLine="720"/>
        <w:jc w:val="center"/>
        <w:rPr>
          <w:b/>
          <w:bCs/>
        </w:rPr>
      </w:pPr>
    </w:p>
    <w:p w:rsidRPr="00691454" w:rsidR="00972DEF" w:rsidP="00A24490" w:rsidRDefault="00972DEF" w14:paraId="256D8D75" w14:textId="24E6D4A2">
      <w:pPr>
        <w:ind w:firstLine="720"/>
        <w:jc w:val="center"/>
        <w:rPr>
          <w:b/>
          <w:bCs/>
          <w:noProof/>
        </w:rPr>
      </w:pPr>
      <w:r w:rsidRPr="00691454">
        <w:rPr>
          <w:b/>
          <w:bCs/>
        </w:rPr>
        <w:lastRenderedPageBreak/>
        <w:t>CONTE</w:t>
      </w:r>
      <w:r w:rsidRPr="00691454">
        <w:rPr>
          <w:b/>
          <w:bCs/>
          <w:noProof/>
        </w:rPr>
        <w:t>NTS</w:t>
      </w:r>
    </w:p>
    <w:p w:rsidRPr="000578E8" w:rsidR="00972DEF" w:rsidP="00A24490" w:rsidRDefault="00972DEF" w14:paraId="256D8D76" w14:textId="77777777">
      <w:pPr>
        <w:pStyle w:val="T0-ChapPgHd"/>
        <w:spacing w:line="240" w:lineRule="auto"/>
        <w:jc w:val="left"/>
        <w:rPr>
          <w:b/>
          <w:bCs/>
          <w:noProof/>
          <w:u w:val="none"/>
        </w:rPr>
      </w:pPr>
      <w:r w:rsidRPr="000578E8">
        <w:rPr>
          <w:b/>
          <w:bCs/>
          <w:noProof/>
          <w:u w:val="none"/>
        </w:rPr>
        <w:t>Section</w:t>
      </w:r>
      <w:r w:rsidRPr="000578E8">
        <w:rPr>
          <w:b/>
          <w:bCs/>
          <w:noProof/>
          <w:u w:val="none"/>
        </w:rPr>
        <w:tab/>
      </w:r>
      <w:r w:rsidRPr="003507BC">
        <w:rPr>
          <w:b/>
          <w:bCs/>
          <w:noProof/>
          <w:u w:val="none"/>
        </w:rPr>
        <w:t>Page</w:t>
      </w:r>
    </w:p>
    <w:p w:rsidRPr="00691454" w:rsidR="00541D30" w:rsidP="005D380A" w:rsidRDefault="00972DEF" w14:paraId="256D8D78" w14:textId="1B50E460">
      <w:pPr>
        <w:pStyle w:val="TOC1"/>
        <w:rPr>
          <w:noProof/>
        </w:rPr>
      </w:pPr>
      <w:r w:rsidRPr="00691454">
        <w:rPr>
          <w:noProof/>
        </w:rPr>
        <w:tab/>
      </w:r>
      <w:r w:rsidR="00541D30">
        <w:rPr>
          <w:noProof/>
        </w:rPr>
        <w:t>Summary table</w:t>
      </w:r>
      <w:r w:rsidRPr="00691454" w:rsidR="00541D30">
        <w:rPr>
          <w:noProof/>
        </w:rPr>
        <w:tab/>
      </w:r>
      <w:r w:rsidRPr="00691454" w:rsidR="00541D30">
        <w:rPr>
          <w:noProof/>
        </w:rPr>
        <w:tab/>
      </w:r>
      <w:r w:rsidR="00B5184C">
        <w:rPr>
          <w:noProof/>
        </w:rPr>
        <w:t>3</w:t>
      </w:r>
    </w:p>
    <w:p w:rsidRPr="00691454" w:rsidR="00972DEF" w:rsidP="005D380A" w:rsidRDefault="00541D30" w14:paraId="256D8D7A" w14:textId="7028F6A0">
      <w:pPr>
        <w:pStyle w:val="TOC1"/>
        <w:rPr>
          <w:noProof/>
        </w:rPr>
      </w:pPr>
      <w:r>
        <w:rPr>
          <w:noProof/>
        </w:rPr>
        <w:tab/>
      </w:r>
      <w:r w:rsidRPr="00691454" w:rsidR="00972DEF">
        <w:rPr>
          <w:noProof/>
        </w:rPr>
        <w:t>Justification</w:t>
      </w:r>
      <w:r w:rsidRPr="00691454" w:rsidR="00972DEF">
        <w:rPr>
          <w:noProof/>
        </w:rPr>
        <w:tab/>
      </w:r>
      <w:r w:rsidRPr="00691454" w:rsidR="00972DEF">
        <w:rPr>
          <w:noProof/>
        </w:rPr>
        <w:tab/>
      </w:r>
      <w:r w:rsidR="00B5184C">
        <w:rPr>
          <w:noProof/>
        </w:rPr>
        <w:t>3</w:t>
      </w:r>
    </w:p>
    <w:p w:rsidR="00541D30" w:rsidP="00B173B8" w:rsidRDefault="00972DEF" w14:paraId="256D8D7C" w14:textId="4BA22951">
      <w:pPr>
        <w:pStyle w:val="TOC2"/>
        <w:rPr>
          <w:noProof/>
        </w:rPr>
      </w:pPr>
      <w:r w:rsidRPr="00691454">
        <w:rPr>
          <w:noProof/>
        </w:rPr>
        <w:t>A.1.</w:t>
      </w:r>
      <w:r w:rsidRPr="00691454">
        <w:rPr>
          <w:noProof/>
        </w:rPr>
        <w:tab/>
        <w:t>Circumstances Making the Collection of Information Necessary</w:t>
      </w:r>
      <w:r w:rsidRPr="00691454">
        <w:rPr>
          <w:noProof/>
        </w:rPr>
        <w:tab/>
      </w:r>
      <w:r w:rsidR="00B5184C">
        <w:rPr>
          <w:noProof/>
        </w:rPr>
        <w:t>3</w:t>
      </w:r>
    </w:p>
    <w:p w:rsidRPr="00691454" w:rsidR="00972DEF" w:rsidP="00B173B8" w:rsidRDefault="00972DEF" w14:paraId="256D8D7D" w14:textId="5889F0CF">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B5184C">
        <w:rPr>
          <w:noProof/>
        </w:rPr>
        <w:t>5</w:t>
      </w:r>
    </w:p>
    <w:p w:rsidRPr="00691454" w:rsidR="00972DEF" w:rsidP="00B173B8" w:rsidRDefault="00972DEF" w14:paraId="256D8D7E" w14:textId="675C46E4">
      <w:pPr>
        <w:pStyle w:val="TOC2"/>
        <w:rPr>
          <w:noProof/>
        </w:rPr>
      </w:pPr>
      <w:r w:rsidRPr="00691454">
        <w:rPr>
          <w:noProof/>
        </w:rPr>
        <w:t>A.3.</w:t>
      </w:r>
      <w:r w:rsidRPr="00691454">
        <w:rPr>
          <w:noProof/>
        </w:rPr>
        <w:tab/>
        <w:t>Use of Improved Information Technology and Burden Reduction</w:t>
      </w:r>
      <w:r w:rsidRPr="00691454">
        <w:rPr>
          <w:noProof/>
        </w:rPr>
        <w:tab/>
      </w:r>
      <w:r w:rsidR="00B5184C">
        <w:rPr>
          <w:noProof/>
        </w:rPr>
        <w:t>8</w:t>
      </w:r>
    </w:p>
    <w:p w:rsidRPr="00691454" w:rsidR="00972DEF" w:rsidP="00B173B8" w:rsidRDefault="00972DEF" w14:paraId="256D8D7F" w14:textId="15FBB2DD">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617728">
        <w:rPr>
          <w:noProof/>
        </w:rPr>
        <w:t>9</w:t>
      </w:r>
    </w:p>
    <w:p w:rsidRPr="00691454" w:rsidR="00972DEF" w:rsidP="00B173B8" w:rsidRDefault="00972DEF" w14:paraId="256D8D80" w14:textId="4FAA66A7">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B5184C">
        <w:rPr>
          <w:noProof/>
        </w:rPr>
        <w:t>9</w:t>
      </w:r>
    </w:p>
    <w:p w:rsidRPr="00691454" w:rsidR="00972DEF" w:rsidP="00B173B8" w:rsidRDefault="00972DEF" w14:paraId="256D8D81" w14:textId="0EBE7A6C">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B5184C">
        <w:rPr>
          <w:noProof/>
        </w:rPr>
        <w:t>9</w:t>
      </w:r>
    </w:p>
    <w:p w:rsidRPr="00691454" w:rsidR="00972DEF" w:rsidP="00B173B8" w:rsidRDefault="00972DEF" w14:paraId="256D8D82" w14:textId="77777777">
      <w:pPr>
        <w:pStyle w:val="TOC2"/>
        <w:rPr>
          <w:noProof/>
        </w:rPr>
      </w:pPr>
      <w:r w:rsidRPr="00691454">
        <w:rPr>
          <w:noProof/>
        </w:rPr>
        <w:t>A.7.</w:t>
      </w:r>
      <w:r w:rsidRPr="00691454">
        <w:rPr>
          <w:noProof/>
        </w:rPr>
        <w:tab/>
        <w:t xml:space="preserve">Special Circumstances Relating to the Guidelines of </w:t>
      </w:r>
    </w:p>
    <w:p w:rsidRPr="00691454" w:rsidR="00972DEF" w:rsidP="00B173B8" w:rsidRDefault="00972DEF" w14:paraId="256D8D83" w14:textId="0955F37F">
      <w:pPr>
        <w:pStyle w:val="TOC2"/>
        <w:rPr>
          <w:noProof/>
        </w:rPr>
      </w:pPr>
      <w:r w:rsidRPr="00691454">
        <w:rPr>
          <w:noProof/>
        </w:rPr>
        <w:tab/>
        <w:t>5 CFR 1320.5(d)2</w:t>
      </w:r>
      <w:r w:rsidRPr="00691454">
        <w:rPr>
          <w:noProof/>
        </w:rPr>
        <w:tab/>
      </w:r>
      <w:r w:rsidRPr="00691454">
        <w:rPr>
          <w:noProof/>
        </w:rPr>
        <w:tab/>
      </w:r>
      <w:r w:rsidR="00EF1F17">
        <w:rPr>
          <w:noProof/>
        </w:rPr>
        <w:t>10</w:t>
      </w:r>
    </w:p>
    <w:p w:rsidRPr="00691454" w:rsidR="00972DEF" w:rsidP="00B173B8" w:rsidRDefault="00972DEF" w14:paraId="256D8D84" w14:textId="77777777">
      <w:pPr>
        <w:pStyle w:val="TOC2"/>
        <w:rPr>
          <w:noProof/>
        </w:rPr>
      </w:pPr>
      <w:r w:rsidRPr="00691454">
        <w:rPr>
          <w:noProof/>
        </w:rPr>
        <w:t>A.8.</w:t>
      </w:r>
      <w:r w:rsidRPr="00691454">
        <w:rPr>
          <w:noProof/>
        </w:rPr>
        <w:tab/>
        <w:t xml:space="preserve">Comments in Response to the Federal Register Notice and </w:t>
      </w:r>
    </w:p>
    <w:p w:rsidRPr="00691454" w:rsidR="00972DEF" w:rsidP="00B173B8" w:rsidRDefault="00972DEF" w14:paraId="256D8D85" w14:textId="3975DAE7">
      <w:pPr>
        <w:pStyle w:val="TOC2"/>
        <w:rPr>
          <w:noProof/>
        </w:rPr>
      </w:pPr>
      <w:r w:rsidRPr="00691454">
        <w:rPr>
          <w:noProof/>
        </w:rPr>
        <w:tab/>
        <w:t>Efforts to Consult Outside the Agency</w:t>
      </w:r>
      <w:r w:rsidRPr="00691454">
        <w:rPr>
          <w:noProof/>
        </w:rPr>
        <w:tab/>
      </w:r>
      <w:r w:rsidRPr="00691454">
        <w:rPr>
          <w:noProof/>
        </w:rPr>
        <w:tab/>
      </w:r>
      <w:r w:rsidR="00B5184C">
        <w:rPr>
          <w:noProof/>
        </w:rPr>
        <w:t>10</w:t>
      </w:r>
    </w:p>
    <w:p w:rsidRPr="00691454" w:rsidR="00972DEF" w:rsidP="00B173B8" w:rsidRDefault="00972DEF" w14:paraId="256D8D86" w14:textId="242A636F">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B5184C">
        <w:rPr>
          <w:noProof/>
        </w:rPr>
        <w:t>1</w:t>
      </w:r>
      <w:r w:rsidR="00DA2CC2">
        <w:rPr>
          <w:noProof/>
        </w:rPr>
        <w:t>1</w:t>
      </w:r>
    </w:p>
    <w:p w:rsidR="00D665AE" w:rsidP="00B173B8" w:rsidRDefault="00972DEF" w14:paraId="089B1D36" w14:textId="77777777">
      <w:pPr>
        <w:pStyle w:val="TOC2"/>
        <w:rPr>
          <w:noProof/>
        </w:rPr>
      </w:pPr>
      <w:r w:rsidRPr="00691454">
        <w:rPr>
          <w:noProof/>
        </w:rPr>
        <w:t>A.10.</w:t>
      </w:r>
      <w:r w:rsidRPr="00691454">
        <w:rPr>
          <w:noProof/>
        </w:rPr>
        <w:tab/>
      </w:r>
      <w:r w:rsidR="00253F44">
        <w:rPr>
          <w:noProof/>
        </w:rPr>
        <w:t xml:space="preserve">Protection of the Privacy and Confidentiality of </w:t>
      </w:r>
      <w:r w:rsidRPr="00253F44" w:rsidR="00253F44">
        <w:rPr>
          <w:noProof/>
        </w:rPr>
        <w:t>Information</w:t>
      </w:r>
      <w:r w:rsidR="00F72B17">
        <w:rPr>
          <w:noProof/>
        </w:rPr>
        <w:t xml:space="preserve"> </w:t>
      </w:r>
    </w:p>
    <w:p w:rsidRPr="00691454" w:rsidR="00972DEF" w:rsidP="00B173B8" w:rsidRDefault="00D665AE" w14:paraId="256D8D87" w14:textId="2B539436">
      <w:pPr>
        <w:pStyle w:val="TOC2"/>
        <w:rPr>
          <w:noProof/>
        </w:rPr>
      </w:pPr>
      <w:r>
        <w:rPr>
          <w:noProof/>
        </w:rPr>
        <w:tab/>
      </w:r>
      <w:r w:rsidR="00253F44">
        <w:rPr>
          <w:noProof/>
        </w:rPr>
        <w:t xml:space="preserve">Provided </w:t>
      </w:r>
      <w:r w:rsidRPr="00253F44" w:rsidR="00253F44">
        <w:rPr>
          <w:noProof/>
        </w:rPr>
        <w:t>by  Respondents</w:t>
      </w:r>
      <w:r w:rsidRPr="00691454" w:rsidR="00972DEF">
        <w:rPr>
          <w:noProof/>
        </w:rPr>
        <w:tab/>
      </w:r>
      <w:r w:rsidRPr="00691454" w:rsidR="00972DEF">
        <w:rPr>
          <w:noProof/>
        </w:rPr>
        <w:tab/>
      </w:r>
      <w:r w:rsidR="00B5184C">
        <w:rPr>
          <w:noProof/>
        </w:rPr>
        <w:t>1</w:t>
      </w:r>
      <w:r w:rsidR="00617728">
        <w:rPr>
          <w:noProof/>
        </w:rPr>
        <w:t>2</w:t>
      </w:r>
    </w:p>
    <w:p w:rsidRPr="00691454" w:rsidR="00972DEF" w:rsidP="00B173B8" w:rsidRDefault="00972DEF" w14:paraId="256D8D88" w14:textId="05BAD1AF">
      <w:pPr>
        <w:pStyle w:val="TOC2"/>
        <w:rPr>
          <w:noProof/>
        </w:rPr>
      </w:pPr>
      <w:r w:rsidRPr="00691454">
        <w:rPr>
          <w:noProof/>
        </w:rPr>
        <w:t>A.11.</w:t>
      </w:r>
      <w:r w:rsidRPr="00691454">
        <w:rPr>
          <w:noProof/>
        </w:rPr>
        <w:tab/>
      </w:r>
      <w:r w:rsidRPr="009C1939" w:rsidR="009C1939">
        <w:rPr>
          <w:noProof/>
        </w:rPr>
        <w:t>Institutional Review Board</w:t>
      </w:r>
      <w:r w:rsidR="005D380A">
        <w:rPr>
          <w:noProof/>
        </w:rPr>
        <w:t xml:space="preserve"> and </w:t>
      </w:r>
      <w:r w:rsidRPr="009C1939" w:rsidR="009C1939">
        <w:rPr>
          <w:noProof/>
        </w:rPr>
        <w:t>Justification for Sensitive</w:t>
      </w:r>
      <w:r w:rsidR="005D380A">
        <w:rPr>
          <w:noProof/>
        </w:rPr>
        <w:t xml:space="preserve"> Q</w:t>
      </w:r>
      <w:r w:rsidRPr="00691454" w:rsidR="008E78B9">
        <w:rPr>
          <w:noProof/>
        </w:rPr>
        <w:tab/>
      </w:r>
      <w:r w:rsidR="005D380A">
        <w:rPr>
          <w:noProof/>
        </w:rPr>
        <w:t xml:space="preserve">….       </w:t>
      </w:r>
      <w:r w:rsidR="00B5184C">
        <w:rPr>
          <w:noProof/>
        </w:rPr>
        <w:t>13</w:t>
      </w:r>
    </w:p>
    <w:p w:rsidRPr="00691454" w:rsidR="00972DEF" w:rsidP="00B173B8" w:rsidRDefault="00972DEF" w14:paraId="256D8D89" w14:textId="3001B698">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B5184C">
        <w:rPr>
          <w:noProof/>
        </w:rPr>
        <w:t>1</w:t>
      </w:r>
      <w:r w:rsidR="00617728">
        <w:rPr>
          <w:noProof/>
        </w:rPr>
        <w:t>4</w:t>
      </w:r>
    </w:p>
    <w:p w:rsidRPr="00691454" w:rsidR="00972DEF" w:rsidP="00B173B8" w:rsidRDefault="00972DEF" w14:paraId="256D8D8A" w14:textId="77777777">
      <w:pPr>
        <w:pStyle w:val="TOC2"/>
        <w:rPr>
          <w:noProof/>
        </w:rPr>
      </w:pPr>
      <w:r w:rsidRPr="00691454">
        <w:rPr>
          <w:noProof/>
        </w:rPr>
        <w:t>A.13.</w:t>
      </w:r>
      <w:r w:rsidRPr="00691454">
        <w:rPr>
          <w:noProof/>
        </w:rPr>
        <w:tab/>
        <w:t xml:space="preserve">Estimates of Other Total Annual Cost Burden to Respondents </w:t>
      </w:r>
    </w:p>
    <w:p w:rsidRPr="00691454" w:rsidR="00972DEF" w:rsidP="00B173B8" w:rsidRDefault="00972DEF" w14:paraId="256D8D8B" w14:textId="7E3DC3E5">
      <w:pPr>
        <w:pStyle w:val="TOC2"/>
        <w:rPr>
          <w:noProof/>
        </w:rPr>
      </w:pPr>
      <w:r w:rsidRPr="00691454">
        <w:rPr>
          <w:noProof/>
        </w:rPr>
        <w:tab/>
        <w:t>or Record Keepers</w:t>
      </w:r>
      <w:r w:rsidRPr="00691454">
        <w:rPr>
          <w:noProof/>
        </w:rPr>
        <w:tab/>
      </w:r>
      <w:r w:rsidRPr="00691454">
        <w:rPr>
          <w:noProof/>
        </w:rPr>
        <w:tab/>
      </w:r>
      <w:r w:rsidR="00B5184C">
        <w:rPr>
          <w:noProof/>
        </w:rPr>
        <w:t>1</w:t>
      </w:r>
      <w:r w:rsidR="00617728">
        <w:rPr>
          <w:noProof/>
        </w:rPr>
        <w:t>6</w:t>
      </w:r>
    </w:p>
    <w:p w:rsidRPr="00691454" w:rsidR="00972DEF" w:rsidP="00B173B8" w:rsidRDefault="00972DEF" w14:paraId="256D8D8C" w14:textId="3651763B">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B5184C">
        <w:rPr>
          <w:noProof/>
        </w:rPr>
        <w:t>1</w:t>
      </w:r>
      <w:r w:rsidR="00617728">
        <w:rPr>
          <w:noProof/>
        </w:rPr>
        <w:t>6</w:t>
      </w:r>
    </w:p>
    <w:p w:rsidRPr="00691454" w:rsidR="00972DEF" w:rsidP="00B173B8" w:rsidRDefault="00972DEF" w14:paraId="256D8D8D" w14:textId="7E666131">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B5184C">
        <w:rPr>
          <w:noProof/>
        </w:rPr>
        <w:t>1</w:t>
      </w:r>
      <w:r w:rsidR="00617728">
        <w:rPr>
          <w:noProof/>
        </w:rPr>
        <w:t>7</w:t>
      </w:r>
    </w:p>
    <w:p w:rsidRPr="00691454" w:rsidR="00972DEF" w:rsidP="00B173B8" w:rsidRDefault="00972DEF" w14:paraId="256D8D8E" w14:textId="2ADEC955">
      <w:pPr>
        <w:pStyle w:val="TOC2"/>
        <w:rPr>
          <w:noProof/>
        </w:rPr>
      </w:pPr>
      <w:r w:rsidRPr="00691454">
        <w:rPr>
          <w:noProof/>
        </w:rPr>
        <w:t>A.16.</w:t>
      </w:r>
      <w:r w:rsidRPr="00691454">
        <w:rPr>
          <w:noProof/>
        </w:rPr>
        <w:tab/>
        <w:t>Plans for Tabulation</w:t>
      </w:r>
      <w:r w:rsidRPr="00691454" w:rsidR="00203955">
        <w:rPr>
          <w:noProof/>
        </w:rPr>
        <w:t xml:space="preserve"> and </w:t>
      </w:r>
      <w:r w:rsidRPr="00691454">
        <w:rPr>
          <w:noProof/>
        </w:rPr>
        <w:t>Publication and Project Time Schedule</w:t>
      </w:r>
      <w:r w:rsidRPr="00691454" w:rsidR="008E78B9">
        <w:rPr>
          <w:noProof/>
        </w:rPr>
        <w:tab/>
      </w:r>
      <w:r w:rsidR="00B5184C">
        <w:rPr>
          <w:noProof/>
        </w:rPr>
        <w:t>1</w:t>
      </w:r>
      <w:r w:rsidR="00617728">
        <w:rPr>
          <w:noProof/>
        </w:rPr>
        <w:t>7</w:t>
      </w:r>
    </w:p>
    <w:p w:rsidRPr="00691454" w:rsidR="00972DEF" w:rsidP="00B173B8" w:rsidRDefault="00972DEF" w14:paraId="256D8D8F" w14:textId="5A678F3F">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B5184C">
        <w:rPr>
          <w:noProof/>
        </w:rPr>
        <w:t>1</w:t>
      </w:r>
      <w:r w:rsidR="00617728">
        <w:rPr>
          <w:noProof/>
        </w:rPr>
        <w:t>8</w:t>
      </w:r>
    </w:p>
    <w:p w:rsidRPr="00691454" w:rsidR="00972DEF" w:rsidP="00B173B8" w:rsidRDefault="00972DEF" w14:paraId="256D8D90" w14:textId="77777777">
      <w:pPr>
        <w:pStyle w:val="TOC2"/>
        <w:rPr>
          <w:noProof/>
        </w:rPr>
      </w:pPr>
      <w:r w:rsidRPr="00691454">
        <w:rPr>
          <w:noProof/>
        </w:rPr>
        <w:t>A.18.</w:t>
      </w:r>
      <w:r w:rsidRPr="00691454">
        <w:rPr>
          <w:noProof/>
        </w:rPr>
        <w:tab/>
        <w:t xml:space="preserve">Exceptions to Certification for Paperwork Reducation Act </w:t>
      </w:r>
    </w:p>
    <w:p w:rsidR="005E6F0A" w:rsidP="00B173B8" w:rsidRDefault="00972DEF" w14:paraId="61C56193" w14:textId="64AC5CE2">
      <w:pPr>
        <w:pStyle w:val="TOC2"/>
        <w:rPr>
          <w:noProof/>
        </w:rPr>
      </w:pPr>
      <w:r w:rsidRPr="00691454">
        <w:rPr>
          <w:noProof/>
        </w:rPr>
        <w:tab/>
        <w:t>Submissions</w:t>
      </w:r>
      <w:r w:rsidRPr="00691454">
        <w:rPr>
          <w:noProof/>
        </w:rPr>
        <w:tab/>
      </w:r>
      <w:r w:rsidRPr="00691454">
        <w:rPr>
          <w:noProof/>
        </w:rPr>
        <w:tab/>
      </w:r>
      <w:r w:rsidR="00B5184C">
        <w:rPr>
          <w:noProof/>
        </w:rPr>
        <w:t>1</w:t>
      </w:r>
      <w:r w:rsidR="00617728">
        <w:rPr>
          <w:noProof/>
        </w:rPr>
        <w:t>8</w:t>
      </w:r>
    </w:p>
    <w:p w:rsidR="005E6F0A" w:rsidP="00B173B8" w:rsidRDefault="005D380A" w14:paraId="370B8FCD" w14:textId="5D0BDE42">
      <w:pPr>
        <w:pStyle w:val="TOC2"/>
        <w:rPr>
          <w:noProof/>
        </w:rPr>
      </w:pPr>
      <w:r>
        <w:rPr>
          <w:noProof/>
        </w:rPr>
        <w:tab/>
      </w:r>
      <w:r w:rsidR="005E6F0A">
        <w:rPr>
          <w:noProof/>
        </w:rPr>
        <w:t>R</w:t>
      </w:r>
      <w:r w:rsidR="00662422">
        <w:rPr>
          <w:noProof/>
        </w:rPr>
        <w:t>eferences</w:t>
      </w:r>
      <w:r w:rsidRPr="00691454" w:rsidR="000E3EE4">
        <w:rPr>
          <w:noProof/>
        </w:rPr>
        <w:tab/>
      </w:r>
      <w:r w:rsidR="004A407F">
        <w:rPr>
          <w:noProof/>
        </w:rPr>
        <w:tab/>
      </w:r>
      <w:r w:rsidR="00B5184C">
        <w:rPr>
          <w:noProof/>
        </w:rPr>
        <w:t>1</w:t>
      </w:r>
      <w:r w:rsidR="00617728">
        <w:rPr>
          <w:noProof/>
        </w:rPr>
        <w:t>8</w:t>
      </w:r>
    </w:p>
    <w:p w:rsidR="005D380A" w:rsidP="00B173B8" w:rsidRDefault="005D380A" w14:paraId="43098B4A" w14:textId="77777777">
      <w:pPr>
        <w:pStyle w:val="TOC2"/>
        <w:rPr>
          <w:noProof/>
        </w:rPr>
      </w:pPr>
    </w:p>
    <w:p w:rsidRPr="009E56FF" w:rsidR="008D14F7" w:rsidP="00B173B8" w:rsidRDefault="008D14F7" w14:paraId="51D795F0" w14:textId="668798A2">
      <w:pPr>
        <w:pStyle w:val="TOC2"/>
        <w:rPr>
          <w:b/>
          <w:bCs/>
          <w:noProof/>
        </w:rPr>
      </w:pPr>
      <w:r w:rsidRPr="009E56FF">
        <w:rPr>
          <w:b/>
          <w:bCs/>
          <w:noProof/>
        </w:rPr>
        <w:t>ATTACHMENTS</w:t>
      </w:r>
    </w:p>
    <w:p w:rsidR="008D14F7" w:rsidP="00B173B8" w:rsidRDefault="008D14F7" w14:paraId="7AF76A1C" w14:textId="7B5178B1">
      <w:pPr>
        <w:pStyle w:val="TOC2"/>
        <w:rPr>
          <w:noProof/>
        </w:rPr>
      </w:pPr>
      <w:r>
        <w:rPr>
          <w:noProof/>
        </w:rPr>
        <w:t>A Authorizing Legislation: Public Health Service Act</w:t>
      </w:r>
    </w:p>
    <w:p w:rsidR="00100B1D" w:rsidP="00B173B8" w:rsidRDefault="00440719" w14:paraId="6383E62A" w14:textId="7DC69567">
      <w:pPr>
        <w:pStyle w:val="TOC2"/>
        <w:rPr>
          <w:noProof/>
        </w:rPr>
      </w:pPr>
      <w:r>
        <w:rPr>
          <w:noProof/>
        </w:rPr>
        <w:t>B</w:t>
      </w:r>
      <w:r w:rsidR="00DB03DF">
        <w:rPr>
          <w:noProof/>
        </w:rPr>
        <w:t xml:space="preserve"> </w:t>
      </w:r>
      <w:r w:rsidRPr="002A6EB0" w:rsidR="00A81E58">
        <w:rPr>
          <w:rFonts w:eastAsiaTheme="minorEastAsia"/>
        </w:rPr>
        <w:t xml:space="preserve">Federal Register Notice </w:t>
      </w:r>
    </w:p>
    <w:p w:rsidR="00100B1D" w:rsidP="00B173B8" w:rsidRDefault="005D380A" w14:paraId="6633F400" w14:textId="316EC2BE">
      <w:pPr>
        <w:pStyle w:val="TOC2"/>
      </w:pPr>
      <w:r>
        <w:rPr>
          <w:noProof/>
        </w:rPr>
        <w:t xml:space="preserve">    </w:t>
      </w:r>
      <w:r w:rsidR="001C485F">
        <w:rPr>
          <w:noProof/>
        </w:rPr>
        <w:t xml:space="preserve">B1 </w:t>
      </w:r>
      <w:r w:rsidR="008509B4">
        <w:rPr>
          <w:noProof/>
        </w:rPr>
        <w:t>Pu</w:t>
      </w:r>
      <w:proofErr w:type="spellStart"/>
      <w:r w:rsidR="008509B4">
        <w:t>bl</w:t>
      </w:r>
      <w:r w:rsidR="00EF1F17">
        <w:t>ic</w:t>
      </w:r>
      <w:proofErr w:type="spellEnd"/>
      <w:r w:rsidR="00EF1F17">
        <w:t xml:space="preserve"> </w:t>
      </w:r>
      <w:r w:rsidR="00237173">
        <w:t>C</w:t>
      </w:r>
      <w:r w:rsidR="00A81E58">
        <w:t>omment</w:t>
      </w:r>
      <w:r w:rsidR="007748A2">
        <w:t>s</w:t>
      </w:r>
    </w:p>
    <w:p w:rsidRPr="00333504" w:rsidR="008D5237" w:rsidP="00B173B8" w:rsidRDefault="001C485F" w14:paraId="09FB3A7F" w14:textId="19951A45">
      <w:pPr>
        <w:pStyle w:val="TOC2"/>
        <w:rPr>
          <w:noProof/>
        </w:rPr>
      </w:pPr>
      <w:r w:rsidRPr="00333504">
        <w:rPr>
          <w:noProof/>
        </w:rPr>
        <w:t>C</w:t>
      </w:r>
      <w:r w:rsidRPr="00333504" w:rsidR="008D5237">
        <w:rPr>
          <w:noProof/>
        </w:rPr>
        <w:t xml:space="preserve"> Information Letter</w:t>
      </w:r>
    </w:p>
    <w:p w:rsidRPr="00333504" w:rsidR="008D5237" w:rsidP="00B173B8" w:rsidRDefault="001C485F" w14:paraId="05FFCD18" w14:textId="081D9ABF">
      <w:pPr>
        <w:pStyle w:val="TOC2"/>
        <w:rPr>
          <w:noProof/>
        </w:rPr>
      </w:pPr>
      <w:r w:rsidRPr="00333504">
        <w:rPr>
          <w:noProof/>
        </w:rPr>
        <w:t>D</w:t>
      </w:r>
      <w:r w:rsidRPr="00333504" w:rsidR="008D5237">
        <w:rPr>
          <w:noProof/>
        </w:rPr>
        <w:t xml:space="preserve"> </w:t>
      </w:r>
      <w:r w:rsidRPr="00333504" w:rsidR="00237173">
        <w:rPr>
          <w:noProof/>
        </w:rPr>
        <w:t xml:space="preserve">Telephone </w:t>
      </w:r>
      <w:r w:rsidRPr="00333504" w:rsidR="008D5237">
        <w:rPr>
          <w:noProof/>
        </w:rPr>
        <w:t>Screening</w:t>
      </w:r>
    </w:p>
    <w:p w:rsidR="008D5237" w:rsidP="00B173B8" w:rsidRDefault="001C485F" w14:paraId="416BB29D" w14:textId="72C6350D">
      <w:pPr>
        <w:pStyle w:val="TOC2"/>
        <w:rPr>
          <w:noProof/>
        </w:rPr>
      </w:pPr>
      <w:r w:rsidRPr="00333504">
        <w:rPr>
          <w:noProof/>
        </w:rPr>
        <w:t>E</w:t>
      </w:r>
      <w:r w:rsidRPr="00333504" w:rsidR="008D5237">
        <w:rPr>
          <w:noProof/>
        </w:rPr>
        <w:t xml:space="preserve"> Confirmation Letter/Email</w:t>
      </w:r>
    </w:p>
    <w:p w:rsidR="001C485F" w:rsidP="00B173B8" w:rsidRDefault="001C485F" w14:paraId="30C7BDE6" w14:textId="77777777">
      <w:pPr>
        <w:pStyle w:val="TOC2"/>
        <w:rPr>
          <w:noProof/>
        </w:rPr>
      </w:pPr>
      <w:r>
        <w:rPr>
          <w:noProof/>
        </w:rPr>
        <w:t>F Informed Consent</w:t>
      </w:r>
    </w:p>
    <w:p w:rsidR="008D5237" w:rsidP="00B173B8" w:rsidRDefault="008D5237" w14:paraId="5BB000E8" w14:textId="187C76CD">
      <w:pPr>
        <w:pStyle w:val="TOC2"/>
        <w:rPr>
          <w:noProof/>
        </w:rPr>
      </w:pPr>
      <w:r>
        <w:rPr>
          <w:noProof/>
        </w:rPr>
        <w:t>G Reminder</w:t>
      </w:r>
      <w:r w:rsidR="00EB325A">
        <w:rPr>
          <w:noProof/>
        </w:rPr>
        <w:t xml:space="preserve"> Email</w:t>
      </w:r>
    </w:p>
    <w:p w:rsidR="00333504" w:rsidP="00B173B8" w:rsidRDefault="00333504" w14:paraId="11A0E622" w14:textId="17C11B24">
      <w:pPr>
        <w:pStyle w:val="TOC2"/>
        <w:rPr>
          <w:noProof/>
        </w:rPr>
      </w:pPr>
      <w:r>
        <w:rPr>
          <w:noProof/>
        </w:rPr>
        <w:t xml:space="preserve">H </w:t>
      </w:r>
      <w:r>
        <w:t xml:space="preserve">List of Local and National Resources </w:t>
      </w:r>
      <w:r w:rsidR="0028469A">
        <w:t>f</w:t>
      </w:r>
      <w:r>
        <w:t>or Participants</w:t>
      </w:r>
    </w:p>
    <w:p w:rsidR="00DB03DF" w:rsidP="00B173B8" w:rsidRDefault="008D5237" w14:paraId="2F18FE28" w14:textId="584CB1E0">
      <w:pPr>
        <w:pStyle w:val="TOC2"/>
        <w:rPr>
          <w:noProof/>
        </w:rPr>
      </w:pPr>
      <w:r>
        <w:rPr>
          <w:noProof/>
        </w:rPr>
        <w:t>I</w:t>
      </w:r>
      <w:r w:rsidR="00DB03DF">
        <w:rPr>
          <w:noProof/>
        </w:rPr>
        <w:t xml:space="preserve"> </w:t>
      </w:r>
      <w:r w:rsidR="001C485F">
        <w:rPr>
          <w:noProof/>
        </w:rPr>
        <w:t xml:space="preserve">Demographic </w:t>
      </w:r>
      <w:r w:rsidR="008D14F7">
        <w:rPr>
          <w:noProof/>
        </w:rPr>
        <w:t>Survey</w:t>
      </w:r>
    </w:p>
    <w:p w:rsidRPr="00333504" w:rsidR="003C56E1" w:rsidP="00333504" w:rsidRDefault="008D5237" w14:paraId="2B8DDCB3" w14:textId="475FFFA4">
      <w:pPr>
        <w:pStyle w:val="TOC2"/>
        <w:rPr>
          <w:b/>
          <w:bCs/>
          <w:noProof/>
        </w:rPr>
      </w:pPr>
      <w:r>
        <w:rPr>
          <w:noProof/>
        </w:rPr>
        <w:t xml:space="preserve">J </w:t>
      </w:r>
      <w:r w:rsidRPr="00EB325A" w:rsidR="00EB325A">
        <w:rPr>
          <w:noProof/>
        </w:rPr>
        <w:t xml:space="preserve">Interview - Focus Group </w:t>
      </w:r>
      <w:r w:rsidR="00EB325A">
        <w:rPr>
          <w:noProof/>
        </w:rPr>
        <w:t xml:space="preserve">for </w:t>
      </w:r>
      <w:r w:rsidRPr="00EB325A" w:rsidR="00EB325A">
        <w:rPr>
          <w:noProof/>
        </w:rPr>
        <w:t>Tribal Elders-Tribal Leaders-Traditional Healers</w:t>
      </w:r>
    </w:p>
    <w:p w:rsidRPr="00333504" w:rsidR="005D380A" w:rsidP="00B173B8" w:rsidRDefault="008D5237" w14:paraId="2C5CEE6E" w14:textId="48DF046E">
      <w:pPr>
        <w:pStyle w:val="TOC2"/>
        <w:rPr>
          <w:noProof/>
        </w:rPr>
      </w:pPr>
      <w:r w:rsidRPr="00333504">
        <w:rPr>
          <w:noProof/>
        </w:rPr>
        <w:t>K</w:t>
      </w:r>
      <w:r w:rsidRPr="00333504" w:rsidR="00100B1D">
        <w:rPr>
          <w:noProof/>
        </w:rPr>
        <w:t xml:space="preserve"> </w:t>
      </w:r>
      <w:r w:rsidRPr="00EB325A" w:rsidR="00EB325A">
        <w:t>Focus Group Discussion Guide for Parents-Caregivers and Young Adults</w:t>
      </w:r>
    </w:p>
    <w:p w:rsidRPr="00823B89" w:rsidR="003C56E1" w:rsidP="00B173B8" w:rsidRDefault="005D380A" w14:paraId="74638E44" w14:textId="03DB0540">
      <w:pPr>
        <w:pStyle w:val="TOC2"/>
        <w:rPr>
          <w:noProof/>
        </w:rPr>
      </w:pPr>
      <w:r w:rsidRPr="00333504">
        <w:rPr>
          <w:noProof/>
        </w:rPr>
        <w:t>L</w:t>
      </w:r>
      <w:r>
        <w:rPr>
          <w:noProof/>
        </w:rPr>
        <w:t xml:space="preserve"> </w:t>
      </w:r>
      <w:r w:rsidRPr="00EB325A" w:rsidR="00EB325A">
        <w:rPr>
          <w:noProof/>
        </w:rPr>
        <w:t>Interview_Discussion Guide for Community Leaders and Service Providers</w:t>
      </w:r>
    </w:p>
    <w:p w:rsidRPr="00823B89" w:rsidR="00100B1D" w:rsidP="00B173B8" w:rsidRDefault="005D380A" w14:paraId="7A88D0DC" w14:textId="7BB52C8B">
      <w:pPr>
        <w:pStyle w:val="TOC2"/>
        <w:rPr>
          <w:noProof/>
        </w:rPr>
      </w:pPr>
      <w:r w:rsidRPr="00823B89">
        <w:rPr>
          <w:noProof/>
        </w:rPr>
        <w:t xml:space="preserve">M </w:t>
      </w:r>
      <w:r w:rsidRPr="00823B89" w:rsidR="00684490">
        <w:t>Privacy Impact Assessment (PIA)</w:t>
      </w:r>
    </w:p>
    <w:p w:rsidRPr="00823B89" w:rsidR="007748A2" w:rsidP="00B173B8" w:rsidRDefault="005D380A" w14:paraId="2C3E170D" w14:textId="707AC89B">
      <w:pPr>
        <w:pStyle w:val="TOC2"/>
        <w:rPr>
          <w:noProof/>
        </w:rPr>
      </w:pPr>
      <w:r w:rsidRPr="00823B89">
        <w:rPr>
          <w:noProof/>
        </w:rPr>
        <w:t>N</w:t>
      </w:r>
      <w:r w:rsidRPr="00823B89" w:rsidR="007748A2">
        <w:rPr>
          <w:noProof/>
        </w:rPr>
        <w:t xml:space="preserve"> IRB </w:t>
      </w:r>
      <w:r w:rsidRPr="00823B89" w:rsidR="00237173">
        <w:rPr>
          <w:noProof/>
        </w:rPr>
        <w:t>L</w:t>
      </w:r>
      <w:r w:rsidRPr="00823B89" w:rsidR="007748A2">
        <w:rPr>
          <w:noProof/>
        </w:rPr>
        <w:t>etter</w:t>
      </w:r>
    </w:p>
    <w:p w:rsidR="005D380A" w:rsidP="00B173B8" w:rsidRDefault="005D380A" w14:paraId="1748B8C0" w14:textId="3B801F38">
      <w:pPr>
        <w:pStyle w:val="TOC2"/>
        <w:rPr>
          <w:noProof/>
        </w:rPr>
      </w:pPr>
      <w:r w:rsidRPr="00823B89">
        <w:rPr>
          <w:noProof/>
        </w:rPr>
        <w:t>O Study Flyer</w:t>
      </w:r>
      <w:r>
        <w:rPr>
          <w:noProof/>
        </w:rPr>
        <w:t xml:space="preserve"> </w:t>
      </w:r>
    </w:p>
    <w:p w:rsidR="00F72B17" w:rsidRDefault="00F72B17" w14:paraId="680BA474" w14:textId="7934AE85">
      <w:pPr>
        <w:rPr>
          <w:b/>
          <w:bCs/>
        </w:rPr>
      </w:pPr>
    </w:p>
    <w:p w:rsidR="00C43BF7" w:rsidRDefault="00082288" w14:paraId="751827BD" w14:textId="4F5BC184">
      <w:pPr>
        <w:rPr>
          <w:b/>
          <w:bCs/>
        </w:rPr>
      </w:pPr>
      <w:r>
        <w:rPr>
          <w:noProof/>
        </w:rPr>
        <mc:AlternateContent>
          <mc:Choice Requires="wps">
            <w:drawing>
              <wp:anchor distT="0" distB="0" distL="114300" distR="114300" simplePos="0" relativeHeight="251658240" behindDoc="0" locked="0" layoutInCell="1" allowOverlap="1" wp14:editId="66314731" wp14:anchorId="256D8E2B">
                <wp:simplePos x="0" y="0"/>
                <wp:positionH relativeFrom="margin">
                  <wp:posOffset>-174929</wp:posOffset>
                </wp:positionH>
                <wp:positionV relativeFrom="paragraph">
                  <wp:posOffset>174266</wp:posOffset>
                </wp:positionV>
                <wp:extent cx="6267450" cy="4572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572000"/>
                        </a:xfrm>
                        <a:prstGeom prst="rect">
                          <a:avLst/>
                        </a:prstGeom>
                        <a:solidFill>
                          <a:srgbClr val="FFFFFF"/>
                        </a:solidFill>
                        <a:ln w="9525">
                          <a:solidFill>
                            <a:srgbClr val="000000"/>
                          </a:solidFill>
                          <a:miter lim="800000"/>
                          <a:headEnd/>
                          <a:tailEnd/>
                        </a:ln>
                      </wps:spPr>
                      <wps:txbx>
                        <w:txbxContent>
                          <w:p w:rsidR="00597D29" w:rsidP="00B81AB0" w:rsidRDefault="00597D29" w14:paraId="256D8E36" w14:textId="6B0ADE9E">
                            <w:pPr>
                              <w:pStyle w:val="ListParagraph"/>
                              <w:ind w:left="360"/>
                            </w:pPr>
                            <w:r w:rsidRPr="001E55D9">
                              <w:rPr>
                                <w:b/>
                              </w:rPr>
                              <w:t>Goal of the study</w:t>
                            </w:r>
                            <w:r w:rsidRPr="00C712BA">
                              <w:t xml:space="preserve">: The goal of this Information Collection Request (ICR) is to conduct formative qualitative studies to identify community-level protective factors (e.g., intergenerational connection to Tribal </w:t>
                            </w:r>
                            <w:r>
                              <w:t>E</w:t>
                            </w:r>
                            <w:r w:rsidRPr="00C712BA">
                              <w:t>lders) and primary prevention strategies across a range of Tribal communities (i.e., urban and rural</w:t>
                            </w:r>
                            <w:r>
                              <w:t>/reservation</w:t>
                            </w:r>
                            <w:r w:rsidRPr="00C712BA">
                              <w:t>) to prevent adverse childhood experiences (ACEs) and opioid misuse</w:t>
                            </w:r>
                            <w:r>
                              <w:t xml:space="preserve">. </w:t>
                            </w:r>
                            <w:r w:rsidRPr="00C712BA">
                              <w:t xml:space="preserve">    </w:t>
                            </w:r>
                          </w:p>
                          <w:p w:rsidRPr="00C712BA" w:rsidR="00597D29" w:rsidP="00B81AB0" w:rsidRDefault="00597D29" w14:paraId="794BFF2A" w14:textId="77777777">
                            <w:pPr>
                              <w:pStyle w:val="ListParagraph"/>
                              <w:ind w:left="360"/>
                            </w:pPr>
                          </w:p>
                          <w:p w:rsidRPr="00C712BA" w:rsidR="00597D29" w:rsidP="000578E8" w:rsidRDefault="00597D29" w14:paraId="256D8E38" w14:textId="64A549B5">
                            <w:pPr>
                              <w:pStyle w:val="ListParagraph"/>
                              <w:numPr>
                                <w:ilvl w:val="0"/>
                                <w:numId w:val="6"/>
                              </w:numPr>
                            </w:pPr>
                            <w:r w:rsidRPr="00C712BA">
                              <w:rPr>
                                <w:b/>
                              </w:rPr>
                              <w:t>Intended use of the resulting data</w:t>
                            </w:r>
                            <w:r w:rsidRPr="00C712BA">
                              <w:t>: To identify ways to prevent ACEs and opioid misuse before they occur, provide information regarding best available evidence at the outer levels of the social ecology, and extend</w:t>
                            </w:r>
                            <w:r>
                              <w:t xml:space="preserve"> the</w:t>
                            </w:r>
                            <w:r w:rsidRPr="00C712BA">
                              <w:t xml:space="preserve"> National Center for Injury Prevention and Control</w:t>
                            </w:r>
                            <w:r>
                              <w:t>’s</w:t>
                            </w:r>
                            <w:r w:rsidRPr="00C712BA">
                              <w:t xml:space="preserve"> current investments on identifying community-level resources, supports, and prevention strategies for children and their families in Tribal communities.   </w:t>
                            </w:r>
                          </w:p>
                          <w:p w:rsidRPr="00C712BA" w:rsidR="00597D29" w:rsidP="000578E8" w:rsidRDefault="00597D29" w14:paraId="79FB3F89" w14:textId="77777777">
                            <w:pPr>
                              <w:pStyle w:val="ListParagraph"/>
                              <w:ind w:left="360"/>
                            </w:pPr>
                          </w:p>
                          <w:p w:rsidRPr="00C712BA" w:rsidR="00597D29" w:rsidP="000578E8" w:rsidRDefault="00597D29" w14:paraId="256D8E3A" w14:textId="31D7B9C4">
                            <w:pPr>
                              <w:pStyle w:val="ListParagraph"/>
                              <w:numPr>
                                <w:ilvl w:val="0"/>
                                <w:numId w:val="6"/>
                              </w:numPr>
                            </w:pPr>
                            <w:r w:rsidRPr="00C712BA">
                              <w:rPr>
                                <w:b/>
                              </w:rPr>
                              <w:t>Methods to be used to collect</w:t>
                            </w:r>
                            <w:r w:rsidRPr="00C712BA">
                              <w:t xml:space="preserve">: A </w:t>
                            </w:r>
                            <w:r>
                              <w:t xml:space="preserve">qualitative </w:t>
                            </w:r>
                            <w:r w:rsidRPr="00C712BA">
                              <w:t>study will be used to collect data using in-person (or virtual</w:t>
                            </w:r>
                            <w:bookmarkStart w:name="_Hlk69282961" w:id="3"/>
                            <w:r w:rsidRPr="00C712BA">
                              <w:t>) semi-structured focus groups/interviews</w:t>
                            </w:r>
                            <w:bookmarkEnd w:id="3"/>
                            <w:r>
                              <w:t>. A brief</w:t>
                            </w:r>
                            <w:r w:rsidRPr="00C712BA">
                              <w:t xml:space="preserve"> demographic</w:t>
                            </w:r>
                            <w:r>
                              <w:t xml:space="preserve"> survey will be included.</w:t>
                            </w:r>
                            <w:r w:rsidRPr="00C712BA">
                              <w:t xml:space="preserve"> </w:t>
                            </w:r>
                            <w:r>
                              <w:t>Sampling will be purposive and include key r</w:t>
                            </w:r>
                            <w:r w:rsidRPr="00C712BA">
                              <w:t>espondent</w:t>
                            </w:r>
                            <w:r>
                              <w:t xml:space="preserve"> group</w:t>
                            </w:r>
                            <w:r w:rsidRPr="00C712BA">
                              <w:t xml:space="preserve">s </w:t>
                            </w:r>
                            <w:r>
                              <w:t>(</w:t>
                            </w:r>
                            <w:r w:rsidRPr="00C712BA">
                              <w:t xml:space="preserve">i.e., young adults, parents and caregivers of American Indian/Alaska Native (AI/AN) children, Tribal </w:t>
                            </w:r>
                            <w:r>
                              <w:t>E</w:t>
                            </w:r>
                            <w:r w:rsidRPr="00C712BA">
                              <w:t xml:space="preserve">lders, </w:t>
                            </w:r>
                            <w:r>
                              <w:t xml:space="preserve">and community </w:t>
                            </w:r>
                            <w:r w:rsidRPr="00C712BA">
                              <w:t>leaders</w:t>
                            </w:r>
                            <w:r>
                              <w:t xml:space="preserve"> and service</w:t>
                            </w:r>
                            <w:r w:rsidRPr="00C712BA">
                              <w:t xml:space="preserve"> providers</w:t>
                            </w:r>
                            <w:r>
                              <w:t>)</w:t>
                            </w:r>
                            <w:r w:rsidRPr="00C712BA">
                              <w:t xml:space="preserve"> in Tribal urban and rural</w:t>
                            </w:r>
                            <w:r>
                              <w:t>/reservation</w:t>
                            </w:r>
                            <w:r w:rsidRPr="00C712BA">
                              <w:t xml:space="preserve"> communities.</w:t>
                            </w:r>
                          </w:p>
                          <w:p w:rsidRPr="00C712BA" w:rsidR="00597D29" w:rsidP="000578E8" w:rsidRDefault="00597D29" w14:paraId="34EF871B" w14:textId="77777777">
                            <w:pPr>
                              <w:pStyle w:val="ListParagraph"/>
                              <w:ind w:left="360"/>
                            </w:pPr>
                          </w:p>
                          <w:p w:rsidRPr="00C712BA" w:rsidR="00597D29" w:rsidP="000578E8" w:rsidRDefault="00597D29" w14:paraId="256D8E3C" w14:textId="3BFE51DF">
                            <w:pPr>
                              <w:pStyle w:val="ListParagraph"/>
                              <w:numPr>
                                <w:ilvl w:val="0"/>
                                <w:numId w:val="6"/>
                              </w:numPr>
                            </w:pPr>
                            <w:r w:rsidRPr="00C712BA">
                              <w:rPr>
                                <w:b/>
                              </w:rPr>
                              <w:t>The subpopulation to be studied</w:t>
                            </w:r>
                            <w:r w:rsidRPr="00C712BA">
                              <w:t xml:space="preserve">: Local people (e.g., parents and caregivers of AI/AN children, Tribal </w:t>
                            </w:r>
                            <w:r>
                              <w:t>E</w:t>
                            </w:r>
                            <w:r w:rsidRPr="00C712BA">
                              <w:t>lders) living in Tribal urban and rural</w:t>
                            </w:r>
                            <w:r>
                              <w:t>/reservation</w:t>
                            </w:r>
                            <w:r w:rsidRPr="00C712BA">
                              <w:t xml:space="preserve"> communities, including adults 18 years or older </w:t>
                            </w:r>
                            <w:r>
                              <w:t>affected</w:t>
                            </w:r>
                            <w:r w:rsidRPr="00C712BA">
                              <w:t xml:space="preserve"> by the opioid epidemic. </w:t>
                            </w:r>
                          </w:p>
                          <w:p w:rsidRPr="00C712BA" w:rsidR="00597D29" w:rsidP="000578E8" w:rsidRDefault="00597D29" w14:paraId="0EE6A5CE" w14:textId="77777777">
                            <w:pPr>
                              <w:pStyle w:val="ListParagraph"/>
                              <w:ind w:left="360"/>
                            </w:pPr>
                          </w:p>
                          <w:p w:rsidRPr="00C712BA" w:rsidR="00597D29" w:rsidP="007240F6" w:rsidRDefault="00597D29" w14:paraId="6D98039C" w14:textId="77095D68">
                            <w:pPr>
                              <w:pStyle w:val="ListParagraph"/>
                              <w:ind w:left="360"/>
                            </w:pPr>
                            <w:r w:rsidRPr="008600E6">
                              <w:rPr>
                                <w:b/>
                              </w:rPr>
                              <w:t>How data will be analyzed</w:t>
                            </w:r>
                            <w:r w:rsidRPr="00C712BA">
                              <w:t>: Data will be analyzed using well-established qualitative analysis methods, such as coding interviews for themes</w:t>
                            </w:r>
                            <w:r>
                              <w:t xml:space="preserve"> about perceptions of community level protective factors (e.g., </w:t>
                            </w:r>
                            <w:r w:rsidRPr="00C712BA">
                              <w:t>access to primary prevention services</w:t>
                            </w:r>
                            <w:r>
                              <w:t>)</w:t>
                            </w:r>
                            <w:r w:rsidRPr="00C712BA">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6D8E2B">
                <v:stroke joinstyle="miter"/>
                <v:path gradientshapeok="t" o:connecttype="rect"/>
              </v:shapetype>
              <v:shape id="Text Box 2" style="position:absolute;margin-left:-13.75pt;margin-top:13.7pt;width:493.5pt;height:5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">
                <v:textbox>
                  <w:txbxContent>
                    <w:p w:rsidR="00597D29" w:rsidP="00B81AB0" w:rsidRDefault="00597D29" w14:paraId="256D8E36" w14:textId="6B0ADE9E">
                      <w:pPr>
                        <w:pStyle w:val="ListParagraph"/>
                        <w:ind w:left="360"/>
                      </w:pPr>
                      <w:r w:rsidRPr="001E55D9">
                        <w:rPr>
                          <w:b/>
                        </w:rPr>
                        <w:t>Goal of the study</w:t>
                      </w:r>
                      <w:r w:rsidRPr="00C712BA">
                        <w:t xml:space="preserve">: The goal of this Information Collection Request (ICR) is to conduct formative qualitative studies to identify community-level protective factors (e.g., intergenerational connection to Tribal </w:t>
                      </w:r>
                      <w:r>
                        <w:t>E</w:t>
                      </w:r>
                      <w:r w:rsidRPr="00C712BA">
                        <w:t>lders) and primary prevention strategies across a range of Tribal communities (i.e., urban and rural</w:t>
                      </w:r>
                      <w:r>
                        <w:t>/reservation</w:t>
                      </w:r>
                      <w:r w:rsidRPr="00C712BA">
                        <w:t>) to prevent adverse childhood experiences (ACEs) and opioid misuse</w:t>
                      </w:r>
                      <w:r>
                        <w:t xml:space="preserve">. </w:t>
                      </w:r>
                      <w:r w:rsidRPr="00C712BA">
                        <w:t xml:space="preserve">    </w:t>
                      </w:r>
                    </w:p>
                    <w:p w:rsidRPr="00C712BA" w:rsidR="00597D29" w:rsidP="00B81AB0" w:rsidRDefault="00597D29" w14:paraId="794BFF2A" w14:textId="77777777">
                      <w:pPr>
                        <w:pStyle w:val="ListParagraph"/>
                        <w:ind w:left="360"/>
                      </w:pPr>
                    </w:p>
                    <w:p w:rsidRPr="00C712BA" w:rsidR="00597D29" w:rsidP="000578E8" w:rsidRDefault="00597D29" w14:paraId="256D8E38" w14:textId="64A549B5">
                      <w:pPr>
                        <w:pStyle w:val="ListParagraph"/>
                        <w:numPr>
                          <w:ilvl w:val="0"/>
                          <w:numId w:val="6"/>
                        </w:numPr>
                      </w:pPr>
                      <w:r w:rsidRPr="00C712BA">
                        <w:rPr>
                          <w:b/>
                        </w:rPr>
                        <w:t>Intended use of the resulting data</w:t>
                      </w:r>
                      <w:r w:rsidRPr="00C712BA">
                        <w:t>: To identify ways to prevent ACEs and opioid misuse before they occur, provide information regarding best available evidence at the outer levels of the social ecology, and extend</w:t>
                      </w:r>
                      <w:r>
                        <w:t xml:space="preserve"> the</w:t>
                      </w:r>
                      <w:r w:rsidRPr="00C712BA">
                        <w:t xml:space="preserve"> National Center for Injury Prevention and Control</w:t>
                      </w:r>
                      <w:r>
                        <w:t>’s</w:t>
                      </w:r>
                      <w:r w:rsidRPr="00C712BA">
                        <w:t xml:space="preserve"> current investments on identifying community-level resources, supports, and prevention strategies for children and their families in Tribal communities.   </w:t>
                      </w:r>
                    </w:p>
                    <w:p w:rsidRPr="00C712BA" w:rsidR="00597D29" w:rsidP="000578E8" w:rsidRDefault="00597D29" w14:paraId="79FB3F89" w14:textId="77777777">
                      <w:pPr>
                        <w:pStyle w:val="ListParagraph"/>
                        <w:ind w:left="360"/>
                      </w:pPr>
                    </w:p>
                    <w:p w:rsidRPr="00C712BA" w:rsidR="00597D29" w:rsidP="000578E8" w:rsidRDefault="00597D29" w14:paraId="256D8E3A" w14:textId="31D7B9C4">
                      <w:pPr>
                        <w:pStyle w:val="ListParagraph"/>
                        <w:numPr>
                          <w:ilvl w:val="0"/>
                          <w:numId w:val="6"/>
                        </w:numPr>
                      </w:pPr>
                      <w:r w:rsidRPr="00C712BA">
                        <w:rPr>
                          <w:b/>
                        </w:rPr>
                        <w:t>Methods to be used to collect</w:t>
                      </w:r>
                      <w:r w:rsidRPr="00C712BA">
                        <w:t xml:space="preserve">: A </w:t>
                      </w:r>
                      <w:r>
                        <w:t xml:space="preserve">qualitative </w:t>
                      </w:r>
                      <w:r w:rsidRPr="00C712BA">
                        <w:t>study will be used to collect data using in-person (or virtual</w:t>
                      </w:r>
                      <w:bookmarkStart w:name="_Hlk69282961" w:id="4"/>
                      <w:r w:rsidRPr="00C712BA">
                        <w:t>) semi-structured focus groups/interviews</w:t>
                      </w:r>
                      <w:bookmarkEnd w:id="4"/>
                      <w:r>
                        <w:t>. A brief</w:t>
                      </w:r>
                      <w:r w:rsidRPr="00C712BA">
                        <w:t xml:space="preserve"> demographic</w:t>
                      </w:r>
                      <w:r>
                        <w:t xml:space="preserve"> survey will be included.</w:t>
                      </w:r>
                      <w:r w:rsidRPr="00C712BA">
                        <w:t xml:space="preserve"> </w:t>
                      </w:r>
                      <w:r>
                        <w:t>Sampling will be purposive and include key r</w:t>
                      </w:r>
                      <w:r w:rsidRPr="00C712BA">
                        <w:t>espondent</w:t>
                      </w:r>
                      <w:r>
                        <w:t xml:space="preserve"> group</w:t>
                      </w:r>
                      <w:r w:rsidRPr="00C712BA">
                        <w:t xml:space="preserve">s </w:t>
                      </w:r>
                      <w:r>
                        <w:t>(</w:t>
                      </w:r>
                      <w:r w:rsidRPr="00C712BA">
                        <w:t xml:space="preserve">i.e., young adults, parents and caregivers of American Indian/Alaska Native (AI/AN) children, Tribal </w:t>
                      </w:r>
                      <w:r>
                        <w:t>E</w:t>
                      </w:r>
                      <w:r w:rsidRPr="00C712BA">
                        <w:t xml:space="preserve">lders, </w:t>
                      </w:r>
                      <w:r>
                        <w:t xml:space="preserve">and community </w:t>
                      </w:r>
                      <w:r w:rsidRPr="00C712BA">
                        <w:t>leaders</w:t>
                      </w:r>
                      <w:r>
                        <w:t xml:space="preserve"> and service</w:t>
                      </w:r>
                      <w:r w:rsidRPr="00C712BA">
                        <w:t xml:space="preserve"> providers</w:t>
                      </w:r>
                      <w:r>
                        <w:t>)</w:t>
                      </w:r>
                      <w:r w:rsidRPr="00C712BA">
                        <w:t xml:space="preserve"> in Tribal urban and rural</w:t>
                      </w:r>
                      <w:r>
                        <w:t>/reservation</w:t>
                      </w:r>
                      <w:r w:rsidRPr="00C712BA">
                        <w:t xml:space="preserve"> communities.</w:t>
                      </w:r>
                    </w:p>
                    <w:p w:rsidRPr="00C712BA" w:rsidR="00597D29" w:rsidP="000578E8" w:rsidRDefault="00597D29" w14:paraId="34EF871B" w14:textId="77777777">
                      <w:pPr>
                        <w:pStyle w:val="ListParagraph"/>
                        <w:ind w:left="360"/>
                      </w:pPr>
                    </w:p>
                    <w:p w:rsidRPr="00C712BA" w:rsidR="00597D29" w:rsidP="000578E8" w:rsidRDefault="00597D29" w14:paraId="256D8E3C" w14:textId="3BFE51DF">
                      <w:pPr>
                        <w:pStyle w:val="ListParagraph"/>
                        <w:numPr>
                          <w:ilvl w:val="0"/>
                          <w:numId w:val="6"/>
                        </w:numPr>
                      </w:pPr>
                      <w:r w:rsidRPr="00C712BA">
                        <w:rPr>
                          <w:b/>
                        </w:rPr>
                        <w:t>The subpopulation to be studied</w:t>
                      </w:r>
                      <w:r w:rsidRPr="00C712BA">
                        <w:t xml:space="preserve">: Local people (e.g., parents and caregivers of AI/AN children, Tribal </w:t>
                      </w:r>
                      <w:r>
                        <w:t>E</w:t>
                      </w:r>
                      <w:r w:rsidRPr="00C712BA">
                        <w:t>lders) living in Tribal urban and rural</w:t>
                      </w:r>
                      <w:r>
                        <w:t>/reservation</w:t>
                      </w:r>
                      <w:r w:rsidRPr="00C712BA">
                        <w:t xml:space="preserve"> communities, including adults 18 years or older </w:t>
                      </w:r>
                      <w:r>
                        <w:t>affected</w:t>
                      </w:r>
                      <w:r w:rsidRPr="00C712BA">
                        <w:t xml:space="preserve"> by the opioid epidemic. </w:t>
                      </w:r>
                    </w:p>
                    <w:p w:rsidRPr="00C712BA" w:rsidR="00597D29" w:rsidP="000578E8" w:rsidRDefault="00597D29" w14:paraId="0EE6A5CE" w14:textId="77777777">
                      <w:pPr>
                        <w:pStyle w:val="ListParagraph"/>
                        <w:ind w:left="360"/>
                      </w:pPr>
                    </w:p>
                    <w:p w:rsidRPr="00C712BA" w:rsidR="00597D29" w:rsidP="007240F6" w:rsidRDefault="00597D29" w14:paraId="6D98039C" w14:textId="77095D68">
                      <w:pPr>
                        <w:pStyle w:val="ListParagraph"/>
                        <w:ind w:left="360"/>
                      </w:pPr>
                      <w:r w:rsidRPr="008600E6">
                        <w:rPr>
                          <w:b/>
                        </w:rPr>
                        <w:t>How data will be analyzed</w:t>
                      </w:r>
                      <w:r w:rsidRPr="00C712BA">
                        <w:t>: Data will be analyzed using well-established qualitative analysis methods, such as coding interviews for themes</w:t>
                      </w:r>
                      <w:r>
                        <w:t xml:space="preserve"> about perceptions of community level protective factors (e.g., </w:t>
                      </w:r>
                      <w:r w:rsidRPr="00C712BA">
                        <w:t>access to primary prevention services</w:t>
                      </w:r>
                      <w:r>
                        <w:t>)</w:t>
                      </w:r>
                      <w:r w:rsidRPr="00C712BA">
                        <w:t>.</w:t>
                      </w:r>
                    </w:p>
                  </w:txbxContent>
                </v:textbox>
                <w10:wrap anchorx="margin"/>
              </v:shape>
            </w:pict>
          </mc:Fallback>
        </mc:AlternateContent>
      </w:r>
    </w:p>
    <w:p w:rsidR="00A24490" w:rsidP="00812EDE" w:rsidRDefault="00A24490" w14:paraId="24D9FDD4" w14:textId="265BEBA3">
      <w:pPr>
        <w:rPr>
          <w:b/>
          <w:bCs/>
        </w:rPr>
      </w:pPr>
      <w:r>
        <w:rPr>
          <w:b/>
          <w:bCs/>
        </w:rPr>
        <w:t>SUMMARY TABLE</w:t>
      </w:r>
    </w:p>
    <w:p w:rsidR="00A24490" w:rsidP="00812EDE" w:rsidRDefault="00A24490" w14:paraId="396C0964" w14:textId="16944046">
      <w:pPr>
        <w:rPr>
          <w:b/>
          <w:bCs/>
        </w:rPr>
      </w:pPr>
    </w:p>
    <w:p w:rsidR="00FB1045" w:rsidP="00812EDE" w:rsidRDefault="00FB1045" w14:paraId="256D8D9C" w14:textId="6129E733">
      <w:pPr>
        <w:rPr>
          <w:b/>
          <w:bCs/>
        </w:rPr>
      </w:pPr>
    </w:p>
    <w:p w:rsidR="00FB1045" w:rsidP="00812EDE" w:rsidRDefault="00FB1045" w14:paraId="256D8D9D" w14:textId="5388513E">
      <w:pPr>
        <w:rPr>
          <w:b/>
          <w:bCs/>
        </w:rPr>
      </w:pPr>
    </w:p>
    <w:p w:rsidR="00FB1045" w:rsidP="00812EDE" w:rsidRDefault="00FB1045" w14:paraId="256D8D9E" w14:textId="77777777">
      <w:pPr>
        <w:rPr>
          <w:b/>
          <w:bCs/>
        </w:rPr>
      </w:pPr>
    </w:p>
    <w:p w:rsidR="00FB1045" w:rsidP="00812EDE" w:rsidRDefault="00FB1045" w14:paraId="256D8D9F" w14:textId="77777777">
      <w:pPr>
        <w:rPr>
          <w:b/>
          <w:bCs/>
        </w:rPr>
      </w:pPr>
    </w:p>
    <w:p w:rsidR="00FB1045" w:rsidP="00812EDE" w:rsidRDefault="00FB1045" w14:paraId="256D8DA0" w14:textId="77777777">
      <w:pPr>
        <w:rPr>
          <w:b/>
          <w:bCs/>
        </w:rPr>
      </w:pPr>
    </w:p>
    <w:p w:rsidR="00FB1045" w:rsidP="00812EDE" w:rsidRDefault="00FB1045" w14:paraId="256D8DA1" w14:textId="77777777">
      <w:pPr>
        <w:rPr>
          <w:b/>
          <w:bCs/>
        </w:rPr>
      </w:pPr>
    </w:p>
    <w:p w:rsidR="00FB1045" w:rsidP="00812EDE" w:rsidRDefault="00FB1045" w14:paraId="256D8DA2" w14:textId="77777777">
      <w:pPr>
        <w:rPr>
          <w:b/>
          <w:bCs/>
        </w:rPr>
      </w:pPr>
    </w:p>
    <w:p w:rsidR="00FB1045" w:rsidP="00812EDE" w:rsidRDefault="00FB1045" w14:paraId="256D8DA3" w14:textId="77777777">
      <w:pPr>
        <w:rPr>
          <w:b/>
          <w:bCs/>
        </w:rPr>
      </w:pPr>
    </w:p>
    <w:p w:rsidR="00FB1045" w:rsidP="00812EDE" w:rsidRDefault="00FB1045" w14:paraId="256D8DA4" w14:textId="77777777">
      <w:pPr>
        <w:rPr>
          <w:b/>
          <w:bCs/>
        </w:rPr>
      </w:pPr>
    </w:p>
    <w:p w:rsidR="00FB1045" w:rsidP="00812EDE" w:rsidRDefault="00FB1045" w14:paraId="256D8DA5" w14:textId="77777777">
      <w:pPr>
        <w:rPr>
          <w:b/>
          <w:bCs/>
        </w:rPr>
      </w:pPr>
    </w:p>
    <w:p w:rsidR="00FB1045" w:rsidP="00812EDE" w:rsidRDefault="00FB1045" w14:paraId="256D8DA6" w14:textId="77777777">
      <w:pPr>
        <w:rPr>
          <w:b/>
          <w:bCs/>
        </w:rPr>
      </w:pPr>
    </w:p>
    <w:p w:rsidR="00FB1045" w:rsidP="00812EDE" w:rsidRDefault="00FB1045" w14:paraId="256D8DA7" w14:textId="77777777">
      <w:pPr>
        <w:rPr>
          <w:b/>
          <w:bCs/>
        </w:rPr>
      </w:pPr>
    </w:p>
    <w:p w:rsidR="00FB1045" w:rsidP="00812EDE" w:rsidRDefault="00FB1045" w14:paraId="256D8DA8" w14:textId="77777777">
      <w:pPr>
        <w:rPr>
          <w:b/>
          <w:bCs/>
        </w:rPr>
      </w:pPr>
    </w:p>
    <w:p w:rsidR="00D629FE" w:rsidP="00812EDE" w:rsidRDefault="00D629FE" w14:paraId="256D8DA9" w14:textId="77777777">
      <w:pPr>
        <w:rPr>
          <w:b/>
          <w:bCs/>
        </w:rPr>
      </w:pPr>
    </w:p>
    <w:p w:rsidR="009B57AB" w:rsidP="00812EDE" w:rsidRDefault="009B57AB" w14:paraId="1E59BE60" w14:textId="77777777">
      <w:pPr>
        <w:rPr>
          <w:b/>
          <w:bCs/>
        </w:rPr>
      </w:pPr>
    </w:p>
    <w:p w:rsidR="009B57AB" w:rsidP="00812EDE" w:rsidRDefault="009B57AB" w14:paraId="517B7429" w14:textId="77777777">
      <w:pPr>
        <w:rPr>
          <w:b/>
          <w:bCs/>
        </w:rPr>
      </w:pPr>
    </w:p>
    <w:p w:rsidR="009B57AB" w:rsidP="00812EDE" w:rsidRDefault="009B57AB" w14:paraId="6C63E2D4" w14:textId="77777777">
      <w:pPr>
        <w:rPr>
          <w:b/>
          <w:bCs/>
        </w:rPr>
      </w:pPr>
    </w:p>
    <w:p w:rsidR="009B57AB" w:rsidP="00812EDE" w:rsidRDefault="009B57AB" w14:paraId="15EE7851" w14:textId="77777777">
      <w:pPr>
        <w:rPr>
          <w:b/>
          <w:bCs/>
        </w:rPr>
      </w:pPr>
    </w:p>
    <w:p w:rsidR="009B57AB" w:rsidP="00812EDE" w:rsidRDefault="009B57AB" w14:paraId="74D2A2CC" w14:textId="77777777">
      <w:pPr>
        <w:rPr>
          <w:b/>
          <w:bCs/>
        </w:rPr>
      </w:pPr>
    </w:p>
    <w:p w:rsidR="009B57AB" w:rsidP="00812EDE" w:rsidRDefault="009B57AB" w14:paraId="0B1E049B" w14:textId="77777777">
      <w:pPr>
        <w:rPr>
          <w:b/>
          <w:bCs/>
        </w:rPr>
      </w:pPr>
    </w:p>
    <w:p w:rsidR="009B57AB" w:rsidP="00812EDE" w:rsidRDefault="009B57AB" w14:paraId="2BFF4CCA" w14:textId="77777777">
      <w:pPr>
        <w:rPr>
          <w:b/>
          <w:bCs/>
        </w:rPr>
      </w:pPr>
    </w:p>
    <w:p w:rsidR="009B57AB" w:rsidP="00812EDE" w:rsidRDefault="009B57AB" w14:paraId="16845DF3" w14:textId="77777777">
      <w:pPr>
        <w:rPr>
          <w:b/>
          <w:bCs/>
        </w:rPr>
      </w:pPr>
    </w:p>
    <w:p w:rsidR="009B57AB" w:rsidP="00812EDE" w:rsidRDefault="009B57AB" w14:paraId="0FD9CC4E" w14:textId="77777777">
      <w:pPr>
        <w:rPr>
          <w:b/>
          <w:bCs/>
        </w:rPr>
      </w:pPr>
    </w:p>
    <w:p w:rsidR="009B57AB" w:rsidP="00812EDE" w:rsidRDefault="009B57AB" w14:paraId="05C4044E" w14:textId="77777777">
      <w:pPr>
        <w:rPr>
          <w:b/>
          <w:bCs/>
        </w:rPr>
      </w:pPr>
    </w:p>
    <w:p w:rsidR="009B57AB" w:rsidP="00812EDE" w:rsidRDefault="009B57AB" w14:paraId="17EA7C5C" w14:textId="4FED046E">
      <w:pPr>
        <w:rPr>
          <w:b/>
          <w:bCs/>
        </w:rPr>
      </w:pPr>
    </w:p>
    <w:p w:rsidR="008600E6" w:rsidP="00D84CAC" w:rsidRDefault="008600E6" w14:paraId="74DEC9AF" w14:textId="77777777">
      <w:pPr>
        <w:rPr>
          <w:b/>
          <w:bCs/>
        </w:rPr>
      </w:pPr>
    </w:p>
    <w:p w:rsidRPr="00691454" w:rsidR="00972DEF" w:rsidP="00D84CAC" w:rsidRDefault="00972DEF" w14:paraId="256D8DAA" w14:textId="379F49CB">
      <w:pPr>
        <w:rPr>
          <w:b/>
          <w:bCs/>
        </w:rPr>
      </w:pPr>
      <w:r w:rsidRPr="00691454">
        <w:rPr>
          <w:b/>
          <w:bCs/>
        </w:rPr>
        <w:t xml:space="preserve">A.  JUSTIFICATION </w:t>
      </w:r>
    </w:p>
    <w:p w:rsidR="00660ED8" w:rsidP="00D84CAC" w:rsidRDefault="00660ED8" w14:paraId="256D8DAB" w14:textId="273DDF2B">
      <w:pPr>
        <w:autoSpaceDE w:val="0"/>
        <w:autoSpaceDN w:val="0"/>
        <w:adjustRightInd w:val="0"/>
        <w:rPr>
          <w:b/>
          <w:bCs/>
        </w:rPr>
      </w:pPr>
    </w:p>
    <w:p w:rsidRPr="00691454" w:rsidR="00972DEF" w:rsidP="00D84CAC" w:rsidRDefault="00972DEF" w14:paraId="256D8DAC" w14:textId="78E7A6A6">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rsidR="00972DEF" w:rsidP="00D84CAC" w:rsidRDefault="00972DEF" w14:paraId="256D8DAD" w14:textId="2ACD7174"/>
    <w:p w:rsidRPr="00C712BA" w:rsidR="002558BC" w:rsidP="002558BC" w:rsidRDefault="00AE34F1" w14:paraId="778B137B" w14:textId="77D01C5F">
      <w:r w:rsidRPr="00C712BA">
        <w:t xml:space="preserve">The </w:t>
      </w:r>
      <w:r w:rsidRPr="00C712BA" w:rsidR="00465339">
        <w:t>Centers for Disease Control and Prevention (CDC), National Center for Injury Prevention and Control</w:t>
      </w:r>
      <w:r w:rsidRPr="00C712BA" w:rsidR="00C2709E">
        <w:t xml:space="preserve"> (NCIPC), Division of Violence Prevention (DVP)</w:t>
      </w:r>
      <w:r w:rsidRPr="00C712BA" w:rsidR="00FB277C">
        <w:t xml:space="preserve"> </w:t>
      </w:r>
      <w:r w:rsidRPr="00C712BA">
        <w:t>requests the Office of Management and Budget (OM</w:t>
      </w:r>
      <w:r w:rsidRPr="00C712BA" w:rsidR="001D4DE7">
        <w:t>B</w:t>
      </w:r>
      <w:r w:rsidRPr="00C712BA">
        <w:t xml:space="preserve">) approval for three years for </w:t>
      </w:r>
      <w:r w:rsidRPr="00C712BA" w:rsidR="00B83D17">
        <w:t xml:space="preserve">a new </w:t>
      </w:r>
      <w:r w:rsidRPr="00C712BA" w:rsidR="00C2709E">
        <w:t xml:space="preserve">information collection request </w:t>
      </w:r>
      <w:r w:rsidRPr="00C712BA" w:rsidR="007D27AB">
        <w:t xml:space="preserve">(ICR) </w:t>
      </w:r>
      <w:r w:rsidRPr="00C712BA" w:rsidR="00C2709E">
        <w:t>to</w:t>
      </w:r>
      <w:r w:rsidRPr="00C712BA">
        <w:t xml:space="preserve"> collect </w:t>
      </w:r>
      <w:r w:rsidRPr="00C712BA" w:rsidR="00B83D17">
        <w:t>and analy</w:t>
      </w:r>
      <w:r w:rsidRPr="00C712BA" w:rsidR="00C2709E">
        <w:t>ze</w:t>
      </w:r>
      <w:r w:rsidRPr="00C712BA" w:rsidR="00B83D17">
        <w:t xml:space="preserve"> </w:t>
      </w:r>
      <w:r w:rsidRPr="00C712BA" w:rsidR="00FB277C">
        <w:t xml:space="preserve">community-level protective factors and </w:t>
      </w:r>
      <w:r w:rsidRPr="00C712BA" w:rsidR="00463B01">
        <w:t xml:space="preserve">primary </w:t>
      </w:r>
      <w:r w:rsidRPr="00C712BA" w:rsidR="00FB277C">
        <w:t xml:space="preserve">prevention strategies </w:t>
      </w:r>
      <w:r w:rsidRPr="00C712BA" w:rsidR="00A57662">
        <w:t xml:space="preserve">(e.g., collective healing approaches) </w:t>
      </w:r>
      <w:r w:rsidRPr="00C712BA" w:rsidR="00FB277C">
        <w:t xml:space="preserve">that might be effective at preventing </w:t>
      </w:r>
      <w:r w:rsidRPr="00C712BA" w:rsidR="00923F54">
        <w:t>adverse childhood experiences (</w:t>
      </w:r>
      <w:r w:rsidRPr="00C712BA" w:rsidR="00FB277C">
        <w:t>ACEs</w:t>
      </w:r>
      <w:r w:rsidRPr="00C712BA" w:rsidR="00923F54">
        <w:t>)</w:t>
      </w:r>
      <w:r w:rsidRPr="00C712BA" w:rsidR="00FB277C">
        <w:t xml:space="preserve"> and opioid misuse while also providing safe, stable, and nurturing relationships and environments for all </w:t>
      </w:r>
      <w:r w:rsidRPr="00C712BA" w:rsidR="002616D2">
        <w:t>American Indian/Alaska Native (</w:t>
      </w:r>
      <w:r w:rsidRPr="00C712BA" w:rsidR="00FB277C">
        <w:t>AI/AN</w:t>
      </w:r>
      <w:r w:rsidRPr="00C712BA" w:rsidR="002616D2">
        <w:t>)</w:t>
      </w:r>
      <w:r w:rsidRPr="00C712BA" w:rsidR="00FB277C">
        <w:t xml:space="preserve"> children</w:t>
      </w:r>
      <w:r w:rsidRPr="00C712BA" w:rsidR="00773793">
        <w:t xml:space="preserve"> and their</w:t>
      </w:r>
      <w:r w:rsidRPr="00C712BA" w:rsidR="00FB277C">
        <w:t xml:space="preserve"> families.</w:t>
      </w:r>
      <w:r w:rsidRPr="00C712BA" w:rsidR="00D231E5">
        <w:t xml:space="preserve"> </w:t>
      </w:r>
      <w:r w:rsidRPr="00C712BA" w:rsidR="00C2709E">
        <w:t xml:space="preserve">Qualitative studies conducted under this ICR </w:t>
      </w:r>
      <w:r w:rsidR="00065420">
        <w:t>are</w:t>
      </w:r>
      <w:r w:rsidRPr="00C712BA" w:rsidR="00C2709E">
        <w:t xml:space="preserve"> consistent with the research priorities of CDC NCIPC (</w:t>
      </w:r>
      <w:r w:rsidRPr="00C712BA" w:rsidR="0009207D">
        <w:t>CDC, 2019</w:t>
      </w:r>
      <w:r w:rsidRPr="00C712BA" w:rsidR="00C2709E">
        <w:t>) and DVP Strategic Priority to prevent multiple forms of violence (</w:t>
      </w:r>
      <w:r w:rsidRPr="00C712BA" w:rsidR="0009207D">
        <w:t>CDC, 2016</w:t>
      </w:r>
      <w:r w:rsidRPr="00C712BA" w:rsidR="00C2709E">
        <w:t xml:space="preserve">). The data collections supported under this ICR will be used to understand </w:t>
      </w:r>
      <w:r w:rsidRPr="00C712BA" w:rsidR="00F72B17">
        <w:t>community-level protective factors and primary prevention strategies for ACEs and opioid misuse in urban and rural Tribal communities</w:t>
      </w:r>
      <w:r w:rsidRPr="00C712BA" w:rsidR="00C2709E">
        <w:t xml:space="preserve">. </w:t>
      </w:r>
    </w:p>
    <w:p w:rsidRPr="00C712BA" w:rsidR="00FB1045" w:rsidP="00D84CAC" w:rsidRDefault="00FB1045" w14:paraId="256D8DAF" w14:textId="636D582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C712BA" w:rsidR="003F151D" w:rsidP="00D84CAC" w:rsidRDefault="003F151D" w14:paraId="0CA9F31E" w14:textId="4963562E">
      <w:r w:rsidRPr="00C712BA">
        <w:t>ACEs are preventable, potentially traumatic events that occur in childhood (0-17 years) such as experiencing violence, abuse, or neglect; witnessing violence in the home; and having a family member attempt or die by suicide (</w:t>
      </w:r>
      <w:proofErr w:type="spellStart"/>
      <w:r w:rsidRPr="00C712BA">
        <w:t>Felitti</w:t>
      </w:r>
      <w:proofErr w:type="spellEnd"/>
      <w:r w:rsidRPr="00C712BA">
        <w:t xml:space="preserve"> et al., 1998; National Child Traumatic Stress Network, 2019). </w:t>
      </w:r>
      <w:r w:rsidRPr="00C712BA" w:rsidR="009B3687">
        <w:rPr>
          <w:bCs/>
        </w:rPr>
        <w:t>There is a robust evidence base linking ACEs to a variety of poor health outcomes across the life span</w:t>
      </w:r>
      <w:r w:rsidRPr="00C712BA" w:rsidR="009B3687">
        <w:t xml:space="preserve">, including depression, alcohol </w:t>
      </w:r>
      <w:r w:rsidR="00E0541F">
        <w:t xml:space="preserve">misuse, </w:t>
      </w:r>
      <w:r w:rsidRPr="00C712BA" w:rsidR="009B3687">
        <w:t>and substance use disorder (</w:t>
      </w:r>
      <w:proofErr w:type="spellStart"/>
      <w:r w:rsidRPr="00C712BA" w:rsidR="009B3687">
        <w:t>Derenfinko</w:t>
      </w:r>
      <w:proofErr w:type="spellEnd"/>
      <w:r w:rsidRPr="00C712BA" w:rsidR="009B3687">
        <w:t xml:space="preserve"> et al., 2019; </w:t>
      </w:r>
      <w:r w:rsidR="008600E6">
        <w:t xml:space="preserve">Elm, 2020; </w:t>
      </w:r>
      <w:r w:rsidRPr="00C712BA" w:rsidR="009B3687">
        <w:t>Stein et al., 2017</w:t>
      </w:r>
      <w:r w:rsidR="00E0541F">
        <w:t>; Warne et al., 2017</w:t>
      </w:r>
      <w:r w:rsidRPr="00C712BA" w:rsidR="009B3687">
        <w:t xml:space="preserve">), suicide, chronic diseases such as cancer and heart disease </w:t>
      </w:r>
      <w:r w:rsidRPr="00C712BA" w:rsidR="009B3687">
        <w:rPr>
          <w:noProof/>
        </w:rPr>
        <w:t>(Felitti et al., 1998; Gilbert et al., 2015; Merrick et al., 2019)</w:t>
      </w:r>
      <w:r w:rsidRPr="00C712BA" w:rsidR="009B3687">
        <w:t xml:space="preserve">, and violence perpetration and victimization </w:t>
      </w:r>
      <w:r w:rsidRPr="00C712BA" w:rsidR="009B3687">
        <w:rPr>
          <w:noProof/>
        </w:rPr>
        <w:t>(Charles</w:t>
      </w:r>
      <w:r w:rsidRPr="00C712BA" w:rsidR="0013303C">
        <w:rPr>
          <w:noProof/>
        </w:rPr>
        <w:t xml:space="preserve"> et al., </w:t>
      </w:r>
      <w:r w:rsidRPr="00C712BA" w:rsidR="009B3687">
        <w:rPr>
          <w:noProof/>
        </w:rPr>
        <w:t>2003; Ports</w:t>
      </w:r>
      <w:r w:rsidRPr="00C712BA" w:rsidR="0013303C">
        <w:rPr>
          <w:noProof/>
        </w:rPr>
        <w:t xml:space="preserve"> et al., </w:t>
      </w:r>
      <w:r w:rsidRPr="00C712BA" w:rsidR="009B3687">
        <w:rPr>
          <w:noProof/>
        </w:rPr>
        <w:t>2016; Schofield</w:t>
      </w:r>
      <w:r w:rsidRPr="00C712BA" w:rsidR="0013303C">
        <w:rPr>
          <w:noProof/>
        </w:rPr>
        <w:t xml:space="preserve"> et al., </w:t>
      </w:r>
      <w:r w:rsidRPr="00C712BA" w:rsidR="009B3687">
        <w:rPr>
          <w:noProof/>
        </w:rPr>
        <w:t>2013)</w:t>
      </w:r>
      <w:r w:rsidRPr="00C712BA" w:rsidR="009B3687">
        <w:t xml:space="preserve">. </w:t>
      </w:r>
      <w:r w:rsidRPr="00C712BA">
        <w:rPr>
          <w:bCs/>
        </w:rPr>
        <w:t>The ongoing opioid epidemic is a complex and significant public health crisis that exposes children to opioid misuse, violence, and other ACEs, and challenges the ability of health and human service systems to mitigate the effects of opioid misuse and ACEs on children</w:t>
      </w:r>
      <w:r w:rsidRPr="00C712BA" w:rsidR="00123205">
        <w:rPr>
          <w:bCs/>
        </w:rPr>
        <w:t xml:space="preserve"> </w:t>
      </w:r>
      <w:r w:rsidRPr="00C712BA">
        <w:rPr>
          <w:bCs/>
        </w:rPr>
        <w:t>and families across the U.S. (</w:t>
      </w:r>
      <w:r w:rsidRPr="00C712BA">
        <w:rPr>
          <w:noProof/>
        </w:rPr>
        <w:t>Birnbaum et al., 2011; Meyer</w:t>
      </w:r>
      <w:r w:rsidRPr="00C712BA" w:rsidR="0013303C">
        <w:rPr>
          <w:noProof/>
        </w:rPr>
        <w:t xml:space="preserve"> et al., </w:t>
      </w:r>
      <w:r w:rsidRPr="00C712BA">
        <w:rPr>
          <w:noProof/>
        </w:rPr>
        <w:t>2014)</w:t>
      </w:r>
      <w:r w:rsidRPr="00C712BA">
        <w:t xml:space="preserve">. </w:t>
      </w:r>
    </w:p>
    <w:p w:rsidRPr="00C712BA" w:rsidR="003F151D" w:rsidP="00D84CAC" w:rsidRDefault="003F151D" w14:paraId="6EE08FC6" w14:textId="5EFD7DA0"/>
    <w:p w:rsidRPr="00C712BA" w:rsidR="001263D3" w:rsidP="00D84CAC" w:rsidRDefault="008B36D9" w14:paraId="3C98D152" w14:textId="66716C7C">
      <w:pPr>
        <w:pStyle w:val="CommentText"/>
      </w:pPr>
      <w:r w:rsidRPr="00C712BA">
        <w:rPr>
          <w:bCs/>
        </w:rPr>
        <w:t>AI/AN populations experience a disproportionate burden of opioid misuse and ACEs, and ACE-related health outcomes, including opioid overdose, sexual assault, and suicide attempts</w:t>
      </w:r>
      <w:r>
        <w:rPr>
          <w:bCs/>
        </w:rPr>
        <w:t xml:space="preserve"> </w:t>
      </w:r>
      <w:r w:rsidRPr="00C712BA" w:rsidR="009777AA">
        <w:rPr>
          <w:bCs/>
        </w:rPr>
        <w:t>(</w:t>
      </w:r>
      <w:r w:rsidRPr="00C712BA" w:rsidR="009B3687">
        <w:rPr>
          <w:bCs/>
        </w:rPr>
        <w:t xml:space="preserve">Anda et al., 2008; Breiding et al., 2014; Brockie et al., 2015; Dube et al., 2001; Jones et al., 2020; Kenny &amp; Singh, 2016; </w:t>
      </w:r>
      <w:proofErr w:type="spellStart"/>
      <w:r w:rsidRPr="00C712BA" w:rsidR="009B3687">
        <w:rPr>
          <w:bCs/>
        </w:rPr>
        <w:t>Mersky</w:t>
      </w:r>
      <w:proofErr w:type="spellEnd"/>
      <w:r w:rsidRPr="00C712BA" w:rsidR="009B3687">
        <w:rPr>
          <w:bCs/>
        </w:rPr>
        <w:t xml:space="preserve"> et al., 2018; Ports et al., 2016</w:t>
      </w:r>
      <w:r w:rsidR="006075B3">
        <w:rPr>
          <w:bCs/>
        </w:rPr>
        <w:t>;</w:t>
      </w:r>
      <w:r w:rsidRPr="006075B3" w:rsidR="006075B3">
        <w:rPr>
          <w:bCs/>
        </w:rPr>
        <w:t xml:space="preserve"> </w:t>
      </w:r>
      <w:r w:rsidR="006737BB">
        <w:rPr>
          <w:bCs/>
        </w:rPr>
        <w:t xml:space="preserve">Walls et al., 2020; </w:t>
      </w:r>
      <w:r w:rsidR="006075B3">
        <w:rPr>
          <w:bCs/>
        </w:rPr>
        <w:t>Warne et al., 2017</w:t>
      </w:r>
      <w:r w:rsidRPr="00C712BA" w:rsidR="009B3687">
        <w:rPr>
          <w:bCs/>
        </w:rPr>
        <w:t xml:space="preserve">). </w:t>
      </w:r>
      <w:r w:rsidRPr="00C712BA" w:rsidR="002422E8">
        <w:t>The nature and consequences of ACEs in Tribal communities is unique because of historical trauma and stark socioeconomic disparities</w:t>
      </w:r>
      <w:r w:rsidRPr="00C712BA" w:rsidR="000D0AD8">
        <w:t xml:space="preserve"> (</w:t>
      </w:r>
      <w:proofErr w:type="spellStart"/>
      <w:r w:rsidRPr="00C712BA" w:rsidR="00660B61">
        <w:t>Grayshield</w:t>
      </w:r>
      <w:proofErr w:type="spellEnd"/>
      <w:r w:rsidRPr="00C712BA" w:rsidR="00660B61">
        <w:t xml:space="preserve"> et al., 2015; Hamby et al., 20</w:t>
      </w:r>
      <w:r w:rsidRPr="00C712BA" w:rsidR="00143D30">
        <w:t>20</w:t>
      </w:r>
      <w:r w:rsidRPr="00C712BA" w:rsidR="000D0AD8">
        <w:t>)</w:t>
      </w:r>
      <w:r w:rsidRPr="00C712BA" w:rsidR="002422E8">
        <w:t>. In addition, there are gaps in the provision of adequate healthcare</w:t>
      </w:r>
      <w:r w:rsidRPr="00C712BA" w:rsidR="000D0AD8">
        <w:t xml:space="preserve"> (</w:t>
      </w:r>
      <w:r w:rsidRPr="00C712BA" w:rsidR="00143D30">
        <w:t>Whitesell et al., 2018</w:t>
      </w:r>
      <w:r w:rsidRPr="00C712BA" w:rsidR="000D0AD8">
        <w:t>)</w:t>
      </w:r>
      <w:r w:rsidRPr="00C712BA" w:rsidR="002422E8">
        <w:t xml:space="preserve">. Both the complex nature of trauma and lack of services contribute to higher rates of substance misuse in </w:t>
      </w:r>
      <w:r w:rsidRPr="00C712BA" w:rsidR="009A171D">
        <w:t>Tribal</w:t>
      </w:r>
      <w:r w:rsidRPr="00C712BA" w:rsidR="002422E8">
        <w:t xml:space="preserve"> communities (Whitesell et al</w:t>
      </w:r>
      <w:r w:rsidRPr="00C712BA" w:rsidR="005C253A">
        <w:t>.,</w:t>
      </w:r>
      <w:r w:rsidRPr="00C712BA" w:rsidR="002422E8">
        <w:t xml:space="preserve"> 2012).</w:t>
      </w:r>
      <w:r w:rsidRPr="00C712BA" w:rsidR="001D31D0">
        <w:rPr>
          <w:bCs/>
        </w:rPr>
        <w:t xml:space="preserve"> </w:t>
      </w:r>
      <w:r w:rsidRPr="00C712BA" w:rsidR="009B3687">
        <w:rPr>
          <w:bCs/>
        </w:rPr>
        <w:t>AI/AN populations have historically been understudied</w:t>
      </w:r>
      <w:r w:rsidR="0008335A">
        <w:rPr>
          <w:bCs/>
        </w:rPr>
        <w:t xml:space="preserve"> (Elm, 2020)</w:t>
      </w:r>
      <w:r w:rsidRPr="00C712BA" w:rsidR="009B3687">
        <w:rPr>
          <w:bCs/>
        </w:rPr>
        <w:t>.</w:t>
      </w:r>
      <w:r w:rsidRPr="00C712BA" w:rsidR="00895102">
        <w:rPr>
          <w:bCs/>
        </w:rPr>
        <w:t xml:space="preserve"> </w:t>
      </w:r>
    </w:p>
    <w:p w:rsidRPr="00C712BA" w:rsidR="001263D3" w:rsidP="00D84CAC" w:rsidRDefault="001263D3" w14:paraId="19BA8B9C" w14:textId="77777777">
      <w:pPr>
        <w:pStyle w:val="CommentText"/>
        <w:rPr>
          <w:bCs/>
        </w:rPr>
      </w:pPr>
    </w:p>
    <w:p w:rsidRPr="00C712BA" w:rsidR="001D31D0" w:rsidP="00D84CAC" w:rsidRDefault="001263D3" w14:paraId="5CB2A9E5" w14:textId="73D43532">
      <w:pPr>
        <w:pStyle w:val="CommentText"/>
        <w:rPr>
          <w:bCs/>
        </w:rPr>
      </w:pPr>
      <w:r w:rsidRPr="00C712BA">
        <w:rPr>
          <w:bCs/>
        </w:rPr>
        <w:t>This study</w:t>
      </w:r>
      <w:r w:rsidRPr="00C712BA" w:rsidR="001F12DC">
        <w:rPr>
          <w:bCs/>
        </w:rPr>
        <w:t xml:space="preserve"> addresses critical research gap</w:t>
      </w:r>
      <w:r w:rsidRPr="00C712BA">
        <w:rPr>
          <w:bCs/>
        </w:rPr>
        <w:t>s</w:t>
      </w:r>
      <w:r w:rsidRPr="00C712BA" w:rsidR="001F12DC">
        <w:rPr>
          <w:bCs/>
        </w:rPr>
        <w:t xml:space="preserve"> and extends efforts to prevent violence and other ACEs before they occur and to build evidence of effectiveness </w:t>
      </w:r>
      <w:r w:rsidRPr="00C712BA">
        <w:rPr>
          <w:bCs/>
        </w:rPr>
        <w:t xml:space="preserve">of community-level strategies and approaches at </w:t>
      </w:r>
      <w:r w:rsidRPr="00C712BA" w:rsidR="001F12DC">
        <w:rPr>
          <w:bCs/>
        </w:rPr>
        <w:t>the outer levels of the social ecology</w:t>
      </w:r>
      <w:r w:rsidR="004D7C62">
        <w:rPr>
          <w:bCs/>
        </w:rPr>
        <w:t xml:space="preserve"> to Tribal communities</w:t>
      </w:r>
      <w:r w:rsidRPr="00C712BA" w:rsidR="001F12DC">
        <w:rPr>
          <w:bCs/>
        </w:rPr>
        <w:t>.</w:t>
      </w:r>
      <w:r w:rsidRPr="00C712BA" w:rsidR="001D31D0">
        <w:rPr>
          <w:bCs/>
        </w:rPr>
        <w:t xml:space="preserve"> </w:t>
      </w:r>
      <w:r w:rsidRPr="00C712BA" w:rsidR="001D31D0">
        <w:t xml:space="preserve">Even though AI/AN populations are vulnerable to ACEs and opioid misuse, Tribal communities are resilient with many cultural strengths and protective factors that might create the conditions for safe, stable, and nurturing relationships and environments. Potential community-level protective factors such as close networks, intergenerational connection to Tribal </w:t>
      </w:r>
      <w:r w:rsidR="00C65D27">
        <w:t>E</w:t>
      </w:r>
      <w:r w:rsidRPr="00C712BA" w:rsidR="001D31D0">
        <w:t xml:space="preserve">lders, spirituality, and collective healing approaches have endured over time to support health and wellbeing </w:t>
      </w:r>
      <w:r w:rsidRPr="00C712BA" w:rsidR="001D31D0">
        <w:rPr>
          <w:noProof/>
        </w:rPr>
        <w:t xml:space="preserve">(Antone &amp; Arambula Solomon, 2016; </w:t>
      </w:r>
      <w:r w:rsidR="00EB3CE1">
        <w:rPr>
          <w:noProof/>
        </w:rPr>
        <w:t>Elm et al</w:t>
      </w:r>
      <w:r w:rsidR="004C1A1C">
        <w:rPr>
          <w:noProof/>
        </w:rPr>
        <w:t>.</w:t>
      </w:r>
      <w:r w:rsidR="00EB3CE1">
        <w:rPr>
          <w:noProof/>
        </w:rPr>
        <w:t xml:space="preserve">, </w:t>
      </w:r>
      <w:r w:rsidR="004C1A1C">
        <w:rPr>
          <w:noProof/>
        </w:rPr>
        <w:t xml:space="preserve">2016; </w:t>
      </w:r>
      <w:r w:rsidRPr="00C712BA" w:rsidR="001D31D0">
        <w:rPr>
          <w:noProof/>
        </w:rPr>
        <w:t>Henson</w:t>
      </w:r>
      <w:r w:rsidRPr="00C712BA" w:rsidR="0013303C">
        <w:rPr>
          <w:noProof/>
        </w:rPr>
        <w:t xml:space="preserve"> et al., </w:t>
      </w:r>
      <w:r w:rsidRPr="00C712BA" w:rsidR="001D31D0">
        <w:rPr>
          <w:noProof/>
        </w:rPr>
        <w:t>2017; Wright, 2013).</w:t>
      </w:r>
      <w:r w:rsidRPr="00C712BA" w:rsidR="001D31D0">
        <w:t xml:space="preserve"> There is a need to understand and capture </w:t>
      </w:r>
      <w:r w:rsidRPr="00C712BA">
        <w:t>a</w:t>
      </w:r>
      <w:r w:rsidRPr="00C712BA" w:rsidR="001D31D0">
        <w:t xml:space="preserve"> range of community</w:t>
      </w:r>
      <w:r w:rsidRPr="00C712BA">
        <w:t>-level</w:t>
      </w:r>
      <w:r w:rsidRPr="00C712BA" w:rsidR="001D31D0">
        <w:t xml:space="preserve"> protective factors within </w:t>
      </w:r>
      <w:r w:rsidRPr="00C712BA" w:rsidR="009A171D">
        <w:t>Tribal</w:t>
      </w:r>
      <w:r w:rsidRPr="00C712BA" w:rsidR="001D31D0">
        <w:t xml:space="preserve"> communities</w:t>
      </w:r>
      <w:r w:rsidR="00092EC6">
        <w:t xml:space="preserve"> (Elm</w:t>
      </w:r>
      <w:r w:rsidR="00EF7829">
        <w:t xml:space="preserve"> et al., </w:t>
      </w:r>
      <w:r w:rsidR="00666535">
        <w:t>2019)</w:t>
      </w:r>
      <w:r w:rsidRPr="00C712BA" w:rsidR="001D31D0">
        <w:t xml:space="preserve">. This </w:t>
      </w:r>
      <w:r w:rsidRPr="00C712BA">
        <w:t xml:space="preserve">study </w:t>
      </w:r>
      <w:r w:rsidR="00C1090D">
        <w:t xml:space="preserve">will </w:t>
      </w:r>
      <w:r w:rsidRPr="00C712BA">
        <w:t>work with</w:t>
      </w:r>
      <w:r w:rsidRPr="00C712BA" w:rsidR="001D31D0">
        <w:t xml:space="preserve"> </w:t>
      </w:r>
      <w:r w:rsidRPr="00C712BA" w:rsidR="009A171D">
        <w:t>Tribal</w:t>
      </w:r>
      <w:r w:rsidRPr="00C712BA" w:rsidR="001D31D0">
        <w:t xml:space="preserve"> communities and regional liaisons to honor local voices and cultural protocols to learn best practices that are beneficial to </w:t>
      </w:r>
      <w:r w:rsidRPr="00C712BA" w:rsidR="009A171D">
        <w:t>Tribal</w:t>
      </w:r>
      <w:r w:rsidRPr="00C712BA" w:rsidR="0013303C">
        <w:t xml:space="preserve"> </w:t>
      </w:r>
      <w:r w:rsidRPr="00C712BA" w:rsidR="001D31D0">
        <w:t>communities in preventing ACEs and opioid misuse.</w:t>
      </w:r>
    </w:p>
    <w:p w:rsidRPr="00C712BA" w:rsidR="00895102" w:rsidP="00D84CAC" w:rsidRDefault="00895102" w14:paraId="259654DA" w14:textId="1342078A">
      <w:pPr>
        <w:pStyle w:val="CommentText"/>
      </w:pPr>
    </w:p>
    <w:p w:rsidRPr="00C712BA" w:rsidR="001D31D0" w:rsidP="00143D30" w:rsidRDefault="00C1090D" w14:paraId="538D64AC" w14:textId="45B3DD7E">
      <w:pPr>
        <w:pStyle w:val="CommentText"/>
      </w:pPr>
      <w:r>
        <w:rPr>
          <w:bCs/>
        </w:rPr>
        <w:t xml:space="preserve">This study </w:t>
      </w:r>
      <w:r w:rsidRPr="00C712BA" w:rsidR="001263D3">
        <w:rPr>
          <w:bCs/>
        </w:rPr>
        <w:t xml:space="preserve">will use qualitative methods </w:t>
      </w:r>
      <w:r w:rsidRPr="00C712BA" w:rsidR="001F12DC">
        <w:rPr>
          <w:bCs/>
        </w:rPr>
        <w:t>to conduct semi-structured focus groups</w:t>
      </w:r>
      <w:r w:rsidRPr="00C712BA" w:rsidR="0013303C">
        <w:rPr>
          <w:bCs/>
        </w:rPr>
        <w:t>/</w:t>
      </w:r>
      <w:r w:rsidRPr="00C712BA" w:rsidR="001F12DC">
        <w:rPr>
          <w:bCs/>
        </w:rPr>
        <w:t xml:space="preserve">interviews </w:t>
      </w:r>
      <w:r w:rsidR="00FF51FD">
        <w:rPr>
          <w:bCs/>
        </w:rPr>
        <w:t>along with a brief demographic</w:t>
      </w:r>
      <w:r w:rsidRPr="00C712BA" w:rsidR="00123205">
        <w:rPr>
          <w:bCs/>
        </w:rPr>
        <w:t xml:space="preserve"> survey </w:t>
      </w:r>
      <w:r w:rsidRPr="00C712BA" w:rsidR="001F12DC">
        <w:rPr>
          <w:bCs/>
        </w:rPr>
        <w:t xml:space="preserve">with </w:t>
      </w:r>
      <w:r w:rsidRPr="00C712BA" w:rsidR="00C920D0">
        <w:rPr>
          <w:bCs/>
        </w:rPr>
        <w:t>respondents</w:t>
      </w:r>
      <w:r w:rsidRPr="00C712BA" w:rsidR="001F12DC">
        <w:rPr>
          <w:bCs/>
        </w:rPr>
        <w:t xml:space="preserve"> (e.g., young adults</w:t>
      </w:r>
      <w:r w:rsidR="00C65D27">
        <w:rPr>
          <w:bCs/>
        </w:rPr>
        <w:t xml:space="preserve"> </w:t>
      </w:r>
      <w:r w:rsidR="00F40D31">
        <w:rPr>
          <w:bCs/>
        </w:rPr>
        <w:t xml:space="preserve">and </w:t>
      </w:r>
      <w:r w:rsidR="00C65D27">
        <w:rPr>
          <w:bCs/>
        </w:rPr>
        <w:t>Tribal E</w:t>
      </w:r>
      <w:r w:rsidRPr="00C712BA" w:rsidR="001F12DC">
        <w:rPr>
          <w:bCs/>
        </w:rPr>
        <w:t xml:space="preserve">lders) </w:t>
      </w:r>
      <w:r w:rsidRPr="00C712BA" w:rsidR="00F4352D">
        <w:rPr>
          <w:bCs/>
        </w:rPr>
        <w:t xml:space="preserve">affected by the opioid epidemic </w:t>
      </w:r>
      <w:r w:rsidRPr="00C712BA" w:rsidR="001F12DC">
        <w:rPr>
          <w:bCs/>
        </w:rPr>
        <w:t xml:space="preserve">in </w:t>
      </w:r>
      <w:r w:rsidRPr="00C712BA" w:rsidR="001263D3">
        <w:rPr>
          <w:bCs/>
        </w:rPr>
        <w:t>Tribal</w:t>
      </w:r>
      <w:r w:rsidRPr="00C712BA" w:rsidR="0013303C">
        <w:rPr>
          <w:bCs/>
        </w:rPr>
        <w:t xml:space="preserve"> </w:t>
      </w:r>
      <w:r w:rsidRPr="00C712BA" w:rsidR="001F12DC">
        <w:rPr>
          <w:bCs/>
        </w:rPr>
        <w:t>urban and rural</w:t>
      </w:r>
      <w:r w:rsidR="008B36D9">
        <w:rPr>
          <w:bCs/>
        </w:rPr>
        <w:t>/reservation</w:t>
      </w:r>
      <w:r w:rsidRPr="00C712BA" w:rsidR="001F12DC">
        <w:rPr>
          <w:bCs/>
        </w:rPr>
        <w:t xml:space="preserve"> communities.</w:t>
      </w:r>
      <w:r w:rsidRPr="00C712BA" w:rsidR="006E24CF">
        <w:rPr>
          <w:bCs/>
        </w:rPr>
        <w:t xml:space="preserve"> </w:t>
      </w:r>
      <w:r w:rsidRPr="00C712BA" w:rsidR="001263D3">
        <w:rPr>
          <w:bCs/>
        </w:rPr>
        <w:t>CDC</w:t>
      </w:r>
      <w:r>
        <w:rPr>
          <w:bCs/>
        </w:rPr>
        <w:t xml:space="preserve"> </w:t>
      </w:r>
      <w:r w:rsidRPr="00C712BA" w:rsidR="001263D3">
        <w:rPr>
          <w:bCs/>
        </w:rPr>
        <w:t>intends to use findings from this study to</w:t>
      </w:r>
      <w:r w:rsidRPr="00C712BA" w:rsidR="001F12DC">
        <w:rPr>
          <w:bCs/>
        </w:rPr>
        <w:t xml:space="preserve"> </w:t>
      </w:r>
      <w:r w:rsidRPr="00C712BA" w:rsidR="001263D3">
        <w:rPr>
          <w:bCs/>
        </w:rPr>
        <w:t xml:space="preserve">strengthen violence prevention efforts in impacted communities and geographic areas. We anticipate this study will </w:t>
      </w:r>
      <w:r w:rsidRPr="00C712BA" w:rsidR="001F12DC">
        <w:rPr>
          <w:bCs/>
        </w:rPr>
        <w:t xml:space="preserve">inform </w:t>
      </w:r>
      <w:r w:rsidRPr="00C712BA" w:rsidR="001263D3">
        <w:rPr>
          <w:bCs/>
        </w:rPr>
        <w:t xml:space="preserve">primary </w:t>
      </w:r>
      <w:r w:rsidRPr="00C712BA" w:rsidR="001F12DC">
        <w:rPr>
          <w:bCs/>
        </w:rPr>
        <w:t xml:space="preserve">prevention </w:t>
      </w:r>
      <w:r w:rsidRPr="00C712BA" w:rsidR="001263D3">
        <w:rPr>
          <w:bCs/>
        </w:rPr>
        <w:t>efforts with</w:t>
      </w:r>
      <w:r w:rsidRPr="00C712BA" w:rsidR="001F12DC">
        <w:rPr>
          <w:bCs/>
        </w:rPr>
        <w:t xml:space="preserve">in </w:t>
      </w:r>
      <w:r w:rsidRPr="00C712BA" w:rsidR="001263D3">
        <w:rPr>
          <w:bCs/>
        </w:rPr>
        <w:t>Tribal communities</w:t>
      </w:r>
      <w:r w:rsidRPr="00C712BA" w:rsidR="001F12DC">
        <w:rPr>
          <w:bCs/>
        </w:rPr>
        <w:t xml:space="preserve"> related to the intersections of violence, ACEs, and opioid misuse </w:t>
      </w:r>
      <w:proofErr w:type="gramStart"/>
      <w:r w:rsidRPr="00C712BA" w:rsidR="001F12DC">
        <w:rPr>
          <w:bCs/>
        </w:rPr>
        <w:t>in order to</w:t>
      </w:r>
      <w:proofErr w:type="gramEnd"/>
      <w:r w:rsidRPr="00C712BA" w:rsidR="001F12DC">
        <w:rPr>
          <w:bCs/>
        </w:rPr>
        <w:t xml:space="preserve"> provide safe, stable, and nurturing relationships and environments for all AI/AN children and </w:t>
      </w:r>
      <w:r w:rsidRPr="00C712BA" w:rsidR="001F12DC">
        <w:rPr>
          <w:bCs/>
        </w:rPr>
        <w:lastRenderedPageBreak/>
        <w:t>their families</w:t>
      </w:r>
      <w:r w:rsidRPr="00C712BA" w:rsidR="001F12DC">
        <w:t>.</w:t>
      </w:r>
      <w:r w:rsidRPr="00C712BA" w:rsidR="001D31D0">
        <w:t xml:space="preserve"> </w:t>
      </w:r>
      <w:r w:rsidRPr="00C712BA" w:rsidR="00143D30">
        <w:t>Th</w:t>
      </w:r>
      <w:r w:rsidRPr="00C712BA" w:rsidR="00923F54">
        <w:t>e</w:t>
      </w:r>
      <w:r w:rsidRPr="00C712BA" w:rsidR="00143D30">
        <w:t xml:space="preserve"> study’s focus on Tribal communities helps fill gaps in prior </w:t>
      </w:r>
      <w:r w:rsidRPr="00C712BA" w:rsidR="005E3DBD">
        <w:t xml:space="preserve">(e.g., Feder at al., 2018) and current research </w:t>
      </w:r>
      <w:r w:rsidRPr="00C712BA" w:rsidR="00143D30">
        <w:t>such as the CDC and ACF formative stud</w:t>
      </w:r>
      <w:r w:rsidRPr="00C712BA" w:rsidR="0079006B">
        <w:t>ies</w:t>
      </w:r>
      <w:r w:rsidRPr="00C712BA" w:rsidR="00143D30">
        <w:t xml:space="preserve"> on opioids and their impact on children</w:t>
      </w:r>
      <w:r w:rsidRPr="00C712BA" w:rsidR="0079006B">
        <w:t xml:space="preserve"> </w:t>
      </w:r>
      <w:r w:rsidRPr="00C712BA" w:rsidR="00143D30">
        <w:t>and families</w:t>
      </w:r>
      <w:r w:rsidRPr="00C712BA" w:rsidR="0079006B">
        <w:t xml:space="preserve"> that do not contain adequate information on </w:t>
      </w:r>
      <w:r w:rsidRPr="00C712BA" w:rsidR="00773793">
        <w:t>AI/AN</w:t>
      </w:r>
      <w:r w:rsidRPr="00C712BA" w:rsidR="0079006B">
        <w:t xml:space="preserve"> populations. </w:t>
      </w:r>
      <w:r w:rsidRPr="00C712BA" w:rsidR="005E7C34">
        <w:t>Identifying c</w:t>
      </w:r>
      <w:r w:rsidRPr="00C712BA" w:rsidR="001D31D0">
        <w:rPr>
          <w:bCs/>
        </w:rPr>
        <w:t xml:space="preserve">ommunity-level prevention </w:t>
      </w:r>
      <w:r w:rsidRPr="00C712BA" w:rsidR="001D31D0">
        <w:t>strategies can work to improve the conditions in which children and families live and may be effective at protecting children from harm while also disrupting potential developmental trajectories toward substance misuse, victimization and perpetration of violence, and poor health (C</w:t>
      </w:r>
      <w:r w:rsidRPr="00C712BA" w:rsidR="00B83D17">
        <w:t>DC</w:t>
      </w:r>
      <w:r w:rsidRPr="00C712BA" w:rsidR="001D31D0">
        <w:t>, 2019).</w:t>
      </w:r>
      <w:r w:rsidRPr="00C712BA" w:rsidR="003F47F2">
        <w:t xml:space="preserve"> We anticipate that this </w:t>
      </w:r>
      <w:r w:rsidR="0062461B">
        <w:t xml:space="preserve">qualitative </w:t>
      </w:r>
      <w:r w:rsidRPr="00C712BA" w:rsidR="003F47F2">
        <w:t xml:space="preserve">study will explore barriers and facilitators that hinder or promote ACEs and opioid misuse prevention at a much deeper level than existing quantitative data collections </w:t>
      </w:r>
      <w:r w:rsidRPr="00C712BA" w:rsidR="005E3DBD">
        <w:t xml:space="preserve">(e.g., </w:t>
      </w:r>
      <w:r w:rsidRPr="00C712BA" w:rsidR="00923F54">
        <w:t xml:space="preserve">Sapp &amp; Hooten, 2019; </w:t>
      </w:r>
      <w:proofErr w:type="spellStart"/>
      <w:r w:rsidRPr="00C712BA" w:rsidR="005E3DBD">
        <w:t>Romanowicz</w:t>
      </w:r>
      <w:proofErr w:type="spellEnd"/>
      <w:r w:rsidRPr="00C712BA" w:rsidR="005E3DBD">
        <w:t xml:space="preserve"> et al., 2019)</w:t>
      </w:r>
      <w:r w:rsidRPr="00C712BA" w:rsidR="003F47F2">
        <w:t>. Only qualitative data collections can explore the “Whys” and “</w:t>
      </w:r>
      <w:proofErr w:type="spellStart"/>
      <w:r w:rsidRPr="00C712BA" w:rsidR="00876B02">
        <w:t>Hows</w:t>
      </w:r>
      <w:proofErr w:type="spellEnd"/>
      <w:r w:rsidRPr="00C712BA" w:rsidR="003F47F2">
        <w:t>” of the successes and failures of ACEs and opioid misuse prevention efforts, and how the lives of people are directly impacted by specific programs and prevention activities. This ICR describes methods that will be used to obtain detailed in-depth assessment of prevention efforts among AI/AN pe</w:t>
      </w:r>
      <w:r w:rsidRPr="00C712BA" w:rsidR="00724709">
        <w:t>ople</w:t>
      </w:r>
      <w:r w:rsidRPr="00C712BA" w:rsidR="003F47F2">
        <w:t xml:space="preserve"> living in urban and rural</w:t>
      </w:r>
      <w:r w:rsidR="008B36D9">
        <w:t>/reservation</w:t>
      </w:r>
      <w:r w:rsidRPr="00C712BA" w:rsidR="003F47F2">
        <w:t xml:space="preserve"> Tribal communities in the U</w:t>
      </w:r>
      <w:r w:rsidRPr="00C712BA" w:rsidR="00923F54">
        <w:t>.</w:t>
      </w:r>
      <w:r w:rsidRPr="00C712BA" w:rsidR="003F47F2">
        <w:t xml:space="preserve">S.  </w:t>
      </w:r>
    </w:p>
    <w:p w:rsidRPr="00C712BA" w:rsidR="00D231E5" w:rsidP="00D84CAC" w:rsidRDefault="00D231E5" w14:paraId="1628665E" w14:textId="26EBD6CD">
      <w:pPr>
        <w:pStyle w:val="CommentText"/>
      </w:pPr>
    </w:p>
    <w:p w:rsidR="00A45878" w:rsidP="00A45878" w:rsidRDefault="00A45878" w14:paraId="320BE1DE" w14:textId="77777777">
      <w:pPr>
        <w:pStyle w:val="NormalSS"/>
        <w:spacing w:after="120"/>
        <w:ind w:firstLine="0"/>
      </w:pPr>
      <w:r w:rsidRPr="00F46586">
        <w:t>Authority for CDC’s N</w:t>
      </w:r>
      <w:r>
        <w:t xml:space="preserve">ational </w:t>
      </w:r>
      <w:r w:rsidRPr="00F46586">
        <w:t>C</w:t>
      </w:r>
      <w:r>
        <w:t xml:space="preserve">enter for </w:t>
      </w:r>
      <w:r w:rsidRPr="00F46586">
        <w:t>I</w:t>
      </w:r>
      <w:r>
        <w:t xml:space="preserve">njury </w:t>
      </w:r>
      <w:r w:rsidRPr="00F46586">
        <w:t>P</w:t>
      </w:r>
      <w:r>
        <w:t xml:space="preserve">revention and </w:t>
      </w:r>
      <w:r w:rsidRPr="00F46586">
        <w:t>C</w:t>
      </w:r>
      <w:r>
        <w:t>ontrol (NCIPC)</w:t>
      </w:r>
      <w:r w:rsidRPr="00F46586">
        <w:t xml:space="preserve"> to collect these data is granted by Section 301 of the Public Health Service Act (42 U.S.C. 241). This act gives federal health agencies, such as CDC, broad authority to collect data and </w:t>
      </w:r>
      <w:r>
        <w:t>participate in</w:t>
      </w:r>
      <w:r w:rsidRPr="00F46586">
        <w:t xml:space="preserve"> other public health activities, including this type of </w:t>
      </w:r>
      <w:r>
        <w:t>program implementation evaluation</w:t>
      </w:r>
      <w:r w:rsidRPr="00C62FC2">
        <w:t xml:space="preserve"> </w:t>
      </w:r>
      <w:r w:rsidRPr="00A10C7C">
        <w:t>(</w:t>
      </w:r>
      <w:r w:rsidRPr="00B97E99">
        <w:t>Attachment</w:t>
      </w:r>
      <w:r w:rsidRPr="00A10C7C">
        <w:t xml:space="preserve"> </w:t>
      </w:r>
      <w:r>
        <w:t xml:space="preserve">A). </w:t>
      </w:r>
    </w:p>
    <w:p w:rsidRPr="00C712BA" w:rsidR="003F151D" w:rsidP="00D84CAC" w:rsidRDefault="003F151D" w14:paraId="08848951" w14:textId="28E74B3A">
      <w:pPr>
        <w:rPr>
          <w:bCs/>
        </w:rPr>
      </w:pPr>
    </w:p>
    <w:p w:rsidRPr="00C712BA" w:rsidR="00972DEF" w:rsidP="00D84CAC" w:rsidRDefault="00972DEF" w14:paraId="256D8DB0" w14:textId="7BE94876">
      <w:pPr>
        <w:tabs>
          <w:tab w:val="left" w:pos="360"/>
        </w:tabs>
        <w:autoSpaceDE w:val="0"/>
        <w:autoSpaceDN w:val="0"/>
        <w:adjustRightInd w:val="0"/>
      </w:pPr>
      <w:r w:rsidRPr="00C712BA">
        <w:rPr>
          <w:b/>
          <w:bCs/>
        </w:rPr>
        <w:t xml:space="preserve">A.2. </w:t>
      </w:r>
      <w:r w:rsidRPr="00C712BA" w:rsidR="00F64FA1">
        <w:rPr>
          <w:b/>
          <w:bCs/>
        </w:rPr>
        <w:t xml:space="preserve">    </w:t>
      </w:r>
      <w:r w:rsidRPr="00C712BA">
        <w:rPr>
          <w:b/>
          <w:bCs/>
        </w:rPr>
        <w:t xml:space="preserve">Purpose and Use of Information Collection </w:t>
      </w:r>
    </w:p>
    <w:p w:rsidRPr="00C712BA" w:rsidR="00972DEF" w:rsidP="00D84CAC" w:rsidRDefault="00972DEF" w14:paraId="256D8DB1" w14:textId="53D6847F">
      <w:pPr>
        <w:autoSpaceDE w:val="0"/>
        <w:autoSpaceDN w:val="0"/>
        <w:adjustRightInd w:val="0"/>
      </w:pPr>
    </w:p>
    <w:p w:rsidRPr="00C712BA" w:rsidR="008B5AE3" w:rsidP="008B5AE3" w:rsidRDefault="006613C5" w14:paraId="642C99D3" w14:textId="1E2CC963">
      <w:r w:rsidRPr="00C712BA">
        <w:t xml:space="preserve">The </w:t>
      </w:r>
      <w:r w:rsidRPr="00C712BA" w:rsidR="00006B93">
        <w:t>purpose of this ICR</w:t>
      </w:r>
      <w:r w:rsidRPr="00C712BA">
        <w:t xml:space="preserve"> </w:t>
      </w:r>
      <w:r w:rsidRPr="00C712BA" w:rsidR="005241BB">
        <w:t>is to enable CDC</w:t>
      </w:r>
      <w:r w:rsidR="004D7C62">
        <w:t xml:space="preserve"> </w:t>
      </w:r>
      <w:r w:rsidRPr="00C712BA" w:rsidR="005241BB">
        <w:t xml:space="preserve">NCIPC to conduct formative qualitative studies to identify community-level protective factors (e.g., intergenerational connection to Tribal </w:t>
      </w:r>
      <w:r w:rsidR="008B36D9">
        <w:t>E</w:t>
      </w:r>
      <w:r w:rsidRPr="00C712BA" w:rsidR="005241BB">
        <w:t>lders) and primary prevention strategies across a range of Tribal communities (i.e., urban and rural</w:t>
      </w:r>
      <w:r w:rsidR="00F40D31">
        <w:t xml:space="preserve"> </w:t>
      </w:r>
      <w:r w:rsidR="008B36D9">
        <w:t>/reservation</w:t>
      </w:r>
      <w:r w:rsidRPr="00C712BA" w:rsidR="005241BB">
        <w:t>) to prevent ACEs and opioid misuse</w:t>
      </w:r>
      <w:r w:rsidR="00BA7D0A">
        <w:t xml:space="preserve">. </w:t>
      </w:r>
      <w:r w:rsidRPr="00C712BA" w:rsidR="008B5AE3">
        <w:t>Populations for this data collection include AI/AN</w:t>
      </w:r>
      <w:r w:rsidRPr="00C712BA" w:rsidR="002616D2">
        <w:t xml:space="preserve"> people</w:t>
      </w:r>
      <w:r w:rsidRPr="00C712BA" w:rsidR="008B5AE3">
        <w:t xml:space="preserve"> </w:t>
      </w:r>
      <w:r w:rsidRPr="00C712BA" w:rsidR="00182D0F">
        <w:t xml:space="preserve">(i.e., young adults, parents and other caregivers, Tribal </w:t>
      </w:r>
      <w:r w:rsidR="00926019">
        <w:t>L</w:t>
      </w:r>
      <w:r w:rsidRPr="00C712BA" w:rsidR="00182D0F">
        <w:t xml:space="preserve">eaders and </w:t>
      </w:r>
      <w:r w:rsidR="00926019">
        <w:t>E</w:t>
      </w:r>
      <w:r w:rsidRPr="00C712BA" w:rsidR="00182D0F">
        <w:t xml:space="preserve">lders, community-based </w:t>
      </w:r>
      <w:r w:rsidR="00926019">
        <w:t xml:space="preserve">service </w:t>
      </w:r>
      <w:r w:rsidRPr="00C712BA" w:rsidR="00182D0F">
        <w:t>providers</w:t>
      </w:r>
      <w:r w:rsidR="00926019">
        <w:t xml:space="preserve">, </w:t>
      </w:r>
      <w:r w:rsidR="00F22B22">
        <w:t xml:space="preserve">and </w:t>
      </w:r>
      <w:r w:rsidR="00926019">
        <w:t>community leaders</w:t>
      </w:r>
      <w:r w:rsidRPr="00C712BA" w:rsidR="00182D0F">
        <w:t xml:space="preserve">) </w:t>
      </w:r>
      <w:r w:rsidRPr="00C712BA" w:rsidR="008B5AE3">
        <w:t xml:space="preserve">living in urban and rural communities that are </w:t>
      </w:r>
      <w:r w:rsidR="0012001D">
        <w:t>affected</w:t>
      </w:r>
      <w:r w:rsidRPr="00C712BA" w:rsidR="008B5AE3">
        <w:t xml:space="preserve"> by the U</w:t>
      </w:r>
      <w:r w:rsidRPr="00C712BA" w:rsidR="000B1CAF">
        <w:t>.</w:t>
      </w:r>
      <w:r w:rsidRPr="00C712BA" w:rsidR="008B5AE3">
        <w:t>S</w:t>
      </w:r>
      <w:r w:rsidRPr="00C712BA" w:rsidR="000B1CAF">
        <w:t>.</w:t>
      </w:r>
      <w:r w:rsidRPr="00C712BA" w:rsidR="008B5AE3">
        <w:t xml:space="preserve"> opioid epidemic. </w:t>
      </w:r>
    </w:p>
    <w:p w:rsidRPr="00C712BA" w:rsidR="008B5AE3" w:rsidP="008B5AE3" w:rsidRDefault="008B5AE3" w14:paraId="50F356B8" w14:textId="77777777"/>
    <w:p w:rsidRPr="00C712BA" w:rsidR="00487E77" w:rsidP="00D84CAC" w:rsidRDefault="008B5AE3" w14:paraId="2C15C3C5" w14:textId="01999772">
      <w:r w:rsidRPr="00C712BA">
        <w:t xml:space="preserve">Results from this data collection will be communicated to relevant public health officials and community stakeholders in the study locations. Relevant public health officials might include local health department </w:t>
      </w:r>
      <w:r w:rsidRPr="00C712BA" w:rsidR="00115E85">
        <w:t>personnel involved</w:t>
      </w:r>
      <w:r w:rsidRPr="00C712BA">
        <w:t xml:space="preserve"> with violence prevention and opioid misuse prevention, care, </w:t>
      </w:r>
      <w:r w:rsidRPr="00C712BA" w:rsidR="000B1CAF">
        <w:t xml:space="preserve">and </w:t>
      </w:r>
      <w:r w:rsidRPr="00C712BA">
        <w:t xml:space="preserve">treatment. Relevant community stakeholders might include non-governmental healthcare </w:t>
      </w:r>
      <w:bookmarkStart w:name="_Hlk68105269" w:id="4"/>
      <w:r w:rsidR="009153B5">
        <w:t xml:space="preserve">and social </w:t>
      </w:r>
      <w:bookmarkEnd w:id="4"/>
      <w:r w:rsidRPr="00C712BA">
        <w:t xml:space="preserve">service providers, Tribal entities and </w:t>
      </w:r>
      <w:r w:rsidR="00216B6D">
        <w:t>L</w:t>
      </w:r>
      <w:r w:rsidRPr="00C712BA">
        <w:t xml:space="preserve">eaders, or staff of community-based organizations serving </w:t>
      </w:r>
      <w:r w:rsidRPr="00C712BA" w:rsidR="009A171D">
        <w:t>Tribal</w:t>
      </w:r>
      <w:r w:rsidRPr="00C712BA">
        <w:t xml:space="preserve"> communities</w:t>
      </w:r>
      <w:r w:rsidRPr="00C712BA" w:rsidR="00487E77">
        <w:t xml:space="preserve"> (see </w:t>
      </w:r>
      <w:r w:rsidRPr="00C712BA" w:rsidR="00487E77">
        <w:rPr>
          <w:b/>
          <w:bCs/>
        </w:rPr>
        <w:t>Table 1</w:t>
      </w:r>
      <w:r w:rsidRPr="00C712BA" w:rsidR="009A3552">
        <w:rPr>
          <w:b/>
          <w:bCs/>
        </w:rPr>
        <w:t xml:space="preserve">. </w:t>
      </w:r>
      <w:r w:rsidRPr="00C712BA" w:rsidR="00C920D0">
        <w:rPr>
          <w:b/>
          <w:bCs/>
        </w:rPr>
        <w:t xml:space="preserve">Respondents </w:t>
      </w:r>
      <w:r w:rsidRPr="00C712BA" w:rsidR="009A3552">
        <w:rPr>
          <w:b/>
          <w:bCs/>
        </w:rPr>
        <w:t xml:space="preserve">and Data Collection by </w:t>
      </w:r>
      <w:r w:rsidRPr="00C712BA" w:rsidR="00C920D0">
        <w:rPr>
          <w:b/>
          <w:bCs/>
        </w:rPr>
        <w:t xml:space="preserve">Tribal </w:t>
      </w:r>
      <w:r w:rsidRPr="00C712BA" w:rsidR="009A3552">
        <w:rPr>
          <w:b/>
          <w:bCs/>
        </w:rPr>
        <w:t>Community</w:t>
      </w:r>
      <w:r w:rsidRPr="00C712BA" w:rsidR="00487E77">
        <w:t>)</w:t>
      </w:r>
      <w:r w:rsidRPr="00C712BA">
        <w:t xml:space="preserve">. These local public health officials and community stakeholders will use the study results to guide strategies to further strengthen their local prevention efforts within their regions. </w:t>
      </w:r>
    </w:p>
    <w:p w:rsidRPr="00C712BA" w:rsidR="00487E77" w:rsidP="00D84CAC" w:rsidRDefault="00487E77" w14:paraId="6EC4C428" w14:textId="77777777"/>
    <w:p w:rsidRPr="00C712BA" w:rsidR="006613C5" w:rsidP="00D84CAC" w:rsidRDefault="00487E77" w14:paraId="604FAD32" w14:textId="320A4DA2">
      <w:r w:rsidRPr="00C712BA">
        <w:rPr>
          <w:rFonts w:eastAsia="MS Mincho"/>
        </w:rPr>
        <w:t xml:space="preserve">Data collection methods used in this qualitative study </w:t>
      </w:r>
      <w:r w:rsidRPr="00C712BA">
        <w:t>include well</w:t>
      </w:r>
      <w:r w:rsidRPr="00C712BA" w:rsidR="000B1CAF">
        <w:t>-</w:t>
      </w:r>
      <w:r w:rsidRPr="00C712BA">
        <w:t>established qualitative methods, including in-depth open-ended individual interviews</w:t>
      </w:r>
      <w:r w:rsidRPr="00C712BA" w:rsidR="00773793">
        <w:t xml:space="preserve"> and </w:t>
      </w:r>
      <w:bookmarkStart w:name="_Hlk68786297" w:id="5"/>
      <w:r w:rsidRPr="00C712BA" w:rsidR="00773793">
        <w:t>focus groups</w:t>
      </w:r>
      <w:r w:rsidR="0043457A">
        <w:t xml:space="preserve"> and a brief demographic survey</w:t>
      </w:r>
      <w:r w:rsidR="002B4FC0">
        <w:rPr>
          <w:rFonts w:eastAsiaTheme="minorHAnsi"/>
        </w:rPr>
        <w:t xml:space="preserve">, </w:t>
      </w:r>
      <w:bookmarkEnd w:id="5"/>
      <w:r w:rsidRPr="00C712BA">
        <w:rPr>
          <w:rFonts w:eastAsiaTheme="minorHAnsi"/>
        </w:rPr>
        <w:t>using pen and paper</w:t>
      </w:r>
      <w:r w:rsidRPr="00C712BA" w:rsidR="000B1CAF">
        <w:rPr>
          <w:rFonts w:eastAsiaTheme="minorHAnsi"/>
        </w:rPr>
        <w:t xml:space="preserve"> (in person</w:t>
      </w:r>
      <w:r w:rsidR="00C61070">
        <w:rPr>
          <w:rFonts w:eastAsiaTheme="minorHAnsi"/>
        </w:rPr>
        <w:t>) or through an online platform</w:t>
      </w:r>
      <w:r w:rsidR="00A70868">
        <w:rPr>
          <w:rFonts w:eastAsiaTheme="minorHAnsi"/>
        </w:rPr>
        <w:t>.</w:t>
      </w:r>
      <w:r w:rsidRPr="00C712BA">
        <w:t xml:space="preserve"> </w:t>
      </w:r>
      <w:r w:rsidR="002B4FC0">
        <w:rPr>
          <w:rFonts w:eastAsiaTheme="minorHAnsi"/>
        </w:rPr>
        <w:t xml:space="preserve">No </w:t>
      </w:r>
      <w:r w:rsidRPr="002B4FC0" w:rsidR="002B4FC0">
        <w:rPr>
          <w:rFonts w:eastAsiaTheme="minorHAnsi"/>
        </w:rPr>
        <w:t xml:space="preserve">personal identifiable information </w:t>
      </w:r>
      <w:r w:rsidR="002B4FC0">
        <w:rPr>
          <w:rFonts w:eastAsiaTheme="minorHAnsi"/>
        </w:rPr>
        <w:t xml:space="preserve">(PII) will be </w:t>
      </w:r>
      <w:r w:rsidR="00287BC4">
        <w:rPr>
          <w:rFonts w:eastAsiaTheme="minorHAnsi"/>
        </w:rPr>
        <w:t xml:space="preserve">collected. </w:t>
      </w:r>
      <w:r w:rsidRPr="00C712BA">
        <w:t xml:space="preserve">All respondents will provide informed consent </w:t>
      </w:r>
      <w:r w:rsidRPr="00450F77" w:rsidR="005F5F56">
        <w:t>(</w:t>
      </w:r>
      <w:r w:rsidRPr="005F5F56" w:rsidR="005F5F56">
        <w:rPr>
          <w:b/>
          <w:bCs/>
        </w:rPr>
        <w:t xml:space="preserve">Attachment </w:t>
      </w:r>
      <w:r w:rsidR="008F73D8">
        <w:rPr>
          <w:b/>
          <w:bCs/>
        </w:rPr>
        <w:t>F</w:t>
      </w:r>
      <w:r w:rsidR="005F5F56">
        <w:t xml:space="preserve">) </w:t>
      </w:r>
      <w:r w:rsidRPr="00C712BA">
        <w:t xml:space="preserve">and will be told that participation is voluntary. </w:t>
      </w:r>
      <w:r w:rsidRPr="00C712BA" w:rsidR="000B1CAF">
        <w:t>Focus groups/i</w:t>
      </w:r>
      <w:r w:rsidRPr="00C712BA">
        <w:t xml:space="preserve">nterviews will be </w:t>
      </w:r>
      <w:r w:rsidRPr="00C712BA">
        <w:lastRenderedPageBreak/>
        <w:t xml:space="preserve">conducted after consent is obtained at </w:t>
      </w:r>
      <w:r w:rsidR="00735072">
        <w:t>the designated date, time, and location.</w:t>
      </w:r>
      <w:r w:rsidRPr="00C712BA" w:rsidR="00421226">
        <w:t xml:space="preserve"> </w:t>
      </w:r>
      <w:r w:rsidRPr="00C712BA" w:rsidR="002C62AD">
        <w:t>In-depth interview and focus group guides will include</w:t>
      </w:r>
      <w:r w:rsidRPr="00C712BA" w:rsidR="006613C5">
        <w:t xml:space="preserve"> </w:t>
      </w:r>
      <w:r w:rsidRPr="00C712BA" w:rsidR="00D96CBB">
        <w:t xml:space="preserve">questions </w:t>
      </w:r>
      <w:r w:rsidRPr="00C712BA" w:rsidR="002164CD">
        <w:t>and probes designed to collect information pertinent to the following research questions.</w:t>
      </w:r>
    </w:p>
    <w:p w:rsidRPr="00C712BA" w:rsidR="00D275D9" w:rsidP="00D84CAC" w:rsidRDefault="00D275D9" w14:paraId="00F54C1D" w14:textId="77777777"/>
    <w:p w:rsidRPr="00C712BA" w:rsidR="00D275D9" w:rsidP="00D84CAC" w:rsidRDefault="00D275D9" w14:paraId="5D7599DA" w14:textId="79D73866">
      <w:r w:rsidRPr="00C712BA">
        <w:t>Community or Societal Level Questions</w:t>
      </w:r>
    </w:p>
    <w:p w:rsidRPr="00C712BA" w:rsidR="00D275D9" w:rsidP="00D231E5" w:rsidRDefault="00D275D9" w14:paraId="039C1C35" w14:textId="43801A53">
      <w:pPr>
        <w:pStyle w:val="ListParagraph"/>
        <w:numPr>
          <w:ilvl w:val="0"/>
          <w:numId w:val="12"/>
        </w:numPr>
      </w:pPr>
      <w:r w:rsidRPr="00C712BA">
        <w:t xml:space="preserve">What supports, resources, services, and other factors are available in </w:t>
      </w:r>
      <w:r w:rsidRPr="00C712BA" w:rsidR="009A171D">
        <w:t>Tribal</w:t>
      </w:r>
      <w:r w:rsidRPr="00C712BA">
        <w:t xml:space="preserve"> communities located in urban and rural</w:t>
      </w:r>
      <w:r w:rsidR="00C61070">
        <w:t>/reservation</w:t>
      </w:r>
      <w:r w:rsidRPr="00C712BA">
        <w:t xml:space="preserve"> areas that may be protective against children’s exposure to violence and other ACEs and potentially lessening impacts on opioid misuse? </w:t>
      </w:r>
    </w:p>
    <w:p w:rsidRPr="00C712BA" w:rsidR="00D275D9" w:rsidP="005C253A" w:rsidRDefault="00D275D9" w14:paraId="16F2BFB9" w14:textId="47DF3DB4">
      <w:pPr>
        <w:pStyle w:val="ListParagraph"/>
        <w:numPr>
          <w:ilvl w:val="1"/>
          <w:numId w:val="12"/>
        </w:numPr>
      </w:pPr>
      <w:r w:rsidRPr="00C712BA">
        <w:t>How are these community and/or societal level services similar or different in</w:t>
      </w:r>
      <w:r w:rsidRPr="00C712BA" w:rsidR="00D231E5">
        <w:t xml:space="preserve"> </w:t>
      </w:r>
      <w:r w:rsidRPr="00C712BA">
        <w:t>urban and rural</w:t>
      </w:r>
      <w:r w:rsidR="00C61070">
        <w:t>/reservation</w:t>
      </w:r>
      <w:r w:rsidRPr="00C712BA">
        <w:t xml:space="preserve"> areas? </w:t>
      </w:r>
    </w:p>
    <w:p w:rsidRPr="00C712BA" w:rsidR="00D275D9" w:rsidP="005C253A" w:rsidRDefault="00D275D9" w14:paraId="79B1E4F6" w14:textId="257C7A98">
      <w:pPr>
        <w:pStyle w:val="ListParagraph"/>
        <w:numPr>
          <w:ilvl w:val="1"/>
          <w:numId w:val="12"/>
        </w:numPr>
      </w:pPr>
      <w:r w:rsidRPr="00C712BA">
        <w:t>What are factors that may limit the availability and accessibility of community or societal level services in urban and rural</w:t>
      </w:r>
      <w:r w:rsidR="00C61070">
        <w:t>/reservation</w:t>
      </w:r>
      <w:r w:rsidRPr="00C712BA">
        <w:t xml:space="preserve"> areas?</w:t>
      </w:r>
    </w:p>
    <w:p w:rsidRPr="00C712BA" w:rsidR="00D275D9" w:rsidP="00D231E5" w:rsidRDefault="00D275D9" w14:paraId="38A99985" w14:textId="5A4F0B97">
      <w:pPr>
        <w:pStyle w:val="ListParagraph"/>
        <w:numPr>
          <w:ilvl w:val="0"/>
          <w:numId w:val="12"/>
        </w:numPr>
      </w:pPr>
      <w:r w:rsidRPr="00C712BA">
        <w:t xml:space="preserve">What primary prevention strategies exist in </w:t>
      </w:r>
      <w:r w:rsidRPr="00C712BA" w:rsidR="009A171D">
        <w:t>Tribal</w:t>
      </w:r>
      <w:r w:rsidRPr="00C712BA">
        <w:t xml:space="preserve"> communities located in urban and rural</w:t>
      </w:r>
      <w:r w:rsidR="00C61070">
        <w:t>/reservation</w:t>
      </w:r>
      <w:r w:rsidRPr="00C712BA">
        <w:t xml:space="preserve"> areas that could be feasibly implemented in similar urban and rural</w:t>
      </w:r>
      <w:r w:rsidR="00C61070">
        <w:t>/reservation</w:t>
      </w:r>
      <w:r w:rsidRPr="00C712BA">
        <w:t xml:space="preserve"> AI/AN settings to prevent children’s exposure to violence and other ACEs and potentially lessening impacts on opioid misuse?</w:t>
      </w:r>
    </w:p>
    <w:p w:rsidRPr="00C712BA" w:rsidR="00D275D9" w:rsidP="00D84CAC" w:rsidRDefault="00D275D9" w14:paraId="5D73495F" w14:textId="77777777"/>
    <w:p w:rsidRPr="00C712BA" w:rsidR="00D231E5" w:rsidP="00D231E5" w:rsidRDefault="00D275D9" w14:paraId="192E9D52" w14:textId="77777777">
      <w:r w:rsidRPr="00C712BA">
        <w:t>Family- and Individual-Level Questions</w:t>
      </w:r>
    </w:p>
    <w:p w:rsidRPr="00C712BA" w:rsidR="00D275D9" w:rsidP="00D231E5" w:rsidRDefault="00D275D9" w14:paraId="716A0624" w14:textId="3377F1C9">
      <w:pPr>
        <w:pStyle w:val="ListParagraph"/>
        <w:numPr>
          <w:ilvl w:val="0"/>
          <w:numId w:val="12"/>
        </w:numPr>
      </w:pPr>
      <w:r w:rsidRPr="00C712BA">
        <w:t>What are protective factors for AI/AN children in urban and rural</w:t>
      </w:r>
      <w:r w:rsidR="00C61070">
        <w:t>/reservation</w:t>
      </w:r>
      <w:r w:rsidRPr="00C712BA">
        <w:t xml:space="preserve"> areas that prevent exposure to violence and other ACEs and opioid misuse?</w:t>
      </w:r>
    </w:p>
    <w:p w:rsidRPr="00C712BA" w:rsidR="00D275D9" w:rsidP="005C253A" w:rsidRDefault="00D275D9" w14:paraId="0B7A97DB" w14:textId="1B837A52">
      <w:pPr>
        <w:pStyle w:val="ListParagraph"/>
        <w:numPr>
          <w:ilvl w:val="1"/>
          <w:numId w:val="12"/>
        </w:numPr>
      </w:pPr>
      <w:r w:rsidRPr="00C712BA">
        <w:t>How are these protective factors similar or different in urban and rural</w:t>
      </w:r>
      <w:r w:rsidR="00C61070">
        <w:t>/reservation</w:t>
      </w:r>
      <w:r w:rsidRPr="00C712BA">
        <w:t xml:space="preserve"> areas? </w:t>
      </w:r>
    </w:p>
    <w:p w:rsidRPr="00C712BA" w:rsidR="00D275D9" w:rsidP="005C253A" w:rsidRDefault="00D275D9" w14:paraId="79205AF0" w14:textId="1DF86E83">
      <w:pPr>
        <w:pStyle w:val="ListParagraph"/>
        <w:numPr>
          <w:ilvl w:val="1"/>
          <w:numId w:val="12"/>
        </w:numPr>
      </w:pPr>
      <w:r w:rsidRPr="00C712BA">
        <w:t>What are factors that may challenge the availability and accessibility of protective factors for AI/AN children, youth, and families in urban and rural</w:t>
      </w:r>
      <w:r w:rsidR="00C61070">
        <w:t>/reservation</w:t>
      </w:r>
      <w:r w:rsidRPr="00C712BA">
        <w:t xml:space="preserve"> areas?</w:t>
      </w:r>
      <w:r w:rsidRPr="00C712BA" w:rsidDel="006D39A0">
        <w:t xml:space="preserve"> </w:t>
      </w:r>
    </w:p>
    <w:p w:rsidRPr="00C712BA" w:rsidR="00D275D9" w:rsidP="00D231E5" w:rsidRDefault="00D275D9" w14:paraId="694D93BC" w14:textId="77777777">
      <w:pPr>
        <w:pStyle w:val="ListParagraph"/>
        <w:numPr>
          <w:ilvl w:val="0"/>
          <w:numId w:val="12"/>
        </w:numPr>
      </w:pPr>
      <w:r w:rsidRPr="00C712BA">
        <w:t xml:space="preserve">What are key components of a person and/or family’s healing journey to overcome trauma such as children’s exposure to violence and other ACEs and opioid misuse? </w:t>
      </w:r>
    </w:p>
    <w:p w:rsidRPr="00C712BA" w:rsidR="00D275D9" w:rsidP="005C253A" w:rsidRDefault="00D275D9" w14:paraId="60297886" w14:textId="5EB45F72">
      <w:pPr>
        <w:pStyle w:val="ListParagraph"/>
        <w:numPr>
          <w:ilvl w:val="1"/>
          <w:numId w:val="12"/>
        </w:numPr>
      </w:pPr>
      <w:r w:rsidRPr="00C712BA">
        <w:t>How are these key components similar or different in urban and rural</w:t>
      </w:r>
      <w:r w:rsidR="00C61070">
        <w:t>/reservation</w:t>
      </w:r>
      <w:r w:rsidRPr="00C712BA">
        <w:t xml:space="preserve"> areas? </w:t>
      </w:r>
    </w:p>
    <w:p w:rsidRPr="00C712BA" w:rsidR="00D275D9" w:rsidP="005C253A" w:rsidRDefault="00D275D9" w14:paraId="320195BB" w14:textId="77777777">
      <w:pPr>
        <w:pStyle w:val="ListParagraph"/>
        <w:numPr>
          <w:ilvl w:val="1"/>
          <w:numId w:val="12"/>
        </w:numPr>
      </w:pPr>
      <w:r w:rsidRPr="00C712BA">
        <w:t>What are factors that may challenge a person and/or a family’s healing journey?</w:t>
      </w:r>
    </w:p>
    <w:p w:rsidRPr="00C712BA" w:rsidR="00D275D9" w:rsidP="00D84CAC" w:rsidRDefault="00D275D9" w14:paraId="22836D35" w14:textId="6C9A8A1F">
      <w:pPr>
        <w:autoSpaceDE w:val="0"/>
        <w:autoSpaceDN w:val="0"/>
        <w:adjustRightInd w:val="0"/>
      </w:pPr>
    </w:p>
    <w:p w:rsidRPr="00C712BA" w:rsidR="004C6A1D" w:rsidP="00F42E1D" w:rsidRDefault="002164CD" w14:paraId="04C90DFB" w14:textId="35776035">
      <w:bookmarkStart w:name="_Hlk34312926" w:id="6"/>
      <w:r w:rsidRPr="00C712BA">
        <w:t>This qualitative research study</w:t>
      </w:r>
      <w:r w:rsidRPr="00C712BA" w:rsidR="00F42E1D">
        <w:t xml:space="preserve"> will provide CDC NCIPC with</w:t>
      </w:r>
      <w:r w:rsidRPr="00C712BA" w:rsidR="004C6A1D">
        <w:t>:</w:t>
      </w:r>
    </w:p>
    <w:p w:rsidRPr="00C712BA" w:rsidR="004C6A1D" w:rsidP="004C6A1D" w:rsidRDefault="004C6A1D" w14:paraId="2586252A" w14:textId="039EAD1F">
      <w:pPr>
        <w:pStyle w:val="ListParagraph"/>
        <w:numPr>
          <w:ilvl w:val="0"/>
          <w:numId w:val="11"/>
        </w:numPr>
      </w:pPr>
      <w:r w:rsidRPr="00C712BA">
        <w:t>G</w:t>
      </w:r>
      <w:r w:rsidRPr="00C712BA" w:rsidR="00F42E1D">
        <w:t>reater understanding of community resources or supports for prevention of ACEs and opioid misuse in AI/AN populations</w:t>
      </w:r>
      <w:r w:rsidRPr="00C712BA" w:rsidR="002164CD">
        <w:t xml:space="preserve"> </w:t>
      </w:r>
    </w:p>
    <w:p w:rsidRPr="00C712BA" w:rsidR="004C6A1D" w:rsidP="004C6A1D" w:rsidRDefault="004C6A1D" w14:paraId="5A722C51" w14:textId="48BE79AC">
      <w:pPr>
        <w:pStyle w:val="ListParagraph"/>
        <w:numPr>
          <w:ilvl w:val="0"/>
          <w:numId w:val="11"/>
        </w:numPr>
      </w:pPr>
      <w:r w:rsidRPr="00C712BA">
        <w:t>G</w:t>
      </w:r>
      <w:r w:rsidRPr="00C712BA" w:rsidR="00F42E1D">
        <w:t>reater understanding of prevention strategies that may be transferrable to other similar communities (i.e., similar urban or rural</w:t>
      </w:r>
      <w:r w:rsidR="00C61070">
        <w:t>/reservation</w:t>
      </w:r>
      <w:r w:rsidRPr="00C712BA" w:rsidR="00F42E1D">
        <w:t xml:space="preserve"> </w:t>
      </w:r>
      <w:r w:rsidRPr="00C712BA" w:rsidR="009A171D">
        <w:t>Tribal</w:t>
      </w:r>
      <w:r w:rsidRPr="00C712BA" w:rsidR="00F42E1D">
        <w:t xml:space="preserve"> communities)</w:t>
      </w:r>
    </w:p>
    <w:p w:rsidRPr="00C712BA" w:rsidR="00D231E5" w:rsidP="00D231E5" w:rsidRDefault="004C6A1D" w14:paraId="56D15D4A" w14:textId="77777777">
      <w:pPr>
        <w:pStyle w:val="ListParagraph"/>
        <w:numPr>
          <w:ilvl w:val="0"/>
          <w:numId w:val="11"/>
        </w:numPr>
      </w:pPr>
      <w:r w:rsidRPr="00C712BA">
        <w:t>D</w:t>
      </w:r>
      <w:r w:rsidRPr="00C712BA" w:rsidR="00F42E1D">
        <w:t>ata to understand trajectories of individuals who have completed a healing journey and individuals who are currently working through or who have not yet started a healing journey (e.g., trajectory of violence and/or opioid misuse)</w:t>
      </w:r>
    </w:p>
    <w:p w:rsidRPr="00C712BA" w:rsidR="008B5AE3" w:rsidP="006E7B71" w:rsidRDefault="008B5AE3" w14:paraId="0590EBA5" w14:textId="77777777"/>
    <w:p w:rsidR="00486621" w:rsidP="006E7B71" w:rsidRDefault="004D7C62" w14:paraId="7E9FFC3F" w14:textId="271FD4E2">
      <w:pPr>
        <w:rPr>
          <w:rFonts w:eastAsia="SimSun"/>
        </w:rPr>
      </w:pPr>
      <w:r>
        <w:t xml:space="preserve">The </w:t>
      </w:r>
      <w:r w:rsidR="00B43DAC">
        <w:t>research team</w:t>
      </w:r>
      <w:r w:rsidRPr="00C712BA" w:rsidR="006A7A47">
        <w:t xml:space="preserve"> </w:t>
      </w:r>
      <w:r w:rsidRPr="00C712BA" w:rsidR="00B21E69">
        <w:t xml:space="preserve">will conduct site visits to urban and rural </w:t>
      </w:r>
      <w:r w:rsidRPr="00C712BA" w:rsidR="009A171D">
        <w:t>Tribal</w:t>
      </w:r>
      <w:r w:rsidRPr="00C712BA" w:rsidR="00B21E69">
        <w:t xml:space="preserve"> communit</w:t>
      </w:r>
      <w:r w:rsidRPr="00C712BA" w:rsidR="0065761A">
        <w:t>ies</w:t>
      </w:r>
      <w:r w:rsidRPr="00C712BA" w:rsidR="00B21E69">
        <w:t xml:space="preserve"> in </w:t>
      </w:r>
      <w:r w:rsidRPr="00A64D36" w:rsidR="00EC73B2">
        <w:t>two</w:t>
      </w:r>
      <w:r w:rsidRPr="00EC73B2" w:rsidR="00EC73B2">
        <w:t xml:space="preserve"> </w:t>
      </w:r>
      <w:r w:rsidRPr="00EC73B2" w:rsidR="00B21E69">
        <w:t>diverse geographic regions</w:t>
      </w:r>
      <w:r w:rsidRPr="00EC73B2" w:rsidR="00672BBB">
        <w:t xml:space="preserve"> </w:t>
      </w:r>
      <w:r w:rsidRPr="00EC73B2" w:rsidR="00F26D0B">
        <w:t xml:space="preserve">for recruitment of </w:t>
      </w:r>
      <w:r w:rsidRPr="00EC73B2" w:rsidR="00C920D0">
        <w:t>respondent</w:t>
      </w:r>
      <w:r w:rsidRPr="00EC73B2" w:rsidR="00F26D0B">
        <w:t xml:space="preserve">s and data collection. </w:t>
      </w:r>
      <w:r w:rsidRPr="00920AB8" w:rsidR="009624E3">
        <w:rPr>
          <w:rFonts w:eastAsia="SimSun"/>
        </w:rPr>
        <w:t xml:space="preserve">There will be a total of </w:t>
      </w:r>
      <w:r w:rsidR="009624E3">
        <w:rPr>
          <w:rFonts w:eastAsia="SimSun"/>
        </w:rPr>
        <w:t>four</w:t>
      </w:r>
      <w:r w:rsidRPr="00920AB8" w:rsidR="009624E3">
        <w:rPr>
          <w:rFonts w:eastAsia="SimSun"/>
        </w:rPr>
        <w:t xml:space="preserve"> Tribal communities</w:t>
      </w:r>
      <w:r w:rsidR="009624E3">
        <w:rPr>
          <w:rFonts w:eastAsia="SimSun"/>
        </w:rPr>
        <w:t xml:space="preserve"> that participate in the study: </w:t>
      </w:r>
      <w:bookmarkStart w:name="_Hlk69746624" w:id="7"/>
      <w:r w:rsidR="009624E3">
        <w:rPr>
          <w:rFonts w:eastAsia="SimSun"/>
        </w:rPr>
        <w:t xml:space="preserve">one </w:t>
      </w:r>
      <w:r w:rsidRPr="00920AB8" w:rsidR="009624E3">
        <w:rPr>
          <w:rFonts w:eastAsia="SimSun"/>
        </w:rPr>
        <w:t>urban</w:t>
      </w:r>
      <w:r w:rsidR="009624E3">
        <w:rPr>
          <w:rFonts w:eastAsia="SimSun"/>
        </w:rPr>
        <w:t xml:space="preserve"> </w:t>
      </w:r>
      <w:r w:rsidRPr="00920AB8" w:rsidR="009624E3">
        <w:rPr>
          <w:rFonts w:eastAsia="SimSun"/>
        </w:rPr>
        <w:t xml:space="preserve">and </w:t>
      </w:r>
      <w:r w:rsidR="009624E3">
        <w:rPr>
          <w:rFonts w:eastAsia="SimSun"/>
        </w:rPr>
        <w:t xml:space="preserve">one </w:t>
      </w:r>
      <w:r w:rsidRPr="00920AB8" w:rsidR="009624E3">
        <w:rPr>
          <w:rFonts w:eastAsia="SimSun"/>
        </w:rPr>
        <w:t>rural</w:t>
      </w:r>
      <w:r w:rsidR="009624E3">
        <w:rPr>
          <w:rFonts w:eastAsia="SimSun"/>
        </w:rPr>
        <w:t xml:space="preserve">/reservation community in the Pacific Northwest region (e.g., Washington state) and one urban and one rural/reservation community in the Great Lakes region (e.g., Minnesota). </w:t>
      </w:r>
      <w:bookmarkEnd w:id="7"/>
      <w:r w:rsidR="009624E3">
        <w:rPr>
          <w:rFonts w:eastAsia="SimSun"/>
        </w:rPr>
        <w:t xml:space="preserve">Academic partners familiar with the tribal communities in these areas will act as liaisons to confirm the level of </w:t>
      </w:r>
      <w:r w:rsidR="009624E3">
        <w:rPr>
          <w:rFonts w:eastAsia="SimSun"/>
        </w:rPr>
        <w:lastRenderedPageBreak/>
        <w:t xml:space="preserve">confidentiality that each Tribal community requests.  </w:t>
      </w:r>
      <w:r w:rsidRPr="00EC73B2">
        <w:rPr>
          <w:rFonts w:eastAsia="SimSun"/>
        </w:rPr>
        <w:t xml:space="preserve">These </w:t>
      </w:r>
      <w:r w:rsidRPr="00A64D36" w:rsidR="00ED3D2A">
        <w:rPr>
          <w:rFonts w:eastAsia="SimSun"/>
        </w:rPr>
        <w:t>two</w:t>
      </w:r>
      <w:r w:rsidRPr="00EC73B2" w:rsidR="00ED3D2A">
        <w:rPr>
          <w:rFonts w:eastAsia="SimSun"/>
        </w:rPr>
        <w:t xml:space="preserve"> </w:t>
      </w:r>
      <w:r w:rsidRPr="00EC73B2">
        <w:rPr>
          <w:rFonts w:eastAsia="SimSun"/>
        </w:rPr>
        <w:t>regions have higher opioid overdose mortality rates relatively to other areas in Indian Country (Tipps, Buzzard, &amp; McDougall, 2018).</w:t>
      </w:r>
      <w:bookmarkStart w:name="_Hlk39654448" w:id="8"/>
      <w:r w:rsidRPr="00EC73B2" w:rsidR="00486621">
        <w:t xml:space="preserve"> </w:t>
      </w:r>
      <w:bookmarkStart w:name="_Hlk69464465" w:id="9"/>
      <w:r w:rsidRPr="00EC73B2" w:rsidR="00486621">
        <w:rPr>
          <w:rFonts w:eastAsia="MS Mincho"/>
          <w:bCs/>
        </w:rPr>
        <w:t xml:space="preserve">The aim is to conduct all data collection in person during site visits to each of the </w:t>
      </w:r>
      <w:r w:rsidRPr="00A64D36" w:rsidR="00ED3D2A">
        <w:rPr>
          <w:rFonts w:eastAsia="MS Mincho"/>
          <w:bCs/>
        </w:rPr>
        <w:t>four</w:t>
      </w:r>
      <w:r w:rsidRPr="00EC73B2" w:rsidR="00ED3D2A">
        <w:rPr>
          <w:rFonts w:eastAsia="MS Mincho"/>
          <w:bCs/>
        </w:rPr>
        <w:t xml:space="preserve"> </w:t>
      </w:r>
      <w:r w:rsidRPr="00EC73B2" w:rsidR="00486621">
        <w:rPr>
          <w:rFonts w:eastAsia="MS Mincho"/>
          <w:bCs/>
        </w:rPr>
        <w:t>communities.</w:t>
      </w:r>
      <w:r w:rsidRPr="00920AB8" w:rsidR="00486621">
        <w:rPr>
          <w:rFonts w:eastAsia="MS Mincho"/>
          <w:bCs/>
        </w:rPr>
        <w:t xml:space="preserve"> However, it is anticipated that scheduling conflicts may necessitate conducting some interviews over the phone after the site visit to complete all data collection.</w:t>
      </w:r>
      <w:r w:rsidR="009D09D8">
        <w:rPr>
          <w:rFonts w:eastAsia="MS Mincho"/>
          <w:bCs/>
        </w:rPr>
        <w:t xml:space="preserve"> </w:t>
      </w:r>
      <w:r w:rsidR="00360DD6">
        <w:rPr>
          <w:rFonts w:eastAsia="MS Mincho"/>
          <w:bCs/>
        </w:rPr>
        <w:t xml:space="preserve">Due to </w:t>
      </w:r>
      <w:r w:rsidR="009D09D8">
        <w:rPr>
          <w:rFonts w:eastAsia="SimSun"/>
        </w:rPr>
        <w:t>COVID-19</w:t>
      </w:r>
      <w:r w:rsidR="0014242F">
        <w:rPr>
          <w:rFonts w:eastAsia="SimSun"/>
        </w:rPr>
        <w:t>,</w:t>
      </w:r>
      <w:r w:rsidR="009D09D8">
        <w:rPr>
          <w:rFonts w:eastAsia="SimSun"/>
        </w:rPr>
        <w:t xml:space="preserve"> at the time of the focus groups/interviews, social distancing and public health safety measures will be implemented, including considerations for phone/virtual meetings instead of in-person </w:t>
      </w:r>
      <w:r w:rsidR="00360DD6">
        <w:rPr>
          <w:rFonts w:eastAsia="SimSun"/>
        </w:rPr>
        <w:t>sessions</w:t>
      </w:r>
      <w:r w:rsidR="009D09D8">
        <w:rPr>
          <w:rFonts w:eastAsia="SimSun"/>
        </w:rPr>
        <w:t>.</w:t>
      </w:r>
      <w:bookmarkEnd w:id="9"/>
    </w:p>
    <w:p w:rsidR="007C5C01" w:rsidP="006E7B71" w:rsidRDefault="007C5C01" w14:paraId="60FF86AB" w14:textId="65E80372">
      <w:pPr>
        <w:rPr>
          <w:rFonts w:eastAsia="SimSun"/>
        </w:rPr>
      </w:pPr>
    </w:p>
    <w:p w:rsidR="009624E3" w:rsidP="009624E3" w:rsidRDefault="009624E3" w14:paraId="5DF22B73" w14:textId="77777777">
      <w:pPr>
        <w:rPr>
          <w:rFonts w:eastAsia="SimSun"/>
        </w:rPr>
      </w:pPr>
      <w:bookmarkStart w:name="_Hlk69745841" w:id="10"/>
    </w:p>
    <w:p w:rsidR="009624E3" w:rsidP="009624E3" w:rsidRDefault="009624E3" w14:paraId="2E79CEFE" w14:textId="77777777">
      <w:pPr>
        <w:rPr>
          <w:rFonts w:eastAsia="SimSun"/>
          <w:b/>
          <w:bCs/>
        </w:rPr>
      </w:pPr>
      <w:r>
        <w:rPr>
          <w:rFonts w:eastAsia="SimSun"/>
          <w:b/>
          <w:bCs/>
        </w:rPr>
        <w:t>Protections of Tribes and Confidentiality</w:t>
      </w:r>
    </w:p>
    <w:p w:rsidRPr="004B7EF7" w:rsidR="009624E3" w:rsidP="009624E3" w:rsidRDefault="009624E3" w14:paraId="266F9C72" w14:textId="77777777">
      <w:pPr>
        <w:shd w:val="clear" w:color="auto" w:fill="FFFFFF"/>
        <w:rPr>
          <w:rFonts w:ascii="Calibri" w:hAnsi="Calibri" w:cs="Calibri"/>
          <w:color w:val="201F1E"/>
        </w:rPr>
      </w:pPr>
      <w:r w:rsidRPr="004B7EF7">
        <w:rPr>
          <w:color w:val="201F1E"/>
          <w:bdr w:val="none" w:color="auto" w:sz="0" w:space="0" w:frame="1"/>
        </w:rPr>
        <w:t xml:space="preserve">On January 26, 2021 the White House issued a Memorandum </w:t>
      </w:r>
      <w:r>
        <w:rPr>
          <w:color w:val="201F1E"/>
          <w:bdr w:val="none" w:color="auto" w:sz="0" w:space="0" w:frame="1"/>
        </w:rPr>
        <w:t>for</w:t>
      </w:r>
      <w:r w:rsidRPr="004B7EF7">
        <w:rPr>
          <w:color w:val="201F1E"/>
          <w:bdr w:val="none" w:color="auto" w:sz="0" w:space="0" w:frame="1"/>
        </w:rPr>
        <w:t xml:space="preserve"> the Heads of Executive Departments and Agencies titled “</w:t>
      </w:r>
      <w:r w:rsidRPr="004B7EF7">
        <w:rPr>
          <w:i/>
          <w:iCs/>
          <w:color w:val="201F1E"/>
          <w:bdr w:val="none" w:color="auto" w:sz="0" w:space="0" w:frame="1"/>
        </w:rPr>
        <w:t>Memorandum on Tribal Consultation and Strengthening Nation-to-Nation Relationships”.</w:t>
      </w:r>
      <w:r w:rsidRPr="004B7EF7">
        <w:rPr>
          <w:color w:val="201F1E"/>
          <w:bdr w:val="none" w:color="auto" w:sz="0" w:space="0" w:frame="1"/>
        </w:rPr>
        <w:t xml:space="preserve"> This memorandum acknowledged and recommitted federal agencies to respect </w:t>
      </w:r>
      <w:r>
        <w:rPr>
          <w:color w:val="201F1E"/>
          <w:bdr w:val="none" w:color="auto" w:sz="0" w:space="0" w:frame="1"/>
        </w:rPr>
        <w:t>“</w:t>
      </w:r>
      <w:r w:rsidRPr="004B7EF7">
        <w:rPr>
          <w:color w:val="201F1E"/>
          <w:bdr w:val="none" w:color="auto" w:sz="0" w:space="0" w:frame="1"/>
        </w:rPr>
        <w:t>tribal sovereignty and self-governance, commitment to fulfilling Federal trust and treaty responsibilities to Tribal nations</w:t>
      </w:r>
      <w:r>
        <w:rPr>
          <w:color w:val="201F1E"/>
          <w:bdr w:val="none" w:color="auto" w:sz="0" w:space="0" w:frame="1"/>
        </w:rPr>
        <w:t>…</w:t>
      </w:r>
      <w:r w:rsidRPr="004B7EF7">
        <w:rPr>
          <w:color w:val="201F1E"/>
          <w:bdr w:val="none" w:color="auto" w:sz="0" w:space="0" w:frame="1"/>
        </w:rPr>
        <w:t>”</w:t>
      </w:r>
      <w:r>
        <w:rPr>
          <w:color w:val="201F1E"/>
          <w:bdr w:val="none" w:color="auto" w:sz="0" w:space="0" w:frame="1"/>
        </w:rPr>
        <w:t xml:space="preserve">. </w:t>
      </w:r>
      <w:r w:rsidRPr="004B7EF7">
        <w:rPr>
          <w:color w:val="201F1E"/>
          <w:bdr w:val="none" w:color="auto" w:sz="0" w:space="0" w:frame="1"/>
        </w:rPr>
        <w:t>Moreover, the memo states that, “we best serve Native American people when Tribal governments are empowered to lead their communities, and when Federal officials speak with and listen to Tribal leaders in formulating Federal policy that affects Tribal Nations.” </w:t>
      </w:r>
      <w:r>
        <w:rPr>
          <w:color w:val="201F1E"/>
          <w:bdr w:val="none" w:color="auto" w:sz="0" w:space="0" w:frame="1"/>
        </w:rPr>
        <w:t xml:space="preserve">(Biden, 2021). This memo is supported by </w:t>
      </w:r>
      <w:r w:rsidRPr="00D20AB0">
        <w:rPr>
          <w:rFonts w:eastAsia="SimSun"/>
        </w:rPr>
        <w:t>Executive Order</w:t>
      </w:r>
      <w:r>
        <w:rPr>
          <w:rFonts w:eastAsia="SimSun"/>
        </w:rPr>
        <w:t xml:space="preserve"> No. 13175.</w:t>
      </w:r>
    </w:p>
    <w:p w:rsidRPr="004B7EF7" w:rsidR="009624E3" w:rsidP="009624E3" w:rsidRDefault="009624E3" w14:paraId="22D17A10" w14:textId="77777777">
      <w:pPr>
        <w:shd w:val="clear" w:color="auto" w:fill="FFFFFF"/>
        <w:rPr>
          <w:rFonts w:ascii="Calibri" w:hAnsi="Calibri" w:cs="Calibri"/>
          <w:color w:val="201F1E"/>
        </w:rPr>
      </w:pPr>
      <w:r w:rsidRPr="004B7EF7">
        <w:rPr>
          <w:color w:val="201F1E"/>
          <w:bdr w:val="none" w:color="auto" w:sz="0" w:space="0" w:frame="1"/>
        </w:rPr>
        <w:t> </w:t>
      </w:r>
    </w:p>
    <w:p w:rsidRPr="004B7EF7" w:rsidR="009624E3" w:rsidP="009624E3" w:rsidRDefault="009624E3" w14:paraId="59447793" w14:textId="77777777">
      <w:pPr>
        <w:shd w:val="clear" w:color="auto" w:fill="FFFFFF"/>
        <w:rPr>
          <w:rFonts w:ascii="Calibri" w:hAnsi="Calibri" w:cs="Calibri"/>
          <w:color w:val="201F1E"/>
        </w:rPr>
      </w:pPr>
      <w:r w:rsidRPr="004B7EF7">
        <w:rPr>
          <w:color w:val="201F1E"/>
          <w:bdr w:val="none" w:color="auto" w:sz="0" w:space="0" w:frame="1"/>
        </w:rPr>
        <w:t>CDC’s Tribal Consultation Policy</w:t>
      </w:r>
      <w:r>
        <w:rPr>
          <w:color w:val="201F1E"/>
          <w:bdr w:val="none" w:color="auto" w:sz="0" w:space="0" w:frame="1"/>
        </w:rPr>
        <w:t xml:space="preserve"> was </w:t>
      </w:r>
      <w:r w:rsidRPr="004B7EF7">
        <w:rPr>
          <w:color w:val="201F1E"/>
          <w:bdr w:val="none" w:color="auto" w:sz="0" w:space="0" w:frame="1"/>
        </w:rPr>
        <w:t xml:space="preserve">last updated in 2013 </w:t>
      </w:r>
      <w:r>
        <w:rPr>
          <w:color w:val="201F1E"/>
          <w:bdr w:val="none" w:color="auto" w:sz="0" w:space="0" w:frame="1"/>
        </w:rPr>
        <w:t xml:space="preserve">and </w:t>
      </w:r>
      <w:r w:rsidRPr="004B7EF7">
        <w:rPr>
          <w:color w:val="201F1E"/>
          <w:bdr w:val="none" w:color="auto" w:sz="0" w:space="0" w:frame="1"/>
        </w:rPr>
        <w:t>states that “</w:t>
      </w:r>
      <w:r w:rsidRPr="004B7EF7">
        <w:rPr>
          <w:color w:val="201F1E"/>
          <w:sz w:val="23"/>
          <w:szCs w:val="23"/>
          <w:bdr w:val="none" w:color="auto" w:sz="0" w:space="0" w:frame="1"/>
        </w:rPr>
        <w:t>Indian Tribes have an inalienable and inherent right to self-government. As sovereign nations, Indian Tribes exercise inherent sovereign powers over their </w:t>
      </w:r>
      <w:r w:rsidRPr="000A1795">
        <w:rPr>
          <w:i/>
          <w:iCs/>
          <w:color w:val="201F1E"/>
          <w:sz w:val="23"/>
          <w:szCs w:val="23"/>
          <w:bdr w:val="none" w:color="auto" w:sz="0" w:space="0" w:frame="1"/>
        </w:rPr>
        <w:t>members</w:t>
      </w:r>
      <w:r w:rsidRPr="004B7EF7">
        <w:rPr>
          <w:i/>
          <w:iCs/>
          <w:color w:val="201F1E"/>
          <w:sz w:val="23"/>
          <w:szCs w:val="23"/>
          <w:bdr w:val="none" w:color="auto" w:sz="0" w:space="0" w:frame="1"/>
        </w:rPr>
        <w:t> </w:t>
      </w:r>
      <w:r w:rsidRPr="004B7EF7">
        <w:rPr>
          <w:color w:val="201F1E"/>
          <w:sz w:val="23"/>
          <w:szCs w:val="23"/>
          <w:bdr w:val="none" w:color="auto" w:sz="0" w:space="0" w:frame="1"/>
        </w:rPr>
        <w:t>[emphasis added], territory, and lands. As a Federal organization, CDC recognizes its special commitment and unique relationship with Indian Tribes and is committed to fulfilling their critical role in promoting the health and safety of Indian Tribes.”</w:t>
      </w:r>
      <w:r>
        <w:rPr>
          <w:color w:val="201F1E"/>
          <w:sz w:val="23"/>
          <w:szCs w:val="23"/>
          <w:bdr w:val="none" w:color="auto" w:sz="0" w:space="0" w:frame="1"/>
        </w:rPr>
        <w:t xml:space="preserve"> (CDC, 2013). </w:t>
      </w:r>
    </w:p>
    <w:p w:rsidRPr="004B7EF7" w:rsidR="009624E3" w:rsidP="009624E3" w:rsidRDefault="009624E3" w14:paraId="32AC3259" w14:textId="77777777">
      <w:pPr>
        <w:shd w:val="clear" w:color="auto" w:fill="FFFFFF"/>
        <w:rPr>
          <w:rFonts w:ascii="Calibri" w:hAnsi="Calibri" w:cs="Calibri"/>
          <w:color w:val="201F1E"/>
        </w:rPr>
      </w:pPr>
    </w:p>
    <w:p w:rsidR="009624E3" w:rsidP="009624E3" w:rsidRDefault="009624E3" w14:paraId="1314420C" w14:textId="56DAA71E">
      <w:pPr>
        <w:rPr>
          <w:rFonts w:eastAsia="SimSun"/>
        </w:rPr>
      </w:pPr>
      <w:r>
        <w:rPr>
          <w:rFonts w:eastAsia="SimSun"/>
        </w:rPr>
        <w:t xml:space="preserve">The sovereign status of </w:t>
      </w:r>
      <w:r w:rsidRPr="004B7EF7" w:rsidR="005F3AFB">
        <w:rPr>
          <w:color w:val="201F1E"/>
          <w:bdr w:val="none" w:color="auto" w:sz="0" w:space="0" w:frame="1"/>
        </w:rPr>
        <w:t>Federally Recognized Indian Tribes (</w:t>
      </w:r>
      <w:r>
        <w:rPr>
          <w:rFonts w:eastAsia="SimSun"/>
        </w:rPr>
        <w:t>FRTs</w:t>
      </w:r>
      <w:r w:rsidR="005F3AFB">
        <w:rPr>
          <w:rFonts w:eastAsia="SimSun"/>
        </w:rPr>
        <w:t>)</w:t>
      </w:r>
      <w:r>
        <w:rPr>
          <w:rFonts w:eastAsia="SimSun"/>
        </w:rPr>
        <w:t xml:space="preserve"> is further recognized in T</w:t>
      </w:r>
      <w:r w:rsidRPr="000A1795">
        <w:rPr>
          <w:rFonts w:eastAsia="SimSun"/>
        </w:rPr>
        <w:t>itle 45 Public Welfare</w:t>
      </w:r>
      <w:r>
        <w:rPr>
          <w:rFonts w:eastAsia="SimSun"/>
        </w:rPr>
        <w:t xml:space="preserve"> </w:t>
      </w:r>
      <w:r w:rsidRPr="000A1795">
        <w:rPr>
          <w:rFonts w:eastAsia="SimSun"/>
        </w:rPr>
        <w:t xml:space="preserve">Department </w:t>
      </w:r>
      <w:r>
        <w:rPr>
          <w:rFonts w:eastAsia="SimSun"/>
        </w:rPr>
        <w:t>of</w:t>
      </w:r>
      <w:r w:rsidRPr="000A1795">
        <w:rPr>
          <w:rFonts w:eastAsia="SimSun"/>
        </w:rPr>
        <w:t xml:space="preserve"> Health </w:t>
      </w:r>
      <w:r>
        <w:rPr>
          <w:rFonts w:eastAsia="SimSun"/>
        </w:rPr>
        <w:t>a</w:t>
      </w:r>
      <w:r w:rsidRPr="000A1795">
        <w:rPr>
          <w:rFonts w:eastAsia="SimSun"/>
        </w:rPr>
        <w:t xml:space="preserve">nd Human Services, </w:t>
      </w:r>
      <w:r w:rsidRPr="004B7EF7">
        <w:rPr>
          <w:rFonts w:eastAsia="SimSun"/>
        </w:rPr>
        <w:t>Protection of Human Subjects</w:t>
      </w:r>
      <w:r>
        <w:rPr>
          <w:rFonts w:eastAsia="SimSun"/>
        </w:rPr>
        <w:t xml:space="preserve"> - </w:t>
      </w:r>
      <w:r w:rsidRPr="004B7EF7">
        <w:rPr>
          <w:rFonts w:eastAsia="SimSun"/>
        </w:rPr>
        <w:t xml:space="preserve">also known as the </w:t>
      </w:r>
      <w:r w:rsidRPr="000A1795">
        <w:rPr>
          <w:rFonts w:eastAsia="SimSun"/>
          <w:i/>
          <w:iCs/>
        </w:rPr>
        <w:t>Common Rule.</w:t>
      </w:r>
      <w:r>
        <w:rPr>
          <w:rFonts w:eastAsia="SimSun"/>
          <w:b/>
          <w:bCs/>
        </w:rPr>
        <w:t xml:space="preserve"> </w:t>
      </w:r>
      <w:r w:rsidRPr="000A1795">
        <w:rPr>
          <w:rFonts w:eastAsia="SimSun"/>
        </w:rPr>
        <w:t xml:space="preserve">For example, Subpart A, §46.101 states that </w:t>
      </w:r>
      <w:r w:rsidRPr="000C1818">
        <w:rPr>
          <w:rFonts w:eastAsia="SimSun"/>
        </w:rPr>
        <w:t xml:space="preserve">Tribal laws must be </w:t>
      </w:r>
      <w:proofErr w:type="gramStart"/>
      <w:r w:rsidRPr="000C1818">
        <w:rPr>
          <w:rFonts w:eastAsia="SimSun"/>
        </w:rPr>
        <w:t>followed</w:t>
      </w:r>
      <w:proofErr w:type="gramEnd"/>
      <w:r w:rsidRPr="000C1818">
        <w:rPr>
          <w:rFonts w:eastAsia="SimSun"/>
        </w:rPr>
        <w:t xml:space="preserve"> and such laws may include additional protections in human subjects research</w:t>
      </w:r>
      <w:r w:rsidRPr="000C1818" w:rsidR="000C1818">
        <w:rPr>
          <w:rFonts w:eastAsia="SimSun"/>
        </w:rPr>
        <w:t xml:space="preserve"> </w:t>
      </w:r>
      <w:bookmarkStart w:name="_Hlk69906815" w:id="11"/>
      <w:r w:rsidRPr="000C1818" w:rsidR="000C1818">
        <w:rPr>
          <w:rFonts w:eastAsia="SimSun"/>
        </w:rPr>
        <w:t>(</w:t>
      </w:r>
      <w:r w:rsidRPr="000C1818" w:rsidR="000C1818">
        <w:t>45 CFR 46.101(f), Subpart A).</w:t>
      </w:r>
      <w:bookmarkEnd w:id="11"/>
    </w:p>
    <w:p w:rsidR="009624E3" w:rsidP="009624E3" w:rsidRDefault="009624E3" w14:paraId="0B36854D" w14:textId="77777777">
      <w:pPr>
        <w:rPr>
          <w:rFonts w:eastAsia="SimSun"/>
        </w:rPr>
      </w:pPr>
    </w:p>
    <w:p w:rsidRPr="004B7EF7" w:rsidR="009624E3" w:rsidP="009624E3" w:rsidRDefault="009624E3" w14:paraId="45A4A4A1" w14:textId="2A4F465B">
      <w:pPr>
        <w:shd w:val="clear" w:color="auto" w:fill="FFFFFF"/>
        <w:rPr>
          <w:rFonts w:ascii="Calibri" w:hAnsi="Calibri" w:cs="Calibri"/>
          <w:color w:val="201F1E"/>
        </w:rPr>
      </w:pPr>
      <w:r w:rsidRPr="004B7EF7">
        <w:rPr>
          <w:color w:val="201F1E"/>
          <w:bdr w:val="none" w:color="auto" w:sz="0" w:space="0" w:frame="1"/>
        </w:rPr>
        <w:t>There are currently 574 FRT</w:t>
      </w:r>
      <w:r w:rsidR="005F3AFB">
        <w:rPr>
          <w:color w:val="201F1E"/>
          <w:bdr w:val="none" w:color="auto" w:sz="0" w:space="0" w:frame="1"/>
        </w:rPr>
        <w:t>s</w:t>
      </w:r>
      <w:r w:rsidRPr="004B7EF7">
        <w:rPr>
          <w:color w:val="201F1E"/>
          <w:bdr w:val="none" w:color="auto" w:sz="0" w:space="0" w:frame="1"/>
        </w:rPr>
        <w:t>. </w:t>
      </w:r>
      <w:r w:rsidRPr="004B7EF7">
        <w:rPr>
          <w:color w:val="333333"/>
          <w:bdr w:val="none" w:color="auto" w:sz="0" w:space="0" w:frame="1"/>
        </w:rPr>
        <w:t>The listed Indian entities are acknowledged to have the immunities and privileges available to federally recognized Indian Tribes by virtue of their government-to-government relationship with the United States as well as the responsibilities, powers, limitations, and obligations of such Tribes. </w:t>
      </w:r>
      <w:r w:rsidRPr="004B7EF7">
        <w:rPr>
          <w:color w:val="201F1E"/>
          <w:bdr w:val="none" w:color="auto" w:sz="0" w:space="0" w:frame="1"/>
        </w:rPr>
        <w:t>A full list of FRTs can be found at: </w:t>
      </w:r>
      <w:hyperlink w:history="1" r:id="rId13">
        <w:r w:rsidRPr="00EC18A8" w:rsidR="00EC18A8">
          <w:rPr>
            <w:rStyle w:val="Hyperlink"/>
            <w:bdr w:val="none" w:color="auto" w:sz="0" w:space="0" w:frame="1"/>
          </w:rPr>
          <w:t>https://www.federalregister.gov/documents/2021/01/29/2021-01606/indian-entities-recognized-by-and-eligible-to-receive-services-from-the-united-states-bureau-of</w:t>
        </w:r>
      </w:hyperlink>
    </w:p>
    <w:p w:rsidR="009624E3" w:rsidP="009624E3" w:rsidRDefault="009624E3" w14:paraId="584C7D2B" w14:textId="77777777">
      <w:pPr>
        <w:rPr>
          <w:rFonts w:eastAsia="SimSun"/>
        </w:rPr>
      </w:pPr>
    </w:p>
    <w:bookmarkEnd w:id="10"/>
    <w:p w:rsidR="00486621" w:rsidP="006E7B71" w:rsidRDefault="00486621" w14:paraId="428C7E51" w14:textId="77777777"/>
    <w:p w:rsidRPr="00C712BA" w:rsidR="001F783F" w:rsidP="006E7B71" w:rsidRDefault="006415BF" w14:paraId="2DA3A492" w14:textId="62B0F5DB">
      <w:bookmarkStart w:name="_Hlk69463797" w:id="12"/>
      <w:bookmarkStart w:name="_Hlk40775245" w:id="13"/>
      <w:bookmarkStart w:name="_Hlk40806702" w:id="14"/>
      <w:r>
        <w:t xml:space="preserve">A </w:t>
      </w:r>
      <w:r w:rsidR="00EE7267">
        <w:t>recruitment/informational</w:t>
      </w:r>
      <w:r>
        <w:t xml:space="preserve"> flyer </w:t>
      </w:r>
      <w:r w:rsidRPr="00EE7267">
        <w:rPr>
          <w:b/>
          <w:bCs/>
        </w:rPr>
        <w:t>(A</w:t>
      </w:r>
      <w:r w:rsidRPr="00EE7267" w:rsidR="00EE7267">
        <w:rPr>
          <w:b/>
          <w:bCs/>
        </w:rPr>
        <w:t>ttachment O)</w:t>
      </w:r>
      <w:r w:rsidR="00EE7267">
        <w:t xml:space="preserve"> </w:t>
      </w:r>
      <w:r>
        <w:t>will be posted at local community organizations (e.g. health clinic, community center)</w:t>
      </w:r>
      <w:r w:rsidR="00EE7267">
        <w:t xml:space="preserve"> and provide study and contact information for potential </w:t>
      </w:r>
      <w:r w:rsidR="007017EC">
        <w:t>participants</w:t>
      </w:r>
      <w:r w:rsidR="00EE7267">
        <w:t xml:space="preserve">. </w:t>
      </w:r>
      <w:bookmarkEnd w:id="12"/>
      <w:r w:rsidRPr="00920AB8" w:rsidR="006C56EB">
        <w:t xml:space="preserve">Telephone screening </w:t>
      </w:r>
      <w:bookmarkEnd w:id="8"/>
      <w:r w:rsidRPr="00920AB8" w:rsidR="006C56EB">
        <w:t xml:space="preserve">of interested individuals will be used to determine eligibility </w:t>
      </w:r>
      <w:r w:rsidR="00C472E4">
        <w:t xml:space="preserve">for participation (e.g., </w:t>
      </w:r>
      <w:r w:rsidR="0012001D">
        <w:t>affected</w:t>
      </w:r>
      <w:r w:rsidR="00C472E4">
        <w:t xml:space="preserve"> by the opioid epidemic</w:t>
      </w:r>
      <w:r w:rsidR="009D0E61">
        <w:t xml:space="preserve"> - </w:t>
      </w:r>
      <w:bookmarkEnd w:id="13"/>
      <w:r w:rsidRPr="002371C9" w:rsidR="006C56EB">
        <w:rPr>
          <w:b/>
          <w:bCs/>
        </w:rPr>
        <w:t xml:space="preserve">Attachment </w:t>
      </w:r>
      <w:r w:rsidR="00684490">
        <w:rPr>
          <w:b/>
          <w:bCs/>
        </w:rPr>
        <w:t>D</w:t>
      </w:r>
      <w:r w:rsidR="006C56EB">
        <w:t xml:space="preserve">). </w:t>
      </w:r>
      <w:r w:rsidRPr="00C712BA" w:rsidR="00C920D0">
        <w:t xml:space="preserve">Respondents </w:t>
      </w:r>
      <w:r w:rsidRPr="00C712BA" w:rsidR="00F26D0B">
        <w:rPr>
          <w:bCs/>
        </w:rPr>
        <w:t>will provide written informed consent</w:t>
      </w:r>
      <w:r w:rsidR="00C93A87">
        <w:rPr>
          <w:bCs/>
        </w:rPr>
        <w:t xml:space="preserve"> (</w:t>
      </w:r>
      <w:r w:rsidRPr="00EF1F17" w:rsidR="00C93A87">
        <w:rPr>
          <w:b/>
        </w:rPr>
        <w:t xml:space="preserve">Attachment </w:t>
      </w:r>
      <w:r w:rsidR="008F73D8">
        <w:rPr>
          <w:b/>
        </w:rPr>
        <w:t>F</w:t>
      </w:r>
      <w:r w:rsidR="00C93A87">
        <w:rPr>
          <w:bCs/>
        </w:rPr>
        <w:t>)</w:t>
      </w:r>
      <w:r w:rsidR="00B43DAC">
        <w:rPr>
          <w:bCs/>
        </w:rPr>
        <w:t xml:space="preserve">, </w:t>
      </w:r>
      <w:r w:rsidRPr="00C712BA" w:rsidR="00F26D0B">
        <w:rPr>
          <w:bCs/>
        </w:rPr>
        <w:t xml:space="preserve">complete a </w:t>
      </w:r>
      <w:r w:rsidR="00075610">
        <w:t xml:space="preserve">demographic </w:t>
      </w:r>
      <w:r w:rsidRPr="008777E7" w:rsidR="00F26D0B">
        <w:rPr>
          <w:bCs/>
        </w:rPr>
        <w:t>survey</w:t>
      </w:r>
      <w:r w:rsidRPr="00C712BA" w:rsidR="00D36696">
        <w:rPr>
          <w:bCs/>
        </w:rPr>
        <w:t xml:space="preserve"> </w:t>
      </w:r>
      <w:r w:rsidRPr="00C712BA" w:rsidR="00D36696">
        <w:rPr>
          <w:bCs/>
        </w:rPr>
        <w:lastRenderedPageBreak/>
        <w:t>(</w:t>
      </w:r>
      <w:r w:rsidRPr="00EF1F17" w:rsidR="00C93A87">
        <w:rPr>
          <w:b/>
        </w:rPr>
        <w:t xml:space="preserve">Attachment </w:t>
      </w:r>
      <w:r w:rsidR="00E1731F">
        <w:rPr>
          <w:b/>
        </w:rPr>
        <w:t>I</w:t>
      </w:r>
      <w:r w:rsidR="00C93A87">
        <w:rPr>
          <w:bCs/>
        </w:rPr>
        <w:t>)</w:t>
      </w:r>
      <w:r w:rsidRPr="00C712BA" w:rsidR="00F26D0B">
        <w:rPr>
          <w:bCs/>
        </w:rPr>
        <w:t>, and participate in a</w:t>
      </w:r>
      <w:r w:rsidRPr="00C712BA" w:rsidR="000E3EE4">
        <w:rPr>
          <w:bCs/>
        </w:rPr>
        <w:t xml:space="preserve"> f</w:t>
      </w:r>
      <w:r w:rsidRPr="00C712BA" w:rsidR="00F26D0B">
        <w:rPr>
          <w:bCs/>
        </w:rPr>
        <w:t xml:space="preserve">ocus group </w:t>
      </w:r>
      <w:r w:rsidRPr="00245DC2" w:rsidR="00F26D0B">
        <w:rPr>
          <w:bCs/>
          <w:i/>
          <w:iCs/>
        </w:rPr>
        <w:t>or</w:t>
      </w:r>
      <w:r w:rsidRPr="00C712BA" w:rsidR="00F26D0B">
        <w:rPr>
          <w:bCs/>
        </w:rPr>
        <w:t xml:space="preserve"> individual interview</w:t>
      </w:r>
      <w:r w:rsidRPr="00C712BA" w:rsidR="000E3EE4">
        <w:rPr>
          <w:bCs/>
        </w:rPr>
        <w:t xml:space="preserve"> (in-person or virtually if necessary</w:t>
      </w:r>
      <w:r w:rsidR="00C93A87">
        <w:rPr>
          <w:bCs/>
        </w:rPr>
        <w:t xml:space="preserve"> - </w:t>
      </w:r>
      <w:r w:rsidRPr="006415BF" w:rsidR="00C93A87">
        <w:rPr>
          <w:b/>
        </w:rPr>
        <w:t>Attachment</w:t>
      </w:r>
      <w:r w:rsidRPr="006415BF">
        <w:rPr>
          <w:b/>
        </w:rPr>
        <w:t>s</w:t>
      </w:r>
      <w:r w:rsidRPr="006415BF" w:rsidR="00C93A87">
        <w:rPr>
          <w:b/>
        </w:rPr>
        <w:t xml:space="preserve"> </w:t>
      </w:r>
      <w:r w:rsidRPr="006415BF" w:rsidR="00E1731F">
        <w:rPr>
          <w:b/>
        </w:rPr>
        <w:t>J</w:t>
      </w:r>
      <w:r w:rsidRPr="006415BF">
        <w:rPr>
          <w:b/>
        </w:rPr>
        <w:t>-L</w:t>
      </w:r>
      <w:r w:rsidRPr="006415BF" w:rsidR="00C93A87">
        <w:rPr>
          <w:bCs/>
        </w:rPr>
        <w:t>)</w:t>
      </w:r>
      <w:r w:rsidRPr="006415BF" w:rsidR="00F26D0B">
        <w:rPr>
          <w:bCs/>
        </w:rPr>
        <w:t xml:space="preserve">, </w:t>
      </w:r>
      <w:r w:rsidRPr="006415BF" w:rsidR="00AD039F">
        <w:t>depending</w:t>
      </w:r>
      <w:r w:rsidRPr="00C712BA" w:rsidR="00AD039F">
        <w:t xml:space="preserve"> on what is most culturally appropriate and feasible for recruitment, scheduling, and data collection for the community</w:t>
      </w:r>
      <w:r w:rsidR="006C61D1">
        <w:t xml:space="preserve">, </w:t>
      </w:r>
      <w:bookmarkEnd w:id="6"/>
      <w:r w:rsidR="006C61D1">
        <w:t>and also in accordance to COV</w:t>
      </w:r>
      <w:r w:rsidR="00946C52">
        <w:t>ID</w:t>
      </w:r>
      <w:r w:rsidR="004D3794">
        <w:t>-</w:t>
      </w:r>
      <w:r w:rsidR="006C61D1">
        <w:t xml:space="preserve">19 guidance.  </w:t>
      </w:r>
      <w:r w:rsidRPr="00C712BA" w:rsidR="00672BBB">
        <w:t>Focus groups/interviews</w:t>
      </w:r>
      <w:r w:rsidRPr="00C712BA" w:rsidR="00D3077C">
        <w:t xml:space="preserve"> </w:t>
      </w:r>
      <w:r w:rsidRPr="00C712BA" w:rsidR="00672BBB">
        <w:t>will be conducted with adults age</w:t>
      </w:r>
      <w:r w:rsidRPr="00C712BA" w:rsidR="002164CD">
        <w:t>d</w:t>
      </w:r>
      <w:r w:rsidRPr="00C712BA" w:rsidR="00672BBB">
        <w:t xml:space="preserve"> 18 years or older affected by the opioid epidemic</w:t>
      </w:r>
      <w:r w:rsidRPr="00C712BA" w:rsidR="002164CD">
        <w:t xml:space="preserve">. </w:t>
      </w:r>
      <w:r w:rsidRPr="00C712BA" w:rsidR="00AD039F">
        <w:rPr>
          <w:b/>
          <w:bCs/>
        </w:rPr>
        <w:t>Table 1</w:t>
      </w:r>
      <w:r w:rsidRPr="00C712BA" w:rsidR="00602E15">
        <w:rPr>
          <w:b/>
          <w:bCs/>
        </w:rPr>
        <w:t>.</w:t>
      </w:r>
      <w:r w:rsidRPr="00C712BA" w:rsidR="00AA29EA">
        <w:rPr>
          <w:b/>
          <w:bCs/>
        </w:rPr>
        <w:t xml:space="preserve"> </w:t>
      </w:r>
      <w:r w:rsidRPr="00C712BA" w:rsidR="00C920D0">
        <w:rPr>
          <w:b/>
          <w:bCs/>
        </w:rPr>
        <w:t xml:space="preserve">Respondents </w:t>
      </w:r>
      <w:r w:rsidRPr="00C712BA" w:rsidR="00AA29EA">
        <w:rPr>
          <w:b/>
          <w:bCs/>
        </w:rPr>
        <w:t xml:space="preserve">and Data Collection by </w:t>
      </w:r>
      <w:r w:rsidRPr="00C712BA" w:rsidR="00C920D0">
        <w:rPr>
          <w:b/>
          <w:bCs/>
        </w:rPr>
        <w:t>Tribal</w:t>
      </w:r>
      <w:r w:rsidRPr="00C712BA" w:rsidR="00AA29EA">
        <w:rPr>
          <w:b/>
          <w:bCs/>
        </w:rPr>
        <w:t xml:space="preserve"> Community</w:t>
      </w:r>
      <w:r w:rsidRPr="00C712BA" w:rsidR="00AD039F">
        <w:t xml:space="preserve"> </w:t>
      </w:r>
      <w:r w:rsidRPr="00C712BA" w:rsidR="002164CD">
        <w:t xml:space="preserve">provides </w:t>
      </w:r>
      <w:r w:rsidRPr="00C712BA" w:rsidR="00AD039F">
        <w:t xml:space="preserve">an overview of </w:t>
      </w:r>
      <w:r w:rsidRPr="00C712BA" w:rsidR="00C920D0">
        <w:t>respondent</w:t>
      </w:r>
      <w:r w:rsidRPr="00C712BA" w:rsidR="00AD039F">
        <w:t>s and data collection</w:t>
      </w:r>
      <w:r w:rsidRPr="00C712BA" w:rsidR="00246F41">
        <w:t xml:space="preserve"> </w:t>
      </w:r>
      <w:r w:rsidRPr="00C712BA" w:rsidR="003B5B87">
        <w:t xml:space="preserve">by </w:t>
      </w:r>
      <w:r w:rsidRPr="00C712BA" w:rsidR="002164CD">
        <w:t>urban and rural</w:t>
      </w:r>
      <w:r w:rsidR="000C3D1D">
        <w:t>/</w:t>
      </w:r>
      <w:r w:rsidR="00404A9E">
        <w:t>reservation</w:t>
      </w:r>
      <w:r w:rsidRPr="00C712BA" w:rsidR="00404A9E">
        <w:t xml:space="preserve"> Tribal</w:t>
      </w:r>
      <w:r w:rsidRPr="00C712BA" w:rsidR="00B85391">
        <w:t xml:space="preserve"> </w:t>
      </w:r>
      <w:r w:rsidRPr="00C712BA" w:rsidR="003B5B87">
        <w:t>communit</w:t>
      </w:r>
      <w:r w:rsidRPr="00C712BA" w:rsidR="00B85391">
        <w:t>y</w:t>
      </w:r>
      <w:r w:rsidRPr="00C712BA" w:rsidR="00AD039F">
        <w:t xml:space="preserve">. </w:t>
      </w:r>
      <w:r w:rsidRPr="00C712BA" w:rsidR="00C920D0">
        <w:t>Respondent</w:t>
      </w:r>
      <w:r w:rsidRPr="00C712BA" w:rsidR="00472129">
        <w:t xml:space="preserve">s will complete a </w:t>
      </w:r>
      <w:r w:rsidRPr="00C712BA" w:rsidR="00AD039F">
        <w:t xml:space="preserve">survey </w:t>
      </w:r>
      <w:r w:rsidRPr="00C712BA" w:rsidR="00472129">
        <w:t>on demographic information</w:t>
      </w:r>
      <w:r w:rsidR="005F7852">
        <w:t xml:space="preserve"> </w:t>
      </w:r>
      <w:r w:rsidRPr="00C712BA" w:rsidR="00472129">
        <w:t xml:space="preserve">prior to their focus group/interview.  </w:t>
      </w:r>
    </w:p>
    <w:bookmarkEnd w:id="14"/>
    <w:p w:rsidR="001F783F" w:rsidP="001F783F" w:rsidRDefault="001F783F" w14:paraId="433DCA47" w14:textId="77777777">
      <w:pPr>
        <w:autoSpaceDE w:val="0"/>
        <w:autoSpaceDN w:val="0"/>
        <w:adjustRightInd w:val="0"/>
        <w:rPr>
          <w:i/>
          <w:iCs/>
        </w:rPr>
      </w:pPr>
    </w:p>
    <w:p w:rsidRPr="00AD039F" w:rsidR="001F783F" w:rsidP="001F783F" w:rsidRDefault="001F783F" w14:paraId="3485E840" w14:textId="23512E21">
      <w:pPr>
        <w:autoSpaceDE w:val="0"/>
        <w:autoSpaceDN w:val="0"/>
        <w:adjustRightInd w:val="0"/>
        <w:rPr>
          <w:b/>
          <w:bCs/>
          <w:i/>
          <w:iCs/>
        </w:rPr>
      </w:pPr>
      <w:r w:rsidRPr="00C712BA">
        <w:rPr>
          <w:b/>
          <w:bCs/>
        </w:rPr>
        <w:t xml:space="preserve">Table </w:t>
      </w:r>
      <w:r w:rsidRPr="00C712BA" w:rsidR="00AD039F">
        <w:rPr>
          <w:b/>
          <w:bCs/>
        </w:rPr>
        <w:t>1</w:t>
      </w:r>
      <w:r w:rsidRPr="00C712BA">
        <w:rPr>
          <w:b/>
          <w:bCs/>
        </w:rPr>
        <w:t xml:space="preserve">. </w:t>
      </w:r>
      <w:r w:rsidRPr="00C712BA" w:rsidR="00C920D0">
        <w:rPr>
          <w:b/>
          <w:bCs/>
        </w:rPr>
        <w:t xml:space="preserve">Respondents </w:t>
      </w:r>
      <w:r w:rsidRPr="00C712BA">
        <w:rPr>
          <w:b/>
          <w:bCs/>
        </w:rPr>
        <w:t xml:space="preserve">and </w:t>
      </w:r>
      <w:r w:rsidRPr="00C712BA" w:rsidR="00D231E5">
        <w:rPr>
          <w:b/>
          <w:bCs/>
        </w:rPr>
        <w:t>D</w:t>
      </w:r>
      <w:r w:rsidRPr="00C712BA">
        <w:rPr>
          <w:b/>
          <w:bCs/>
        </w:rPr>
        <w:t xml:space="preserve">ata </w:t>
      </w:r>
      <w:r w:rsidRPr="00C712BA" w:rsidR="00D231E5">
        <w:rPr>
          <w:b/>
          <w:bCs/>
        </w:rPr>
        <w:t>C</w:t>
      </w:r>
      <w:r w:rsidRPr="00C712BA">
        <w:rPr>
          <w:b/>
          <w:bCs/>
        </w:rPr>
        <w:t>ollection</w:t>
      </w:r>
      <w:r w:rsidRPr="00C712BA" w:rsidR="003B5B87">
        <w:rPr>
          <w:b/>
          <w:bCs/>
        </w:rPr>
        <w:t xml:space="preserve"> by </w:t>
      </w:r>
      <w:r w:rsidRPr="00C712BA" w:rsidR="009A171D">
        <w:rPr>
          <w:b/>
          <w:bCs/>
        </w:rPr>
        <w:t>Tribal</w:t>
      </w:r>
      <w:r w:rsidRPr="00C712BA" w:rsidR="00D231E5">
        <w:rPr>
          <w:b/>
          <w:bCs/>
        </w:rPr>
        <w:t xml:space="preserve"> C</w:t>
      </w:r>
      <w:r w:rsidRPr="00C712BA" w:rsidR="003B5B87">
        <w:rPr>
          <w:b/>
          <w:bCs/>
        </w:rPr>
        <w:t>ommunity</w:t>
      </w:r>
    </w:p>
    <w:tbl>
      <w:tblPr>
        <w:tblpPr w:leftFromText="180" w:rightFromText="180" w:vertAnchor="text" w:horzAnchor="margin" w:tblpY="92"/>
        <w:tblW w:w="98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0"/>
        <w:gridCol w:w="1260"/>
        <w:gridCol w:w="1434"/>
        <w:gridCol w:w="2009"/>
        <w:gridCol w:w="2947"/>
        <w:gridCol w:w="1598"/>
      </w:tblGrid>
      <w:tr w:rsidRPr="00AE18A5" w:rsidR="009452F1" w:rsidTr="009452F1" w14:paraId="466E27C4" w14:textId="77777777">
        <w:trPr>
          <w:trHeight w:val="441"/>
        </w:trPr>
        <w:tc>
          <w:tcPr>
            <w:tcW w:w="630" w:type="dxa"/>
            <w:shd w:val="clear" w:color="auto" w:fill="DBE5F1" w:themeFill="accent1" w:themeFillTint="33"/>
          </w:tcPr>
          <w:p w:rsidRPr="00AE18A5" w:rsidR="009452F1" w:rsidP="009452F1" w:rsidRDefault="009452F1" w14:paraId="3A1599A6" w14:textId="77777777">
            <w:pPr>
              <w:rPr>
                <w:color w:val="000000"/>
                <w:sz w:val="20"/>
                <w:szCs w:val="20"/>
              </w:rPr>
            </w:pPr>
            <w:r w:rsidRPr="00AE18A5">
              <w:rPr>
                <w:color w:val="000000"/>
                <w:sz w:val="20"/>
                <w:szCs w:val="20"/>
              </w:rPr>
              <w:t>Area</w:t>
            </w:r>
          </w:p>
        </w:tc>
        <w:tc>
          <w:tcPr>
            <w:tcW w:w="1260" w:type="dxa"/>
            <w:shd w:val="clear" w:color="auto" w:fill="DBE5F1" w:themeFill="accent1" w:themeFillTint="33"/>
          </w:tcPr>
          <w:p w:rsidRPr="00AE18A5" w:rsidR="009452F1" w:rsidP="009452F1" w:rsidRDefault="009452F1" w14:paraId="69B451B0" w14:textId="77777777">
            <w:pPr>
              <w:rPr>
                <w:color w:val="000000"/>
                <w:sz w:val="20"/>
                <w:szCs w:val="20"/>
              </w:rPr>
            </w:pPr>
          </w:p>
        </w:tc>
        <w:tc>
          <w:tcPr>
            <w:tcW w:w="1434" w:type="dxa"/>
            <w:shd w:val="clear" w:color="auto" w:fill="DBE5F1" w:themeFill="accent1" w:themeFillTint="33"/>
            <w:vAlign w:val="bottom"/>
          </w:tcPr>
          <w:p w:rsidRPr="00AE18A5" w:rsidR="009452F1" w:rsidP="009452F1" w:rsidRDefault="009452F1" w14:paraId="45AECBB7" w14:textId="77777777">
            <w:pPr>
              <w:rPr>
                <w:color w:val="000000"/>
                <w:sz w:val="20"/>
                <w:szCs w:val="20"/>
              </w:rPr>
            </w:pPr>
            <w:r w:rsidRPr="00AE18A5">
              <w:rPr>
                <w:color w:val="000000"/>
                <w:sz w:val="20"/>
                <w:szCs w:val="20"/>
              </w:rPr>
              <w:t>Parents/</w:t>
            </w:r>
          </w:p>
          <w:p w:rsidRPr="00AE18A5" w:rsidR="009452F1" w:rsidP="009452F1" w:rsidRDefault="009452F1" w14:paraId="5DCA1235" w14:textId="77777777">
            <w:pPr>
              <w:rPr>
                <w:color w:val="000000"/>
                <w:sz w:val="20"/>
                <w:szCs w:val="20"/>
              </w:rPr>
            </w:pPr>
            <w:r w:rsidRPr="00AE18A5">
              <w:rPr>
                <w:color w:val="000000"/>
                <w:sz w:val="20"/>
                <w:szCs w:val="20"/>
              </w:rPr>
              <w:t xml:space="preserve">Caregivers </w:t>
            </w:r>
          </w:p>
        </w:tc>
        <w:tc>
          <w:tcPr>
            <w:tcW w:w="2009" w:type="dxa"/>
            <w:shd w:val="clear" w:color="auto" w:fill="DBE5F1" w:themeFill="accent1" w:themeFillTint="33"/>
            <w:vAlign w:val="bottom"/>
          </w:tcPr>
          <w:p w:rsidRPr="00AE18A5" w:rsidR="009452F1" w:rsidP="009452F1" w:rsidRDefault="009452F1" w14:paraId="2C295638" w14:textId="77777777">
            <w:pPr>
              <w:rPr>
                <w:color w:val="000000"/>
                <w:sz w:val="20"/>
                <w:szCs w:val="20"/>
              </w:rPr>
            </w:pPr>
            <w:r w:rsidRPr="00AE18A5">
              <w:rPr>
                <w:color w:val="000000"/>
                <w:sz w:val="20"/>
                <w:szCs w:val="20"/>
              </w:rPr>
              <w:t>Community Leaders &amp;</w:t>
            </w:r>
          </w:p>
          <w:p w:rsidRPr="00AE18A5" w:rsidR="009452F1" w:rsidP="009452F1" w:rsidRDefault="009452F1" w14:paraId="48DD6973" w14:textId="77777777">
            <w:pPr>
              <w:rPr>
                <w:color w:val="000000"/>
                <w:sz w:val="20"/>
                <w:szCs w:val="20"/>
              </w:rPr>
            </w:pPr>
            <w:r w:rsidRPr="00AE18A5">
              <w:rPr>
                <w:color w:val="000000"/>
                <w:sz w:val="20"/>
                <w:szCs w:val="20"/>
              </w:rPr>
              <w:t>Service Providers</w:t>
            </w:r>
          </w:p>
        </w:tc>
        <w:tc>
          <w:tcPr>
            <w:tcW w:w="2947" w:type="dxa"/>
            <w:shd w:val="clear" w:color="auto" w:fill="DBE5F1" w:themeFill="accent1" w:themeFillTint="33"/>
            <w:vAlign w:val="bottom"/>
          </w:tcPr>
          <w:p w:rsidRPr="00AE18A5" w:rsidR="009452F1" w:rsidP="009452F1" w:rsidRDefault="009452F1" w14:paraId="71234913" w14:textId="77777777">
            <w:pPr>
              <w:rPr>
                <w:color w:val="000000"/>
                <w:sz w:val="20"/>
                <w:szCs w:val="20"/>
              </w:rPr>
            </w:pPr>
            <w:r w:rsidRPr="00AE18A5">
              <w:rPr>
                <w:color w:val="000000"/>
                <w:sz w:val="20"/>
                <w:szCs w:val="20"/>
              </w:rPr>
              <w:t>Elders/</w:t>
            </w:r>
            <w:r>
              <w:rPr>
                <w:color w:val="000000"/>
                <w:sz w:val="20"/>
                <w:szCs w:val="20"/>
              </w:rPr>
              <w:t xml:space="preserve"> </w:t>
            </w:r>
            <w:r w:rsidRPr="00AE18A5">
              <w:rPr>
                <w:color w:val="000000"/>
                <w:sz w:val="20"/>
                <w:szCs w:val="20"/>
              </w:rPr>
              <w:t>Tribal Leaders/</w:t>
            </w:r>
          </w:p>
          <w:p w:rsidRPr="00AE18A5" w:rsidR="009452F1" w:rsidP="009452F1" w:rsidRDefault="009452F1" w14:paraId="71B7581C" w14:textId="77777777">
            <w:pPr>
              <w:rPr>
                <w:color w:val="000000"/>
                <w:sz w:val="20"/>
                <w:szCs w:val="20"/>
              </w:rPr>
            </w:pPr>
            <w:r w:rsidRPr="00AE18A5">
              <w:rPr>
                <w:color w:val="000000"/>
                <w:sz w:val="20"/>
                <w:szCs w:val="20"/>
              </w:rPr>
              <w:t>Traditional Healers</w:t>
            </w:r>
          </w:p>
        </w:tc>
        <w:tc>
          <w:tcPr>
            <w:tcW w:w="1598" w:type="dxa"/>
            <w:shd w:val="clear" w:color="auto" w:fill="DBE5F1" w:themeFill="accent1" w:themeFillTint="33"/>
            <w:vAlign w:val="bottom"/>
          </w:tcPr>
          <w:p w:rsidRPr="00AE18A5" w:rsidR="009452F1" w:rsidP="009452F1" w:rsidRDefault="009452F1" w14:paraId="21BC0DE7" w14:textId="77777777">
            <w:pPr>
              <w:rPr>
                <w:color w:val="000000"/>
                <w:sz w:val="20"/>
                <w:szCs w:val="20"/>
              </w:rPr>
            </w:pPr>
            <w:r w:rsidRPr="00AE18A5">
              <w:rPr>
                <w:color w:val="000000"/>
                <w:sz w:val="20"/>
                <w:szCs w:val="20"/>
              </w:rPr>
              <w:t>Young Adults</w:t>
            </w:r>
          </w:p>
        </w:tc>
      </w:tr>
      <w:tr w:rsidRPr="00AE18A5" w:rsidR="009452F1" w:rsidTr="009452F1" w14:paraId="65ACFC9F" w14:textId="77777777">
        <w:trPr>
          <w:trHeight w:val="744"/>
        </w:trPr>
        <w:tc>
          <w:tcPr>
            <w:tcW w:w="630" w:type="dxa"/>
            <w:shd w:val="clear" w:color="auto" w:fill="DBE5F1" w:themeFill="accent1" w:themeFillTint="33"/>
          </w:tcPr>
          <w:p w:rsidRPr="00AE18A5" w:rsidR="009452F1" w:rsidP="009452F1" w:rsidRDefault="009452F1" w14:paraId="0AF863AC" w14:textId="77777777">
            <w:pPr>
              <w:rPr>
                <w:color w:val="000000"/>
                <w:sz w:val="20"/>
                <w:szCs w:val="20"/>
              </w:rPr>
            </w:pPr>
            <w:r w:rsidRPr="00AE18A5">
              <w:rPr>
                <w:color w:val="000000"/>
                <w:sz w:val="20"/>
                <w:szCs w:val="20"/>
              </w:rPr>
              <w:t>1</w:t>
            </w:r>
          </w:p>
        </w:tc>
        <w:tc>
          <w:tcPr>
            <w:tcW w:w="1260" w:type="dxa"/>
            <w:shd w:val="clear" w:color="auto" w:fill="DBE5F1" w:themeFill="accent1" w:themeFillTint="33"/>
          </w:tcPr>
          <w:p w:rsidRPr="00AE18A5" w:rsidR="009452F1" w:rsidP="009452F1" w:rsidRDefault="009452F1" w14:paraId="76146C50" w14:textId="77777777">
            <w:pPr>
              <w:rPr>
                <w:color w:val="000000"/>
                <w:sz w:val="20"/>
                <w:szCs w:val="20"/>
              </w:rPr>
            </w:pPr>
            <w:r w:rsidRPr="00AE18A5">
              <w:rPr>
                <w:color w:val="000000"/>
                <w:sz w:val="20"/>
                <w:szCs w:val="20"/>
              </w:rPr>
              <w:t>Rural</w:t>
            </w:r>
            <w:r>
              <w:rPr>
                <w:color w:val="000000"/>
                <w:sz w:val="20"/>
                <w:szCs w:val="20"/>
              </w:rPr>
              <w:t>/ Reservation</w:t>
            </w:r>
          </w:p>
        </w:tc>
        <w:tc>
          <w:tcPr>
            <w:tcW w:w="1434" w:type="dxa"/>
            <w:shd w:val="clear" w:color="auto" w:fill="auto"/>
          </w:tcPr>
          <w:p w:rsidRPr="00AE18A5" w:rsidR="009452F1" w:rsidP="009452F1" w:rsidRDefault="009452F1" w14:paraId="088C2710" w14:textId="77777777">
            <w:pPr>
              <w:rPr>
                <w:color w:val="000000"/>
                <w:sz w:val="20"/>
                <w:szCs w:val="20"/>
              </w:rPr>
            </w:pPr>
            <w:r>
              <w:rPr>
                <w:color w:val="000000"/>
                <w:sz w:val="20"/>
                <w:szCs w:val="20"/>
              </w:rPr>
              <w:t>1</w:t>
            </w:r>
            <w:r w:rsidRPr="00AE18A5">
              <w:rPr>
                <w:color w:val="000000"/>
                <w:sz w:val="20"/>
                <w:szCs w:val="20"/>
              </w:rPr>
              <w:t xml:space="preserve"> focus group (8 people)</w:t>
            </w:r>
          </w:p>
        </w:tc>
        <w:tc>
          <w:tcPr>
            <w:tcW w:w="2009" w:type="dxa"/>
            <w:shd w:val="clear" w:color="auto" w:fill="auto"/>
          </w:tcPr>
          <w:p w:rsidRPr="00AE18A5" w:rsidR="009452F1" w:rsidP="009452F1" w:rsidRDefault="009452F1" w14:paraId="03C336CE" w14:textId="77777777">
            <w:pPr>
              <w:rPr>
                <w:color w:val="000000"/>
                <w:sz w:val="20"/>
                <w:szCs w:val="20"/>
              </w:rPr>
            </w:pPr>
            <w:r>
              <w:rPr>
                <w:color w:val="000000"/>
                <w:sz w:val="20"/>
                <w:szCs w:val="20"/>
              </w:rPr>
              <w:t>3</w:t>
            </w:r>
            <w:r w:rsidRPr="00AE18A5">
              <w:rPr>
                <w:color w:val="000000"/>
                <w:sz w:val="20"/>
                <w:szCs w:val="20"/>
              </w:rPr>
              <w:t xml:space="preserve"> </w:t>
            </w:r>
            <w:r>
              <w:rPr>
                <w:color w:val="000000"/>
                <w:sz w:val="20"/>
                <w:szCs w:val="20"/>
              </w:rPr>
              <w:t xml:space="preserve">in-depth </w:t>
            </w:r>
            <w:r w:rsidRPr="00AE18A5">
              <w:rPr>
                <w:color w:val="000000"/>
                <w:sz w:val="20"/>
                <w:szCs w:val="20"/>
              </w:rPr>
              <w:t>qualitative interviews</w:t>
            </w:r>
          </w:p>
        </w:tc>
        <w:tc>
          <w:tcPr>
            <w:tcW w:w="2947" w:type="dxa"/>
          </w:tcPr>
          <w:p w:rsidRPr="00AE18A5" w:rsidR="009452F1" w:rsidP="009452F1" w:rsidRDefault="009452F1" w14:paraId="731A33D5" w14:textId="77777777">
            <w:pPr>
              <w:rPr>
                <w:color w:val="000000"/>
                <w:sz w:val="20"/>
                <w:szCs w:val="20"/>
              </w:rPr>
            </w:pPr>
            <w:r w:rsidRPr="00AE18A5">
              <w:rPr>
                <w:color w:val="000000"/>
                <w:sz w:val="20"/>
                <w:szCs w:val="20"/>
              </w:rPr>
              <w:t xml:space="preserve">1 focus group (8 people) and </w:t>
            </w:r>
            <w:r>
              <w:rPr>
                <w:color w:val="000000"/>
                <w:sz w:val="20"/>
                <w:szCs w:val="20"/>
              </w:rPr>
              <w:t>3</w:t>
            </w:r>
            <w:r w:rsidRPr="00AE18A5">
              <w:rPr>
                <w:color w:val="000000"/>
                <w:sz w:val="20"/>
                <w:szCs w:val="20"/>
              </w:rPr>
              <w:t xml:space="preserve"> in-depth interviews</w:t>
            </w:r>
          </w:p>
        </w:tc>
        <w:tc>
          <w:tcPr>
            <w:tcW w:w="1598" w:type="dxa"/>
          </w:tcPr>
          <w:p w:rsidRPr="00AE18A5" w:rsidR="009452F1" w:rsidP="009452F1" w:rsidRDefault="009452F1" w14:paraId="4F4358A8" w14:textId="77777777">
            <w:pPr>
              <w:rPr>
                <w:color w:val="000000"/>
                <w:sz w:val="20"/>
                <w:szCs w:val="20"/>
              </w:rPr>
            </w:pPr>
            <w:r w:rsidRPr="00AE18A5">
              <w:rPr>
                <w:color w:val="000000"/>
                <w:sz w:val="20"/>
                <w:szCs w:val="20"/>
              </w:rPr>
              <w:t>1 focus group (8 people)</w:t>
            </w:r>
          </w:p>
        </w:tc>
      </w:tr>
      <w:tr w:rsidRPr="00AE18A5" w:rsidR="009452F1" w:rsidTr="009452F1" w14:paraId="750A4369" w14:textId="77777777">
        <w:trPr>
          <w:trHeight w:val="744"/>
        </w:trPr>
        <w:tc>
          <w:tcPr>
            <w:tcW w:w="630" w:type="dxa"/>
            <w:shd w:val="clear" w:color="auto" w:fill="DBE5F1" w:themeFill="accent1" w:themeFillTint="33"/>
          </w:tcPr>
          <w:p w:rsidRPr="00AE18A5" w:rsidR="009452F1" w:rsidP="009452F1" w:rsidRDefault="009452F1" w14:paraId="38644690" w14:textId="77777777">
            <w:pPr>
              <w:rPr>
                <w:color w:val="000000"/>
                <w:sz w:val="20"/>
                <w:szCs w:val="20"/>
              </w:rPr>
            </w:pPr>
            <w:r w:rsidRPr="00AE18A5">
              <w:rPr>
                <w:color w:val="000000"/>
                <w:sz w:val="20"/>
                <w:szCs w:val="20"/>
              </w:rPr>
              <w:t>1</w:t>
            </w:r>
          </w:p>
        </w:tc>
        <w:tc>
          <w:tcPr>
            <w:tcW w:w="1260" w:type="dxa"/>
            <w:shd w:val="clear" w:color="auto" w:fill="DBE5F1" w:themeFill="accent1" w:themeFillTint="33"/>
          </w:tcPr>
          <w:p w:rsidRPr="00AE18A5" w:rsidR="009452F1" w:rsidP="009452F1" w:rsidRDefault="009452F1" w14:paraId="79F3E43E" w14:textId="77777777">
            <w:pPr>
              <w:rPr>
                <w:color w:val="000000"/>
                <w:sz w:val="20"/>
                <w:szCs w:val="20"/>
              </w:rPr>
            </w:pPr>
            <w:r w:rsidRPr="00AE18A5">
              <w:rPr>
                <w:color w:val="000000"/>
                <w:sz w:val="20"/>
                <w:szCs w:val="20"/>
              </w:rPr>
              <w:t>Urban</w:t>
            </w:r>
          </w:p>
        </w:tc>
        <w:tc>
          <w:tcPr>
            <w:tcW w:w="1434" w:type="dxa"/>
            <w:shd w:val="clear" w:color="auto" w:fill="auto"/>
          </w:tcPr>
          <w:p w:rsidR="009452F1" w:rsidP="009452F1" w:rsidRDefault="009452F1" w14:paraId="1C8807E0" w14:textId="77777777">
            <w:pPr>
              <w:rPr>
                <w:color w:val="000000"/>
                <w:sz w:val="20"/>
                <w:szCs w:val="20"/>
              </w:rPr>
            </w:pPr>
            <w:r>
              <w:rPr>
                <w:color w:val="000000"/>
                <w:sz w:val="20"/>
                <w:szCs w:val="20"/>
              </w:rPr>
              <w:t>1</w:t>
            </w:r>
            <w:r w:rsidRPr="00AE18A5">
              <w:rPr>
                <w:color w:val="000000"/>
                <w:sz w:val="20"/>
                <w:szCs w:val="20"/>
              </w:rPr>
              <w:t xml:space="preserve"> focus groups (8 people)</w:t>
            </w:r>
          </w:p>
        </w:tc>
        <w:tc>
          <w:tcPr>
            <w:tcW w:w="2009" w:type="dxa"/>
            <w:shd w:val="clear" w:color="auto" w:fill="auto"/>
          </w:tcPr>
          <w:p w:rsidR="009452F1" w:rsidP="009452F1" w:rsidRDefault="009452F1" w14:paraId="29A2DED7" w14:textId="77777777">
            <w:pPr>
              <w:rPr>
                <w:color w:val="000000"/>
                <w:sz w:val="20"/>
                <w:szCs w:val="20"/>
              </w:rPr>
            </w:pPr>
            <w:r>
              <w:rPr>
                <w:color w:val="000000"/>
                <w:sz w:val="20"/>
                <w:szCs w:val="20"/>
              </w:rPr>
              <w:t>3</w:t>
            </w:r>
            <w:r w:rsidRPr="00AE18A5">
              <w:rPr>
                <w:color w:val="000000"/>
                <w:sz w:val="20"/>
                <w:szCs w:val="20"/>
              </w:rPr>
              <w:t xml:space="preserve"> qualitative interviews</w:t>
            </w:r>
          </w:p>
        </w:tc>
        <w:tc>
          <w:tcPr>
            <w:tcW w:w="2947" w:type="dxa"/>
          </w:tcPr>
          <w:p w:rsidRPr="00AE18A5" w:rsidR="009452F1" w:rsidP="009452F1" w:rsidRDefault="009452F1" w14:paraId="684B9600" w14:textId="77777777">
            <w:pPr>
              <w:rPr>
                <w:color w:val="000000"/>
                <w:sz w:val="20"/>
                <w:szCs w:val="20"/>
              </w:rPr>
            </w:pPr>
            <w:r w:rsidRPr="00AE18A5">
              <w:rPr>
                <w:color w:val="000000"/>
                <w:sz w:val="20"/>
                <w:szCs w:val="20"/>
              </w:rPr>
              <w:t xml:space="preserve">1 focus group (8 people) and </w:t>
            </w:r>
            <w:r>
              <w:rPr>
                <w:color w:val="000000"/>
                <w:sz w:val="20"/>
                <w:szCs w:val="20"/>
              </w:rPr>
              <w:t>3</w:t>
            </w:r>
            <w:r w:rsidRPr="00AE18A5">
              <w:rPr>
                <w:color w:val="000000"/>
                <w:sz w:val="20"/>
                <w:szCs w:val="20"/>
              </w:rPr>
              <w:t xml:space="preserve"> in-depth interviews</w:t>
            </w:r>
          </w:p>
        </w:tc>
        <w:tc>
          <w:tcPr>
            <w:tcW w:w="1598" w:type="dxa"/>
          </w:tcPr>
          <w:p w:rsidRPr="00AE18A5" w:rsidR="009452F1" w:rsidP="009452F1" w:rsidRDefault="009452F1" w14:paraId="36C66B2C" w14:textId="77777777">
            <w:pPr>
              <w:rPr>
                <w:color w:val="000000"/>
                <w:sz w:val="20"/>
                <w:szCs w:val="20"/>
              </w:rPr>
            </w:pPr>
            <w:r>
              <w:rPr>
                <w:color w:val="000000"/>
                <w:sz w:val="20"/>
                <w:szCs w:val="20"/>
              </w:rPr>
              <w:t>1</w:t>
            </w:r>
            <w:r w:rsidRPr="00AE18A5">
              <w:rPr>
                <w:color w:val="000000"/>
                <w:sz w:val="20"/>
                <w:szCs w:val="20"/>
              </w:rPr>
              <w:t xml:space="preserve"> focus groups (8 people)</w:t>
            </w:r>
          </w:p>
        </w:tc>
      </w:tr>
      <w:tr w:rsidRPr="00AE18A5" w:rsidR="009452F1" w:rsidTr="009452F1" w14:paraId="23AA4563" w14:textId="77777777">
        <w:trPr>
          <w:trHeight w:val="744"/>
        </w:trPr>
        <w:tc>
          <w:tcPr>
            <w:tcW w:w="630" w:type="dxa"/>
            <w:shd w:val="clear" w:color="auto" w:fill="DBE5F1" w:themeFill="accent1" w:themeFillTint="33"/>
          </w:tcPr>
          <w:p w:rsidRPr="00AE18A5" w:rsidR="009452F1" w:rsidP="009452F1" w:rsidRDefault="009452F1" w14:paraId="25C8F77A" w14:textId="77777777">
            <w:pPr>
              <w:rPr>
                <w:color w:val="000000"/>
                <w:sz w:val="20"/>
                <w:szCs w:val="20"/>
              </w:rPr>
            </w:pPr>
            <w:r w:rsidRPr="00AE18A5">
              <w:rPr>
                <w:color w:val="000000"/>
                <w:sz w:val="20"/>
                <w:szCs w:val="20"/>
              </w:rPr>
              <w:t>2</w:t>
            </w:r>
          </w:p>
        </w:tc>
        <w:tc>
          <w:tcPr>
            <w:tcW w:w="1260" w:type="dxa"/>
            <w:shd w:val="clear" w:color="auto" w:fill="DBE5F1" w:themeFill="accent1" w:themeFillTint="33"/>
          </w:tcPr>
          <w:p w:rsidRPr="00AE18A5" w:rsidR="009452F1" w:rsidP="009452F1" w:rsidRDefault="009452F1" w14:paraId="29CABF31" w14:textId="77777777">
            <w:pPr>
              <w:rPr>
                <w:color w:val="000000"/>
                <w:sz w:val="20"/>
                <w:szCs w:val="20"/>
              </w:rPr>
            </w:pPr>
            <w:r w:rsidRPr="00AE18A5">
              <w:rPr>
                <w:color w:val="000000"/>
                <w:sz w:val="20"/>
                <w:szCs w:val="20"/>
              </w:rPr>
              <w:t>Rural</w:t>
            </w:r>
            <w:r>
              <w:rPr>
                <w:color w:val="000000"/>
                <w:sz w:val="20"/>
                <w:szCs w:val="20"/>
              </w:rPr>
              <w:t>/ Reservation</w:t>
            </w:r>
          </w:p>
        </w:tc>
        <w:tc>
          <w:tcPr>
            <w:tcW w:w="1434" w:type="dxa"/>
            <w:shd w:val="clear" w:color="auto" w:fill="auto"/>
          </w:tcPr>
          <w:p w:rsidR="009452F1" w:rsidP="009452F1" w:rsidRDefault="009452F1" w14:paraId="6215734C" w14:textId="77777777">
            <w:pPr>
              <w:rPr>
                <w:color w:val="000000"/>
                <w:sz w:val="20"/>
                <w:szCs w:val="20"/>
              </w:rPr>
            </w:pPr>
            <w:r>
              <w:rPr>
                <w:color w:val="000000"/>
                <w:sz w:val="20"/>
                <w:szCs w:val="20"/>
              </w:rPr>
              <w:t>1</w:t>
            </w:r>
            <w:r w:rsidRPr="00AE18A5">
              <w:rPr>
                <w:color w:val="000000"/>
                <w:sz w:val="20"/>
                <w:szCs w:val="20"/>
              </w:rPr>
              <w:t xml:space="preserve"> focus groups (8 people)</w:t>
            </w:r>
          </w:p>
        </w:tc>
        <w:tc>
          <w:tcPr>
            <w:tcW w:w="2009" w:type="dxa"/>
            <w:shd w:val="clear" w:color="auto" w:fill="auto"/>
          </w:tcPr>
          <w:p w:rsidR="009452F1" w:rsidP="009452F1" w:rsidRDefault="009452F1" w14:paraId="6BF502CC" w14:textId="77777777">
            <w:pPr>
              <w:rPr>
                <w:color w:val="000000"/>
                <w:sz w:val="20"/>
                <w:szCs w:val="20"/>
              </w:rPr>
            </w:pPr>
            <w:r>
              <w:rPr>
                <w:color w:val="000000"/>
                <w:sz w:val="20"/>
                <w:szCs w:val="20"/>
              </w:rPr>
              <w:t>3</w:t>
            </w:r>
            <w:r w:rsidRPr="00AE18A5">
              <w:rPr>
                <w:color w:val="000000"/>
                <w:sz w:val="20"/>
                <w:szCs w:val="20"/>
              </w:rPr>
              <w:t xml:space="preserve"> qualitative interviews</w:t>
            </w:r>
          </w:p>
        </w:tc>
        <w:tc>
          <w:tcPr>
            <w:tcW w:w="2947" w:type="dxa"/>
          </w:tcPr>
          <w:p w:rsidRPr="00AE18A5" w:rsidR="009452F1" w:rsidP="009452F1" w:rsidRDefault="009452F1" w14:paraId="3179444C" w14:textId="77777777">
            <w:pPr>
              <w:rPr>
                <w:color w:val="000000"/>
                <w:sz w:val="20"/>
                <w:szCs w:val="20"/>
              </w:rPr>
            </w:pPr>
            <w:r w:rsidRPr="00AE18A5">
              <w:rPr>
                <w:color w:val="000000"/>
                <w:sz w:val="20"/>
                <w:szCs w:val="20"/>
              </w:rPr>
              <w:t xml:space="preserve">1 focus group (8 people) and </w:t>
            </w:r>
            <w:r>
              <w:rPr>
                <w:color w:val="000000"/>
                <w:sz w:val="20"/>
                <w:szCs w:val="20"/>
              </w:rPr>
              <w:t>3</w:t>
            </w:r>
            <w:r w:rsidRPr="00AE18A5">
              <w:rPr>
                <w:color w:val="000000"/>
                <w:sz w:val="20"/>
                <w:szCs w:val="20"/>
              </w:rPr>
              <w:t xml:space="preserve"> in-depth interview</w:t>
            </w:r>
            <w:r>
              <w:rPr>
                <w:color w:val="000000"/>
                <w:sz w:val="20"/>
                <w:szCs w:val="20"/>
              </w:rPr>
              <w:t>s</w:t>
            </w:r>
          </w:p>
        </w:tc>
        <w:tc>
          <w:tcPr>
            <w:tcW w:w="1598" w:type="dxa"/>
          </w:tcPr>
          <w:p w:rsidRPr="00AE18A5" w:rsidR="009452F1" w:rsidP="009452F1" w:rsidRDefault="009452F1" w14:paraId="143DD893" w14:textId="77777777">
            <w:pPr>
              <w:rPr>
                <w:color w:val="000000"/>
                <w:sz w:val="20"/>
                <w:szCs w:val="20"/>
              </w:rPr>
            </w:pPr>
            <w:r>
              <w:rPr>
                <w:color w:val="000000"/>
                <w:sz w:val="20"/>
                <w:szCs w:val="20"/>
              </w:rPr>
              <w:t>1</w:t>
            </w:r>
            <w:r w:rsidRPr="00AE18A5">
              <w:rPr>
                <w:color w:val="000000"/>
                <w:sz w:val="20"/>
                <w:szCs w:val="20"/>
              </w:rPr>
              <w:t xml:space="preserve"> focus groups (8 people)</w:t>
            </w:r>
          </w:p>
        </w:tc>
      </w:tr>
      <w:tr w:rsidRPr="00AE18A5" w:rsidR="009452F1" w:rsidTr="009452F1" w14:paraId="3239B7F3" w14:textId="77777777">
        <w:trPr>
          <w:trHeight w:val="744"/>
        </w:trPr>
        <w:tc>
          <w:tcPr>
            <w:tcW w:w="630" w:type="dxa"/>
            <w:shd w:val="clear" w:color="auto" w:fill="DBE5F1" w:themeFill="accent1" w:themeFillTint="33"/>
          </w:tcPr>
          <w:p w:rsidRPr="00AE18A5" w:rsidR="009452F1" w:rsidP="009452F1" w:rsidRDefault="009452F1" w14:paraId="5634B377" w14:textId="77777777">
            <w:pPr>
              <w:rPr>
                <w:color w:val="000000"/>
                <w:sz w:val="20"/>
                <w:szCs w:val="20"/>
              </w:rPr>
            </w:pPr>
            <w:r w:rsidRPr="00AE18A5">
              <w:rPr>
                <w:color w:val="000000"/>
                <w:sz w:val="20"/>
                <w:szCs w:val="20"/>
              </w:rPr>
              <w:t>2</w:t>
            </w:r>
          </w:p>
        </w:tc>
        <w:tc>
          <w:tcPr>
            <w:tcW w:w="1260" w:type="dxa"/>
            <w:shd w:val="clear" w:color="auto" w:fill="DBE5F1" w:themeFill="accent1" w:themeFillTint="33"/>
          </w:tcPr>
          <w:p w:rsidRPr="00AE18A5" w:rsidR="009452F1" w:rsidP="009452F1" w:rsidRDefault="009452F1" w14:paraId="3ED5C787" w14:textId="77777777">
            <w:pPr>
              <w:rPr>
                <w:color w:val="000000"/>
                <w:sz w:val="20"/>
                <w:szCs w:val="20"/>
              </w:rPr>
            </w:pPr>
            <w:r w:rsidRPr="00AE18A5">
              <w:rPr>
                <w:color w:val="000000"/>
                <w:sz w:val="20"/>
                <w:szCs w:val="20"/>
              </w:rPr>
              <w:t>Urban</w:t>
            </w:r>
          </w:p>
        </w:tc>
        <w:tc>
          <w:tcPr>
            <w:tcW w:w="1434" w:type="dxa"/>
            <w:shd w:val="clear" w:color="auto" w:fill="auto"/>
          </w:tcPr>
          <w:p w:rsidR="009452F1" w:rsidP="009452F1" w:rsidRDefault="009452F1" w14:paraId="2A546414" w14:textId="77777777">
            <w:pPr>
              <w:rPr>
                <w:color w:val="000000"/>
                <w:sz w:val="20"/>
                <w:szCs w:val="20"/>
              </w:rPr>
            </w:pPr>
            <w:r>
              <w:rPr>
                <w:color w:val="000000"/>
                <w:sz w:val="20"/>
                <w:szCs w:val="20"/>
              </w:rPr>
              <w:t>1</w:t>
            </w:r>
            <w:r w:rsidRPr="00AE18A5">
              <w:rPr>
                <w:color w:val="000000"/>
                <w:sz w:val="20"/>
                <w:szCs w:val="20"/>
              </w:rPr>
              <w:t xml:space="preserve"> focus groups (8 people)</w:t>
            </w:r>
          </w:p>
        </w:tc>
        <w:tc>
          <w:tcPr>
            <w:tcW w:w="2009" w:type="dxa"/>
            <w:shd w:val="clear" w:color="auto" w:fill="auto"/>
          </w:tcPr>
          <w:p w:rsidR="009452F1" w:rsidP="009452F1" w:rsidRDefault="009452F1" w14:paraId="02902B89" w14:textId="77777777">
            <w:pPr>
              <w:rPr>
                <w:color w:val="000000"/>
                <w:sz w:val="20"/>
                <w:szCs w:val="20"/>
              </w:rPr>
            </w:pPr>
            <w:r>
              <w:rPr>
                <w:color w:val="000000"/>
                <w:sz w:val="20"/>
                <w:szCs w:val="20"/>
              </w:rPr>
              <w:t>3</w:t>
            </w:r>
            <w:r w:rsidRPr="00AE18A5">
              <w:rPr>
                <w:color w:val="000000"/>
                <w:sz w:val="20"/>
                <w:szCs w:val="20"/>
              </w:rPr>
              <w:t xml:space="preserve"> qualitative interviews</w:t>
            </w:r>
          </w:p>
        </w:tc>
        <w:tc>
          <w:tcPr>
            <w:tcW w:w="2947" w:type="dxa"/>
          </w:tcPr>
          <w:p w:rsidRPr="00AE18A5" w:rsidR="009452F1" w:rsidP="009452F1" w:rsidRDefault="009452F1" w14:paraId="6FE2D932" w14:textId="77777777">
            <w:pPr>
              <w:rPr>
                <w:color w:val="000000"/>
                <w:sz w:val="20"/>
                <w:szCs w:val="20"/>
              </w:rPr>
            </w:pPr>
            <w:r w:rsidRPr="00AE18A5">
              <w:rPr>
                <w:color w:val="000000"/>
                <w:sz w:val="20"/>
                <w:szCs w:val="20"/>
              </w:rPr>
              <w:t xml:space="preserve">1 focus group (8 people) and </w:t>
            </w:r>
            <w:r>
              <w:rPr>
                <w:color w:val="000000"/>
                <w:sz w:val="20"/>
                <w:szCs w:val="20"/>
              </w:rPr>
              <w:t>3</w:t>
            </w:r>
            <w:r w:rsidRPr="00AE18A5">
              <w:rPr>
                <w:color w:val="000000"/>
                <w:sz w:val="20"/>
                <w:szCs w:val="20"/>
              </w:rPr>
              <w:t xml:space="preserve"> in-depth interviews</w:t>
            </w:r>
          </w:p>
        </w:tc>
        <w:tc>
          <w:tcPr>
            <w:tcW w:w="1598" w:type="dxa"/>
          </w:tcPr>
          <w:p w:rsidRPr="00AE18A5" w:rsidR="009452F1" w:rsidP="009452F1" w:rsidRDefault="009452F1" w14:paraId="6CB3365E" w14:textId="77777777">
            <w:pPr>
              <w:rPr>
                <w:color w:val="000000"/>
                <w:sz w:val="20"/>
                <w:szCs w:val="20"/>
              </w:rPr>
            </w:pPr>
            <w:r>
              <w:rPr>
                <w:color w:val="000000"/>
                <w:sz w:val="20"/>
                <w:szCs w:val="20"/>
              </w:rPr>
              <w:t>1</w:t>
            </w:r>
            <w:r w:rsidRPr="00AE18A5">
              <w:rPr>
                <w:color w:val="000000"/>
                <w:sz w:val="20"/>
                <w:szCs w:val="20"/>
              </w:rPr>
              <w:t xml:space="preserve"> focus groups (8 people)</w:t>
            </w:r>
          </w:p>
        </w:tc>
      </w:tr>
    </w:tbl>
    <w:p w:rsidRPr="00A85512" w:rsidR="00B24D2E" w:rsidP="00B24D2E" w:rsidRDefault="00B24D2E" w14:paraId="4325D34C" w14:textId="2D877CBB">
      <w:r w:rsidRPr="00A85512">
        <w:rPr>
          <w:i/>
          <w:sz w:val="20"/>
          <w:szCs w:val="20"/>
        </w:rPr>
        <w:t xml:space="preserve">Note: </w:t>
      </w:r>
      <w:r w:rsidR="00C70258">
        <w:rPr>
          <w:i/>
          <w:sz w:val="20"/>
          <w:szCs w:val="20"/>
        </w:rPr>
        <w:t>12</w:t>
      </w:r>
      <w:r w:rsidRPr="00A85512">
        <w:rPr>
          <w:i/>
          <w:sz w:val="20"/>
          <w:szCs w:val="20"/>
        </w:rPr>
        <w:t xml:space="preserve"> focus groups and </w:t>
      </w:r>
      <w:r w:rsidR="00C70258">
        <w:rPr>
          <w:i/>
          <w:sz w:val="20"/>
          <w:szCs w:val="20"/>
        </w:rPr>
        <w:t>24</w:t>
      </w:r>
      <w:r w:rsidRPr="00A85512">
        <w:rPr>
          <w:i/>
          <w:sz w:val="20"/>
          <w:szCs w:val="20"/>
        </w:rPr>
        <w:t xml:space="preserve"> in-depth interviews; </w:t>
      </w:r>
      <w:r w:rsidR="00C70258">
        <w:rPr>
          <w:i/>
          <w:sz w:val="20"/>
          <w:szCs w:val="20"/>
        </w:rPr>
        <w:t>120</w:t>
      </w:r>
      <w:r w:rsidRPr="00A85512">
        <w:rPr>
          <w:i/>
          <w:sz w:val="20"/>
          <w:szCs w:val="20"/>
        </w:rPr>
        <w:t xml:space="preserve"> participants</w:t>
      </w:r>
    </w:p>
    <w:p w:rsidR="00067DEA" w:rsidP="005F0BAF" w:rsidRDefault="00067DEA" w14:paraId="6C322A35" w14:textId="77777777">
      <w:pPr>
        <w:autoSpaceDE w:val="0"/>
        <w:autoSpaceDN w:val="0"/>
        <w:adjustRightInd w:val="0"/>
        <w:rPr>
          <w:i/>
          <w:iCs/>
        </w:rPr>
      </w:pPr>
    </w:p>
    <w:p w:rsidRPr="00C712BA" w:rsidR="00E12F5E" w:rsidP="00E12F5E" w:rsidRDefault="00B85391" w14:paraId="74CD6D52" w14:textId="149F61D5">
      <w:pPr>
        <w:autoSpaceDE w:val="0"/>
        <w:autoSpaceDN w:val="0"/>
        <w:adjustRightInd w:val="0"/>
      </w:pPr>
      <w:r w:rsidRPr="00C712BA">
        <w:t>The focus groups/interviews will use d</w:t>
      </w:r>
      <w:r w:rsidRPr="00C712BA" w:rsidR="00F4352D">
        <w:t>iscussion guide</w:t>
      </w:r>
      <w:r w:rsidRPr="00C712BA" w:rsidR="00D36696">
        <w:t>s</w:t>
      </w:r>
      <w:r w:rsidRPr="00C712BA" w:rsidR="00F4352D">
        <w:t xml:space="preserve"> </w:t>
      </w:r>
      <w:r w:rsidRPr="00C712BA">
        <w:t xml:space="preserve">that </w:t>
      </w:r>
      <w:r w:rsidRPr="00C712BA" w:rsidR="00F4352D">
        <w:t>w</w:t>
      </w:r>
      <w:r w:rsidRPr="00C712BA" w:rsidR="00D36696">
        <w:t>ill be</w:t>
      </w:r>
      <w:r w:rsidRPr="00C712BA" w:rsidR="00F4352D">
        <w:t xml:space="preserve"> adapted from the Formative Research on Opioids and Their Impact on Children, Youth, and Families</w:t>
      </w:r>
      <w:r w:rsidRPr="00C712BA">
        <w:t xml:space="preserve"> study</w:t>
      </w:r>
      <w:r w:rsidRPr="00C712BA" w:rsidR="00F4352D">
        <w:t xml:space="preserve"> (OMB#0990-0421).</w:t>
      </w:r>
      <w:r w:rsidRPr="00C712BA" w:rsidR="00F26D0B">
        <w:t xml:space="preserve"> </w:t>
      </w:r>
      <w:r w:rsidRPr="00C712BA" w:rsidR="00672BBB">
        <w:t>The survey is comprised of demographic items</w:t>
      </w:r>
      <w:r w:rsidRPr="00C712BA" w:rsidR="00F26D0B">
        <w:t xml:space="preserve"> </w:t>
      </w:r>
      <w:r w:rsidRPr="00C712BA" w:rsidR="00672BBB">
        <w:t xml:space="preserve">adapted </w:t>
      </w:r>
      <w:r w:rsidRPr="00C712BA" w:rsidR="002164CD">
        <w:t>for AI/AN populations</w:t>
      </w:r>
      <w:r w:rsidR="005E1449">
        <w:t>.</w:t>
      </w:r>
    </w:p>
    <w:p w:rsidRPr="00C712BA" w:rsidR="00E12F5E" w:rsidP="00E12F5E" w:rsidRDefault="00E12F5E" w14:paraId="64DC88F3" w14:textId="77777777">
      <w:pPr>
        <w:autoSpaceDE w:val="0"/>
        <w:autoSpaceDN w:val="0"/>
        <w:adjustRightInd w:val="0"/>
      </w:pPr>
    </w:p>
    <w:p w:rsidRPr="00C712BA" w:rsidR="00E12F5E" w:rsidP="00E12F5E" w:rsidRDefault="0017163C" w14:paraId="09F21703" w14:textId="17A20040">
      <w:pPr>
        <w:autoSpaceDE w:val="0"/>
        <w:autoSpaceDN w:val="0"/>
        <w:adjustRightInd w:val="0"/>
      </w:pPr>
      <w:bookmarkStart w:name="_Hlk68107361" w:id="15"/>
      <w:r w:rsidRPr="00A15346">
        <w:t>A</w:t>
      </w:r>
      <w:r w:rsidRPr="00A15346" w:rsidR="00E12F5E">
        <w:t xml:space="preserve">ll protocols for studies conducted under this ICR </w:t>
      </w:r>
      <w:r w:rsidR="007C5C01">
        <w:t xml:space="preserve">have </w:t>
      </w:r>
      <w:r w:rsidRPr="00A15346" w:rsidR="00E12F5E">
        <w:t>undergo</w:t>
      </w:r>
      <w:r w:rsidRPr="00A15346">
        <w:t>ne</w:t>
      </w:r>
      <w:r w:rsidRPr="00A15346" w:rsidR="00E12F5E">
        <w:t xml:space="preserve"> </w:t>
      </w:r>
      <w:r w:rsidR="009452F1">
        <w:t>H</w:t>
      </w:r>
      <w:r w:rsidRPr="00A15346" w:rsidR="00E12F5E">
        <w:t xml:space="preserve">uman </w:t>
      </w:r>
      <w:r w:rsidR="009452F1">
        <w:t>S</w:t>
      </w:r>
      <w:r w:rsidRPr="00A15346" w:rsidR="00E12F5E">
        <w:t>ubject</w:t>
      </w:r>
      <w:r w:rsidRPr="00A15346" w:rsidR="00421226">
        <w:t>s</w:t>
      </w:r>
      <w:r w:rsidRPr="00A15346" w:rsidR="00E12F5E">
        <w:t xml:space="preserve"> </w:t>
      </w:r>
      <w:r w:rsidR="009452F1">
        <w:t>P</w:t>
      </w:r>
      <w:r w:rsidRPr="00A15346" w:rsidR="00E12F5E">
        <w:t xml:space="preserve">rotection </w:t>
      </w:r>
      <w:r w:rsidR="009452F1">
        <w:t xml:space="preserve">regulation </w:t>
      </w:r>
      <w:r w:rsidRPr="00A15346" w:rsidR="00E12F5E">
        <w:t xml:space="preserve">review </w:t>
      </w:r>
      <w:r w:rsidRPr="00A15346" w:rsidR="00B85035">
        <w:t xml:space="preserve">at </w:t>
      </w:r>
      <w:r w:rsidRPr="007F450C">
        <w:rPr>
          <w:i/>
          <w:iCs/>
        </w:rPr>
        <w:t>W</w:t>
      </w:r>
      <w:r w:rsidRPr="007F450C" w:rsidR="007F450C">
        <w:rPr>
          <w:i/>
          <w:iCs/>
        </w:rPr>
        <w:t xml:space="preserve">CG </w:t>
      </w:r>
      <w:r w:rsidRPr="007F450C">
        <w:rPr>
          <w:i/>
          <w:iCs/>
        </w:rPr>
        <w:t>IRB</w:t>
      </w:r>
      <w:r w:rsidRPr="007F450C" w:rsidR="00A15346">
        <w:rPr>
          <w:i/>
          <w:iCs/>
        </w:rPr>
        <w:t>.</w:t>
      </w:r>
      <w:r w:rsidRPr="007F450C" w:rsidR="00A15346">
        <w:t xml:space="preserve"> </w:t>
      </w:r>
      <w:r w:rsidR="00A15346">
        <w:t xml:space="preserve">Protocols may undergo further </w:t>
      </w:r>
      <w:r w:rsidR="009452F1">
        <w:t>H</w:t>
      </w:r>
      <w:r w:rsidRPr="00A15346" w:rsidR="009452F1">
        <w:t xml:space="preserve">uman </w:t>
      </w:r>
      <w:r w:rsidR="009452F1">
        <w:t>S</w:t>
      </w:r>
      <w:r w:rsidRPr="00A15346" w:rsidR="009452F1">
        <w:t xml:space="preserve">ubjects </w:t>
      </w:r>
      <w:r w:rsidR="009452F1">
        <w:t>P</w:t>
      </w:r>
      <w:r w:rsidRPr="00A15346" w:rsidR="009452F1">
        <w:t xml:space="preserve">rotection </w:t>
      </w:r>
      <w:r w:rsidR="00A15346">
        <w:t>- and community- protections</w:t>
      </w:r>
      <w:r w:rsidRPr="00A15346" w:rsidR="007354F6">
        <w:t xml:space="preserve"> review </w:t>
      </w:r>
      <w:r w:rsidRPr="00A15346" w:rsidR="00946929">
        <w:t xml:space="preserve">according </w:t>
      </w:r>
      <w:r w:rsidRPr="00A15346" w:rsidR="00E12F5E">
        <w:t>to</w:t>
      </w:r>
      <w:r w:rsidRPr="00A15346" w:rsidR="007354F6">
        <w:t xml:space="preserve"> </w:t>
      </w:r>
      <w:r w:rsidRPr="00A15346" w:rsidR="00946929">
        <w:t xml:space="preserve">procedures of </w:t>
      </w:r>
      <w:r w:rsidRPr="00A15346" w:rsidR="00E12F5E">
        <w:t>each Tribal entity.</w:t>
      </w:r>
    </w:p>
    <w:bookmarkEnd w:id="15"/>
    <w:p w:rsidRPr="00C712BA" w:rsidR="009C15A2" w:rsidP="00672BBB" w:rsidRDefault="009C15A2" w14:paraId="0600116D" w14:textId="77777777">
      <w:pPr>
        <w:autoSpaceDE w:val="0"/>
        <w:autoSpaceDN w:val="0"/>
        <w:adjustRightInd w:val="0"/>
      </w:pPr>
    </w:p>
    <w:p w:rsidRPr="00C712BA" w:rsidR="00972DEF" w:rsidP="00D84CAC" w:rsidRDefault="00972DEF" w14:paraId="256D8DB2" w14:textId="575CA4AB">
      <w:pPr>
        <w:autoSpaceDE w:val="0"/>
        <w:autoSpaceDN w:val="0"/>
        <w:adjustRightInd w:val="0"/>
        <w:rPr>
          <w:b/>
          <w:bCs/>
        </w:rPr>
      </w:pPr>
      <w:r w:rsidRPr="00C712BA">
        <w:rPr>
          <w:b/>
          <w:bCs/>
        </w:rPr>
        <w:t xml:space="preserve">A.3. </w:t>
      </w:r>
      <w:r w:rsidRPr="00C712BA">
        <w:rPr>
          <w:b/>
          <w:bCs/>
        </w:rPr>
        <w:tab/>
        <w:t>Use of Improved Information Technology and Burden Reduction</w:t>
      </w:r>
    </w:p>
    <w:p w:rsidRPr="00C712BA" w:rsidR="002810C8" w:rsidP="00D84CAC" w:rsidRDefault="002810C8" w14:paraId="257D6B83" w14:textId="77777777">
      <w:pPr>
        <w:autoSpaceDE w:val="0"/>
        <w:autoSpaceDN w:val="0"/>
        <w:adjustRightInd w:val="0"/>
        <w:rPr>
          <w:b/>
          <w:bCs/>
        </w:rPr>
      </w:pPr>
    </w:p>
    <w:p w:rsidRPr="00C712BA" w:rsidR="00634C79" w:rsidP="005946E2" w:rsidRDefault="00A45130" w14:paraId="6E285880" w14:textId="37CE62F3">
      <w:pPr>
        <w:rPr>
          <w:bCs/>
        </w:rPr>
      </w:pPr>
      <w:r w:rsidRPr="00C712BA">
        <w:rPr>
          <w:bCs/>
        </w:rPr>
        <w:t>This ICR involves the use of qualitative methods to quickly collect timely data to understand issues affecting AI/AN populations with the greatest risk for ACEs and opioid misuse in specific</w:t>
      </w:r>
      <w:r w:rsidRPr="00C712BA" w:rsidR="00E414F8">
        <w:rPr>
          <w:bCs/>
        </w:rPr>
        <w:t xml:space="preserve"> </w:t>
      </w:r>
      <w:r w:rsidRPr="00C712BA">
        <w:rPr>
          <w:bCs/>
        </w:rPr>
        <w:t>communities within the U</w:t>
      </w:r>
      <w:r w:rsidRPr="00C712BA" w:rsidR="00B85035">
        <w:rPr>
          <w:bCs/>
        </w:rPr>
        <w:t>.</w:t>
      </w:r>
      <w:r w:rsidRPr="00C712BA">
        <w:rPr>
          <w:bCs/>
        </w:rPr>
        <w:t xml:space="preserve">S. </w:t>
      </w:r>
      <w:r w:rsidRPr="00C712BA" w:rsidR="005946E2">
        <w:rPr>
          <w:bCs/>
        </w:rPr>
        <w:t xml:space="preserve">Focus groups/interviews will be supported by digital audio recordings using handheld devices </w:t>
      </w:r>
      <w:r w:rsidRPr="00C712BA" w:rsidR="00B85391">
        <w:rPr>
          <w:bCs/>
        </w:rPr>
        <w:t>with</w:t>
      </w:r>
      <w:r w:rsidRPr="00C712BA" w:rsidR="005946E2">
        <w:rPr>
          <w:bCs/>
        </w:rPr>
        <w:t xml:space="preserve"> the consent of the </w:t>
      </w:r>
      <w:r w:rsidRPr="00C712BA" w:rsidR="00C920D0">
        <w:rPr>
          <w:bCs/>
        </w:rPr>
        <w:t>respondent</w:t>
      </w:r>
      <w:r w:rsidRPr="00C712BA" w:rsidR="005946E2">
        <w:rPr>
          <w:bCs/>
        </w:rPr>
        <w:t>s.</w:t>
      </w:r>
      <w:r w:rsidRPr="00C712BA" w:rsidR="00634C79">
        <w:rPr>
          <w:bCs/>
        </w:rPr>
        <w:t xml:space="preserve"> If any </w:t>
      </w:r>
      <w:r w:rsidRPr="00C712BA" w:rsidR="00FC54FC">
        <w:rPr>
          <w:bCs/>
        </w:rPr>
        <w:t xml:space="preserve">respondent </w:t>
      </w:r>
      <w:r w:rsidRPr="00C712BA" w:rsidR="00634C79">
        <w:rPr>
          <w:bCs/>
        </w:rPr>
        <w:t>does not agree to being audio recorded, research staff will take notes during the focus group/interview.</w:t>
      </w:r>
      <w:r w:rsidRPr="00C712BA" w:rsidR="004D6FFD">
        <w:rPr>
          <w:bCs/>
        </w:rPr>
        <w:t xml:space="preserve"> Paper copies will be used for informed consent and survey completion</w:t>
      </w:r>
      <w:r w:rsidRPr="00C712BA" w:rsidR="00B85035">
        <w:rPr>
          <w:bCs/>
        </w:rPr>
        <w:t xml:space="preserve"> (in person or through </w:t>
      </w:r>
      <w:r w:rsidR="00C267E7">
        <w:rPr>
          <w:bCs/>
        </w:rPr>
        <w:t xml:space="preserve">a secure online </w:t>
      </w:r>
      <w:r w:rsidRPr="00832BA6" w:rsidR="00C267E7">
        <w:rPr>
          <w:bCs/>
        </w:rPr>
        <w:t>platform or by phone</w:t>
      </w:r>
      <w:r w:rsidRPr="00832BA6" w:rsidR="00707F8A">
        <w:rPr>
          <w:bCs/>
        </w:rPr>
        <w:t xml:space="preserve"> </w:t>
      </w:r>
      <w:r w:rsidRPr="00832BA6" w:rsidR="00B85035">
        <w:rPr>
          <w:bCs/>
        </w:rPr>
        <w:t>if necessary</w:t>
      </w:r>
      <w:r w:rsidRPr="00C712BA" w:rsidR="00B85035">
        <w:rPr>
          <w:bCs/>
        </w:rPr>
        <w:t>)</w:t>
      </w:r>
      <w:r w:rsidRPr="00C712BA" w:rsidR="004D6FFD">
        <w:rPr>
          <w:bCs/>
        </w:rPr>
        <w:t>.</w:t>
      </w:r>
      <w:r w:rsidR="00833B5E">
        <w:rPr>
          <w:bCs/>
        </w:rPr>
        <w:t xml:space="preserve"> </w:t>
      </w:r>
      <w:r w:rsidRPr="00C712BA" w:rsidR="00833B5E">
        <w:rPr>
          <w:bCs/>
        </w:rPr>
        <w:t>The focus groups/interviews and written surveys will collect only the minimum information necessary for the purposes of the research</w:t>
      </w:r>
      <w:r w:rsidR="00A81E58">
        <w:rPr>
          <w:bCs/>
        </w:rPr>
        <w:t>.</w:t>
      </w:r>
      <w:r w:rsidRPr="00C712BA" w:rsidR="00833B5E">
        <w:rPr>
          <w:bCs/>
        </w:rPr>
        <w:t xml:space="preserve"> Research staff will prioritize questions in the discussion guides that are most central to the study and to the respondent’s experiences and thus cannot be addressed through other sources.</w:t>
      </w:r>
    </w:p>
    <w:p w:rsidRPr="00C712BA" w:rsidR="004D6FFD" w:rsidP="005946E2" w:rsidRDefault="004D6FFD" w14:paraId="42D19F60" w14:textId="77777777">
      <w:pPr>
        <w:rPr>
          <w:bCs/>
        </w:rPr>
      </w:pPr>
    </w:p>
    <w:p w:rsidRPr="00C712BA" w:rsidR="00A45130" w:rsidP="005946E2" w:rsidRDefault="00034A81" w14:paraId="092B342D" w14:textId="772E1679">
      <w:r w:rsidRPr="00C712BA">
        <w:rPr>
          <w:bCs/>
        </w:rPr>
        <w:lastRenderedPageBreak/>
        <w:t xml:space="preserve">Focus groups/interviews will be scheduled to occur at a time that is convenient for the </w:t>
      </w:r>
      <w:r w:rsidRPr="00C712BA" w:rsidR="00A87D03">
        <w:rPr>
          <w:bCs/>
        </w:rPr>
        <w:t>respondent</w:t>
      </w:r>
      <w:r w:rsidRPr="00C712BA">
        <w:rPr>
          <w:bCs/>
        </w:rPr>
        <w:t xml:space="preserve">s and requests to reschedule will be accommodated. </w:t>
      </w:r>
      <w:r w:rsidRPr="00C712BA" w:rsidR="005946E2">
        <w:t>It is possible that</w:t>
      </w:r>
      <w:r w:rsidRPr="00C712BA" w:rsidR="00FC54FC">
        <w:t xml:space="preserve"> respondent</w:t>
      </w:r>
      <w:r w:rsidRPr="00C712BA" w:rsidR="005946E2">
        <w:t xml:space="preserve">s may not be available during the scheduled site visit and/or that some sessions may need to </w:t>
      </w:r>
      <w:r w:rsidRPr="00C712BA">
        <w:t xml:space="preserve">be </w:t>
      </w:r>
      <w:r w:rsidRPr="00C712BA" w:rsidR="005946E2">
        <w:t xml:space="preserve">completed after the site visit. In these cases, the research team will conduct interviews remotely by phone </w:t>
      </w:r>
      <w:r w:rsidR="00463F9A">
        <w:t xml:space="preserve">or via a secure online platform </w:t>
      </w:r>
      <w:r w:rsidRPr="00C712BA" w:rsidR="005946E2">
        <w:t>to maximize the potential for participation and reduce burden.</w:t>
      </w:r>
    </w:p>
    <w:p w:rsidRPr="00C712BA" w:rsidR="00F1005A" w:rsidP="00D84CAC" w:rsidRDefault="00F1005A" w14:paraId="56A0B2DB" w14:textId="1D6CAF1A"/>
    <w:p w:rsidRPr="00C712BA" w:rsidR="00972DEF" w:rsidP="00D84CAC" w:rsidRDefault="00972DEF" w14:paraId="256D8DB4" w14:textId="77777777">
      <w:pPr>
        <w:autoSpaceDE w:val="0"/>
        <w:autoSpaceDN w:val="0"/>
        <w:adjustRightInd w:val="0"/>
        <w:rPr>
          <w:b/>
          <w:bCs/>
        </w:rPr>
      </w:pPr>
      <w:r w:rsidRPr="00C712BA">
        <w:rPr>
          <w:b/>
          <w:bCs/>
        </w:rPr>
        <w:t xml:space="preserve">A.4. </w:t>
      </w:r>
      <w:r w:rsidRPr="00C712BA">
        <w:rPr>
          <w:b/>
          <w:bCs/>
        </w:rPr>
        <w:tab/>
        <w:t>Efforts to Identify Duplication and Use of Similar Information</w:t>
      </w:r>
    </w:p>
    <w:p w:rsidRPr="00C712BA" w:rsidR="00DC6F96" w:rsidP="00C02C02" w:rsidRDefault="00DC6F96" w14:paraId="7534C663" w14:textId="71E210D6">
      <w:pPr>
        <w:autoSpaceDE w:val="0"/>
        <w:autoSpaceDN w:val="0"/>
        <w:adjustRightInd w:val="0"/>
      </w:pPr>
    </w:p>
    <w:p w:rsidR="001D4857" w:rsidP="00D066AF" w:rsidRDefault="00AB7A1F" w14:paraId="5D3AE452" w14:textId="495CD9F7">
      <w:pPr>
        <w:autoSpaceDE w:val="0"/>
        <w:autoSpaceDN w:val="0"/>
        <w:adjustRightInd w:val="0"/>
      </w:pPr>
      <w:r w:rsidRPr="00C712BA">
        <w:t>T</w:t>
      </w:r>
      <w:r w:rsidRPr="00C712BA" w:rsidR="00D33C47">
        <w:t xml:space="preserve">he </w:t>
      </w:r>
      <w:r w:rsidRPr="00C712BA" w:rsidR="004D251E">
        <w:t>ICR</w:t>
      </w:r>
      <w:r w:rsidRPr="00C712BA">
        <w:t xml:space="preserve"> </w:t>
      </w:r>
      <w:r w:rsidRPr="00C712BA" w:rsidR="00D33C47">
        <w:t>represents a ne</w:t>
      </w:r>
      <w:r w:rsidRPr="00C712BA" w:rsidR="00C34840">
        <w:t xml:space="preserve">w </w:t>
      </w:r>
      <w:r w:rsidRPr="00C712BA" w:rsidR="00D33C47">
        <w:t>effort</w:t>
      </w:r>
      <w:r w:rsidRPr="00C712BA" w:rsidR="001D4857">
        <w:t xml:space="preserve"> </w:t>
      </w:r>
      <w:r w:rsidRPr="00C712BA" w:rsidR="00D33C47">
        <w:t>to identify protective factors and strategies to prevent ACEs and substance misuse</w:t>
      </w:r>
      <w:r w:rsidR="0043457A">
        <w:t xml:space="preserve"> (e.g.,</w:t>
      </w:r>
      <w:r w:rsidR="00543A61">
        <w:t xml:space="preserve"> opioid use disorder</w:t>
      </w:r>
      <w:r w:rsidR="0043457A">
        <w:t>)</w:t>
      </w:r>
      <w:r w:rsidRPr="00C712BA" w:rsidR="00D33C47">
        <w:t xml:space="preserve"> in urban and rural</w:t>
      </w:r>
      <w:r w:rsidR="00A15346">
        <w:t>/</w:t>
      </w:r>
      <w:r w:rsidR="002038A1">
        <w:t>reservation</w:t>
      </w:r>
      <w:r w:rsidRPr="00C712BA" w:rsidR="002038A1">
        <w:t xml:space="preserve"> Tribal</w:t>
      </w:r>
      <w:r w:rsidRPr="00C712BA" w:rsidR="00D33C47">
        <w:t xml:space="preserve"> communities. </w:t>
      </w:r>
      <w:r w:rsidRPr="00C712BA" w:rsidR="00AA7C3E">
        <w:t>Th</w:t>
      </w:r>
      <w:r w:rsidRPr="00C712BA" w:rsidR="00704F11">
        <w:t xml:space="preserve">e </w:t>
      </w:r>
      <w:r w:rsidRPr="00C712BA" w:rsidR="00AA7C3E">
        <w:t>generic collection that CDC NCIPC i</w:t>
      </w:r>
      <w:r w:rsidR="00497334">
        <w:t>s</w:t>
      </w:r>
      <w:r w:rsidRPr="00C712BA" w:rsidR="00AA7C3E">
        <w:t xml:space="preserve"> conducting with the Assistant Secretary for Planning and Evaluation </w:t>
      </w:r>
      <w:r w:rsidR="00603DA7">
        <w:t xml:space="preserve">(ASPE) </w:t>
      </w:r>
      <w:r w:rsidRPr="00C712BA" w:rsidR="00AA7C3E">
        <w:t>entitled</w:t>
      </w:r>
      <w:r w:rsidRPr="00C712BA" w:rsidR="001D4857">
        <w:t>,</w:t>
      </w:r>
      <w:r w:rsidRPr="00C712BA" w:rsidR="00AA7C3E">
        <w:t xml:space="preserve"> </w:t>
      </w:r>
      <w:r w:rsidRPr="00C712BA" w:rsidR="001D4857">
        <w:t>“</w:t>
      </w:r>
      <w:r w:rsidRPr="00C712BA" w:rsidR="00AA7C3E">
        <w:t>Addressing substance use disorders among families involved with the child welfare system: A cross-agency collaboration</w:t>
      </w:r>
      <w:r w:rsidRPr="00C712BA" w:rsidR="001D4857">
        <w:t>”</w:t>
      </w:r>
      <w:r w:rsidRPr="00C712BA" w:rsidR="00AA7C3E">
        <w:t xml:space="preserve"> (OMB# 0900-0421)</w:t>
      </w:r>
      <w:r w:rsidRPr="00C712BA">
        <w:t xml:space="preserve"> </w:t>
      </w:r>
      <w:r w:rsidRPr="00C712BA" w:rsidR="00205123">
        <w:t xml:space="preserve">has </w:t>
      </w:r>
      <w:r w:rsidRPr="00C712BA">
        <w:t xml:space="preserve">a </w:t>
      </w:r>
      <w:r w:rsidRPr="00C712BA" w:rsidR="00704F11">
        <w:t>share</w:t>
      </w:r>
      <w:r w:rsidRPr="00C712BA">
        <w:t>d</w:t>
      </w:r>
      <w:r w:rsidRPr="00C712BA" w:rsidR="00704F11">
        <w:t xml:space="preserve"> goal </w:t>
      </w:r>
      <w:r w:rsidRPr="00C712BA" w:rsidR="00AA7C3E">
        <w:t>of</w:t>
      </w:r>
      <w:r w:rsidRPr="00C712BA" w:rsidR="00704F11">
        <w:t xml:space="preserve"> </w:t>
      </w:r>
      <w:r w:rsidRPr="00C712BA" w:rsidR="00AA7C3E">
        <w:t xml:space="preserve">identifying promising strategies and potential factors that may protect children and families from ACE exposure and opioid misuse and </w:t>
      </w:r>
      <w:r w:rsidRPr="00C712BA">
        <w:t xml:space="preserve">data collection </w:t>
      </w:r>
      <w:r w:rsidRPr="00C712BA" w:rsidR="00AA7C3E">
        <w:t>in high burden rural</w:t>
      </w:r>
      <w:r w:rsidR="00A15346">
        <w:t xml:space="preserve">/reservation </w:t>
      </w:r>
      <w:r w:rsidRPr="00C712BA" w:rsidR="00AA7C3E">
        <w:t>communities.</w:t>
      </w:r>
      <w:r w:rsidRPr="00C712BA" w:rsidR="00D066AF">
        <w:t xml:space="preserve"> </w:t>
      </w:r>
      <w:r w:rsidRPr="00C712BA" w:rsidR="00C34840">
        <w:t>T</w:t>
      </w:r>
      <w:r w:rsidRPr="00C712BA" w:rsidR="00DC2DDA">
        <w:t xml:space="preserve">he </w:t>
      </w:r>
      <w:r w:rsidRPr="00C712BA" w:rsidR="00AA7C3E">
        <w:t>generic collection</w:t>
      </w:r>
      <w:r w:rsidRPr="00C712BA" w:rsidR="00C34840">
        <w:t>, however,</w:t>
      </w:r>
      <w:r w:rsidRPr="00C712BA" w:rsidR="00AA7C3E">
        <w:t xml:space="preserve"> does not contain adequate information on Tribal populations</w:t>
      </w:r>
      <w:r w:rsidRPr="00C712BA" w:rsidR="00C34840">
        <w:t>.</w:t>
      </w:r>
      <w:r w:rsidRPr="00C712BA" w:rsidR="00DC2DDA">
        <w:t xml:space="preserve"> </w:t>
      </w:r>
      <w:r w:rsidRPr="00C712BA" w:rsidR="00C34840">
        <w:t>T</w:t>
      </w:r>
      <w:r w:rsidRPr="00C712BA" w:rsidR="00DC2DDA">
        <w:t xml:space="preserve">he </w:t>
      </w:r>
      <w:r w:rsidRPr="00C712BA" w:rsidR="00B5373F">
        <w:t xml:space="preserve">current </w:t>
      </w:r>
      <w:r w:rsidRPr="00C712BA" w:rsidR="00DC2DDA">
        <w:t xml:space="preserve">data collection request </w:t>
      </w:r>
      <w:r w:rsidRPr="00C712BA" w:rsidR="00704F11">
        <w:t>address</w:t>
      </w:r>
      <w:r w:rsidRPr="00C712BA" w:rsidR="00C34840">
        <w:t>es</w:t>
      </w:r>
      <w:r w:rsidRPr="00C712BA" w:rsidR="00AA7C3E">
        <w:t xml:space="preserve"> this critical </w:t>
      </w:r>
      <w:r w:rsidRPr="00C712BA">
        <w:t xml:space="preserve">information </w:t>
      </w:r>
      <w:r w:rsidRPr="00C712BA" w:rsidR="00AA7C3E">
        <w:t>gap</w:t>
      </w:r>
      <w:r w:rsidR="00E755C0">
        <w:t xml:space="preserve">. </w:t>
      </w:r>
      <w:r w:rsidR="0014242F">
        <w:t>We are in regular communication with ASPE and will share f</w:t>
      </w:r>
      <w:r w:rsidR="00E755C0">
        <w:t>indings from this</w:t>
      </w:r>
      <w:r w:rsidR="0014242F">
        <w:t xml:space="preserve"> collection with ASPE</w:t>
      </w:r>
      <w:r w:rsidRPr="00C712BA" w:rsidR="001D4857">
        <w:t>.</w:t>
      </w:r>
      <w:r w:rsidR="00E755C0">
        <w:t xml:space="preserve">  </w:t>
      </w:r>
    </w:p>
    <w:p w:rsidRPr="00C712BA" w:rsidR="00833B5E" w:rsidP="00D066AF" w:rsidRDefault="00833B5E" w14:paraId="47827C6E" w14:textId="77777777">
      <w:pPr>
        <w:autoSpaceDE w:val="0"/>
        <w:autoSpaceDN w:val="0"/>
        <w:adjustRightInd w:val="0"/>
      </w:pPr>
    </w:p>
    <w:p w:rsidRPr="00C712BA" w:rsidR="00CA02AF" w:rsidP="00C634D3" w:rsidRDefault="00D066AF" w14:paraId="5B1442E1" w14:textId="6E57B1A9">
      <w:pPr>
        <w:autoSpaceDE w:val="0"/>
        <w:autoSpaceDN w:val="0"/>
        <w:adjustRightInd w:val="0"/>
      </w:pPr>
      <w:r w:rsidRPr="00C712BA">
        <w:t>CDC NCIPC reviewed</w:t>
      </w:r>
      <w:r w:rsidRPr="00C712BA" w:rsidR="00C34840">
        <w:t xml:space="preserve"> </w:t>
      </w:r>
      <w:r w:rsidRPr="00C712BA">
        <w:t>the Federal Register through RegInfo.gov</w:t>
      </w:r>
      <w:r w:rsidRPr="00C712BA" w:rsidR="00D33C47">
        <w:t xml:space="preserve"> </w:t>
      </w:r>
      <w:r w:rsidRPr="00C712BA" w:rsidR="002112FB">
        <w:t xml:space="preserve">for duplicate data collection efforts </w:t>
      </w:r>
      <w:r w:rsidRPr="00C712BA" w:rsidR="00AB7A1F">
        <w:t xml:space="preserve">and </w:t>
      </w:r>
      <w:r w:rsidRPr="00C712BA" w:rsidR="00D33C47">
        <w:t xml:space="preserve">reached out to other federal agencies that have an interest in Tribal communities, including the National Institutes of Health </w:t>
      </w:r>
      <w:r w:rsidRPr="00C712BA" w:rsidR="00246F41">
        <w:t xml:space="preserve">(NIH) </w:t>
      </w:r>
      <w:r w:rsidRPr="00C712BA" w:rsidR="00D33C47">
        <w:t>and the Administration for Children and Family (ACF)</w:t>
      </w:r>
      <w:r w:rsidRPr="00C712BA" w:rsidR="00810618">
        <w:t>.</w:t>
      </w:r>
      <w:r w:rsidRPr="00C712BA" w:rsidR="00CA02AF">
        <w:t xml:space="preserve"> </w:t>
      </w:r>
      <w:r w:rsidRPr="00C712BA" w:rsidR="002112FB">
        <w:t xml:space="preserve">Two studies from ACF that engage in relevant but not redundant efforts to the </w:t>
      </w:r>
      <w:r w:rsidRPr="00C712BA" w:rsidR="00B5373F">
        <w:t xml:space="preserve">current </w:t>
      </w:r>
      <w:r w:rsidRPr="00C712BA" w:rsidR="002112FB">
        <w:t xml:space="preserve">data collection request are </w:t>
      </w:r>
      <w:r w:rsidRPr="00C712BA" w:rsidR="00CA02AF">
        <w:t xml:space="preserve">(1) </w:t>
      </w:r>
      <w:r w:rsidRPr="00C712BA" w:rsidR="00113E81">
        <w:t>“Multi-Site Implementation Evaluation of Tribal Home Visiting” (OMB# 0970-0521)</w:t>
      </w:r>
      <w:r w:rsidRPr="00C712BA" w:rsidR="00B5373F">
        <w:t>, a collection that</w:t>
      </w:r>
      <w:r w:rsidRPr="00C712BA" w:rsidR="00C634D3">
        <w:t xml:space="preserve"> </w:t>
      </w:r>
      <w:r w:rsidRPr="00C712BA" w:rsidR="00113E81">
        <w:t>examine</w:t>
      </w:r>
      <w:r w:rsidRPr="00C712BA" w:rsidR="00B5373F">
        <w:t>s</w:t>
      </w:r>
      <w:r w:rsidRPr="00C712BA" w:rsidR="00113E81">
        <w:t xml:space="preserve"> how home visiting programs are operating across diverse Tribal community contexts </w:t>
      </w:r>
      <w:r w:rsidRPr="00C712BA" w:rsidR="00C634D3">
        <w:t>and</w:t>
      </w:r>
      <w:r w:rsidRPr="00C712BA" w:rsidR="00113E81">
        <w:t xml:space="preserve"> identif</w:t>
      </w:r>
      <w:r w:rsidRPr="00C712BA" w:rsidR="00B5373F">
        <w:t>ies</w:t>
      </w:r>
      <w:r w:rsidRPr="00C712BA" w:rsidR="00113E81">
        <w:t xml:space="preserve"> factors that lead to successful program implementation</w:t>
      </w:r>
      <w:r w:rsidRPr="00C712BA" w:rsidR="00B5373F">
        <w:t xml:space="preserve">; </w:t>
      </w:r>
      <w:r w:rsidRPr="00C712BA" w:rsidR="00C634D3">
        <w:t>and</w:t>
      </w:r>
      <w:r w:rsidRPr="00C712BA" w:rsidR="00113E81">
        <w:t xml:space="preserve"> </w:t>
      </w:r>
      <w:r w:rsidRPr="00C712BA" w:rsidR="00CA02AF">
        <w:t xml:space="preserve">(2) </w:t>
      </w:r>
      <w:r w:rsidRPr="00C712BA" w:rsidR="00113E81">
        <w:t>“OPRE Evaluations: Head Start Family and Child Experiences Survey (FACES 2019) (OMB# 0970-0151)</w:t>
      </w:r>
      <w:r w:rsidRPr="00C712BA" w:rsidR="00B5373F">
        <w:t xml:space="preserve">, a </w:t>
      </w:r>
      <w:r w:rsidRPr="00C712BA" w:rsidR="00113E81">
        <w:t>collect</w:t>
      </w:r>
      <w:r w:rsidRPr="00C712BA" w:rsidR="00B5373F">
        <w:t>ion of</w:t>
      </w:r>
      <w:r w:rsidRPr="00C712BA" w:rsidR="00113E81">
        <w:t xml:space="preserve"> data </w:t>
      </w:r>
      <w:r w:rsidRPr="00C712BA" w:rsidR="00810618">
        <w:t>on children’s development and home/classroom contexts for AI/AN children and families receiving services from Head Start</w:t>
      </w:r>
      <w:r w:rsidRPr="00C712BA" w:rsidR="00C634D3">
        <w:t>.</w:t>
      </w:r>
      <w:r w:rsidR="00603DA7">
        <w:t xml:space="preserve"> </w:t>
      </w:r>
      <w:r w:rsidR="0014242F">
        <w:t xml:space="preserve">We are in regular communication with ACF and will share findings from this collection with ACF as well as with </w:t>
      </w:r>
      <w:r w:rsidR="00603DA7">
        <w:t xml:space="preserve">NIH. </w:t>
      </w:r>
      <w:r w:rsidRPr="00C712BA" w:rsidR="00CA02AF">
        <w:t xml:space="preserve"> </w:t>
      </w:r>
    </w:p>
    <w:p w:rsidRPr="00C712BA" w:rsidR="005E0A67" w:rsidP="00D84CAC" w:rsidRDefault="005E0A67" w14:paraId="2F6BD5E9" w14:textId="77777777">
      <w:pPr>
        <w:autoSpaceDE w:val="0"/>
        <w:autoSpaceDN w:val="0"/>
        <w:adjustRightInd w:val="0"/>
      </w:pPr>
    </w:p>
    <w:p w:rsidRPr="00C712BA" w:rsidR="00972DEF" w:rsidP="00D84CAC" w:rsidRDefault="00972DEF" w14:paraId="256D8DB6" w14:textId="77777777">
      <w:pPr>
        <w:autoSpaceDE w:val="0"/>
        <w:autoSpaceDN w:val="0"/>
        <w:adjustRightInd w:val="0"/>
        <w:rPr>
          <w:b/>
          <w:bCs/>
        </w:rPr>
      </w:pPr>
      <w:r w:rsidRPr="00C712BA">
        <w:rPr>
          <w:b/>
          <w:bCs/>
        </w:rPr>
        <w:t xml:space="preserve">A.5. </w:t>
      </w:r>
      <w:r w:rsidRPr="00C712BA">
        <w:rPr>
          <w:b/>
          <w:bCs/>
        </w:rPr>
        <w:tab/>
        <w:t xml:space="preserve">Impact on Small Businesses or Other Small Entities </w:t>
      </w:r>
    </w:p>
    <w:p w:rsidRPr="00C712BA" w:rsidR="00972DEF" w:rsidP="00D84CAC" w:rsidRDefault="00972DEF" w14:paraId="256D8DB7" w14:textId="77777777">
      <w:pPr>
        <w:autoSpaceDE w:val="0"/>
        <w:autoSpaceDN w:val="0"/>
        <w:adjustRightInd w:val="0"/>
        <w:rPr>
          <w:b/>
          <w:bCs/>
        </w:rPr>
      </w:pPr>
    </w:p>
    <w:p w:rsidRPr="00C712BA" w:rsidR="0027700E" w:rsidP="00D84CAC" w:rsidRDefault="00F1005A" w14:paraId="256D8DB8" w14:textId="2097C770">
      <w:pPr>
        <w:autoSpaceDE w:val="0"/>
        <w:autoSpaceDN w:val="0"/>
        <w:adjustRightInd w:val="0"/>
      </w:pPr>
      <w:r w:rsidRPr="00C712BA">
        <w:t>Some data collection involve</w:t>
      </w:r>
      <w:r w:rsidR="00FF7A5D">
        <w:t>s</w:t>
      </w:r>
      <w:r w:rsidRPr="00C712BA">
        <w:t xml:space="preserve"> </w:t>
      </w:r>
      <w:r w:rsidRPr="00C712BA" w:rsidR="00FC54FC">
        <w:t>respondent</w:t>
      </w:r>
      <w:r w:rsidRPr="00C712BA">
        <w:t xml:space="preserve">s </w:t>
      </w:r>
      <w:r w:rsidR="007D2936">
        <w:t xml:space="preserve">(i.e., </w:t>
      </w:r>
      <w:r w:rsidR="00646861">
        <w:t xml:space="preserve">service </w:t>
      </w:r>
      <w:r w:rsidR="007D2936">
        <w:t xml:space="preserve">providers) </w:t>
      </w:r>
      <w:r w:rsidRPr="00C712BA">
        <w:t>from private agencies, such as health care practices; however, these data collections will not have a significant impact on the agencies or entities</w:t>
      </w:r>
      <w:r w:rsidR="00646861">
        <w:t xml:space="preserve"> due to the relatively small number of </w:t>
      </w:r>
      <w:r w:rsidR="00E1731F">
        <w:t>service providers</w:t>
      </w:r>
      <w:r w:rsidR="00646861">
        <w:t xml:space="preserve"> involved</w:t>
      </w:r>
      <w:r w:rsidRPr="00C712BA">
        <w:t xml:space="preserve">. </w:t>
      </w:r>
      <w:r w:rsidRPr="00C712BA" w:rsidR="00890D48">
        <w:t xml:space="preserve"> </w:t>
      </w:r>
      <w:r w:rsidRPr="00C712BA" w:rsidR="00C765FD">
        <w:t xml:space="preserve"> </w:t>
      </w:r>
    </w:p>
    <w:p w:rsidRPr="00C712BA" w:rsidR="00972DEF" w:rsidP="00D84CAC" w:rsidRDefault="00972DEF" w14:paraId="256D8DB9" w14:textId="77777777">
      <w:pPr>
        <w:autoSpaceDE w:val="0"/>
        <w:autoSpaceDN w:val="0"/>
        <w:adjustRightInd w:val="0"/>
      </w:pPr>
    </w:p>
    <w:p w:rsidRPr="00C712BA" w:rsidR="00972DEF" w:rsidP="00D84CAC" w:rsidRDefault="00972DEF" w14:paraId="256D8DBA" w14:textId="77777777">
      <w:pPr>
        <w:autoSpaceDE w:val="0"/>
        <w:autoSpaceDN w:val="0"/>
        <w:adjustRightInd w:val="0"/>
        <w:rPr>
          <w:b/>
          <w:bCs/>
        </w:rPr>
      </w:pPr>
      <w:r w:rsidRPr="00C712BA">
        <w:rPr>
          <w:b/>
          <w:bCs/>
        </w:rPr>
        <w:t xml:space="preserve">A.6. </w:t>
      </w:r>
      <w:r w:rsidRPr="00C712BA">
        <w:rPr>
          <w:b/>
          <w:bCs/>
        </w:rPr>
        <w:tab/>
        <w:t xml:space="preserve">Consequences of Collecting the Information Less Frequently </w:t>
      </w:r>
    </w:p>
    <w:p w:rsidRPr="00C712BA" w:rsidR="00972DEF" w:rsidP="00D84CAC" w:rsidRDefault="00972DEF" w14:paraId="256D8DBB" w14:textId="5B179317">
      <w:pPr>
        <w:autoSpaceDE w:val="0"/>
        <w:autoSpaceDN w:val="0"/>
        <w:adjustRightInd w:val="0"/>
      </w:pPr>
    </w:p>
    <w:p w:rsidRPr="00C712BA" w:rsidR="0018014D" w:rsidP="00C634D3" w:rsidRDefault="00ED7CBB" w14:paraId="72422D49" w14:textId="04F3B079">
      <w:pPr>
        <w:autoSpaceDE w:val="0"/>
        <w:autoSpaceDN w:val="0"/>
        <w:adjustRightInd w:val="0"/>
      </w:pPr>
      <w:r w:rsidRPr="00C712BA">
        <w:t xml:space="preserve">The data collection request is for a one-time data collection. No respondent will be asked to participate in more than one focus group/interview or survey, and there will be no recurrent or additional data collections under this OMB request. </w:t>
      </w:r>
      <w:r w:rsidRPr="00C712BA" w:rsidR="00C634D3">
        <w:t xml:space="preserve">The data collection request </w:t>
      </w:r>
      <w:r w:rsidRPr="00C712BA" w:rsidR="00A90F14">
        <w:t xml:space="preserve">involving </w:t>
      </w:r>
      <w:r w:rsidRPr="00C712BA" w:rsidR="009A171D">
        <w:t>Tribal</w:t>
      </w:r>
      <w:r w:rsidRPr="00C712BA" w:rsidR="00A90F14">
        <w:t xml:space="preserve"> communities </w:t>
      </w:r>
      <w:r w:rsidRPr="00C712BA" w:rsidR="00C634D3">
        <w:t xml:space="preserve">is a direct response to CDC NCIPC’s </w:t>
      </w:r>
      <w:r w:rsidRPr="00C712BA" w:rsidR="00A90F14">
        <w:t xml:space="preserve">efforts to prevent ACEs and substance misuse </w:t>
      </w:r>
      <w:r w:rsidRPr="00C712BA" w:rsidR="00A90F14">
        <w:lastRenderedPageBreak/>
        <w:t>before they occur</w:t>
      </w:r>
      <w:r w:rsidRPr="00C712BA" w:rsidR="00C634D3">
        <w:t xml:space="preserve"> </w:t>
      </w:r>
      <w:r w:rsidRPr="00C712BA" w:rsidR="00A90F14">
        <w:t xml:space="preserve">and </w:t>
      </w:r>
      <w:r w:rsidRPr="00C712BA" w:rsidR="00C634D3">
        <w:t xml:space="preserve">to </w:t>
      </w:r>
      <w:r w:rsidRPr="00C712BA" w:rsidR="00BD0A73">
        <w:t>build evidence of effectiveness at the outer levels of the social ecology in order to pr</w:t>
      </w:r>
      <w:r w:rsidRPr="00C712BA" w:rsidR="00A90F14">
        <w:t xml:space="preserve">ovide safe, stable, and nurturing relationships and environments for all children </w:t>
      </w:r>
      <w:r w:rsidRPr="00C712BA" w:rsidR="004C6A1D">
        <w:t xml:space="preserve">including AI/AN children </w:t>
      </w:r>
      <w:r w:rsidRPr="00C712BA" w:rsidR="00A90F14">
        <w:t>and their families.</w:t>
      </w:r>
      <w:r w:rsidRPr="00C712BA" w:rsidR="0018014D">
        <w:t xml:space="preserve"> </w:t>
      </w:r>
    </w:p>
    <w:p w:rsidRPr="00C712BA" w:rsidR="00111FDC" w:rsidP="00C634D3" w:rsidRDefault="00111FDC" w14:paraId="7AC4ADAB" w14:textId="664762FE">
      <w:pPr>
        <w:autoSpaceDE w:val="0"/>
        <w:autoSpaceDN w:val="0"/>
        <w:adjustRightInd w:val="0"/>
      </w:pPr>
    </w:p>
    <w:p w:rsidR="007D4D07" w:rsidP="00D84CAC" w:rsidRDefault="009A3D6B" w14:paraId="05D67BD5" w14:textId="3A1A0ABB">
      <w:pPr>
        <w:autoSpaceDE w:val="0"/>
        <w:autoSpaceDN w:val="0"/>
        <w:adjustRightInd w:val="0"/>
      </w:pPr>
      <w:r w:rsidRPr="00C712BA">
        <w:t xml:space="preserve">The data collection request </w:t>
      </w:r>
      <w:r w:rsidRPr="00C712BA" w:rsidR="004C6D0A">
        <w:t xml:space="preserve">involves </w:t>
      </w:r>
      <w:r w:rsidRPr="00C712BA">
        <w:t>individuals affected by the opioid epidemic in multiple rural</w:t>
      </w:r>
      <w:r w:rsidR="00545940">
        <w:t>/reservation</w:t>
      </w:r>
      <w:r w:rsidRPr="00C712BA">
        <w:t xml:space="preserve"> and urban </w:t>
      </w:r>
      <w:r w:rsidRPr="00C712BA" w:rsidR="00724709">
        <w:t>Tribal</w:t>
      </w:r>
      <w:r w:rsidRPr="00C712BA">
        <w:t xml:space="preserve"> communities. </w:t>
      </w:r>
      <w:r w:rsidRPr="00C712BA" w:rsidR="004F1836">
        <w:t xml:space="preserve">If data are not collected, </w:t>
      </w:r>
      <w:r w:rsidRPr="00C712BA" w:rsidR="00841F42">
        <w:t>we</w:t>
      </w:r>
      <w:r w:rsidRPr="00C712BA" w:rsidR="004C6A1D">
        <w:t xml:space="preserve"> will</w:t>
      </w:r>
      <w:r w:rsidRPr="00C712BA" w:rsidR="00841F42">
        <w:t xml:space="preserve"> be missing key opportunities to learn about promising strategies to support families</w:t>
      </w:r>
      <w:r w:rsidRPr="00C712BA" w:rsidR="00992AEE">
        <w:t>,</w:t>
      </w:r>
      <w:r w:rsidRPr="00C712BA" w:rsidR="00841F42">
        <w:t xml:space="preserve"> prevent violence, ACEs, and opioid</w:t>
      </w:r>
      <w:r w:rsidRPr="00C712BA" w:rsidR="004C6D0A">
        <w:t xml:space="preserve"> misuse</w:t>
      </w:r>
      <w:r w:rsidRPr="00C712BA" w:rsidR="00B81E9A">
        <w:t>;</w:t>
      </w:r>
      <w:r w:rsidRPr="00C712BA" w:rsidR="006C1B03">
        <w:t xml:space="preserve"> and</w:t>
      </w:r>
      <w:r w:rsidRPr="00C712BA" w:rsidR="004C6D0A">
        <w:t xml:space="preserve"> leverage </w:t>
      </w:r>
      <w:r w:rsidRPr="00C712BA" w:rsidR="00992AEE">
        <w:t xml:space="preserve">federal, state, or local opportunities </w:t>
      </w:r>
      <w:r w:rsidRPr="00C712BA" w:rsidR="004C6D0A">
        <w:t>to address challenges</w:t>
      </w:r>
      <w:r w:rsidRPr="00C712BA" w:rsidR="00841F42">
        <w:t xml:space="preserve"> across a range of </w:t>
      </w:r>
      <w:r w:rsidRPr="00C712BA" w:rsidR="009A171D">
        <w:t>Tribal</w:t>
      </w:r>
      <w:r w:rsidRPr="00C712BA" w:rsidR="00841F42">
        <w:t xml:space="preserve"> communities</w:t>
      </w:r>
      <w:r w:rsidRPr="00C712BA" w:rsidR="004C6D0A">
        <w:t>. W</w:t>
      </w:r>
      <w:r w:rsidRPr="00C712BA" w:rsidR="00111FDC">
        <w:t xml:space="preserve">ithout the data collection, </w:t>
      </w:r>
      <w:r w:rsidRPr="00C712BA" w:rsidR="004F1836">
        <w:t xml:space="preserve">we will </w:t>
      </w:r>
      <w:r w:rsidRPr="00C712BA" w:rsidR="00841F42">
        <w:t xml:space="preserve">be </w:t>
      </w:r>
      <w:r w:rsidRPr="00C712BA" w:rsidR="004F1836">
        <w:t xml:space="preserve">missing the </w:t>
      </w:r>
      <w:r w:rsidRPr="00C712BA" w:rsidR="004C6D0A">
        <w:t xml:space="preserve">voices and </w:t>
      </w:r>
      <w:r w:rsidRPr="00C712BA" w:rsidR="004F1836">
        <w:t>perspectives of AI/AN stakeholders (e.g., parents/caregivers, young adults) in developing prevention strategies</w:t>
      </w:r>
      <w:r w:rsidRPr="00C712BA" w:rsidR="00992AEE">
        <w:t>,</w:t>
      </w:r>
      <w:r w:rsidRPr="00C712BA" w:rsidR="002112FB">
        <w:t xml:space="preserve"> which </w:t>
      </w:r>
      <w:r w:rsidRPr="00C712BA" w:rsidR="00992AEE">
        <w:t>limit</w:t>
      </w:r>
      <w:r w:rsidRPr="00C712BA" w:rsidR="002112FB">
        <w:t xml:space="preserve">s </w:t>
      </w:r>
      <w:r w:rsidRPr="00C712BA" w:rsidR="00992AEE">
        <w:t>our ability to understand the nuances of implementing promising strategies</w:t>
      </w:r>
      <w:r w:rsidRPr="00C712BA" w:rsidR="002112FB">
        <w:t xml:space="preserve"> in </w:t>
      </w:r>
      <w:r w:rsidRPr="00C712BA" w:rsidR="009A171D">
        <w:t>Tribal</w:t>
      </w:r>
      <w:r w:rsidRPr="00C712BA" w:rsidR="002112FB">
        <w:t xml:space="preserve"> communities</w:t>
      </w:r>
      <w:r w:rsidRPr="00C712BA" w:rsidR="004F1836">
        <w:t xml:space="preserve">. </w:t>
      </w:r>
      <w:r w:rsidRPr="00C712BA" w:rsidR="00992AEE">
        <w:t>F</w:t>
      </w:r>
      <w:r w:rsidRPr="00C712BA" w:rsidR="006C1B03">
        <w:t xml:space="preserve">ocus groups/interviews with </w:t>
      </w:r>
      <w:r w:rsidRPr="00C712BA" w:rsidR="00111FDC">
        <w:t>individuals w</w:t>
      </w:r>
      <w:r w:rsidRPr="00C712BA" w:rsidR="006C1B03">
        <w:t xml:space="preserve">ho have </w:t>
      </w:r>
      <w:r w:rsidRPr="00C712BA" w:rsidR="00111FDC">
        <w:t xml:space="preserve">firsthand knowledge of and experience with promising strategies will provide insights into the contextual and implementation factors that may not be described </w:t>
      </w:r>
      <w:r w:rsidRPr="00C712BA" w:rsidR="006C1B03">
        <w:t xml:space="preserve">in sufficient detail </w:t>
      </w:r>
      <w:r w:rsidRPr="00C712BA" w:rsidR="00111FDC">
        <w:t xml:space="preserve">in </w:t>
      </w:r>
      <w:r w:rsidRPr="00C712BA" w:rsidR="006C1B03">
        <w:t>the literature</w:t>
      </w:r>
      <w:r w:rsidRPr="00C712BA" w:rsidR="00111FDC">
        <w:t xml:space="preserve"> or in ways that would inform adaptation for </w:t>
      </w:r>
      <w:r w:rsidRPr="00C712BA" w:rsidR="009A171D">
        <w:t>Tribal</w:t>
      </w:r>
      <w:r w:rsidRPr="00C712BA" w:rsidR="00111FDC">
        <w:t xml:space="preserve"> communities.</w:t>
      </w:r>
      <w:r w:rsidRPr="00C712BA" w:rsidR="006C1B03">
        <w:t xml:space="preserve"> </w:t>
      </w:r>
    </w:p>
    <w:p w:rsidRPr="00C712BA" w:rsidR="007C0E60" w:rsidP="00D84CAC" w:rsidRDefault="007C0E60" w14:paraId="6E5021A8" w14:textId="77777777">
      <w:pPr>
        <w:autoSpaceDE w:val="0"/>
        <w:autoSpaceDN w:val="0"/>
        <w:adjustRightInd w:val="0"/>
      </w:pPr>
    </w:p>
    <w:p w:rsidRPr="00C712BA" w:rsidR="00972DEF" w:rsidP="00D84CAC" w:rsidRDefault="00972DEF" w14:paraId="256D8DBC" w14:textId="77777777">
      <w:pPr>
        <w:autoSpaceDE w:val="0"/>
        <w:autoSpaceDN w:val="0"/>
        <w:adjustRightInd w:val="0"/>
      </w:pPr>
      <w:r w:rsidRPr="00C712BA">
        <w:rPr>
          <w:b/>
          <w:bCs/>
        </w:rPr>
        <w:t xml:space="preserve">A.7. </w:t>
      </w:r>
      <w:r w:rsidRPr="00C712BA">
        <w:rPr>
          <w:b/>
          <w:bCs/>
        </w:rPr>
        <w:tab/>
        <w:t>Special Circumstances Relating to the Guidelines of 5 CFR 1320.5</w:t>
      </w:r>
    </w:p>
    <w:p w:rsidRPr="00C712BA" w:rsidR="00972DEF" w:rsidP="00D84CAC" w:rsidRDefault="00972DEF" w14:paraId="256D8DBD" w14:textId="77777777">
      <w:pPr>
        <w:autoSpaceDE w:val="0"/>
        <w:autoSpaceDN w:val="0"/>
        <w:adjustRightInd w:val="0"/>
      </w:pPr>
    </w:p>
    <w:p w:rsidRPr="00C712BA" w:rsidR="00972DEF" w:rsidP="00D84CAC" w:rsidRDefault="00597630" w14:paraId="256D8DBE" w14:textId="1401C49F">
      <w:pPr>
        <w:pStyle w:val="SL-FlLftSgl"/>
        <w:spacing w:line="240" w:lineRule="auto"/>
      </w:pPr>
      <w:r w:rsidRPr="00C712BA">
        <w:t xml:space="preserve">There are no special circumstances with this information collection package. </w:t>
      </w:r>
      <w:r w:rsidRPr="00C712BA" w:rsidR="00972DEF">
        <w:t>Th</w:t>
      </w:r>
      <w:r w:rsidRPr="00C712BA">
        <w:t>is</w:t>
      </w:r>
      <w:r w:rsidRPr="00C712BA" w:rsidR="00972DEF">
        <w:t xml:space="preserve"> request fully complies with the regulation 5 CFR 1320.5</w:t>
      </w:r>
      <w:r w:rsidRPr="00C712BA">
        <w:t xml:space="preserve"> and will be voluntary</w:t>
      </w:r>
      <w:r w:rsidRPr="00C712BA" w:rsidR="00972DEF">
        <w:t xml:space="preserve">. </w:t>
      </w:r>
    </w:p>
    <w:p w:rsidRPr="00C712BA" w:rsidR="00972DEF" w:rsidP="00D84CAC" w:rsidRDefault="00972DEF" w14:paraId="256D8DBF" w14:textId="77777777">
      <w:pPr>
        <w:autoSpaceDE w:val="0"/>
        <w:autoSpaceDN w:val="0"/>
        <w:adjustRightInd w:val="0"/>
      </w:pPr>
    </w:p>
    <w:p w:rsidRPr="00C712BA" w:rsidR="00972DEF" w:rsidP="00D84CAC" w:rsidRDefault="00972DEF" w14:paraId="256D8DC0" w14:textId="359088AF">
      <w:pPr>
        <w:autoSpaceDE w:val="0"/>
        <w:autoSpaceDN w:val="0"/>
        <w:adjustRightInd w:val="0"/>
        <w:rPr>
          <w:b/>
          <w:bCs/>
        </w:rPr>
      </w:pPr>
      <w:r w:rsidRPr="00C712BA">
        <w:rPr>
          <w:b/>
          <w:bCs/>
        </w:rPr>
        <w:t xml:space="preserve">A.8. </w:t>
      </w:r>
      <w:r w:rsidRPr="00C712BA">
        <w:rPr>
          <w:b/>
          <w:bCs/>
        </w:rPr>
        <w:tab/>
        <w:t xml:space="preserve">Comments in Response to the Federal Register Notice and Efforts to Consult </w:t>
      </w:r>
      <w:r w:rsidRPr="00C712BA">
        <w:rPr>
          <w:b/>
          <w:bCs/>
        </w:rPr>
        <w:tab/>
        <w:t xml:space="preserve">Outside the Agency </w:t>
      </w:r>
    </w:p>
    <w:p w:rsidRPr="00C712BA" w:rsidR="00597630" w:rsidP="00D84CAC" w:rsidRDefault="00597630" w14:paraId="55063BA9" w14:textId="77777777">
      <w:pPr>
        <w:autoSpaceDE w:val="0"/>
        <w:autoSpaceDN w:val="0"/>
        <w:adjustRightInd w:val="0"/>
      </w:pPr>
    </w:p>
    <w:p w:rsidRPr="006942C9" w:rsidR="00405CC1" w:rsidP="00D84CAC" w:rsidRDefault="00972DEF" w14:paraId="256D8DC2" w14:textId="77777777">
      <w:pPr>
        <w:rPr>
          <w:b/>
          <w:noProof/>
        </w:rPr>
      </w:pPr>
      <w:r w:rsidRPr="006942C9">
        <w:rPr>
          <w:b/>
        </w:rPr>
        <w:t>A.8.a)</w:t>
      </w:r>
      <w:r w:rsidRPr="006942C9">
        <w:rPr>
          <w:b/>
        </w:rPr>
        <w:tab/>
      </w:r>
      <w:r w:rsidRPr="006942C9" w:rsidR="0049057C">
        <w:rPr>
          <w:b/>
          <w:noProof/>
        </w:rPr>
        <w:t>Federal Register Notice</w:t>
      </w:r>
    </w:p>
    <w:p w:rsidRPr="00C712BA" w:rsidR="005C253A" w:rsidP="00D84CAC" w:rsidRDefault="005C253A" w14:paraId="35E6C139" w14:textId="77777777"/>
    <w:p w:rsidRPr="00BB40C0" w:rsidR="00ED7CBB" w:rsidP="00EF1F17" w:rsidRDefault="00ED7CBB" w14:paraId="3B7D2F3C" w14:textId="22C4E05F">
      <w:pPr>
        <w:pStyle w:val="NormalSS"/>
        <w:ind w:firstLine="0"/>
      </w:pPr>
      <w:r w:rsidRPr="00BF6403">
        <w:rPr>
          <w:rFonts w:eastAsiaTheme="minorEastAsia"/>
          <w:szCs w:val="24"/>
        </w:rPr>
        <w:t xml:space="preserve">A 60-day Federal Register Notice was published in the Federal Register on </w:t>
      </w:r>
      <w:r w:rsidRPr="00BF6403" w:rsidR="00257BAA">
        <w:rPr>
          <w:szCs w:val="24"/>
        </w:rPr>
        <w:t>July 2</w:t>
      </w:r>
      <w:r w:rsidR="002A5B9C">
        <w:rPr>
          <w:szCs w:val="24"/>
        </w:rPr>
        <w:t>,</w:t>
      </w:r>
      <w:r w:rsidRPr="00BF6403">
        <w:rPr>
          <w:szCs w:val="24"/>
        </w:rPr>
        <w:t xml:space="preserve"> 2020 Volume </w:t>
      </w:r>
      <w:r w:rsidR="00660B39">
        <w:rPr>
          <w:szCs w:val="24"/>
        </w:rPr>
        <w:t>85</w:t>
      </w:r>
      <w:r w:rsidRPr="00BF6403">
        <w:rPr>
          <w:szCs w:val="24"/>
        </w:rPr>
        <w:t xml:space="preserve">, Number </w:t>
      </w:r>
      <w:r w:rsidR="00660B39">
        <w:rPr>
          <w:szCs w:val="24"/>
        </w:rPr>
        <w:t>128</w:t>
      </w:r>
      <w:r w:rsidRPr="00BF6403">
        <w:rPr>
          <w:szCs w:val="24"/>
        </w:rPr>
        <w:t xml:space="preserve">, pp </w:t>
      </w:r>
      <w:r w:rsidR="00660B39">
        <w:rPr>
          <w:szCs w:val="24"/>
        </w:rPr>
        <w:t>39910-39911</w:t>
      </w:r>
      <w:r w:rsidRPr="008B54AA">
        <w:rPr>
          <w:szCs w:val="24"/>
        </w:rPr>
        <w:t>(</w:t>
      </w:r>
      <w:r w:rsidRPr="00DC490A">
        <w:rPr>
          <w:b/>
          <w:szCs w:val="24"/>
        </w:rPr>
        <w:t>Attachment</w:t>
      </w:r>
      <w:r>
        <w:rPr>
          <w:b/>
          <w:szCs w:val="24"/>
        </w:rPr>
        <w:t xml:space="preserve"> B</w:t>
      </w:r>
      <w:r w:rsidRPr="008B54AA">
        <w:rPr>
          <w:szCs w:val="24"/>
        </w:rPr>
        <w:t>)</w:t>
      </w:r>
      <w:r w:rsidR="00603DA7">
        <w:rPr>
          <w:szCs w:val="24"/>
        </w:rPr>
        <w:t>.</w:t>
      </w:r>
      <w:r w:rsidRPr="008B54AA">
        <w:rPr>
          <w:szCs w:val="24"/>
        </w:rPr>
        <w:t xml:space="preserve"> </w:t>
      </w:r>
      <w:r w:rsidRPr="00AF4E1B">
        <w:t xml:space="preserve">CDC received </w:t>
      </w:r>
      <w:r w:rsidR="00662D5F">
        <w:t xml:space="preserve">two anonymous and </w:t>
      </w:r>
      <w:r w:rsidRPr="00AF4E1B">
        <w:t xml:space="preserve">one </w:t>
      </w:r>
      <w:r>
        <w:t>non-substantive public comment (</w:t>
      </w:r>
      <w:r w:rsidRPr="00EF2382">
        <w:rPr>
          <w:b/>
        </w:rPr>
        <w:t xml:space="preserve">Attachment </w:t>
      </w:r>
      <w:r w:rsidR="002038A1">
        <w:rPr>
          <w:b/>
        </w:rPr>
        <w:t>B1</w:t>
      </w:r>
      <w:r w:rsidRPr="00AF4E1B">
        <w:t>)</w:t>
      </w:r>
      <w:r w:rsidR="00603DA7">
        <w:t>.</w:t>
      </w:r>
      <w:r w:rsidRPr="008B54AA" w:rsidDel="00206733">
        <w:rPr>
          <w:szCs w:val="24"/>
        </w:rPr>
        <w:t xml:space="preserve"> </w:t>
      </w:r>
      <w:r w:rsidR="00662D5F">
        <w:rPr>
          <w:szCs w:val="24"/>
        </w:rPr>
        <w:t xml:space="preserve">No changes were made to the collection. </w:t>
      </w:r>
    </w:p>
    <w:p w:rsidRPr="00C712BA" w:rsidR="00405CC1" w:rsidP="00D84CAC" w:rsidRDefault="00405CC1" w14:paraId="256D8DC4" w14:textId="77777777"/>
    <w:p w:rsidRPr="006942C9" w:rsidR="00972DEF" w:rsidP="00D84CAC" w:rsidRDefault="00972DEF" w14:paraId="256D8DC5" w14:textId="4087AB98">
      <w:pPr>
        <w:rPr>
          <w:b/>
        </w:rPr>
      </w:pPr>
      <w:r w:rsidRPr="006942C9">
        <w:rPr>
          <w:b/>
        </w:rPr>
        <w:t xml:space="preserve">A.8.b) </w:t>
      </w:r>
      <w:r w:rsidRPr="006942C9" w:rsidR="0049057C">
        <w:rPr>
          <w:b/>
          <w:noProof/>
        </w:rPr>
        <w:t>Efforts to Consult Outside the Agency</w:t>
      </w:r>
    </w:p>
    <w:p w:rsidRPr="00C712BA" w:rsidR="00ED39A2" w:rsidP="00D84CAC" w:rsidRDefault="00ED39A2" w14:paraId="2896D283" w14:textId="3D16BCAA">
      <w:pPr>
        <w:rPr>
          <w:b/>
          <w:bCs/>
        </w:rPr>
      </w:pPr>
    </w:p>
    <w:p w:rsidRPr="00C712BA" w:rsidR="00F24157" w:rsidP="00D84CAC" w:rsidRDefault="002112FB" w14:paraId="33B24FD5" w14:textId="5DF88D31">
      <w:pPr>
        <w:contextualSpacing/>
      </w:pPr>
      <w:r w:rsidRPr="00C712BA">
        <w:t xml:space="preserve">CDC NCIPC consulted with the </w:t>
      </w:r>
      <w:r w:rsidRPr="00C712BA" w:rsidR="00E96A40">
        <w:t xml:space="preserve">following CDC </w:t>
      </w:r>
      <w:r w:rsidRPr="00C712BA">
        <w:t xml:space="preserve">and non-CDC </w:t>
      </w:r>
      <w:r w:rsidRPr="00C712BA" w:rsidR="00E96A40">
        <w:t xml:space="preserve">agencies </w:t>
      </w:r>
      <w:r w:rsidRPr="00C712BA" w:rsidR="003176CD">
        <w:t xml:space="preserve">and </w:t>
      </w:r>
      <w:r w:rsidRPr="00C712BA" w:rsidR="00B433E0">
        <w:t>entities</w:t>
      </w:r>
      <w:r w:rsidRPr="00C712BA" w:rsidR="003176CD">
        <w:t xml:space="preserve"> </w:t>
      </w:r>
      <w:r w:rsidRPr="00C712BA" w:rsidR="00A80582">
        <w:t>(</w:t>
      </w:r>
      <w:r w:rsidRPr="00C712BA" w:rsidR="00A80582">
        <w:rPr>
          <w:b/>
          <w:bCs/>
        </w:rPr>
        <w:t>see Table 2. Consultation</w:t>
      </w:r>
      <w:r w:rsidRPr="00C712BA" w:rsidR="00A80582">
        <w:t xml:space="preserve">) </w:t>
      </w:r>
      <w:r w:rsidRPr="00C712BA" w:rsidR="00E96A40">
        <w:t>for the development of th</w:t>
      </w:r>
      <w:r w:rsidRPr="00C712BA">
        <w:t xml:space="preserve">e data collection </w:t>
      </w:r>
      <w:r w:rsidRPr="00C712BA" w:rsidR="00E96A40">
        <w:t>request</w:t>
      </w:r>
      <w:r w:rsidRPr="00C712BA">
        <w:t xml:space="preserve"> and recommendations were incorporated into the study design</w:t>
      </w:r>
      <w:r w:rsidRPr="00C712BA" w:rsidR="00F24157">
        <w:t xml:space="preserve"> and methodology.</w:t>
      </w:r>
    </w:p>
    <w:p w:rsidRPr="00C712BA" w:rsidR="00514AF2" w:rsidP="005B5168" w:rsidRDefault="00514AF2" w14:paraId="49FCE42A" w14:textId="371B8669">
      <w:pPr>
        <w:contextualSpacing/>
        <w:rPr>
          <w:b/>
          <w:bCs/>
          <w:u w:val="single"/>
        </w:rPr>
      </w:pPr>
    </w:p>
    <w:p w:rsidRPr="00C712BA" w:rsidR="00514AF2" w:rsidP="005B5168" w:rsidRDefault="00514AF2" w14:paraId="360040EA" w14:textId="1D483FB9">
      <w:pPr>
        <w:contextualSpacing/>
        <w:rPr>
          <w:b/>
          <w:bCs/>
        </w:rPr>
      </w:pPr>
      <w:r w:rsidRPr="00C712BA">
        <w:rPr>
          <w:b/>
          <w:bCs/>
        </w:rPr>
        <w:t>Table 2.</w:t>
      </w:r>
      <w:r w:rsidRPr="00C712BA" w:rsidR="00A80582">
        <w:rPr>
          <w:b/>
          <w:bCs/>
        </w:rPr>
        <w:t xml:space="preserve"> Consultation</w:t>
      </w:r>
      <w:r w:rsidRPr="00C712BA">
        <w:rPr>
          <w:b/>
          <w:bCs/>
        </w:rPr>
        <w:t xml:space="preserve"> </w:t>
      </w:r>
    </w:p>
    <w:p w:rsidR="00514AF2" w:rsidP="005B5168" w:rsidRDefault="00514AF2" w14:paraId="06F02C98" w14:textId="77777777">
      <w:pPr>
        <w:contextualSpacing/>
        <w:rPr>
          <w:b/>
          <w:bCs/>
          <w:u w:val="single"/>
        </w:rPr>
      </w:pPr>
    </w:p>
    <w:tbl>
      <w:tblPr>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08"/>
        <w:gridCol w:w="7942"/>
      </w:tblGrid>
      <w:tr w:rsidRPr="00691454" w:rsidR="00E230AF" w:rsidTr="00514AF2" w14:paraId="2B21CA8D" w14:textId="77777777">
        <w:trPr>
          <w:trHeight w:val="288"/>
        </w:trPr>
        <w:tc>
          <w:tcPr>
            <w:tcW w:w="1508" w:type="dxa"/>
            <w:shd w:val="clear" w:color="auto" w:fill="EEECE1" w:themeFill="background2"/>
            <w:vAlign w:val="center"/>
          </w:tcPr>
          <w:p w:rsidRPr="00691454" w:rsidR="00514AF2" w:rsidP="00472E33" w:rsidRDefault="00514AF2" w14:paraId="4194A200" w14:textId="7899F2CC">
            <w:r>
              <w:t>Agency</w:t>
            </w:r>
          </w:p>
        </w:tc>
        <w:tc>
          <w:tcPr>
            <w:tcW w:w="7942" w:type="dxa"/>
            <w:shd w:val="clear" w:color="auto" w:fill="EEECE1" w:themeFill="background2"/>
          </w:tcPr>
          <w:p w:rsidRPr="00691454" w:rsidR="00514AF2" w:rsidP="00472E33" w:rsidRDefault="007B2DFB" w14:paraId="1988AB56" w14:textId="63CEB80E">
            <w:r>
              <w:t>Entity</w:t>
            </w:r>
          </w:p>
        </w:tc>
      </w:tr>
      <w:tr w:rsidRPr="007B2DFB" w:rsidR="00B822D8" w:rsidTr="00472E33" w14:paraId="4C35713B" w14:textId="77777777">
        <w:trPr>
          <w:trHeight w:val="864"/>
        </w:trPr>
        <w:tc>
          <w:tcPr>
            <w:tcW w:w="1508" w:type="dxa"/>
          </w:tcPr>
          <w:p w:rsidRPr="007B2DFB" w:rsidR="00514AF2" w:rsidP="00472E33" w:rsidRDefault="00514AF2" w14:paraId="4A644190" w14:textId="3311AA34">
            <w:r w:rsidRPr="007B2DFB">
              <w:t>CDC</w:t>
            </w:r>
          </w:p>
        </w:tc>
        <w:tc>
          <w:tcPr>
            <w:tcW w:w="7942" w:type="dxa"/>
          </w:tcPr>
          <w:p w:rsidRPr="007B2DFB" w:rsidR="007B2DFB" w:rsidP="00514AF2" w:rsidRDefault="007B2DFB" w14:paraId="43E1A6B2" w14:textId="77777777">
            <w:pPr>
              <w:contextualSpacing/>
            </w:pPr>
            <w:r w:rsidRPr="007B2DFB">
              <w:t xml:space="preserve">NCIPC: </w:t>
            </w:r>
            <w:r w:rsidRPr="007B2DFB" w:rsidR="00514AF2">
              <w:t>Molly Evans, MD, MPH, Medical Officer</w:t>
            </w:r>
          </w:p>
          <w:p w:rsidRPr="007B2DFB" w:rsidR="007B2DFB" w:rsidP="00514AF2" w:rsidRDefault="00514AF2" w14:paraId="2C98A726" w14:textId="7A2A8105">
            <w:pPr>
              <w:contextualSpacing/>
            </w:pPr>
            <w:r w:rsidRPr="007B2DFB">
              <w:t>Division of Overdose Prevention</w:t>
            </w:r>
            <w:r w:rsidRPr="007B2DFB" w:rsidR="007B2DFB">
              <w:t>:</w:t>
            </w:r>
            <w:r w:rsidRPr="007B2DFB">
              <w:t xml:space="preserve"> </w:t>
            </w:r>
            <w:r w:rsidR="009C64C6">
              <w:t xml:space="preserve">Andrew Terranella, MD, MPH, </w:t>
            </w:r>
            <w:r w:rsidRPr="007B2DFB">
              <w:t>Sarah Bacon, PhD, Behavioral Scientist</w:t>
            </w:r>
          </w:p>
          <w:p w:rsidRPr="007B2DFB" w:rsidR="00514AF2" w:rsidP="00514AF2" w:rsidRDefault="00514AF2" w14:paraId="4B01BC8F" w14:textId="510A11E9">
            <w:pPr>
              <w:contextualSpacing/>
            </w:pPr>
            <w:r w:rsidRPr="007B2DFB">
              <w:t>Office of the Director</w:t>
            </w:r>
            <w:r w:rsidRPr="007B2DFB" w:rsidR="007B2DFB">
              <w:t xml:space="preserve">, </w:t>
            </w:r>
            <w:r w:rsidRPr="007B2DFB">
              <w:t>Center for State, Tribal, Local, and Territorial Support (CSTLTS)</w:t>
            </w:r>
            <w:r w:rsidRPr="007B2DFB" w:rsidR="007B2DFB">
              <w:t xml:space="preserve">: </w:t>
            </w:r>
            <w:r w:rsidRPr="007B2DFB">
              <w:t xml:space="preserve">Delight Satter, MPH, Senior </w:t>
            </w:r>
            <w:r w:rsidR="00C03D4C">
              <w:t>Health Scientist</w:t>
            </w:r>
            <w:r w:rsidRPr="007B2DFB">
              <w:t xml:space="preserve">, Tribal Research </w:t>
            </w:r>
            <w:r w:rsidRPr="007B2DFB">
              <w:lastRenderedPageBreak/>
              <w:t>Program</w:t>
            </w:r>
            <w:r w:rsidR="009D630C">
              <w:t xml:space="preserve"> (</w:t>
            </w:r>
            <w:r w:rsidR="009A6DCC">
              <w:t xml:space="preserve">Confederated Tribes of </w:t>
            </w:r>
            <w:r w:rsidR="009D630C">
              <w:t>Grand Ronde)</w:t>
            </w:r>
            <w:r w:rsidRPr="007B2DFB" w:rsidR="007B2DFB">
              <w:t xml:space="preserve">; </w:t>
            </w:r>
            <w:r w:rsidRPr="007B2DFB">
              <w:t>Jessica Damon, MLS, MP</w:t>
            </w:r>
            <w:r w:rsidR="00C03D4C">
              <w:t>H</w:t>
            </w:r>
            <w:r w:rsidRPr="007B2DFB">
              <w:t>, Senior Program Management Officer</w:t>
            </w:r>
          </w:p>
          <w:p w:rsidRPr="007B2DFB" w:rsidR="00514AF2" w:rsidP="00514AF2" w:rsidRDefault="00514AF2" w14:paraId="4464239D" w14:textId="5F9254EC">
            <w:pPr>
              <w:contextualSpacing/>
            </w:pPr>
            <w:r w:rsidRPr="007B2DFB">
              <w:t>National Center for Chronic Disease and Health Promotion, Division of Diabetes Prevention</w:t>
            </w:r>
            <w:r w:rsidRPr="007B2DFB" w:rsidR="007B2DFB">
              <w:t xml:space="preserve">: </w:t>
            </w:r>
            <w:r w:rsidRPr="007B2DFB">
              <w:t xml:space="preserve">Dawn Satterfield, PhD, Health Education Specialist </w:t>
            </w:r>
          </w:p>
          <w:p w:rsidRPr="007B2DFB" w:rsidR="00514AF2" w:rsidP="00514AF2" w:rsidRDefault="00514AF2" w14:paraId="6041826D" w14:textId="0D3BD25C"/>
        </w:tc>
      </w:tr>
      <w:tr w:rsidRPr="007B2DFB" w:rsidR="00B822D8" w:rsidTr="00472E33" w14:paraId="66D2C29E" w14:textId="77777777">
        <w:trPr>
          <w:trHeight w:val="864"/>
        </w:trPr>
        <w:tc>
          <w:tcPr>
            <w:tcW w:w="1508" w:type="dxa"/>
          </w:tcPr>
          <w:p w:rsidRPr="007B2DFB" w:rsidR="00514AF2" w:rsidP="00472E33" w:rsidRDefault="00514AF2" w14:paraId="3945B1E9" w14:textId="213514E2">
            <w:r w:rsidRPr="007B2DFB">
              <w:lastRenderedPageBreak/>
              <w:t>ACF</w:t>
            </w:r>
          </w:p>
        </w:tc>
        <w:tc>
          <w:tcPr>
            <w:tcW w:w="7942" w:type="dxa"/>
          </w:tcPr>
          <w:p w:rsidRPr="007B2DFB" w:rsidR="00514AF2" w:rsidP="007B2DFB" w:rsidRDefault="00514AF2" w14:paraId="0BA13708" w14:textId="77777777">
            <w:pPr>
              <w:pStyle w:val="NoSpacing"/>
              <w:contextualSpacing/>
              <w:rPr>
                <w:rFonts w:ascii="Times New Roman" w:hAnsi="Times New Roman" w:cs="Times New Roman"/>
                <w:sz w:val="24"/>
                <w:szCs w:val="24"/>
              </w:rPr>
            </w:pPr>
            <w:r w:rsidRPr="007B2DFB">
              <w:rPr>
                <w:rFonts w:ascii="Times New Roman" w:hAnsi="Times New Roman" w:cs="Times New Roman"/>
                <w:sz w:val="24"/>
                <w:szCs w:val="24"/>
              </w:rPr>
              <w:t>Office of Planning, Research and Evaluation</w:t>
            </w:r>
            <w:r w:rsidRPr="007B2DFB" w:rsidR="007B2DFB">
              <w:rPr>
                <w:rFonts w:ascii="Times New Roman" w:hAnsi="Times New Roman" w:cs="Times New Roman"/>
                <w:sz w:val="24"/>
                <w:szCs w:val="24"/>
              </w:rPr>
              <w:t xml:space="preserve">: </w:t>
            </w:r>
            <w:r w:rsidRPr="007B2DFB">
              <w:rPr>
                <w:rFonts w:ascii="Times New Roman" w:hAnsi="Times New Roman" w:cs="Times New Roman"/>
                <w:sz w:val="24"/>
                <w:szCs w:val="24"/>
              </w:rPr>
              <w:t>Aleta Meyer, PhD, Senior Social Service Research Analyst and Team Lead for Community-Engaged and American Indian/Alaska Native Research in the Division of Family Strengthening</w:t>
            </w:r>
          </w:p>
          <w:p w:rsidRPr="007B2DFB" w:rsidR="007B2DFB" w:rsidP="007B2DFB" w:rsidRDefault="007B2DFB" w14:paraId="3C3F6357" w14:textId="5BCABC28">
            <w:pPr>
              <w:pStyle w:val="NoSpacing"/>
              <w:contextualSpacing/>
            </w:pPr>
          </w:p>
        </w:tc>
      </w:tr>
      <w:tr w:rsidRPr="007B2DFB" w:rsidR="00B822D8" w:rsidTr="00472E33" w14:paraId="0A749127" w14:textId="77777777">
        <w:trPr>
          <w:trHeight w:val="864"/>
        </w:trPr>
        <w:tc>
          <w:tcPr>
            <w:tcW w:w="1508" w:type="dxa"/>
          </w:tcPr>
          <w:p w:rsidRPr="007B2DFB" w:rsidR="00514AF2" w:rsidP="00472E33" w:rsidRDefault="00514AF2" w14:paraId="25150E5C" w14:textId="77777777">
            <w:r w:rsidRPr="007B2DFB">
              <w:t>Indian Health Services</w:t>
            </w:r>
          </w:p>
          <w:p w:rsidRPr="007B2DFB" w:rsidR="007B2DFB" w:rsidP="00472E33" w:rsidRDefault="007B2DFB" w14:paraId="763EB126" w14:textId="6A56F580"/>
        </w:tc>
        <w:tc>
          <w:tcPr>
            <w:tcW w:w="7942" w:type="dxa"/>
          </w:tcPr>
          <w:p w:rsidRPr="007B2DFB" w:rsidR="00514AF2" w:rsidP="00514AF2" w:rsidRDefault="007B2DFB" w14:paraId="4ED88465" w14:textId="209725C4">
            <w:pPr>
              <w:contextualSpacing/>
            </w:pPr>
            <w:r w:rsidRPr="007B2DFB">
              <w:t xml:space="preserve">Division of Behavioral Health: </w:t>
            </w:r>
            <w:r w:rsidRPr="007B2DFB" w:rsidR="00514AF2">
              <w:t>Captain Andrew Hunt, MSW, LICSW (Lumbee) Acting Deputy Director</w:t>
            </w:r>
          </w:p>
          <w:p w:rsidRPr="007B2DFB" w:rsidR="00514AF2" w:rsidP="00472E33" w:rsidRDefault="00514AF2" w14:paraId="1EC5199E" w14:textId="7233C9EE"/>
        </w:tc>
      </w:tr>
      <w:tr w:rsidRPr="007B2DFB" w:rsidR="00B822D8" w:rsidTr="00472E33" w14:paraId="03B4B037" w14:textId="77777777">
        <w:trPr>
          <w:trHeight w:val="864"/>
        </w:trPr>
        <w:tc>
          <w:tcPr>
            <w:tcW w:w="1508" w:type="dxa"/>
          </w:tcPr>
          <w:p w:rsidRPr="007B2DFB" w:rsidR="007B2DFB" w:rsidP="00472E33" w:rsidRDefault="007B2DFB" w14:paraId="611561D7" w14:textId="77777777">
            <w:r w:rsidRPr="007B2DFB">
              <w:t>Johns Hopkins Bloomberg School of Public Health</w:t>
            </w:r>
          </w:p>
          <w:p w:rsidRPr="007B2DFB" w:rsidR="007B2DFB" w:rsidP="00472E33" w:rsidRDefault="007B2DFB" w14:paraId="34F134F9" w14:textId="56539F5C"/>
        </w:tc>
        <w:tc>
          <w:tcPr>
            <w:tcW w:w="7942" w:type="dxa"/>
          </w:tcPr>
          <w:p w:rsidRPr="007B2DFB" w:rsidR="00514AF2" w:rsidP="00514AF2" w:rsidRDefault="00514AF2" w14:paraId="13545210" w14:textId="3F878A08">
            <w:pPr>
              <w:pStyle w:val="NoSpacing"/>
              <w:contextualSpacing/>
              <w:rPr>
                <w:rFonts w:ascii="Times New Roman" w:hAnsi="Times New Roman" w:cs="Times New Roman"/>
                <w:sz w:val="24"/>
                <w:szCs w:val="24"/>
              </w:rPr>
            </w:pPr>
            <w:r w:rsidRPr="007B2DFB">
              <w:rPr>
                <w:rFonts w:ascii="Times New Roman" w:hAnsi="Times New Roman" w:cs="Times New Roman"/>
                <w:color w:val="000000"/>
                <w:sz w:val="24"/>
                <w:szCs w:val="24"/>
              </w:rPr>
              <w:t>The Johns Hopkins Center for American Indian Health</w:t>
            </w:r>
            <w:r w:rsidR="00B5184C">
              <w:rPr>
                <w:rFonts w:ascii="Times New Roman" w:hAnsi="Times New Roman" w:cs="Times New Roman"/>
                <w:color w:val="000000"/>
                <w:sz w:val="24"/>
                <w:szCs w:val="24"/>
              </w:rPr>
              <w:t xml:space="preserve">: </w:t>
            </w:r>
            <w:r w:rsidRPr="007B2DFB">
              <w:rPr>
                <w:rFonts w:ascii="Times New Roman" w:hAnsi="Times New Roman" w:cs="Times New Roman"/>
                <w:color w:val="000000"/>
                <w:sz w:val="24"/>
                <w:szCs w:val="24"/>
              </w:rPr>
              <w:t xml:space="preserve">Melissa Walls, PhD, </w:t>
            </w:r>
            <w:r w:rsidR="009D630C">
              <w:rPr>
                <w:rFonts w:ascii="Times New Roman" w:hAnsi="Times New Roman" w:cs="Times New Roman"/>
                <w:color w:val="000000"/>
                <w:sz w:val="24"/>
                <w:szCs w:val="24"/>
              </w:rPr>
              <w:t xml:space="preserve">(Boise Forte Ojibwe) </w:t>
            </w:r>
            <w:r w:rsidRPr="007B2DFB">
              <w:rPr>
                <w:rFonts w:ascii="Times New Roman" w:hAnsi="Times New Roman" w:cs="Times New Roman"/>
                <w:color w:val="000000"/>
                <w:sz w:val="24"/>
                <w:szCs w:val="24"/>
              </w:rPr>
              <w:t>Director of Great Lakes Hub and Jessica Elm, PhD, Postdoctoral Researcher</w:t>
            </w:r>
            <w:r w:rsidR="009D630C">
              <w:rPr>
                <w:rFonts w:ascii="Times New Roman" w:hAnsi="Times New Roman" w:cs="Times New Roman"/>
                <w:color w:val="000000"/>
                <w:sz w:val="24"/>
                <w:szCs w:val="24"/>
              </w:rPr>
              <w:t xml:space="preserve"> (Oneida Nation and Stockbridge-Munsee Band of the Mohicans)</w:t>
            </w:r>
          </w:p>
          <w:p w:rsidRPr="007B2DFB" w:rsidR="00514AF2" w:rsidP="00472E33" w:rsidRDefault="00514AF2" w14:paraId="3027D8CB" w14:textId="030C12DF"/>
        </w:tc>
      </w:tr>
      <w:tr w:rsidRPr="007B2DFB" w:rsidR="00B822D8" w:rsidTr="00472E33" w14:paraId="7D3F764C" w14:textId="77777777">
        <w:trPr>
          <w:trHeight w:val="864"/>
        </w:trPr>
        <w:tc>
          <w:tcPr>
            <w:tcW w:w="1508" w:type="dxa"/>
          </w:tcPr>
          <w:p w:rsidRPr="007B2DFB" w:rsidR="007B2DFB" w:rsidP="007B2DFB" w:rsidRDefault="007B2DFB" w14:paraId="1C1FE1AB" w14:textId="35502C3A">
            <w:pPr>
              <w:pStyle w:val="NoSpacing"/>
              <w:contextualSpacing/>
              <w:rPr>
                <w:rFonts w:ascii="Times New Roman" w:hAnsi="Times New Roman" w:cs="Times New Roman"/>
                <w:sz w:val="24"/>
                <w:szCs w:val="24"/>
              </w:rPr>
            </w:pPr>
            <w:r w:rsidRPr="007B2DFB">
              <w:rPr>
                <w:rFonts w:ascii="Times New Roman" w:hAnsi="Times New Roman" w:cs="Times New Roman"/>
                <w:sz w:val="24"/>
                <w:szCs w:val="24"/>
              </w:rPr>
              <w:t>N</w:t>
            </w:r>
            <w:r w:rsidR="00246F41">
              <w:rPr>
                <w:rFonts w:ascii="Times New Roman" w:hAnsi="Times New Roman" w:cs="Times New Roman"/>
                <w:sz w:val="24"/>
                <w:szCs w:val="24"/>
              </w:rPr>
              <w:t>IH</w:t>
            </w:r>
          </w:p>
          <w:p w:rsidRPr="007B2DFB" w:rsidR="00514AF2" w:rsidP="00472E33" w:rsidRDefault="00514AF2" w14:paraId="45D8DC40" w14:textId="13FC3224"/>
        </w:tc>
        <w:tc>
          <w:tcPr>
            <w:tcW w:w="7942" w:type="dxa"/>
          </w:tcPr>
          <w:p w:rsidRPr="007B2DFB" w:rsidR="00514AF2" w:rsidP="00514AF2" w:rsidRDefault="00514AF2" w14:paraId="3D23A12F" w14:textId="3A497C02">
            <w:pPr>
              <w:pStyle w:val="NoSpacing"/>
              <w:contextualSpacing/>
              <w:rPr>
                <w:rFonts w:ascii="Times New Roman" w:hAnsi="Times New Roman" w:cs="Times New Roman"/>
                <w:color w:val="000000"/>
                <w:sz w:val="24"/>
                <w:szCs w:val="24"/>
              </w:rPr>
            </w:pPr>
            <w:r w:rsidRPr="007B2DFB">
              <w:rPr>
                <w:rFonts w:ascii="Times New Roman" w:hAnsi="Times New Roman" w:cs="Times New Roman"/>
                <w:color w:val="000000"/>
                <w:sz w:val="24"/>
                <w:szCs w:val="24"/>
              </w:rPr>
              <w:t>Division of Program Coordination, Planning, and Strategic Initiatives</w:t>
            </w:r>
            <w:r w:rsidR="00B5184C">
              <w:rPr>
                <w:rFonts w:ascii="Times New Roman" w:hAnsi="Times New Roman" w:cs="Times New Roman"/>
                <w:color w:val="000000"/>
                <w:sz w:val="24"/>
                <w:szCs w:val="24"/>
              </w:rPr>
              <w:t xml:space="preserve">: </w:t>
            </w:r>
            <w:r w:rsidRPr="007B2DFB">
              <w:rPr>
                <w:rFonts w:ascii="Times New Roman" w:hAnsi="Times New Roman" w:cs="Times New Roman"/>
                <w:color w:val="000000"/>
                <w:sz w:val="24"/>
                <w:szCs w:val="24"/>
              </w:rPr>
              <w:t>David Wilson, PhD, Director, Tribal Health Research Office</w:t>
            </w:r>
            <w:r w:rsidR="009D630C">
              <w:rPr>
                <w:rFonts w:ascii="Times New Roman" w:hAnsi="Times New Roman" w:cs="Times New Roman"/>
                <w:color w:val="000000"/>
                <w:sz w:val="24"/>
                <w:szCs w:val="24"/>
              </w:rPr>
              <w:t xml:space="preserve"> (Navajo)</w:t>
            </w:r>
          </w:p>
          <w:p w:rsidRPr="007B2DFB" w:rsidR="00514AF2" w:rsidP="00472E33" w:rsidRDefault="00514AF2" w14:paraId="2C275D9F" w14:textId="5D6415E5"/>
        </w:tc>
      </w:tr>
      <w:tr w:rsidRPr="007B2DFB" w:rsidR="00B822D8" w:rsidTr="00472E33" w14:paraId="3546348B" w14:textId="77777777">
        <w:trPr>
          <w:trHeight w:val="864"/>
        </w:trPr>
        <w:tc>
          <w:tcPr>
            <w:tcW w:w="1508" w:type="dxa"/>
          </w:tcPr>
          <w:p w:rsidRPr="007B2DFB" w:rsidR="00514AF2" w:rsidP="00472E33" w:rsidRDefault="007B2DFB" w14:paraId="06AA4423" w14:textId="28A97039">
            <w:r w:rsidRPr="007B2DFB">
              <w:t>University of North Dakota</w:t>
            </w:r>
          </w:p>
        </w:tc>
        <w:tc>
          <w:tcPr>
            <w:tcW w:w="7942" w:type="dxa"/>
          </w:tcPr>
          <w:p w:rsidRPr="007B2DFB" w:rsidR="00514AF2" w:rsidP="00514AF2" w:rsidRDefault="00514AF2" w14:paraId="1165CE6E" w14:textId="6756C9C1">
            <w:pPr>
              <w:contextualSpacing/>
              <w:rPr>
                <w:lang w:val="en"/>
              </w:rPr>
            </w:pPr>
            <w:r w:rsidRPr="007B2DFB">
              <w:t>School of Medicine and Health Sciences</w:t>
            </w:r>
            <w:r w:rsidRPr="007B2DFB" w:rsidR="007B2DFB">
              <w:t>: D</w:t>
            </w:r>
            <w:r w:rsidRPr="007B2DFB">
              <w:t xml:space="preserve">onald Warne, MD, MPH, Professor of Family and Community, </w:t>
            </w:r>
            <w:r w:rsidRPr="007B2DFB">
              <w:rPr>
                <w:lang w:val="en"/>
              </w:rPr>
              <w:t xml:space="preserve">the Associate Dean of Diversity, </w:t>
            </w:r>
            <w:proofErr w:type="gramStart"/>
            <w:r w:rsidRPr="007B2DFB">
              <w:rPr>
                <w:lang w:val="en"/>
              </w:rPr>
              <w:t>Equity</w:t>
            </w:r>
            <w:proofErr w:type="gramEnd"/>
            <w:r w:rsidRPr="007B2DFB">
              <w:rPr>
                <w:lang w:val="en"/>
              </w:rPr>
              <w:t xml:space="preserve"> and Inclusion as well as the Director of the Indians Into Medicine and Master of Public Health Programs</w:t>
            </w:r>
            <w:r w:rsidR="009D630C">
              <w:rPr>
                <w:lang w:val="en"/>
              </w:rPr>
              <w:t xml:space="preserve"> (Oglala Lakota)</w:t>
            </w:r>
          </w:p>
          <w:p w:rsidRPr="007B2DFB" w:rsidR="00514AF2" w:rsidP="00472E33" w:rsidRDefault="00514AF2" w14:paraId="114C402A" w14:textId="0FD505C9"/>
        </w:tc>
      </w:tr>
    </w:tbl>
    <w:p w:rsidRPr="007B2DFB" w:rsidR="005B5168" w:rsidP="005B5168" w:rsidRDefault="005B5168" w14:paraId="585E9F1E" w14:textId="2D26D8BC">
      <w:pPr>
        <w:contextualSpacing/>
      </w:pPr>
      <w:bookmarkStart w:name="_Hlk35237570" w:id="16"/>
    </w:p>
    <w:bookmarkEnd w:id="16"/>
    <w:p w:rsidRPr="00691454" w:rsidR="00972DEF" w:rsidP="00D84CAC" w:rsidRDefault="00972DEF" w14:paraId="256D8DC7" w14:textId="77777777">
      <w:pPr>
        <w:rPr>
          <w:b/>
          <w:bCs/>
        </w:rPr>
      </w:pPr>
      <w:r w:rsidRPr="00691454">
        <w:rPr>
          <w:b/>
          <w:bCs/>
        </w:rPr>
        <w:t xml:space="preserve">A.9. </w:t>
      </w:r>
      <w:r w:rsidRPr="00691454">
        <w:rPr>
          <w:b/>
          <w:bCs/>
        </w:rPr>
        <w:tab/>
        <w:t xml:space="preserve">Explanation of Any Payment or Gift to Respondents </w:t>
      </w:r>
    </w:p>
    <w:p w:rsidR="00972DEF" w:rsidP="00D84CAC" w:rsidRDefault="00972DEF" w14:paraId="256D8DC8" w14:textId="1277A3FF">
      <w:pPr>
        <w:autoSpaceDE w:val="0"/>
        <w:autoSpaceDN w:val="0"/>
        <w:adjustRightInd w:val="0"/>
        <w:rPr>
          <w:b/>
          <w:bCs/>
        </w:rPr>
      </w:pPr>
    </w:p>
    <w:p w:rsidRPr="00C712BA" w:rsidR="00B34242" w:rsidP="00F24157" w:rsidRDefault="00E904A5" w14:paraId="499506F1" w14:textId="01E4BA08">
      <w:pPr>
        <w:autoSpaceDE w:val="0"/>
        <w:autoSpaceDN w:val="0"/>
        <w:adjustRightInd w:val="0"/>
      </w:pPr>
      <w:r w:rsidRPr="00C712BA">
        <w:t xml:space="preserve">We will provide all respondents with a token of appreciation </w:t>
      </w:r>
      <w:r w:rsidRPr="00C712BA" w:rsidR="00E8601F">
        <w:t xml:space="preserve">of </w:t>
      </w:r>
      <w:r w:rsidR="00E8601F">
        <w:t>$37.50</w:t>
      </w:r>
      <w:r w:rsidRPr="00C712BA" w:rsidR="00E8601F">
        <w:t>/hour</w:t>
      </w:r>
      <w:r w:rsidR="00E8601F">
        <w:t xml:space="preserve"> </w:t>
      </w:r>
      <w:r w:rsidRPr="00C712BA">
        <w:t xml:space="preserve">for </w:t>
      </w:r>
      <w:r w:rsidR="00603DA7">
        <w:t xml:space="preserve">participating in </w:t>
      </w:r>
      <w:r w:rsidR="007D2936">
        <w:t>a</w:t>
      </w:r>
      <w:r w:rsidR="00603DA7">
        <w:t xml:space="preserve"> </w:t>
      </w:r>
      <w:r w:rsidRPr="00C712BA">
        <w:t>t</w:t>
      </w:r>
      <w:r w:rsidR="00603DA7">
        <w:t>wo</w:t>
      </w:r>
      <w:r w:rsidRPr="00C712BA">
        <w:t xml:space="preserve">-hour </w:t>
      </w:r>
      <w:r w:rsidR="00603DA7">
        <w:t>focus group/interview</w:t>
      </w:r>
      <w:r w:rsidRPr="00C712BA">
        <w:t xml:space="preserve"> ($</w:t>
      </w:r>
      <w:r w:rsidR="00E8601F">
        <w:t>75 total</w:t>
      </w:r>
      <w:r w:rsidRPr="00C712BA">
        <w:t>) to offset the costs of participating in the study, including costs of transportation and childcare, that may otherwise preclude participation</w:t>
      </w:r>
      <w:r>
        <w:t xml:space="preserve">. </w:t>
      </w:r>
      <w:r w:rsidRPr="00920AB8" w:rsidR="000E4599">
        <w:rPr>
          <w:rFonts w:eastAsia="MS Mincho"/>
          <w:bCs/>
        </w:rPr>
        <w:t xml:space="preserve">The aim is to conduct all data collection in </w:t>
      </w:r>
      <w:r w:rsidRPr="003B4712" w:rsidR="000E4599">
        <w:rPr>
          <w:rFonts w:eastAsia="MS Mincho"/>
          <w:bCs/>
        </w:rPr>
        <w:t xml:space="preserve">person during site visits to each of the </w:t>
      </w:r>
      <w:r w:rsidRPr="003B4712" w:rsidR="00A8651D">
        <w:rPr>
          <w:rFonts w:eastAsia="MS Mincho"/>
          <w:bCs/>
        </w:rPr>
        <w:t xml:space="preserve">four </w:t>
      </w:r>
      <w:r w:rsidRPr="003B4712" w:rsidR="000E4599">
        <w:rPr>
          <w:rFonts w:eastAsia="MS Mincho"/>
          <w:bCs/>
        </w:rPr>
        <w:t>communities</w:t>
      </w:r>
      <w:r w:rsidRPr="003B4712" w:rsidR="006C61D1">
        <w:rPr>
          <w:rFonts w:eastAsia="MS Mincho"/>
          <w:bCs/>
        </w:rPr>
        <w:t xml:space="preserve">, following </w:t>
      </w:r>
      <w:r w:rsidRPr="003B4712" w:rsidR="00497334">
        <w:rPr>
          <w:rFonts w:eastAsia="MS Mincho"/>
          <w:bCs/>
        </w:rPr>
        <w:t>COV</w:t>
      </w:r>
      <w:r w:rsidR="00497334">
        <w:rPr>
          <w:rFonts w:eastAsia="MS Mincho"/>
          <w:bCs/>
        </w:rPr>
        <w:t>ID-</w:t>
      </w:r>
      <w:r w:rsidRPr="003B4712" w:rsidR="006C61D1">
        <w:rPr>
          <w:rFonts w:eastAsia="MS Mincho"/>
          <w:bCs/>
        </w:rPr>
        <w:t xml:space="preserve">19 </w:t>
      </w:r>
      <w:r w:rsidRPr="003B4712" w:rsidR="00960C0D">
        <w:rPr>
          <w:rFonts w:eastAsia="MS Mincho"/>
          <w:bCs/>
        </w:rPr>
        <w:t xml:space="preserve">social distancing guidance </w:t>
      </w:r>
      <w:r w:rsidRPr="003B4712" w:rsidR="00436C9B">
        <w:rPr>
          <w:rFonts w:eastAsia="MS Mincho"/>
          <w:bCs/>
        </w:rPr>
        <w:t>when necessary</w:t>
      </w:r>
      <w:r w:rsidRPr="003B4712" w:rsidR="000E4599">
        <w:rPr>
          <w:rFonts w:eastAsia="MS Mincho"/>
          <w:bCs/>
        </w:rPr>
        <w:t xml:space="preserve">. </w:t>
      </w:r>
      <w:r w:rsidRPr="003B4712" w:rsidR="00A87D03">
        <w:t>Respondent</w:t>
      </w:r>
      <w:r w:rsidRPr="003B4712" w:rsidR="002F3531">
        <w:t>s for this data collection are individuals in the U.S. aged 18 years and older affected by the opio</w:t>
      </w:r>
      <w:r w:rsidRPr="003B4712" w:rsidR="00D709DF">
        <w:t>i</w:t>
      </w:r>
      <w:r w:rsidRPr="003B4712" w:rsidR="002F3531">
        <w:t>d epidemic from urban and rural</w:t>
      </w:r>
      <w:r w:rsidR="009C64C6">
        <w:t>/reservation</w:t>
      </w:r>
      <w:r w:rsidRPr="003B4712" w:rsidR="002F3531">
        <w:t xml:space="preserve"> </w:t>
      </w:r>
      <w:r w:rsidRPr="003B4712" w:rsidR="009A171D">
        <w:t>Tribal</w:t>
      </w:r>
      <w:r w:rsidRPr="003B4712" w:rsidR="00D709DF">
        <w:t xml:space="preserve"> communities in </w:t>
      </w:r>
      <w:r w:rsidRPr="003B4712" w:rsidR="00A8651D">
        <w:t xml:space="preserve">two </w:t>
      </w:r>
      <w:r w:rsidRPr="003B4712" w:rsidR="00D709DF">
        <w:t>diverse geographic regions.</w:t>
      </w:r>
      <w:r w:rsidRPr="003B4712" w:rsidR="00363835">
        <w:t xml:space="preserve"> Eligible adults from six participation groups (parents/caregivers, Tribal </w:t>
      </w:r>
      <w:r w:rsidR="002A0F21">
        <w:t>E</w:t>
      </w:r>
      <w:r w:rsidRPr="003B4712" w:rsidR="00363835">
        <w:t>lders, community leaders</w:t>
      </w:r>
      <w:r w:rsidR="002A0F21">
        <w:t xml:space="preserve">, </w:t>
      </w:r>
      <w:r w:rsidRPr="003B4712" w:rsidR="00363835">
        <w:t xml:space="preserve">service providers, Tribal </w:t>
      </w:r>
      <w:r w:rsidR="002A0F21">
        <w:t>L</w:t>
      </w:r>
      <w:r w:rsidRPr="003B4712" w:rsidR="00363835">
        <w:t>eaders, traditional healers, and young adults) will be recruited to</w:t>
      </w:r>
      <w:r w:rsidRPr="00C712BA" w:rsidR="00363835">
        <w:t xml:space="preserve"> participate in a two-hour focus group or interview and complete a</w:t>
      </w:r>
      <w:r w:rsidR="002A0F21">
        <w:t xml:space="preserve"> brief demographic</w:t>
      </w:r>
      <w:r w:rsidRPr="00C712BA" w:rsidR="00363835">
        <w:t xml:space="preserve"> survey.</w:t>
      </w:r>
      <w:r w:rsidR="000E4599">
        <w:rPr>
          <w:rStyle w:val="CommentReference"/>
        </w:rPr>
        <w:t xml:space="preserve"> </w:t>
      </w:r>
      <w:bookmarkStart w:name="_Hlk40804502" w:id="17"/>
      <w:r w:rsidR="000E4599">
        <w:t>R</w:t>
      </w:r>
      <w:r w:rsidRPr="00C712BA" w:rsidR="00A87D03">
        <w:t>espondent</w:t>
      </w:r>
      <w:r w:rsidRPr="00C712BA" w:rsidR="00363835">
        <w:t>s</w:t>
      </w:r>
      <w:r w:rsidRPr="00C712BA" w:rsidR="00B11229">
        <w:t xml:space="preserve"> </w:t>
      </w:r>
      <w:r w:rsidRPr="00C712BA" w:rsidR="00F73BF6">
        <w:t>will be asked to travel to the focus group/interview location</w:t>
      </w:r>
      <w:r w:rsidRPr="00C712BA" w:rsidR="00363835">
        <w:t>.</w:t>
      </w:r>
      <w:r w:rsidRPr="00C712BA" w:rsidR="00A87D03">
        <w:t xml:space="preserve"> </w:t>
      </w:r>
      <w:bookmarkEnd w:id="17"/>
      <w:r w:rsidRPr="00C712BA" w:rsidR="00A87D03">
        <w:t>I</w:t>
      </w:r>
      <w:r w:rsidRPr="00C712BA" w:rsidR="00A22702">
        <w:t xml:space="preserve">n the event </w:t>
      </w:r>
      <w:r w:rsidRPr="00C712BA" w:rsidR="00D36696">
        <w:t xml:space="preserve">it is necessary to conduct </w:t>
      </w:r>
      <w:r w:rsidRPr="00C712BA" w:rsidR="00A87D03">
        <w:t xml:space="preserve">the focus groups/interviews virtually, respondents </w:t>
      </w:r>
      <w:r w:rsidR="00E1731F">
        <w:t xml:space="preserve">will be asked </w:t>
      </w:r>
      <w:r w:rsidRPr="00C712BA" w:rsidR="00A87D03">
        <w:t xml:space="preserve">to travel to a </w:t>
      </w:r>
      <w:r w:rsidRPr="00C712BA" w:rsidR="009A171D">
        <w:t>facility</w:t>
      </w:r>
      <w:r w:rsidRPr="00C712BA" w:rsidR="00A87D03">
        <w:t xml:space="preserve"> where internet access can be obtained</w:t>
      </w:r>
      <w:r w:rsidR="00E1731F">
        <w:t>.</w:t>
      </w:r>
      <w:r w:rsidR="00960C0D">
        <w:t xml:space="preserve"> </w:t>
      </w:r>
      <w:r w:rsidR="00436C9B">
        <w:t xml:space="preserve">Following </w:t>
      </w:r>
      <w:r w:rsidRPr="00C712BA" w:rsidR="00436C9B">
        <w:t>COV</w:t>
      </w:r>
      <w:r w:rsidR="00A37B57">
        <w:t>ID</w:t>
      </w:r>
      <w:r w:rsidR="00497334">
        <w:t>-</w:t>
      </w:r>
      <w:r w:rsidR="00960C0D">
        <w:t xml:space="preserve">19 guidance, at the time of </w:t>
      </w:r>
      <w:r w:rsidR="00960C0D">
        <w:lastRenderedPageBreak/>
        <w:t>the interview/focus group, social distancing and public health safety measurement will be implemented, including considerations for phone/virtual meetings instead of in person.</w:t>
      </w:r>
    </w:p>
    <w:p w:rsidRPr="00C712BA" w:rsidR="00B34242" w:rsidP="00F24157" w:rsidRDefault="00B34242" w14:paraId="03FF9606" w14:textId="77777777">
      <w:pPr>
        <w:autoSpaceDE w:val="0"/>
        <w:autoSpaceDN w:val="0"/>
        <w:adjustRightInd w:val="0"/>
      </w:pPr>
    </w:p>
    <w:p w:rsidR="008E0A72" w:rsidP="00F24157" w:rsidRDefault="003D3DF6" w14:paraId="5203B367" w14:textId="579A2A83">
      <w:pPr>
        <w:autoSpaceDE w:val="0"/>
        <w:autoSpaceDN w:val="0"/>
        <w:adjustRightInd w:val="0"/>
      </w:pPr>
      <w:r>
        <w:t xml:space="preserve">A </w:t>
      </w:r>
      <w:r w:rsidRPr="00C712BA" w:rsidR="00B34242">
        <w:t xml:space="preserve">Cochrane </w:t>
      </w:r>
      <w:r w:rsidRPr="00C712BA" w:rsidR="006A68EF">
        <w:t>C</w:t>
      </w:r>
      <w:r w:rsidRPr="00C712BA" w:rsidR="00B34242">
        <w:t xml:space="preserve">ollaboration systematic review of randomized controlled trials found that a monetary </w:t>
      </w:r>
      <w:r w:rsidRPr="00C712BA" w:rsidR="006A68EF">
        <w:t xml:space="preserve">token of appreciation </w:t>
      </w:r>
      <w:r w:rsidRPr="00C712BA" w:rsidR="00B34242">
        <w:t>doubled the response rates of questionnaire returns (</w:t>
      </w:r>
      <w:bookmarkStart w:name="_Hlk34659835" w:id="18"/>
      <w:r w:rsidRPr="00C712BA" w:rsidR="00B34242">
        <w:t xml:space="preserve">Edwards et al., 2002). Studies indicate that </w:t>
      </w:r>
      <w:r w:rsidRPr="00C712BA" w:rsidR="006A68EF">
        <w:t xml:space="preserve">tokens of appreciation </w:t>
      </w:r>
      <w:r w:rsidRPr="00C712BA" w:rsidR="00B34242">
        <w:t xml:space="preserve">are an effective method for increasing the response rates of hard-to-reach populations (e.g., </w:t>
      </w:r>
      <w:proofErr w:type="spellStart"/>
      <w:r w:rsidRPr="00C712BA" w:rsidR="00B34242">
        <w:t>Shaghai</w:t>
      </w:r>
      <w:proofErr w:type="spellEnd"/>
      <w:r w:rsidRPr="00C712BA" w:rsidR="00B34242">
        <w:t xml:space="preserve"> et al., 2011), </w:t>
      </w:r>
      <w:r w:rsidRPr="00C712BA" w:rsidR="00A87D03">
        <w:t>respondent</w:t>
      </w:r>
      <w:r w:rsidRPr="00C712BA" w:rsidR="00B34242">
        <w:t xml:space="preserve">s </w:t>
      </w:r>
      <w:r w:rsidRPr="00C712BA" w:rsidR="002077D2">
        <w:t xml:space="preserve">from </w:t>
      </w:r>
      <w:r w:rsidRPr="00C712BA" w:rsidR="00B34242">
        <w:t xml:space="preserve">racial/ethnic backgrounds (e.g., Beebe et al., 2005; Dykema et al., 2012), and </w:t>
      </w:r>
      <w:r w:rsidRPr="00C712BA" w:rsidR="00A87D03">
        <w:t>respondent</w:t>
      </w:r>
      <w:bookmarkEnd w:id="18"/>
      <w:r w:rsidRPr="00C712BA" w:rsidR="00B34242">
        <w:t>s with lower education typically underrepresented in surveys (e.g., Singer et al., 2000).</w:t>
      </w:r>
      <w:r w:rsidR="0046365D">
        <w:t xml:space="preserve"> </w:t>
      </w:r>
      <w:r w:rsidRPr="00C712BA" w:rsidR="00C95FD3">
        <w:t xml:space="preserve">These </w:t>
      </w:r>
      <w:r w:rsidRPr="00C712BA" w:rsidR="006A68EF">
        <w:t xml:space="preserve">tokens of appreciation </w:t>
      </w:r>
      <w:r w:rsidRPr="00C712BA" w:rsidR="00C95FD3">
        <w:t>are</w:t>
      </w:r>
      <w:r w:rsidRPr="00C712BA" w:rsidR="008E0A72">
        <w:t xml:space="preserve"> to help avoid non-response bias and ensure that </w:t>
      </w:r>
      <w:proofErr w:type="gramStart"/>
      <w:r w:rsidRPr="00C712BA" w:rsidR="008E0A72">
        <w:t>economically disadvantaged</w:t>
      </w:r>
      <w:proofErr w:type="gramEnd"/>
      <w:r w:rsidRPr="00C712BA" w:rsidR="008E0A72">
        <w:t xml:space="preserve"> </w:t>
      </w:r>
      <w:r w:rsidRPr="00C712BA" w:rsidR="00FC54FC">
        <w:t>responden</w:t>
      </w:r>
      <w:r w:rsidRPr="00C712BA" w:rsidR="008E0A72">
        <w:t xml:space="preserve">ts are not systematically discouraged from participating due to the costs of participation. The </w:t>
      </w:r>
      <w:r w:rsidRPr="00C712BA" w:rsidR="006A68EF">
        <w:t xml:space="preserve">token of appreciation </w:t>
      </w:r>
      <w:r w:rsidRPr="00C712BA" w:rsidR="008E0A72">
        <w:t xml:space="preserve">follows OMB guidelines for a focus group that imposes burden on </w:t>
      </w:r>
      <w:r w:rsidRPr="00C712BA" w:rsidR="00FC54FC">
        <w:t>respondent</w:t>
      </w:r>
      <w:r w:rsidRPr="00C712BA" w:rsidR="008E0A72">
        <w:t xml:space="preserve">s </w:t>
      </w:r>
      <w:r w:rsidRPr="00C712BA" w:rsidR="00C95FD3">
        <w:t xml:space="preserve">in traveling to the facility and </w:t>
      </w:r>
      <w:r w:rsidRPr="00C712BA" w:rsidR="008E0A72">
        <w:t xml:space="preserve">in the level of effort required </w:t>
      </w:r>
      <w:r w:rsidRPr="00C712BA" w:rsidR="00C95FD3">
        <w:t xml:space="preserve">for the focus groups/interviews </w:t>
      </w:r>
      <w:r w:rsidRPr="00C712BA" w:rsidR="008E0A72">
        <w:t xml:space="preserve">(e.g., </w:t>
      </w:r>
      <w:r w:rsidRPr="00C712BA" w:rsidR="00FC54FC">
        <w:t>respondent</w:t>
      </w:r>
      <w:r w:rsidRPr="00C712BA" w:rsidR="008E0A72">
        <w:t xml:space="preserve">s are asked to explain their mental processes as they hear the question and discuss its meaning). </w:t>
      </w:r>
    </w:p>
    <w:p w:rsidR="00D665AE" w:rsidP="00F24157" w:rsidRDefault="00D665AE" w14:paraId="73E1F7F6" w14:textId="3EF2896F">
      <w:pPr>
        <w:autoSpaceDE w:val="0"/>
        <w:autoSpaceDN w:val="0"/>
        <w:adjustRightInd w:val="0"/>
      </w:pPr>
    </w:p>
    <w:p w:rsidR="00D665AE" w:rsidP="00D84CAC" w:rsidRDefault="00D665AE" w14:paraId="04816763" w14:textId="77777777">
      <w:pPr>
        <w:autoSpaceDE w:val="0"/>
        <w:autoSpaceDN w:val="0"/>
        <w:adjustRightInd w:val="0"/>
        <w:rPr>
          <w:b/>
          <w:bCs/>
        </w:rPr>
      </w:pPr>
    </w:p>
    <w:p w:rsidRPr="00C712BA" w:rsidR="008A1A86" w:rsidP="00D84CAC" w:rsidRDefault="00972DEF" w14:paraId="256D8DCA" w14:textId="08537378">
      <w:pPr>
        <w:autoSpaceDE w:val="0"/>
        <w:autoSpaceDN w:val="0"/>
        <w:adjustRightInd w:val="0"/>
      </w:pPr>
      <w:r w:rsidRPr="00C712BA">
        <w:rPr>
          <w:b/>
          <w:bCs/>
        </w:rPr>
        <w:t xml:space="preserve">A.10. </w:t>
      </w:r>
      <w:r w:rsidRPr="00C712BA">
        <w:rPr>
          <w:b/>
          <w:bCs/>
        </w:rPr>
        <w:tab/>
      </w:r>
      <w:r w:rsidRPr="00C712BA" w:rsidR="00053C31">
        <w:rPr>
          <w:b/>
          <w:bCs/>
        </w:rPr>
        <w:t>Protection of the Privacy and Confidentiality of Information Provided</w:t>
      </w:r>
      <w:r w:rsidRPr="00C712BA" w:rsidR="00053090">
        <w:rPr>
          <w:b/>
          <w:bCs/>
        </w:rPr>
        <w:t xml:space="preserve"> </w:t>
      </w:r>
      <w:r w:rsidRPr="00C712BA" w:rsidR="00053C31">
        <w:rPr>
          <w:b/>
          <w:bCs/>
        </w:rPr>
        <w:t>by</w:t>
      </w:r>
      <w:r w:rsidRPr="00C712BA" w:rsidR="00053090">
        <w:rPr>
          <w:b/>
          <w:bCs/>
        </w:rPr>
        <w:t xml:space="preserve"> </w:t>
      </w:r>
      <w:r w:rsidRPr="00C712BA" w:rsidR="00053C31">
        <w:rPr>
          <w:b/>
          <w:bCs/>
        </w:rPr>
        <w:t>Respondents</w:t>
      </w:r>
    </w:p>
    <w:p w:rsidRPr="00C712BA" w:rsidR="007503A7" w:rsidP="00D84CAC" w:rsidRDefault="007503A7" w14:paraId="256D8DCD" w14:textId="4FEAD14A"/>
    <w:p w:rsidRPr="00C712BA" w:rsidR="009637E5" w:rsidP="00F73BF6" w:rsidRDefault="00E904A5" w14:paraId="71D534EE" w14:textId="399582DD">
      <w:r w:rsidRPr="00A132A1">
        <w:t xml:space="preserve">The Office of the Chief Information Officer at the CDC has determined that the Privacy Act does apply. The Privacy Impact </w:t>
      </w:r>
      <w:r w:rsidRPr="00832BA6">
        <w:t xml:space="preserve">Assessment (PIA) is </w:t>
      </w:r>
      <w:r w:rsidRPr="00823B89">
        <w:t>attached (</w:t>
      </w:r>
      <w:r w:rsidRPr="00823B89">
        <w:rPr>
          <w:b/>
        </w:rPr>
        <w:t>Attachment</w:t>
      </w:r>
      <w:r w:rsidRPr="00823B89" w:rsidR="00100B1D">
        <w:rPr>
          <w:b/>
        </w:rPr>
        <w:t xml:space="preserve"> </w:t>
      </w:r>
      <w:r w:rsidRPr="00823B89" w:rsidR="00A949D3">
        <w:rPr>
          <w:b/>
        </w:rPr>
        <w:t>M</w:t>
      </w:r>
      <w:r w:rsidRPr="00823B89">
        <w:t xml:space="preserve">). </w:t>
      </w:r>
      <w:r w:rsidRPr="00823B89" w:rsidR="00001F9C">
        <w:t>Only</w:t>
      </w:r>
      <w:r w:rsidRPr="00C712BA" w:rsidR="00001F9C">
        <w:t xml:space="preserve"> research staff involved with the site visits and data collection will know the identities of </w:t>
      </w:r>
      <w:r w:rsidRPr="00C712BA" w:rsidR="00A87D03">
        <w:t>respondent</w:t>
      </w:r>
      <w:r w:rsidRPr="00C712BA" w:rsidR="00001F9C">
        <w:t xml:space="preserve">s and </w:t>
      </w:r>
      <w:r w:rsidRPr="00C712BA" w:rsidR="00F73BF6">
        <w:t xml:space="preserve">obtain limited PII in terms of name and contact information (e.g., personal phone number, email address) for recruitment and scheduling purposes. All contact information will be contained in a secure </w:t>
      </w:r>
      <w:r w:rsidRPr="00C712BA" w:rsidR="002D4DD7">
        <w:t xml:space="preserve">password-protected </w:t>
      </w:r>
      <w:r w:rsidRPr="00C712BA" w:rsidR="00F73BF6">
        <w:t>data</w:t>
      </w:r>
      <w:r w:rsidRPr="00C712BA" w:rsidR="002D4DD7">
        <w:t>file</w:t>
      </w:r>
      <w:r w:rsidRPr="00C712BA" w:rsidR="00F73BF6">
        <w:t xml:space="preserve"> </w:t>
      </w:r>
      <w:r w:rsidRPr="00C712BA" w:rsidR="00371C2F">
        <w:t xml:space="preserve">accessible only to research staff </w:t>
      </w:r>
      <w:r w:rsidRPr="00C712BA" w:rsidR="00F73BF6">
        <w:t xml:space="preserve">during the </w:t>
      </w:r>
      <w:r w:rsidRPr="00C712BA" w:rsidR="00EB7C10">
        <w:t>data collection process</w:t>
      </w:r>
      <w:r w:rsidRPr="00C712BA" w:rsidR="00371C2F">
        <w:t xml:space="preserve">, </w:t>
      </w:r>
      <w:r w:rsidRPr="00C712BA" w:rsidR="00EB7C10">
        <w:t xml:space="preserve">stored </w:t>
      </w:r>
      <w:r w:rsidRPr="00C712BA" w:rsidR="00F73BF6">
        <w:t xml:space="preserve">separately and not linked to the </w:t>
      </w:r>
      <w:r w:rsidRPr="00C712BA" w:rsidR="002D4DD7">
        <w:t xml:space="preserve">research </w:t>
      </w:r>
      <w:r w:rsidRPr="00C712BA" w:rsidR="00F73BF6">
        <w:t>data</w:t>
      </w:r>
      <w:r w:rsidRPr="00C712BA" w:rsidR="00371C2F">
        <w:t xml:space="preserve">, and </w:t>
      </w:r>
      <w:r w:rsidRPr="00C712BA" w:rsidR="00EB7C10">
        <w:t>deleted upon data collection completion.</w:t>
      </w:r>
      <w:r w:rsidRPr="00C712BA" w:rsidR="00C525D9">
        <w:t xml:space="preserve"> No PII will be shared with or accessible to CDC NCIPC.</w:t>
      </w:r>
      <w:r w:rsidRPr="00C712BA" w:rsidR="00EB7C10">
        <w:t xml:space="preserve"> </w:t>
      </w:r>
    </w:p>
    <w:p w:rsidRPr="00C712BA" w:rsidR="009637E5" w:rsidP="00F73BF6" w:rsidRDefault="009637E5" w14:paraId="462240CD" w14:textId="77777777"/>
    <w:p w:rsidRPr="00C712BA" w:rsidR="00F73BF6" w:rsidP="00C525D9" w:rsidRDefault="009637E5" w14:paraId="7787D9E1" w14:textId="41FDE2ED">
      <w:r w:rsidRPr="00C712BA">
        <w:t xml:space="preserve">For data collection, a </w:t>
      </w:r>
      <w:r w:rsidRPr="00C712BA" w:rsidR="00EB7C10">
        <w:t xml:space="preserve">unique </w:t>
      </w:r>
      <w:r w:rsidRPr="00C712BA" w:rsidR="00371C2F">
        <w:t xml:space="preserve">study generated </w:t>
      </w:r>
      <w:r w:rsidRPr="00C712BA" w:rsidR="001B6230">
        <w:t xml:space="preserve">site </w:t>
      </w:r>
      <w:r w:rsidRPr="00C712BA" w:rsidR="00371C2F">
        <w:t xml:space="preserve">identification number </w:t>
      </w:r>
      <w:r w:rsidRPr="00C712BA" w:rsidR="00001F9C">
        <w:t xml:space="preserve">will be assigned to each </w:t>
      </w:r>
      <w:r w:rsidRPr="00C712BA" w:rsidR="001B6230">
        <w:t xml:space="preserve">community </w:t>
      </w:r>
      <w:r w:rsidRPr="00C712BA" w:rsidR="00B75017">
        <w:t xml:space="preserve">so that information cannot be associated with any individual </w:t>
      </w:r>
      <w:r w:rsidRPr="00C712BA" w:rsidR="001B6230">
        <w:t xml:space="preserve">or community name </w:t>
      </w:r>
      <w:r w:rsidRPr="00C712BA" w:rsidR="00570751">
        <w:t>to reduce the risk of potential harm from breach of confidentiality</w:t>
      </w:r>
      <w:r w:rsidRPr="00C712BA" w:rsidR="00371C2F">
        <w:t>.</w:t>
      </w:r>
      <w:r w:rsidRPr="00C712BA">
        <w:t xml:space="preserve"> During the focus groups/interviews, only the first names of </w:t>
      </w:r>
      <w:r w:rsidRPr="00C712BA" w:rsidR="00A87D03">
        <w:t>respondent</w:t>
      </w:r>
      <w:r w:rsidRPr="00C712BA">
        <w:t>s will be used to establish rapport.</w:t>
      </w:r>
      <w:r w:rsidRPr="00C712BA" w:rsidR="00C525D9">
        <w:t xml:space="preserve"> </w:t>
      </w:r>
      <w:r w:rsidRPr="00C712BA" w:rsidR="00343A12">
        <w:t xml:space="preserve">The research team </w:t>
      </w:r>
      <w:r w:rsidRPr="00C712BA">
        <w:t xml:space="preserve">will create a digital audio recording of the focus group/interview if </w:t>
      </w:r>
      <w:r w:rsidRPr="00C712BA" w:rsidR="00A87D03">
        <w:t>respondent</w:t>
      </w:r>
      <w:r w:rsidRPr="00C712BA">
        <w:t xml:space="preserve">s consent to the recording. </w:t>
      </w:r>
      <w:r w:rsidRPr="00C712BA" w:rsidR="00DA2E77">
        <w:t xml:space="preserve">The audio recordings will be securely transmitted to a </w:t>
      </w:r>
      <w:r w:rsidRPr="00C712BA" w:rsidR="00D315A5">
        <w:t xml:space="preserve">professional </w:t>
      </w:r>
      <w:r w:rsidRPr="00C712BA" w:rsidR="00DA2E77">
        <w:t xml:space="preserve">transcription </w:t>
      </w:r>
      <w:r w:rsidRPr="00C712BA" w:rsidR="00D315A5">
        <w:t xml:space="preserve">firm </w:t>
      </w:r>
      <w:r w:rsidRPr="00C712BA" w:rsidR="00DA2E77">
        <w:t xml:space="preserve">and not shared with CDC NCIPC. </w:t>
      </w:r>
      <w:r w:rsidRPr="00C712BA" w:rsidR="00343A12">
        <w:t xml:space="preserve">The contractor </w:t>
      </w:r>
      <w:r w:rsidRPr="00C712BA">
        <w:t xml:space="preserve">will instruct the firm that transcribes the recordings to scrub names and any other PII </w:t>
      </w:r>
      <w:r w:rsidRPr="00C712BA" w:rsidR="00C525D9">
        <w:t xml:space="preserve">to </w:t>
      </w:r>
      <w:r w:rsidRPr="00C712BA" w:rsidR="00DA2E77">
        <w:t>prepare de-identified transcripts.</w:t>
      </w:r>
      <w:r w:rsidRPr="00C712BA" w:rsidR="00570751">
        <w:t xml:space="preserve"> Accordingly, only the study </w:t>
      </w:r>
      <w:r w:rsidRPr="00C712BA" w:rsidR="00FC54FC">
        <w:t>respondent</w:t>
      </w:r>
      <w:r w:rsidRPr="00C712BA" w:rsidR="00570751">
        <w:t xml:space="preserve">’s identification number and research data will be available for data analysis. </w:t>
      </w:r>
      <w:r w:rsidRPr="00C712BA">
        <w:t>No</w:t>
      </w:r>
      <w:r w:rsidRPr="00C712BA" w:rsidR="00FC54FC">
        <w:t xml:space="preserve"> respondents</w:t>
      </w:r>
      <w:r w:rsidRPr="00C712BA">
        <w:t xml:space="preserve"> will be identified by name or description that may disclose the</w:t>
      </w:r>
      <w:r w:rsidRPr="00C712BA" w:rsidR="00DA2E77">
        <w:t>ir</w:t>
      </w:r>
      <w:r w:rsidRPr="00C712BA">
        <w:t xml:space="preserve"> identit</w:t>
      </w:r>
      <w:r w:rsidRPr="00C712BA" w:rsidR="00DA2E77">
        <w:t xml:space="preserve">y and specific quotes will not be attributed to any </w:t>
      </w:r>
      <w:r w:rsidRPr="00C712BA" w:rsidR="00FC54FC">
        <w:t>respondent</w:t>
      </w:r>
      <w:r w:rsidRPr="00C712BA" w:rsidR="00DA2E77">
        <w:t xml:space="preserve"> in a</w:t>
      </w:r>
      <w:r w:rsidRPr="00C712BA">
        <w:t>ny report or other information from the study that becomes publicly available.</w:t>
      </w:r>
      <w:r w:rsidRPr="00C712BA" w:rsidR="00DA2E77">
        <w:t xml:space="preserve"> </w:t>
      </w:r>
      <w:r w:rsidRPr="00C712BA">
        <w:t xml:space="preserve">All data information will be provided as </w:t>
      </w:r>
      <w:r w:rsidRPr="00C712BA" w:rsidR="00570751">
        <w:t xml:space="preserve">an </w:t>
      </w:r>
      <w:r w:rsidRPr="00C712BA">
        <w:t>aggregate summar</w:t>
      </w:r>
      <w:r w:rsidRPr="00C712BA" w:rsidR="00570751">
        <w:t>y</w:t>
      </w:r>
      <w:r w:rsidRPr="00C712BA" w:rsidR="00C525D9">
        <w:t>.</w:t>
      </w:r>
      <w:r w:rsidRPr="00C712BA" w:rsidR="00F73BF6">
        <w:t xml:space="preserve"> </w:t>
      </w:r>
    </w:p>
    <w:p w:rsidRPr="00C712BA" w:rsidR="00C728A8" w:rsidP="00D84CAC" w:rsidRDefault="00C728A8" w14:paraId="578568E7" w14:textId="77777777"/>
    <w:p w:rsidRPr="00C712BA" w:rsidR="00081DE4" w:rsidP="00D84CAC" w:rsidRDefault="00570751" w14:paraId="097A4FBE" w14:textId="1744B75F">
      <w:r w:rsidRPr="00C712BA">
        <w:t xml:space="preserve">Participation in the research activities is strictly voluntary. </w:t>
      </w:r>
      <w:r w:rsidRPr="00C712BA" w:rsidR="00D315A5">
        <w:t xml:space="preserve">The confidentiality of all participating individuals and Tribal communities will be strictly maintained. </w:t>
      </w:r>
      <w:r w:rsidRPr="00C712BA" w:rsidR="00A87D03">
        <w:t>Respondent</w:t>
      </w:r>
      <w:r w:rsidRPr="00C712BA">
        <w:t>s will be given as much time as needed to review</w:t>
      </w:r>
      <w:r w:rsidRPr="00C712BA" w:rsidR="00B23F70">
        <w:t>, ask questions,</w:t>
      </w:r>
      <w:r w:rsidRPr="00C712BA">
        <w:t xml:space="preserve"> and complete a written informed consent </w:t>
      </w:r>
      <w:r w:rsidRPr="00C712BA" w:rsidR="000823B9">
        <w:t xml:space="preserve">form </w:t>
      </w:r>
      <w:r w:rsidRPr="00C712BA">
        <w:lastRenderedPageBreak/>
        <w:t xml:space="preserve">before beginning data collection </w:t>
      </w:r>
      <w:r w:rsidRPr="00C712BA" w:rsidR="00C15F3A">
        <w:t>(</w:t>
      </w:r>
      <w:r w:rsidRPr="00C712BA" w:rsidR="00D36696">
        <w:rPr>
          <w:b/>
          <w:bCs/>
        </w:rPr>
        <w:t>Attachment</w:t>
      </w:r>
      <w:r w:rsidR="007748A2">
        <w:rPr>
          <w:b/>
          <w:bCs/>
        </w:rPr>
        <w:t xml:space="preserve"> </w:t>
      </w:r>
      <w:r w:rsidR="00A949D3">
        <w:rPr>
          <w:b/>
          <w:bCs/>
        </w:rPr>
        <w:t>F)</w:t>
      </w:r>
      <w:r w:rsidRPr="00C712BA" w:rsidR="002D4DD7">
        <w:t xml:space="preserve">. The consent </w:t>
      </w:r>
      <w:r w:rsidRPr="00C712BA">
        <w:t xml:space="preserve">form </w:t>
      </w:r>
      <w:r w:rsidRPr="00C712BA" w:rsidR="002D4DD7">
        <w:t>include</w:t>
      </w:r>
      <w:r w:rsidRPr="00C712BA">
        <w:t>s</w:t>
      </w:r>
      <w:r w:rsidRPr="00C712BA" w:rsidR="002D4DD7">
        <w:t xml:space="preserve"> the following information: explanation of the purposes of the research and description of research procedures; explanation that their participation is voluntary</w:t>
      </w:r>
      <w:r w:rsidRPr="00C712BA" w:rsidR="00B23F70">
        <w:t>;</w:t>
      </w:r>
      <w:r w:rsidRPr="00C712BA" w:rsidR="002D4DD7">
        <w:t xml:space="preserve"> that they may decline to answer questions in the focus group/interview or questionnaire and stop at any time without consequences; that there are no risks to participating beyond experienced in daily life: the length of time required for the information collection; explanation of the </w:t>
      </w:r>
      <w:r w:rsidRPr="00C712BA" w:rsidR="00724709">
        <w:t>token of appreciation</w:t>
      </w:r>
      <w:r w:rsidRPr="00C712BA" w:rsidR="002D4DD7">
        <w:t xml:space="preserve"> that will be provided; explanation and permission to create an audio recording; and the name and contact information for individuals if there are questions about the study or their rights as a research </w:t>
      </w:r>
      <w:r w:rsidRPr="00C712BA" w:rsidR="00FC54FC">
        <w:t>respondent</w:t>
      </w:r>
      <w:r w:rsidRPr="00C712BA" w:rsidR="002D4DD7">
        <w:t xml:space="preserve">. </w:t>
      </w:r>
      <w:r w:rsidRPr="00C712BA" w:rsidR="00A87D03">
        <w:t>Respondent</w:t>
      </w:r>
      <w:r w:rsidRPr="00C712BA" w:rsidR="004D6FFD">
        <w:t xml:space="preserve">s will also be informed that the </w:t>
      </w:r>
      <w:r w:rsidRPr="00C712BA" w:rsidR="00081DE4">
        <w:t xml:space="preserve">data they provide will be </w:t>
      </w:r>
      <w:r w:rsidRPr="00C712BA" w:rsidR="00D315A5">
        <w:t xml:space="preserve">analyzed and reported in aggregate form </w:t>
      </w:r>
      <w:r w:rsidRPr="00C712BA" w:rsidR="00224C27">
        <w:t xml:space="preserve">for purposes stated in the consent form and </w:t>
      </w:r>
      <w:r w:rsidRPr="00C712BA" w:rsidR="00081DE4">
        <w:t xml:space="preserve">treated in a secure manner to the extent allowed by law. The only exception is if there is a federal, state, or local law that requires disclosure (such as to report child abuse) or if a </w:t>
      </w:r>
      <w:r w:rsidRPr="00C712BA" w:rsidR="00FC54FC">
        <w:t>respondent</w:t>
      </w:r>
      <w:r w:rsidRPr="00C712BA" w:rsidR="00081DE4">
        <w:t xml:space="preserve"> reports plans to harm him/herself or others. </w:t>
      </w:r>
      <w:r w:rsidR="00735072">
        <w:t>I</w:t>
      </w:r>
      <w:r w:rsidRPr="00C712BA" w:rsidR="0012154D">
        <w:t xml:space="preserve">ndividuals or Tribal communities </w:t>
      </w:r>
      <w:r w:rsidRPr="00C712BA" w:rsidR="00224C27">
        <w:t>will not be identified by name in reports of study findings</w:t>
      </w:r>
      <w:r w:rsidR="007C0E60">
        <w:t xml:space="preserve"> unless agreed upon and approved by the Tribal community</w:t>
      </w:r>
      <w:r w:rsidRPr="00C712BA" w:rsidR="00224C27">
        <w:t xml:space="preserve">, </w:t>
      </w:r>
      <w:r w:rsidRPr="00C712BA" w:rsidR="002D4DD7">
        <w:t xml:space="preserve">a goal of the </w:t>
      </w:r>
      <w:r w:rsidRPr="00C712BA" w:rsidR="00B23F70">
        <w:t>study</w:t>
      </w:r>
      <w:r w:rsidRPr="00C712BA" w:rsidR="002D4DD7">
        <w:t xml:space="preserve"> is to disseminate information about promising strategies, which will likely necessitate naming the </w:t>
      </w:r>
      <w:r w:rsidRPr="00C712BA" w:rsidR="0012154D">
        <w:t xml:space="preserve">Tribal </w:t>
      </w:r>
      <w:r w:rsidRPr="00C712BA" w:rsidR="002D4DD7">
        <w:t>community’s location</w:t>
      </w:r>
      <w:r w:rsidR="007C0E60">
        <w:t xml:space="preserve"> (e.g., </w:t>
      </w:r>
      <w:r w:rsidR="009C64C6">
        <w:t>Great Lakes Region</w:t>
      </w:r>
      <w:r w:rsidR="007C0E60">
        <w:t>)</w:t>
      </w:r>
      <w:r w:rsidRPr="00C712BA" w:rsidR="002D4DD7">
        <w:t>.</w:t>
      </w:r>
      <w:r w:rsidRPr="00C712BA" w:rsidR="00224C27">
        <w:t xml:space="preserve"> </w:t>
      </w:r>
      <w:r w:rsidRPr="00C712BA" w:rsidR="002D4DD7">
        <w:t xml:space="preserve"> </w:t>
      </w:r>
    </w:p>
    <w:p w:rsidRPr="00C712BA" w:rsidR="000C308C" w:rsidP="00081DE4" w:rsidRDefault="000C308C" w14:paraId="05A63A8E" w14:textId="77777777"/>
    <w:p w:rsidRPr="00C712BA" w:rsidR="00081DE4" w:rsidP="00081DE4" w:rsidRDefault="00081DE4" w14:paraId="270FC9CF" w14:textId="6305E664">
      <w:r w:rsidRPr="00C712BA">
        <w:t xml:space="preserve">All CDC </w:t>
      </w:r>
      <w:r w:rsidRPr="00C712BA" w:rsidR="00512833">
        <w:t xml:space="preserve">NCIPC </w:t>
      </w:r>
      <w:r w:rsidRPr="00C712BA">
        <w:t xml:space="preserve">employees </w:t>
      </w:r>
      <w:r w:rsidRPr="00C712BA" w:rsidR="00512833">
        <w:t xml:space="preserve">involved in </w:t>
      </w:r>
      <w:r w:rsidR="2B29B55F">
        <w:t xml:space="preserve">reviewing and approving </w:t>
      </w:r>
      <w:r w:rsidR="4E0B6EAF">
        <w:t xml:space="preserve">and contractors involved in </w:t>
      </w:r>
      <w:r w:rsidR="5335E8B4">
        <w:t>research</w:t>
      </w:r>
      <w:r w:rsidRPr="00C712BA" w:rsidR="00512833">
        <w:t xml:space="preserve"> </w:t>
      </w:r>
      <w:r w:rsidR="2FB0243F">
        <w:t>activit</w:t>
      </w:r>
      <w:r w:rsidR="326D8A3A">
        <w:t xml:space="preserve">y </w:t>
      </w:r>
      <w:r w:rsidR="06F939DC">
        <w:t xml:space="preserve">contract </w:t>
      </w:r>
      <w:r w:rsidR="326D8A3A">
        <w:t>deliverables</w:t>
      </w:r>
      <w:r w:rsidRPr="00C712BA" w:rsidR="00512833">
        <w:t xml:space="preserve"> </w:t>
      </w:r>
      <w:r w:rsidRPr="00C712BA">
        <w:t>will be required to attend annual security and privacy training, to sign a nondisclosure agreement and notice about data use policies</w:t>
      </w:r>
      <w:r w:rsidR="07865F4B">
        <w:t xml:space="preserve"> if required by tribal partner sites</w:t>
      </w:r>
      <w:r w:rsidRPr="00C712BA">
        <w:t xml:space="preserve">, and to update their security and privacy agreements and training on an annual basis. </w:t>
      </w:r>
      <w:r w:rsidR="79793AF5">
        <w:t xml:space="preserve">CDC NCIPC employees will </w:t>
      </w:r>
      <w:r w:rsidRPr="003B532E" w:rsidR="79793AF5">
        <w:rPr>
          <w:b/>
          <w:u w:val="single"/>
        </w:rPr>
        <w:t>not</w:t>
      </w:r>
      <w:r w:rsidR="79793AF5">
        <w:t xml:space="preserve"> be directly engaged in research activities.</w:t>
      </w:r>
    </w:p>
    <w:p w:rsidRPr="00C712BA" w:rsidR="00081DE4" w:rsidP="00081DE4" w:rsidRDefault="00081DE4" w14:paraId="23BDC312" w14:textId="18667F66"/>
    <w:p w:rsidRPr="00C712BA" w:rsidR="00972DEF" w:rsidP="00D84CAC" w:rsidRDefault="00972DEF" w14:paraId="256D8DCE" w14:textId="39785C6D">
      <w:pPr>
        <w:rPr>
          <w:b/>
          <w:bCs/>
        </w:rPr>
      </w:pPr>
      <w:r w:rsidRPr="00C712BA">
        <w:rPr>
          <w:b/>
          <w:bCs/>
        </w:rPr>
        <w:t>A.11.</w:t>
      </w:r>
      <w:r w:rsidRPr="00C712BA">
        <w:rPr>
          <w:b/>
          <w:bCs/>
        </w:rPr>
        <w:tab/>
      </w:r>
      <w:r w:rsidRPr="00C712BA" w:rsidR="00CA5DC1">
        <w:rPr>
          <w:b/>
          <w:bCs/>
        </w:rPr>
        <w:t>Institutional Review Board (IRB) and Justification for Sensitive Questions</w:t>
      </w:r>
      <w:r w:rsidRPr="00C712BA">
        <w:rPr>
          <w:b/>
          <w:bCs/>
        </w:rPr>
        <w:tab/>
      </w:r>
    </w:p>
    <w:p w:rsidRPr="00C712BA" w:rsidR="0073187D" w:rsidP="00D84CAC" w:rsidRDefault="0073187D" w14:paraId="256D8DCF" w14:textId="77777777">
      <w:pPr>
        <w:rPr>
          <w:b/>
          <w:bCs/>
        </w:rPr>
      </w:pPr>
    </w:p>
    <w:p w:rsidRPr="00C712BA" w:rsidR="0073187D" w:rsidP="00D84CAC" w:rsidRDefault="0073187D" w14:paraId="256D8DD0" w14:textId="77777777">
      <w:pPr>
        <w:rPr>
          <w:b/>
        </w:rPr>
      </w:pPr>
      <w:r w:rsidRPr="00C712BA">
        <w:rPr>
          <w:b/>
        </w:rPr>
        <w:t>IRB Approval</w:t>
      </w:r>
    </w:p>
    <w:p w:rsidRPr="00C712BA" w:rsidR="00C15F3A" w:rsidP="00D84CAC" w:rsidRDefault="00C15F3A" w14:paraId="31ADB8E9" w14:textId="77777777"/>
    <w:p w:rsidRPr="00287BC4" w:rsidR="00820D30" w:rsidP="00EF1F17" w:rsidRDefault="008777E7" w14:paraId="1BC73C9E" w14:textId="1CCA6A81">
      <w:pPr>
        <w:pStyle w:val="BodyText3"/>
        <w:rPr>
          <w:sz w:val="24"/>
          <w:szCs w:val="24"/>
        </w:rPr>
      </w:pPr>
      <w:r w:rsidRPr="00287BC4">
        <w:rPr>
          <w:sz w:val="24"/>
          <w:szCs w:val="24"/>
        </w:rPr>
        <w:t xml:space="preserve">CDC has received IRB approval through </w:t>
      </w:r>
      <w:r w:rsidRPr="00287BC4" w:rsidR="00F34044">
        <w:rPr>
          <w:sz w:val="24"/>
          <w:szCs w:val="24"/>
        </w:rPr>
        <w:t>WCG</w:t>
      </w:r>
      <w:r w:rsidRPr="00287BC4">
        <w:rPr>
          <w:sz w:val="24"/>
          <w:szCs w:val="24"/>
        </w:rPr>
        <w:t>’s</w:t>
      </w:r>
      <w:r w:rsidRPr="00287BC4" w:rsidR="00E51CAD">
        <w:rPr>
          <w:sz w:val="24"/>
          <w:szCs w:val="24"/>
        </w:rPr>
        <w:t xml:space="preserve"> IRB. </w:t>
      </w:r>
      <w:r w:rsidRPr="00287BC4">
        <w:rPr>
          <w:sz w:val="24"/>
          <w:szCs w:val="24"/>
        </w:rPr>
        <w:t xml:space="preserve">WCG’s IRB </w:t>
      </w:r>
      <w:r w:rsidRPr="00287BC4" w:rsidR="002E0E36">
        <w:rPr>
          <w:sz w:val="24"/>
          <w:szCs w:val="24"/>
        </w:rPr>
        <w:t>(IRB</w:t>
      </w:r>
      <w:r w:rsidRPr="00287BC4" w:rsidR="002E0E36">
        <w:rPr>
          <w:rFonts w:ascii="Roboto" w:hAnsi="Roboto"/>
          <w:color w:val="5B6A75"/>
          <w:sz w:val="24"/>
          <w:szCs w:val="24"/>
          <w:shd w:val="clear" w:color="auto" w:fill="FFFFFF"/>
        </w:rPr>
        <w:t xml:space="preserve"> </w:t>
      </w:r>
      <w:r w:rsidRPr="00287BC4" w:rsidR="002E0E36">
        <w:rPr>
          <w:sz w:val="24"/>
          <w:szCs w:val="24"/>
        </w:rPr>
        <w:t xml:space="preserve">IRB00000533) </w:t>
      </w:r>
      <w:r w:rsidRPr="00287BC4" w:rsidR="005C7A97">
        <w:rPr>
          <w:sz w:val="24"/>
          <w:szCs w:val="24"/>
        </w:rPr>
        <w:t xml:space="preserve">and the award subcontractor conducting the research </w:t>
      </w:r>
      <w:r w:rsidRPr="00287BC4" w:rsidR="002E0E36">
        <w:rPr>
          <w:sz w:val="24"/>
          <w:szCs w:val="24"/>
        </w:rPr>
        <w:t>(</w:t>
      </w:r>
      <w:r w:rsidRPr="00287BC4" w:rsidR="005C7A97">
        <w:rPr>
          <w:sz w:val="24"/>
          <w:szCs w:val="24"/>
        </w:rPr>
        <w:t xml:space="preserve">James Bell and Associates </w:t>
      </w:r>
      <w:r w:rsidRPr="002C41D8" w:rsidR="002E0E36">
        <w:rPr>
          <w:sz w:val="24"/>
          <w:szCs w:val="24"/>
        </w:rPr>
        <w:t xml:space="preserve">FWA00005415) </w:t>
      </w:r>
      <w:r w:rsidRPr="002C41D8">
        <w:rPr>
          <w:sz w:val="24"/>
          <w:szCs w:val="24"/>
        </w:rPr>
        <w:t>meet</w:t>
      </w:r>
      <w:r w:rsidRPr="00287BC4">
        <w:rPr>
          <w:sz w:val="24"/>
          <w:szCs w:val="24"/>
        </w:rPr>
        <w:t xml:space="preserve"> all of the Federal requirements as specified in 45 CFR 46</w:t>
      </w:r>
      <w:r w:rsidRPr="00287BC4" w:rsidR="009C178E">
        <w:rPr>
          <w:sz w:val="24"/>
          <w:szCs w:val="24"/>
        </w:rPr>
        <w:t xml:space="preserve"> and </w:t>
      </w:r>
      <w:r w:rsidRPr="00287BC4" w:rsidR="00AC4BFE">
        <w:rPr>
          <w:sz w:val="24"/>
          <w:szCs w:val="24"/>
        </w:rPr>
        <w:t>are registered</w:t>
      </w:r>
      <w:r w:rsidRPr="00287BC4">
        <w:rPr>
          <w:sz w:val="24"/>
          <w:szCs w:val="24"/>
        </w:rPr>
        <w:t xml:space="preserve"> with the Office for Human Research Protections and with Federal Wide Assurance</w:t>
      </w:r>
      <w:r w:rsidR="00832BA6">
        <w:rPr>
          <w:sz w:val="24"/>
          <w:szCs w:val="24"/>
        </w:rPr>
        <w:t>,</w:t>
      </w:r>
      <w:r w:rsidRPr="00832BA6">
        <w:rPr>
          <w:sz w:val="24"/>
          <w:szCs w:val="24"/>
        </w:rPr>
        <w:t xml:space="preserve"> </w:t>
      </w:r>
      <w:r w:rsidRPr="00823B89" w:rsidR="00AC4BFE">
        <w:rPr>
          <w:sz w:val="24"/>
          <w:szCs w:val="24"/>
        </w:rPr>
        <w:t>respectively</w:t>
      </w:r>
      <w:r w:rsidRPr="00823B89">
        <w:rPr>
          <w:sz w:val="24"/>
          <w:szCs w:val="24"/>
        </w:rPr>
        <w:t xml:space="preserve">. </w:t>
      </w:r>
      <w:r w:rsidRPr="00823B89" w:rsidR="00E51CAD">
        <w:rPr>
          <w:sz w:val="24"/>
          <w:szCs w:val="24"/>
        </w:rPr>
        <w:t xml:space="preserve">A copy of the approval letter is provided in Attachment </w:t>
      </w:r>
      <w:r w:rsidRPr="00823B89" w:rsidR="00A949D3">
        <w:rPr>
          <w:sz w:val="24"/>
          <w:szCs w:val="24"/>
        </w:rPr>
        <w:t>N</w:t>
      </w:r>
      <w:r w:rsidRPr="00823B89" w:rsidR="00E51CAD">
        <w:rPr>
          <w:sz w:val="24"/>
          <w:szCs w:val="24"/>
        </w:rPr>
        <w:t xml:space="preserve">. </w:t>
      </w:r>
      <w:r w:rsidRPr="00823B89" w:rsidR="00B23F70">
        <w:rPr>
          <w:sz w:val="24"/>
          <w:szCs w:val="24"/>
        </w:rPr>
        <w:t>We will address human subjects</w:t>
      </w:r>
      <w:r w:rsidRPr="00823B89" w:rsidR="009C64C6">
        <w:rPr>
          <w:sz w:val="24"/>
          <w:szCs w:val="24"/>
        </w:rPr>
        <w:t xml:space="preserve">- </w:t>
      </w:r>
      <w:bookmarkStart w:name="_Hlk68108931" w:id="19"/>
      <w:r w:rsidRPr="00823B89" w:rsidR="009C64C6">
        <w:rPr>
          <w:sz w:val="24"/>
          <w:szCs w:val="24"/>
        </w:rPr>
        <w:t>and community-</w:t>
      </w:r>
      <w:r w:rsidRPr="00823B89" w:rsidR="00B23F70">
        <w:rPr>
          <w:sz w:val="24"/>
          <w:szCs w:val="24"/>
        </w:rPr>
        <w:t xml:space="preserve"> </w:t>
      </w:r>
      <w:bookmarkStart w:name="_Hlk68109001" w:id="20"/>
      <w:bookmarkEnd w:id="19"/>
      <w:r w:rsidRPr="00823B89" w:rsidR="00B23F70">
        <w:rPr>
          <w:sz w:val="24"/>
          <w:szCs w:val="24"/>
        </w:rPr>
        <w:t xml:space="preserve">protections </w:t>
      </w:r>
      <w:r w:rsidRPr="0028469A" w:rsidR="00820D30">
        <w:rPr>
          <w:sz w:val="24"/>
          <w:szCs w:val="24"/>
        </w:rPr>
        <w:t xml:space="preserve">according to </w:t>
      </w:r>
      <w:r w:rsidRPr="005F7852" w:rsidR="009C64C6">
        <w:rPr>
          <w:sz w:val="24"/>
          <w:szCs w:val="24"/>
        </w:rPr>
        <w:t xml:space="preserve">each Tribal entity’s </w:t>
      </w:r>
      <w:r w:rsidRPr="005F7852" w:rsidR="00820D30">
        <w:rPr>
          <w:sz w:val="24"/>
          <w:szCs w:val="24"/>
        </w:rPr>
        <w:t>human subjects</w:t>
      </w:r>
      <w:r w:rsidRPr="00735072" w:rsidR="009C64C6">
        <w:rPr>
          <w:sz w:val="24"/>
          <w:szCs w:val="24"/>
        </w:rPr>
        <w:t>- and community-</w:t>
      </w:r>
      <w:r w:rsidRPr="00735072" w:rsidR="00820D30">
        <w:rPr>
          <w:sz w:val="24"/>
          <w:szCs w:val="24"/>
        </w:rPr>
        <w:t xml:space="preserve"> protections</w:t>
      </w:r>
      <w:r w:rsidRPr="00AB466E" w:rsidR="00820D30">
        <w:rPr>
          <w:sz w:val="24"/>
          <w:szCs w:val="24"/>
        </w:rPr>
        <w:t xml:space="preserve"> procedures</w:t>
      </w:r>
      <w:bookmarkEnd w:id="20"/>
      <w:r w:rsidRPr="00AB466E" w:rsidR="00820D30">
        <w:rPr>
          <w:sz w:val="24"/>
          <w:szCs w:val="24"/>
        </w:rPr>
        <w:t>.</w:t>
      </w:r>
    </w:p>
    <w:p w:rsidRPr="00C712BA" w:rsidR="00C15F3A" w:rsidP="00D84CAC" w:rsidRDefault="00C15F3A" w14:paraId="1BD7DDD8" w14:textId="360FAEB1"/>
    <w:p w:rsidRPr="00C712BA" w:rsidR="00972DEF" w:rsidP="00D84CAC" w:rsidRDefault="00CA5DC1" w14:paraId="256D8DD3" w14:textId="77777777">
      <w:pPr>
        <w:rPr>
          <w:b/>
          <w:bCs/>
        </w:rPr>
      </w:pPr>
      <w:r w:rsidRPr="00C712BA">
        <w:rPr>
          <w:b/>
          <w:bCs/>
        </w:rPr>
        <w:t>Sensitive Questions</w:t>
      </w:r>
    </w:p>
    <w:p w:rsidRPr="00C712BA" w:rsidR="00CA5DC1" w:rsidP="00D84CAC" w:rsidRDefault="00CA5DC1" w14:paraId="256D8DD4" w14:textId="491EAE2C"/>
    <w:p w:rsidRPr="00C712BA" w:rsidR="0033226D" w:rsidP="0033226D" w:rsidRDefault="00643721" w14:paraId="50002C8B" w14:textId="58450D8A">
      <w:r w:rsidRPr="00C712BA">
        <w:t xml:space="preserve">The topics that will be covered by this information collection request involve ACEs, </w:t>
      </w:r>
      <w:r w:rsidR="00550C48">
        <w:t>mis</w:t>
      </w:r>
      <w:r w:rsidRPr="00C712BA">
        <w:t xml:space="preserve">use of </w:t>
      </w:r>
      <w:r w:rsidRPr="00C712BA" w:rsidR="00421F4F">
        <w:t xml:space="preserve">prescribed </w:t>
      </w:r>
      <w:r w:rsidRPr="00C712BA">
        <w:t xml:space="preserve">and </w:t>
      </w:r>
      <w:r w:rsidRPr="00C712BA" w:rsidR="00421F4F">
        <w:t xml:space="preserve">non-prescribed opioid </w:t>
      </w:r>
      <w:r w:rsidRPr="00C712BA">
        <w:t xml:space="preserve">substances, and other matters that are commonly considered </w:t>
      </w:r>
      <w:r w:rsidRPr="00C712BA" w:rsidR="007E5416">
        <w:t xml:space="preserve">sensitive or </w:t>
      </w:r>
      <w:r w:rsidRPr="00C712BA">
        <w:t>private.</w:t>
      </w:r>
      <w:r w:rsidRPr="00C712BA" w:rsidR="00BA70AC">
        <w:t xml:space="preserve"> </w:t>
      </w:r>
      <w:r w:rsidRPr="00C712BA" w:rsidR="0033226D">
        <w:t xml:space="preserve">We will obtain a certificate of confidentiality which is automatically granted for CDC-funded research to support the research team in protecting the data against compulsory legal demands (e.g., court orders, subpoenas). A certificate of confidentiality indicates that research staff cannot disclose information or documents pertaining to the data collection to anyone else who is not connected with the research. In addition, information may not be disclosed to any federal, state, or local civil, criminal, administrative, legislative, or other action, suit, or proceeding. </w:t>
      </w:r>
    </w:p>
    <w:p w:rsidR="0033226D" w:rsidP="00BA70AC" w:rsidRDefault="0033226D" w14:paraId="18E97A29" w14:textId="77777777"/>
    <w:p w:rsidRPr="00C712BA" w:rsidR="00BA70AC" w:rsidP="00BA70AC" w:rsidRDefault="00BA70AC" w14:paraId="1EA5039C" w14:textId="5D442AA6">
      <w:r w:rsidRPr="00C712BA">
        <w:t xml:space="preserve">The reasons for collection of sensitive information is </w:t>
      </w:r>
      <w:r w:rsidRPr="00C712BA" w:rsidR="000C308C">
        <w:t xml:space="preserve">CDC NCIPC’s interest in learning about </w:t>
      </w:r>
      <w:r w:rsidR="00DE3433">
        <w:t xml:space="preserve">protective factors related to </w:t>
      </w:r>
      <w:r w:rsidRPr="00C712BA" w:rsidR="000C308C">
        <w:t xml:space="preserve">children’s exposure to violence and other ACEs and trajectories into opioid misuse and their application in </w:t>
      </w:r>
      <w:r w:rsidRPr="00C712BA">
        <w:t>preventing violence to prevent ACEs, and substance misuse in AI/AN populations. As explained in the informed consent</w:t>
      </w:r>
      <w:r w:rsidRPr="00C712BA" w:rsidR="00421F4F">
        <w:t>,</w:t>
      </w:r>
      <w:r w:rsidRPr="00C712BA">
        <w:t xml:space="preserve"> </w:t>
      </w:r>
      <w:r w:rsidRPr="00C712BA" w:rsidR="00A87D03">
        <w:t>respondent</w:t>
      </w:r>
      <w:r w:rsidRPr="00C712BA" w:rsidR="00643721">
        <w:t xml:space="preserve">s may decline to respond to </w:t>
      </w:r>
      <w:r w:rsidRPr="00C712BA">
        <w:t>any question</w:t>
      </w:r>
      <w:r w:rsidR="00FA4D71">
        <w:t xml:space="preserve"> or end participation at any time</w:t>
      </w:r>
      <w:r w:rsidRPr="00C712BA">
        <w:t xml:space="preserve">. All questions, including sensitive questions, are not required and voluntary in nature. </w:t>
      </w:r>
      <w:r w:rsidRPr="00C712BA" w:rsidR="00A87D03">
        <w:t>Respondent</w:t>
      </w:r>
      <w:r w:rsidRPr="00C712BA">
        <w:t xml:space="preserve">s will also be told that their responses are for analysis purposes only and </w:t>
      </w:r>
      <w:r w:rsidRPr="00C712BA" w:rsidR="000C308C">
        <w:t xml:space="preserve">their data </w:t>
      </w:r>
      <w:r w:rsidRPr="00C712BA">
        <w:t xml:space="preserve">will be kept secure and not linked to them personally. The informed consent contains contact information for both the study and </w:t>
      </w:r>
      <w:r w:rsidRPr="00C712BA" w:rsidR="00722B31">
        <w:t xml:space="preserve">the CDC </w:t>
      </w:r>
      <w:r w:rsidRPr="00C712BA">
        <w:t xml:space="preserve">IRB in case a </w:t>
      </w:r>
      <w:r w:rsidRPr="00C712BA" w:rsidR="00FC54FC">
        <w:t>respondent</w:t>
      </w:r>
      <w:r w:rsidRPr="00C712BA">
        <w:t xml:space="preserve"> has further questions or concerns.     </w:t>
      </w:r>
    </w:p>
    <w:p w:rsidRPr="00C712BA" w:rsidR="00BA70AC" w:rsidP="003160CC" w:rsidRDefault="00BA70AC" w14:paraId="32486705" w14:textId="18F80B7E"/>
    <w:p w:rsidRPr="00C712BA" w:rsidR="000C308C" w:rsidP="00BA70AC" w:rsidRDefault="006A7A47" w14:paraId="4AE3F71B" w14:textId="1C64A88A">
      <w:r w:rsidRPr="00C712BA">
        <w:t>Respondent</w:t>
      </w:r>
      <w:r w:rsidRPr="00C712BA" w:rsidR="00BA70AC">
        <w:t xml:space="preserve"> safety remains the primary concern for any data collection containing sensitive questions</w:t>
      </w:r>
      <w:r w:rsidRPr="00C712BA" w:rsidR="000C308C">
        <w:t xml:space="preserve">. </w:t>
      </w:r>
      <w:r w:rsidRPr="00C712BA" w:rsidR="009D5BE1">
        <w:t>The r</w:t>
      </w:r>
      <w:r w:rsidRPr="00C712BA" w:rsidR="000C308C">
        <w:t xml:space="preserve">esearch </w:t>
      </w:r>
      <w:r w:rsidRPr="00C712BA" w:rsidR="009D5BE1">
        <w:t xml:space="preserve">team </w:t>
      </w:r>
      <w:r w:rsidRPr="00C712BA" w:rsidR="00BA70AC">
        <w:t xml:space="preserve">will be trained and instructed on </w:t>
      </w:r>
      <w:r w:rsidRPr="00C712BA" w:rsidR="000C308C">
        <w:t xml:space="preserve">crisis procedures should one arise and instructions for when </w:t>
      </w:r>
      <w:r w:rsidRPr="00C712BA" w:rsidR="00A87D03">
        <w:t>respondent</w:t>
      </w:r>
      <w:r w:rsidRPr="00C712BA" w:rsidR="000C308C">
        <w:t>s become uncomfortable, distressed, or wish to discontinue.</w:t>
      </w:r>
      <w:r w:rsidRPr="00C712BA" w:rsidR="009D7B21">
        <w:t xml:space="preserve"> All respondents will be provided with a community-specific list of mental health care referral services that they may consult as needed</w:t>
      </w:r>
      <w:r w:rsidR="00735072">
        <w:t xml:space="preserve"> (</w:t>
      </w:r>
      <w:r w:rsidRPr="00735072" w:rsidR="00735072">
        <w:rPr>
          <w:b/>
          <w:bCs/>
        </w:rPr>
        <w:t>Attachment H</w:t>
      </w:r>
      <w:r w:rsidR="00735072">
        <w:t>).</w:t>
      </w:r>
    </w:p>
    <w:p w:rsidRPr="00C712BA" w:rsidR="00BA70AC" w:rsidP="003160CC" w:rsidRDefault="00BA70AC" w14:paraId="7EDD9E5C" w14:textId="77777777"/>
    <w:p w:rsidRPr="00C712BA" w:rsidR="00972DEF" w:rsidP="00D84CAC" w:rsidRDefault="00972DEF" w14:paraId="256D8DD5" w14:textId="77777777">
      <w:pPr>
        <w:autoSpaceDE w:val="0"/>
        <w:autoSpaceDN w:val="0"/>
        <w:adjustRightInd w:val="0"/>
      </w:pPr>
      <w:r w:rsidRPr="00C712BA">
        <w:rPr>
          <w:b/>
          <w:bCs/>
        </w:rPr>
        <w:t xml:space="preserve">A.12. </w:t>
      </w:r>
      <w:r w:rsidRPr="00C712BA">
        <w:rPr>
          <w:b/>
          <w:bCs/>
        </w:rPr>
        <w:tab/>
        <w:t xml:space="preserve">Estimates of Annualized Burden Hours and Costs </w:t>
      </w:r>
    </w:p>
    <w:p w:rsidRPr="00C712BA" w:rsidR="00366BA1" w:rsidP="00D84CAC" w:rsidRDefault="00366BA1" w14:paraId="20C577E9" w14:textId="77777777">
      <w:pPr>
        <w:pStyle w:val="a"/>
        <w:tabs>
          <w:tab w:val="left" w:pos="-1440"/>
        </w:tabs>
        <w:ind w:left="0" w:firstLine="0"/>
      </w:pPr>
    </w:p>
    <w:p w:rsidRPr="00C712BA" w:rsidR="00602E15" w:rsidP="00D84CAC" w:rsidRDefault="00F25444" w14:paraId="271B1C23" w14:textId="00EF2D06">
      <w:pPr>
        <w:pStyle w:val="a"/>
        <w:tabs>
          <w:tab w:val="left" w:pos="-1440"/>
        </w:tabs>
        <w:ind w:left="0" w:firstLine="0"/>
      </w:pPr>
      <w:r w:rsidRPr="00CE5163">
        <w:rPr>
          <w:rFonts w:eastAsia="MS Mincho"/>
          <w:bCs/>
        </w:rPr>
        <w:t xml:space="preserve">The number of </w:t>
      </w:r>
      <w:r w:rsidRPr="00CE5163" w:rsidR="00F92A32">
        <w:rPr>
          <w:rFonts w:eastAsia="MS Mincho"/>
          <w:bCs/>
        </w:rPr>
        <w:t xml:space="preserve">individuals </w:t>
      </w:r>
      <w:r w:rsidRPr="00CE5163">
        <w:rPr>
          <w:rFonts w:eastAsia="MS Mincho"/>
          <w:bCs/>
        </w:rPr>
        <w:t xml:space="preserve">to be contacted </w:t>
      </w:r>
      <w:r w:rsidRPr="00CE5163" w:rsidR="00F92A32">
        <w:rPr>
          <w:rFonts w:eastAsia="MS Mincho"/>
          <w:bCs/>
        </w:rPr>
        <w:t xml:space="preserve">for recruitment </w:t>
      </w:r>
      <w:r w:rsidRPr="00CE5163">
        <w:rPr>
          <w:rFonts w:eastAsia="MS Mincho"/>
          <w:bCs/>
        </w:rPr>
        <w:t xml:space="preserve">is </w:t>
      </w:r>
      <w:r w:rsidR="00233E64">
        <w:rPr>
          <w:rFonts w:eastAsia="MS Mincho"/>
          <w:bCs/>
        </w:rPr>
        <w:t>160</w:t>
      </w:r>
      <w:r w:rsidRPr="00CE5163" w:rsidR="00233E64">
        <w:rPr>
          <w:rFonts w:eastAsia="MS Mincho"/>
          <w:bCs/>
        </w:rPr>
        <w:t xml:space="preserve"> </w:t>
      </w:r>
      <w:r w:rsidRPr="00CE5163" w:rsidR="00F92A32">
        <w:rPr>
          <w:rFonts w:eastAsia="MS Mincho"/>
          <w:bCs/>
        </w:rPr>
        <w:t xml:space="preserve">with an </w:t>
      </w:r>
      <w:r w:rsidRPr="00CE5163">
        <w:rPr>
          <w:rFonts w:eastAsia="MS Mincho"/>
          <w:bCs/>
        </w:rPr>
        <w:t xml:space="preserve">expected response rate for participation </w:t>
      </w:r>
      <w:r w:rsidRPr="00CE5163" w:rsidR="00F92A32">
        <w:rPr>
          <w:rFonts w:eastAsia="MS Mincho"/>
          <w:bCs/>
        </w:rPr>
        <w:t>of</w:t>
      </w:r>
      <w:r w:rsidRPr="00CE5163">
        <w:rPr>
          <w:rFonts w:eastAsia="MS Mincho"/>
          <w:bCs/>
        </w:rPr>
        <w:t xml:space="preserve"> 75% or greater of eligible individuals. </w:t>
      </w:r>
      <w:r w:rsidRPr="00CE5163" w:rsidR="00735AA8">
        <w:t>The focus group/interview sessions</w:t>
      </w:r>
      <w:r w:rsidRPr="00CE5163" w:rsidR="00366BA1">
        <w:t xml:space="preserve"> </w:t>
      </w:r>
      <w:r w:rsidRPr="00CE5163" w:rsidR="00735AA8">
        <w:t xml:space="preserve">will include </w:t>
      </w:r>
      <w:r w:rsidRPr="00DB2173" w:rsidR="00CE5163">
        <w:t>120</w:t>
      </w:r>
      <w:r w:rsidRPr="00CE5163" w:rsidR="00CE5163">
        <w:t xml:space="preserve"> </w:t>
      </w:r>
      <w:r w:rsidRPr="00CE5163" w:rsidR="00343A12">
        <w:t>respondents</w:t>
      </w:r>
      <w:r w:rsidRPr="00CE5163" w:rsidR="00F92A32">
        <w:t>.</w:t>
      </w:r>
      <w:r w:rsidR="00A856A5">
        <w:t xml:space="preserve"> </w:t>
      </w:r>
      <w:r w:rsidR="00F92A32">
        <w:t>D</w:t>
      </w:r>
      <w:r w:rsidRPr="00C712BA" w:rsidR="00366BA1">
        <w:t xml:space="preserve">ata collection is a </w:t>
      </w:r>
      <w:r w:rsidRPr="00C712BA" w:rsidR="007C3774">
        <w:t xml:space="preserve">one-time effort. </w:t>
      </w:r>
      <w:r w:rsidRPr="00C712BA" w:rsidR="00A87D03">
        <w:t>Respondent</w:t>
      </w:r>
      <w:r w:rsidRPr="00C712BA" w:rsidR="007C3774">
        <w:t xml:space="preserve">s will participate in either a focus group or an </w:t>
      </w:r>
      <w:r w:rsidRPr="00C712BA" w:rsidR="00366BA1">
        <w:t xml:space="preserve">individual </w:t>
      </w:r>
      <w:r w:rsidRPr="00C712BA" w:rsidR="007C3774">
        <w:t>interview</w:t>
      </w:r>
      <w:r w:rsidR="00AE6A78">
        <w:t xml:space="preserve"> -</w:t>
      </w:r>
      <w:r w:rsidRPr="00C712BA" w:rsidR="007C3774">
        <w:t xml:space="preserve"> not both. </w:t>
      </w:r>
      <w:r w:rsidR="006C5AC6">
        <w:t xml:space="preserve">Following </w:t>
      </w:r>
      <w:r w:rsidRPr="00C712BA" w:rsidR="006C5AC6">
        <w:t>COV</w:t>
      </w:r>
      <w:r w:rsidR="009C64C6">
        <w:t>ID-</w:t>
      </w:r>
      <w:r w:rsidR="006C5AC6">
        <w:t xml:space="preserve">19 guidance, at the time of the interview/focus group, social distancing and public health safety measurement will be implemented, including considerations for phone/virtual meetings instead of in person. </w:t>
      </w:r>
      <w:r w:rsidRPr="00C712BA" w:rsidR="009D5BE1">
        <w:t xml:space="preserve">The total number of burden hours associated with this data collection is </w:t>
      </w:r>
      <w:r w:rsidR="002F24F0">
        <w:t>4</w:t>
      </w:r>
      <w:r w:rsidR="008B3245">
        <w:t>41</w:t>
      </w:r>
      <w:r w:rsidRPr="00C712BA" w:rsidR="00C74A1F">
        <w:t xml:space="preserve"> </w:t>
      </w:r>
      <w:r w:rsidRPr="00C712BA" w:rsidR="009D5BE1">
        <w:t xml:space="preserve">hours (see </w:t>
      </w:r>
      <w:r w:rsidRPr="00C712BA" w:rsidR="00750649">
        <w:rPr>
          <w:b/>
          <w:bCs/>
        </w:rPr>
        <w:t xml:space="preserve">Table </w:t>
      </w:r>
      <w:r w:rsidRPr="00C712BA" w:rsidR="00B4376D">
        <w:rPr>
          <w:b/>
          <w:bCs/>
        </w:rPr>
        <w:t>3</w:t>
      </w:r>
      <w:r w:rsidRPr="00C712BA" w:rsidR="00602E15">
        <w:rPr>
          <w:b/>
          <w:bCs/>
        </w:rPr>
        <w:t>.</w:t>
      </w:r>
      <w:r w:rsidRPr="00C712BA" w:rsidR="00750649">
        <w:rPr>
          <w:b/>
          <w:bCs/>
        </w:rPr>
        <w:t xml:space="preserve"> </w:t>
      </w:r>
      <w:r w:rsidRPr="00C712BA" w:rsidR="00AA29EA">
        <w:rPr>
          <w:b/>
          <w:bCs/>
        </w:rPr>
        <w:t>Estimated Annualized Burden Hours</w:t>
      </w:r>
      <w:r w:rsidRPr="00C712BA" w:rsidR="00AA29EA">
        <w:t xml:space="preserve"> </w:t>
      </w:r>
      <w:r w:rsidRPr="00C712BA" w:rsidR="009D5BE1">
        <w:t xml:space="preserve">for </w:t>
      </w:r>
      <w:r w:rsidRPr="00C712BA" w:rsidR="00750649">
        <w:t>details about ho</w:t>
      </w:r>
      <w:r w:rsidRPr="00C712BA" w:rsidR="006E7B71">
        <w:t>w</w:t>
      </w:r>
      <w:r w:rsidRPr="00C712BA" w:rsidR="00750649">
        <w:t xml:space="preserve"> this estimate was calculated</w:t>
      </w:r>
      <w:r w:rsidRPr="00C712BA" w:rsidR="009D5BE1">
        <w:t>)</w:t>
      </w:r>
      <w:r w:rsidRPr="00C712BA" w:rsidR="00750649">
        <w:t xml:space="preserve">. </w:t>
      </w:r>
      <w:r w:rsidRPr="00C712BA" w:rsidR="009D5BE1">
        <w:t xml:space="preserve">The estimate includes </w:t>
      </w:r>
      <w:r>
        <w:t>5</w:t>
      </w:r>
      <w:r w:rsidR="00934D81">
        <w:t xml:space="preserve"> minutes for the information letter, </w:t>
      </w:r>
      <w:r>
        <w:t>2</w:t>
      </w:r>
      <w:r w:rsidR="00AE6EE3">
        <w:t>5</w:t>
      </w:r>
      <w:r w:rsidR="00934D81">
        <w:t xml:space="preserve"> minutes for the </w:t>
      </w:r>
      <w:r>
        <w:t xml:space="preserve">telephone </w:t>
      </w:r>
      <w:r w:rsidR="00934D81">
        <w:t xml:space="preserve">screening, </w:t>
      </w:r>
      <w:r w:rsidR="00AE6EE3">
        <w:t>5</w:t>
      </w:r>
      <w:r w:rsidR="00934D81">
        <w:t xml:space="preserve"> minute</w:t>
      </w:r>
      <w:r w:rsidR="00DB2173">
        <w:t>s</w:t>
      </w:r>
      <w:r w:rsidR="00934D81">
        <w:t xml:space="preserve"> for the confirmation emai</w:t>
      </w:r>
      <w:r w:rsidR="00AE6EE3">
        <w:t>l</w:t>
      </w:r>
      <w:r w:rsidR="00934D81">
        <w:t xml:space="preserve">, and </w:t>
      </w:r>
      <w:r w:rsidR="00AE6EE3">
        <w:t>5</w:t>
      </w:r>
      <w:r w:rsidR="00934D81">
        <w:t xml:space="preserve"> minute</w:t>
      </w:r>
      <w:r>
        <w:t>s</w:t>
      </w:r>
      <w:r w:rsidR="00934D81">
        <w:t xml:space="preserve"> for the reminder email, </w:t>
      </w:r>
      <w:r w:rsidR="00AE6EE3">
        <w:t>2</w:t>
      </w:r>
      <w:r w:rsidRPr="00C712BA" w:rsidR="009D5BE1">
        <w:t xml:space="preserve">5 minutes to complete the </w:t>
      </w:r>
      <w:r w:rsidRPr="00531C8C" w:rsidR="009D5BE1">
        <w:t xml:space="preserve">written consent form, </w:t>
      </w:r>
      <w:r w:rsidRPr="00531C8C" w:rsidR="00B820DE">
        <w:t>2</w:t>
      </w:r>
      <w:r w:rsidR="00AE6EE3">
        <w:t>5</w:t>
      </w:r>
      <w:r w:rsidRPr="00531C8C" w:rsidR="00B820DE">
        <w:t xml:space="preserve"> </w:t>
      </w:r>
      <w:r w:rsidRPr="00531C8C" w:rsidR="009D5BE1">
        <w:t xml:space="preserve">minutes to complete the survey, and 2 hours for the focus group/interview. </w:t>
      </w:r>
      <w:r w:rsidRPr="00531C8C" w:rsidR="0065502D">
        <w:t xml:space="preserve">For each of the </w:t>
      </w:r>
      <w:r w:rsidRPr="00DB2173" w:rsidR="00531C8C">
        <w:t>four</w:t>
      </w:r>
      <w:r w:rsidRPr="00531C8C" w:rsidR="00910334">
        <w:t xml:space="preserve"> </w:t>
      </w:r>
      <w:r w:rsidRPr="00531C8C" w:rsidR="0065502D">
        <w:t xml:space="preserve">sites, there will be </w:t>
      </w:r>
      <w:r w:rsidRPr="00531C8C" w:rsidR="00CB5336">
        <w:t xml:space="preserve">one focus group of </w:t>
      </w:r>
      <w:r w:rsidRPr="00531C8C" w:rsidR="0065502D">
        <w:t xml:space="preserve">8 parents/caregivers, one focus group of </w:t>
      </w:r>
      <w:r w:rsidR="00B04763">
        <w:t>8</w:t>
      </w:r>
      <w:r w:rsidRPr="00531C8C" w:rsidR="0065502D">
        <w:t xml:space="preserve"> </w:t>
      </w:r>
      <w:r w:rsidR="00B04763">
        <w:t xml:space="preserve">and 3 individual interviews with </w:t>
      </w:r>
      <w:r w:rsidRPr="00531C8C" w:rsidR="0065502D">
        <w:t xml:space="preserve">Tribal </w:t>
      </w:r>
      <w:r w:rsidR="00DB2173">
        <w:t>E</w:t>
      </w:r>
      <w:r w:rsidRPr="00531C8C" w:rsidR="0065502D">
        <w:t>lders</w:t>
      </w:r>
      <w:r w:rsidR="00531C8C">
        <w:t xml:space="preserve">/Tribal </w:t>
      </w:r>
      <w:r w:rsidR="00DB2173">
        <w:t>L</w:t>
      </w:r>
      <w:r w:rsidR="00531C8C">
        <w:t xml:space="preserve">eaders/Traditional </w:t>
      </w:r>
      <w:r w:rsidR="00DB2173">
        <w:t>h</w:t>
      </w:r>
      <w:r w:rsidR="00531C8C">
        <w:t>ealers</w:t>
      </w:r>
      <w:r w:rsidR="00B04763">
        <w:t>,</w:t>
      </w:r>
      <w:r w:rsidR="009A5BC3">
        <w:t xml:space="preserve"> 3</w:t>
      </w:r>
      <w:r w:rsidRPr="00531C8C" w:rsidR="0065502D">
        <w:t xml:space="preserve"> individual interviews</w:t>
      </w:r>
      <w:r w:rsidR="009A5BC3">
        <w:t xml:space="preserve"> </w:t>
      </w:r>
      <w:r w:rsidR="000F76A1">
        <w:t>with</w:t>
      </w:r>
      <w:r w:rsidR="009A5BC3">
        <w:t xml:space="preserve"> </w:t>
      </w:r>
      <w:r w:rsidRPr="00531C8C" w:rsidR="0065502D">
        <w:t>community leaders</w:t>
      </w:r>
      <w:r w:rsidR="00BF56E1">
        <w:t xml:space="preserve"> or</w:t>
      </w:r>
      <w:r w:rsidR="008777E7">
        <w:t xml:space="preserve"> </w:t>
      </w:r>
      <w:r w:rsidRPr="00531C8C" w:rsidR="0065502D">
        <w:t>service providers, and one focus group of 8 young adults.</w:t>
      </w:r>
      <w:r w:rsidRPr="00C712BA" w:rsidR="0065502D">
        <w:t xml:space="preserve">    </w:t>
      </w:r>
      <w:r w:rsidRPr="00C712BA" w:rsidR="00CB5336">
        <w:t xml:space="preserve"> </w:t>
      </w:r>
    </w:p>
    <w:p w:rsidRPr="00C712BA" w:rsidR="00602E15" w:rsidP="00D84CAC" w:rsidRDefault="00602E15" w14:paraId="38294793" w14:textId="77777777">
      <w:pPr>
        <w:pStyle w:val="a"/>
        <w:tabs>
          <w:tab w:val="left" w:pos="-1440"/>
        </w:tabs>
        <w:ind w:left="0" w:firstLine="0"/>
        <w:rPr>
          <w:b/>
          <w:bCs/>
        </w:rPr>
      </w:pPr>
    </w:p>
    <w:p w:rsidR="00D84B91" w:rsidP="00D84CAC" w:rsidRDefault="00203779" w14:paraId="3AEBCD6B" w14:textId="7367FB8E">
      <w:pPr>
        <w:pStyle w:val="a"/>
        <w:tabs>
          <w:tab w:val="left" w:pos="-1440"/>
        </w:tabs>
        <w:ind w:left="0" w:firstLine="0"/>
        <w:rPr>
          <w:b/>
          <w:bCs/>
        </w:rPr>
      </w:pPr>
      <w:r w:rsidRPr="00EF1F17">
        <w:rPr>
          <w:b/>
          <w:bCs/>
        </w:rPr>
        <w:t xml:space="preserve">Table </w:t>
      </w:r>
      <w:r w:rsidRPr="00EF1F17" w:rsidR="00B4376D">
        <w:rPr>
          <w:b/>
          <w:bCs/>
        </w:rPr>
        <w:t>3</w:t>
      </w:r>
      <w:r w:rsidRPr="00EF1F17">
        <w:rPr>
          <w:b/>
          <w:bCs/>
        </w:rPr>
        <w:t>.  Estimate</w:t>
      </w:r>
      <w:r w:rsidRPr="00EF1F17" w:rsidR="00F820FE">
        <w:rPr>
          <w:b/>
          <w:bCs/>
        </w:rPr>
        <w:t>d</w:t>
      </w:r>
      <w:r w:rsidRPr="00EF1F17">
        <w:rPr>
          <w:b/>
          <w:bCs/>
        </w:rPr>
        <w:t xml:space="preserve"> </w:t>
      </w:r>
      <w:r w:rsidRPr="00EF1F17" w:rsidR="0057192D">
        <w:rPr>
          <w:b/>
          <w:bCs/>
        </w:rPr>
        <w:t>Annual</w:t>
      </w:r>
      <w:r w:rsidRPr="00EF1F17" w:rsidR="003F77E5">
        <w:rPr>
          <w:b/>
          <w:bCs/>
        </w:rPr>
        <w:t xml:space="preserve">ized </w:t>
      </w:r>
      <w:r w:rsidRPr="00EF1F17" w:rsidR="0057192D">
        <w:rPr>
          <w:b/>
          <w:bCs/>
        </w:rPr>
        <w:t>Burden</w:t>
      </w:r>
      <w:r w:rsidRPr="00EF1F17" w:rsidR="003F77E5">
        <w:rPr>
          <w:b/>
          <w:bCs/>
        </w:rPr>
        <w:t xml:space="preserve"> Hours</w:t>
      </w:r>
      <w:r w:rsidRPr="00C712BA" w:rsidR="003F77E5">
        <w:rPr>
          <w:b/>
          <w:bCs/>
        </w:rPr>
        <w:t xml:space="preserve"> </w:t>
      </w:r>
    </w:p>
    <w:tbl>
      <w:tblPr>
        <w:tblpPr w:leftFromText="180" w:rightFromText="180" w:vertAnchor="text" w:horzAnchor="margin" w:tblpY="160"/>
        <w:tblW w:w="9450" w:type="dxa"/>
        <w:tblCellMar>
          <w:left w:w="0" w:type="dxa"/>
          <w:right w:w="0" w:type="dxa"/>
        </w:tblCellMar>
        <w:tblLook w:val="04A0" w:firstRow="1" w:lastRow="0" w:firstColumn="1" w:lastColumn="0" w:noHBand="0" w:noVBand="1"/>
      </w:tblPr>
      <w:tblGrid>
        <w:gridCol w:w="1607"/>
        <w:gridCol w:w="1893"/>
        <w:gridCol w:w="1473"/>
        <w:gridCol w:w="1614"/>
        <w:gridCol w:w="1697"/>
        <w:gridCol w:w="1166"/>
      </w:tblGrid>
      <w:tr w:rsidRPr="008243D9" w:rsidR="00934D81" w:rsidTr="00A13164" w14:paraId="421F76C2" w14:textId="77777777">
        <w:trPr>
          <w:trHeight w:val="1070"/>
        </w:trPr>
        <w:tc>
          <w:tcPr>
            <w:tcW w:w="1607" w:type="dxa"/>
            <w:tcBorders>
              <w:top w:val="single" w:color="auto" w:sz="8" w:space="0"/>
              <w:left w:val="single" w:color="auto" w:sz="8" w:space="0"/>
              <w:bottom w:val="single" w:color="auto" w:sz="8" w:space="0"/>
              <w:right w:val="single" w:color="auto" w:sz="8" w:space="0"/>
            </w:tcBorders>
            <w:shd w:val="clear" w:color="auto" w:fill="EEECE1" w:themeFill="background2"/>
            <w:tcMar>
              <w:top w:w="0" w:type="dxa"/>
              <w:left w:w="108" w:type="dxa"/>
              <w:bottom w:w="0" w:type="dxa"/>
              <w:right w:w="108" w:type="dxa"/>
            </w:tcMar>
            <w:vAlign w:val="center"/>
            <w:hideMark/>
          </w:tcPr>
          <w:p w:rsidRPr="00FF7A5D" w:rsidR="00934D81" w:rsidP="00C472E4" w:rsidRDefault="00934D81" w14:paraId="53AB29EB" w14:textId="77777777">
            <w:r w:rsidRPr="00FF7A5D">
              <w:t>Type of Respondents</w:t>
            </w:r>
          </w:p>
        </w:tc>
        <w:tc>
          <w:tcPr>
            <w:tcW w:w="1893"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hideMark/>
          </w:tcPr>
          <w:p w:rsidRPr="00FF7A5D" w:rsidR="00934D81" w:rsidP="00C472E4" w:rsidRDefault="00934D81" w14:paraId="6873EE7E" w14:textId="77777777">
            <w:r w:rsidRPr="00FF7A5D">
              <w:t> </w:t>
            </w:r>
          </w:p>
          <w:p w:rsidRPr="00FF7A5D" w:rsidR="00934D81" w:rsidP="00C472E4" w:rsidRDefault="00934D81" w14:paraId="4291349C" w14:textId="77777777">
            <w:r w:rsidRPr="00FF7A5D">
              <w:rPr>
                <w:color w:val="000000"/>
              </w:rPr>
              <w:t>Data Collection</w:t>
            </w:r>
          </w:p>
        </w:tc>
        <w:tc>
          <w:tcPr>
            <w:tcW w:w="1473"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vAlign w:val="center"/>
            <w:hideMark/>
          </w:tcPr>
          <w:p w:rsidRPr="00FF7A5D" w:rsidR="00934D81" w:rsidP="00C472E4" w:rsidRDefault="00934D81" w14:paraId="579C2088" w14:textId="77777777">
            <w:r w:rsidRPr="00FF7A5D">
              <w:rPr>
                <w:color w:val="000000"/>
              </w:rPr>
              <w:t>Number of Respondents</w:t>
            </w:r>
          </w:p>
        </w:tc>
        <w:tc>
          <w:tcPr>
            <w:tcW w:w="1614"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vAlign w:val="center"/>
            <w:hideMark/>
          </w:tcPr>
          <w:p w:rsidRPr="00FF7A5D" w:rsidR="00934D81" w:rsidP="00C472E4" w:rsidRDefault="00934D81" w14:paraId="1B98F5C6" w14:textId="77777777">
            <w:r w:rsidRPr="00FF7A5D">
              <w:rPr>
                <w:color w:val="000000"/>
              </w:rPr>
              <w:t>Number of Responses per Respondent</w:t>
            </w:r>
          </w:p>
        </w:tc>
        <w:tc>
          <w:tcPr>
            <w:tcW w:w="1697"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vAlign w:val="center"/>
            <w:hideMark/>
          </w:tcPr>
          <w:p w:rsidRPr="00FF7A5D" w:rsidR="00934D81" w:rsidP="00C472E4" w:rsidRDefault="00934D81" w14:paraId="561963C7" w14:textId="77777777">
            <w:r w:rsidRPr="00FF7A5D">
              <w:rPr>
                <w:color w:val="000000"/>
              </w:rPr>
              <w:t>Average Burden per Response</w:t>
            </w:r>
          </w:p>
          <w:p w:rsidRPr="00FF7A5D" w:rsidR="00934D81" w:rsidP="00C472E4" w:rsidRDefault="00934D81" w14:paraId="2715A1A3" w14:textId="77777777">
            <w:r w:rsidRPr="00FF7A5D">
              <w:rPr>
                <w:color w:val="000000"/>
              </w:rPr>
              <w:t>(in hours)</w:t>
            </w:r>
          </w:p>
        </w:tc>
        <w:tc>
          <w:tcPr>
            <w:tcW w:w="1166"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vAlign w:val="center"/>
            <w:hideMark/>
          </w:tcPr>
          <w:p w:rsidRPr="00FF7A5D" w:rsidR="00934D81" w:rsidP="00C472E4" w:rsidRDefault="00934D81" w14:paraId="03E6A39D" w14:textId="77777777">
            <w:r w:rsidRPr="00FF7A5D">
              <w:rPr>
                <w:color w:val="000000"/>
              </w:rPr>
              <w:t>Total Burden (in hours)</w:t>
            </w:r>
          </w:p>
        </w:tc>
      </w:tr>
      <w:tr w:rsidRPr="008243D9" w:rsidR="009452F1" w:rsidTr="00065420" w14:paraId="088985AA" w14:textId="77777777">
        <w:trPr>
          <w:trHeight w:val="864"/>
        </w:trPr>
        <w:tc>
          <w:tcPr>
            <w:tcW w:w="1607" w:type="dxa"/>
            <w:vMerge w:val="restart"/>
            <w:tcBorders>
              <w:top w:val="nil"/>
              <w:left w:val="single" w:color="auto" w:sz="8" w:space="0"/>
              <w:right w:val="single" w:color="auto" w:sz="8" w:space="0"/>
            </w:tcBorders>
            <w:tcMar>
              <w:top w:w="0" w:type="dxa"/>
              <w:left w:w="108" w:type="dxa"/>
              <w:bottom w:w="0" w:type="dxa"/>
              <w:right w:w="108" w:type="dxa"/>
            </w:tcMar>
            <w:hideMark/>
          </w:tcPr>
          <w:p w:rsidRPr="008243D9" w:rsidR="009452F1" w:rsidP="00C472E4" w:rsidRDefault="009452F1" w14:paraId="4C1BB735" w14:textId="2527E981">
            <w:bookmarkStart w:name="_Hlk68809124" w:id="21"/>
            <w:r w:rsidRPr="008243D9">
              <w:t xml:space="preserve">Adults 18 years or older </w:t>
            </w:r>
            <w:r>
              <w:t xml:space="preserve">affected </w:t>
            </w:r>
            <w:r w:rsidRPr="008243D9">
              <w:t xml:space="preserve">by </w:t>
            </w:r>
            <w:r w:rsidRPr="008243D9">
              <w:lastRenderedPageBreak/>
              <w:t>the opioid epidemic (</w:t>
            </w:r>
            <w:r>
              <w:t xml:space="preserve">e.g., </w:t>
            </w:r>
            <w:r w:rsidRPr="008243D9">
              <w:t xml:space="preserve">parents </w:t>
            </w:r>
            <w:r>
              <w:t>/</w:t>
            </w:r>
            <w:r w:rsidRPr="008243D9">
              <w:t xml:space="preserve">caregivers of AI/AN children, Tribal </w:t>
            </w:r>
            <w:r>
              <w:t>E</w:t>
            </w:r>
            <w:r w:rsidRPr="008243D9">
              <w:t>lders) living in Tribal urban and rural</w:t>
            </w:r>
            <w:r>
              <w:t xml:space="preserve">/ reservation </w:t>
            </w:r>
            <w:r w:rsidRPr="008243D9">
              <w:t>communities</w:t>
            </w:r>
          </w:p>
          <w:p w:rsidRPr="008243D9" w:rsidR="009452F1" w:rsidP="00C472E4" w:rsidRDefault="009452F1" w14:paraId="5E505813" w14:textId="77777777">
            <w:pPr>
              <w:rPr>
                <w:rFonts w:ascii="Calibri" w:hAnsi="Calibri" w:cs="Calibri"/>
                <w:sz w:val="22"/>
                <w:szCs w:val="22"/>
              </w:rPr>
            </w:pPr>
            <w:r w:rsidRPr="008243D9">
              <w:rPr>
                <w:rFonts w:ascii="Calibri" w:hAnsi="Calibri" w:cs="Calibri"/>
                <w:sz w:val="22"/>
                <w:szCs w:val="22"/>
              </w:rPr>
              <w:t> </w:t>
            </w:r>
          </w:p>
        </w:tc>
        <w:tc>
          <w:tcPr>
            <w:tcW w:w="1893"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4B4FB95A" w14:textId="65EA8ED3">
            <w:r w:rsidRPr="00FF7A5D">
              <w:lastRenderedPageBreak/>
              <w:t xml:space="preserve">Information Letter (Attachment </w:t>
            </w:r>
            <w:r>
              <w:t>C</w:t>
            </w:r>
            <w:r w:rsidRPr="00FF7A5D">
              <w:t>)</w:t>
            </w:r>
          </w:p>
        </w:tc>
        <w:tc>
          <w:tcPr>
            <w:tcW w:w="1473"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4C86937A" w14:textId="0735AD31">
            <w:r>
              <w:t>160</w:t>
            </w:r>
          </w:p>
        </w:tc>
        <w:tc>
          <w:tcPr>
            <w:tcW w:w="1614"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61D48ABB" w14:textId="2212A73E">
            <w:r w:rsidRPr="00FF7A5D">
              <w:t>1</w:t>
            </w:r>
          </w:p>
        </w:tc>
        <w:tc>
          <w:tcPr>
            <w:tcW w:w="1697"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31DB18DA" w14:textId="71A5DA76">
            <w:r w:rsidRPr="00FF7A5D">
              <w:t> 5/60</w:t>
            </w:r>
          </w:p>
        </w:tc>
        <w:tc>
          <w:tcPr>
            <w:tcW w:w="1166"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3D5532C5" w14:textId="5DA9181E">
            <w:r>
              <w:t>14</w:t>
            </w:r>
          </w:p>
        </w:tc>
      </w:tr>
      <w:tr w:rsidRPr="008243D9" w:rsidR="009452F1" w:rsidTr="00065420" w14:paraId="0EDD29C7" w14:textId="77777777">
        <w:trPr>
          <w:trHeight w:val="864"/>
        </w:trPr>
        <w:tc>
          <w:tcPr>
            <w:tcW w:w="1607" w:type="dxa"/>
            <w:vMerge/>
            <w:tcBorders>
              <w:left w:val="single" w:color="auto" w:sz="8" w:space="0"/>
              <w:right w:val="single" w:color="auto" w:sz="8" w:space="0"/>
            </w:tcBorders>
            <w:tcMar>
              <w:top w:w="0" w:type="dxa"/>
              <w:left w:w="108" w:type="dxa"/>
              <w:bottom w:w="0" w:type="dxa"/>
              <w:right w:w="108" w:type="dxa"/>
            </w:tcMar>
          </w:tcPr>
          <w:p w:rsidRPr="008243D9" w:rsidR="009452F1" w:rsidP="00C472E4" w:rsidRDefault="009452F1" w14:paraId="00FB88CD" w14:textId="77777777"/>
        </w:tc>
        <w:tc>
          <w:tcPr>
            <w:tcW w:w="1893"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4CBBD7EB" w14:textId="7276299D">
            <w:r w:rsidRPr="00FF7A5D">
              <w:t xml:space="preserve">Telephone screening (Attachment </w:t>
            </w:r>
            <w:r>
              <w:t>D</w:t>
            </w:r>
            <w:r w:rsidRPr="00FF7A5D">
              <w:t>)</w:t>
            </w:r>
          </w:p>
        </w:tc>
        <w:tc>
          <w:tcPr>
            <w:tcW w:w="1473"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5D573C18" w14:textId="4A4F0D67">
            <w:r>
              <w:t>160</w:t>
            </w:r>
          </w:p>
        </w:tc>
        <w:tc>
          <w:tcPr>
            <w:tcW w:w="1614"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76A95555" w14:textId="4C3810AB">
            <w:r w:rsidRPr="00FF7A5D">
              <w:t>1</w:t>
            </w:r>
          </w:p>
        </w:tc>
        <w:tc>
          <w:tcPr>
            <w:tcW w:w="1697"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593B9E4E" w14:textId="0D0324FE">
            <w:r>
              <w:t>25</w:t>
            </w:r>
            <w:r w:rsidRPr="00FF7A5D">
              <w:t>/60</w:t>
            </w:r>
          </w:p>
        </w:tc>
        <w:tc>
          <w:tcPr>
            <w:tcW w:w="1166"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5F34FD10" w14:textId="4CAECCBC">
            <w:r>
              <w:t>67</w:t>
            </w:r>
          </w:p>
        </w:tc>
      </w:tr>
      <w:tr w:rsidRPr="008243D9" w:rsidR="009452F1" w:rsidTr="00065420" w14:paraId="77FE8546" w14:textId="77777777">
        <w:trPr>
          <w:trHeight w:val="864"/>
        </w:trPr>
        <w:tc>
          <w:tcPr>
            <w:tcW w:w="1607" w:type="dxa"/>
            <w:vMerge/>
            <w:tcBorders>
              <w:left w:val="single" w:color="auto" w:sz="8" w:space="0"/>
              <w:right w:val="single" w:color="auto" w:sz="8" w:space="0"/>
            </w:tcBorders>
            <w:tcMar>
              <w:top w:w="0" w:type="dxa"/>
              <w:left w:w="108" w:type="dxa"/>
              <w:bottom w:w="0" w:type="dxa"/>
              <w:right w:w="108" w:type="dxa"/>
            </w:tcMar>
          </w:tcPr>
          <w:p w:rsidRPr="008243D9" w:rsidR="009452F1" w:rsidP="00C472E4" w:rsidRDefault="009452F1" w14:paraId="269801BC" w14:textId="77777777"/>
        </w:tc>
        <w:tc>
          <w:tcPr>
            <w:tcW w:w="1893"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308754D3" w14:textId="3A2771A2">
            <w:r w:rsidRPr="00FF7A5D">
              <w:t xml:space="preserve">Confirmation email/letter (Attachment </w:t>
            </w:r>
            <w:r>
              <w:t>E</w:t>
            </w:r>
            <w:r w:rsidRPr="00FF7A5D">
              <w:t>)</w:t>
            </w:r>
          </w:p>
        </w:tc>
        <w:tc>
          <w:tcPr>
            <w:tcW w:w="1473"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52CE0016" w14:textId="68F1256E">
            <w:r>
              <w:t>120</w:t>
            </w:r>
          </w:p>
        </w:tc>
        <w:tc>
          <w:tcPr>
            <w:tcW w:w="1614"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43E6393D" w14:textId="1DE444CB">
            <w:r w:rsidRPr="00FF7A5D">
              <w:t>1</w:t>
            </w:r>
          </w:p>
        </w:tc>
        <w:tc>
          <w:tcPr>
            <w:tcW w:w="1697"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722EAC8D" w14:textId="0635E4B3">
            <w:r>
              <w:t>5</w:t>
            </w:r>
            <w:r w:rsidRPr="00FF7A5D">
              <w:t>/60</w:t>
            </w:r>
          </w:p>
        </w:tc>
        <w:tc>
          <w:tcPr>
            <w:tcW w:w="1166"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039EA3CC" w14:textId="1D850735">
            <w:r>
              <w:t>10</w:t>
            </w:r>
          </w:p>
        </w:tc>
      </w:tr>
      <w:tr w:rsidRPr="008243D9" w:rsidR="009452F1" w:rsidTr="00065420" w14:paraId="1E3150D4" w14:textId="77777777">
        <w:trPr>
          <w:trHeight w:val="864"/>
        </w:trPr>
        <w:tc>
          <w:tcPr>
            <w:tcW w:w="1607" w:type="dxa"/>
            <w:vMerge/>
            <w:tcBorders>
              <w:left w:val="single" w:color="auto" w:sz="8" w:space="0"/>
              <w:right w:val="single" w:color="auto" w:sz="8" w:space="0"/>
            </w:tcBorders>
            <w:tcMar>
              <w:top w:w="0" w:type="dxa"/>
              <w:left w:w="108" w:type="dxa"/>
              <w:bottom w:w="0" w:type="dxa"/>
              <w:right w:w="108" w:type="dxa"/>
            </w:tcMar>
          </w:tcPr>
          <w:p w:rsidRPr="008243D9" w:rsidR="009452F1" w:rsidP="00C472E4" w:rsidRDefault="009452F1" w14:paraId="25CA67F9" w14:textId="77777777"/>
        </w:tc>
        <w:tc>
          <w:tcPr>
            <w:tcW w:w="1893"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61039286" w14:textId="163F2899">
            <w:r w:rsidRPr="00FF7A5D">
              <w:t xml:space="preserve">Reminder email (Attachment </w:t>
            </w:r>
            <w:r>
              <w:t>G</w:t>
            </w:r>
            <w:r w:rsidRPr="00FF7A5D">
              <w:t>)</w:t>
            </w:r>
          </w:p>
        </w:tc>
        <w:tc>
          <w:tcPr>
            <w:tcW w:w="1473"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6118FB11" w14:textId="13724683">
            <w:r>
              <w:t>120</w:t>
            </w:r>
          </w:p>
        </w:tc>
        <w:tc>
          <w:tcPr>
            <w:tcW w:w="1614"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16649398" w14:textId="592FDCF6">
            <w:r w:rsidRPr="00FF7A5D">
              <w:t>1</w:t>
            </w:r>
          </w:p>
        </w:tc>
        <w:tc>
          <w:tcPr>
            <w:tcW w:w="1697"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2B7EEE95" w14:textId="2207C34B">
            <w:r>
              <w:t>5</w:t>
            </w:r>
            <w:r w:rsidRPr="00FF7A5D">
              <w:t>/60</w:t>
            </w:r>
          </w:p>
        </w:tc>
        <w:tc>
          <w:tcPr>
            <w:tcW w:w="1166"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3F93A518" w14:textId="1EDBD476">
            <w:r>
              <w:t>10</w:t>
            </w:r>
          </w:p>
        </w:tc>
      </w:tr>
      <w:tr w:rsidRPr="008243D9" w:rsidR="009452F1" w:rsidTr="00065420" w14:paraId="76C95D37" w14:textId="77777777">
        <w:trPr>
          <w:trHeight w:val="864"/>
        </w:trPr>
        <w:tc>
          <w:tcPr>
            <w:tcW w:w="1607" w:type="dxa"/>
            <w:vMerge/>
            <w:tcBorders>
              <w:left w:val="single" w:color="auto" w:sz="8" w:space="0"/>
              <w:right w:val="single" w:color="auto" w:sz="8" w:space="0"/>
            </w:tcBorders>
            <w:vAlign w:val="center"/>
            <w:hideMark/>
          </w:tcPr>
          <w:p w:rsidRPr="008243D9" w:rsidR="009452F1" w:rsidP="00C472E4" w:rsidRDefault="009452F1" w14:paraId="1ED972EC" w14:textId="77777777">
            <w:pPr>
              <w:rPr>
                <w:rFonts w:ascii="Calibri" w:hAnsi="Calibri" w:cs="Calibri"/>
                <w:sz w:val="22"/>
                <w:szCs w:val="22"/>
              </w:rPr>
            </w:pPr>
          </w:p>
        </w:tc>
        <w:tc>
          <w:tcPr>
            <w:tcW w:w="1893"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171A8900" w14:textId="100539C5">
            <w:r w:rsidRPr="00FF7A5D">
              <w:t xml:space="preserve">Informed Consent (Attachment </w:t>
            </w:r>
            <w:r>
              <w:t>F</w:t>
            </w:r>
            <w:r w:rsidRPr="00FF7A5D">
              <w:t>)</w:t>
            </w:r>
          </w:p>
          <w:p w:rsidRPr="00FF7A5D" w:rsidR="009452F1" w:rsidP="00C472E4" w:rsidRDefault="009452F1" w14:paraId="7006807E" w14:textId="77777777">
            <w:r w:rsidRPr="00FF7A5D">
              <w:t> </w:t>
            </w:r>
          </w:p>
        </w:tc>
        <w:tc>
          <w:tcPr>
            <w:tcW w:w="1473"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447C4428" w14:textId="72727FE4">
            <w:r>
              <w:t>120</w:t>
            </w:r>
          </w:p>
        </w:tc>
        <w:tc>
          <w:tcPr>
            <w:tcW w:w="1614"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6E4F7909" w14:textId="77777777">
            <w:r w:rsidRPr="00FF7A5D">
              <w:t> 1</w:t>
            </w:r>
          </w:p>
        </w:tc>
        <w:tc>
          <w:tcPr>
            <w:tcW w:w="1697"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79E34B8C" w14:textId="1EA8ECC3">
            <w:r>
              <w:t>25</w:t>
            </w:r>
            <w:r w:rsidRPr="00FF7A5D">
              <w:t>/60</w:t>
            </w:r>
          </w:p>
        </w:tc>
        <w:tc>
          <w:tcPr>
            <w:tcW w:w="1166"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1FD62EAD" w14:textId="020877D1">
            <w:r w:rsidRPr="00FF7A5D">
              <w:t> </w:t>
            </w:r>
            <w:r w:rsidR="00292745">
              <w:t>50</w:t>
            </w:r>
          </w:p>
        </w:tc>
      </w:tr>
      <w:tr w:rsidRPr="008243D9" w:rsidR="009452F1" w:rsidTr="00065420" w14:paraId="4AEA0C34" w14:textId="77777777">
        <w:trPr>
          <w:trHeight w:val="864"/>
        </w:trPr>
        <w:tc>
          <w:tcPr>
            <w:tcW w:w="1607" w:type="dxa"/>
            <w:vMerge/>
            <w:tcBorders>
              <w:left w:val="single" w:color="auto" w:sz="8" w:space="0"/>
              <w:right w:val="single" w:color="auto" w:sz="8" w:space="0"/>
            </w:tcBorders>
            <w:vAlign w:val="center"/>
            <w:hideMark/>
          </w:tcPr>
          <w:p w:rsidRPr="008243D9" w:rsidR="009452F1" w:rsidP="00C472E4" w:rsidRDefault="009452F1" w14:paraId="2609F3EE" w14:textId="77777777">
            <w:pPr>
              <w:rPr>
                <w:rFonts w:ascii="Calibri" w:hAnsi="Calibri" w:cs="Calibri"/>
                <w:sz w:val="22"/>
                <w:szCs w:val="22"/>
              </w:rPr>
            </w:pPr>
          </w:p>
        </w:tc>
        <w:tc>
          <w:tcPr>
            <w:tcW w:w="1893"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66DFA921" w14:textId="0B5961F9">
            <w:r>
              <w:t xml:space="preserve">Demographic </w:t>
            </w:r>
            <w:r w:rsidRPr="00FF7A5D">
              <w:t>Survey (Attachment I) </w:t>
            </w:r>
          </w:p>
          <w:p w:rsidRPr="00FF7A5D" w:rsidR="009452F1" w:rsidP="00C472E4" w:rsidRDefault="009452F1" w14:paraId="2D68559E" w14:textId="77777777">
            <w:r w:rsidRPr="00FF7A5D">
              <w:t> </w:t>
            </w:r>
          </w:p>
        </w:tc>
        <w:tc>
          <w:tcPr>
            <w:tcW w:w="1473"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16A96731" w14:textId="106C8F43">
            <w:r>
              <w:t>120</w:t>
            </w:r>
          </w:p>
        </w:tc>
        <w:tc>
          <w:tcPr>
            <w:tcW w:w="1614"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7BE87FA4" w14:textId="77777777">
            <w:r w:rsidRPr="00FF7A5D">
              <w:t> 1</w:t>
            </w:r>
          </w:p>
        </w:tc>
        <w:tc>
          <w:tcPr>
            <w:tcW w:w="1697"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2175A34D" w14:textId="132F5450">
            <w:r>
              <w:t>25</w:t>
            </w:r>
            <w:r w:rsidRPr="00FF7A5D">
              <w:t>/60</w:t>
            </w:r>
          </w:p>
        </w:tc>
        <w:tc>
          <w:tcPr>
            <w:tcW w:w="1166"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39068A07" w14:textId="004415A3">
            <w:r w:rsidRPr="00FF7A5D">
              <w:t> </w:t>
            </w:r>
            <w:r w:rsidR="00292745">
              <w:t>50</w:t>
            </w:r>
          </w:p>
        </w:tc>
      </w:tr>
      <w:tr w:rsidRPr="008243D9" w:rsidR="009452F1" w:rsidTr="00065420" w14:paraId="0ED88E87" w14:textId="77777777">
        <w:trPr>
          <w:trHeight w:val="864"/>
        </w:trPr>
        <w:tc>
          <w:tcPr>
            <w:tcW w:w="1607" w:type="dxa"/>
            <w:vMerge/>
            <w:tcBorders>
              <w:left w:val="single" w:color="auto" w:sz="8" w:space="0"/>
              <w:right w:val="single" w:color="auto" w:sz="8" w:space="0"/>
            </w:tcBorders>
            <w:vAlign w:val="center"/>
            <w:hideMark/>
          </w:tcPr>
          <w:p w:rsidRPr="008243D9" w:rsidR="009452F1" w:rsidP="00C472E4" w:rsidRDefault="009452F1" w14:paraId="0FE302AE" w14:textId="77777777">
            <w:pPr>
              <w:rPr>
                <w:rFonts w:ascii="Calibri" w:hAnsi="Calibri" w:cs="Calibri"/>
                <w:sz w:val="22"/>
                <w:szCs w:val="22"/>
              </w:rPr>
            </w:pPr>
          </w:p>
        </w:tc>
        <w:tc>
          <w:tcPr>
            <w:tcW w:w="1893"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12EA943F" w14:textId="197BEDAB">
            <w:r w:rsidRPr="00FF7A5D">
              <w:t>Focus group/</w:t>
            </w:r>
            <w:r w:rsidRPr="006415BF">
              <w:t>interview</w:t>
            </w:r>
            <w:r>
              <w:rPr>
                <w:vertAlign w:val="superscript"/>
              </w:rPr>
              <w:t xml:space="preserve"> </w:t>
            </w:r>
            <w:r w:rsidRPr="006415BF">
              <w:t>(Attachment J)</w:t>
            </w:r>
          </w:p>
        </w:tc>
        <w:tc>
          <w:tcPr>
            <w:tcW w:w="1473"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4C45EFDB" w14:textId="42596CE6">
            <w:r>
              <w:t>44</w:t>
            </w:r>
          </w:p>
        </w:tc>
        <w:tc>
          <w:tcPr>
            <w:tcW w:w="1614"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320F7C87" w14:textId="77777777">
            <w:r w:rsidRPr="00FF7A5D">
              <w:t> 1</w:t>
            </w:r>
          </w:p>
        </w:tc>
        <w:tc>
          <w:tcPr>
            <w:tcW w:w="1697"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172903F6" w14:textId="7BB37ABC">
            <w:r w:rsidRPr="00FF7A5D">
              <w:t>2</w:t>
            </w:r>
          </w:p>
        </w:tc>
        <w:tc>
          <w:tcPr>
            <w:tcW w:w="1166"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C472E4" w:rsidRDefault="009452F1" w14:paraId="1B89C1B2" w14:textId="2F786D91">
            <w:r w:rsidRPr="00FF7A5D">
              <w:t> </w:t>
            </w:r>
            <w:r>
              <w:t>88</w:t>
            </w:r>
          </w:p>
        </w:tc>
      </w:tr>
      <w:tr w:rsidRPr="008243D9" w:rsidR="009452F1" w:rsidTr="00065420" w14:paraId="455473E7" w14:textId="77777777">
        <w:trPr>
          <w:trHeight w:val="864"/>
        </w:trPr>
        <w:tc>
          <w:tcPr>
            <w:tcW w:w="1607" w:type="dxa"/>
            <w:vMerge/>
            <w:tcBorders>
              <w:left w:val="single" w:color="auto" w:sz="8" w:space="0"/>
              <w:right w:val="single" w:color="auto" w:sz="8" w:space="0"/>
            </w:tcBorders>
            <w:vAlign w:val="center"/>
          </w:tcPr>
          <w:p w:rsidRPr="008243D9" w:rsidR="009452F1" w:rsidP="00C472E4" w:rsidRDefault="009452F1" w14:paraId="74BF5CE3" w14:textId="77777777">
            <w:pPr>
              <w:rPr>
                <w:rFonts w:ascii="Calibri" w:hAnsi="Calibri" w:cs="Calibri"/>
                <w:sz w:val="22"/>
                <w:szCs w:val="22"/>
              </w:rPr>
            </w:pPr>
          </w:p>
        </w:tc>
        <w:tc>
          <w:tcPr>
            <w:tcW w:w="1893"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6C5B6367" w14:textId="62EC268F">
            <w:r w:rsidRPr="00FF7A5D">
              <w:t>Focus group/</w:t>
            </w:r>
            <w:r w:rsidRPr="006415BF">
              <w:t>interview</w:t>
            </w:r>
            <w:r>
              <w:rPr>
                <w:vertAlign w:val="superscript"/>
              </w:rPr>
              <w:t xml:space="preserve"> </w:t>
            </w:r>
            <w:r w:rsidRPr="006415BF">
              <w:t xml:space="preserve">(Attachment </w:t>
            </w:r>
            <w:r>
              <w:t>K</w:t>
            </w:r>
            <w:r w:rsidRPr="006415BF">
              <w:t>)</w:t>
            </w:r>
          </w:p>
        </w:tc>
        <w:tc>
          <w:tcPr>
            <w:tcW w:w="1473" w:type="dxa"/>
            <w:tcBorders>
              <w:top w:val="nil"/>
              <w:left w:val="nil"/>
              <w:bottom w:val="single" w:color="auto" w:sz="8" w:space="0"/>
              <w:right w:val="single" w:color="auto" w:sz="8" w:space="0"/>
            </w:tcBorders>
            <w:tcMar>
              <w:top w:w="0" w:type="dxa"/>
              <w:left w:w="108" w:type="dxa"/>
              <w:bottom w:w="0" w:type="dxa"/>
              <w:right w:w="108" w:type="dxa"/>
            </w:tcMar>
          </w:tcPr>
          <w:p w:rsidR="009452F1" w:rsidP="00C472E4" w:rsidRDefault="009452F1" w14:paraId="0901643A" w14:textId="5A9D0B2E">
            <w:r>
              <w:t>64</w:t>
            </w:r>
          </w:p>
        </w:tc>
        <w:tc>
          <w:tcPr>
            <w:tcW w:w="1614"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156EB7A6" w14:textId="55C2B72E">
            <w:r>
              <w:t>1</w:t>
            </w:r>
          </w:p>
        </w:tc>
        <w:tc>
          <w:tcPr>
            <w:tcW w:w="1697"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53882615" w14:textId="29FA46E4">
            <w:r>
              <w:t>2</w:t>
            </w:r>
          </w:p>
        </w:tc>
        <w:tc>
          <w:tcPr>
            <w:tcW w:w="1166"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2929D81C" w14:textId="124CE79D">
            <w:r>
              <w:t>128</w:t>
            </w:r>
          </w:p>
        </w:tc>
      </w:tr>
      <w:tr w:rsidRPr="008243D9" w:rsidR="009452F1" w:rsidTr="00065420" w14:paraId="550B49E2" w14:textId="77777777">
        <w:trPr>
          <w:trHeight w:val="864"/>
        </w:trPr>
        <w:tc>
          <w:tcPr>
            <w:tcW w:w="1607" w:type="dxa"/>
            <w:vMerge/>
            <w:tcBorders>
              <w:left w:val="single" w:color="auto" w:sz="8" w:space="0"/>
              <w:bottom w:val="single" w:color="auto" w:sz="8" w:space="0"/>
              <w:right w:val="single" w:color="auto" w:sz="8" w:space="0"/>
            </w:tcBorders>
            <w:vAlign w:val="center"/>
          </w:tcPr>
          <w:p w:rsidRPr="008243D9" w:rsidR="009452F1" w:rsidP="00C472E4" w:rsidRDefault="009452F1" w14:paraId="10F4940F" w14:textId="77777777">
            <w:pPr>
              <w:rPr>
                <w:rFonts w:ascii="Calibri" w:hAnsi="Calibri" w:cs="Calibri"/>
                <w:sz w:val="22"/>
                <w:szCs w:val="22"/>
              </w:rPr>
            </w:pPr>
          </w:p>
        </w:tc>
        <w:tc>
          <w:tcPr>
            <w:tcW w:w="1893"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11E0BDAC" w14:textId="5663DFAE">
            <w:r w:rsidRPr="00FF7A5D">
              <w:t>Focus group/</w:t>
            </w:r>
            <w:r w:rsidRPr="006415BF">
              <w:t>interview</w:t>
            </w:r>
            <w:r>
              <w:rPr>
                <w:vertAlign w:val="superscript"/>
              </w:rPr>
              <w:t xml:space="preserve"> </w:t>
            </w:r>
            <w:r w:rsidRPr="006415BF">
              <w:t>(Attachment L)</w:t>
            </w:r>
          </w:p>
        </w:tc>
        <w:tc>
          <w:tcPr>
            <w:tcW w:w="1473" w:type="dxa"/>
            <w:tcBorders>
              <w:top w:val="nil"/>
              <w:left w:val="nil"/>
              <w:bottom w:val="single" w:color="auto" w:sz="8" w:space="0"/>
              <w:right w:val="single" w:color="auto" w:sz="8" w:space="0"/>
            </w:tcBorders>
            <w:tcMar>
              <w:top w:w="0" w:type="dxa"/>
              <w:left w:w="108" w:type="dxa"/>
              <w:bottom w:w="0" w:type="dxa"/>
              <w:right w:w="108" w:type="dxa"/>
            </w:tcMar>
          </w:tcPr>
          <w:p w:rsidR="009452F1" w:rsidP="00C472E4" w:rsidRDefault="009452F1" w14:paraId="75D92821" w14:textId="303BE663">
            <w:r>
              <w:t>12</w:t>
            </w:r>
          </w:p>
        </w:tc>
        <w:tc>
          <w:tcPr>
            <w:tcW w:w="1614"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26E5601E" w14:textId="05023DF5">
            <w:r>
              <w:t>1</w:t>
            </w:r>
          </w:p>
        </w:tc>
        <w:tc>
          <w:tcPr>
            <w:tcW w:w="1697"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48A5288E" w14:textId="420F9940">
            <w:r>
              <w:t>2</w:t>
            </w:r>
          </w:p>
        </w:tc>
        <w:tc>
          <w:tcPr>
            <w:tcW w:w="1166"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C472E4" w:rsidRDefault="009452F1" w14:paraId="03119845" w14:textId="31C96D8A">
            <w:r>
              <w:t>24</w:t>
            </w:r>
          </w:p>
        </w:tc>
      </w:tr>
      <w:bookmarkEnd w:id="21"/>
      <w:tr w:rsidRPr="008243D9" w:rsidR="00934D81" w:rsidTr="006415BF" w14:paraId="14007C59" w14:textId="77777777">
        <w:trPr>
          <w:trHeight w:val="484"/>
        </w:trPr>
        <w:tc>
          <w:tcPr>
            <w:tcW w:w="8284"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7A5D" w:rsidR="00934D81" w:rsidP="00C472E4" w:rsidRDefault="00934D81" w14:paraId="24E081C0" w14:textId="77777777">
            <w:r w:rsidRPr="00FF7A5D">
              <w:t>                                                                                                             Total</w:t>
            </w:r>
          </w:p>
        </w:tc>
        <w:tc>
          <w:tcPr>
            <w:tcW w:w="1166"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34D81" w:rsidP="00C472E4" w:rsidRDefault="00934D81" w14:paraId="53DE58C6" w14:textId="62AFACD8">
            <w:r w:rsidRPr="00FF7A5D">
              <w:t> </w:t>
            </w:r>
            <w:r w:rsidR="002F24F0">
              <w:t>4</w:t>
            </w:r>
            <w:r w:rsidR="008B3245">
              <w:t>41</w:t>
            </w:r>
          </w:p>
        </w:tc>
      </w:tr>
    </w:tbl>
    <w:p w:rsidR="00D01BD6" w:rsidP="006942C9" w:rsidRDefault="00D01BD6" w14:paraId="753A6DC0" w14:textId="77777777">
      <w:pPr>
        <w:pStyle w:val="Bulleted"/>
      </w:pPr>
    </w:p>
    <w:p w:rsidRPr="006942C9" w:rsidR="00930DEF" w:rsidP="006942C9" w:rsidRDefault="00930DEF" w14:paraId="68C6E4CF" w14:textId="43141A1C">
      <w:pPr>
        <w:pStyle w:val="Bulleted"/>
      </w:pPr>
      <w:r w:rsidRPr="006942C9">
        <w:t>A.12.b) Annual</w:t>
      </w:r>
      <w:r w:rsidRPr="006942C9" w:rsidR="006942C9">
        <w:t>ized</w:t>
      </w:r>
      <w:r w:rsidRPr="006942C9">
        <w:t xml:space="preserve"> </w:t>
      </w:r>
      <w:r w:rsidRPr="006942C9" w:rsidR="006942C9">
        <w:t>B</w:t>
      </w:r>
      <w:r w:rsidRPr="006942C9">
        <w:t xml:space="preserve">urden </w:t>
      </w:r>
      <w:r w:rsidRPr="006942C9" w:rsidR="006942C9">
        <w:t>C</w:t>
      </w:r>
      <w:r w:rsidRPr="006942C9">
        <w:t xml:space="preserve">ost </w:t>
      </w:r>
    </w:p>
    <w:p w:rsidR="00930DEF" w:rsidP="00930DEF" w:rsidRDefault="00930DEF" w14:paraId="3144CEC3" w14:textId="77777777">
      <w:pPr>
        <w:pStyle w:val="SL-FlLftSgl"/>
      </w:pPr>
    </w:p>
    <w:p w:rsidR="00C712BA" w:rsidP="00930DEF" w:rsidRDefault="00930DEF" w14:paraId="62193EC1" w14:textId="4B27AA81">
      <w:pPr>
        <w:pStyle w:val="SL-FlLftSgl"/>
      </w:pPr>
      <w:r w:rsidRPr="00C712BA">
        <w:t xml:space="preserve">The annualized cost to the </w:t>
      </w:r>
      <w:r w:rsidRPr="00C712BA" w:rsidR="00494669">
        <w:t>respondent</w:t>
      </w:r>
      <w:r w:rsidRPr="00C712BA">
        <w:t xml:space="preserve"> is </w:t>
      </w:r>
      <w:r w:rsidR="004E0AC9">
        <w:t>presented</w:t>
      </w:r>
      <w:r w:rsidRPr="00C712BA">
        <w:t xml:space="preserve"> in </w:t>
      </w:r>
      <w:r w:rsidRPr="00C712BA">
        <w:rPr>
          <w:b/>
          <w:bCs/>
        </w:rPr>
        <w:t xml:space="preserve">Table </w:t>
      </w:r>
      <w:r w:rsidRPr="00C712BA" w:rsidR="00B4376D">
        <w:rPr>
          <w:b/>
          <w:bCs/>
        </w:rPr>
        <w:t>4</w:t>
      </w:r>
      <w:r w:rsidRPr="00C712BA">
        <w:rPr>
          <w:b/>
          <w:bCs/>
        </w:rPr>
        <w:t>. Estimated Annualized Burden Costs</w:t>
      </w:r>
      <w:r w:rsidRPr="00C712BA">
        <w:t xml:space="preserve">. </w:t>
      </w:r>
      <w:r w:rsidR="00A07BC5">
        <w:t xml:space="preserve">The total respondent cost </w:t>
      </w:r>
      <w:r w:rsidR="005B1559">
        <w:t xml:space="preserve">is based on $25.72/hour which is </w:t>
      </w:r>
      <w:r w:rsidR="00A07BC5">
        <w:t>t</w:t>
      </w:r>
      <w:r w:rsidRPr="0085100A" w:rsidR="00570008">
        <w:t xml:space="preserve">he average hourly wage </w:t>
      </w:r>
      <w:r w:rsidR="00A07BC5">
        <w:t xml:space="preserve">for all occupations </w:t>
      </w:r>
      <w:r w:rsidR="00570008">
        <w:t xml:space="preserve">according to the </w:t>
      </w:r>
      <w:r w:rsidR="00A07BC5">
        <w:t xml:space="preserve">May </w:t>
      </w:r>
      <w:r w:rsidR="00570008">
        <w:t>201</w:t>
      </w:r>
      <w:r w:rsidR="00717371">
        <w:t>9</w:t>
      </w:r>
      <w:r w:rsidR="00570008">
        <w:t xml:space="preserve"> National Occupational Employment and Wage Estimates from the U.S. Bureau of Labor Statistic</w:t>
      </w:r>
      <w:r w:rsidR="00A07BC5">
        <w:t>s</w:t>
      </w:r>
      <w:r w:rsidR="00570008">
        <w:t xml:space="preserve">. </w:t>
      </w:r>
      <w:r w:rsidRPr="0085100A" w:rsidR="00570008">
        <w:t xml:space="preserve"> </w:t>
      </w:r>
    </w:p>
    <w:p w:rsidRPr="00EF1F17" w:rsidR="003D3DF6" w:rsidP="00930DEF" w:rsidRDefault="003D3DF6" w14:paraId="4BC50049" w14:textId="77777777">
      <w:pPr>
        <w:pStyle w:val="SL-FlLftSgl"/>
        <w:rPr>
          <w:bCs/>
        </w:rPr>
      </w:pPr>
    </w:p>
    <w:p w:rsidR="00DF7BA0" w:rsidP="006F1C69" w:rsidRDefault="006F1C69" w14:paraId="19FC0329" w14:textId="1F75E75C">
      <w:pPr>
        <w:rPr>
          <w:b/>
        </w:rPr>
      </w:pPr>
      <w:r w:rsidRPr="003F19CD">
        <w:rPr>
          <w:b/>
        </w:rPr>
        <w:t xml:space="preserve">Table </w:t>
      </w:r>
      <w:r w:rsidR="00B4376D">
        <w:rPr>
          <w:b/>
        </w:rPr>
        <w:t>4</w:t>
      </w:r>
      <w:r w:rsidRPr="003F19CD">
        <w:rPr>
          <w:b/>
        </w:rPr>
        <w:t xml:space="preserve">. </w:t>
      </w:r>
      <w:r w:rsidRPr="00C712BA">
        <w:rPr>
          <w:b/>
        </w:rPr>
        <w:t xml:space="preserve">Estimated Annualized Burden Costs </w:t>
      </w:r>
    </w:p>
    <w:tbl>
      <w:tblPr>
        <w:tblpPr w:leftFromText="180" w:rightFromText="180" w:vertAnchor="text" w:horzAnchor="margin" w:tblpY="160"/>
        <w:tblW w:w="9473" w:type="dxa"/>
        <w:tblCellMar>
          <w:left w:w="0" w:type="dxa"/>
          <w:right w:w="0" w:type="dxa"/>
        </w:tblCellMar>
        <w:tblLook w:val="04A0" w:firstRow="1" w:lastRow="0" w:firstColumn="1" w:lastColumn="0" w:noHBand="0" w:noVBand="1"/>
      </w:tblPr>
      <w:tblGrid>
        <w:gridCol w:w="1480"/>
        <w:gridCol w:w="1778"/>
        <w:gridCol w:w="1467"/>
        <w:gridCol w:w="1372"/>
        <w:gridCol w:w="1157"/>
        <w:gridCol w:w="834"/>
        <w:gridCol w:w="16"/>
        <w:gridCol w:w="1369"/>
      </w:tblGrid>
      <w:tr w:rsidRPr="008243D9" w:rsidR="0053793E" w:rsidTr="009452F1" w14:paraId="47C44BE9" w14:textId="77777777">
        <w:trPr>
          <w:trHeight w:val="1048"/>
        </w:trPr>
        <w:tc>
          <w:tcPr>
            <w:tcW w:w="1480" w:type="dxa"/>
            <w:tcBorders>
              <w:top w:val="single" w:color="auto" w:sz="8" w:space="0"/>
              <w:left w:val="single" w:color="auto" w:sz="8" w:space="0"/>
              <w:bottom w:val="single" w:color="auto" w:sz="8" w:space="0"/>
              <w:right w:val="single" w:color="auto" w:sz="8" w:space="0"/>
            </w:tcBorders>
            <w:shd w:val="clear" w:color="auto" w:fill="EEECE1" w:themeFill="background2"/>
            <w:tcMar>
              <w:top w:w="0" w:type="dxa"/>
              <w:left w:w="108" w:type="dxa"/>
              <w:bottom w:w="0" w:type="dxa"/>
              <w:right w:w="108" w:type="dxa"/>
            </w:tcMar>
            <w:vAlign w:val="center"/>
            <w:hideMark/>
          </w:tcPr>
          <w:p w:rsidRPr="00FF7A5D" w:rsidR="00497335" w:rsidP="007C5C01" w:rsidRDefault="00497335" w14:paraId="383B1CD8" w14:textId="77777777">
            <w:r w:rsidRPr="00FF7A5D">
              <w:t>Type of Respondents</w:t>
            </w:r>
          </w:p>
        </w:tc>
        <w:tc>
          <w:tcPr>
            <w:tcW w:w="1778"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hideMark/>
          </w:tcPr>
          <w:p w:rsidRPr="00FF7A5D" w:rsidR="00497335" w:rsidP="007C5C01" w:rsidRDefault="00497335" w14:paraId="4ECE6821" w14:textId="77777777">
            <w:r w:rsidRPr="00FF7A5D">
              <w:t> </w:t>
            </w:r>
          </w:p>
          <w:p w:rsidRPr="00FF7A5D" w:rsidR="00497335" w:rsidP="007C5C01" w:rsidRDefault="00497335" w14:paraId="5F7D95C6" w14:textId="77777777">
            <w:r w:rsidRPr="00FF7A5D">
              <w:rPr>
                <w:color w:val="000000"/>
              </w:rPr>
              <w:t>Data Collection</w:t>
            </w:r>
          </w:p>
        </w:tc>
        <w:tc>
          <w:tcPr>
            <w:tcW w:w="1467"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vAlign w:val="center"/>
            <w:hideMark/>
          </w:tcPr>
          <w:p w:rsidRPr="00FF7A5D" w:rsidR="00497335" w:rsidP="007C5C01" w:rsidRDefault="00497335" w14:paraId="6FE7BA53" w14:textId="77777777">
            <w:r w:rsidRPr="00FF7A5D">
              <w:rPr>
                <w:color w:val="000000"/>
              </w:rPr>
              <w:t>Number of Respondents</w:t>
            </w:r>
          </w:p>
        </w:tc>
        <w:tc>
          <w:tcPr>
            <w:tcW w:w="1372"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vAlign w:val="center"/>
            <w:hideMark/>
          </w:tcPr>
          <w:p w:rsidRPr="00FF7A5D" w:rsidR="00497335" w:rsidP="007C5C01" w:rsidRDefault="00497335" w14:paraId="27E3E37C" w14:textId="77777777">
            <w:r w:rsidRPr="00FF7A5D">
              <w:rPr>
                <w:color w:val="000000"/>
              </w:rPr>
              <w:t>Number of Responses per Respondent</w:t>
            </w:r>
          </w:p>
        </w:tc>
        <w:tc>
          <w:tcPr>
            <w:tcW w:w="1155"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vAlign w:val="center"/>
            <w:hideMark/>
          </w:tcPr>
          <w:p w:rsidRPr="00FF7A5D" w:rsidR="00497335" w:rsidP="007C5C01" w:rsidRDefault="00497335" w14:paraId="6C9AE416" w14:textId="77777777">
            <w:r w:rsidRPr="00FF7A5D">
              <w:rPr>
                <w:color w:val="000000"/>
              </w:rPr>
              <w:t>Average Burden per Response</w:t>
            </w:r>
          </w:p>
          <w:p w:rsidRPr="00FF7A5D" w:rsidR="00497335" w:rsidP="007C5C01" w:rsidRDefault="00497335" w14:paraId="0D2D0A3E" w14:textId="77777777">
            <w:r w:rsidRPr="00FF7A5D">
              <w:rPr>
                <w:color w:val="000000"/>
              </w:rPr>
              <w:t>(in hours)</w:t>
            </w:r>
          </w:p>
        </w:tc>
        <w:tc>
          <w:tcPr>
            <w:tcW w:w="834" w:type="dxa"/>
            <w:tcBorders>
              <w:top w:val="single" w:color="auto" w:sz="8" w:space="0"/>
              <w:left w:val="nil"/>
              <w:bottom w:val="single" w:color="auto" w:sz="8" w:space="0"/>
              <w:right w:val="nil"/>
            </w:tcBorders>
            <w:shd w:val="clear" w:color="auto" w:fill="EEECE1" w:themeFill="background2"/>
          </w:tcPr>
          <w:p w:rsidRPr="00FF7A5D" w:rsidR="00497335" w:rsidP="007C5C01" w:rsidRDefault="00596456" w14:paraId="423C64E0" w14:textId="4ED5F897">
            <w:pPr>
              <w:rPr>
                <w:color w:val="000000"/>
              </w:rPr>
            </w:pPr>
            <w:r>
              <w:t>Average Hourly Wage Rate (in dollars)</w:t>
            </w:r>
          </w:p>
        </w:tc>
        <w:tc>
          <w:tcPr>
            <w:tcW w:w="16" w:type="dxa"/>
            <w:tcBorders>
              <w:top w:val="single" w:color="auto" w:sz="8" w:space="0"/>
              <w:left w:val="nil"/>
              <w:bottom w:val="single" w:color="auto" w:sz="8" w:space="0"/>
              <w:right w:val="single" w:color="auto" w:sz="8" w:space="0"/>
            </w:tcBorders>
            <w:shd w:val="clear" w:color="auto" w:fill="EEECE1" w:themeFill="background2"/>
          </w:tcPr>
          <w:p w:rsidRPr="00FF7A5D" w:rsidR="00497335" w:rsidP="007C5C01" w:rsidRDefault="00497335" w14:paraId="21F6C489" w14:textId="77777777">
            <w:pPr>
              <w:rPr>
                <w:color w:val="000000"/>
              </w:rPr>
            </w:pPr>
          </w:p>
        </w:tc>
        <w:tc>
          <w:tcPr>
            <w:tcW w:w="1369" w:type="dxa"/>
            <w:tcBorders>
              <w:top w:val="single" w:color="auto" w:sz="8" w:space="0"/>
              <w:left w:val="nil"/>
              <w:bottom w:val="single" w:color="auto" w:sz="8" w:space="0"/>
              <w:right w:val="single" w:color="auto" w:sz="8" w:space="0"/>
            </w:tcBorders>
            <w:shd w:val="clear" w:color="auto" w:fill="EEECE1" w:themeFill="background2"/>
            <w:tcMar>
              <w:top w:w="0" w:type="dxa"/>
              <w:left w:w="108" w:type="dxa"/>
              <w:bottom w:w="0" w:type="dxa"/>
              <w:right w:w="108" w:type="dxa"/>
            </w:tcMar>
            <w:vAlign w:val="center"/>
            <w:hideMark/>
          </w:tcPr>
          <w:p w:rsidRPr="00FF7A5D" w:rsidR="00497335" w:rsidP="007C5C01" w:rsidRDefault="00596456" w14:paraId="13EEB5E2" w14:textId="44550285">
            <w:r>
              <w:t>Total Respondent Cost</w:t>
            </w:r>
          </w:p>
        </w:tc>
      </w:tr>
      <w:tr w:rsidRPr="008243D9" w:rsidR="009452F1" w:rsidTr="009452F1" w14:paraId="65F04FE6" w14:textId="77777777">
        <w:trPr>
          <w:trHeight w:val="846"/>
        </w:trPr>
        <w:tc>
          <w:tcPr>
            <w:tcW w:w="1480" w:type="dxa"/>
            <w:vMerge w:val="restart"/>
            <w:tcBorders>
              <w:top w:val="nil"/>
              <w:left w:val="single" w:color="auto" w:sz="8" w:space="0"/>
              <w:right w:val="single" w:color="auto" w:sz="8" w:space="0"/>
            </w:tcBorders>
            <w:tcMar>
              <w:top w:w="0" w:type="dxa"/>
              <w:left w:w="108" w:type="dxa"/>
              <w:bottom w:w="0" w:type="dxa"/>
              <w:right w:w="108" w:type="dxa"/>
            </w:tcMar>
            <w:hideMark/>
          </w:tcPr>
          <w:p w:rsidRPr="008243D9" w:rsidR="009452F1" w:rsidP="007C5C01" w:rsidRDefault="009452F1" w14:paraId="50A0F4F2" w14:textId="77777777">
            <w:r w:rsidRPr="008243D9">
              <w:lastRenderedPageBreak/>
              <w:t xml:space="preserve">Adults 18 years or older </w:t>
            </w:r>
            <w:r>
              <w:t xml:space="preserve">affected </w:t>
            </w:r>
            <w:r w:rsidRPr="008243D9">
              <w:t>by the opioid epidemic (</w:t>
            </w:r>
            <w:r>
              <w:t xml:space="preserve">e.g., </w:t>
            </w:r>
            <w:r w:rsidRPr="008243D9">
              <w:t xml:space="preserve">parents </w:t>
            </w:r>
            <w:r>
              <w:t>/</w:t>
            </w:r>
            <w:r w:rsidRPr="008243D9">
              <w:t xml:space="preserve">caregivers of AI/AN children, Tribal </w:t>
            </w:r>
            <w:r>
              <w:t>E</w:t>
            </w:r>
            <w:r w:rsidRPr="008243D9">
              <w:t>lders) living in Tribal urban and rural</w:t>
            </w:r>
            <w:r>
              <w:t xml:space="preserve">/ reservation </w:t>
            </w:r>
            <w:r w:rsidRPr="008243D9">
              <w:t>communities</w:t>
            </w:r>
          </w:p>
          <w:p w:rsidRPr="008243D9" w:rsidR="009452F1" w:rsidP="007C5C01" w:rsidRDefault="009452F1" w14:paraId="49E1D6CF" w14:textId="77777777">
            <w:pPr>
              <w:rPr>
                <w:rFonts w:ascii="Calibri" w:hAnsi="Calibri" w:cs="Calibri"/>
                <w:sz w:val="22"/>
                <w:szCs w:val="22"/>
              </w:rPr>
            </w:pPr>
            <w:r w:rsidRPr="008243D9">
              <w:rPr>
                <w:rFonts w:ascii="Calibri" w:hAnsi="Calibri" w:cs="Calibri"/>
                <w:sz w:val="22"/>
                <w:szCs w:val="22"/>
              </w:rPr>
              <w:t> </w:t>
            </w:r>
          </w:p>
        </w:tc>
        <w:tc>
          <w:tcPr>
            <w:tcW w:w="1778"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77FA9671" w14:textId="77777777">
            <w:r w:rsidRPr="00FF7A5D">
              <w:t xml:space="preserve">Information Letter (Attachment </w:t>
            </w:r>
            <w:r>
              <w:t>C</w:t>
            </w:r>
            <w:r w:rsidRPr="00FF7A5D">
              <w:t>)</w:t>
            </w:r>
          </w:p>
        </w:tc>
        <w:tc>
          <w:tcPr>
            <w:tcW w:w="1467"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636A65AF" w14:textId="77777777">
            <w:r>
              <w:t>160</w:t>
            </w:r>
          </w:p>
        </w:tc>
        <w:tc>
          <w:tcPr>
            <w:tcW w:w="1372"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03CBD580" w14:textId="77777777">
            <w:r w:rsidRPr="00FF7A5D">
              <w:t>1</w:t>
            </w:r>
          </w:p>
        </w:tc>
        <w:tc>
          <w:tcPr>
            <w:tcW w:w="1155"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3DCA4AB2" w14:textId="77777777">
            <w:r w:rsidRPr="00FF7A5D">
              <w:t> 5/60</w:t>
            </w:r>
          </w:p>
        </w:tc>
        <w:tc>
          <w:tcPr>
            <w:tcW w:w="834" w:type="dxa"/>
            <w:tcBorders>
              <w:top w:val="nil"/>
              <w:left w:val="nil"/>
              <w:bottom w:val="single" w:color="auto" w:sz="8" w:space="0"/>
              <w:right w:val="nil"/>
            </w:tcBorders>
          </w:tcPr>
          <w:p w:rsidR="009452F1" w:rsidP="007C5C01" w:rsidRDefault="009452F1" w14:paraId="22B146E0" w14:textId="569DA345">
            <w:r>
              <w:rPr>
                <w:rFonts w:eastAsia="Batang"/>
              </w:rPr>
              <w:t>$25.72</w:t>
            </w:r>
          </w:p>
        </w:tc>
        <w:tc>
          <w:tcPr>
            <w:tcW w:w="16" w:type="dxa"/>
            <w:tcBorders>
              <w:top w:val="nil"/>
              <w:left w:val="nil"/>
              <w:bottom w:val="single" w:color="auto" w:sz="8" w:space="0"/>
              <w:right w:val="single" w:color="auto" w:sz="8" w:space="0"/>
            </w:tcBorders>
          </w:tcPr>
          <w:p w:rsidR="009452F1" w:rsidP="007C5C01" w:rsidRDefault="009452F1" w14:paraId="05F8CD28" w14:textId="77777777"/>
        </w:tc>
        <w:tc>
          <w:tcPr>
            <w:tcW w:w="1369"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14A0552D" w14:textId="3CF8CE3C">
            <w:r>
              <w:t>$342.93</w:t>
            </w:r>
          </w:p>
        </w:tc>
      </w:tr>
      <w:tr w:rsidRPr="008243D9" w:rsidR="009452F1" w:rsidTr="009452F1" w14:paraId="2552BDB7" w14:textId="77777777">
        <w:trPr>
          <w:trHeight w:val="846"/>
        </w:trPr>
        <w:tc>
          <w:tcPr>
            <w:tcW w:w="1480" w:type="dxa"/>
            <w:vMerge/>
            <w:tcBorders>
              <w:left w:val="single" w:color="auto" w:sz="8" w:space="0"/>
              <w:right w:val="single" w:color="auto" w:sz="8" w:space="0"/>
            </w:tcBorders>
            <w:tcMar>
              <w:top w:w="0" w:type="dxa"/>
              <w:left w:w="108" w:type="dxa"/>
              <w:bottom w:w="0" w:type="dxa"/>
              <w:right w:w="108" w:type="dxa"/>
            </w:tcMar>
          </w:tcPr>
          <w:p w:rsidRPr="008243D9" w:rsidR="009452F1" w:rsidP="007C5C01" w:rsidRDefault="009452F1" w14:paraId="4F361F5E" w14:textId="77777777"/>
        </w:tc>
        <w:tc>
          <w:tcPr>
            <w:tcW w:w="1778"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6A5E39CE" w14:textId="77777777">
            <w:r w:rsidRPr="00FF7A5D">
              <w:t xml:space="preserve">Telephone screening (Attachment </w:t>
            </w:r>
            <w:r>
              <w:t>D</w:t>
            </w:r>
            <w:r w:rsidRPr="00FF7A5D">
              <w:t>)</w:t>
            </w:r>
          </w:p>
        </w:tc>
        <w:tc>
          <w:tcPr>
            <w:tcW w:w="1467"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3BDC79D0" w14:textId="77777777">
            <w:r>
              <w:t>160</w:t>
            </w:r>
          </w:p>
        </w:tc>
        <w:tc>
          <w:tcPr>
            <w:tcW w:w="1372"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143A0292" w14:textId="77777777">
            <w:r w:rsidRPr="00FF7A5D">
              <w:t>1</w:t>
            </w:r>
          </w:p>
        </w:tc>
        <w:tc>
          <w:tcPr>
            <w:tcW w:w="1155"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108164FF" w14:textId="77777777">
            <w:r>
              <w:t>25</w:t>
            </w:r>
            <w:r w:rsidRPr="00FF7A5D">
              <w:t>/60</w:t>
            </w:r>
          </w:p>
        </w:tc>
        <w:tc>
          <w:tcPr>
            <w:tcW w:w="834" w:type="dxa"/>
            <w:tcBorders>
              <w:top w:val="nil"/>
              <w:left w:val="nil"/>
              <w:bottom w:val="single" w:color="auto" w:sz="8" w:space="0"/>
              <w:right w:val="nil"/>
            </w:tcBorders>
          </w:tcPr>
          <w:p w:rsidR="009452F1" w:rsidP="007C5C01" w:rsidRDefault="009452F1" w14:paraId="5F1B5331" w14:textId="788D7397">
            <w:r>
              <w:rPr>
                <w:rFonts w:eastAsia="Batang"/>
              </w:rPr>
              <w:t>$25.72</w:t>
            </w:r>
          </w:p>
        </w:tc>
        <w:tc>
          <w:tcPr>
            <w:tcW w:w="16" w:type="dxa"/>
            <w:tcBorders>
              <w:top w:val="nil"/>
              <w:left w:val="nil"/>
              <w:bottom w:val="single" w:color="auto" w:sz="8" w:space="0"/>
              <w:right w:val="single" w:color="auto" w:sz="8" w:space="0"/>
            </w:tcBorders>
          </w:tcPr>
          <w:p w:rsidR="009452F1" w:rsidP="007C5C01" w:rsidRDefault="009452F1" w14:paraId="36535CFD" w14:textId="77777777"/>
        </w:tc>
        <w:tc>
          <w:tcPr>
            <w:tcW w:w="1369"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4F0C48D4" w14:textId="3FA8883E">
            <w:r>
              <w:t>$1,714.67</w:t>
            </w:r>
          </w:p>
        </w:tc>
      </w:tr>
      <w:tr w:rsidRPr="008243D9" w:rsidR="009452F1" w:rsidTr="009452F1" w14:paraId="36C0811F" w14:textId="77777777">
        <w:trPr>
          <w:trHeight w:val="846"/>
        </w:trPr>
        <w:tc>
          <w:tcPr>
            <w:tcW w:w="1480" w:type="dxa"/>
            <w:vMerge/>
            <w:tcBorders>
              <w:left w:val="single" w:color="auto" w:sz="8" w:space="0"/>
              <w:right w:val="single" w:color="auto" w:sz="8" w:space="0"/>
            </w:tcBorders>
            <w:tcMar>
              <w:top w:w="0" w:type="dxa"/>
              <w:left w:w="108" w:type="dxa"/>
              <w:bottom w:w="0" w:type="dxa"/>
              <w:right w:w="108" w:type="dxa"/>
            </w:tcMar>
          </w:tcPr>
          <w:p w:rsidRPr="008243D9" w:rsidR="009452F1" w:rsidP="007C5C01" w:rsidRDefault="009452F1" w14:paraId="7244E101" w14:textId="77777777"/>
        </w:tc>
        <w:tc>
          <w:tcPr>
            <w:tcW w:w="1778"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5778E729" w14:textId="77777777">
            <w:r w:rsidRPr="00FF7A5D">
              <w:t xml:space="preserve">Confirmation email/letter (Attachment </w:t>
            </w:r>
            <w:r>
              <w:t>E</w:t>
            </w:r>
            <w:r w:rsidRPr="00FF7A5D">
              <w:t>)</w:t>
            </w:r>
          </w:p>
        </w:tc>
        <w:tc>
          <w:tcPr>
            <w:tcW w:w="1467"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5448FD37" w14:textId="77777777">
            <w:r>
              <w:t>120</w:t>
            </w:r>
          </w:p>
        </w:tc>
        <w:tc>
          <w:tcPr>
            <w:tcW w:w="1372"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0F270159" w14:textId="77777777">
            <w:r w:rsidRPr="00FF7A5D">
              <w:t>1</w:t>
            </w:r>
          </w:p>
        </w:tc>
        <w:tc>
          <w:tcPr>
            <w:tcW w:w="1155"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666B690E" w14:textId="77777777">
            <w:r>
              <w:t>5</w:t>
            </w:r>
            <w:r w:rsidRPr="00FF7A5D">
              <w:t>/60</w:t>
            </w:r>
          </w:p>
        </w:tc>
        <w:tc>
          <w:tcPr>
            <w:tcW w:w="834" w:type="dxa"/>
            <w:tcBorders>
              <w:top w:val="nil"/>
              <w:left w:val="nil"/>
              <w:bottom w:val="single" w:color="auto" w:sz="8" w:space="0"/>
              <w:right w:val="nil"/>
            </w:tcBorders>
          </w:tcPr>
          <w:p w:rsidR="009452F1" w:rsidP="007C5C01" w:rsidRDefault="009452F1" w14:paraId="49FA73FD" w14:textId="65986CC7">
            <w:r>
              <w:rPr>
                <w:rFonts w:eastAsia="Batang"/>
              </w:rPr>
              <w:t>$25.72</w:t>
            </w:r>
          </w:p>
        </w:tc>
        <w:tc>
          <w:tcPr>
            <w:tcW w:w="16" w:type="dxa"/>
            <w:tcBorders>
              <w:top w:val="nil"/>
              <w:left w:val="nil"/>
              <w:bottom w:val="single" w:color="auto" w:sz="8" w:space="0"/>
              <w:right w:val="single" w:color="auto" w:sz="8" w:space="0"/>
            </w:tcBorders>
          </w:tcPr>
          <w:p w:rsidR="009452F1" w:rsidP="007C5C01" w:rsidRDefault="009452F1" w14:paraId="28409D69" w14:textId="77777777"/>
        </w:tc>
        <w:tc>
          <w:tcPr>
            <w:tcW w:w="1369"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41AA20FE" w14:textId="4F1C45F4">
            <w:r>
              <w:t>$257.20</w:t>
            </w:r>
          </w:p>
        </w:tc>
      </w:tr>
      <w:tr w:rsidRPr="008243D9" w:rsidR="009452F1" w:rsidTr="009452F1" w14:paraId="34C7CFE7" w14:textId="77777777">
        <w:trPr>
          <w:trHeight w:val="846"/>
        </w:trPr>
        <w:tc>
          <w:tcPr>
            <w:tcW w:w="1480" w:type="dxa"/>
            <w:vMerge/>
            <w:tcBorders>
              <w:left w:val="single" w:color="auto" w:sz="8" w:space="0"/>
              <w:right w:val="single" w:color="auto" w:sz="8" w:space="0"/>
            </w:tcBorders>
            <w:tcMar>
              <w:top w:w="0" w:type="dxa"/>
              <w:left w:w="108" w:type="dxa"/>
              <w:bottom w:w="0" w:type="dxa"/>
              <w:right w:w="108" w:type="dxa"/>
            </w:tcMar>
          </w:tcPr>
          <w:p w:rsidRPr="008243D9" w:rsidR="009452F1" w:rsidP="007C5C01" w:rsidRDefault="009452F1" w14:paraId="12265BBB" w14:textId="77777777"/>
        </w:tc>
        <w:tc>
          <w:tcPr>
            <w:tcW w:w="1778"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6499C3C3" w14:textId="77777777">
            <w:r w:rsidRPr="00FF7A5D">
              <w:t xml:space="preserve">Reminder email (Attachment </w:t>
            </w:r>
            <w:r>
              <w:t>G</w:t>
            </w:r>
            <w:r w:rsidRPr="00FF7A5D">
              <w:t>)</w:t>
            </w:r>
          </w:p>
        </w:tc>
        <w:tc>
          <w:tcPr>
            <w:tcW w:w="1467"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79F7FDD5" w14:textId="77777777">
            <w:r>
              <w:t>120</w:t>
            </w:r>
          </w:p>
        </w:tc>
        <w:tc>
          <w:tcPr>
            <w:tcW w:w="1372"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39D1C718" w14:textId="77777777">
            <w:r w:rsidRPr="00FF7A5D">
              <w:t>1</w:t>
            </w:r>
          </w:p>
        </w:tc>
        <w:tc>
          <w:tcPr>
            <w:tcW w:w="1155"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3FCFC128" w14:textId="77777777">
            <w:r>
              <w:t>5</w:t>
            </w:r>
            <w:r w:rsidRPr="00FF7A5D">
              <w:t>/60</w:t>
            </w:r>
          </w:p>
        </w:tc>
        <w:tc>
          <w:tcPr>
            <w:tcW w:w="834" w:type="dxa"/>
            <w:tcBorders>
              <w:top w:val="nil"/>
              <w:left w:val="nil"/>
              <w:bottom w:val="single" w:color="auto" w:sz="8" w:space="0"/>
              <w:right w:val="nil"/>
            </w:tcBorders>
          </w:tcPr>
          <w:p w:rsidR="009452F1" w:rsidP="007C5C01" w:rsidRDefault="009452F1" w14:paraId="17E63F5B" w14:textId="2391F120">
            <w:r>
              <w:rPr>
                <w:rFonts w:eastAsia="Batang"/>
              </w:rPr>
              <w:t>$25.72</w:t>
            </w:r>
          </w:p>
        </w:tc>
        <w:tc>
          <w:tcPr>
            <w:tcW w:w="16" w:type="dxa"/>
            <w:tcBorders>
              <w:top w:val="nil"/>
              <w:left w:val="nil"/>
              <w:bottom w:val="single" w:color="auto" w:sz="8" w:space="0"/>
              <w:right w:val="single" w:color="auto" w:sz="8" w:space="0"/>
            </w:tcBorders>
          </w:tcPr>
          <w:p w:rsidR="009452F1" w:rsidP="007C5C01" w:rsidRDefault="009452F1" w14:paraId="771933E9" w14:textId="77777777"/>
        </w:tc>
        <w:tc>
          <w:tcPr>
            <w:tcW w:w="1369"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2031E26A" w14:textId="2EC1236B">
            <w:r>
              <w:t>$257.20</w:t>
            </w:r>
          </w:p>
        </w:tc>
      </w:tr>
      <w:tr w:rsidRPr="008243D9" w:rsidR="009452F1" w:rsidTr="009452F1" w14:paraId="28569210" w14:textId="77777777">
        <w:trPr>
          <w:trHeight w:val="846"/>
        </w:trPr>
        <w:tc>
          <w:tcPr>
            <w:tcW w:w="1480" w:type="dxa"/>
            <w:vMerge/>
            <w:tcBorders>
              <w:left w:val="single" w:color="auto" w:sz="8" w:space="0"/>
              <w:right w:val="single" w:color="auto" w:sz="8" w:space="0"/>
            </w:tcBorders>
            <w:vAlign w:val="center"/>
            <w:hideMark/>
          </w:tcPr>
          <w:p w:rsidRPr="008243D9" w:rsidR="009452F1" w:rsidP="007C5C01" w:rsidRDefault="009452F1" w14:paraId="707FB120" w14:textId="77777777">
            <w:pPr>
              <w:rPr>
                <w:rFonts w:ascii="Calibri" w:hAnsi="Calibri" w:cs="Calibri"/>
                <w:sz w:val="22"/>
                <w:szCs w:val="22"/>
              </w:rPr>
            </w:pPr>
          </w:p>
        </w:tc>
        <w:tc>
          <w:tcPr>
            <w:tcW w:w="1778"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6DBAFB27" w14:textId="77777777">
            <w:r w:rsidRPr="00FF7A5D">
              <w:t xml:space="preserve">Informed Consent (Attachment </w:t>
            </w:r>
            <w:r>
              <w:t>F</w:t>
            </w:r>
            <w:r w:rsidRPr="00FF7A5D">
              <w:t>)</w:t>
            </w:r>
          </w:p>
          <w:p w:rsidRPr="00FF7A5D" w:rsidR="009452F1" w:rsidP="007C5C01" w:rsidRDefault="009452F1" w14:paraId="394201FA" w14:textId="77777777">
            <w:r w:rsidRPr="00FF7A5D">
              <w:t> </w:t>
            </w:r>
          </w:p>
        </w:tc>
        <w:tc>
          <w:tcPr>
            <w:tcW w:w="1467"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3452A292" w14:textId="77777777">
            <w:r>
              <w:t>120</w:t>
            </w:r>
          </w:p>
        </w:tc>
        <w:tc>
          <w:tcPr>
            <w:tcW w:w="1372"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61339134" w14:textId="77777777">
            <w:r w:rsidRPr="00FF7A5D">
              <w:t> 1</w:t>
            </w:r>
          </w:p>
        </w:tc>
        <w:tc>
          <w:tcPr>
            <w:tcW w:w="1155"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125673C0" w14:textId="77777777">
            <w:r>
              <w:t>25</w:t>
            </w:r>
            <w:r w:rsidRPr="00FF7A5D">
              <w:t>/60</w:t>
            </w:r>
          </w:p>
        </w:tc>
        <w:tc>
          <w:tcPr>
            <w:tcW w:w="834" w:type="dxa"/>
            <w:tcBorders>
              <w:top w:val="nil"/>
              <w:left w:val="nil"/>
              <w:bottom w:val="single" w:color="auto" w:sz="8" w:space="0"/>
              <w:right w:val="nil"/>
            </w:tcBorders>
          </w:tcPr>
          <w:p w:rsidRPr="00FF7A5D" w:rsidR="009452F1" w:rsidP="007C5C01" w:rsidRDefault="009452F1" w14:paraId="4CD9B7C3" w14:textId="30DC2281">
            <w:r>
              <w:rPr>
                <w:rFonts w:eastAsia="Batang"/>
              </w:rPr>
              <w:t>$25.72</w:t>
            </w:r>
          </w:p>
        </w:tc>
        <w:tc>
          <w:tcPr>
            <w:tcW w:w="16" w:type="dxa"/>
            <w:tcBorders>
              <w:top w:val="nil"/>
              <w:left w:val="nil"/>
              <w:bottom w:val="single" w:color="auto" w:sz="8" w:space="0"/>
              <w:right w:val="single" w:color="auto" w:sz="8" w:space="0"/>
            </w:tcBorders>
          </w:tcPr>
          <w:p w:rsidRPr="00FF7A5D" w:rsidR="009452F1" w:rsidP="007C5C01" w:rsidRDefault="009452F1" w14:paraId="576B8B0E" w14:textId="77777777"/>
        </w:tc>
        <w:tc>
          <w:tcPr>
            <w:tcW w:w="1369"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19A349E5" w14:textId="6B26A5F4">
            <w:r>
              <w:t>$1,286.00</w:t>
            </w:r>
          </w:p>
        </w:tc>
      </w:tr>
      <w:tr w:rsidRPr="008243D9" w:rsidR="009452F1" w:rsidTr="009452F1" w14:paraId="0ABA0A33" w14:textId="77777777">
        <w:trPr>
          <w:trHeight w:val="846"/>
        </w:trPr>
        <w:tc>
          <w:tcPr>
            <w:tcW w:w="1480" w:type="dxa"/>
            <w:vMerge/>
            <w:tcBorders>
              <w:left w:val="single" w:color="auto" w:sz="8" w:space="0"/>
              <w:right w:val="single" w:color="auto" w:sz="8" w:space="0"/>
            </w:tcBorders>
            <w:vAlign w:val="center"/>
            <w:hideMark/>
          </w:tcPr>
          <w:p w:rsidRPr="008243D9" w:rsidR="009452F1" w:rsidP="007C5C01" w:rsidRDefault="009452F1" w14:paraId="1C2E2850" w14:textId="77777777">
            <w:pPr>
              <w:rPr>
                <w:rFonts w:ascii="Calibri" w:hAnsi="Calibri" w:cs="Calibri"/>
                <w:sz w:val="22"/>
                <w:szCs w:val="22"/>
              </w:rPr>
            </w:pPr>
          </w:p>
        </w:tc>
        <w:tc>
          <w:tcPr>
            <w:tcW w:w="1778"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31CD36E4" w14:textId="77777777">
            <w:r>
              <w:t xml:space="preserve">Demographic </w:t>
            </w:r>
            <w:r w:rsidRPr="00FF7A5D">
              <w:t>Survey (Attachment I) </w:t>
            </w:r>
          </w:p>
          <w:p w:rsidRPr="00FF7A5D" w:rsidR="009452F1" w:rsidP="007C5C01" w:rsidRDefault="009452F1" w14:paraId="28BF9AA7" w14:textId="77777777">
            <w:r w:rsidRPr="00FF7A5D">
              <w:t> </w:t>
            </w:r>
          </w:p>
        </w:tc>
        <w:tc>
          <w:tcPr>
            <w:tcW w:w="1467"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599CB9A1" w14:textId="77777777">
            <w:r>
              <w:t>120</w:t>
            </w:r>
          </w:p>
        </w:tc>
        <w:tc>
          <w:tcPr>
            <w:tcW w:w="1372"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6C8A41D5" w14:textId="77777777">
            <w:r w:rsidRPr="00FF7A5D">
              <w:t> 1</w:t>
            </w:r>
          </w:p>
        </w:tc>
        <w:tc>
          <w:tcPr>
            <w:tcW w:w="1155"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0F0C7B3F" w14:textId="77777777">
            <w:r>
              <w:t>25</w:t>
            </w:r>
            <w:r w:rsidRPr="00FF7A5D">
              <w:t>/60</w:t>
            </w:r>
          </w:p>
        </w:tc>
        <w:tc>
          <w:tcPr>
            <w:tcW w:w="834" w:type="dxa"/>
            <w:tcBorders>
              <w:top w:val="nil"/>
              <w:left w:val="nil"/>
              <w:bottom w:val="single" w:color="auto" w:sz="8" w:space="0"/>
              <w:right w:val="nil"/>
            </w:tcBorders>
          </w:tcPr>
          <w:p w:rsidRPr="00FF7A5D" w:rsidR="009452F1" w:rsidP="007C5C01" w:rsidRDefault="009452F1" w14:paraId="39E689D7" w14:textId="08248C74">
            <w:r>
              <w:rPr>
                <w:rFonts w:eastAsia="Batang"/>
              </w:rPr>
              <w:t>$25.72</w:t>
            </w:r>
          </w:p>
        </w:tc>
        <w:tc>
          <w:tcPr>
            <w:tcW w:w="16" w:type="dxa"/>
            <w:tcBorders>
              <w:top w:val="nil"/>
              <w:left w:val="nil"/>
              <w:bottom w:val="single" w:color="auto" w:sz="8" w:space="0"/>
              <w:right w:val="single" w:color="auto" w:sz="8" w:space="0"/>
            </w:tcBorders>
          </w:tcPr>
          <w:p w:rsidRPr="00FF7A5D" w:rsidR="009452F1" w:rsidP="007C5C01" w:rsidRDefault="009452F1" w14:paraId="5C42C15D" w14:textId="77777777"/>
        </w:tc>
        <w:tc>
          <w:tcPr>
            <w:tcW w:w="1369"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6CE0E4E5" w14:textId="2D724CD7">
            <w:r>
              <w:t>$1,286.00</w:t>
            </w:r>
          </w:p>
        </w:tc>
      </w:tr>
      <w:tr w:rsidRPr="008243D9" w:rsidR="009452F1" w:rsidTr="009452F1" w14:paraId="1D05369B" w14:textId="77777777">
        <w:trPr>
          <w:trHeight w:val="846"/>
        </w:trPr>
        <w:tc>
          <w:tcPr>
            <w:tcW w:w="1480" w:type="dxa"/>
            <w:vMerge/>
            <w:tcBorders>
              <w:left w:val="single" w:color="auto" w:sz="8" w:space="0"/>
              <w:right w:val="single" w:color="auto" w:sz="8" w:space="0"/>
            </w:tcBorders>
            <w:vAlign w:val="center"/>
            <w:hideMark/>
          </w:tcPr>
          <w:p w:rsidRPr="008243D9" w:rsidR="009452F1" w:rsidP="007C5C01" w:rsidRDefault="009452F1" w14:paraId="1E25F450" w14:textId="77777777">
            <w:pPr>
              <w:rPr>
                <w:rFonts w:ascii="Calibri" w:hAnsi="Calibri" w:cs="Calibri"/>
                <w:sz w:val="22"/>
                <w:szCs w:val="22"/>
              </w:rPr>
            </w:pPr>
          </w:p>
        </w:tc>
        <w:tc>
          <w:tcPr>
            <w:tcW w:w="1778"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311A53DD" w14:textId="77777777">
            <w:r w:rsidRPr="00FF7A5D">
              <w:t>Focus group/</w:t>
            </w:r>
            <w:r w:rsidRPr="006415BF">
              <w:t>interview</w:t>
            </w:r>
            <w:r>
              <w:rPr>
                <w:vertAlign w:val="superscript"/>
              </w:rPr>
              <w:t xml:space="preserve"> </w:t>
            </w:r>
            <w:r w:rsidRPr="006415BF">
              <w:t>(Attachment J)</w:t>
            </w:r>
          </w:p>
        </w:tc>
        <w:tc>
          <w:tcPr>
            <w:tcW w:w="1467"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5A1024F8" w14:textId="77777777">
            <w:r>
              <w:t>44</w:t>
            </w:r>
          </w:p>
        </w:tc>
        <w:tc>
          <w:tcPr>
            <w:tcW w:w="1372"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38671636" w14:textId="77777777">
            <w:r w:rsidRPr="00FF7A5D">
              <w:t> 1</w:t>
            </w:r>
          </w:p>
        </w:tc>
        <w:tc>
          <w:tcPr>
            <w:tcW w:w="1155"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65CBE078" w14:textId="77777777">
            <w:r w:rsidRPr="00FF7A5D">
              <w:t>2</w:t>
            </w:r>
          </w:p>
        </w:tc>
        <w:tc>
          <w:tcPr>
            <w:tcW w:w="834" w:type="dxa"/>
            <w:tcBorders>
              <w:top w:val="nil"/>
              <w:left w:val="nil"/>
              <w:bottom w:val="single" w:color="auto" w:sz="8" w:space="0"/>
              <w:right w:val="nil"/>
            </w:tcBorders>
          </w:tcPr>
          <w:p w:rsidRPr="00FF7A5D" w:rsidR="009452F1" w:rsidP="007C5C01" w:rsidRDefault="009452F1" w14:paraId="69AEDDFF" w14:textId="7D2CEC98">
            <w:r>
              <w:rPr>
                <w:rFonts w:eastAsia="Batang"/>
              </w:rPr>
              <w:t>$25.72</w:t>
            </w:r>
          </w:p>
        </w:tc>
        <w:tc>
          <w:tcPr>
            <w:tcW w:w="16" w:type="dxa"/>
            <w:tcBorders>
              <w:top w:val="nil"/>
              <w:left w:val="nil"/>
              <w:bottom w:val="single" w:color="auto" w:sz="8" w:space="0"/>
              <w:right w:val="single" w:color="auto" w:sz="8" w:space="0"/>
            </w:tcBorders>
          </w:tcPr>
          <w:p w:rsidRPr="00FF7A5D" w:rsidR="009452F1" w:rsidP="007C5C01" w:rsidRDefault="009452F1" w14:paraId="748765FC" w14:textId="77777777"/>
        </w:tc>
        <w:tc>
          <w:tcPr>
            <w:tcW w:w="1369"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9452F1" w:rsidP="007C5C01" w:rsidRDefault="009452F1" w14:paraId="596F470A" w14:textId="6F54C9C4">
            <w:r>
              <w:t>$2,263.36</w:t>
            </w:r>
          </w:p>
        </w:tc>
      </w:tr>
      <w:tr w:rsidRPr="008243D9" w:rsidR="009452F1" w:rsidTr="009452F1" w14:paraId="6A8FD117" w14:textId="77777777">
        <w:trPr>
          <w:trHeight w:val="846"/>
        </w:trPr>
        <w:tc>
          <w:tcPr>
            <w:tcW w:w="1480" w:type="dxa"/>
            <w:vMerge/>
            <w:tcBorders>
              <w:left w:val="single" w:color="auto" w:sz="8" w:space="0"/>
              <w:right w:val="single" w:color="auto" w:sz="8" w:space="0"/>
            </w:tcBorders>
            <w:vAlign w:val="center"/>
          </w:tcPr>
          <w:p w:rsidRPr="008243D9" w:rsidR="009452F1" w:rsidP="007C5C01" w:rsidRDefault="009452F1" w14:paraId="6C0CA854" w14:textId="77777777">
            <w:pPr>
              <w:rPr>
                <w:rFonts w:ascii="Calibri" w:hAnsi="Calibri" w:cs="Calibri"/>
                <w:sz w:val="22"/>
                <w:szCs w:val="22"/>
              </w:rPr>
            </w:pPr>
          </w:p>
        </w:tc>
        <w:tc>
          <w:tcPr>
            <w:tcW w:w="1778"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3CA29E6B" w14:textId="77777777">
            <w:r w:rsidRPr="00FF7A5D">
              <w:t>Focus group/</w:t>
            </w:r>
            <w:r w:rsidRPr="006415BF">
              <w:t>interview</w:t>
            </w:r>
            <w:r>
              <w:rPr>
                <w:vertAlign w:val="superscript"/>
              </w:rPr>
              <w:t xml:space="preserve"> </w:t>
            </w:r>
            <w:r w:rsidRPr="006415BF">
              <w:t xml:space="preserve">(Attachment </w:t>
            </w:r>
            <w:r>
              <w:t>K</w:t>
            </w:r>
            <w:r w:rsidRPr="006415BF">
              <w:t>)</w:t>
            </w:r>
          </w:p>
        </w:tc>
        <w:tc>
          <w:tcPr>
            <w:tcW w:w="1467" w:type="dxa"/>
            <w:tcBorders>
              <w:top w:val="nil"/>
              <w:left w:val="nil"/>
              <w:bottom w:val="single" w:color="auto" w:sz="8" w:space="0"/>
              <w:right w:val="single" w:color="auto" w:sz="8" w:space="0"/>
            </w:tcBorders>
            <w:tcMar>
              <w:top w:w="0" w:type="dxa"/>
              <w:left w:w="108" w:type="dxa"/>
              <w:bottom w:w="0" w:type="dxa"/>
              <w:right w:w="108" w:type="dxa"/>
            </w:tcMar>
          </w:tcPr>
          <w:p w:rsidR="009452F1" w:rsidP="007C5C01" w:rsidRDefault="009452F1" w14:paraId="45A44B1C" w14:textId="77777777">
            <w:r>
              <w:t>64</w:t>
            </w:r>
          </w:p>
        </w:tc>
        <w:tc>
          <w:tcPr>
            <w:tcW w:w="1372"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4AE23BA6" w14:textId="77777777">
            <w:r>
              <w:t>1</w:t>
            </w:r>
          </w:p>
        </w:tc>
        <w:tc>
          <w:tcPr>
            <w:tcW w:w="1155"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64173E46" w14:textId="77777777">
            <w:r>
              <w:t>2</w:t>
            </w:r>
          </w:p>
        </w:tc>
        <w:tc>
          <w:tcPr>
            <w:tcW w:w="834" w:type="dxa"/>
            <w:tcBorders>
              <w:top w:val="nil"/>
              <w:left w:val="nil"/>
              <w:bottom w:val="single" w:color="auto" w:sz="8" w:space="0"/>
              <w:right w:val="nil"/>
            </w:tcBorders>
          </w:tcPr>
          <w:p w:rsidR="009452F1" w:rsidP="007C5C01" w:rsidRDefault="009452F1" w14:paraId="554759D0" w14:textId="3F7D74BC">
            <w:r>
              <w:rPr>
                <w:rFonts w:eastAsia="Batang"/>
              </w:rPr>
              <w:t>$25.72</w:t>
            </w:r>
          </w:p>
        </w:tc>
        <w:tc>
          <w:tcPr>
            <w:tcW w:w="16" w:type="dxa"/>
            <w:tcBorders>
              <w:top w:val="nil"/>
              <w:left w:val="nil"/>
              <w:bottom w:val="single" w:color="auto" w:sz="8" w:space="0"/>
              <w:right w:val="single" w:color="auto" w:sz="8" w:space="0"/>
            </w:tcBorders>
          </w:tcPr>
          <w:p w:rsidR="009452F1" w:rsidP="007C5C01" w:rsidRDefault="009452F1" w14:paraId="2D4D589B" w14:textId="77777777"/>
        </w:tc>
        <w:tc>
          <w:tcPr>
            <w:tcW w:w="1369"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6ABCDDA4" w14:textId="75F7580B">
            <w:r>
              <w:t>$3,292.12</w:t>
            </w:r>
          </w:p>
        </w:tc>
      </w:tr>
      <w:tr w:rsidRPr="008243D9" w:rsidR="009452F1" w:rsidTr="009452F1" w14:paraId="2B51A1CF" w14:textId="77777777">
        <w:trPr>
          <w:trHeight w:val="846"/>
        </w:trPr>
        <w:tc>
          <w:tcPr>
            <w:tcW w:w="1480" w:type="dxa"/>
            <w:vMerge/>
            <w:tcBorders>
              <w:left w:val="single" w:color="auto" w:sz="8" w:space="0"/>
              <w:bottom w:val="single" w:color="auto" w:sz="8" w:space="0"/>
              <w:right w:val="single" w:color="auto" w:sz="8" w:space="0"/>
            </w:tcBorders>
            <w:vAlign w:val="center"/>
          </w:tcPr>
          <w:p w:rsidRPr="008243D9" w:rsidR="009452F1" w:rsidP="007C5C01" w:rsidRDefault="009452F1" w14:paraId="2A554A81" w14:textId="77777777">
            <w:pPr>
              <w:rPr>
                <w:rFonts w:ascii="Calibri" w:hAnsi="Calibri" w:cs="Calibri"/>
                <w:sz w:val="22"/>
                <w:szCs w:val="22"/>
              </w:rPr>
            </w:pPr>
          </w:p>
        </w:tc>
        <w:tc>
          <w:tcPr>
            <w:tcW w:w="1778"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251806F7" w14:textId="77777777">
            <w:r w:rsidRPr="00FF7A5D">
              <w:t>Focus group/</w:t>
            </w:r>
            <w:r w:rsidRPr="006415BF">
              <w:t>interview</w:t>
            </w:r>
            <w:r>
              <w:rPr>
                <w:vertAlign w:val="superscript"/>
              </w:rPr>
              <w:t xml:space="preserve"> </w:t>
            </w:r>
            <w:r w:rsidRPr="006415BF">
              <w:t>(Attachment L)</w:t>
            </w:r>
          </w:p>
        </w:tc>
        <w:tc>
          <w:tcPr>
            <w:tcW w:w="1467" w:type="dxa"/>
            <w:tcBorders>
              <w:top w:val="nil"/>
              <w:left w:val="nil"/>
              <w:bottom w:val="single" w:color="auto" w:sz="8" w:space="0"/>
              <w:right w:val="single" w:color="auto" w:sz="8" w:space="0"/>
            </w:tcBorders>
            <w:tcMar>
              <w:top w:w="0" w:type="dxa"/>
              <w:left w:w="108" w:type="dxa"/>
              <w:bottom w:w="0" w:type="dxa"/>
              <w:right w:w="108" w:type="dxa"/>
            </w:tcMar>
          </w:tcPr>
          <w:p w:rsidR="009452F1" w:rsidP="007C5C01" w:rsidRDefault="009452F1" w14:paraId="25CFEBE0" w14:textId="77777777">
            <w:r>
              <w:t>12</w:t>
            </w:r>
          </w:p>
        </w:tc>
        <w:tc>
          <w:tcPr>
            <w:tcW w:w="1372"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3498C86B" w14:textId="77777777">
            <w:r>
              <w:t>1</w:t>
            </w:r>
          </w:p>
        </w:tc>
        <w:tc>
          <w:tcPr>
            <w:tcW w:w="1155"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644D74C1" w14:textId="77777777">
            <w:r>
              <w:t>2</w:t>
            </w:r>
          </w:p>
        </w:tc>
        <w:tc>
          <w:tcPr>
            <w:tcW w:w="834" w:type="dxa"/>
            <w:tcBorders>
              <w:top w:val="nil"/>
              <w:left w:val="nil"/>
              <w:bottom w:val="single" w:color="auto" w:sz="8" w:space="0"/>
              <w:right w:val="nil"/>
            </w:tcBorders>
          </w:tcPr>
          <w:p w:rsidR="009452F1" w:rsidP="007C5C01" w:rsidRDefault="009452F1" w14:paraId="45265CEF" w14:textId="4AF43154">
            <w:r>
              <w:rPr>
                <w:rFonts w:eastAsia="Batang"/>
              </w:rPr>
              <w:t>$25.72</w:t>
            </w:r>
          </w:p>
        </w:tc>
        <w:tc>
          <w:tcPr>
            <w:tcW w:w="16" w:type="dxa"/>
            <w:tcBorders>
              <w:top w:val="nil"/>
              <w:left w:val="nil"/>
              <w:bottom w:val="single" w:color="auto" w:sz="8" w:space="0"/>
              <w:right w:val="single" w:color="auto" w:sz="8" w:space="0"/>
            </w:tcBorders>
          </w:tcPr>
          <w:p w:rsidR="009452F1" w:rsidP="007C5C01" w:rsidRDefault="009452F1" w14:paraId="6BC8049A" w14:textId="77777777"/>
        </w:tc>
        <w:tc>
          <w:tcPr>
            <w:tcW w:w="1369" w:type="dxa"/>
            <w:tcBorders>
              <w:top w:val="nil"/>
              <w:left w:val="nil"/>
              <w:bottom w:val="single" w:color="auto" w:sz="8" w:space="0"/>
              <w:right w:val="single" w:color="auto" w:sz="8" w:space="0"/>
            </w:tcBorders>
            <w:tcMar>
              <w:top w:w="0" w:type="dxa"/>
              <w:left w:w="108" w:type="dxa"/>
              <w:bottom w:w="0" w:type="dxa"/>
              <w:right w:w="108" w:type="dxa"/>
            </w:tcMar>
          </w:tcPr>
          <w:p w:rsidRPr="00FF7A5D" w:rsidR="009452F1" w:rsidP="007C5C01" w:rsidRDefault="009452F1" w14:paraId="0A84FFAF" w14:textId="02F65E18">
            <w:r>
              <w:t>$617.28</w:t>
            </w:r>
          </w:p>
        </w:tc>
      </w:tr>
      <w:tr w:rsidRPr="008243D9" w:rsidR="00596456" w:rsidTr="009452F1" w14:paraId="4BAC740F" w14:textId="77777777">
        <w:trPr>
          <w:trHeight w:val="295"/>
        </w:trPr>
        <w:tc>
          <w:tcPr>
            <w:tcW w:w="7254"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F7A5D" w:rsidR="00497335" w:rsidP="007C5C01" w:rsidRDefault="00497335" w14:paraId="75B955BE" w14:textId="5CB29AB8">
            <w:r w:rsidRPr="00FF7A5D">
              <w:t>                                                                                                           Total</w:t>
            </w:r>
          </w:p>
        </w:tc>
        <w:tc>
          <w:tcPr>
            <w:tcW w:w="834" w:type="dxa"/>
            <w:tcBorders>
              <w:top w:val="nil"/>
              <w:left w:val="nil"/>
              <w:bottom w:val="single" w:color="auto" w:sz="8" w:space="0"/>
              <w:right w:val="nil"/>
            </w:tcBorders>
          </w:tcPr>
          <w:p w:rsidRPr="00FF7A5D" w:rsidR="00497335" w:rsidP="007C5C01" w:rsidRDefault="00497335" w14:paraId="6AEBBF51" w14:textId="77777777"/>
        </w:tc>
        <w:tc>
          <w:tcPr>
            <w:tcW w:w="16" w:type="dxa"/>
            <w:tcBorders>
              <w:top w:val="nil"/>
              <w:left w:val="nil"/>
              <w:bottom w:val="single" w:color="auto" w:sz="8" w:space="0"/>
              <w:right w:val="single" w:color="auto" w:sz="8" w:space="0"/>
            </w:tcBorders>
          </w:tcPr>
          <w:p w:rsidRPr="00FF7A5D" w:rsidR="00497335" w:rsidP="007C5C01" w:rsidRDefault="00497335" w14:paraId="71178607" w14:textId="77777777"/>
        </w:tc>
        <w:tc>
          <w:tcPr>
            <w:tcW w:w="1369" w:type="dxa"/>
            <w:tcBorders>
              <w:top w:val="nil"/>
              <w:left w:val="nil"/>
              <w:bottom w:val="single" w:color="auto" w:sz="8" w:space="0"/>
              <w:right w:val="single" w:color="auto" w:sz="8" w:space="0"/>
            </w:tcBorders>
            <w:tcMar>
              <w:top w:w="0" w:type="dxa"/>
              <w:left w:w="108" w:type="dxa"/>
              <w:bottom w:w="0" w:type="dxa"/>
              <w:right w:w="108" w:type="dxa"/>
            </w:tcMar>
            <w:hideMark/>
          </w:tcPr>
          <w:p w:rsidRPr="00FF7A5D" w:rsidR="00497335" w:rsidP="007C5C01" w:rsidRDefault="00BF123D" w14:paraId="621B482B" w14:textId="07BCE46B">
            <w:r>
              <w:t>$11,316.76</w:t>
            </w:r>
          </w:p>
        </w:tc>
      </w:tr>
    </w:tbl>
    <w:p w:rsidRPr="00C712BA" w:rsidR="00DF7BA0" w:rsidP="006F1C69" w:rsidRDefault="00DF7BA0" w14:paraId="0E359252" w14:textId="77777777">
      <w:pPr>
        <w:rPr>
          <w:b/>
        </w:rPr>
      </w:pPr>
    </w:p>
    <w:p w:rsidR="00EF1F17" w:rsidP="006F1C69" w:rsidRDefault="00EF1F17" w14:paraId="68DDBAE1" w14:textId="77777777">
      <w:pPr>
        <w:rPr>
          <w:b/>
        </w:rPr>
      </w:pPr>
    </w:p>
    <w:p w:rsidRPr="00691454" w:rsidR="006F1C69" w:rsidP="006F1C69" w:rsidRDefault="006F1C69" w14:paraId="2DEAEAE9" w14:textId="57B37514">
      <w:pPr>
        <w:rPr>
          <w:b/>
        </w:rPr>
      </w:pPr>
      <w:r w:rsidRPr="00691454">
        <w:rPr>
          <w:b/>
        </w:rPr>
        <w:t xml:space="preserve">A.13. </w:t>
      </w:r>
      <w:r w:rsidRPr="00691454">
        <w:rPr>
          <w:b/>
        </w:rPr>
        <w:tab/>
        <w:t>Estimates of Other Total Annual Cost Burden to Respondents or Record Keepers</w:t>
      </w:r>
    </w:p>
    <w:p w:rsidRPr="00C712BA" w:rsidR="003F19CD" w:rsidP="006F1C69" w:rsidRDefault="003F19CD" w14:paraId="28EA3092" w14:textId="77777777">
      <w:pPr>
        <w:rPr>
          <w:bCs/>
        </w:rPr>
      </w:pPr>
    </w:p>
    <w:p w:rsidRPr="00C712BA" w:rsidR="003F19CD" w:rsidP="003F19CD" w:rsidRDefault="006F1C69" w14:paraId="1C4CC5C2" w14:textId="6DE677EA">
      <w:pPr>
        <w:pStyle w:val="SL-FlLftSgl"/>
      </w:pPr>
      <w:r w:rsidRPr="00C712BA">
        <w:rPr>
          <w:bCs/>
        </w:rPr>
        <w:t xml:space="preserve">There will be no direct costs to the </w:t>
      </w:r>
      <w:r w:rsidRPr="00C712BA" w:rsidR="00A87D03">
        <w:rPr>
          <w:bCs/>
        </w:rPr>
        <w:t>respondent</w:t>
      </w:r>
      <w:r w:rsidRPr="00C712BA">
        <w:rPr>
          <w:bCs/>
        </w:rPr>
        <w:t>s other than their time to participate in the data collection.</w:t>
      </w:r>
      <w:r w:rsidRPr="00C712BA" w:rsidR="003F19CD">
        <w:rPr>
          <w:bCs/>
        </w:rPr>
        <w:t xml:space="preserve"> CDC does not anticipate providing </w:t>
      </w:r>
      <w:r w:rsidRPr="00C712BA" w:rsidR="004C6A1D">
        <w:rPr>
          <w:bCs/>
        </w:rPr>
        <w:t xml:space="preserve">capital or </w:t>
      </w:r>
      <w:r w:rsidRPr="00C712BA" w:rsidR="003F19CD">
        <w:rPr>
          <w:bCs/>
        </w:rPr>
        <w:t>start up or other related costs to private entities.</w:t>
      </w:r>
    </w:p>
    <w:p w:rsidRPr="00C712BA" w:rsidR="004C6A1D" w:rsidP="006F1C69" w:rsidRDefault="004C6A1D" w14:paraId="5A9A3776" w14:textId="77777777">
      <w:pPr>
        <w:autoSpaceDE w:val="0"/>
        <w:autoSpaceDN w:val="0"/>
        <w:adjustRightInd w:val="0"/>
        <w:rPr>
          <w:b/>
          <w:bCs/>
        </w:rPr>
      </w:pPr>
    </w:p>
    <w:p w:rsidRPr="00C712BA" w:rsidR="006F1C69" w:rsidP="006F1C69" w:rsidRDefault="006F1C69" w14:paraId="13AEB41C" w14:textId="6CA2CD0F">
      <w:pPr>
        <w:autoSpaceDE w:val="0"/>
        <w:autoSpaceDN w:val="0"/>
        <w:adjustRightInd w:val="0"/>
      </w:pPr>
      <w:r w:rsidRPr="00C712BA">
        <w:rPr>
          <w:b/>
          <w:bCs/>
        </w:rPr>
        <w:t xml:space="preserve">A.14. </w:t>
      </w:r>
      <w:r w:rsidRPr="00C712BA">
        <w:rPr>
          <w:b/>
          <w:bCs/>
        </w:rPr>
        <w:tab/>
        <w:t xml:space="preserve">Annualized Cost to the Government </w:t>
      </w:r>
    </w:p>
    <w:p w:rsidRPr="00C712BA" w:rsidR="006F1C69" w:rsidP="006F1C69" w:rsidRDefault="006F1C69" w14:paraId="3040605A" w14:textId="77777777">
      <w:pPr>
        <w:pStyle w:val="SL-FlLftSgl"/>
      </w:pPr>
    </w:p>
    <w:p w:rsidRPr="00C712BA" w:rsidR="00586B88" w:rsidP="00586B88" w:rsidRDefault="00586B88" w14:paraId="574975E5" w14:textId="547B85FA">
      <w:pPr>
        <w:rPr>
          <w:color w:val="000000"/>
        </w:rPr>
      </w:pPr>
      <w:r w:rsidRPr="00C712BA">
        <w:rPr>
          <w:color w:val="000000"/>
        </w:rPr>
        <w:t>Governmental costs for the</w:t>
      </w:r>
      <w:r w:rsidRPr="00C712BA">
        <w:rPr>
          <w:rStyle w:val="apple-converted-space"/>
          <w:color w:val="000000"/>
        </w:rPr>
        <w:t> ICR</w:t>
      </w:r>
      <w:r w:rsidRPr="00C712BA">
        <w:rPr>
          <w:color w:val="000000"/>
        </w:rPr>
        <w:t xml:space="preserve"> include personnel costs for federal staff overseeing the project,</w:t>
      </w:r>
      <w:r w:rsidRPr="00C712BA" w:rsidR="00BB3AD2">
        <w:rPr>
          <w:color w:val="000000"/>
        </w:rPr>
        <w:t xml:space="preserve"> </w:t>
      </w:r>
      <w:r w:rsidRPr="00C712BA">
        <w:rPr>
          <w:color w:val="000000"/>
        </w:rPr>
        <w:t>data collection instrument and OMB materials development</w:t>
      </w:r>
      <w:r w:rsidRPr="00C712BA">
        <w:t xml:space="preserve">, </w:t>
      </w:r>
      <w:r w:rsidRPr="00C712BA">
        <w:rPr>
          <w:color w:val="000000"/>
        </w:rPr>
        <w:t>and data collection, analysis, and reporting. There are no equipment or overhead costs; however, a contractor is being used to support this effort. The costs for contract labor hours include planning and design, development of study protocols, recruitment</w:t>
      </w:r>
      <w:r w:rsidRPr="00C712BA" w:rsidR="006A7A47">
        <w:rPr>
          <w:color w:val="000000"/>
        </w:rPr>
        <w:t xml:space="preserve"> of respondents</w:t>
      </w:r>
      <w:r w:rsidRPr="00C712BA">
        <w:rPr>
          <w:color w:val="000000"/>
        </w:rPr>
        <w:t xml:space="preserve">, data preparation, data analysis, report writing, </w:t>
      </w:r>
      <w:r w:rsidRPr="00C712BA">
        <w:rPr>
          <w:color w:val="000000"/>
        </w:rPr>
        <w:lastRenderedPageBreak/>
        <w:t xml:space="preserve">and dissemination of findings. </w:t>
      </w:r>
      <w:r w:rsidRPr="00E37724">
        <w:rPr>
          <w:color w:val="000000"/>
        </w:rPr>
        <w:t>The contract amount to plan, conduct, and analyze the data is $</w:t>
      </w:r>
      <w:r w:rsidRPr="00E37724" w:rsidR="00E37724">
        <w:t>636,980</w:t>
      </w:r>
      <w:r w:rsidRPr="00E37724">
        <w:rPr>
          <w:color w:val="000000"/>
        </w:rPr>
        <w:t>. Thus, the total cost to the government for the project is $</w:t>
      </w:r>
      <w:r w:rsidRPr="00E37724" w:rsidR="00E37724">
        <w:rPr>
          <w:color w:val="000000"/>
        </w:rPr>
        <w:t>651,396</w:t>
      </w:r>
      <w:r w:rsidRPr="00C712BA" w:rsidR="00494669">
        <w:rPr>
          <w:color w:val="000000"/>
        </w:rPr>
        <w:t xml:space="preserve"> (see </w:t>
      </w:r>
      <w:r w:rsidRPr="00C712BA">
        <w:rPr>
          <w:b/>
          <w:bCs/>
          <w:color w:val="000000"/>
        </w:rPr>
        <w:t xml:space="preserve">Table </w:t>
      </w:r>
      <w:r w:rsidRPr="00C712BA" w:rsidR="00407A9F">
        <w:rPr>
          <w:b/>
          <w:bCs/>
          <w:color w:val="000000"/>
        </w:rPr>
        <w:t>5</w:t>
      </w:r>
      <w:r w:rsidRPr="00C712BA">
        <w:rPr>
          <w:b/>
          <w:bCs/>
          <w:color w:val="000000"/>
        </w:rPr>
        <w:t>.</w:t>
      </w:r>
      <w:r w:rsidRPr="00C712BA">
        <w:rPr>
          <w:rStyle w:val="apple-converted-space"/>
          <w:color w:val="000000"/>
        </w:rPr>
        <w:t> </w:t>
      </w:r>
      <w:r w:rsidRPr="00C712BA">
        <w:rPr>
          <w:b/>
          <w:bCs/>
          <w:color w:val="000000"/>
        </w:rPr>
        <w:t>Estimated Annualized Cost to the Government</w:t>
      </w:r>
      <w:r w:rsidRPr="00C712BA" w:rsidR="00494669">
        <w:rPr>
          <w:b/>
          <w:bCs/>
          <w:color w:val="000000"/>
        </w:rPr>
        <w:t xml:space="preserve"> </w:t>
      </w:r>
      <w:r w:rsidRPr="00C712BA" w:rsidR="00494669">
        <w:rPr>
          <w:color w:val="000000"/>
        </w:rPr>
        <w:t>for the breakdown of the governmental costs for this ICR)</w:t>
      </w:r>
      <w:r w:rsidRPr="00C712BA">
        <w:rPr>
          <w:color w:val="000000"/>
        </w:rPr>
        <w:t>.</w:t>
      </w:r>
    </w:p>
    <w:p w:rsidRPr="00C712BA" w:rsidR="0081479E" w:rsidP="00586B88" w:rsidRDefault="0081479E" w14:paraId="3E440097" w14:textId="61721685">
      <w:pPr>
        <w:rPr>
          <w:color w:val="000000"/>
        </w:rPr>
      </w:pPr>
    </w:p>
    <w:p w:rsidR="00407A9F" w:rsidP="00586B88" w:rsidRDefault="00407A9F" w14:paraId="2588D561" w14:textId="4B308548">
      <w:pPr>
        <w:rPr>
          <w:i/>
          <w:iCs/>
          <w:color w:val="000000"/>
        </w:rPr>
      </w:pPr>
      <w:r w:rsidRPr="00C712BA">
        <w:rPr>
          <w:b/>
          <w:bCs/>
          <w:color w:val="000000"/>
        </w:rPr>
        <w:t>Table 5.</w:t>
      </w:r>
      <w:r w:rsidRPr="00C712BA">
        <w:rPr>
          <w:rStyle w:val="apple-converted-space"/>
          <w:color w:val="000000"/>
        </w:rPr>
        <w:t> </w:t>
      </w:r>
      <w:r w:rsidRPr="00C712BA">
        <w:rPr>
          <w:b/>
          <w:bCs/>
          <w:color w:val="000000"/>
        </w:rPr>
        <w:t>Estimated Annualized Cost to the Government</w:t>
      </w:r>
    </w:p>
    <w:tbl>
      <w:tblPr>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807"/>
        <w:gridCol w:w="1643"/>
      </w:tblGrid>
      <w:tr w:rsidRPr="00691454" w:rsidR="002E18F0" w:rsidTr="006415BF" w14:paraId="2A00C131" w14:textId="77777777">
        <w:trPr>
          <w:trHeight w:val="288"/>
        </w:trPr>
        <w:tc>
          <w:tcPr>
            <w:tcW w:w="7807" w:type="dxa"/>
            <w:shd w:val="clear" w:color="auto" w:fill="EEECE1" w:themeFill="background2"/>
            <w:vAlign w:val="center"/>
          </w:tcPr>
          <w:p w:rsidRPr="00691454" w:rsidR="0081479E" w:rsidP="00472E33" w:rsidRDefault="0081479E" w14:paraId="1FE780C3" w14:textId="5C933BAE">
            <w:r>
              <w:t>Labor</w:t>
            </w:r>
          </w:p>
        </w:tc>
        <w:tc>
          <w:tcPr>
            <w:tcW w:w="1643" w:type="dxa"/>
            <w:shd w:val="clear" w:color="auto" w:fill="EEECE1" w:themeFill="background2"/>
          </w:tcPr>
          <w:p w:rsidRPr="00691454" w:rsidR="0081479E" w:rsidP="00472E33" w:rsidRDefault="00740374" w14:paraId="0F437589" w14:textId="1A563FB8">
            <w:r>
              <w:t>Cost</w:t>
            </w:r>
          </w:p>
        </w:tc>
      </w:tr>
      <w:tr w:rsidRPr="007B2DFB" w:rsidR="00D828EE" w:rsidTr="006415BF" w14:paraId="20948BD0" w14:textId="77777777">
        <w:trPr>
          <w:trHeight w:val="386"/>
        </w:trPr>
        <w:tc>
          <w:tcPr>
            <w:tcW w:w="7807" w:type="dxa"/>
          </w:tcPr>
          <w:p w:rsidR="0081479E" w:rsidP="00472E33" w:rsidRDefault="0081479E" w14:paraId="63F763D6" w14:textId="77777777">
            <w:pPr>
              <w:rPr>
                <w:color w:val="000000"/>
              </w:rPr>
            </w:pPr>
            <w:r w:rsidRPr="007B2DFB">
              <w:t>CDC</w:t>
            </w:r>
            <w:r>
              <w:t xml:space="preserve"> </w:t>
            </w:r>
            <w:r w:rsidRPr="003507BC">
              <w:rPr>
                <w:color w:val="000000"/>
              </w:rPr>
              <w:t>personnel for project oversight (1</w:t>
            </w:r>
            <w:r w:rsidRPr="003507BC">
              <w:t>5</w:t>
            </w:r>
            <w:r w:rsidRPr="003507BC">
              <w:rPr>
                <w:color w:val="000000"/>
              </w:rPr>
              <w:t>% GS-13 scientist)</w:t>
            </w:r>
          </w:p>
          <w:p w:rsidRPr="007B2DFB" w:rsidR="0081479E" w:rsidP="00472E33" w:rsidRDefault="0081479E" w14:paraId="7A004605" w14:textId="144631F6"/>
        </w:tc>
        <w:tc>
          <w:tcPr>
            <w:tcW w:w="1643" w:type="dxa"/>
          </w:tcPr>
          <w:p w:rsidRPr="007B2DFB" w:rsidR="0081479E" w:rsidP="00472E33" w:rsidRDefault="0081479E" w14:paraId="54C108EA" w14:textId="3E985A02">
            <w:pPr>
              <w:contextualSpacing/>
            </w:pPr>
            <w:r w:rsidRPr="003507BC">
              <w:t>$14,417</w:t>
            </w:r>
          </w:p>
          <w:p w:rsidRPr="007B2DFB" w:rsidR="0081479E" w:rsidP="00472E33" w:rsidRDefault="0081479E" w14:paraId="0C7FDED7" w14:textId="77777777"/>
        </w:tc>
      </w:tr>
      <w:tr w:rsidRPr="007B2DFB" w:rsidR="00D828EE" w:rsidTr="006415BF" w14:paraId="76F15500" w14:textId="77777777">
        <w:trPr>
          <w:trHeight w:val="864"/>
        </w:trPr>
        <w:tc>
          <w:tcPr>
            <w:tcW w:w="7807" w:type="dxa"/>
          </w:tcPr>
          <w:p w:rsidRPr="00586B88" w:rsidR="0081479E" w:rsidP="0081479E" w:rsidRDefault="0081479E" w14:paraId="13498A8B" w14:textId="5E552B6A">
            <w:pPr>
              <w:pStyle w:val="default0"/>
              <w:spacing w:before="0" w:beforeAutospacing="0" w:after="0" w:afterAutospacing="0" w:line="252" w:lineRule="atLeast"/>
              <w:rPr>
                <w:color w:val="000000"/>
              </w:rPr>
            </w:pPr>
            <w:r w:rsidRPr="003507BC">
              <w:rPr>
                <w:color w:val="000000"/>
              </w:rPr>
              <w:t>Contract labor for planning and design, development of study protocols, recruitment</w:t>
            </w:r>
            <w:r w:rsidR="006A7A47">
              <w:rPr>
                <w:color w:val="000000"/>
              </w:rPr>
              <w:t xml:space="preserve"> of respondents</w:t>
            </w:r>
            <w:r w:rsidRPr="003507BC">
              <w:rPr>
                <w:color w:val="000000"/>
              </w:rPr>
              <w:t>, data collection, data preparation, data analysis, report writing, and dissemination of findings</w:t>
            </w:r>
            <w:r w:rsidRPr="003507BC">
              <w:rPr>
                <w:rStyle w:val="apple-converted-space"/>
                <w:color w:val="000000"/>
              </w:rPr>
              <w:t> </w:t>
            </w:r>
          </w:p>
          <w:p w:rsidRPr="007B2DFB" w:rsidR="0081479E" w:rsidP="00472E33" w:rsidRDefault="0081479E" w14:paraId="7DC47CC1" w14:textId="77E11768"/>
        </w:tc>
        <w:tc>
          <w:tcPr>
            <w:tcW w:w="1643" w:type="dxa"/>
          </w:tcPr>
          <w:p w:rsidRPr="007B2DFB" w:rsidR="0081479E" w:rsidP="00472E33" w:rsidRDefault="0081479E" w14:paraId="75F30247" w14:textId="21CF9932">
            <w:pPr>
              <w:pStyle w:val="NoSpacing"/>
              <w:contextualSpacing/>
              <w:rPr>
                <w:rFonts w:ascii="Times New Roman" w:hAnsi="Times New Roman" w:cs="Times New Roman"/>
                <w:sz w:val="24"/>
                <w:szCs w:val="24"/>
              </w:rPr>
            </w:pPr>
            <w:r w:rsidRPr="003507BC">
              <w:rPr>
                <w:rFonts w:ascii="Times New Roman" w:hAnsi="Times New Roman" w:cs="Times New Roman"/>
                <w:sz w:val="24"/>
                <w:szCs w:val="24"/>
              </w:rPr>
              <w:t>$</w:t>
            </w:r>
            <w:r w:rsidRPr="00961F35" w:rsidR="00961F35">
              <w:rPr>
                <w:rFonts w:ascii="Times New Roman" w:hAnsi="Times New Roman" w:cs="Times New Roman"/>
                <w:sz w:val="24"/>
                <w:szCs w:val="24"/>
              </w:rPr>
              <w:t>636,980</w:t>
            </w:r>
          </w:p>
          <w:p w:rsidRPr="007B2DFB" w:rsidR="0081479E" w:rsidP="00472E33" w:rsidRDefault="0081479E" w14:paraId="06AB5BE7" w14:textId="77777777">
            <w:pPr>
              <w:pStyle w:val="NoSpacing"/>
              <w:contextualSpacing/>
            </w:pPr>
          </w:p>
        </w:tc>
      </w:tr>
      <w:tr w:rsidRPr="007B2DFB" w:rsidR="00D828EE" w:rsidTr="006415BF" w14:paraId="71234535" w14:textId="77777777">
        <w:trPr>
          <w:trHeight w:val="422"/>
        </w:trPr>
        <w:tc>
          <w:tcPr>
            <w:tcW w:w="7807" w:type="dxa"/>
          </w:tcPr>
          <w:p w:rsidRPr="007B2DFB" w:rsidR="0081479E" w:rsidP="0081479E" w:rsidRDefault="0081479E" w14:paraId="580FEDF1" w14:textId="3B19FC95">
            <w:r w:rsidRPr="003507BC">
              <w:rPr>
                <w:color w:val="000000"/>
              </w:rPr>
              <w:t>Total estimated government costs</w:t>
            </w:r>
            <w:r w:rsidRPr="003507BC">
              <w:t> </w:t>
            </w:r>
          </w:p>
        </w:tc>
        <w:tc>
          <w:tcPr>
            <w:tcW w:w="1643" w:type="dxa"/>
          </w:tcPr>
          <w:p w:rsidRPr="007B2DFB" w:rsidR="0081479E" w:rsidP="0081479E" w:rsidRDefault="0081479E" w14:paraId="7D5997D8" w14:textId="3434D0AE">
            <w:r w:rsidRPr="003507BC">
              <w:t>$</w:t>
            </w:r>
            <w:r w:rsidRPr="00E01316" w:rsidR="00E01316">
              <w:t>651,396</w:t>
            </w:r>
          </w:p>
        </w:tc>
      </w:tr>
    </w:tbl>
    <w:p w:rsidR="006F1C69" w:rsidP="00972DEF" w:rsidRDefault="006F1C69" w14:paraId="30BD2FCB" w14:textId="7E65C99B">
      <w:pPr>
        <w:autoSpaceDE w:val="0"/>
        <w:autoSpaceDN w:val="0"/>
        <w:adjustRightInd w:val="0"/>
        <w:rPr>
          <w:i/>
          <w:iCs/>
        </w:rPr>
      </w:pPr>
    </w:p>
    <w:p w:rsidRPr="00691454" w:rsidR="00972DEF" w:rsidP="00972DEF" w:rsidRDefault="00972DEF" w14:paraId="256D8E1D" w14:textId="77777777">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C55DD2" w:rsidP="00972DEF" w:rsidRDefault="00C55DD2" w14:paraId="256D8E1E" w14:textId="1AF50E15">
      <w:pPr>
        <w:autoSpaceDE w:val="0"/>
        <w:autoSpaceDN w:val="0"/>
        <w:adjustRightInd w:val="0"/>
        <w:rPr>
          <w:b/>
          <w:bCs/>
        </w:rPr>
      </w:pPr>
    </w:p>
    <w:p w:rsidRPr="00C712BA" w:rsidR="0095126E" w:rsidP="00972DEF" w:rsidRDefault="003F19CD" w14:paraId="462A08E1" w14:textId="74ACAF3A">
      <w:pPr>
        <w:autoSpaceDE w:val="0"/>
        <w:autoSpaceDN w:val="0"/>
        <w:adjustRightInd w:val="0"/>
      </w:pPr>
      <w:r w:rsidRPr="00C712BA">
        <w:t>Th</w:t>
      </w:r>
      <w:r w:rsidRPr="00C712BA" w:rsidR="007C3774">
        <w:t>is is a new information collection</w:t>
      </w:r>
      <w:r w:rsidRPr="00C712BA">
        <w:t>.</w:t>
      </w:r>
    </w:p>
    <w:p w:rsidRPr="00691454" w:rsidR="0095126E" w:rsidP="00972DEF" w:rsidRDefault="0095126E" w14:paraId="7D0B8275" w14:textId="77777777">
      <w:pPr>
        <w:autoSpaceDE w:val="0"/>
        <w:autoSpaceDN w:val="0"/>
        <w:adjustRightInd w:val="0"/>
        <w:rPr>
          <w:b/>
          <w:bCs/>
        </w:rPr>
      </w:pPr>
    </w:p>
    <w:p w:rsidRPr="00691454" w:rsidR="00972DEF" w:rsidP="00972DEF" w:rsidRDefault="00972DEF" w14:paraId="256D8E1F" w14:textId="77777777">
      <w:pPr>
        <w:autoSpaceDE w:val="0"/>
        <w:autoSpaceDN w:val="0"/>
        <w:adjustRightInd w:val="0"/>
      </w:pPr>
      <w:r w:rsidRPr="00691454">
        <w:rPr>
          <w:b/>
          <w:bCs/>
        </w:rPr>
        <w:t>A.16. Plans for Tabulation</w:t>
      </w:r>
      <w:r w:rsidRPr="00691454" w:rsidR="00203955">
        <w:rPr>
          <w:b/>
          <w:bCs/>
        </w:rPr>
        <w:t xml:space="preserve"> and </w:t>
      </w:r>
      <w:r w:rsidRPr="00691454">
        <w:rPr>
          <w:b/>
          <w:bCs/>
        </w:rPr>
        <w:t>Publication, and Project Time Schedule</w:t>
      </w:r>
      <w:r w:rsidRPr="00691454">
        <w:t xml:space="preserve"> </w:t>
      </w:r>
    </w:p>
    <w:p w:rsidR="00760067" w:rsidP="00972DEF" w:rsidRDefault="00760067" w14:paraId="256D8E20" w14:textId="4BCA1D1F">
      <w:pPr>
        <w:autoSpaceDE w:val="0"/>
        <w:autoSpaceDN w:val="0"/>
        <w:adjustRightInd w:val="0"/>
        <w:rPr>
          <w:bCs/>
        </w:rPr>
      </w:pPr>
    </w:p>
    <w:p w:rsidR="00357097" w:rsidP="00AA29EA" w:rsidRDefault="00B2261D" w14:paraId="539EAEB2" w14:textId="77777777">
      <w:pPr>
        <w:pStyle w:val="SL-FlLftSgl"/>
        <w:rPr>
          <w:bCs/>
        </w:rPr>
      </w:pPr>
      <w:r w:rsidRPr="00C712BA">
        <w:rPr>
          <w:bCs/>
        </w:rPr>
        <w:t xml:space="preserve">The schedule for data collection, analysis, and reporting is shown in </w:t>
      </w:r>
      <w:r w:rsidRPr="00C712BA">
        <w:rPr>
          <w:b/>
        </w:rPr>
        <w:t>Table</w:t>
      </w:r>
      <w:r w:rsidRPr="00C712BA" w:rsidR="006E7B71">
        <w:rPr>
          <w:b/>
        </w:rPr>
        <w:t xml:space="preserve"> </w:t>
      </w:r>
      <w:r w:rsidRPr="00C712BA" w:rsidR="00407A9F">
        <w:rPr>
          <w:b/>
        </w:rPr>
        <w:t>6</w:t>
      </w:r>
      <w:r w:rsidRPr="00C712BA" w:rsidR="00602E15">
        <w:rPr>
          <w:b/>
        </w:rPr>
        <w:t>.</w:t>
      </w:r>
      <w:r w:rsidRPr="00C712BA" w:rsidR="00AA29EA">
        <w:rPr>
          <w:b/>
        </w:rPr>
        <w:t xml:space="preserve"> </w:t>
      </w:r>
      <w:r w:rsidRPr="00C712BA" w:rsidR="00FC54FC">
        <w:rPr>
          <w:b/>
        </w:rPr>
        <w:t xml:space="preserve">Project Time </w:t>
      </w:r>
      <w:r w:rsidRPr="00C712BA" w:rsidR="00407A9F">
        <w:rPr>
          <w:b/>
        </w:rPr>
        <w:t>Schedule</w:t>
      </w:r>
      <w:r w:rsidRPr="00C712BA">
        <w:rPr>
          <w:bCs/>
        </w:rPr>
        <w:t xml:space="preserve">. </w:t>
      </w:r>
    </w:p>
    <w:p w:rsidR="00357097" w:rsidP="00AA29EA" w:rsidRDefault="00357097" w14:paraId="7613568B" w14:textId="77777777">
      <w:pPr>
        <w:pStyle w:val="SL-FlLftSgl"/>
        <w:rPr>
          <w:bCs/>
        </w:rPr>
      </w:pPr>
    </w:p>
    <w:p w:rsidRPr="00C712BA" w:rsidR="003176CD" w:rsidP="00AA29EA" w:rsidRDefault="00B2261D" w14:paraId="1DB5C1B4" w14:textId="2ED8CBAC">
      <w:pPr>
        <w:pStyle w:val="SL-FlLftSgl"/>
        <w:rPr>
          <w:b/>
          <w:bCs/>
        </w:rPr>
      </w:pPr>
      <w:r w:rsidRPr="00C712BA">
        <w:rPr>
          <w:bCs/>
        </w:rPr>
        <w:t>Data will be stored in password-protected files</w:t>
      </w:r>
      <w:r w:rsidRPr="00C712BA" w:rsidR="00B75017">
        <w:rPr>
          <w:bCs/>
        </w:rPr>
        <w:t xml:space="preserve"> on a secure server</w:t>
      </w:r>
      <w:r w:rsidRPr="00C712BA">
        <w:rPr>
          <w:bCs/>
        </w:rPr>
        <w:t xml:space="preserve">. </w:t>
      </w:r>
      <w:r w:rsidRPr="00C712BA" w:rsidR="006A7A47">
        <w:rPr>
          <w:bCs/>
        </w:rPr>
        <w:t xml:space="preserve">The research team </w:t>
      </w:r>
      <w:r w:rsidRPr="00C712BA" w:rsidR="00B84840">
        <w:rPr>
          <w:bCs/>
        </w:rPr>
        <w:t xml:space="preserve">will utilize qualitative analysis software to organize and code the focus group/interview </w:t>
      </w:r>
      <w:r w:rsidRPr="00C712BA" w:rsidR="00D315A5">
        <w:rPr>
          <w:bCs/>
        </w:rPr>
        <w:t>transcripts</w:t>
      </w:r>
      <w:r w:rsidRPr="00C712BA" w:rsidR="00B84840">
        <w:rPr>
          <w:bCs/>
        </w:rPr>
        <w:t>. A preliminary list of codes along with a short codebook that describes the definition, inclusion and exclusion criteria, examples of code application, and source of each code.</w:t>
      </w:r>
      <w:r w:rsidRPr="00C712BA" w:rsidR="006A7A47">
        <w:rPr>
          <w:bCs/>
        </w:rPr>
        <w:t xml:space="preserve"> The research team</w:t>
      </w:r>
      <w:r w:rsidRPr="00C712BA" w:rsidR="00B84840">
        <w:rPr>
          <w:bCs/>
        </w:rPr>
        <w:t xml:space="preserve"> will code a small subset of the qualitative data to identify emergent key themes and then refine and update the codebook to include any new codes.</w:t>
      </w:r>
      <w:r w:rsidRPr="00C712BA" w:rsidR="00D315A5">
        <w:rPr>
          <w:bCs/>
        </w:rPr>
        <w:t xml:space="preserve"> </w:t>
      </w:r>
      <w:r w:rsidRPr="00C712BA" w:rsidR="006A7A47">
        <w:rPr>
          <w:bCs/>
        </w:rPr>
        <w:t>The r</w:t>
      </w:r>
      <w:r w:rsidRPr="00C712BA" w:rsidR="00B84840">
        <w:rPr>
          <w:bCs/>
        </w:rPr>
        <w:t xml:space="preserve">esearch </w:t>
      </w:r>
      <w:r w:rsidRPr="00C712BA" w:rsidR="006A7A47">
        <w:rPr>
          <w:bCs/>
        </w:rPr>
        <w:t>team</w:t>
      </w:r>
      <w:r w:rsidRPr="00C712BA" w:rsidR="00B84840">
        <w:rPr>
          <w:bCs/>
        </w:rPr>
        <w:t xml:space="preserve"> will analyze the qualitative data to identify patterns and themes related to the aims of the research and summarize findings and analyze qualitative data from the survey using descriptive statistics. </w:t>
      </w:r>
      <w:r w:rsidRPr="00C712BA" w:rsidR="006A7A47">
        <w:rPr>
          <w:bCs/>
        </w:rPr>
        <w:t xml:space="preserve">The research team </w:t>
      </w:r>
      <w:r w:rsidRPr="00C712BA" w:rsidR="00B84840">
        <w:rPr>
          <w:bCs/>
        </w:rPr>
        <w:t>may draw comparisons based on</w:t>
      </w:r>
      <w:r w:rsidRPr="00C712BA" w:rsidR="00FC54FC">
        <w:rPr>
          <w:bCs/>
        </w:rPr>
        <w:t xml:space="preserve"> respondent</w:t>
      </w:r>
      <w:r w:rsidRPr="00C712BA" w:rsidR="003176CD">
        <w:rPr>
          <w:bCs/>
        </w:rPr>
        <w:t xml:space="preserve"> </w:t>
      </w:r>
      <w:r w:rsidRPr="00C712BA" w:rsidR="00B84840">
        <w:rPr>
          <w:bCs/>
        </w:rPr>
        <w:t xml:space="preserve">group (e.g., Tribal </w:t>
      </w:r>
      <w:r w:rsidR="00357097">
        <w:rPr>
          <w:bCs/>
        </w:rPr>
        <w:t>L</w:t>
      </w:r>
      <w:r w:rsidRPr="00C712BA" w:rsidR="00B84840">
        <w:rPr>
          <w:bCs/>
        </w:rPr>
        <w:t xml:space="preserve">eaders) and/or </w:t>
      </w:r>
      <w:r w:rsidRPr="00C712BA" w:rsidR="009A171D">
        <w:rPr>
          <w:bCs/>
        </w:rPr>
        <w:t>Tribal</w:t>
      </w:r>
      <w:r w:rsidRPr="00C712BA" w:rsidR="00B84840">
        <w:rPr>
          <w:bCs/>
        </w:rPr>
        <w:t xml:space="preserve"> community (e.g., rural</w:t>
      </w:r>
      <w:r w:rsidR="00357097">
        <w:rPr>
          <w:bCs/>
        </w:rPr>
        <w:t>/reservation</w:t>
      </w:r>
      <w:r w:rsidRPr="00C712BA" w:rsidR="00B84840">
        <w:rPr>
          <w:bCs/>
        </w:rPr>
        <w:t xml:space="preserve">). </w:t>
      </w:r>
      <w:r w:rsidRPr="00C712BA" w:rsidR="006A7A47">
        <w:rPr>
          <w:bCs/>
        </w:rPr>
        <w:t>The r</w:t>
      </w:r>
      <w:r w:rsidRPr="00C712BA" w:rsidR="00B84840">
        <w:rPr>
          <w:bCs/>
        </w:rPr>
        <w:t xml:space="preserve">esearch </w:t>
      </w:r>
      <w:r w:rsidRPr="00C712BA" w:rsidR="006A7A47">
        <w:rPr>
          <w:bCs/>
        </w:rPr>
        <w:t>team</w:t>
      </w:r>
      <w:r w:rsidRPr="00C712BA" w:rsidR="00B84840">
        <w:rPr>
          <w:bCs/>
        </w:rPr>
        <w:t xml:space="preserve"> will prepare site-specific summaries using standardized </w:t>
      </w:r>
      <w:bookmarkStart w:name="_Hlk68109677" w:id="22"/>
      <w:r w:rsidRPr="00C712BA" w:rsidR="00B84840">
        <w:rPr>
          <w:bCs/>
        </w:rPr>
        <w:t>templates</w:t>
      </w:r>
      <w:r w:rsidR="00585685">
        <w:rPr>
          <w:bCs/>
        </w:rPr>
        <w:t xml:space="preserve"> with</w:t>
      </w:r>
      <w:r w:rsidR="00357097">
        <w:rPr>
          <w:bCs/>
        </w:rPr>
        <w:t xml:space="preserve"> possible</w:t>
      </w:r>
      <w:r w:rsidR="00585685">
        <w:rPr>
          <w:bCs/>
        </w:rPr>
        <w:t xml:space="preserve"> adaptations based on site preferences</w:t>
      </w:r>
      <w:r w:rsidRPr="00C712BA" w:rsidR="00B84840">
        <w:rPr>
          <w:bCs/>
        </w:rPr>
        <w:t xml:space="preserve"> </w:t>
      </w:r>
      <w:bookmarkEnd w:id="22"/>
      <w:r w:rsidRPr="00C712BA" w:rsidR="00B84840">
        <w:rPr>
          <w:bCs/>
        </w:rPr>
        <w:t xml:space="preserve">to document key findings. </w:t>
      </w:r>
      <w:r w:rsidRPr="00C712BA" w:rsidR="003176CD">
        <w:rPr>
          <w:bCs/>
        </w:rPr>
        <w:t>All data will be reported in aggregate</w:t>
      </w:r>
      <w:r w:rsidRPr="00C712BA" w:rsidR="00D315A5">
        <w:rPr>
          <w:bCs/>
        </w:rPr>
        <w:t xml:space="preserve"> form</w:t>
      </w:r>
      <w:r w:rsidRPr="00C712BA" w:rsidR="003176CD">
        <w:rPr>
          <w:bCs/>
        </w:rPr>
        <w:t>. Study r</w:t>
      </w:r>
      <w:r w:rsidRPr="00C712BA">
        <w:rPr>
          <w:bCs/>
        </w:rPr>
        <w:t xml:space="preserve">esults will be </w:t>
      </w:r>
      <w:r w:rsidRPr="00C712BA" w:rsidR="003176CD">
        <w:rPr>
          <w:bCs/>
        </w:rPr>
        <w:t xml:space="preserve">shared with the </w:t>
      </w:r>
      <w:r w:rsidRPr="00C712BA" w:rsidR="00B84840">
        <w:rPr>
          <w:bCs/>
        </w:rPr>
        <w:t>Tribal communities and other federal agencies</w:t>
      </w:r>
      <w:r w:rsidRPr="00C712BA" w:rsidR="003176CD">
        <w:rPr>
          <w:bCs/>
        </w:rPr>
        <w:t>. Dissemination could include manuscript(s) in peer-reviewed journals, conference presentations, briefs, webinars, and other written products.</w:t>
      </w:r>
    </w:p>
    <w:p w:rsidRPr="00C712BA" w:rsidR="00B84840" w:rsidP="00972DEF" w:rsidRDefault="00B84840" w14:paraId="6EF76ABA" w14:textId="77777777">
      <w:pPr>
        <w:autoSpaceDE w:val="0"/>
        <w:autoSpaceDN w:val="0"/>
        <w:adjustRightInd w:val="0"/>
        <w:rPr>
          <w:bCs/>
        </w:rPr>
      </w:pPr>
    </w:p>
    <w:p w:rsidRPr="00C712BA" w:rsidR="00FF7A5D" w:rsidP="00407A9F" w:rsidRDefault="00407A9F" w14:paraId="65FF4402" w14:textId="277EEC00">
      <w:pPr>
        <w:pStyle w:val="SL-FlLftSgl"/>
        <w:rPr>
          <w:b/>
          <w:bCs/>
        </w:rPr>
      </w:pPr>
      <w:r w:rsidRPr="00C712BA">
        <w:rPr>
          <w:b/>
          <w:bCs/>
        </w:rPr>
        <w:t xml:space="preserve">Table 6. </w:t>
      </w:r>
      <w:r w:rsidRPr="00C712BA" w:rsidR="00FC54FC">
        <w:rPr>
          <w:b/>
          <w:bCs/>
        </w:rPr>
        <w:t xml:space="preserve">Project Time </w:t>
      </w:r>
      <w:r w:rsidRPr="00C712BA">
        <w:rPr>
          <w:b/>
          <w:bCs/>
        </w:rPr>
        <w:t>Schedule</w:t>
      </w:r>
    </w:p>
    <w:tbl>
      <w:tblPr>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267"/>
        <w:gridCol w:w="2183"/>
      </w:tblGrid>
      <w:tr w:rsidRPr="00691454" w:rsidR="002E18F0" w:rsidTr="77E8EEB1" w14:paraId="353120FF" w14:textId="77777777">
        <w:trPr>
          <w:trHeight w:val="288"/>
        </w:trPr>
        <w:tc>
          <w:tcPr>
            <w:tcW w:w="7267" w:type="dxa"/>
            <w:shd w:val="clear" w:color="auto" w:fill="EEECE1" w:themeFill="background2"/>
            <w:vAlign w:val="center"/>
          </w:tcPr>
          <w:p w:rsidRPr="003507BC" w:rsidR="00407A9F" w:rsidP="00472E33" w:rsidRDefault="00407A9F" w14:paraId="33CA02CC" w14:textId="69E7045E">
            <w:pPr>
              <w:rPr>
                <w:b/>
                <w:bCs/>
              </w:rPr>
            </w:pPr>
            <w:r w:rsidRPr="003507BC">
              <w:rPr>
                <w:b/>
                <w:bCs/>
              </w:rPr>
              <w:t>Activity</w:t>
            </w:r>
          </w:p>
        </w:tc>
        <w:tc>
          <w:tcPr>
            <w:tcW w:w="2183" w:type="dxa"/>
            <w:shd w:val="clear" w:color="auto" w:fill="EEECE1" w:themeFill="background2"/>
          </w:tcPr>
          <w:p w:rsidRPr="003507BC" w:rsidR="00407A9F" w:rsidP="00472E33" w:rsidRDefault="00407A9F" w14:paraId="67DA1A55" w14:textId="53FC3840">
            <w:pPr>
              <w:rPr>
                <w:b/>
                <w:bCs/>
              </w:rPr>
            </w:pPr>
            <w:r w:rsidRPr="003507BC">
              <w:rPr>
                <w:b/>
                <w:bCs/>
              </w:rPr>
              <w:t>Timeline</w:t>
            </w:r>
            <w:r w:rsidR="00103EBC">
              <w:rPr>
                <w:b/>
                <w:bCs/>
              </w:rPr>
              <w:t xml:space="preserve"> from Contract Award</w:t>
            </w:r>
          </w:p>
        </w:tc>
      </w:tr>
      <w:tr w:rsidRPr="007B2DFB" w:rsidR="00D828EE" w:rsidTr="00287BC4" w14:paraId="72C8CFF4" w14:textId="77777777">
        <w:trPr>
          <w:trHeight w:val="1124"/>
        </w:trPr>
        <w:tc>
          <w:tcPr>
            <w:tcW w:w="7267" w:type="dxa"/>
          </w:tcPr>
          <w:p w:rsidRPr="00586B88" w:rsidR="00B52BAE" w:rsidP="00B52BAE" w:rsidRDefault="00B52BAE" w14:paraId="17A6637F" w14:textId="017EAB4E">
            <w:pPr>
              <w:pStyle w:val="default0"/>
              <w:spacing w:before="0" w:beforeAutospacing="0" w:after="0" w:afterAutospacing="0" w:line="252" w:lineRule="atLeast"/>
              <w:rPr>
                <w:color w:val="000000"/>
              </w:rPr>
            </w:pPr>
            <w:r w:rsidRPr="00634C79">
              <w:t>Conduct Focus Group and/or Interviews</w:t>
            </w:r>
          </w:p>
        </w:tc>
        <w:tc>
          <w:tcPr>
            <w:tcW w:w="2183" w:type="dxa"/>
          </w:tcPr>
          <w:p w:rsidR="00B52BAE" w:rsidP="00B52BAE" w:rsidRDefault="00B52BAE" w14:paraId="71858100" w14:textId="371B218A">
            <w:r>
              <w:t xml:space="preserve">Within </w:t>
            </w:r>
            <w:r w:rsidR="00BD404C">
              <w:t xml:space="preserve">1 – </w:t>
            </w:r>
            <w:r w:rsidR="00287BC4">
              <w:t>24</w:t>
            </w:r>
            <w:r w:rsidR="00BD404C">
              <w:t xml:space="preserve">months of </w:t>
            </w:r>
            <w:r w:rsidR="00740374">
              <w:t>OMB approval</w:t>
            </w:r>
          </w:p>
          <w:p w:rsidRPr="007B2DFB" w:rsidR="00287BC4" w:rsidP="00B52BAE" w:rsidRDefault="00287BC4" w14:paraId="6543BD7A" w14:textId="0B8E6A02"/>
        </w:tc>
      </w:tr>
      <w:tr w:rsidRPr="007B2DFB" w:rsidR="00D828EE" w:rsidTr="77E8EEB1" w14:paraId="4003FC71" w14:textId="77777777">
        <w:trPr>
          <w:trHeight w:val="864"/>
        </w:trPr>
        <w:tc>
          <w:tcPr>
            <w:tcW w:w="7267" w:type="dxa"/>
          </w:tcPr>
          <w:p w:rsidRPr="00586B88" w:rsidR="00B52BAE" w:rsidP="00B52BAE" w:rsidRDefault="00B52BAE" w14:paraId="20B8A593" w14:textId="737E7AF1">
            <w:pPr>
              <w:pStyle w:val="default0"/>
              <w:spacing w:before="0" w:beforeAutospacing="0" w:after="0" w:afterAutospacing="0" w:line="252" w:lineRule="atLeast"/>
              <w:rPr>
                <w:color w:val="000000"/>
              </w:rPr>
            </w:pPr>
            <w:r w:rsidRPr="00634C79">
              <w:lastRenderedPageBreak/>
              <w:t>Focus Groups or Interview Summary Reports, Related Notes, Audio Recordings, and Debrief Documents</w:t>
            </w:r>
          </w:p>
        </w:tc>
        <w:tc>
          <w:tcPr>
            <w:tcW w:w="2183" w:type="dxa"/>
          </w:tcPr>
          <w:p w:rsidRPr="007B2DFB" w:rsidR="00B52BAE" w:rsidP="00B52BAE" w:rsidRDefault="00B52BAE" w14:paraId="66B4C55A" w14:textId="52D3ECDC">
            <w:r w:rsidRPr="00634C79">
              <w:t>Within 18 months</w:t>
            </w:r>
            <w:r w:rsidR="00740374">
              <w:t xml:space="preserve"> of OMB approval</w:t>
            </w:r>
          </w:p>
        </w:tc>
      </w:tr>
      <w:tr w:rsidRPr="007B2DFB" w:rsidR="00D828EE" w:rsidTr="77E8EEB1" w14:paraId="75CD12AE" w14:textId="77777777">
        <w:trPr>
          <w:trHeight w:val="864"/>
        </w:trPr>
        <w:tc>
          <w:tcPr>
            <w:tcW w:w="7267" w:type="dxa"/>
          </w:tcPr>
          <w:p w:rsidRPr="00586B88" w:rsidR="00B52BAE" w:rsidP="00B52BAE" w:rsidRDefault="00B52BAE" w14:paraId="17E6D866" w14:textId="563F64D0">
            <w:pPr>
              <w:pStyle w:val="default0"/>
              <w:spacing w:before="0" w:beforeAutospacing="0" w:after="0" w:afterAutospacing="0" w:line="252" w:lineRule="atLeast"/>
              <w:rPr>
                <w:color w:val="000000"/>
              </w:rPr>
            </w:pPr>
            <w:r w:rsidRPr="00634C79">
              <w:t>Codebook and Themes</w:t>
            </w:r>
          </w:p>
        </w:tc>
        <w:tc>
          <w:tcPr>
            <w:tcW w:w="2183" w:type="dxa"/>
          </w:tcPr>
          <w:p w:rsidRPr="007B2DFB" w:rsidR="00B52BAE" w:rsidP="00B52BAE" w:rsidRDefault="00B52BAE" w14:paraId="0E087715" w14:textId="22C5F642">
            <w:r w:rsidRPr="00634C79">
              <w:t>Within 18 months</w:t>
            </w:r>
            <w:r w:rsidR="00740374">
              <w:t xml:space="preserve"> of OMB approval</w:t>
            </w:r>
          </w:p>
        </w:tc>
      </w:tr>
      <w:tr w:rsidRPr="007B2DFB" w:rsidR="00D828EE" w:rsidTr="77E8EEB1" w14:paraId="593E5995" w14:textId="77777777">
        <w:trPr>
          <w:trHeight w:val="864"/>
        </w:trPr>
        <w:tc>
          <w:tcPr>
            <w:tcW w:w="7267" w:type="dxa"/>
          </w:tcPr>
          <w:p w:rsidRPr="00586B88" w:rsidR="00B52BAE" w:rsidP="00B52BAE" w:rsidRDefault="00B52BAE" w14:paraId="2D275B05" w14:textId="26B8F054">
            <w:pPr>
              <w:pStyle w:val="default0"/>
              <w:spacing w:before="0" w:beforeAutospacing="0" w:after="0" w:afterAutospacing="0" w:line="252" w:lineRule="atLeast"/>
              <w:rPr>
                <w:color w:val="000000"/>
              </w:rPr>
            </w:pPr>
            <w:r w:rsidRPr="00634C79">
              <w:t>Methodology, Data Analyses, Summary Reliability Analysis, and Results Sections</w:t>
            </w:r>
          </w:p>
        </w:tc>
        <w:tc>
          <w:tcPr>
            <w:tcW w:w="2183" w:type="dxa"/>
          </w:tcPr>
          <w:p w:rsidRPr="007B2DFB" w:rsidR="00B52BAE" w:rsidP="00B52BAE" w:rsidRDefault="00B52BAE" w14:paraId="59DB9DB7" w14:textId="147059CB">
            <w:r w:rsidRPr="00634C79">
              <w:t>Within 20 months</w:t>
            </w:r>
            <w:r w:rsidR="007F0F81">
              <w:t xml:space="preserve"> of OMB approval</w:t>
            </w:r>
          </w:p>
        </w:tc>
      </w:tr>
      <w:tr w:rsidRPr="007B2DFB" w:rsidR="00D828EE" w:rsidTr="77E8EEB1" w14:paraId="0E2E6712" w14:textId="77777777">
        <w:trPr>
          <w:trHeight w:val="864"/>
        </w:trPr>
        <w:tc>
          <w:tcPr>
            <w:tcW w:w="7267" w:type="dxa"/>
          </w:tcPr>
          <w:p w:rsidRPr="00586B88" w:rsidR="00B52BAE" w:rsidP="00B52BAE" w:rsidRDefault="00B52BAE" w14:paraId="3A165DA5" w14:textId="382EEDD2">
            <w:pPr>
              <w:pStyle w:val="default0"/>
              <w:spacing w:before="0" w:beforeAutospacing="0" w:after="0" w:afterAutospacing="0" w:line="252" w:lineRule="atLeast"/>
              <w:rPr>
                <w:color w:val="000000"/>
              </w:rPr>
            </w:pPr>
            <w:r w:rsidRPr="00634C79">
              <w:t>Summary of Tribal Preferences and Requirements for Reporting</w:t>
            </w:r>
          </w:p>
        </w:tc>
        <w:tc>
          <w:tcPr>
            <w:tcW w:w="2183" w:type="dxa"/>
          </w:tcPr>
          <w:p w:rsidRPr="007B2DFB" w:rsidR="00B52BAE" w:rsidP="00B52BAE" w:rsidRDefault="00B52BAE" w14:paraId="071365A0" w14:textId="313879E0">
            <w:r w:rsidRPr="00634C79">
              <w:t>Within 2</w:t>
            </w:r>
            <w:r w:rsidR="00BD404C">
              <w:t>0</w:t>
            </w:r>
            <w:r w:rsidRPr="00634C79">
              <w:t xml:space="preserve"> months</w:t>
            </w:r>
            <w:r w:rsidR="007F0F81">
              <w:t xml:space="preserve"> of OMB approval</w:t>
            </w:r>
          </w:p>
        </w:tc>
      </w:tr>
      <w:tr w:rsidRPr="007B2DFB" w:rsidR="00D828EE" w:rsidTr="77E8EEB1" w14:paraId="3E1C4AEA" w14:textId="77777777">
        <w:trPr>
          <w:trHeight w:val="864"/>
        </w:trPr>
        <w:tc>
          <w:tcPr>
            <w:tcW w:w="7267" w:type="dxa"/>
          </w:tcPr>
          <w:p w:rsidRPr="00586B88" w:rsidR="00B52BAE" w:rsidP="00B52BAE" w:rsidRDefault="00B52BAE" w14:paraId="2B0183A9" w14:textId="7B666488">
            <w:pPr>
              <w:pStyle w:val="default0"/>
              <w:spacing w:before="0" w:beforeAutospacing="0" w:after="0" w:afterAutospacing="0" w:line="252" w:lineRule="atLeast"/>
              <w:rPr>
                <w:color w:val="000000"/>
              </w:rPr>
            </w:pPr>
            <w:r w:rsidRPr="00634C79">
              <w:t xml:space="preserve">Manuscript of Research Results and Timeline Final Manuscript(s) </w:t>
            </w:r>
          </w:p>
        </w:tc>
        <w:tc>
          <w:tcPr>
            <w:tcW w:w="2183" w:type="dxa"/>
          </w:tcPr>
          <w:p w:rsidRPr="007B2DFB" w:rsidR="00B52BAE" w:rsidP="00B52BAE" w:rsidRDefault="00B52BAE" w14:paraId="7424AD61" w14:textId="6387F6A3">
            <w:r w:rsidRPr="00634C79">
              <w:t>Within 24 months</w:t>
            </w:r>
            <w:r w:rsidR="007F0F81">
              <w:t xml:space="preserve"> of OMB approval</w:t>
            </w:r>
          </w:p>
        </w:tc>
      </w:tr>
    </w:tbl>
    <w:p w:rsidRPr="00691454" w:rsidR="00407A9F" w:rsidP="00407A9F" w:rsidRDefault="00407A9F" w14:paraId="131BDF4E" w14:textId="77777777"/>
    <w:p w:rsidR="009F3F80" w:rsidP="00972DEF" w:rsidRDefault="009F3F80" w14:paraId="0DA4BF2A" w14:textId="77777777">
      <w:pPr>
        <w:autoSpaceDE w:val="0"/>
        <w:autoSpaceDN w:val="0"/>
        <w:adjustRightInd w:val="0"/>
        <w:rPr>
          <w:b/>
          <w:bCs/>
        </w:rPr>
      </w:pPr>
    </w:p>
    <w:p w:rsidRPr="00691454" w:rsidR="00972DEF" w:rsidP="00972DEF" w:rsidRDefault="00972DEF" w14:paraId="256D8E21" w14:textId="5CC85D00">
      <w:pPr>
        <w:autoSpaceDE w:val="0"/>
        <w:autoSpaceDN w:val="0"/>
        <w:adjustRightInd w:val="0"/>
        <w:rPr>
          <w:b/>
          <w:bCs/>
        </w:rPr>
      </w:pPr>
      <w:r w:rsidRPr="00691454">
        <w:rPr>
          <w:b/>
          <w:bCs/>
        </w:rPr>
        <w:t xml:space="preserve">A.17. Reason(s) Display of OMB Expiration Date is Inappropriate </w:t>
      </w:r>
    </w:p>
    <w:p w:rsidRPr="00691454" w:rsidR="00972DEF" w:rsidP="00972DEF" w:rsidRDefault="00972DEF" w14:paraId="256D8E22" w14:textId="77777777">
      <w:pPr>
        <w:autoSpaceDE w:val="0"/>
        <w:autoSpaceDN w:val="0"/>
        <w:adjustRightInd w:val="0"/>
        <w:rPr>
          <w:b/>
          <w:bCs/>
        </w:rPr>
      </w:pPr>
    </w:p>
    <w:p w:rsidRPr="00C712BA" w:rsidR="00972DEF" w:rsidP="00972DEF" w:rsidRDefault="00C366BA" w14:paraId="256D8E23" w14:textId="582E847D">
      <w:pPr>
        <w:autoSpaceDE w:val="0"/>
        <w:autoSpaceDN w:val="0"/>
        <w:adjustRightInd w:val="0"/>
      </w:pPr>
      <w:r w:rsidRPr="00C712BA">
        <w:t xml:space="preserve">We are not requesting an exemption. </w:t>
      </w:r>
      <w:r w:rsidRPr="00C712BA" w:rsidR="008429DD">
        <w:t>The display of the OMB expiration date is not inappropriate</w:t>
      </w:r>
      <w:r w:rsidRPr="00C712BA" w:rsidR="00D11EEB">
        <w:t>.</w:t>
      </w:r>
    </w:p>
    <w:p w:rsidRPr="00691454" w:rsidR="00972DEF" w:rsidP="00972DEF" w:rsidRDefault="00972DEF" w14:paraId="256D8E24" w14:textId="77777777">
      <w:pPr>
        <w:autoSpaceDE w:val="0"/>
        <w:autoSpaceDN w:val="0"/>
        <w:adjustRightInd w:val="0"/>
      </w:pPr>
    </w:p>
    <w:p w:rsidRPr="00691454" w:rsidR="00972DEF" w:rsidP="00972DEF" w:rsidRDefault="00972DEF" w14:paraId="256D8E25" w14:textId="77777777">
      <w:pPr>
        <w:autoSpaceDE w:val="0"/>
        <w:autoSpaceDN w:val="0"/>
        <w:adjustRightInd w:val="0"/>
        <w:rPr>
          <w:b/>
          <w:bCs/>
        </w:rPr>
      </w:pPr>
      <w:r w:rsidRPr="00691454">
        <w:rPr>
          <w:b/>
          <w:bCs/>
        </w:rPr>
        <w:t xml:space="preserve">A.18. Exceptions to Certification for Paperwork Reduction Act Submissions </w:t>
      </w:r>
    </w:p>
    <w:p w:rsidRPr="00691454" w:rsidR="00972DEF" w:rsidP="00972DEF" w:rsidRDefault="00972DEF" w14:paraId="256D8E26" w14:textId="77777777">
      <w:pPr>
        <w:autoSpaceDE w:val="0"/>
        <w:autoSpaceDN w:val="0"/>
        <w:adjustRightInd w:val="0"/>
        <w:rPr>
          <w:b/>
          <w:bCs/>
        </w:rPr>
      </w:pPr>
    </w:p>
    <w:p w:rsidRPr="00C712BA" w:rsidR="00972DEF" w:rsidP="00972DEF" w:rsidRDefault="00972DEF" w14:paraId="256D8E27" w14:textId="3A6EF12A">
      <w:pPr>
        <w:autoSpaceDE w:val="0"/>
        <w:autoSpaceDN w:val="0"/>
        <w:adjustRightInd w:val="0"/>
      </w:pPr>
      <w:r w:rsidRPr="00C712BA">
        <w:t>There are no exceptions to the certification.</w:t>
      </w:r>
      <w:r w:rsidRPr="00C712BA" w:rsidR="00C366BA">
        <w:t xml:space="preserve"> These activities comply with the requirements in 5 CFR 1320.9.</w:t>
      </w:r>
    </w:p>
    <w:p w:rsidRPr="00C712BA" w:rsidR="00E14B37" w:rsidP="00420226" w:rsidRDefault="00E14B37" w14:paraId="256D8E29" w14:textId="77777777">
      <w:pPr>
        <w:autoSpaceDE w:val="0"/>
        <w:autoSpaceDN w:val="0"/>
        <w:adjustRightInd w:val="0"/>
      </w:pPr>
    </w:p>
    <w:p w:rsidR="00C366BA" w:rsidP="00C366BA" w:rsidRDefault="00742897" w14:paraId="6B02FA5A" w14:textId="316FCBD3">
      <w:r w:rsidRPr="00691454">
        <w:rPr>
          <w:b/>
          <w:bCs/>
        </w:rPr>
        <w:t>R</w:t>
      </w:r>
      <w:r w:rsidR="00681741">
        <w:rPr>
          <w:b/>
          <w:bCs/>
        </w:rPr>
        <w:t>eferences</w:t>
      </w:r>
      <w:r w:rsidR="00C366BA">
        <w:rPr>
          <w:noProof/>
        </w:rPr>
        <w:fldChar w:fldCharType="begin"/>
      </w:r>
      <w:r w:rsidR="00C366BA">
        <w:instrText xml:space="preserve"> ADDIN EN.REFLIST </w:instrText>
      </w:r>
      <w:r w:rsidR="00C366BA">
        <w:rPr>
          <w:noProof/>
        </w:rPr>
        <w:fldChar w:fldCharType="separate"/>
      </w:r>
    </w:p>
    <w:p w:rsidRPr="009E0030" w:rsidR="00C366BA" w:rsidP="00C366BA" w:rsidRDefault="00C366BA" w14:paraId="6C4B4095" w14:textId="77777777">
      <w:pPr>
        <w:pStyle w:val="EndNoteBibliographyTitle"/>
      </w:pPr>
    </w:p>
    <w:p w:rsidRPr="00F92FDD" w:rsidR="00C366BA" w:rsidP="00C366BA" w:rsidRDefault="00C366BA" w14:paraId="1DF997EE" w14:textId="77777777">
      <w:pPr>
        <w:pStyle w:val="EndNoteBibliography"/>
        <w:ind w:left="720" w:hanging="720"/>
      </w:pPr>
      <w:r w:rsidRPr="00F92FDD">
        <w:t xml:space="preserve">Anda, R. F., Brown, D. W., Felitti, V. J., Dube, S. R., &amp; Giles, W. H. (2008). Adverse childhood experiences and prescription drug use in a cohort study of adult HMO patients. </w:t>
      </w:r>
      <w:r w:rsidRPr="00F92FDD">
        <w:rPr>
          <w:i/>
        </w:rPr>
        <w:t>BMC Public Health</w:t>
      </w:r>
      <w:r w:rsidRPr="00F92FDD">
        <w:t xml:space="preserve">, </w:t>
      </w:r>
      <w:r w:rsidRPr="00162B06">
        <w:rPr>
          <w:i/>
          <w:iCs/>
        </w:rPr>
        <w:t>8</w:t>
      </w:r>
      <w:r w:rsidRPr="00F92FDD">
        <w:t>, 1-9.</w:t>
      </w:r>
    </w:p>
    <w:p w:rsidR="00C366BA" w:rsidP="00C366BA" w:rsidRDefault="00C366BA" w14:paraId="0B464C6C" w14:textId="77777777">
      <w:pPr>
        <w:pStyle w:val="EndNoteBibliography"/>
        <w:ind w:left="720" w:hanging="720"/>
      </w:pPr>
      <w:r w:rsidRPr="00F92FDD">
        <w:t>Antone, C. F., Miguel Kahn-John, M</w:t>
      </w:r>
      <w:r>
        <w:t>.</w:t>
      </w:r>
      <w:r w:rsidRPr="00F92FDD">
        <w:t xml:space="preserve">, &amp; Arambula Solomon, T. G. (2016). </w:t>
      </w:r>
      <w:r w:rsidRPr="00F92FDD">
        <w:rPr>
          <w:i/>
        </w:rPr>
        <w:t>Native American Cultural Wisdon Declaration</w:t>
      </w:r>
      <w:r w:rsidRPr="00F92FDD">
        <w:t>.  Retrieved from http://www.ncai.org/resolutions/SPO-16-016_resolution.pdf</w:t>
      </w:r>
    </w:p>
    <w:p w:rsidR="00560C6A" w:rsidP="00C366BA" w:rsidRDefault="00560C6A" w14:paraId="6A0AD80E" w14:textId="71A95268">
      <w:pPr>
        <w:pStyle w:val="EndNoteBibliography"/>
        <w:ind w:left="720" w:hanging="720"/>
      </w:pPr>
      <w:r>
        <w:t xml:space="preserve">Beebe, T. J., Davern, M. E., McAlpine, D. D., Call, K. T., Rockwood, T. H. (2005). Increasing response rates in a survey of Medicaid enrolless: the effect of a prepaid monetary incentive and mixed modes (mail and telephone). </w:t>
      </w:r>
      <w:r w:rsidRPr="00560C6A">
        <w:rPr>
          <w:i/>
          <w:iCs/>
        </w:rPr>
        <w:t>Medical Care, 43</w:t>
      </w:r>
      <w:r>
        <w:t>, 411-414.</w:t>
      </w:r>
    </w:p>
    <w:p w:rsidR="000C1818" w:rsidP="000C1818" w:rsidRDefault="000C1818" w14:paraId="3757BA34" w14:textId="77777777">
      <w:pPr>
        <w:rPr>
          <w:color w:val="201F1E"/>
          <w:bdr w:val="none" w:color="auto" w:sz="0" w:space="0" w:frame="1"/>
        </w:rPr>
      </w:pPr>
      <w:r w:rsidRPr="000A1795">
        <w:rPr>
          <w:color w:val="201F1E"/>
          <w:bdr w:val="none" w:color="auto" w:sz="0" w:space="0" w:frame="1"/>
        </w:rPr>
        <w:t>Biden, J. (2021). White House Memorandum on Tribal Consultation and Strengthening Nation-</w:t>
      </w:r>
    </w:p>
    <w:p w:rsidRPr="000A1795" w:rsidR="000C1818" w:rsidP="000C1818" w:rsidRDefault="000C1818" w14:paraId="1D231B45" w14:textId="004A7493">
      <w:pPr>
        <w:ind w:left="720"/>
        <w:rPr>
          <w:color w:val="201F1E"/>
          <w:bdr w:val="none" w:color="auto" w:sz="0" w:space="0" w:frame="1"/>
        </w:rPr>
      </w:pPr>
      <w:r w:rsidRPr="000A1795">
        <w:rPr>
          <w:color w:val="201F1E"/>
          <w:bdr w:val="none" w:color="auto" w:sz="0" w:space="0" w:frame="1"/>
        </w:rPr>
        <w:t xml:space="preserve">to-Nation Relationships. </w:t>
      </w:r>
      <w:r w:rsidRPr="000C1818">
        <w:rPr>
          <w:i/>
          <w:iCs/>
          <w:color w:val="201F1E"/>
          <w:bdr w:val="none" w:color="auto" w:sz="0" w:space="0" w:frame="1"/>
        </w:rPr>
        <w:t>https://www.whitehouse.gov/briefing-room/presidential-actions/2021/01/26/memorandum-on-tribal-consultation-and-strengthening-nation-to-nation-relationships/</w:t>
      </w:r>
      <w:r w:rsidRPr="000C1818">
        <w:rPr>
          <w:color w:val="201F1E"/>
          <w:bdr w:val="none" w:color="auto" w:sz="0" w:space="0" w:frame="1"/>
        </w:rPr>
        <w:t>     </w:t>
      </w:r>
    </w:p>
    <w:p w:rsidRPr="009E0030" w:rsidR="00C366BA" w:rsidP="00C366BA" w:rsidRDefault="00C366BA" w14:paraId="3293FCE3" w14:textId="4BE6A312">
      <w:pPr>
        <w:pStyle w:val="EndNoteBibliography"/>
        <w:ind w:left="720" w:hanging="720"/>
      </w:pPr>
      <w:r w:rsidRPr="009E0030">
        <w:t xml:space="preserve">Birnbaum, H. G., White, A. G., Schiller, M., Waldman, T., Cleveland, J. M., &amp; Roland, C. L. (2011). Societal costs of prescription opioid abuse, dependence, and misuse in the United States. </w:t>
      </w:r>
      <w:r w:rsidRPr="009E0030">
        <w:rPr>
          <w:i/>
        </w:rPr>
        <w:t>Pain Med, 12</w:t>
      </w:r>
      <w:r w:rsidRPr="009E0030">
        <w:t>, 657-667. doi:10.1111/j.1526-4637.2011.01075.x</w:t>
      </w:r>
    </w:p>
    <w:p w:rsidRPr="00F92FDD" w:rsidR="00C366BA" w:rsidP="00C366BA" w:rsidRDefault="00C366BA" w14:paraId="66EC1692" w14:textId="77777777">
      <w:pPr>
        <w:pStyle w:val="EndNoteBibliography"/>
        <w:ind w:left="720" w:hanging="720"/>
      </w:pPr>
      <w:r w:rsidRPr="00F92FDD">
        <w:lastRenderedPageBreak/>
        <w:t xml:space="preserve">Breiding, M. J., Chen, J., &amp; Black, M. C. (2014). </w:t>
      </w:r>
      <w:r w:rsidRPr="00F92FDD">
        <w:rPr>
          <w:i/>
        </w:rPr>
        <w:t>Intimte partner violence in the United States - 2010</w:t>
      </w:r>
      <w:r w:rsidRPr="00F92FDD">
        <w:t xml:space="preserve">. Atlanta, GA: National Center for Injury Prevention and Control, Centers for Disease Control and Prevention. </w:t>
      </w:r>
    </w:p>
    <w:p w:rsidR="00C366BA" w:rsidP="00C366BA" w:rsidRDefault="00C366BA" w14:paraId="0A2ADEF2" w14:textId="592D5ADF">
      <w:pPr>
        <w:pStyle w:val="EndNoteBibliography"/>
        <w:ind w:left="720" w:hanging="720"/>
      </w:pPr>
      <w:r w:rsidRPr="00F92FDD">
        <w:t xml:space="preserve">Brockie, T., Dana-Sacco, G., Wallen, G., Wilcox, H., &amp; Campbell, J. (2015). The relationship of adverse childhood experiences to PTSD, depression, poly-drug use and suicide attempt in reservation-based Native American adolescents and young adult. </w:t>
      </w:r>
      <w:r w:rsidRPr="00F92FDD">
        <w:rPr>
          <w:i/>
        </w:rPr>
        <w:t>American Journal of Community Psychology, 55</w:t>
      </w:r>
      <w:r w:rsidRPr="00F92FDD">
        <w:t>, 411-421.</w:t>
      </w:r>
    </w:p>
    <w:p w:rsidR="000C1818" w:rsidP="000C1818" w:rsidRDefault="000C1818" w14:paraId="2096F28D" w14:textId="6CAA812D">
      <w:r w:rsidRPr="00C93E06">
        <w:t>Centers for Disease Control and Prevention</w:t>
      </w:r>
      <w:r w:rsidRPr="000A1795">
        <w:rPr>
          <w:color w:val="201F1E"/>
          <w:bdr w:val="none" w:color="auto" w:sz="0" w:space="0" w:frame="1"/>
        </w:rPr>
        <w:t xml:space="preserve"> (2013). </w:t>
      </w:r>
      <w:hyperlink w:history="1" r:id="rId14">
        <w:r w:rsidRPr="000A1795">
          <w:rPr>
            <w:rStyle w:val="Hyperlink"/>
          </w:rPr>
          <w:t>CDC/ATSDR Tribal Consultation Policy (Updated 11/12/2013)</w:t>
        </w:r>
      </w:hyperlink>
      <w:r>
        <w:t>.</w:t>
      </w:r>
    </w:p>
    <w:p w:rsidR="00C366BA" w:rsidP="00C366BA" w:rsidRDefault="00C366BA" w14:paraId="0476F2FF" w14:textId="77777777">
      <w:pPr>
        <w:rPr>
          <w:i/>
          <w:iCs/>
        </w:rPr>
      </w:pPr>
      <w:r w:rsidRPr="00C93E06">
        <w:t xml:space="preserve">Centers for Disease Control and Prevention (2019). </w:t>
      </w:r>
      <w:r w:rsidRPr="00162B06">
        <w:rPr>
          <w:i/>
          <w:iCs/>
        </w:rPr>
        <w:t xml:space="preserve">Preventing Adverse Childhood Experiences: </w:t>
      </w:r>
    </w:p>
    <w:p w:rsidR="00C366BA" w:rsidP="00C366BA" w:rsidRDefault="00C366BA" w14:paraId="6254C700" w14:textId="77777777">
      <w:pPr>
        <w:ind w:firstLine="720"/>
      </w:pPr>
      <w:r w:rsidRPr="00162B06">
        <w:rPr>
          <w:i/>
          <w:iCs/>
        </w:rPr>
        <w:t>Leveraging the Best Available Evidence</w:t>
      </w:r>
      <w:r w:rsidRPr="00C93E06">
        <w:t xml:space="preserve">. Atlanta, GA: National Center for Injury </w:t>
      </w:r>
    </w:p>
    <w:p w:rsidR="00C366BA" w:rsidP="00C366BA" w:rsidRDefault="00C366BA" w14:paraId="696324D6" w14:textId="77777777">
      <w:pPr>
        <w:ind w:firstLine="720"/>
      </w:pPr>
      <w:r w:rsidRPr="00C93E06">
        <w:t xml:space="preserve">Prevention and Control, Centers for Disease Control and Prevention. </w:t>
      </w:r>
    </w:p>
    <w:p w:rsidRPr="0009207D" w:rsidR="0009207D" w:rsidP="00C366BA" w:rsidRDefault="0009207D" w14:paraId="16A8A1C6" w14:textId="3F8FABE6">
      <w:pPr>
        <w:pStyle w:val="EndNoteBibliography"/>
        <w:ind w:left="720" w:hanging="720"/>
      </w:pPr>
      <w:r w:rsidRPr="0009207D">
        <w:t xml:space="preserve">Centers for Disease Control and Prevention (2016). </w:t>
      </w:r>
      <w:r w:rsidRPr="003507BC">
        <w:rPr>
          <w:i/>
          <w:iCs/>
          <w:noProof w:val="0"/>
        </w:rPr>
        <w:t xml:space="preserve">Preventing Multiple Forms of Violence: A Strategic Vision for Connecting the Dots. </w:t>
      </w:r>
      <w:r w:rsidRPr="003507BC">
        <w:rPr>
          <w:noProof w:val="0"/>
        </w:rPr>
        <w:t>Atlanta, GA: Division of Violence Prevention, National Center for Injury Prevention and Control, Centers for Disease Control and Prevention.</w:t>
      </w:r>
    </w:p>
    <w:p w:rsidRPr="009E0030" w:rsidR="00C366BA" w:rsidP="00C366BA" w:rsidRDefault="00C366BA" w14:paraId="1B891DC8" w14:textId="569B1605">
      <w:pPr>
        <w:pStyle w:val="EndNoteBibliography"/>
        <w:ind w:left="720" w:hanging="720"/>
      </w:pPr>
      <w:r w:rsidRPr="009E0030">
        <w:t xml:space="preserve">Charles, L. W., Robert, F. A., Shanta, R. D., &amp; Vincent, J. F. (2003). Violent </w:t>
      </w:r>
      <w:r>
        <w:t>c</w:t>
      </w:r>
      <w:r w:rsidRPr="009E0030">
        <w:t xml:space="preserve">hildhood </w:t>
      </w:r>
      <w:r>
        <w:t>e</w:t>
      </w:r>
      <w:r w:rsidRPr="009E0030">
        <w:t xml:space="preserve">xperiences and the </w:t>
      </w:r>
      <w:r>
        <w:t>r</w:t>
      </w:r>
      <w:r w:rsidRPr="009E0030">
        <w:t xml:space="preserve">isk of </w:t>
      </w:r>
      <w:r>
        <w:t>i</w:t>
      </w:r>
      <w:r w:rsidRPr="009E0030">
        <w:t xml:space="preserve">ntimate </w:t>
      </w:r>
      <w:r>
        <w:t>p</w:t>
      </w:r>
      <w:r w:rsidRPr="009E0030">
        <w:t xml:space="preserve">artner </w:t>
      </w:r>
      <w:r>
        <w:t>v</w:t>
      </w:r>
      <w:r w:rsidRPr="009E0030">
        <w:t xml:space="preserve">iolence in </w:t>
      </w:r>
      <w:r>
        <w:t>a</w:t>
      </w:r>
      <w:r w:rsidRPr="009E0030">
        <w:t xml:space="preserve">dults: Assessment in a </w:t>
      </w:r>
      <w:r>
        <w:t>l</w:t>
      </w:r>
      <w:r w:rsidRPr="009E0030">
        <w:t xml:space="preserve">arge </w:t>
      </w:r>
      <w:r>
        <w:t>h</w:t>
      </w:r>
      <w:r w:rsidRPr="009E0030">
        <w:t xml:space="preserve">ealth </w:t>
      </w:r>
      <w:r>
        <w:t>m</w:t>
      </w:r>
      <w:r w:rsidRPr="009E0030">
        <w:t xml:space="preserve">aintenance </w:t>
      </w:r>
      <w:r>
        <w:t>o</w:t>
      </w:r>
      <w:r w:rsidRPr="009E0030">
        <w:t xml:space="preserve">rganization. </w:t>
      </w:r>
      <w:r w:rsidRPr="009E0030">
        <w:rPr>
          <w:i/>
        </w:rPr>
        <w:t>Journal of Interpersonal Violence, 18</w:t>
      </w:r>
      <w:r w:rsidRPr="009E0030">
        <w:t>, 166-185. doi:10.1177/0886260502238733</w:t>
      </w:r>
    </w:p>
    <w:p w:rsidR="0023520E" w:rsidP="00C366BA" w:rsidRDefault="00C366BA" w14:paraId="3EA7C73C" w14:textId="77777777">
      <w:pPr>
        <w:pStyle w:val="EndNoteBibliography"/>
        <w:ind w:left="720" w:hanging="720"/>
        <w:rPr>
          <w:sz w:val="22"/>
          <w:szCs w:val="22"/>
        </w:rPr>
      </w:pPr>
      <w:r>
        <w:t xml:space="preserve">Derefinko, K. J., Salgado Garcia, F. I., Talley, K. M., Bursac, Z., Johnson, K. C., Murphy, J. G., McDevitt-Murphy, M. E., Andrasik, F., &amp; Sumrok, D. D. (2019). Adverse childhood experiences predict opioid relapse during treatment among rural adults. </w:t>
      </w:r>
      <w:r w:rsidRPr="00C102B4">
        <w:rPr>
          <w:i/>
          <w:iCs/>
        </w:rPr>
        <w:t xml:space="preserve">Addictive </w:t>
      </w:r>
      <w:r w:rsidRPr="0003386F">
        <w:rPr>
          <w:i/>
          <w:iCs/>
          <w:sz w:val="22"/>
          <w:szCs w:val="22"/>
        </w:rPr>
        <w:t>Behavior, 96</w:t>
      </w:r>
      <w:r w:rsidRPr="0003386F">
        <w:rPr>
          <w:sz w:val="22"/>
          <w:szCs w:val="22"/>
        </w:rPr>
        <w:t>, 171-174.</w:t>
      </w:r>
    </w:p>
    <w:p w:rsidRPr="003507BC" w:rsidR="00C366BA" w:rsidP="00C366BA" w:rsidRDefault="0023520E" w14:paraId="3C77E33A" w14:textId="08DE1D3A">
      <w:pPr>
        <w:pStyle w:val="EndNoteBibliography"/>
        <w:ind w:left="720" w:hanging="720"/>
      </w:pPr>
      <w:r w:rsidRPr="003507BC">
        <w:t>Der</w:t>
      </w:r>
      <w:r w:rsidRPr="003507BC" w:rsidR="005A55BC">
        <w:t>o</w:t>
      </w:r>
      <w:r w:rsidRPr="003507BC">
        <w:t xml:space="preserve">gatis, L. R. (2001). </w:t>
      </w:r>
      <w:r w:rsidRPr="003507BC">
        <w:rPr>
          <w:i/>
          <w:iCs/>
        </w:rPr>
        <w:t>Brief Symptom Inventory (BSI)-18: Administration, scoring and procedures manual</w:t>
      </w:r>
      <w:r w:rsidRPr="003507BC">
        <w:t>. Minneapolis, MN: NCS Pearson.</w:t>
      </w:r>
      <w:r w:rsidRPr="003507BC" w:rsidR="00C366BA">
        <w:t xml:space="preserve"> </w:t>
      </w:r>
    </w:p>
    <w:p w:rsidR="00C366BA" w:rsidP="00C366BA" w:rsidRDefault="00C366BA" w14:paraId="343957A4" w14:textId="5AA07A75">
      <w:pPr>
        <w:pStyle w:val="EndNoteBibliography"/>
        <w:ind w:left="720" w:hanging="720"/>
      </w:pPr>
      <w:r w:rsidRPr="00F92FDD">
        <w:t xml:space="preserve">Dube, S. R., Anda, R. F., Felitti, V. J., Chapman, D. P., Williamson, D. F., &amp; Giles, W. H. (2001). Childhood abuse, household dysfunction, and the risk of attempted suicide throughout the life span: Findings from the Adverse Childhood Experiences Study. </w:t>
      </w:r>
      <w:r w:rsidRPr="00F92FDD">
        <w:rPr>
          <w:i/>
        </w:rPr>
        <w:t>JAMA, 286</w:t>
      </w:r>
      <w:r w:rsidRPr="00F92FDD">
        <w:t>, 3089-3096.</w:t>
      </w:r>
    </w:p>
    <w:p w:rsidR="00090238" w:rsidP="00090238" w:rsidRDefault="00560C6A" w14:paraId="6A868868" w14:textId="77777777">
      <w:pPr>
        <w:pStyle w:val="EndNoteBibliography"/>
        <w:ind w:left="720" w:hanging="720"/>
      </w:pPr>
      <w:r>
        <w:t xml:space="preserve">Dykema, J., Stevenson, J., Kniss, C., et al. (2012). Use of monetary and nonmonetary incentives to increase response rates among African Americans in the Wisconsis Pregnancy Risk Assessment Monitoring System. </w:t>
      </w:r>
      <w:r w:rsidRPr="00560C6A">
        <w:rPr>
          <w:i/>
          <w:iCs/>
        </w:rPr>
        <w:t>Maternal Child Health Journal, 16</w:t>
      </w:r>
      <w:r>
        <w:t>, 785-791.</w:t>
      </w:r>
      <w:r w:rsidR="00090238">
        <w:t xml:space="preserve"> </w:t>
      </w:r>
    </w:p>
    <w:p w:rsidRPr="00C66984" w:rsidR="00A06DB3" w:rsidP="00090238" w:rsidRDefault="00090238" w14:paraId="7C7EBFF8" w14:textId="1AAFEF93">
      <w:pPr>
        <w:pStyle w:val="EndNoteBibliography"/>
        <w:ind w:left="720" w:hanging="720"/>
      </w:pPr>
      <w:r w:rsidRPr="00C66984">
        <w:t xml:space="preserve">Edwards, P., </w:t>
      </w:r>
      <w:r w:rsidRPr="00C66984" w:rsidR="00262762">
        <w:rPr>
          <w:shd w:val="clear" w:color="auto" w:fill="FFFFFF"/>
        </w:rPr>
        <w:t xml:space="preserve">Roberts, I., Clarke, M., DiGuiseppi, C., Pratap, S., Wentz, R., &amp; Kwan, I. (2002). </w:t>
      </w:r>
    </w:p>
    <w:p w:rsidRPr="008600E6" w:rsidR="00262762" w:rsidP="00A06DB3" w:rsidRDefault="00262762" w14:paraId="0ABB6ED3" w14:textId="104AF68C">
      <w:pPr>
        <w:ind w:left="720"/>
        <w:rPr>
          <w:shd w:val="clear" w:color="auto" w:fill="FFFFFF"/>
        </w:rPr>
      </w:pPr>
      <w:r w:rsidRPr="00C66984">
        <w:rPr>
          <w:shd w:val="clear" w:color="auto" w:fill="FFFFFF"/>
        </w:rPr>
        <w:t>Increasing response rates to postal questionnaires: Systematic review. </w:t>
      </w:r>
      <w:r w:rsidRPr="00C66984">
        <w:rPr>
          <w:rStyle w:val="Emphasis"/>
          <w:shd w:val="clear" w:color="auto" w:fill="FFFFFF"/>
        </w:rPr>
        <w:t>BMJ: British Medical Journal, 324</w:t>
      </w:r>
      <w:r w:rsidRPr="00C66984">
        <w:rPr>
          <w:shd w:val="clear" w:color="auto" w:fill="FFFFFF"/>
        </w:rPr>
        <w:t>(7347), 1183–1185.</w:t>
      </w:r>
    </w:p>
    <w:p w:rsidR="00C66984" w:rsidP="00C66984" w:rsidRDefault="00C66984" w14:paraId="212F2093" w14:textId="28017ACD">
      <w:pPr>
        <w:autoSpaceDE w:val="0"/>
        <w:autoSpaceDN w:val="0"/>
        <w:adjustRightInd w:val="0"/>
      </w:pPr>
      <w:bookmarkStart w:name="_Hlk68118722" w:id="23"/>
      <w:r w:rsidRPr="00C66984">
        <w:t xml:space="preserve">Elm, J. H. L. (2020). Adverse Childhood Experiences and Internalizing Symptoms Among </w:t>
      </w:r>
    </w:p>
    <w:p w:rsidR="00C66984" w:rsidP="00C66984" w:rsidRDefault="00C66984" w14:paraId="19A89987" w14:textId="122EB414">
      <w:pPr>
        <w:autoSpaceDE w:val="0"/>
        <w:autoSpaceDN w:val="0"/>
        <w:adjustRightInd w:val="0"/>
        <w:ind w:left="720"/>
      </w:pPr>
      <w:r w:rsidRPr="00C66984">
        <w:t xml:space="preserve">American Indian Adults with Type 2 Diabetes. </w:t>
      </w:r>
      <w:r w:rsidRPr="00C66984">
        <w:rPr>
          <w:i/>
          <w:iCs/>
          <w:u w:val="single"/>
        </w:rPr>
        <w:t>Journal of Racial and Ethnic Health Disparities</w:t>
      </w:r>
      <w:r>
        <w:rPr>
          <w:i/>
          <w:iCs/>
          <w:u w:val="single"/>
        </w:rPr>
        <w:t>.</w:t>
      </w:r>
      <w:r w:rsidRPr="00C66984">
        <w:rPr>
          <w:i/>
          <w:iCs/>
        </w:rPr>
        <w:t xml:space="preserve"> 7</w:t>
      </w:r>
      <w:r w:rsidRPr="00C66984">
        <w:t>(5): 958-966.</w:t>
      </w:r>
    </w:p>
    <w:p w:rsidR="00C66984" w:rsidP="00C66984" w:rsidRDefault="00C66984" w14:paraId="50E1B987" w14:textId="0ED20C14">
      <w:pPr>
        <w:autoSpaceDE w:val="0"/>
        <w:autoSpaceDN w:val="0"/>
        <w:adjustRightInd w:val="0"/>
      </w:pPr>
      <w:r w:rsidRPr="00C66984">
        <w:t xml:space="preserve">Elm, J. H., Lewis, J. P., Walters, K. L., &amp; Self, J. M. (2016). "I'm in this world for a reason": </w:t>
      </w:r>
    </w:p>
    <w:p w:rsidR="00C66984" w:rsidP="00C66984" w:rsidRDefault="00C66984" w14:paraId="24BF1279" w14:textId="7C998B1F">
      <w:pPr>
        <w:autoSpaceDE w:val="0"/>
        <w:autoSpaceDN w:val="0"/>
        <w:adjustRightInd w:val="0"/>
        <w:ind w:left="720"/>
      </w:pPr>
      <w:r w:rsidRPr="00C66984">
        <w:t xml:space="preserve">Resilience and recovery among American Indian and Alaska Native two-spirit women. </w:t>
      </w:r>
      <w:r w:rsidRPr="00C66984">
        <w:rPr>
          <w:i/>
          <w:iCs/>
        </w:rPr>
        <w:t>J Lesbian Stud</w:t>
      </w:r>
      <w:r w:rsidRPr="00C66984">
        <w:t>,</w:t>
      </w:r>
      <w:r w:rsidRPr="00C66984">
        <w:rPr>
          <w:i/>
          <w:iCs/>
        </w:rPr>
        <w:t xml:space="preserve"> 20</w:t>
      </w:r>
      <w:r w:rsidRPr="00C66984">
        <w:t>(3-4), 352-371. https://doi.org/10.1080/10894160.2016.1152813</w:t>
      </w:r>
      <w:r>
        <w:t>.</w:t>
      </w:r>
    </w:p>
    <w:p w:rsidR="008600E6" w:rsidP="008600E6" w:rsidRDefault="008600E6" w14:paraId="75B469F0" w14:textId="77777777">
      <w:pPr>
        <w:autoSpaceDE w:val="0"/>
        <w:autoSpaceDN w:val="0"/>
        <w:adjustRightInd w:val="0"/>
      </w:pPr>
      <w:r w:rsidRPr="008600E6">
        <w:t xml:space="preserve">Elm, J. H. L., Walls, M. L., &amp; Aronson, B. D. (2019). Sources of Stress Among Midwest </w:t>
      </w:r>
    </w:p>
    <w:p w:rsidR="008600E6" w:rsidP="008600E6" w:rsidRDefault="008600E6" w14:paraId="297B2BA9" w14:textId="75CC3FD4">
      <w:pPr>
        <w:autoSpaceDE w:val="0"/>
        <w:autoSpaceDN w:val="0"/>
        <w:adjustRightInd w:val="0"/>
        <w:ind w:left="720"/>
      </w:pPr>
      <w:r w:rsidRPr="008600E6">
        <w:t xml:space="preserve">American Indian Adults with Type 2 Diabetes. </w:t>
      </w:r>
      <w:r w:rsidRPr="008600E6">
        <w:rPr>
          <w:i/>
          <w:iCs/>
        </w:rPr>
        <w:t>Am Indian Alsk Native Ment Health Res</w:t>
      </w:r>
      <w:r w:rsidRPr="008600E6">
        <w:t>,</w:t>
      </w:r>
      <w:r w:rsidRPr="008600E6">
        <w:rPr>
          <w:i/>
          <w:iCs/>
        </w:rPr>
        <w:t xml:space="preserve"> 26</w:t>
      </w:r>
      <w:r w:rsidRPr="008600E6">
        <w:t>(1), 33-62. https://doi.org/10.5820/aian.2601.2019.33</w:t>
      </w:r>
      <w:r>
        <w:t>.</w:t>
      </w:r>
    </w:p>
    <w:p w:rsidRPr="000A1795" w:rsidR="000C1818" w:rsidP="000C1818" w:rsidRDefault="000C1818" w14:paraId="3EA52545" w14:textId="77777777">
      <w:pPr>
        <w:rPr>
          <w:rFonts w:eastAsia="SimSun"/>
        </w:rPr>
      </w:pPr>
      <w:r w:rsidRPr="000A1795">
        <w:rPr>
          <w:rFonts w:eastAsia="SimSun"/>
        </w:rPr>
        <w:t xml:space="preserve">Exec. Order No. 13175, Fed. Reg. </w:t>
      </w:r>
      <w:r w:rsidRPr="000A1795">
        <w:t xml:space="preserve">Vol. 65, No. 218 (November 6, 2000) </w:t>
      </w:r>
      <w:hyperlink w:history="1" r:id="rId15">
        <w:r w:rsidRPr="000A1795">
          <w:rPr>
            <w:rStyle w:val="Hyperlink"/>
          </w:rPr>
          <w:t>https://www.federalregister.gov/d/00-29003</w:t>
        </w:r>
      </w:hyperlink>
    </w:p>
    <w:bookmarkEnd w:id="23"/>
    <w:p w:rsidRPr="00C66984" w:rsidR="005E3DBD" w:rsidP="005E3DBD" w:rsidRDefault="005E3DBD" w14:paraId="2BDDE3D4" w14:textId="77777777">
      <w:pPr>
        <w:rPr>
          <w:shd w:val="clear" w:color="auto" w:fill="FFFFFF"/>
        </w:rPr>
      </w:pPr>
      <w:r w:rsidRPr="00C66984">
        <w:rPr>
          <w:shd w:val="clear" w:color="auto" w:fill="FFFFFF"/>
        </w:rPr>
        <w:lastRenderedPageBreak/>
        <w:t xml:space="preserve">Feder, K. A., Mojtabai, R., Musci, R. J., &amp; Letourneau, E. J. (2018). U.S. adults with opioid use </w:t>
      </w:r>
    </w:p>
    <w:p w:rsidRPr="00C66984" w:rsidR="005E3DBD" w:rsidP="005E3DBD" w:rsidRDefault="005E3DBD" w14:paraId="38F2E0BD" w14:textId="77777777">
      <w:pPr>
        <w:ind w:firstLine="720"/>
        <w:rPr>
          <w:i/>
          <w:iCs/>
          <w:shd w:val="clear" w:color="auto" w:fill="FFFFFF"/>
        </w:rPr>
      </w:pPr>
      <w:r w:rsidRPr="00C66984">
        <w:rPr>
          <w:shd w:val="clear" w:color="auto" w:fill="FFFFFF"/>
        </w:rPr>
        <w:t xml:space="preserve">disorder living with children: Treatment uses and barriers to care. </w:t>
      </w:r>
      <w:r w:rsidRPr="00C66984">
        <w:rPr>
          <w:i/>
          <w:iCs/>
          <w:shd w:val="clear" w:color="auto" w:fill="FFFFFF"/>
        </w:rPr>
        <w:t xml:space="preserve">Journal of Substance </w:t>
      </w:r>
    </w:p>
    <w:p w:rsidRPr="00C66984" w:rsidR="005E3DBD" w:rsidP="003507BC" w:rsidRDefault="005E3DBD" w14:paraId="0EE821BB" w14:textId="7A7A17E0">
      <w:pPr>
        <w:ind w:firstLine="720"/>
      </w:pPr>
      <w:r w:rsidRPr="00C66984">
        <w:rPr>
          <w:i/>
          <w:iCs/>
          <w:shd w:val="clear" w:color="auto" w:fill="FFFFFF"/>
        </w:rPr>
        <w:t>Abuse Treatment, 93</w:t>
      </w:r>
      <w:r w:rsidRPr="00C66984">
        <w:rPr>
          <w:shd w:val="clear" w:color="auto" w:fill="FFFFFF"/>
        </w:rPr>
        <w:t>, 31-37.</w:t>
      </w:r>
    </w:p>
    <w:p w:rsidR="00077DA5" w:rsidP="00C366BA" w:rsidRDefault="00C366BA" w14:paraId="0971694A" w14:textId="0D297F9F">
      <w:pPr>
        <w:pStyle w:val="EndNoteBibliography"/>
        <w:ind w:left="720" w:hanging="720"/>
      </w:pPr>
      <w:r w:rsidRPr="009E0030">
        <w:t xml:space="preserve">Felitti, V. J., Anda, R. F., Nordenberg, D., Williamson, D. F., Spitz, A. M., Edwards, V., . . . Marks, J. S. (1998). Relationship of childhood abuse and household dysfunction to many of the leading causes of death in adults. The Adverse Childhood Experiences (ACE) Study. </w:t>
      </w:r>
      <w:r w:rsidRPr="009E0030">
        <w:rPr>
          <w:i/>
        </w:rPr>
        <w:t>Am J Prev Med, 14</w:t>
      </w:r>
      <w:r w:rsidRPr="009E0030">
        <w:t>, 245-258.</w:t>
      </w:r>
    </w:p>
    <w:p w:rsidRPr="009E0030" w:rsidR="00C366BA" w:rsidP="00C366BA" w:rsidRDefault="00BB3470" w14:paraId="16E3F9BC" w14:textId="1867A441">
      <w:pPr>
        <w:pStyle w:val="EndNoteBibliography"/>
        <w:ind w:left="720" w:hanging="720"/>
      </w:pPr>
      <w:r>
        <w:t xml:space="preserve">Finkelhor, D., Shattuck, A., Turner, H., &amp; Hamby, S. (2015). A revised inventory of adverse childhood experiences. </w:t>
      </w:r>
      <w:r w:rsidRPr="00BB3470">
        <w:rPr>
          <w:i/>
          <w:iCs/>
        </w:rPr>
        <w:t>Child Abuse and Neglect, 48</w:t>
      </w:r>
      <w:r>
        <w:t xml:space="preserve">, 13-21. </w:t>
      </w:r>
      <w:r w:rsidRPr="009E0030" w:rsidR="00C366BA">
        <w:t xml:space="preserve"> </w:t>
      </w:r>
    </w:p>
    <w:p w:rsidRPr="009E0030" w:rsidR="00C366BA" w:rsidP="00C366BA" w:rsidRDefault="00C366BA" w14:paraId="42F05BE4" w14:textId="299798A6">
      <w:pPr>
        <w:pStyle w:val="EndNoteBibliography"/>
        <w:ind w:left="720" w:hanging="720"/>
      </w:pPr>
      <w:r w:rsidRPr="009E0030">
        <w:t xml:space="preserve">Gilbert, L. K., Breiding, M. J., Merrick, M. T., Thompson, W. W., Ford, D. C., Dhingra, S. S., &amp; Parks, S. E. (2015). Childhood adversity and adult chronic disease: </w:t>
      </w:r>
      <w:r w:rsidR="008600E6">
        <w:t>A</w:t>
      </w:r>
      <w:r w:rsidRPr="009E0030">
        <w:t xml:space="preserve">n update from ten states and the District of Columbia, 2010. </w:t>
      </w:r>
      <w:r w:rsidRPr="009E0030">
        <w:rPr>
          <w:i/>
        </w:rPr>
        <w:t>Am J Prev Med, 48</w:t>
      </w:r>
      <w:r w:rsidRPr="009E0030">
        <w:t>, 345-349. doi:10.1016/j.amepre.2014.09.006</w:t>
      </w:r>
    </w:p>
    <w:p w:rsidR="00660B61" w:rsidP="00660B61" w:rsidRDefault="00660B61" w14:paraId="228C8D9F" w14:textId="77777777">
      <w:pPr>
        <w:pStyle w:val="EndNoteBibliography"/>
        <w:ind w:left="720" w:hanging="720"/>
      </w:pPr>
      <w:r>
        <w:t xml:space="preserve">Grayshield, L., Rutherford, J., Salazar, S., Mihecoby, A., &amp; Luna, L. (2015). Understanding and healing historical trauma: The perspectives of Native American elders. </w:t>
      </w:r>
      <w:r>
        <w:rPr>
          <w:i/>
        </w:rPr>
        <w:t>Journal of Mental Health Counseling, 37</w:t>
      </w:r>
      <w:r>
        <w:t>, 295-307.</w:t>
      </w:r>
    </w:p>
    <w:p w:rsidR="00660B61" w:rsidP="00660B61" w:rsidRDefault="00660B61" w14:paraId="0521CF4D" w14:textId="4C28B34D">
      <w:pPr>
        <w:pStyle w:val="EndNoteBibliography"/>
        <w:ind w:left="720" w:hanging="720"/>
      </w:pPr>
      <w:r>
        <w:t xml:space="preserve">Hamby, S., Schultz, K., &amp; Elm, J. (2020). Understanding the burden of trauma and victimization among American Indian and Alaska native elders: Historical trauma as an element of poly-victimization. </w:t>
      </w:r>
      <w:r w:rsidRPr="003507BC">
        <w:rPr>
          <w:i/>
          <w:iCs/>
        </w:rPr>
        <w:t>Journal of Trauma and Dissociation, 21</w:t>
      </w:r>
      <w:r>
        <w:t xml:space="preserve">, 172-186. </w:t>
      </w:r>
    </w:p>
    <w:p w:rsidRPr="00F92FDD" w:rsidR="00C366BA" w:rsidP="00C366BA" w:rsidRDefault="00C366BA" w14:paraId="16A2AC6D" w14:textId="18E3F61C">
      <w:pPr>
        <w:pStyle w:val="EndNoteBibliography"/>
        <w:ind w:left="720" w:hanging="720"/>
      </w:pPr>
      <w:r w:rsidRPr="00F92FDD">
        <w:t xml:space="preserve">Henson, M., Sabo, S., Trujillo, A., &amp; Teufel-Shone, N. (2017). Identifying Protective Factors to Promote Health in American Indian and Alaska Native Adolescents: A Literature Review. </w:t>
      </w:r>
      <w:r w:rsidRPr="00F92FDD">
        <w:rPr>
          <w:i/>
        </w:rPr>
        <w:t>Journal of Primary Prevention, 38</w:t>
      </w:r>
      <w:r w:rsidRPr="00F92FDD">
        <w:t>, 5-26.</w:t>
      </w:r>
    </w:p>
    <w:p w:rsidR="00C366BA" w:rsidP="00C366BA" w:rsidRDefault="00C366BA" w14:paraId="3A4CD5A2" w14:textId="77777777">
      <w:pPr>
        <w:pStyle w:val="desc2"/>
        <w:shd w:val="clear" w:color="auto" w:fill="FFFFFF"/>
        <w:rPr>
          <w:sz w:val="24"/>
          <w:szCs w:val="24"/>
          <w:lang w:val="en"/>
        </w:rPr>
      </w:pPr>
      <w:r w:rsidRPr="00DB1167">
        <w:rPr>
          <w:sz w:val="24"/>
          <w:szCs w:val="24"/>
          <w:lang w:val="en"/>
        </w:rPr>
        <w:t>Jones</w:t>
      </w:r>
      <w:r>
        <w:rPr>
          <w:sz w:val="24"/>
          <w:szCs w:val="24"/>
          <w:lang w:val="en"/>
        </w:rPr>
        <w:t>,</w:t>
      </w:r>
      <w:r w:rsidRPr="00DB1167">
        <w:rPr>
          <w:sz w:val="24"/>
          <w:szCs w:val="24"/>
          <w:lang w:val="en"/>
        </w:rPr>
        <w:t xml:space="preserve"> M</w:t>
      </w:r>
      <w:r>
        <w:rPr>
          <w:sz w:val="24"/>
          <w:szCs w:val="24"/>
          <w:lang w:val="en"/>
        </w:rPr>
        <w:t xml:space="preserve">. </w:t>
      </w:r>
      <w:r w:rsidRPr="00DB1167">
        <w:rPr>
          <w:sz w:val="24"/>
          <w:szCs w:val="24"/>
          <w:lang w:val="en"/>
        </w:rPr>
        <w:t>S</w:t>
      </w:r>
      <w:r>
        <w:rPr>
          <w:sz w:val="24"/>
          <w:szCs w:val="24"/>
          <w:lang w:val="en"/>
        </w:rPr>
        <w:t>.</w:t>
      </w:r>
      <w:r w:rsidRPr="00DB1167">
        <w:rPr>
          <w:sz w:val="24"/>
          <w:szCs w:val="24"/>
          <w:lang w:val="en"/>
        </w:rPr>
        <w:t>, Worthen</w:t>
      </w:r>
      <w:r>
        <w:rPr>
          <w:sz w:val="24"/>
          <w:szCs w:val="24"/>
          <w:lang w:val="en"/>
        </w:rPr>
        <w:t>,</w:t>
      </w:r>
      <w:r w:rsidRPr="00DB1167">
        <w:rPr>
          <w:sz w:val="24"/>
          <w:szCs w:val="24"/>
          <w:lang w:val="en"/>
        </w:rPr>
        <w:t xml:space="preserve"> M</w:t>
      </w:r>
      <w:r>
        <w:rPr>
          <w:sz w:val="24"/>
          <w:szCs w:val="24"/>
          <w:lang w:val="en"/>
        </w:rPr>
        <w:t xml:space="preserve">. </w:t>
      </w:r>
      <w:r w:rsidRPr="00DB1167">
        <w:rPr>
          <w:sz w:val="24"/>
          <w:szCs w:val="24"/>
          <w:lang w:val="en"/>
        </w:rPr>
        <w:t>G</w:t>
      </w:r>
      <w:r>
        <w:rPr>
          <w:sz w:val="24"/>
          <w:szCs w:val="24"/>
          <w:lang w:val="en"/>
        </w:rPr>
        <w:t xml:space="preserve">. </w:t>
      </w:r>
      <w:r w:rsidRPr="00DB1167">
        <w:rPr>
          <w:sz w:val="24"/>
          <w:szCs w:val="24"/>
          <w:lang w:val="en"/>
        </w:rPr>
        <w:t>F</w:t>
      </w:r>
      <w:r>
        <w:rPr>
          <w:sz w:val="24"/>
          <w:szCs w:val="24"/>
          <w:lang w:val="en"/>
        </w:rPr>
        <w:t>.</w:t>
      </w:r>
      <w:r w:rsidRPr="00DB1167">
        <w:rPr>
          <w:sz w:val="24"/>
          <w:szCs w:val="24"/>
          <w:lang w:val="en"/>
        </w:rPr>
        <w:t>, Sharp</w:t>
      </w:r>
      <w:r>
        <w:rPr>
          <w:sz w:val="24"/>
          <w:szCs w:val="24"/>
          <w:lang w:val="en"/>
        </w:rPr>
        <w:t>,</w:t>
      </w:r>
      <w:r w:rsidRPr="00DB1167">
        <w:rPr>
          <w:sz w:val="24"/>
          <w:szCs w:val="24"/>
          <w:lang w:val="en"/>
        </w:rPr>
        <w:t xml:space="preserve"> S</w:t>
      </w:r>
      <w:r>
        <w:rPr>
          <w:sz w:val="24"/>
          <w:szCs w:val="24"/>
          <w:lang w:val="en"/>
        </w:rPr>
        <w:t xml:space="preserve">. </w:t>
      </w:r>
      <w:r w:rsidRPr="00DB1167">
        <w:rPr>
          <w:sz w:val="24"/>
          <w:szCs w:val="24"/>
          <w:lang w:val="en"/>
        </w:rPr>
        <w:t>F</w:t>
      </w:r>
      <w:r>
        <w:rPr>
          <w:sz w:val="24"/>
          <w:szCs w:val="24"/>
          <w:lang w:val="en"/>
        </w:rPr>
        <w:t>.</w:t>
      </w:r>
      <w:r w:rsidRPr="00DB1167">
        <w:rPr>
          <w:sz w:val="24"/>
          <w:szCs w:val="24"/>
          <w:lang w:val="en"/>
        </w:rPr>
        <w:t xml:space="preserve">, </w:t>
      </w:r>
      <w:r>
        <w:rPr>
          <w:sz w:val="24"/>
          <w:szCs w:val="24"/>
          <w:lang w:val="en"/>
        </w:rPr>
        <w:t xml:space="preserve">&amp; </w:t>
      </w:r>
      <w:r w:rsidRPr="00DB1167">
        <w:rPr>
          <w:sz w:val="24"/>
          <w:szCs w:val="24"/>
          <w:lang w:val="en"/>
        </w:rPr>
        <w:t>McLeod</w:t>
      </w:r>
      <w:r>
        <w:rPr>
          <w:sz w:val="24"/>
          <w:szCs w:val="24"/>
          <w:lang w:val="en"/>
        </w:rPr>
        <w:t>,</w:t>
      </w:r>
      <w:r w:rsidRPr="00DB1167">
        <w:rPr>
          <w:sz w:val="24"/>
          <w:szCs w:val="24"/>
          <w:lang w:val="en"/>
        </w:rPr>
        <w:t xml:space="preserve"> D</w:t>
      </w:r>
      <w:r>
        <w:rPr>
          <w:sz w:val="24"/>
          <w:szCs w:val="24"/>
          <w:lang w:val="en"/>
        </w:rPr>
        <w:t xml:space="preserve">. </w:t>
      </w:r>
      <w:r w:rsidRPr="00DB1167">
        <w:rPr>
          <w:sz w:val="24"/>
          <w:szCs w:val="24"/>
          <w:lang w:val="en"/>
        </w:rPr>
        <w:t>A.</w:t>
      </w:r>
      <w:r>
        <w:rPr>
          <w:sz w:val="24"/>
          <w:szCs w:val="24"/>
          <w:lang w:val="en"/>
        </w:rPr>
        <w:t xml:space="preserve"> (2020). Native American and </w:t>
      </w:r>
    </w:p>
    <w:p w:rsidR="00C366BA" w:rsidP="00C366BA" w:rsidRDefault="00C366BA" w14:paraId="30AC7ACC" w14:textId="77777777">
      <w:pPr>
        <w:pStyle w:val="desc2"/>
        <w:shd w:val="clear" w:color="auto" w:fill="FFFFFF"/>
        <w:ind w:firstLine="720"/>
        <w:rPr>
          <w:sz w:val="24"/>
          <w:szCs w:val="24"/>
          <w:lang w:val="en"/>
        </w:rPr>
      </w:pPr>
      <w:r>
        <w:rPr>
          <w:sz w:val="24"/>
          <w:szCs w:val="24"/>
          <w:lang w:val="en"/>
        </w:rPr>
        <w:t xml:space="preserve">Non-Native American women prisoners: Adverse childhood experiences, and the </w:t>
      </w:r>
    </w:p>
    <w:p w:rsidRPr="00976EFA" w:rsidR="00C366BA" w:rsidP="00C366BA" w:rsidRDefault="00C366BA" w14:paraId="63EFC0DE" w14:textId="77777777">
      <w:pPr>
        <w:pStyle w:val="desc2"/>
        <w:shd w:val="clear" w:color="auto" w:fill="FFFFFF"/>
        <w:ind w:left="720"/>
      </w:pPr>
      <w:r>
        <w:rPr>
          <w:sz w:val="24"/>
          <w:szCs w:val="24"/>
          <w:lang w:val="en"/>
        </w:rPr>
        <w:t xml:space="preserve">perpetration of physical violence in adult intimate relationships. </w:t>
      </w:r>
      <w:r w:rsidRPr="00DB1167">
        <w:rPr>
          <w:i/>
          <w:iCs/>
          <w:sz w:val="24"/>
          <w:szCs w:val="24"/>
          <w:lang w:val="en"/>
        </w:rPr>
        <w:t>Journal of Interpersonal Violence,</w:t>
      </w:r>
      <w:r>
        <w:rPr>
          <w:sz w:val="24"/>
          <w:szCs w:val="24"/>
          <w:lang w:val="en"/>
        </w:rPr>
        <w:t xml:space="preserve"> </w:t>
      </w:r>
      <w:r w:rsidRPr="00DB1167">
        <w:rPr>
          <w:i/>
          <w:iCs/>
          <w:sz w:val="24"/>
          <w:szCs w:val="24"/>
          <w:lang w:val="en"/>
        </w:rPr>
        <w:t>Published Online</w:t>
      </w:r>
      <w:r>
        <w:rPr>
          <w:sz w:val="24"/>
          <w:szCs w:val="24"/>
          <w:lang w:val="en"/>
        </w:rPr>
        <w:t>.</w:t>
      </w:r>
    </w:p>
    <w:p w:rsidRPr="00F92FDD" w:rsidR="00C366BA" w:rsidP="00C366BA" w:rsidRDefault="00C366BA" w14:paraId="10543968" w14:textId="77777777">
      <w:pPr>
        <w:pStyle w:val="EndNoteBibliography"/>
        <w:ind w:left="720" w:hanging="720"/>
      </w:pPr>
      <w:r w:rsidRPr="00F92FDD">
        <w:t xml:space="preserve">Kenny, M., &amp; Singh, G. (2016). Adverse childhood experiences among American Indian/Alaska Native children: The 2011-2012 national survey of children’s health. </w:t>
      </w:r>
      <w:r w:rsidRPr="00F92FDD">
        <w:rPr>
          <w:i/>
        </w:rPr>
        <w:t>Scientifica</w:t>
      </w:r>
      <w:r w:rsidRPr="00F92FDD">
        <w:t>, Vol. 2016, article 7424239.</w:t>
      </w:r>
    </w:p>
    <w:p w:rsidR="00C366BA" w:rsidP="00C366BA" w:rsidRDefault="00C366BA" w14:paraId="4BFA4B00" w14:textId="77777777">
      <w:pPr>
        <w:rPr>
          <w:lang w:val="en"/>
        </w:rPr>
      </w:pPr>
      <w:r w:rsidRPr="00162B06">
        <w:rPr>
          <w:lang w:val="en"/>
        </w:rPr>
        <w:t>Merrick</w:t>
      </w:r>
      <w:r>
        <w:rPr>
          <w:lang w:val="en"/>
        </w:rPr>
        <w:t>,</w:t>
      </w:r>
      <w:r w:rsidRPr="00162B06">
        <w:rPr>
          <w:lang w:val="en"/>
        </w:rPr>
        <w:t xml:space="preserve"> M</w:t>
      </w:r>
      <w:r>
        <w:rPr>
          <w:lang w:val="en"/>
        </w:rPr>
        <w:t xml:space="preserve">. </w:t>
      </w:r>
      <w:r w:rsidRPr="00162B06">
        <w:rPr>
          <w:lang w:val="en"/>
        </w:rPr>
        <w:t>T</w:t>
      </w:r>
      <w:r>
        <w:rPr>
          <w:lang w:val="en"/>
        </w:rPr>
        <w:t>.</w:t>
      </w:r>
      <w:r w:rsidRPr="00162B06">
        <w:rPr>
          <w:lang w:val="en"/>
        </w:rPr>
        <w:t>, Ford</w:t>
      </w:r>
      <w:r>
        <w:rPr>
          <w:lang w:val="en"/>
        </w:rPr>
        <w:t>,</w:t>
      </w:r>
      <w:r w:rsidRPr="00162B06">
        <w:rPr>
          <w:lang w:val="en"/>
        </w:rPr>
        <w:t xml:space="preserve"> D</w:t>
      </w:r>
      <w:r>
        <w:rPr>
          <w:lang w:val="en"/>
        </w:rPr>
        <w:t xml:space="preserve">. </w:t>
      </w:r>
      <w:r w:rsidRPr="00162B06">
        <w:rPr>
          <w:lang w:val="en"/>
        </w:rPr>
        <w:t>C</w:t>
      </w:r>
      <w:r>
        <w:rPr>
          <w:lang w:val="en"/>
        </w:rPr>
        <w:t>.</w:t>
      </w:r>
      <w:r w:rsidRPr="00162B06">
        <w:rPr>
          <w:lang w:val="en"/>
        </w:rPr>
        <w:t>, Ports</w:t>
      </w:r>
      <w:r>
        <w:rPr>
          <w:lang w:val="en"/>
        </w:rPr>
        <w:t>,</w:t>
      </w:r>
      <w:r w:rsidRPr="00162B06">
        <w:rPr>
          <w:lang w:val="en"/>
        </w:rPr>
        <w:t xml:space="preserve"> K</w:t>
      </w:r>
      <w:r>
        <w:rPr>
          <w:lang w:val="en"/>
        </w:rPr>
        <w:t xml:space="preserve">. </w:t>
      </w:r>
      <w:r w:rsidRPr="00162B06">
        <w:rPr>
          <w:lang w:val="en"/>
        </w:rPr>
        <w:t>A</w:t>
      </w:r>
      <w:r>
        <w:rPr>
          <w:lang w:val="en"/>
        </w:rPr>
        <w:t>.</w:t>
      </w:r>
      <w:r w:rsidRPr="00162B06">
        <w:rPr>
          <w:lang w:val="en"/>
        </w:rPr>
        <w:t>, Guinn</w:t>
      </w:r>
      <w:r>
        <w:rPr>
          <w:lang w:val="en"/>
        </w:rPr>
        <w:t>,</w:t>
      </w:r>
      <w:r w:rsidRPr="00162B06">
        <w:rPr>
          <w:lang w:val="en"/>
        </w:rPr>
        <w:t xml:space="preserve"> A</w:t>
      </w:r>
      <w:r>
        <w:rPr>
          <w:lang w:val="en"/>
        </w:rPr>
        <w:t xml:space="preserve">. </w:t>
      </w:r>
      <w:r w:rsidRPr="00162B06">
        <w:rPr>
          <w:lang w:val="en"/>
        </w:rPr>
        <w:t>S</w:t>
      </w:r>
      <w:r>
        <w:rPr>
          <w:lang w:val="en"/>
        </w:rPr>
        <w:t>.</w:t>
      </w:r>
      <w:r w:rsidRPr="00162B06">
        <w:rPr>
          <w:lang w:val="en"/>
        </w:rPr>
        <w:t>, Chen</w:t>
      </w:r>
      <w:r>
        <w:rPr>
          <w:lang w:val="en"/>
        </w:rPr>
        <w:t>,</w:t>
      </w:r>
      <w:r w:rsidRPr="00162B06">
        <w:rPr>
          <w:lang w:val="en"/>
        </w:rPr>
        <w:t xml:space="preserve"> J</w:t>
      </w:r>
      <w:r>
        <w:rPr>
          <w:lang w:val="en"/>
        </w:rPr>
        <w:t>.</w:t>
      </w:r>
      <w:r w:rsidRPr="00162B06">
        <w:rPr>
          <w:lang w:val="en"/>
        </w:rPr>
        <w:t>, Klevens</w:t>
      </w:r>
      <w:r>
        <w:rPr>
          <w:lang w:val="en"/>
        </w:rPr>
        <w:t>,</w:t>
      </w:r>
      <w:r w:rsidRPr="00162B06">
        <w:rPr>
          <w:lang w:val="en"/>
        </w:rPr>
        <w:t xml:space="preserve"> J</w:t>
      </w:r>
      <w:r>
        <w:rPr>
          <w:lang w:val="en"/>
        </w:rPr>
        <w:t>.</w:t>
      </w:r>
      <w:r w:rsidRPr="00162B06">
        <w:rPr>
          <w:lang w:val="en"/>
        </w:rPr>
        <w:t>, Metzler</w:t>
      </w:r>
      <w:r>
        <w:rPr>
          <w:lang w:val="en"/>
        </w:rPr>
        <w:t>,</w:t>
      </w:r>
      <w:r w:rsidRPr="00162B06">
        <w:rPr>
          <w:lang w:val="en"/>
        </w:rPr>
        <w:t xml:space="preserve"> M</w:t>
      </w:r>
      <w:r>
        <w:rPr>
          <w:lang w:val="en"/>
        </w:rPr>
        <w:t>.</w:t>
      </w:r>
      <w:r w:rsidRPr="00162B06">
        <w:rPr>
          <w:lang w:val="en"/>
        </w:rPr>
        <w:t>, Jones</w:t>
      </w:r>
      <w:r>
        <w:rPr>
          <w:lang w:val="en"/>
        </w:rPr>
        <w:t xml:space="preserve">, </w:t>
      </w:r>
      <w:r w:rsidRPr="00162B06">
        <w:rPr>
          <w:lang w:val="en"/>
        </w:rPr>
        <w:t xml:space="preserve"> </w:t>
      </w:r>
    </w:p>
    <w:p w:rsidRPr="00C102B4" w:rsidR="00C366BA" w:rsidP="00C366BA" w:rsidRDefault="00C366BA" w14:paraId="5C1C1757" w14:textId="77777777">
      <w:pPr>
        <w:ind w:left="720"/>
      </w:pPr>
      <w:r w:rsidRPr="00162B06">
        <w:rPr>
          <w:lang w:val="en"/>
        </w:rPr>
        <w:t>C</w:t>
      </w:r>
      <w:r>
        <w:rPr>
          <w:lang w:val="en"/>
        </w:rPr>
        <w:t xml:space="preserve">. </w:t>
      </w:r>
      <w:r w:rsidRPr="00162B06">
        <w:rPr>
          <w:lang w:val="en"/>
        </w:rPr>
        <w:t>M</w:t>
      </w:r>
      <w:r>
        <w:rPr>
          <w:lang w:val="en"/>
        </w:rPr>
        <w:t>.</w:t>
      </w:r>
      <w:r w:rsidRPr="00162B06">
        <w:rPr>
          <w:lang w:val="en"/>
        </w:rPr>
        <w:t>, Simon</w:t>
      </w:r>
      <w:r>
        <w:rPr>
          <w:lang w:val="en"/>
        </w:rPr>
        <w:t>,</w:t>
      </w:r>
      <w:r w:rsidRPr="00162B06">
        <w:rPr>
          <w:lang w:val="en"/>
        </w:rPr>
        <w:t xml:space="preserve"> T</w:t>
      </w:r>
      <w:r>
        <w:rPr>
          <w:lang w:val="en"/>
        </w:rPr>
        <w:t xml:space="preserve">. </w:t>
      </w:r>
      <w:r w:rsidRPr="00162B06">
        <w:rPr>
          <w:lang w:val="en"/>
        </w:rPr>
        <w:t>R</w:t>
      </w:r>
      <w:r>
        <w:rPr>
          <w:lang w:val="en"/>
        </w:rPr>
        <w:t>.</w:t>
      </w:r>
      <w:r w:rsidRPr="00162B06">
        <w:rPr>
          <w:lang w:val="en"/>
        </w:rPr>
        <w:t>, Daniel</w:t>
      </w:r>
      <w:r>
        <w:rPr>
          <w:lang w:val="en"/>
        </w:rPr>
        <w:t>,</w:t>
      </w:r>
      <w:r w:rsidRPr="00162B06">
        <w:rPr>
          <w:lang w:val="en"/>
        </w:rPr>
        <w:t xml:space="preserve"> V</w:t>
      </w:r>
      <w:r>
        <w:rPr>
          <w:lang w:val="en"/>
        </w:rPr>
        <w:t xml:space="preserve">. </w:t>
      </w:r>
      <w:r w:rsidRPr="00162B06">
        <w:rPr>
          <w:lang w:val="en"/>
        </w:rPr>
        <w:t>M</w:t>
      </w:r>
      <w:r>
        <w:rPr>
          <w:lang w:val="en"/>
        </w:rPr>
        <w:t>.</w:t>
      </w:r>
      <w:r w:rsidRPr="00162B06">
        <w:rPr>
          <w:lang w:val="en"/>
        </w:rPr>
        <w:t>, Ottley</w:t>
      </w:r>
      <w:r>
        <w:rPr>
          <w:lang w:val="en"/>
        </w:rPr>
        <w:t>,</w:t>
      </w:r>
      <w:r w:rsidRPr="00162B06">
        <w:rPr>
          <w:lang w:val="en"/>
        </w:rPr>
        <w:t xml:space="preserve"> P</w:t>
      </w:r>
      <w:r>
        <w:rPr>
          <w:lang w:val="en"/>
        </w:rPr>
        <w:t>.</w:t>
      </w:r>
      <w:r w:rsidRPr="00162B06">
        <w:rPr>
          <w:lang w:val="en"/>
        </w:rPr>
        <w:t>, Mercy</w:t>
      </w:r>
      <w:r>
        <w:rPr>
          <w:lang w:val="en"/>
        </w:rPr>
        <w:t>,</w:t>
      </w:r>
      <w:r w:rsidRPr="00162B06">
        <w:rPr>
          <w:lang w:val="en"/>
        </w:rPr>
        <w:t xml:space="preserve"> J</w:t>
      </w:r>
      <w:r>
        <w:rPr>
          <w:lang w:val="en"/>
        </w:rPr>
        <w:t xml:space="preserve">. </w:t>
      </w:r>
      <w:r w:rsidRPr="00162B06">
        <w:rPr>
          <w:lang w:val="en"/>
        </w:rPr>
        <w:t xml:space="preserve">A. </w:t>
      </w:r>
      <w:r>
        <w:rPr>
          <w:lang w:val="en"/>
        </w:rPr>
        <w:t xml:space="preserve">(2019). </w:t>
      </w:r>
      <w:hyperlink w:history="1" r:id="rId16">
        <w:r w:rsidRPr="00681741">
          <w:rPr>
            <w:lang w:val="en"/>
          </w:rPr>
          <w:t>Vital Signs: Estimated proportion of adult health problems attributable to adverse childhood experiences and implications for prevention - 25 states, 2015-2017.</w:t>
        </w:r>
      </w:hyperlink>
      <w:r w:rsidRPr="00681741">
        <w:rPr>
          <w:lang w:val="en"/>
        </w:rPr>
        <w:t xml:space="preserve"> </w:t>
      </w:r>
      <w:r w:rsidRPr="00162B06">
        <w:rPr>
          <w:rStyle w:val="jrnl"/>
          <w:i/>
          <w:iCs/>
          <w:lang w:val="en"/>
        </w:rPr>
        <w:t xml:space="preserve">MMWR Morbidity and Mortality Weekly Report, </w:t>
      </w:r>
      <w:r w:rsidRPr="00162B06">
        <w:rPr>
          <w:i/>
          <w:iCs/>
          <w:lang w:val="en"/>
        </w:rPr>
        <w:t>68</w:t>
      </w:r>
      <w:r>
        <w:rPr>
          <w:lang w:val="en"/>
        </w:rPr>
        <w:t xml:space="preserve">, </w:t>
      </w:r>
      <w:r w:rsidRPr="00162B06">
        <w:rPr>
          <w:lang w:val="en"/>
        </w:rPr>
        <w:t>999-1005</w:t>
      </w:r>
      <w:r>
        <w:rPr>
          <w:lang w:val="en"/>
        </w:rPr>
        <w:t>.</w:t>
      </w:r>
    </w:p>
    <w:p w:rsidR="00C366BA" w:rsidP="00C366BA" w:rsidRDefault="00C366BA" w14:paraId="3CB8445D" w14:textId="77777777">
      <w:r w:rsidRPr="00F92FDD">
        <w:t xml:space="preserve">Mersky, J., Janczewski, C., &amp; Nitkowski, J. (2018). Poor mental health among low-income </w:t>
      </w:r>
    </w:p>
    <w:p w:rsidRPr="00F92FDD" w:rsidR="00C366BA" w:rsidP="00C366BA" w:rsidRDefault="00C366BA" w14:paraId="042382E0" w14:textId="77777777">
      <w:pPr>
        <w:ind w:left="720"/>
      </w:pPr>
      <w:r w:rsidRPr="00F92FDD">
        <w:t xml:space="preserve">women in the US: The roles of adverse childhood and adult experiences. </w:t>
      </w:r>
      <w:r w:rsidRPr="00F92FDD">
        <w:rPr>
          <w:i/>
        </w:rPr>
        <w:t>Social Science &amp; Medicine, 206</w:t>
      </w:r>
      <w:r w:rsidRPr="00F92FDD">
        <w:t>, 14-21</w:t>
      </w:r>
    </w:p>
    <w:p w:rsidR="00C366BA" w:rsidP="00C366BA" w:rsidRDefault="00C366BA" w14:paraId="61606BBE" w14:textId="02A0E6FD">
      <w:pPr>
        <w:pStyle w:val="EndNoteBibliography"/>
        <w:ind w:left="720" w:hanging="720"/>
      </w:pPr>
      <w:r w:rsidRPr="009E0030">
        <w:t xml:space="preserve">Meyer, R., Patel, A. M., Rattana, S. K., Quock, T. P., &amp; Mody, S. H. (2014). Prescription opioid abuse: </w:t>
      </w:r>
      <w:r w:rsidR="00946C52">
        <w:t>A</w:t>
      </w:r>
      <w:r w:rsidRPr="009E0030">
        <w:t xml:space="preserve"> literature review of the clinical and economic burden in the United States. </w:t>
      </w:r>
      <w:r w:rsidRPr="009E0030">
        <w:rPr>
          <w:i/>
        </w:rPr>
        <w:t>Popul Health Manag, 17</w:t>
      </w:r>
      <w:r w:rsidRPr="009E0030">
        <w:t>, 372-387. doi:10.1089/pop.2013.0098</w:t>
      </w:r>
    </w:p>
    <w:p w:rsidR="00C366BA" w:rsidP="00C366BA" w:rsidRDefault="00C366BA" w14:paraId="4B1243D8" w14:textId="46CC966B">
      <w:pPr>
        <w:pStyle w:val="EndNoteBibliography"/>
        <w:ind w:left="720" w:hanging="720"/>
      </w:pPr>
      <w:r>
        <w:t xml:space="preserve">National Child Traumatic Stress Network. (2019). Retrieved from </w:t>
      </w:r>
      <w:r w:rsidRPr="005968E1">
        <w:t>https://www.nctsn.org/what-is-child-trauma/about-child-trauma</w:t>
      </w:r>
      <w:r>
        <w:t>.</w:t>
      </w:r>
    </w:p>
    <w:p w:rsidR="00077DA5" w:rsidP="00C366BA" w:rsidRDefault="00077DA5" w14:paraId="0FC57E01" w14:textId="77777777">
      <w:pPr>
        <w:pStyle w:val="EndNoteBibliography"/>
        <w:ind w:left="720" w:hanging="720"/>
      </w:pPr>
      <w:r>
        <w:t xml:space="preserve">Narayan, A.I., Rivera, L. M., Bernstein, R. E., Harris, W. W., &amp; Lieberman, A. F. (2018). Positive childhood experiences predict less psychopathology and stress in pregnant women with childhood adversity: A pilot study of the benevolent childhood experiences (BCEs) scale. </w:t>
      </w:r>
      <w:r w:rsidRPr="00077DA5">
        <w:rPr>
          <w:i/>
          <w:iCs/>
        </w:rPr>
        <w:t>Child Abuse and Neglect, 78</w:t>
      </w:r>
      <w:r>
        <w:t>, 19-30.</w:t>
      </w:r>
    </w:p>
    <w:p w:rsidR="00C366BA" w:rsidP="00C366BA" w:rsidRDefault="00C366BA" w14:paraId="112F0D95" w14:textId="77777777">
      <w:pPr>
        <w:pStyle w:val="EndNoteBibliography"/>
        <w:ind w:left="720" w:hanging="720"/>
      </w:pPr>
      <w:r w:rsidRPr="009E0030">
        <w:lastRenderedPageBreak/>
        <w:t xml:space="preserve">Ports, K. A., Ford, D. C., &amp; Merrick, M. T. (2016). Adverse childhood experiences and sexual victimization in adulthood. </w:t>
      </w:r>
      <w:r w:rsidRPr="009E0030">
        <w:rPr>
          <w:i/>
        </w:rPr>
        <w:t xml:space="preserve">Child Abuse </w:t>
      </w:r>
      <w:r>
        <w:rPr>
          <w:i/>
        </w:rPr>
        <w:t xml:space="preserve">and </w:t>
      </w:r>
      <w:r w:rsidRPr="009E0030">
        <w:rPr>
          <w:i/>
        </w:rPr>
        <w:t>Negl</w:t>
      </w:r>
      <w:r>
        <w:rPr>
          <w:i/>
        </w:rPr>
        <w:t>ect</w:t>
      </w:r>
      <w:r w:rsidRPr="009E0030">
        <w:rPr>
          <w:i/>
        </w:rPr>
        <w:t>, 51</w:t>
      </w:r>
      <w:r w:rsidRPr="009E0030">
        <w:t>, 313-322. doi:10.1016/j.chiabu.2015.08.017</w:t>
      </w:r>
    </w:p>
    <w:p w:rsidR="005E3DBD" w:rsidP="00C366BA" w:rsidRDefault="005E3DBD" w14:paraId="118634EB" w14:textId="2DC9091D">
      <w:pPr>
        <w:pStyle w:val="EndNoteBibliography"/>
        <w:ind w:left="720" w:hanging="720"/>
      </w:pPr>
      <w:r>
        <w:t xml:space="preserve">Romanowicz, M., Vande Voort, J. L., Shekunov, J., Oesterle, T. S., Thusius, N. J., Rummans, T. A., Croarkin, P. E., Karpyak, V. M., Lynch, B. A., &amp; Schak, K. M. (2019). The effects of parental opioid use on the parent-child relationship and children's developmental and behavioral outcomes: A systematic review of published reports. </w:t>
      </w:r>
      <w:r w:rsidRPr="003507BC">
        <w:rPr>
          <w:i/>
          <w:iCs/>
        </w:rPr>
        <w:t>Child and Adolescent Psychiatry and Mental Health, 13</w:t>
      </w:r>
      <w:r>
        <w:t xml:space="preserve">, Article 5. </w:t>
      </w:r>
    </w:p>
    <w:p w:rsidR="005E3DBD" w:rsidP="00C366BA" w:rsidRDefault="005E3DBD" w14:paraId="3C331639" w14:textId="3FED4470">
      <w:pPr>
        <w:pStyle w:val="EndNoteBibliography"/>
        <w:ind w:left="720" w:hanging="720"/>
      </w:pPr>
      <w:r>
        <w:t xml:space="preserve">Sapp, A. J., </w:t>
      </w:r>
      <w:r w:rsidR="00923F54">
        <w:t xml:space="preserve">&amp; Hooten, P. (2019). Working with families impacted by the opiod crisis: Education, best practices, and providing hope. </w:t>
      </w:r>
      <w:r w:rsidRPr="003507BC" w:rsidR="00923F54">
        <w:rPr>
          <w:i/>
          <w:iCs/>
        </w:rPr>
        <w:t>Archives of Psychiatric Nursing, 33</w:t>
      </w:r>
      <w:r w:rsidR="00923F54">
        <w:t>, 3-8.</w:t>
      </w:r>
    </w:p>
    <w:p w:rsidRPr="009E0030" w:rsidR="00C366BA" w:rsidP="00C366BA" w:rsidRDefault="00C366BA" w14:paraId="30629BE6" w14:textId="58A48FF2">
      <w:pPr>
        <w:pStyle w:val="EndNoteBibliography"/>
        <w:ind w:left="720" w:hanging="720"/>
      </w:pPr>
      <w:r w:rsidRPr="009E0030">
        <w:t xml:space="preserve">Schofield, T. J., Lee, R. D., &amp; Merrick, M. T. (2013). Safe, stable, nurturing relationships as a moderator of intergenerational continuity of child maltreatment: a meta-analysis. </w:t>
      </w:r>
      <w:r w:rsidRPr="009E0030">
        <w:rPr>
          <w:i/>
        </w:rPr>
        <w:t>J</w:t>
      </w:r>
      <w:r>
        <w:rPr>
          <w:i/>
        </w:rPr>
        <w:t>ournal of</w:t>
      </w:r>
      <w:r w:rsidRPr="009E0030">
        <w:rPr>
          <w:i/>
        </w:rPr>
        <w:t xml:space="preserve"> Adolesc</w:t>
      </w:r>
      <w:r>
        <w:rPr>
          <w:i/>
        </w:rPr>
        <w:t>ent</w:t>
      </w:r>
      <w:r w:rsidRPr="009E0030">
        <w:rPr>
          <w:i/>
        </w:rPr>
        <w:t xml:space="preserve"> Health, 53</w:t>
      </w:r>
      <w:r>
        <w:rPr>
          <w:i/>
        </w:rPr>
        <w:t xml:space="preserve"> </w:t>
      </w:r>
      <w:r w:rsidRPr="009E0030">
        <w:t>(4 Suppl), S32-38. doi:10.1016/j.jadohealth.2013.05.004</w:t>
      </w:r>
    </w:p>
    <w:p w:rsidR="00C60226" w:rsidP="00C366BA" w:rsidRDefault="00C60226" w14:paraId="34DC0EBE" w14:textId="77777777">
      <w:pPr>
        <w:pStyle w:val="title1"/>
        <w:shd w:val="clear" w:color="auto" w:fill="FFFFFF"/>
        <w:rPr>
          <w:sz w:val="24"/>
          <w:szCs w:val="24"/>
          <w:lang w:val="en"/>
        </w:rPr>
      </w:pPr>
      <w:r>
        <w:rPr>
          <w:sz w:val="24"/>
          <w:szCs w:val="24"/>
          <w:lang w:val="en"/>
        </w:rPr>
        <w:t xml:space="preserve">Shaghai, A., Bhopal, R. S., &amp; Sheikh, A. (2011). Approaches to recruiting 'hard-to-reach' </w:t>
      </w:r>
    </w:p>
    <w:p w:rsidR="00C60226" w:rsidP="00C60226" w:rsidRDefault="00C60226" w14:paraId="26873185" w14:textId="3F979280">
      <w:pPr>
        <w:pStyle w:val="title1"/>
        <w:shd w:val="clear" w:color="auto" w:fill="FFFFFF"/>
        <w:ind w:left="720"/>
        <w:rPr>
          <w:sz w:val="24"/>
          <w:szCs w:val="24"/>
          <w:lang w:val="en"/>
        </w:rPr>
      </w:pPr>
      <w:r>
        <w:rPr>
          <w:sz w:val="24"/>
          <w:szCs w:val="24"/>
          <w:lang w:val="en"/>
        </w:rPr>
        <w:t xml:space="preserve">populations into research: A review of the literature. </w:t>
      </w:r>
      <w:r w:rsidRPr="00C60226">
        <w:rPr>
          <w:i/>
          <w:iCs/>
          <w:sz w:val="24"/>
          <w:szCs w:val="24"/>
          <w:lang w:val="en"/>
        </w:rPr>
        <w:t>Health Promotion Perspective, 1</w:t>
      </w:r>
      <w:r>
        <w:rPr>
          <w:sz w:val="24"/>
          <w:szCs w:val="24"/>
          <w:lang w:val="en"/>
        </w:rPr>
        <w:t>, 86-94.</w:t>
      </w:r>
    </w:p>
    <w:p w:rsidR="00560C6A" w:rsidP="00C366BA" w:rsidRDefault="00560C6A" w14:paraId="6E54F277" w14:textId="77777777">
      <w:pPr>
        <w:pStyle w:val="title1"/>
        <w:shd w:val="clear" w:color="auto" w:fill="FFFFFF"/>
        <w:rPr>
          <w:sz w:val="24"/>
          <w:szCs w:val="24"/>
          <w:lang w:val="en"/>
        </w:rPr>
      </w:pPr>
      <w:r>
        <w:rPr>
          <w:sz w:val="24"/>
          <w:szCs w:val="24"/>
          <w:lang w:val="en"/>
        </w:rPr>
        <w:t xml:space="preserve">Singer, E., van Hoewyk, J., &amp; Maher, M. P. (2000). Experiments with incentives in telephone </w:t>
      </w:r>
    </w:p>
    <w:p w:rsidR="00560C6A" w:rsidP="00560C6A" w:rsidRDefault="00560C6A" w14:paraId="07352E1B" w14:textId="2F767435">
      <w:pPr>
        <w:pStyle w:val="title1"/>
        <w:shd w:val="clear" w:color="auto" w:fill="FFFFFF"/>
        <w:ind w:firstLine="720"/>
        <w:rPr>
          <w:sz w:val="24"/>
          <w:szCs w:val="24"/>
          <w:lang w:val="en"/>
        </w:rPr>
      </w:pPr>
      <w:r>
        <w:rPr>
          <w:sz w:val="24"/>
          <w:szCs w:val="24"/>
          <w:lang w:val="en"/>
        </w:rPr>
        <w:t xml:space="preserve">surveys. </w:t>
      </w:r>
      <w:r w:rsidRPr="00560C6A">
        <w:rPr>
          <w:i/>
          <w:iCs/>
          <w:sz w:val="24"/>
          <w:szCs w:val="24"/>
          <w:lang w:val="en"/>
        </w:rPr>
        <w:t>Public Opinion Quarterly, 64</w:t>
      </w:r>
      <w:r>
        <w:rPr>
          <w:sz w:val="24"/>
          <w:szCs w:val="24"/>
          <w:lang w:val="en"/>
        </w:rPr>
        <w:t>, 171-188.</w:t>
      </w:r>
    </w:p>
    <w:p w:rsidR="00C366BA" w:rsidP="00C366BA" w:rsidRDefault="00C366BA" w14:paraId="6E7B07E4" w14:textId="67281186">
      <w:pPr>
        <w:pStyle w:val="title1"/>
        <w:shd w:val="clear" w:color="auto" w:fill="FFFFFF"/>
        <w:rPr>
          <w:sz w:val="24"/>
          <w:szCs w:val="24"/>
          <w:lang w:val="en"/>
        </w:rPr>
      </w:pPr>
      <w:r w:rsidRPr="00162B06">
        <w:rPr>
          <w:sz w:val="24"/>
          <w:szCs w:val="24"/>
          <w:lang w:val="en"/>
        </w:rPr>
        <w:t>Stein</w:t>
      </w:r>
      <w:r>
        <w:rPr>
          <w:sz w:val="24"/>
          <w:szCs w:val="24"/>
          <w:lang w:val="en"/>
        </w:rPr>
        <w:t>,</w:t>
      </w:r>
      <w:r w:rsidRPr="00162B06">
        <w:rPr>
          <w:sz w:val="24"/>
          <w:szCs w:val="24"/>
          <w:lang w:val="en"/>
        </w:rPr>
        <w:t xml:space="preserve"> M</w:t>
      </w:r>
      <w:r>
        <w:rPr>
          <w:sz w:val="24"/>
          <w:szCs w:val="24"/>
          <w:lang w:val="en"/>
        </w:rPr>
        <w:t xml:space="preserve">. </w:t>
      </w:r>
      <w:r w:rsidRPr="00162B06">
        <w:rPr>
          <w:sz w:val="24"/>
          <w:szCs w:val="24"/>
          <w:lang w:val="en"/>
        </w:rPr>
        <w:t>D</w:t>
      </w:r>
      <w:r>
        <w:rPr>
          <w:sz w:val="24"/>
          <w:szCs w:val="24"/>
          <w:lang w:val="en"/>
        </w:rPr>
        <w:t>.</w:t>
      </w:r>
      <w:r w:rsidRPr="00162B06">
        <w:rPr>
          <w:sz w:val="24"/>
          <w:szCs w:val="24"/>
          <w:lang w:val="en"/>
        </w:rPr>
        <w:t>, Conti</w:t>
      </w:r>
      <w:r>
        <w:rPr>
          <w:sz w:val="24"/>
          <w:szCs w:val="24"/>
          <w:lang w:val="en"/>
        </w:rPr>
        <w:t>,</w:t>
      </w:r>
      <w:r w:rsidRPr="00162B06">
        <w:rPr>
          <w:sz w:val="24"/>
          <w:szCs w:val="24"/>
          <w:lang w:val="en"/>
        </w:rPr>
        <w:t xml:space="preserve"> M</w:t>
      </w:r>
      <w:r>
        <w:rPr>
          <w:sz w:val="24"/>
          <w:szCs w:val="24"/>
          <w:lang w:val="en"/>
        </w:rPr>
        <w:t xml:space="preserve">. </w:t>
      </w:r>
      <w:r w:rsidRPr="00162B06">
        <w:rPr>
          <w:sz w:val="24"/>
          <w:szCs w:val="24"/>
          <w:lang w:val="en"/>
        </w:rPr>
        <w:t>T</w:t>
      </w:r>
      <w:r>
        <w:rPr>
          <w:sz w:val="24"/>
          <w:szCs w:val="24"/>
          <w:lang w:val="en"/>
        </w:rPr>
        <w:t>.</w:t>
      </w:r>
      <w:r w:rsidRPr="00162B06">
        <w:rPr>
          <w:sz w:val="24"/>
          <w:szCs w:val="24"/>
          <w:lang w:val="en"/>
        </w:rPr>
        <w:t>, Kenney</w:t>
      </w:r>
      <w:r>
        <w:rPr>
          <w:sz w:val="24"/>
          <w:szCs w:val="24"/>
          <w:lang w:val="en"/>
        </w:rPr>
        <w:t>,</w:t>
      </w:r>
      <w:r w:rsidRPr="00162B06">
        <w:rPr>
          <w:sz w:val="24"/>
          <w:szCs w:val="24"/>
          <w:lang w:val="en"/>
        </w:rPr>
        <w:t xml:space="preserve"> S</w:t>
      </w:r>
      <w:r>
        <w:rPr>
          <w:sz w:val="24"/>
          <w:szCs w:val="24"/>
          <w:lang w:val="en"/>
        </w:rPr>
        <w:t>.</w:t>
      </w:r>
      <w:r w:rsidRPr="00162B06">
        <w:rPr>
          <w:sz w:val="24"/>
          <w:szCs w:val="24"/>
          <w:lang w:val="en"/>
        </w:rPr>
        <w:t>, Anderson</w:t>
      </w:r>
      <w:r>
        <w:rPr>
          <w:sz w:val="24"/>
          <w:szCs w:val="24"/>
          <w:lang w:val="en"/>
        </w:rPr>
        <w:t>,</w:t>
      </w:r>
      <w:r w:rsidRPr="00162B06">
        <w:rPr>
          <w:sz w:val="24"/>
          <w:szCs w:val="24"/>
          <w:lang w:val="en"/>
        </w:rPr>
        <w:t xml:space="preserve"> B</w:t>
      </w:r>
      <w:r>
        <w:rPr>
          <w:sz w:val="24"/>
          <w:szCs w:val="24"/>
          <w:lang w:val="en"/>
        </w:rPr>
        <w:t xml:space="preserve">. </w:t>
      </w:r>
      <w:r w:rsidRPr="00162B06">
        <w:rPr>
          <w:sz w:val="24"/>
          <w:szCs w:val="24"/>
          <w:lang w:val="en"/>
        </w:rPr>
        <w:t>J</w:t>
      </w:r>
      <w:r>
        <w:rPr>
          <w:sz w:val="24"/>
          <w:szCs w:val="24"/>
          <w:lang w:val="en"/>
        </w:rPr>
        <w:t>.</w:t>
      </w:r>
      <w:r w:rsidRPr="00162B06">
        <w:rPr>
          <w:sz w:val="24"/>
          <w:szCs w:val="24"/>
          <w:lang w:val="en"/>
        </w:rPr>
        <w:t>, Flori</w:t>
      </w:r>
      <w:r>
        <w:rPr>
          <w:sz w:val="24"/>
          <w:szCs w:val="24"/>
          <w:lang w:val="en"/>
        </w:rPr>
        <w:t>,</w:t>
      </w:r>
      <w:r w:rsidRPr="00162B06">
        <w:rPr>
          <w:sz w:val="24"/>
          <w:szCs w:val="24"/>
          <w:lang w:val="en"/>
        </w:rPr>
        <w:t xml:space="preserve"> J</w:t>
      </w:r>
      <w:r>
        <w:rPr>
          <w:sz w:val="24"/>
          <w:szCs w:val="24"/>
          <w:lang w:val="en"/>
        </w:rPr>
        <w:t xml:space="preserve">. </w:t>
      </w:r>
      <w:r w:rsidRPr="00162B06">
        <w:rPr>
          <w:sz w:val="24"/>
          <w:szCs w:val="24"/>
          <w:lang w:val="en"/>
        </w:rPr>
        <w:t>N, Risi</w:t>
      </w:r>
      <w:r>
        <w:rPr>
          <w:sz w:val="24"/>
          <w:szCs w:val="24"/>
          <w:lang w:val="en"/>
        </w:rPr>
        <w:t>,</w:t>
      </w:r>
      <w:r w:rsidRPr="00162B06">
        <w:rPr>
          <w:sz w:val="24"/>
          <w:szCs w:val="24"/>
          <w:lang w:val="en"/>
        </w:rPr>
        <w:t xml:space="preserve"> M</w:t>
      </w:r>
      <w:r>
        <w:rPr>
          <w:sz w:val="24"/>
          <w:szCs w:val="24"/>
          <w:lang w:val="en"/>
        </w:rPr>
        <w:t xml:space="preserve">. </w:t>
      </w:r>
      <w:r w:rsidRPr="00162B06">
        <w:rPr>
          <w:sz w:val="24"/>
          <w:szCs w:val="24"/>
          <w:lang w:val="en"/>
        </w:rPr>
        <w:t>M</w:t>
      </w:r>
      <w:r>
        <w:rPr>
          <w:sz w:val="24"/>
          <w:szCs w:val="24"/>
          <w:lang w:val="en"/>
        </w:rPr>
        <w:t>.</w:t>
      </w:r>
      <w:r w:rsidRPr="00162B06">
        <w:rPr>
          <w:sz w:val="24"/>
          <w:szCs w:val="24"/>
          <w:lang w:val="en"/>
        </w:rPr>
        <w:t xml:space="preserve">, </w:t>
      </w:r>
      <w:r>
        <w:rPr>
          <w:sz w:val="24"/>
          <w:szCs w:val="24"/>
          <w:lang w:val="en"/>
        </w:rPr>
        <w:t xml:space="preserve">&amp; </w:t>
      </w:r>
      <w:r w:rsidRPr="00162B06">
        <w:rPr>
          <w:sz w:val="24"/>
          <w:szCs w:val="24"/>
          <w:lang w:val="en"/>
        </w:rPr>
        <w:t>Bailey</w:t>
      </w:r>
      <w:r>
        <w:rPr>
          <w:sz w:val="24"/>
          <w:szCs w:val="24"/>
          <w:lang w:val="en"/>
        </w:rPr>
        <w:t>,</w:t>
      </w:r>
      <w:r w:rsidRPr="00162B06">
        <w:rPr>
          <w:sz w:val="24"/>
          <w:szCs w:val="24"/>
          <w:lang w:val="en"/>
        </w:rPr>
        <w:t xml:space="preserve"> G</w:t>
      </w:r>
      <w:r>
        <w:rPr>
          <w:sz w:val="24"/>
          <w:szCs w:val="24"/>
          <w:lang w:val="en"/>
        </w:rPr>
        <w:t xml:space="preserve">. </w:t>
      </w:r>
      <w:r w:rsidRPr="00162B06">
        <w:rPr>
          <w:sz w:val="24"/>
          <w:szCs w:val="24"/>
          <w:lang w:val="en"/>
        </w:rPr>
        <w:t>L.</w:t>
      </w:r>
      <w:r>
        <w:rPr>
          <w:sz w:val="24"/>
          <w:szCs w:val="24"/>
          <w:lang w:val="en"/>
        </w:rPr>
        <w:t xml:space="preserve"> </w:t>
      </w:r>
    </w:p>
    <w:p w:rsidR="00C366BA" w:rsidP="00C366BA" w:rsidRDefault="00C366BA" w14:paraId="00EA97B0" w14:textId="77777777">
      <w:pPr>
        <w:pStyle w:val="title1"/>
        <w:shd w:val="clear" w:color="auto" w:fill="FFFFFF"/>
        <w:ind w:firstLine="720"/>
        <w:rPr>
          <w:sz w:val="24"/>
          <w:szCs w:val="24"/>
          <w:lang w:val="en"/>
        </w:rPr>
      </w:pPr>
      <w:r>
        <w:rPr>
          <w:sz w:val="24"/>
          <w:szCs w:val="24"/>
          <w:lang w:val="en"/>
        </w:rPr>
        <w:t>(2017).</w:t>
      </w:r>
      <w:r w:rsidRPr="00162B06">
        <w:rPr>
          <w:sz w:val="24"/>
          <w:szCs w:val="24"/>
          <w:lang w:val="en"/>
        </w:rPr>
        <w:t xml:space="preserve"> </w:t>
      </w:r>
      <w:r>
        <w:rPr>
          <w:sz w:val="24"/>
          <w:szCs w:val="24"/>
          <w:lang w:val="en"/>
        </w:rPr>
        <w:t xml:space="preserve">Adverse childhood experience effects on opioid use initiation, injection drug use, </w:t>
      </w:r>
    </w:p>
    <w:p w:rsidRPr="004D7C62" w:rsidR="00C366BA" w:rsidP="004D7C62" w:rsidRDefault="00C366BA" w14:paraId="42C9F71B" w14:textId="273292B5">
      <w:pPr>
        <w:pStyle w:val="title1"/>
        <w:shd w:val="clear" w:color="auto" w:fill="FFFFFF"/>
        <w:ind w:left="720"/>
        <w:rPr>
          <w:sz w:val="24"/>
          <w:szCs w:val="24"/>
          <w:lang w:val="en"/>
        </w:rPr>
      </w:pPr>
      <w:r>
        <w:rPr>
          <w:sz w:val="24"/>
          <w:szCs w:val="24"/>
          <w:lang w:val="en"/>
        </w:rPr>
        <w:t xml:space="preserve">and among persons with opioid use disorder. </w:t>
      </w:r>
      <w:r w:rsidRPr="00162B06">
        <w:rPr>
          <w:rStyle w:val="jrnl"/>
          <w:i/>
          <w:iCs/>
          <w:sz w:val="24"/>
          <w:szCs w:val="24"/>
          <w:lang w:val="en"/>
        </w:rPr>
        <w:t xml:space="preserve">Drug and Alcohol Dependence, </w:t>
      </w:r>
      <w:r w:rsidRPr="00162B06">
        <w:rPr>
          <w:i/>
          <w:iCs/>
          <w:sz w:val="24"/>
          <w:szCs w:val="24"/>
          <w:lang w:val="en"/>
        </w:rPr>
        <w:t>179</w:t>
      </w:r>
      <w:r>
        <w:rPr>
          <w:sz w:val="24"/>
          <w:szCs w:val="24"/>
          <w:lang w:val="en"/>
        </w:rPr>
        <w:t xml:space="preserve">, </w:t>
      </w:r>
      <w:r w:rsidRPr="00162B06">
        <w:rPr>
          <w:sz w:val="24"/>
          <w:szCs w:val="24"/>
          <w:lang w:val="en"/>
        </w:rPr>
        <w:t xml:space="preserve">325-329. </w:t>
      </w:r>
    </w:p>
    <w:p w:rsidR="004D7C62" w:rsidP="00077DA5" w:rsidRDefault="004D7C62" w14:paraId="53191422" w14:textId="2189529F">
      <w:pPr>
        <w:pStyle w:val="EndNoteBibliography"/>
        <w:ind w:left="720" w:hanging="720"/>
      </w:pPr>
      <w:r>
        <w:t xml:space="preserve">Tipps, R. T., Buzzard, G. T., &amp; McDougall, J. A. (2018). The opioid epidemic in Indian Country. </w:t>
      </w:r>
      <w:r w:rsidRPr="00EF1F17">
        <w:rPr>
          <w:i/>
          <w:iCs/>
        </w:rPr>
        <w:t>Journal of Law, Medicine &amp; Ethics, 46</w:t>
      </w:r>
      <w:r>
        <w:t>, 422-436.</w:t>
      </w:r>
    </w:p>
    <w:p w:rsidR="00946C52" w:rsidP="00077DA5" w:rsidRDefault="00946C52" w14:paraId="2C33702F" w14:textId="1B95E695">
      <w:pPr>
        <w:pStyle w:val="EndNoteBibliography"/>
        <w:ind w:left="720" w:hanging="720"/>
      </w:pPr>
      <w:r w:rsidRPr="00946C52">
        <w:t>Walls, M., Sittner, K. J., Whitbeck, L. B., Herman, K., Gonzalez, M., Elm, J. H., ... &amp; Hoyt, D. R. (2020). Prevalence of mental disorders from adolescence through early adulthood in American Indian and First Nations communities. </w:t>
      </w:r>
      <w:r w:rsidRPr="00946C52">
        <w:rPr>
          <w:i/>
          <w:iCs/>
        </w:rPr>
        <w:t>International Journal of Mental Health and Addiction</w:t>
      </w:r>
      <w:r w:rsidRPr="00946C52">
        <w:t>, 1-15.</w:t>
      </w:r>
    </w:p>
    <w:p w:rsidR="00E0541F" w:rsidP="00077DA5" w:rsidRDefault="00E0541F" w14:paraId="23FC54AD" w14:textId="10E36C49">
      <w:pPr>
        <w:pStyle w:val="EndNoteBibliography"/>
        <w:ind w:left="720" w:hanging="720"/>
      </w:pPr>
      <w:r w:rsidRPr="00E0541F">
        <w:t>Warne, D., Dulacki, K., Spurlock, M., Meath, T., Davis, M. M., Wright, B., &amp; McConnell, K. J. (2017). Adverse childhood experiences (ACE) among American Indians in South Dakota and associations with mental health conditions, alcohol use, and smoking. </w:t>
      </w:r>
      <w:r w:rsidRPr="00E0541F">
        <w:rPr>
          <w:i/>
          <w:iCs/>
        </w:rPr>
        <w:t xml:space="preserve">Journal of </w:t>
      </w:r>
      <w:r>
        <w:rPr>
          <w:i/>
          <w:iCs/>
        </w:rPr>
        <w:t>H</w:t>
      </w:r>
      <w:r w:rsidRPr="00E0541F">
        <w:rPr>
          <w:i/>
          <w:iCs/>
        </w:rPr>
        <w:t xml:space="preserve">ealth </w:t>
      </w:r>
      <w:r>
        <w:rPr>
          <w:i/>
          <w:iCs/>
        </w:rPr>
        <w:t>C</w:t>
      </w:r>
      <w:r w:rsidRPr="00E0541F">
        <w:rPr>
          <w:i/>
          <w:iCs/>
        </w:rPr>
        <w:t>are for the</w:t>
      </w:r>
      <w:r>
        <w:rPr>
          <w:i/>
          <w:iCs/>
        </w:rPr>
        <w:t>P</w:t>
      </w:r>
      <w:r w:rsidRPr="00E0541F">
        <w:rPr>
          <w:i/>
          <w:iCs/>
        </w:rPr>
        <w:t xml:space="preserve">poor and </w:t>
      </w:r>
      <w:r>
        <w:rPr>
          <w:i/>
          <w:iCs/>
        </w:rPr>
        <w:t>U</w:t>
      </w:r>
      <w:r w:rsidRPr="00E0541F">
        <w:rPr>
          <w:i/>
          <w:iCs/>
        </w:rPr>
        <w:t>nderserved</w:t>
      </w:r>
      <w:r w:rsidRPr="00E0541F">
        <w:t>, </w:t>
      </w:r>
      <w:r w:rsidRPr="00E0541F">
        <w:rPr>
          <w:i/>
          <w:iCs/>
        </w:rPr>
        <w:t>28</w:t>
      </w:r>
      <w:r w:rsidRPr="00E0541F">
        <w:t>(4), 1559-1577.</w:t>
      </w:r>
    </w:p>
    <w:p w:rsidR="00C366BA" w:rsidP="00077DA5" w:rsidRDefault="00C366BA" w14:paraId="1C4BC9DE" w14:textId="53D2A537">
      <w:pPr>
        <w:pStyle w:val="EndNoteBibliography"/>
        <w:ind w:left="720" w:hanging="720"/>
      </w:pPr>
      <w:r w:rsidRPr="009E0030">
        <w:t xml:space="preserve">Wright, M. O. D., Masten, A. S., &amp; Narayan, A. J. . (2013). Resilience processes in development: Four waves of research on positive adaptation in the context of adversity. In </w:t>
      </w:r>
      <w:r w:rsidRPr="009E0030">
        <w:rPr>
          <w:i/>
        </w:rPr>
        <w:t xml:space="preserve">Handbook of </w:t>
      </w:r>
      <w:r>
        <w:rPr>
          <w:i/>
        </w:rPr>
        <w:t>R</w:t>
      </w:r>
      <w:r w:rsidRPr="009E0030">
        <w:rPr>
          <w:i/>
        </w:rPr>
        <w:t xml:space="preserve">esilience in </w:t>
      </w:r>
      <w:r>
        <w:rPr>
          <w:i/>
        </w:rPr>
        <w:t>C</w:t>
      </w:r>
      <w:r w:rsidRPr="009E0030">
        <w:rPr>
          <w:i/>
        </w:rPr>
        <w:t xml:space="preserve">hildren </w:t>
      </w:r>
      <w:r w:rsidRPr="009E0030">
        <w:t>(pp. 15-37). Boston, MA.: Springer.</w:t>
      </w:r>
    </w:p>
    <w:p w:rsidR="00045DA4" w:rsidP="00077DA5" w:rsidRDefault="00045DA4" w14:paraId="52484FA5" w14:textId="34B0EA9F">
      <w:pPr>
        <w:pStyle w:val="EndNoteBibliography"/>
        <w:ind w:left="720" w:hanging="720"/>
      </w:pPr>
      <w:r>
        <w:t xml:space="preserve">Whitebeck, L. B., Adams, G. W., Hoyt, D. R., &amp; Chen, X. (2004). Conceptualizing and measuring historical trauma among American Indian people. </w:t>
      </w:r>
      <w:r w:rsidRPr="00045DA4">
        <w:rPr>
          <w:i/>
          <w:iCs/>
        </w:rPr>
        <w:t>American Journal of Community Psychology, 33</w:t>
      </w:r>
      <w:r>
        <w:t xml:space="preserve">, 119-130. </w:t>
      </w:r>
    </w:p>
    <w:p w:rsidR="00C366BA" w:rsidP="00BB3470" w:rsidRDefault="00077DA5" w14:paraId="23F536E3" w14:textId="7992DFAD">
      <w:pPr>
        <w:pStyle w:val="EndNoteBibliography"/>
        <w:ind w:left="720" w:hanging="720"/>
      </w:pPr>
      <w:r>
        <w:t xml:space="preserve">Whitesell, </w:t>
      </w:r>
      <w:r w:rsidR="00BB3470">
        <w:t xml:space="preserve">N. R., </w:t>
      </w:r>
      <w:r w:rsidR="00C366BA">
        <w:fldChar w:fldCharType="end"/>
      </w:r>
      <w:r w:rsidR="00BB3470">
        <w:t>Beals, J., Crow, C. B., Mitchell, C. M., &amp; Novins, D. L. (2012). Ep</w:t>
      </w:r>
      <w:r w:rsidR="00660B61">
        <w:t>i</w:t>
      </w:r>
      <w:r w:rsidR="00BB3470">
        <w:t xml:space="preserve">demiology and etiology of substance use among American Indians and Alaska Natives: Risk, protection, and implications for prevention. </w:t>
      </w:r>
      <w:r w:rsidRPr="005B2B40" w:rsidR="00BB3470">
        <w:rPr>
          <w:i/>
        </w:rPr>
        <w:t>The American Journal of Drug and Alcohol</w:t>
      </w:r>
      <w:r w:rsidR="00660B61">
        <w:rPr>
          <w:i/>
        </w:rPr>
        <w:t xml:space="preserve"> </w:t>
      </w:r>
      <w:r w:rsidRPr="005B2B40" w:rsidR="00BB3470">
        <w:rPr>
          <w:i/>
        </w:rPr>
        <w:t>Abuse. 38</w:t>
      </w:r>
      <w:r w:rsidR="00BB3470">
        <w:t>, 376-382.</w:t>
      </w:r>
    </w:p>
    <w:p w:rsidRPr="00760067" w:rsidR="00660B61" w:rsidP="00BB3470" w:rsidRDefault="00660B61" w14:paraId="129BE783" w14:textId="0999CE34">
      <w:pPr>
        <w:pStyle w:val="EndNoteBibliography"/>
        <w:ind w:left="720" w:hanging="720"/>
        <w:rPr>
          <w:b/>
          <w:bCs/>
        </w:rPr>
      </w:pPr>
      <w:r>
        <w:t xml:space="preserve">Whitesell, N. R., Sarche, M., Keane, E., Mousseau, A. C., &amp; Kaufman, C. E. (2018). Advancing scientific methods in community and cultural context to promote health equity: Lessons from intervention outcomes research with American Indian and Alaska Native communities. </w:t>
      </w:r>
      <w:r w:rsidRPr="003507BC">
        <w:rPr>
          <w:i/>
          <w:iCs/>
        </w:rPr>
        <w:t>American Journal of Evaluation, 39</w:t>
      </w:r>
      <w:r>
        <w:t xml:space="preserve">, 42-57. </w:t>
      </w:r>
    </w:p>
    <w:sectPr w:rsidRPr="00760067" w:rsidR="00660B61" w:rsidSect="001A0A8C">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8A761" w14:textId="77777777" w:rsidR="00597D29" w:rsidRDefault="00597D29">
      <w:r>
        <w:separator/>
      </w:r>
    </w:p>
  </w:endnote>
  <w:endnote w:type="continuationSeparator" w:id="0">
    <w:p w14:paraId="4E2DE1C4" w14:textId="77777777" w:rsidR="00597D29" w:rsidRDefault="00597D29">
      <w:r>
        <w:continuationSeparator/>
      </w:r>
    </w:p>
  </w:endnote>
  <w:endnote w:type="continuationNotice" w:id="1">
    <w:p w14:paraId="5C37AA1A" w14:textId="77777777" w:rsidR="00597D29" w:rsidRDefault="00597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D8E31" w14:textId="77777777" w:rsidR="00597D29" w:rsidRDefault="00597D29"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6D8E32" w14:textId="77777777" w:rsidR="00597D29" w:rsidRDefault="00597D29" w:rsidP="001A0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D8E33" w14:textId="77777777" w:rsidR="00597D29" w:rsidRDefault="00597D29"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56D8E34" w14:textId="77777777" w:rsidR="00597D29" w:rsidRPr="00BB4559" w:rsidRDefault="00597D29" w:rsidP="0014464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47BE0" w14:textId="77777777" w:rsidR="00597D29" w:rsidRDefault="0059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EFD4D" w14:textId="77777777" w:rsidR="00597D29" w:rsidRDefault="00597D29">
      <w:r>
        <w:separator/>
      </w:r>
    </w:p>
  </w:footnote>
  <w:footnote w:type="continuationSeparator" w:id="0">
    <w:p w14:paraId="519C6F05" w14:textId="77777777" w:rsidR="00597D29" w:rsidRDefault="00597D29">
      <w:r>
        <w:continuationSeparator/>
      </w:r>
    </w:p>
  </w:footnote>
  <w:footnote w:type="continuationNotice" w:id="1">
    <w:p w14:paraId="59EE3409" w14:textId="77777777" w:rsidR="00597D29" w:rsidRDefault="00597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5E92" w14:textId="77777777" w:rsidR="00597D29" w:rsidRDefault="00597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01C2A" w14:textId="77777777" w:rsidR="00597D29" w:rsidRDefault="00597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FA98" w14:textId="77777777" w:rsidR="00597D29" w:rsidRDefault="00597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5952"/>
    <w:multiLevelType w:val="hybridMultilevel"/>
    <w:tmpl w:val="0D720C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6168A"/>
    <w:multiLevelType w:val="hybridMultilevel"/>
    <w:tmpl w:val="CF069A4E"/>
    <w:lvl w:ilvl="0" w:tplc="69D0E13E">
      <w:start w:val="2"/>
      <w:numFmt w:val="decimal"/>
      <w:lvlText w:val="%1."/>
      <w:lvlJc w:val="left"/>
      <w:pPr>
        <w:tabs>
          <w:tab w:val="num" w:pos="720"/>
        </w:tabs>
        <w:ind w:left="720" w:hanging="360"/>
      </w:pPr>
    </w:lvl>
    <w:lvl w:ilvl="1" w:tplc="B3F8C7EC" w:tentative="1">
      <w:start w:val="1"/>
      <w:numFmt w:val="decimal"/>
      <w:lvlText w:val="%2."/>
      <w:lvlJc w:val="left"/>
      <w:pPr>
        <w:tabs>
          <w:tab w:val="num" w:pos="1440"/>
        </w:tabs>
        <w:ind w:left="1440" w:hanging="360"/>
      </w:pPr>
    </w:lvl>
    <w:lvl w:ilvl="2" w:tplc="39C6E534" w:tentative="1">
      <w:start w:val="1"/>
      <w:numFmt w:val="decimal"/>
      <w:lvlText w:val="%3."/>
      <w:lvlJc w:val="left"/>
      <w:pPr>
        <w:tabs>
          <w:tab w:val="num" w:pos="2160"/>
        </w:tabs>
        <w:ind w:left="2160" w:hanging="360"/>
      </w:pPr>
    </w:lvl>
    <w:lvl w:ilvl="3" w:tplc="C346C6CA" w:tentative="1">
      <w:start w:val="1"/>
      <w:numFmt w:val="decimal"/>
      <w:lvlText w:val="%4."/>
      <w:lvlJc w:val="left"/>
      <w:pPr>
        <w:tabs>
          <w:tab w:val="num" w:pos="2880"/>
        </w:tabs>
        <w:ind w:left="2880" w:hanging="360"/>
      </w:pPr>
    </w:lvl>
    <w:lvl w:ilvl="4" w:tplc="B7FEFA82" w:tentative="1">
      <w:start w:val="1"/>
      <w:numFmt w:val="decimal"/>
      <w:lvlText w:val="%5."/>
      <w:lvlJc w:val="left"/>
      <w:pPr>
        <w:tabs>
          <w:tab w:val="num" w:pos="3600"/>
        </w:tabs>
        <w:ind w:left="3600" w:hanging="360"/>
      </w:pPr>
    </w:lvl>
    <w:lvl w:ilvl="5" w:tplc="170EC3F4" w:tentative="1">
      <w:start w:val="1"/>
      <w:numFmt w:val="decimal"/>
      <w:lvlText w:val="%6."/>
      <w:lvlJc w:val="left"/>
      <w:pPr>
        <w:tabs>
          <w:tab w:val="num" w:pos="4320"/>
        </w:tabs>
        <w:ind w:left="4320" w:hanging="360"/>
      </w:pPr>
    </w:lvl>
    <w:lvl w:ilvl="6" w:tplc="EF44A8C2" w:tentative="1">
      <w:start w:val="1"/>
      <w:numFmt w:val="decimal"/>
      <w:lvlText w:val="%7."/>
      <w:lvlJc w:val="left"/>
      <w:pPr>
        <w:tabs>
          <w:tab w:val="num" w:pos="5040"/>
        </w:tabs>
        <w:ind w:left="5040" w:hanging="360"/>
      </w:pPr>
    </w:lvl>
    <w:lvl w:ilvl="7" w:tplc="9BD003EA" w:tentative="1">
      <w:start w:val="1"/>
      <w:numFmt w:val="decimal"/>
      <w:lvlText w:val="%8."/>
      <w:lvlJc w:val="left"/>
      <w:pPr>
        <w:tabs>
          <w:tab w:val="num" w:pos="5760"/>
        </w:tabs>
        <w:ind w:left="5760" w:hanging="360"/>
      </w:pPr>
    </w:lvl>
    <w:lvl w:ilvl="8" w:tplc="905EF48E" w:tentative="1">
      <w:start w:val="1"/>
      <w:numFmt w:val="decimal"/>
      <w:lvlText w:val="%9."/>
      <w:lvlJc w:val="left"/>
      <w:pPr>
        <w:tabs>
          <w:tab w:val="num" w:pos="6480"/>
        </w:tabs>
        <w:ind w:left="6480" w:hanging="360"/>
      </w:pPr>
    </w:lvl>
  </w:abstractNum>
  <w:abstractNum w:abstractNumId="2" w15:restartNumberingAfterBreak="0">
    <w:nsid w:val="107F14A2"/>
    <w:multiLevelType w:val="hybridMultilevel"/>
    <w:tmpl w:val="6660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ABE1AA9"/>
    <w:multiLevelType w:val="hybridMultilevel"/>
    <w:tmpl w:val="E3FA89D0"/>
    <w:lvl w:ilvl="0" w:tplc="9A7C1492">
      <w:start w:val="3"/>
      <w:numFmt w:val="decimal"/>
      <w:lvlText w:val="%1."/>
      <w:lvlJc w:val="left"/>
      <w:pPr>
        <w:tabs>
          <w:tab w:val="num" w:pos="720"/>
        </w:tabs>
        <w:ind w:left="720" w:hanging="360"/>
      </w:pPr>
    </w:lvl>
    <w:lvl w:ilvl="1" w:tplc="8FE03088" w:tentative="1">
      <w:start w:val="1"/>
      <w:numFmt w:val="decimal"/>
      <w:lvlText w:val="%2."/>
      <w:lvlJc w:val="left"/>
      <w:pPr>
        <w:tabs>
          <w:tab w:val="num" w:pos="1440"/>
        </w:tabs>
        <w:ind w:left="1440" w:hanging="360"/>
      </w:pPr>
    </w:lvl>
    <w:lvl w:ilvl="2" w:tplc="5CF22D06" w:tentative="1">
      <w:start w:val="1"/>
      <w:numFmt w:val="decimal"/>
      <w:lvlText w:val="%3."/>
      <w:lvlJc w:val="left"/>
      <w:pPr>
        <w:tabs>
          <w:tab w:val="num" w:pos="2160"/>
        </w:tabs>
        <w:ind w:left="2160" w:hanging="360"/>
      </w:pPr>
    </w:lvl>
    <w:lvl w:ilvl="3" w:tplc="BAC225A4" w:tentative="1">
      <w:start w:val="1"/>
      <w:numFmt w:val="decimal"/>
      <w:lvlText w:val="%4."/>
      <w:lvlJc w:val="left"/>
      <w:pPr>
        <w:tabs>
          <w:tab w:val="num" w:pos="2880"/>
        </w:tabs>
        <w:ind w:left="2880" w:hanging="360"/>
      </w:pPr>
    </w:lvl>
    <w:lvl w:ilvl="4" w:tplc="75F83AA6" w:tentative="1">
      <w:start w:val="1"/>
      <w:numFmt w:val="decimal"/>
      <w:lvlText w:val="%5."/>
      <w:lvlJc w:val="left"/>
      <w:pPr>
        <w:tabs>
          <w:tab w:val="num" w:pos="3600"/>
        </w:tabs>
        <w:ind w:left="3600" w:hanging="360"/>
      </w:pPr>
    </w:lvl>
    <w:lvl w:ilvl="5" w:tplc="6D38A042" w:tentative="1">
      <w:start w:val="1"/>
      <w:numFmt w:val="decimal"/>
      <w:lvlText w:val="%6."/>
      <w:lvlJc w:val="left"/>
      <w:pPr>
        <w:tabs>
          <w:tab w:val="num" w:pos="4320"/>
        </w:tabs>
        <w:ind w:left="4320" w:hanging="360"/>
      </w:pPr>
    </w:lvl>
    <w:lvl w:ilvl="6" w:tplc="97EA9C04" w:tentative="1">
      <w:start w:val="1"/>
      <w:numFmt w:val="decimal"/>
      <w:lvlText w:val="%7."/>
      <w:lvlJc w:val="left"/>
      <w:pPr>
        <w:tabs>
          <w:tab w:val="num" w:pos="5040"/>
        </w:tabs>
        <w:ind w:left="5040" w:hanging="360"/>
      </w:pPr>
    </w:lvl>
    <w:lvl w:ilvl="7" w:tplc="E07C976C" w:tentative="1">
      <w:start w:val="1"/>
      <w:numFmt w:val="decimal"/>
      <w:lvlText w:val="%8."/>
      <w:lvlJc w:val="left"/>
      <w:pPr>
        <w:tabs>
          <w:tab w:val="num" w:pos="5760"/>
        </w:tabs>
        <w:ind w:left="5760" w:hanging="360"/>
      </w:pPr>
    </w:lvl>
    <w:lvl w:ilvl="8" w:tplc="99FCF0A2" w:tentative="1">
      <w:start w:val="1"/>
      <w:numFmt w:val="decimal"/>
      <w:lvlText w:val="%9."/>
      <w:lvlJc w:val="left"/>
      <w:pPr>
        <w:tabs>
          <w:tab w:val="num" w:pos="6480"/>
        </w:tabs>
        <w:ind w:left="6480" w:hanging="360"/>
      </w:pPr>
    </w:lvl>
  </w:abstractNum>
  <w:abstractNum w:abstractNumId="5" w15:restartNumberingAfterBreak="0">
    <w:nsid w:val="1B177816"/>
    <w:multiLevelType w:val="hybridMultilevel"/>
    <w:tmpl w:val="5F26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1573E"/>
    <w:multiLevelType w:val="hybridMultilevel"/>
    <w:tmpl w:val="4596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9"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0295956"/>
    <w:multiLevelType w:val="hybridMultilevel"/>
    <w:tmpl w:val="DDACA3B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39B87DF0"/>
    <w:multiLevelType w:val="hybridMultilevel"/>
    <w:tmpl w:val="7FCE77D6"/>
    <w:lvl w:ilvl="0" w:tplc="A17CB3BA">
      <w:start w:val="5"/>
      <w:numFmt w:val="decimal"/>
      <w:lvlText w:val="%1."/>
      <w:lvlJc w:val="left"/>
      <w:pPr>
        <w:tabs>
          <w:tab w:val="num" w:pos="720"/>
        </w:tabs>
        <w:ind w:left="720" w:hanging="360"/>
      </w:pPr>
    </w:lvl>
    <w:lvl w:ilvl="1" w:tplc="559804D2" w:tentative="1">
      <w:start w:val="1"/>
      <w:numFmt w:val="decimal"/>
      <w:lvlText w:val="%2."/>
      <w:lvlJc w:val="left"/>
      <w:pPr>
        <w:tabs>
          <w:tab w:val="num" w:pos="1440"/>
        </w:tabs>
        <w:ind w:left="1440" w:hanging="360"/>
      </w:pPr>
    </w:lvl>
    <w:lvl w:ilvl="2" w:tplc="40AEDDD0" w:tentative="1">
      <w:start w:val="1"/>
      <w:numFmt w:val="decimal"/>
      <w:lvlText w:val="%3."/>
      <w:lvlJc w:val="left"/>
      <w:pPr>
        <w:tabs>
          <w:tab w:val="num" w:pos="2160"/>
        </w:tabs>
        <w:ind w:left="2160" w:hanging="360"/>
      </w:pPr>
    </w:lvl>
    <w:lvl w:ilvl="3" w:tplc="F98867A8" w:tentative="1">
      <w:start w:val="1"/>
      <w:numFmt w:val="decimal"/>
      <w:lvlText w:val="%4."/>
      <w:lvlJc w:val="left"/>
      <w:pPr>
        <w:tabs>
          <w:tab w:val="num" w:pos="2880"/>
        </w:tabs>
        <w:ind w:left="2880" w:hanging="360"/>
      </w:pPr>
    </w:lvl>
    <w:lvl w:ilvl="4" w:tplc="1BFA8950" w:tentative="1">
      <w:start w:val="1"/>
      <w:numFmt w:val="decimal"/>
      <w:lvlText w:val="%5."/>
      <w:lvlJc w:val="left"/>
      <w:pPr>
        <w:tabs>
          <w:tab w:val="num" w:pos="3600"/>
        </w:tabs>
        <w:ind w:left="3600" w:hanging="360"/>
      </w:pPr>
    </w:lvl>
    <w:lvl w:ilvl="5" w:tplc="6ACA6176" w:tentative="1">
      <w:start w:val="1"/>
      <w:numFmt w:val="decimal"/>
      <w:lvlText w:val="%6."/>
      <w:lvlJc w:val="left"/>
      <w:pPr>
        <w:tabs>
          <w:tab w:val="num" w:pos="4320"/>
        </w:tabs>
        <w:ind w:left="4320" w:hanging="360"/>
      </w:pPr>
    </w:lvl>
    <w:lvl w:ilvl="6" w:tplc="86806BEA" w:tentative="1">
      <w:start w:val="1"/>
      <w:numFmt w:val="decimal"/>
      <w:lvlText w:val="%7."/>
      <w:lvlJc w:val="left"/>
      <w:pPr>
        <w:tabs>
          <w:tab w:val="num" w:pos="5040"/>
        </w:tabs>
        <w:ind w:left="5040" w:hanging="360"/>
      </w:pPr>
    </w:lvl>
    <w:lvl w:ilvl="7" w:tplc="728289DA" w:tentative="1">
      <w:start w:val="1"/>
      <w:numFmt w:val="decimal"/>
      <w:lvlText w:val="%8."/>
      <w:lvlJc w:val="left"/>
      <w:pPr>
        <w:tabs>
          <w:tab w:val="num" w:pos="5760"/>
        </w:tabs>
        <w:ind w:left="5760" w:hanging="360"/>
      </w:pPr>
    </w:lvl>
    <w:lvl w:ilvl="8" w:tplc="E8E8A8B0" w:tentative="1">
      <w:start w:val="1"/>
      <w:numFmt w:val="decimal"/>
      <w:lvlText w:val="%9."/>
      <w:lvlJc w:val="left"/>
      <w:pPr>
        <w:tabs>
          <w:tab w:val="num" w:pos="6480"/>
        </w:tabs>
        <w:ind w:left="6480" w:hanging="360"/>
      </w:pPr>
    </w:lvl>
  </w:abstractNum>
  <w:abstractNum w:abstractNumId="13" w15:restartNumberingAfterBreak="0">
    <w:nsid w:val="461605E4"/>
    <w:multiLevelType w:val="hybridMultilevel"/>
    <w:tmpl w:val="FBF484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32652"/>
    <w:multiLevelType w:val="hybridMultilevel"/>
    <w:tmpl w:val="45A2C0A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77ED6"/>
    <w:multiLevelType w:val="multilevel"/>
    <w:tmpl w:val="3B406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86146A"/>
    <w:multiLevelType w:val="hybridMultilevel"/>
    <w:tmpl w:val="74AC6E46"/>
    <w:lvl w:ilvl="0" w:tplc="733A15C8">
      <w:start w:val="1"/>
      <w:numFmt w:val="bullet"/>
      <w:pStyle w:val="N2-2ndBullet"/>
      <w:lvlText w:val=""/>
      <w:lvlJc w:val="left"/>
      <w:pPr>
        <w:tabs>
          <w:tab w:val="num" w:pos="-72"/>
        </w:tabs>
        <w:ind w:left="1656" w:hanging="576"/>
      </w:pPr>
      <w:rPr>
        <w:rFonts w:ascii="Wingdings" w:hAnsi="Wingdings" w:cs="Wingdings" w:hint="default"/>
        <w:sz w:val="16"/>
        <w:szCs w:val="16"/>
      </w:rPr>
    </w:lvl>
    <w:lvl w:ilvl="1" w:tplc="F676A05A">
      <w:numFmt w:val="decimal"/>
      <w:lvlText w:val=""/>
      <w:lvlJc w:val="left"/>
    </w:lvl>
    <w:lvl w:ilvl="2" w:tplc="071072DE">
      <w:numFmt w:val="decimal"/>
      <w:lvlText w:val=""/>
      <w:lvlJc w:val="left"/>
    </w:lvl>
    <w:lvl w:ilvl="3" w:tplc="0AC47150">
      <w:numFmt w:val="decimal"/>
      <w:lvlText w:val=""/>
      <w:lvlJc w:val="left"/>
    </w:lvl>
    <w:lvl w:ilvl="4" w:tplc="827EC372">
      <w:numFmt w:val="decimal"/>
      <w:lvlText w:val=""/>
      <w:lvlJc w:val="left"/>
    </w:lvl>
    <w:lvl w:ilvl="5" w:tplc="8AAC730A">
      <w:numFmt w:val="decimal"/>
      <w:lvlText w:val=""/>
      <w:lvlJc w:val="left"/>
    </w:lvl>
    <w:lvl w:ilvl="6" w:tplc="A296E10A">
      <w:numFmt w:val="decimal"/>
      <w:lvlText w:val=""/>
      <w:lvlJc w:val="left"/>
    </w:lvl>
    <w:lvl w:ilvl="7" w:tplc="F6BE8A2C">
      <w:numFmt w:val="decimal"/>
      <w:lvlText w:val=""/>
      <w:lvlJc w:val="left"/>
    </w:lvl>
    <w:lvl w:ilvl="8" w:tplc="35B0FEA6">
      <w:numFmt w:val="decimal"/>
      <w:lvlText w:val=""/>
      <w:lvlJc w:val="left"/>
    </w:lvl>
  </w:abstractNum>
  <w:abstractNum w:abstractNumId="17" w15:restartNumberingAfterBreak="0">
    <w:nsid w:val="7D8D6B2A"/>
    <w:multiLevelType w:val="hybridMultilevel"/>
    <w:tmpl w:val="B274B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7"/>
  </w:num>
  <w:num w:numId="4">
    <w:abstractNumId w:val="8"/>
  </w:num>
  <w:num w:numId="5">
    <w:abstractNumId w:val="9"/>
  </w:num>
  <w:num w:numId="6">
    <w:abstractNumId w:val="10"/>
  </w:num>
  <w:num w:numId="7">
    <w:abstractNumId w:val="0"/>
  </w:num>
  <w:num w:numId="8">
    <w:abstractNumId w:val="13"/>
  </w:num>
  <w:num w:numId="9">
    <w:abstractNumId w:val="6"/>
  </w:num>
  <w:num w:numId="10">
    <w:abstractNumId w:val="2"/>
  </w:num>
  <w:num w:numId="11">
    <w:abstractNumId w:val="11"/>
  </w:num>
  <w:num w:numId="12">
    <w:abstractNumId w:val="17"/>
  </w:num>
  <w:num w:numId="13">
    <w:abstractNumId w:val="5"/>
  </w:num>
  <w:num w:numId="14">
    <w:abstractNumId w:val="14"/>
  </w:num>
  <w:num w:numId="15">
    <w:abstractNumId w:val="15"/>
  </w:num>
  <w:num w:numId="16">
    <w:abstractNumId w:val="1"/>
  </w:num>
  <w:num w:numId="17">
    <w:abstractNumId w:val="4"/>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F"/>
    <w:rsid w:val="00001F9C"/>
    <w:rsid w:val="00001FAF"/>
    <w:rsid w:val="00002456"/>
    <w:rsid w:val="00002669"/>
    <w:rsid w:val="00002CB2"/>
    <w:rsid w:val="00002DB6"/>
    <w:rsid w:val="00002F12"/>
    <w:rsid w:val="00003A69"/>
    <w:rsid w:val="00003C27"/>
    <w:rsid w:val="00003D0C"/>
    <w:rsid w:val="000068D5"/>
    <w:rsid w:val="00006A27"/>
    <w:rsid w:val="00006B93"/>
    <w:rsid w:val="00006CD4"/>
    <w:rsid w:val="000121E6"/>
    <w:rsid w:val="00012596"/>
    <w:rsid w:val="00013F0A"/>
    <w:rsid w:val="00014066"/>
    <w:rsid w:val="0001452F"/>
    <w:rsid w:val="00014C5D"/>
    <w:rsid w:val="000151A9"/>
    <w:rsid w:val="00020B87"/>
    <w:rsid w:val="0002171C"/>
    <w:rsid w:val="000236D9"/>
    <w:rsid w:val="00024097"/>
    <w:rsid w:val="00024611"/>
    <w:rsid w:val="00026C55"/>
    <w:rsid w:val="0003000A"/>
    <w:rsid w:val="000304E3"/>
    <w:rsid w:val="00030B06"/>
    <w:rsid w:val="00032EAB"/>
    <w:rsid w:val="00033A5B"/>
    <w:rsid w:val="00034A81"/>
    <w:rsid w:val="00034D66"/>
    <w:rsid w:val="00037139"/>
    <w:rsid w:val="00040551"/>
    <w:rsid w:val="0004285F"/>
    <w:rsid w:val="00042AAB"/>
    <w:rsid w:val="00043C49"/>
    <w:rsid w:val="00045DA4"/>
    <w:rsid w:val="000462CE"/>
    <w:rsid w:val="00046631"/>
    <w:rsid w:val="00046D69"/>
    <w:rsid w:val="00047243"/>
    <w:rsid w:val="00047A3B"/>
    <w:rsid w:val="00050601"/>
    <w:rsid w:val="000515F7"/>
    <w:rsid w:val="0005208F"/>
    <w:rsid w:val="000523C9"/>
    <w:rsid w:val="00052F6A"/>
    <w:rsid w:val="00053090"/>
    <w:rsid w:val="0005319C"/>
    <w:rsid w:val="00053C31"/>
    <w:rsid w:val="00054F7E"/>
    <w:rsid w:val="0005567A"/>
    <w:rsid w:val="000578E8"/>
    <w:rsid w:val="000630F3"/>
    <w:rsid w:val="00063293"/>
    <w:rsid w:val="00063B71"/>
    <w:rsid w:val="00063EA6"/>
    <w:rsid w:val="000642F2"/>
    <w:rsid w:val="000650CD"/>
    <w:rsid w:val="00065420"/>
    <w:rsid w:val="0006564C"/>
    <w:rsid w:val="0006614D"/>
    <w:rsid w:val="000663CC"/>
    <w:rsid w:val="00067909"/>
    <w:rsid w:val="00067DEA"/>
    <w:rsid w:val="000711CD"/>
    <w:rsid w:val="00071DAC"/>
    <w:rsid w:val="00075169"/>
    <w:rsid w:val="00075610"/>
    <w:rsid w:val="00077DA5"/>
    <w:rsid w:val="00081BDB"/>
    <w:rsid w:val="00081DE4"/>
    <w:rsid w:val="00081FE0"/>
    <w:rsid w:val="00082288"/>
    <w:rsid w:val="000823B9"/>
    <w:rsid w:val="00082FB9"/>
    <w:rsid w:val="0008335A"/>
    <w:rsid w:val="00083972"/>
    <w:rsid w:val="000847B7"/>
    <w:rsid w:val="00084F1E"/>
    <w:rsid w:val="00085277"/>
    <w:rsid w:val="000858FA"/>
    <w:rsid w:val="0009014C"/>
    <w:rsid w:val="00090238"/>
    <w:rsid w:val="0009080F"/>
    <w:rsid w:val="00090981"/>
    <w:rsid w:val="0009207D"/>
    <w:rsid w:val="000925D2"/>
    <w:rsid w:val="00092EC6"/>
    <w:rsid w:val="0009319B"/>
    <w:rsid w:val="00093851"/>
    <w:rsid w:val="00094BF2"/>
    <w:rsid w:val="00095AF9"/>
    <w:rsid w:val="00096849"/>
    <w:rsid w:val="000A0B71"/>
    <w:rsid w:val="000A0F71"/>
    <w:rsid w:val="000A1931"/>
    <w:rsid w:val="000A265B"/>
    <w:rsid w:val="000A643A"/>
    <w:rsid w:val="000B1CAF"/>
    <w:rsid w:val="000B5E80"/>
    <w:rsid w:val="000B7303"/>
    <w:rsid w:val="000C1818"/>
    <w:rsid w:val="000C274B"/>
    <w:rsid w:val="000C2EFC"/>
    <w:rsid w:val="000C308C"/>
    <w:rsid w:val="000C3B79"/>
    <w:rsid w:val="000C3D1D"/>
    <w:rsid w:val="000C4150"/>
    <w:rsid w:val="000C4B70"/>
    <w:rsid w:val="000C4CAF"/>
    <w:rsid w:val="000C71CB"/>
    <w:rsid w:val="000D05A0"/>
    <w:rsid w:val="000D0892"/>
    <w:rsid w:val="000D0AD8"/>
    <w:rsid w:val="000D1006"/>
    <w:rsid w:val="000D1173"/>
    <w:rsid w:val="000D31C0"/>
    <w:rsid w:val="000D409C"/>
    <w:rsid w:val="000D4D34"/>
    <w:rsid w:val="000E3608"/>
    <w:rsid w:val="000E377B"/>
    <w:rsid w:val="000E3BC9"/>
    <w:rsid w:val="000E3EE4"/>
    <w:rsid w:val="000E4599"/>
    <w:rsid w:val="000E67E4"/>
    <w:rsid w:val="000E6DF8"/>
    <w:rsid w:val="000E6FE6"/>
    <w:rsid w:val="000E7274"/>
    <w:rsid w:val="000F0EE6"/>
    <w:rsid w:val="000F1766"/>
    <w:rsid w:val="000F19A7"/>
    <w:rsid w:val="000F50B9"/>
    <w:rsid w:val="000F55B5"/>
    <w:rsid w:val="000F76A1"/>
    <w:rsid w:val="00100B1D"/>
    <w:rsid w:val="00100D30"/>
    <w:rsid w:val="00100D8D"/>
    <w:rsid w:val="0010270A"/>
    <w:rsid w:val="00102734"/>
    <w:rsid w:val="00102EE3"/>
    <w:rsid w:val="00103D59"/>
    <w:rsid w:val="00103EBC"/>
    <w:rsid w:val="00104B93"/>
    <w:rsid w:val="00104D03"/>
    <w:rsid w:val="00111451"/>
    <w:rsid w:val="00111F7E"/>
    <w:rsid w:val="00111FDC"/>
    <w:rsid w:val="00112638"/>
    <w:rsid w:val="001134E9"/>
    <w:rsid w:val="00113E81"/>
    <w:rsid w:val="001151F1"/>
    <w:rsid w:val="00115D62"/>
    <w:rsid w:val="00115E85"/>
    <w:rsid w:val="001164D7"/>
    <w:rsid w:val="00116C48"/>
    <w:rsid w:val="00117092"/>
    <w:rsid w:val="0012001D"/>
    <w:rsid w:val="0012154D"/>
    <w:rsid w:val="00122751"/>
    <w:rsid w:val="00122D6C"/>
    <w:rsid w:val="00123205"/>
    <w:rsid w:val="0012436A"/>
    <w:rsid w:val="001245D1"/>
    <w:rsid w:val="00124EB1"/>
    <w:rsid w:val="00124F7A"/>
    <w:rsid w:val="00124FDB"/>
    <w:rsid w:val="0012575C"/>
    <w:rsid w:val="00125D25"/>
    <w:rsid w:val="0012600D"/>
    <w:rsid w:val="0012624D"/>
    <w:rsid w:val="001263D3"/>
    <w:rsid w:val="0012799A"/>
    <w:rsid w:val="00127C76"/>
    <w:rsid w:val="0013185D"/>
    <w:rsid w:val="0013303C"/>
    <w:rsid w:val="00133154"/>
    <w:rsid w:val="00133289"/>
    <w:rsid w:val="0013463C"/>
    <w:rsid w:val="001355B4"/>
    <w:rsid w:val="00135823"/>
    <w:rsid w:val="00136587"/>
    <w:rsid w:val="00140AD2"/>
    <w:rsid w:val="00140EDE"/>
    <w:rsid w:val="00141F78"/>
    <w:rsid w:val="0014242F"/>
    <w:rsid w:val="00143326"/>
    <w:rsid w:val="00143A97"/>
    <w:rsid w:val="00143BF1"/>
    <w:rsid w:val="00143D30"/>
    <w:rsid w:val="001440C5"/>
    <w:rsid w:val="00144640"/>
    <w:rsid w:val="00145D0D"/>
    <w:rsid w:val="00145F68"/>
    <w:rsid w:val="00147660"/>
    <w:rsid w:val="00147C02"/>
    <w:rsid w:val="00147F0D"/>
    <w:rsid w:val="00150D70"/>
    <w:rsid w:val="00152324"/>
    <w:rsid w:val="00152411"/>
    <w:rsid w:val="001528DE"/>
    <w:rsid w:val="00153B43"/>
    <w:rsid w:val="001543AF"/>
    <w:rsid w:val="00155203"/>
    <w:rsid w:val="00155207"/>
    <w:rsid w:val="001553BF"/>
    <w:rsid w:val="00155AB8"/>
    <w:rsid w:val="00155FFE"/>
    <w:rsid w:val="00156A22"/>
    <w:rsid w:val="00160343"/>
    <w:rsid w:val="00162CE1"/>
    <w:rsid w:val="0016565B"/>
    <w:rsid w:val="0016572E"/>
    <w:rsid w:val="00165C6F"/>
    <w:rsid w:val="00165CCD"/>
    <w:rsid w:val="00166105"/>
    <w:rsid w:val="001668C4"/>
    <w:rsid w:val="00167421"/>
    <w:rsid w:val="00167C50"/>
    <w:rsid w:val="0017163C"/>
    <w:rsid w:val="00176631"/>
    <w:rsid w:val="001777BB"/>
    <w:rsid w:val="0018014D"/>
    <w:rsid w:val="001801CA"/>
    <w:rsid w:val="00182D0F"/>
    <w:rsid w:val="00183258"/>
    <w:rsid w:val="0018364C"/>
    <w:rsid w:val="00183655"/>
    <w:rsid w:val="001838E3"/>
    <w:rsid w:val="00187AC6"/>
    <w:rsid w:val="00190B66"/>
    <w:rsid w:val="00190E6C"/>
    <w:rsid w:val="00191682"/>
    <w:rsid w:val="0019427F"/>
    <w:rsid w:val="00195C2D"/>
    <w:rsid w:val="0019616B"/>
    <w:rsid w:val="001A05F9"/>
    <w:rsid w:val="001A0A8C"/>
    <w:rsid w:val="001A25A8"/>
    <w:rsid w:val="001A3C97"/>
    <w:rsid w:val="001A4E71"/>
    <w:rsid w:val="001A569A"/>
    <w:rsid w:val="001A5E9F"/>
    <w:rsid w:val="001A6157"/>
    <w:rsid w:val="001A714F"/>
    <w:rsid w:val="001A77D0"/>
    <w:rsid w:val="001A7C5C"/>
    <w:rsid w:val="001B0769"/>
    <w:rsid w:val="001B12E5"/>
    <w:rsid w:val="001B1F8C"/>
    <w:rsid w:val="001B218A"/>
    <w:rsid w:val="001B290D"/>
    <w:rsid w:val="001B2979"/>
    <w:rsid w:val="001B2BC8"/>
    <w:rsid w:val="001B43C7"/>
    <w:rsid w:val="001B495A"/>
    <w:rsid w:val="001B4B03"/>
    <w:rsid w:val="001B52C7"/>
    <w:rsid w:val="001B6230"/>
    <w:rsid w:val="001C03CC"/>
    <w:rsid w:val="001C0E4A"/>
    <w:rsid w:val="001C15C1"/>
    <w:rsid w:val="001C2221"/>
    <w:rsid w:val="001C485F"/>
    <w:rsid w:val="001C4949"/>
    <w:rsid w:val="001C4D29"/>
    <w:rsid w:val="001C611F"/>
    <w:rsid w:val="001C7212"/>
    <w:rsid w:val="001C7245"/>
    <w:rsid w:val="001C735B"/>
    <w:rsid w:val="001C74EA"/>
    <w:rsid w:val="001C76F0"/>
    <w:rsid w:val="001C79EF"/>
    <w:rsid w:val="001D1D01"/>
    <w:rsid w:val="001D1E95"/>
    <w:rsid w:val="001D230B"/>
    <w:rsid w:val="001D31D0"/>
    <w:rsid w:val="001D3733"/>
    <w:rsid w:val="001D3CE3"/>
    <w:rsid w:val="001D3D52"/>
    <w:rsid w:val="001D4857"/>
    <w:rsid w:val="001D4DE7"/>
    <w:rsid w:val="001D55A6"/>
    <w:rsid w:val="001E07EB"/>
    <w:rsid w:val="001E1A5D"/>
    <w:rsid w:val="001E55B4"/>
    <w:rsid w:val="001E55D9"/>
    <w:rsid w:val="001E7051"/>
    <w:rsid w:val="001F12DC"/>
    <w:rsid w:val="001F1FDA"/>
    <w:rsid w:val="001F2730"/>
    <w:rsid w:val="001F2E0D"/>
    <w:rsid w:val="001F3081"/>
    <w:rsid w:val="001F4E47"/>
    <w:rsid w:val="001F6EB7"/>
    <w:rsid w:val="001F783F"/>
    <w:rsid w:val="00200EF9"/>
    <w:rsid w:val="00201238"/>
    <w:rsid w:val="0020133D"/>
    <w:rsid w:val="0020149B"/>
    <w:rsid w:val="00202616"/>
    <w:rsid w:val="00203779"/>
    <w:rsid w:val="002038A1"/>
    <w:rsid w:val="00203955"/>
    <w:rsid w:val="00205123"/>
    <w:rsid w:val="0020586A"/>
    <w:rsid w:val="00205D79"/>
    <w:rsid w:val="00206FC6"/>
    <w:rsid w:val="002077D2"/>
    <w:rsid w:val="002112FB"/>
    <w:rsid w:val="00211543"/>
    <w:rsid w:val="00211558"/>
    <w:rsid w:val="00211CEE"/>
    <w:rsid w:val="002121A0"/>
    <w:rsid w:val="00212621"/>
    <w:rsid w:val="00212983"/>
    <w:rsid w:val="00215ED9"/>
    <w:rsid w:val="002164CD"/>
    <w:rsid w:val="00216B00"/>
    <w:rsid w:val="00216B6D"/>
    <w:rsid w:val="002174E2"/>
    <w:rsid w:val="00220898"/>
    <w:rsid w:val="00221DC6"/>
    <w:rsid w:val="00222B5F"/>
    <w:rsid w:val="00222E65"/>
    <w:rsid w:val="00224C27"/>
    <w:rsid w:val="002254E6"/>
    <w:rsid w:val="002256B0"/>
    <w:rsid w:val="00227662"/>
    <w:rsid w:val="0022767C"/>
    <w:rsid w:val="00231655"/>
    <w:rsid w:val="00233E64"/>
    <w:rsid w:val="00233FB1"/>
    <w:rsid w:val="00234AED"/>
    <w:rsid w:val="00234FD5"/>
    <w:rsid w:val="0023520E"/>
    <w:rsid w:val="00236E15"/>
    <w:rsid w:val="00237173"/>
    <w:rsid w:val="00237911"/>
    <w:rsid w:val="00241FDA"/>
    <w:rsid w:val="002420E6"/>
    <w:rsid w:val="002422E8"/>
    <w:rsid w:val="00242B38"/>
    <w:rsid w:val="0024410F"/>
    <w:rsid w:val="00245D71"/>
    <w:rsid w:val="00245DC2"/>
    <w:rsid w:val="00246F41"/>
    <w:rsid w:val="00250C2A"/>
    <w:rsid w:val="002531FB"/>
    <w:rsid w:val="002536D3"/>
    <w:rsid w:val="00253CA0"/>
    <w:rsid w:val="00253E7F"/>
    <w:rsid w:val="00253F44"/>
    <w:rsid w:val="00254854"/>
    <w:rsid w:val="0025574D"/>
    <w:rsid w:val="002558BC"/>
    <w:rsid w:val="00256587"/>
    <w:rsid w:val="002569EE"/>
    <w:rsid w:val="00257BAA"/>
    <w:rsid w:val="00257C76"/>
    <w:rsid w:val="002616D2"/>
    <w:rsid w:val="002625C1"/>
    <w:rsid w:val="00262762"/>
    <w:rsid w:val="00263928"/>
    <w:rsid w:val="00264312"/>
    <w:rsid w:val="00264FD5"/>
    <w:rsid w:val="0026518B"/>
    <w:rsid w:val="00265796"/>
    <w:rsid w:val="00267068"/>
    <w:rsid w:val="00267102"/>
    <w:rsid w:val="00270B80"/>
    <w:rsid w:val="0027160A"/>
    <w:rsid w:val="00271E8F"/>
    <w:rsid w:val="00274D73"/>
    <w:rsid w:val="00274DCE"/>
    <w:rsid w:val="002759CE"/>
    <w:rsid w:val="0027700E"/>
    <w:rsid w:val="0027701C"/>
    <w:rsid w:val="00277131"/>
    <w:rsid w:val="0028023D"/>
    <w:rsid w:val="002810C8"/>
    <w:rsid w:val="0028158E"/>
    <w:rsid w:val="00282E91"/>
    <w:rsid w:val="00282F07"/>
    <w:rsid w:val="0028469A"/>
    <w:rsid w:val="002868D1"/>
    <w:rsid w:val="00286B9B"/>
    <w:rsid w:val="00287302"/>
    <w:rsid w:val="0028778D"/>
    <w:rsid w:val="00287B54"/>
    <w:rsid w:val="00287BC4"/>
    <w:rsid w:val="002900D4"/>
    <w:rsid w:val="00290DEF"/>
    <w:rsid w:val="002919EE"/>
    <w:rsid w:val="00292745"/>
    <w:rsid w:val="00293622"/>
    <w:rsid w:val="00295166"/>
    <w:rsid w:val="00295BB7"/>
    <w:rsid w:val="0029635E"/>
    <w:rsid w:val="002963A8"/>
    <w:rsid w:val="0029651F"/>
    <w:rsid w:val="002966BB"/>
    <w:rsid w:val="002A04A0"/>
    <w:rsid w:val="002A09D2"/>
    <w:rsid w:val="002A0F21"/>
    <w:rsid w:val="002A25C6"/>
    <w:rsid w:val="002A4CEA"/>
    <w:rsid w:val="002A5B9C"/>
    <w:rsid w:val="002A5DA5"/>
    <w:rsid w:val="002A71C6"/>
    <w:rsid w:val="002A7BE0"/>
    <w:rsid w:val="002B06CF"/>
    <w:rsid w:val="002B0A3D"/>
    <w:rsid w:val="002B1C60"/>
    <w:rsid w:val="002B1F00"/>
    <w:rsid w:val="002B1FD3"/>
    <w:rsid w:val="002B36BA"/>
    <w:rsid w:val="002B394F"/>
    <w:rsid w:val="002B4943"/>
    <w:rsid w:val="002B4C59"/>
    <w:rsid w:val="002B4FC0"/>
    <w:rsid w:val="002B686F"/>
    <w:rsid w:val="002B7441"/>
    <w:rsid w:val="002B7F79"/>
    <w:rsid w:val="002C0813"/>
    <w:rsid w:val="002C0D67"/>
    <w:rsid w:val="002C3BEA"/>
    <w:rsid w:val="002C41D8"/>
    <w:rsid w:val="002C4523"/>
    <w:rsid w:val="002C5310"/>
    <w:rsid w:val="002C5DEA"/>
    <w:rsid w:val="002C62AD"/>
    <w:rsid w:val="002C76BD"/>
    <w:rsid w:val="002D1314"/>
    <w:rsid w:val="002D1936"/>
    <w:rsid w:val="002D235F"/>
    <w:rsid w:val="002D4DD7"/>
    <w:rsid w:val="002D5113"/>
    <w:rsid w:val="002D5C37"/>
    <w:rsid w:val="002D626B"/>
    <w:rsid w:val="002E0720"/>
    <w:rsid w:val="002E0E36"/>
    <w:rsid w:val="002E18F0"/>
    <w:rsid w:val="002E2B98"/>
    <w:rsid w:val="002E30EC"/>
    <w:rsid w:val="002E3A2A"/>
    <w:rsid w:val="002E447A"/>
    <w:rsid w:val="002E45B2"/>
    <w:rsid w:val="002F0D3D"/>
    <w:rsid w:val="002F13C6"/>
    <w:rsid w:val="002F1D6A"/>
    <w:rsid w:val="002F24F0"/>
    <w:rsid w:val="002F3531"/>
    <w:rsid w:val="002F38FE"/>
    <w:rsid w:val="002F55BA"/>
    <w:rsid w:val="002F658C"/>
    <w:rsid w:val="002F73B9"/>
    <w:rsid w:val="002F7686"/>
    <w:rsid w:val="0030062F"/>
    <w:rsid w:val="00300922"/>
    <w:rsid w:val="00300C75"/>
    <w:rsid w:val="0030186F"/>
    <w:rsid w:val="00301CBE"/>
    <w:rsid w:val="003024F3"/>
    <w:rsid w:val="00303D69"/>
    <w:rsid w:val="00305166"/>
    <w:rsid w:val="00305684"/>
    <w:rsid w:val="003056EB"/>
    <w:rsid w:val="00305748"/>
    <w:rsid w:val="00305806"/>
    <w:rsid w:val="00307CE5"/>
    <w:rsid w:val="00307DC2"/>
    <w:rsid w:val="00310A92"/>
    <w:rsid w:val="00313B5A"/>
    <w:rsid w:val="00313C77"/>
    <w:rsid w:val="00313CE6"/>
    <w:rsid w:val="003160CC"/>
    <w:rsid w:val="003176CD"/>
    <w:rsid w:val="00317A2B"/>
    <w:rsid w:val="00317FF8"/>
    <w:rsid w:val="00320AC3"/>
    <w:rsid w:val="00321103"/>
    <w:rsid w:val="003213FB"/>
    <w:rsid w:val="0032281D"/>
    <w:rsid w:val="00322A75"/>
    <w:rsid w:val="0032357F"/>
    <w:rsid w:val="003245AD"/>
    <w:rsid w:val="0032712D"/>
    <w:rsid w:val="00327AE7"/>
    <w:rsid w:val="00330867"/>
    <w:rsid w:val="00330C43"/>
    <w:rsid w:val="0033226D"/>
    <w:rsid w:val="00333504"/>
    <w:rsid w:val="00334B07"/>
    <w:rsid w:val="00335D3D"/>
    <w:rsid w:val="00336388"/>
    <w:rsid w:val="003369F1"/>
    <w:rsid w:val="003379A2"/>
    <w:rsid w:val="00337C4A"/>
    <w:rsid w:val="00337E44"/>
    <w:rsid w:val="00337FCD"/>
    <w:rsid w:val="00343A12"/>
    <w:rsid w:val="003467B9"/>
    <w:rsid w:val="00346BDB"/>
    <w:rsid w:val="003474F1"/>
    <w:rsid w:val="003507BC"/>
    <w:rsid w:val="00351B4A"/>
    <w:rsid w:val="00352DA4"/>
    <w:rsid w:val="00352E86"/>
    <w:rsid w:val="003533FF"/>
    <w:rsid w:val="003544B9"/>
    <w:rsid w:val="00355808"/>
    <w:rsid w:val="00356446"/>
    <w:rsid w:val="00357097"/>
    <w:rsid w:val="00360519"/>
    <w:rsid w:val="00360C3E"/>
    <w:rsid w:val="00360DD6"/>
    <w:rsid w:val="00360F81"/>
    <w:rsid w:val="00361659"/>
    <w:rsid w:val="00362CAD"/>
    <w:rsid w:val="00363835"/>
    <w:rsid w:val="00363975"/>
    <w:rsid w:val="00363D66"/>
    <w:rsid w:val="00364A72"/>
    <w:rsid w:val="00364D5E"/>
    <w:rsid w:val="003656CB"/>
    <w:rsid w:val="00366BA1"/>
    <w:rsid w:val="0037022F"/>
    <w:rsid w:val="00370AEE"/>
    <w:rsid w:val="00371C2F"/>
    <w:rsid w:val="00373237"/>
    <w:rsid w:val="003749A3"/>
    <w:rsid w:val="00377B8E"/>
    <w:rsid w:val="0038093B"/>
    <w:rsid w:val="00380E1B"/>
    <w:rsid w:val="0038124B"/>
    <w:rsid w:val="00381BEA"/>
    <w:rsid w:val="00382642"/>
    <w:rsid w:val="0038328D"/>
    <w:rsid w:val="0038374C"/>
    <w:rsid w:val="00384074"/>
    <w:rsid w:val="00386AA0"/>
    <w:rsid w:val="00386D2B"/>
    <w:rsid w:val="00386DC7"/>
    <w:rsid w:val="003901C4"/>
    <w:rsid w:val="00390B26"/>
    <w:rsid w:val="00390B3E"/>
    <w:rsid w:val="0039296A"/>
    <w:rsid w:val="00392A36"/>
    <w:rsid w:val="003936D1"/>
    <w:rsid w:val="00393820"/>
    <w:rsid w:val="00395139"/>
    <w:rsid w:val="00395253"/>
    <w:rsid w:val="003952EF"/>
    <w:rsid w:val="0039709E"/>
    <w:rsid w:val="0039781E"/>
    <w:rsid w:val="003A236F"/>
    <w:rsid w:val="003A517B"/>
    <w:rsid w:val="003A5968"/>
    <w:rsid w:val="003A6381"/>
    <w:rsid w:val="003A7288"/>
    <w:rsid w:val="003B0287"/>
    <w:rsid w:val="003B1062"/>
    <w:rsid w:val="003B14A4"/>
    <w:rsid w:val="003B1FC1"/>
    <w:rsid w:val="003B2CD7"/>
    <w:rsid w:val="003B3C8F"/>
    <w:rsid w:val="003B4712"/>
    <w:rsid w:val="003B4D2D"/>
    <w:rsid w:val="003B532C"/>
    <w:rsid w:val="003B532E"/>
    <w:rsid w:val="003B54A2"/>
    <w:rsid w:val="003B5B87"/>
    <w:rsid w:val="003B5F05"/>
    <w:rsid w:val="003B62E6"/>
    <w:rsid w:val="003B69ED"/>
    <w:rsid w:val="003B6AB5"/>
    <w:rsid w:val="003B6E8E"/>
    <w:rsid w:val="003C1F83"/>
    <w:rsid w:val="003C2F65"/>
    <w:rsid w:val="003C4558"/>
    <w:rsid w:val="003C5105"/>
    <w:rsid w:val="003C56E1"/>
    <w:rsid w:val="003C6134"/>
    <w:rsid w:val="003C61ED"/>
    <w:rsid w:val="003C657F"/>
    <w:rsid w:val="003D01BA"/>
    <w:rsid w:val="003D0E3E"/>
    <w:rsid w:val="003D28CD"/>
    <w:rsid w:val="003D29AA"/>
    <w:rsid w:val="003D3DF6"/>
    <w:rsid w:val="003D41A9"/>
    <w:rsid w:val="003E011A"/>
    <w:rsid w:val="003E1523"/>
    <w:rsid w:val="003E39CF"/>
    <w:rsid w:val="003E4761"/>
    <w:rsid w:val="003F151D"/>
    <w:rsid w:val="003F19CD"/>
    <w:rsid w:val="003F2103"/>
    <w:rsid w:val="003F24FB"/>
    <w:rsid w:val="003F2567"/>
    <w:rsid w:val="003F39D3"/>
    <w:rsid w:val="003F4612"/>
    <w:rsid w:val="003F47F2"/>
    <w:rsid w:val="003F4EDC"/>
    <w:rsid w:val="003F5BB5"/>
    <w:rsid w:val="003F647A"/>
    <w:rsid w:val="003F77E5"/>
    <w:rsid w:val="004016E1"/>
    <w:rsid w:val="00401926"/>
    <w:rsid w:val="00403359"/>
    <w:rsid w:val="004040D2"/>
    <w:rsid w:val="0040417C"/>
    <w:rsid w:val="004041AF"/>
    <w:rsid w:val="00404A9E"/>
    <w:rsid w:val="004055ED"/>
    <w:rsid w:val="00405CC1"/>
    <w:rsid w:val="00405E00"/>
    <w:rsid w:val="00405FDA"/>
    <w:rsid w:val="00406C7D"/>
    <w:rsid w:val="00407A9F"/>
    <w:rsid w:val="00410DE1"/>
    <w:rsid w:val="00411E57"/>
    <w:rsid w:val="004121D0"/>
    <w:rsid w:val="004127B4"/>
    <w:rsid w:val="00413799"/>
    <w:rsid w:val="00414129"/>
    <w:rsid w:val="00414F4D"/>
    <w:rsid w:val="00414FCF"/>
    <w:rsid w:val="00415902"/>
    <w:rsid w:val="00420226"/>
    <w:rsid w:val="00421226"/>
    <w:rsid w:val="00421F4F"/>
    <w:rsid w:val="0042342D"/>
    <w:rsid w:val="004247BF"/>
    <w:rsid w:val="00426630"/>
    <w:rsid w:val="00426D55"/>
    <w:rsid w:val="004270FA"/>
    <w:rsid w:val="004308C9"/>
    <w:rsid w:val="00430DE8"/>
    <w:rsid w:val="0043129A"/>
    <w:rsid w:val="00431321"/>
    <w:rsid w:val="0043245D"/>
    <w:rsid w:val="0043457A"/>
    <w:rsid w:val="00434AC6"/>
    <w:rsid w:val="00435F41"/>
    <w:rsid w:val="004360D1"/>
    <w:rsid w:val="00436C9B"/>
    <w:rsid w:val="00437129"/>
    <w:rsid w:val="00440719"/>
    <w:rsid w:val="00440CAA"/>
    <w:rsid w:val="00444062"/>
    <w:rsid w:val="004463FB"/>
    <w:rsid w:val="004467D7"/>
    <w:rsid w:val="004479FD"/>
    <w:rsid w:val="00447B2A"/>
    <w:rsid w:val="00450F77"/>
    <w:rsid w:val="0045133E"/>
    <w:rsid w:val="0045156A"/>
    <w:rsid w:val="00452D20"/>
    <w:rsid w:val="004557D8"/>
    <w:rsid w:val="004562B9"/>
    <w:rsid w:val="00456651"/>
    <w:rsid w:val="00456935"/>
    <w:rsid w:val="00456C33"/>
    <w:rsid w:val="00457A05"/>
    <w:rsid w:val="00461272"/>
    <w:rsid w:val="004629C8"/>
    <w:rsid w:val="00462A10"/>
    <w:rsid w:val="00462C2C"/>
    <w:rsid w:val="0046365D"/>
    <w:rsid w:val="00463909"/>
    <w:rsid w:val="00463A87"/>
    <w:rsid w:val="00463B01"/>
    <w:rsid w:val="00463F9A"/>
    <w:rsid w:val="0046461B"/>
    <w:rsid w:val="004652C6"/>
    <w:rsid w:val="00465339"/>
    <w:rsid w:val="004654CD"/>
    <w:rsid w:val="00465E5A"/>
    <w:rsid w:val="00466B57"/>
    <w:rsid w:val="004671F5"/>
    <w:rsid w:val="004674BF"/>
    <w:rsid w:val="00467698"/>
    <w:rsid w:val="00467DF4"/>
    <w:rsid w:val="00467E3D"/>
    <w:rsid w:val="004711E7"/>
    <w:rsid w:val="004712A2"/>
    <w:rsid w:val="00472129"/>
    <w:rsid w:val="00472E33"/>
    <w:rsid w:val="0047487F"/>
    <w:rsid w:val="0047522A"/>
    <w:rsid w:val="0047702E"/>
    <w:rsid w:val="00477041"/>
    <w:rsid w:val="00477830"/>
    <w:rsid w:val="00480944"/>
    <w:rsid w:val="004819C9"/>
    <w:rsid w:val="00482EB3"/>
    <w:rsid w:val="00483754"/>
    <w:rsid w:val="00483ACE"/>
    <w:rsid w:val="00484CBD"/>
    <w:rsid w:val="00486621"/>
    <w:rsid w:val="00486B82"/>
    <w:rsid w:val="00486BF8"/>
    <w:rsid w:val="00487E77"/>
    <w:rsid w:val="0049057C"/>
    <w:rsid w:val="004909F0"/>
    <w:rsid w:val="00490EBC"/>
    <w:rsid w:val="00490F99"/>
    <w:rsid w:val="004930E9"/>
    <w:rsid w:val="00493118"/>
    <w:rsid w:val="004941DD"/>
    <w:rsid w:val="00494669"/>
    <w:rsid w:val="00495DF8"/>
    <w:rsid w:val="00495FD2"/>
    <w:rsid w:val="004964BB"/>
    <w:rsid w:val="004966A9"/>
    <w:rsid w:val="004970E0"/>
    <w:rsid w:val="00497334"/>
    <w:rsid w:val="00497335"/>
    <w:rsid w:val="004A33B3"/>
    <w:rsid w:val="004A3A24"/>
    <w:rsid w:val="004A407F"/>
    <w:rsid w:val="004A4436"/>
    <w:rsid w:val="004A4D9D"/>
    <w:rsid w:val="004A5382"/>
    <w:rsid w:val="004B0A76"/>
    <w:rsid w:val="004B1AD2"/>
    <w:rsid w:val="004B43E5"/>
    <w:rsid w:val="004B4A1A"/>
    <w:rsid w:val="004B65A1"/>
    <w:rsid w:val="004C0DC3"/>
    <w:rsid w:val="004C0E30"/>
    <w:rsid w:val="004C1A1C"/>
    <w:rsid w:val="004C1B07"/>
    <w:rsid w:val="004C1F40"/>
    <w:rsid w:val="004C3438"/>
    <w:rsid w:val="004C382C"/>
    <w:rsid w:val="004C3842"/>
    <w:rsid w:val="004C4BBD"/>
    <w:rsid w:val="004C5ABD"/>
    <w:rsid w:val="004C5DB4"/>
    <w:rsid w:val="004C6A1D"/>
    <w:rsid w:val="004C6D0A"/>
    <w:rsid w:val="004C7230"/>
    <w:rsid w:val="004D009F"/>
    <w:rsid w:val="004D01B3"/>
    <w:rsid w:val="004D0582"/>
    <w:rsid w:val="004D098F"/>
    <w:rsid w:val="004D15BB"/>
    <w:rsid w:val="004D251E"/>
    <w:rsid w:val="004D3458"/>
    <w:rsid w:val="004D3794"/>
    <w:rsid w:val="004D495E"/>
    <w:rsid w:val="004D5948"/>
    <w:rsid w:val="004D6211"/>
    <w:rsid w:val="004D6379"/>
    <w:rsid w:val="004D6FFD"/>
    <w:rsid w:val="004D709D"/>
    <w:rsid w:val="004D7884"/>
    <w:rsid w:val="004D7C62"/>
    <w:rsid w:val="004E0AC9"/>
    <w:rsid w:val="004E24E1"/>
    <w:rsid w:val="004E2C9A"/>
    <w:rsid w:val="004E35BD"/>
    <w:rsid w:val="004E3D74"/>
    <w:rsid w:val="004E4A64"/>
    <w:rsid w:val="004E6E6E"/>
    <w:rsid w:val="004F0F79"/>
    <w:rsid w:val="004F1836"/>
    <w:rsid w:val="004F1B4B"/>
    <w:rsid w:val="004F2F1A"/>
    <w:rsid w:val="004F39CA"/>
    <w:rsid w:val="004F42CC"/>
    <w:rsid w:val="004F5A76"/>
    <w:rsid w:val="004F5AAA"/>
    <w:rsid w:val="004F7D4D"/>
    <w:rsid w:val="00501904"/>
    <w:rsid w:val="00502A59"/>
    <w:rsid w:val="005031BF"/>
    <w:rsid w:val="005040E3"/>
    <w:rsid w:val="00506507"/>
    <w:rsid w:val="00506695"/>
    <w:rsid w:val="005068B0"/>
    <w:rsid w:val="00510566"/>
    <w:rsid w:val="00511650"/>
    <w:rsid w:val="00512210"/>
    <w:rsid w:val="0051247B"/>
    <w:rsid w:val="00512833"/>
    <w:rsid w:val="00514898"/>
    <w:rsid w:val="00514AF2"/>
    <w:rsid w:val="00514E0A"/>
    <w:rsid w:val="0051527C"/>
    <w:rsid w:val="0051654D"/>
    <w:rsid w:val="005165EA"/>
    <w:rsid w:val="00516C4D"/>
    <w:rsid w:val="005170B6"/>
    <w:rsid w:val="005228D2"/>
    <w:rsid w:val="00523C5C"/>
    <w:rsid w:val="005241BB"/>
    <w:rsid w:val="00526017"/>
    <w:rsid w:val="00527146"/>
    <w:rsid w:val="005271BA"/>
    <w:rsid w:val="0052776C"/>
    <w:rsid w:val="00530866"/>
    <w:rsid w:val="00530A86"/>
    <w:rsid w:val="00531C8C"/>
    <w:rsid w:val="00532988"/>
    <w:rsid w:val="00532DEA"/>
    <w:rsid w:val="00534B24"/>
    <w:rsid w:val="00534D79"/>
    <w:rsid w:val="00537652"/>
    <w:rsid w:val="0053793E"/>
    <w:rsid w:val="00537F19"/>
    <w:rsid w:val="00541B70"/>
    <w:rsid w:val="00541D30"/>
    <w:rsid w:val="00543913"/>
    <w:rsid w:val="00543A61"/>
    <w:rsid w:val="00543D36"/>
    <w:rsid w:val="005441D4"/>
    <w:rsid w:val="00545940"/>
    <w:rsid w:val="00546310"/>
    <w:rsid w:val="00546EDE"/>
    <w:rsid w:val="00550417"/>
    <w:rsid w:val="00550901"/>
    <w:rsid w:val="00550C48"/>
    <w:rsid w:val="00551816"/>
    <w:rsid w:val="0055218E"/>
    <w:rsid w:val="00553C3C"/>
    <w:rsid w:val="005564AC"/>
    <w:rsid w:val="00557028"/>
    <w:rsid w:val="005609F1"/>
    <w:rsid w:val="00560C6A"/>
    <w:rsid w:val="00560DD5"/>
    <w:rsid w:val="0056138E"/>
    <w:rsid w:val="00562428"/>
    <w:rsid w:val="00562BC1"/>
    <w:rsid w:val="00562EB2"/>
    <w:rsid w:val="005653D8"/>
    <w:rsid w:val="005657B2"/>
    <w:rsid w:val="005668E5"/>
    <w:rsid w:val="00566EAC"/>
    <w:rsid w:val="00570008"/>
    <w:rsid w:val="00570365"/>
    <w:rsid w:val="00570751"/>
    <w:rsid w:val="0057192D"/>
    <w:rsid w:val="00571B88"/>
    <w:rsid w:val="00572127"/>
    <w:rsid w:val="00572D0A"/>
    <w:rsid w:val="005745B3"/>
    <w:rsid w:val="00575DCB"/>
    <w:rsid w:val="005826C4"/>
    <w:rsid w:val="005838BF"/>
    <w:rsid w:val="00584D31"/>
    <w:rsid w:val="00584EE1"/>
    <w:rsid w:val="00585685"/>
    <w:rsid w:val="00586B88"/>
    <w:rsid w:val="00586FAD"/>
    <w:rsid w:val="005901DE"/>
    <w:rsid w:val="005902AF"/>
    <w:rsid w:val="00590795"/>
    <w:rsid w:val="00590EAA"/>
    <w:rsid w:val="00591432"/>
    <w:rsid w:val="005937DA"/>
    <w:rsid w:val="0059448A"/>
    <w:rsid w:val="005946E2"/>
    <w:rsid w:val="00595BDF"/>
    <w:rsid w:val="00596456"/>
    <w:rsid w:val="00596733"/>
    <w:rsid w:val="00597261"/>
    <w:rsid w:val="00597630"/>
    <w:rsid w:val="00597D29"/>
    <w:rsid w:val="005A1007"/>
    <w:rsid w:val="005A406C"/>
    <w:rsid w:val="005A4E67"/>
    <w:rsid w:val="005A53E2"/>
    <w:rsid w:val="005A55BC"/>
    <w:rsid w:val="005A57D6"/>
    <w:rsid w:val="005A58AE"/>
    <w:rsid w:val="005A6734"/>
    <w:rsid w:val="005B0FB9"/>
    <w:rsid w:val="005B1431"/>
    <w:rsid w:val="005B1559"/>
    <w:rsid w:val="005B23E0"/>
    <w:rsid w:val="005B26EC"/>
    <w:rsid w:val="005B5168"/>
    <w:rsid w:val="005B5EB5"/>
    <w:rsid w:val="005C0B15"/>
    <w:rsid w:val="005C20AE"/>
    <w:rsid w:val="005C253A"/>
    <w:rsid w:val="005C420B"/>
    <w:rsid w:val="005C533A"/>
    <w:rsid w:val="005C53C4"/>
    <w:rsid w:val="005C58A6"/>
    <w:rsid w:val="005C5B05"/>
    <w:rsid w:val="005C6A4D"/>
    <w:rsid w:val="005C7A97"/>
    <w:rsid w:val="005D017B"/>
    <w:rsid w:val="005D380A"/>
    <w:rsid w:val="005D4291"/>
    <w:rsid w:val="005D4786"/>
    <w:rsid w:val="005D4C7B"/>
    <w:rsid w:val="005D5E45"/>
    <w:rsid w:val="005D7288"/>
    <w:rsid w:val="005E012C"/>
    <w:rsid w:val="005E0216"/>
    <w:rsid w:val="005E0A67"/>
    <w:rsid w:val="005E1449"/>
    <w:rsid w:val="005E2235"/>
    <w:rsid w:val="005E38DA"/>
    <w:rsid w:val="005E3DBD"/>
    <w:rsid w:val="005E4C8D"/>
    <w:rsid w:val="005E6F0A"/>
    <w:rsid w:val="005E72AB"/>
    <w:rsid w:val="005E7C34"/>
    <w:rsid w:val="005F0189"/>
    <w:rsid w:val="005F0BAF"/>
    <w:rsid w:val="005F3AFB"/>
    <w:rsid w:val="005F3F4E"/>
    <w:rsid w:val="005F4116"/>
    <w:rsid w:val="005F4688"/>
    <w:rsid w:val="005F5F56"/>
    <w:rsid w:val="005F7852"/>
    <w:rsid w:val="005F7A55"/>
    <w:rsid w:val="006007B1"/>
    <w:rsid w:val="00600949"/>
    <w:rsid w:val="0060286D"/>
    <w:rsid w:val="00602E15"/>
    <w:rsid w:val="00603DA7"/>
    <w:rsid w:val="006045B1"/>
    <w:rsid w:val="00606950"/>
    <w:rsid w:val="006075B3"/>
    <w:rsid w:val="006106B7"/>
    <w:rsid w:val="00610766"/>
    <w:rsid w:val="00611154"/>
    <w:rsid w:val="00613719"/>
    <w:rsid w:val="00613D9B"/>
    <w:rsid w:val="00613FCF"/>
    <w:rsid w:val="00615F2A"/>
    <w:rsid w:val="00616265"/>
    <w:rsid w:val="006164A2"/>
    <w:rsid w:val="006167A0"/>
    <w:rsid w:val="00616C06"/>
    <w:rsid w:val="00617728"/>
    <w:rsid w:val="00620D2F"/>
    <w:rsid w:val="00621C41"/>
    <w:rsid w:val="00621CED"/>
    <w:rsid w:val="0062245E"/>
    <w:rsid w:val="0062298F"/>
    <w:rsid w:val="0062457E"/>
    <w:rsid w:val="0062461B"/>
    <w:rsid w:val="006260B2"/>
    <w:rsid w:val="006274BE"/>
    <w:rsid w:val="006304DB"/>
    <w:rsid w:val="0063133E"/>
    <w:rsid w:val="00631B18"/>
    <w:rsid w:val="00631F91"/>
    <w:rsid w:val="00632712"/>
    <w:rsid w:val="00633556"/>
    <w:rsid w:val="00633591"/>
    <w:rsid w:val="006340BB"/>
    <w:rsid w:val="00634C79"/>
    <w:rsid w:val="00635389"/>
    <w:rsid w:val="00635D14"/>
    <w:rsid w:val="00637802"/>
    <w:rsid w:val="00637B29"/>
    <w:rsid w:val="00637FBE"/>
    <w:rsid w:val="00640063"/>
    <w:rsid w:val="006415BF"/>
    <w:rsid w:val="00641630"/>
    <w:rsid w:val="00642762"/>
    <w:rsid w:val="00643721"/>
    <w:rsid w:val="00643926"/>
    <w:rsid w:val="00646861"/>
    <w:rsid w:val="006500E7"/>
    <w:rsid w:val="00651389"/>
    <w:rsid w:val="00651F6F"/>
    <w:rsid w:val="006536FC"/>
    <w:rsid w:val="00654506"/>
    <w:rsid w:val="0065502D"/>
    <w:rsid w:val="0065761A"/>
    <w:rsid w:val="006604C6"/>
    <w:rsid w:val="00660600"/>
    <w:rsid w:val="00660B39"/>
    <w:rsid w:val="00660B61"/>
    <w:rsid w:val="00660ED8"/>
    <w:rsid w:val="006613C5"/>
    <w:rsid w:val="00661B1D"/>
    <w:rsid w:val="00662422"/>
    <w:rsid w:val="00662D5F"/>
    <w:rsid w:val="006630E5"/>
    <w:rsid w:val="006639B9"/>
    <w:rsid w:val="00663B51"/>
    <w:rsid w:val="00664077"/>
    <w:rsid w:val="00665045"/>
    <w:rsid w:val="00666535"/>
    <w:rsid w:val="006700B5"/>
    <w:rsid w:val="00670AC5"/>
    <w:rsid w:val="00672BBB"/>
    <w:rsid w:val="006737BB"/>
    <w:rsid w:val="00674F65"/>
    <w:rsid w:val="00675421"/>
    <w:rsid w:val="00677BBC"/>
    <w:rsid w:val="00680642"/>
    <w:rsid w:val="00681741"/>
    <w:rsid w:val="00681F51"/>
    <w:rsid w:val="00682561"/>
    <w:rsid w:val="00682CF3"/>
    <w:rsid w:val="006830E1"/>
    <w:rsid w:val="00684490"/>
    <w:rsid w:val="006846BF"/>
    <w:rsid w:val="0068681E"/>
    <w:rsid w:val="00686CCB"/>
    <w:rsid w:val="00686D9D"/>
    <w:rsid w:val="00690CAD"/>
    <w:rsid w:val="00691454"/>
    <w:rsid w:val="0069204F"/>
    <w:rsid w:val="0069426C"/>
    <w:rsid w:val="006942C9"/>
    <w:rsid w:val="0069469E"/>
    <w:rsid w:val="00694A0F"/>
    <w:rsid w:val="00694C3F"/>
    <w:rsid w:val="00695DC2"/>
    <w:rsid w:val="006A10F2"/>
    <w:rsid w:val="006A127E"/>
    <w:rsid w:val="006A3D91"/>
    <w:rsid w:val="006A43AB"/>
    <w:rsid w:val="006A4D22"/>
    <w:rsid w:val="006A4D7F"/>
    <w:rsid w:val="006A4DC2"/>
    <w:rsid w:val="006A52E7"/>
    <w:rsid w:val="006A68EF"/>
    <w:rsid w:val="006A6D5B"/>
    <w:rsid w:val="006A7A47"/>
    <w:rsid w:val="006A7A53"/>
    <w:rsid w:val="006B1164"/>
    <w:rsid w:val="006B1736"/>
    <w:rsid w:val="006B1E78"/>
    <w:rsid w:val="006B204A"/>
    <w:rsid w:val="006B3C55"/>
    <w:rsid w:val="006B40E6"/>
    <w:rsid w:val="006B54AF"/>
    <w:rsid w:val="006B71C5"/>
    <w:rsid w:val="006B7C3A"/>
    <w:rsid w:val="006B7DD6"/>
    <w:rsid w:val="006C1464"/>
    <w:rsid w:val="006C1B03"/>
    <w:rsid w:val="006C279D"/>
    <w:rsid w:val="006C28E1"/>
    <w:rsid w:val="006C41DB"/>
    <w:rsid w:val="006C4624"/>
    <w:rsid w:val="006C56EB"/>
    <w:rsid w:val="006C5AC6"/>
    <w:rsid w:val="006C61D1"/>
    <w:rsid w:val="006C6E10"/>
    <w:rsid w:val="006D171F"/>
    <w:rsid w:val="006D375D"/>
    <w:rsid w:val="006D43E4"/>
    <w:rsid w:val="006D4A72"/>
    <w:rsid w:val="006D5759"/>
    <w:rsid w:val="006D7764"/>
    <w:rsid w:val="006D7A23"/>
    <w:rsid w:val="006D7CBF"/>
    <w:rsid w:val="006E01D2"/>
    <w:rsid w:val="006E228E"/>
    <w:rsid w:val="006E22AC"/>
    <w:rsid w:val="006E24CF"/>
    <w:rsid w:val="006E52A2"/>
    <w:rsid w:val="006E54B7"/>
    <w:rsid w:val="006E7B71"/>
    <w:rsid w:val="006F0679"/>
    <w:rsid w:val="006F1C69"/>
    <w:rsid w:val="006F1DA6"/>
    <w:rsid w:val="006F20DA"/>
    <w:rsid w:val="006F2321"/>
    <w:rsid w:val="006F49BF"/>
    <w:rsid w:val="006F66A9"/>
    <w:rsid w:val="006F6C70"/>
    <w:rsid w:val="007017EC"/>
    <w:rsid w:val="007018C5"/>
    <w:rsid w:val="00703113"/>
    <w:rsid w:val="00704C1A"/>
    <w:rsid w:val="00704CC1"/>
    <w:rsid w:val="00704F11"/>
    <w:rsid w:val="00707F8A"/>
    <w:rsid w:val="00713376"/>
    <w:rsid w:val="00714750"/>
    <w:rsid w:val="00716C3D"/>
    <w:rsid w:val="00716F06"/>
    <w:rsid w:val="00717371"/>
    <w:rsid w:val="00722972"/>
    <w:rsid w:val="00722B31"/>
    <w:rsid w:val="00723AD5"/>
    <w:rsid w:val="00723EE4"/>
    <w:rsid w:val="007240F6"/>
    <w:rsid w:val="007245ED"/>
    <w:rsid w:val="007246D5"/>
    <w:rsid w:val="00724709"/>
    <w:rsid w:val="00726CE9"/>
    <w:rsid w:val="007274B4"/>
    <w:rsid w:val="00727F68"/>
    <w:rsid w:val="007306D6"/>
    <w:rsid w:val="007310C0"/>
    <w:rsid w:val="0073187D"/>
    <w:rsid w:val="007346CC"/>
    <w:rsid w:val="0073480F"/>
    <w:rsid w:val="00734D2F"/>
    <w:rsid w:val="00735072"/>
    <w:rsid w:val="007354F6"/>
    <w:rsid w:val="00735577"/>
    <w:rsid w:val="00735921"/>
    <w:rsid w:val="00735AA8"/>
    <w:rsid w:val="007368AC"/>
    <w:rsid w:val="00736BB3"/>
    <w:rsid w:val="00740374"/>
    <w:rsid w:val="0074187A"/>
    <w:rsid w:val="00742897"/>
    <w:rsid w:val="00743E43"/>
    <w:rsid w:val="0074464F"/>
    <w:rsid w:val="00745DE6"/>
    <w:rsid w:val="00747468"/>
    <w:rsid w:val="007475AC"/>
    <w:rsid w:val="007478DD"/>
    <w:rsid w:val="00747954"/>
    <w:rsid w:val="007479AD"/>
    <w:rsid w:val="007503A7"/>
    <w:rsid w:val="00750649"/>
    <w:rsid w:val="00753C4E"/>
    <w:rsid w:val="00754B26"/>
    <w:rsid w:val="00755D49"/>
    <w:rsid w:val="00756699"/>
    <w:rsid w:val="00756792"/>
    <w:rsid w:val="00756EDF"/>
    <w:rsid w:val="00757901"/>
    <w:rsid w:val="00760067"/>
    <w:rsid w:val="00760946"/>
    <w:rsid w:val="00760CBB"/>
    <w:rsid w:val="00762A56"/>
    <w:rsid w:val="007633DB"/>
    <w:rsid w:val="00764618"/>
    <w:rsid w:val="00765642"/>
    <w:rsid w:val="00765EEB"/>
    <w:rsid w:val="007671F4"/>
    <w:rsid w:val="00770A7D"/>
    <w:rsid w:val="00771B3A"/>
    <w:rsid w:val="007728A2"/>
    <w:rsid w:val="007733AE"/>
    <w:rsid w:val="00773793"/>
    <w:rsid w:val="007740B4"/>
    <w:rsid w:val="0077410C"/>
    <w:rsid w:val="00774741"/>
    <w:rsid w:val="00774892"/>
    <w:rsid w:val="007748A2"/>
    <w:rsid w:val="00776800"/>
    <w:rsid w:val="00776F99"/>
    <w:rsid w:val="007800FF"/>
    <w:rsid w:val="0078103C"/>
    <w:rsid w:val="007813F5"/>
    <w:rsid w:val="00781D75"/>
    <w:rsid w:val="00782FA1"/>
    <w:rsid w:val="00783B5E"/>
    <w:rsid w:val="00784E50"/>
    <w:rsid w:val="0078739C"/>
    <w:rsid w:val="0079006B"/>
    <w:rsid w:val="0079212E"/>
    <w:rsid w:val="007932AC"/>
    <w:rsid w:val="0079357C"/>
    <w:rsid w:val="0079382B"/>
    <w:rsid w:val="00797456"/>
    <w:rsid w:val="0079760C"/>
    <w:rsid w:val="007A1B80"/>
    <w:rsid w:val="007A2C77"/>
    <w:rsid w:val="007A5E5D"/>
    <w:rsid w:val="007A7481"/>
    <w:rsid w:val="007B046D"/>
    <w:rsid w:val="007B0D9F"/>
    <w:rsid w:val="007B2DFB"/>
    <w:rsid w:val="007B2E53"/>
    <w:rsid w:val="007B2F29"/>
    <w:rsid w:val="007B3A6F"/>
    <w:rsid w:val="007B48AA"/>
    <w:rsid w:val="007B5015"/>
    <w:rsid w:val="007B5F29"/>
    <w:rsid w:val="007B6550"/>
    <w:rsid w:val="007B6DE7"/>
    <w:rsid w:val="007B6FF1"/>
    <w:rsid w:val="007C047D"/>
    <w:rsid w:val="007C0E60"/>
    <w:rsid w:val="007C3774"/>
    <w:rsid w:val="007C5C01"/>
    <w:rsid w:val="007C5FF4"/>
    <w:rsid w:val="007C742D"/>
    <w:rsid w:val="007D2420"/>
    <w:rsid w:val="007D27AB"/>
    <w:rsid w:val="007D2936"/>
    <w:rsid w:val="007D4D07"/>
    <w:rsid w:val="007D5AE0"/>
    <w:rsid w:val="007D65EF"/>
    <w:rsid w:val="007E077E"/>
    <w:rsid w:val="007E07F1"/>
    <w:rsid w:val="007E1CFA"/>
    <w:rsid w:val="007E1F3E"/>
    <w:rsid w:val="007E356F"/>
    <w:rsid w:val="007E4233"/>
    <w:rsid w:val="007E4E6B"/>
    <w:rsid w:val="007E5414"/>
    <w:rsid w:val="007E5416"/>
    <w:rsid w:val="007E5D14"/>
    <w:rsid w:val="007E73B7"/>
    <w:rsid w:val="007E749D"/>
    <w:rsid w:val="007E7B1B"/>
    <w:rsid w:val="007E7C28"/>
    <w:rsid w:val="007E7ECC"/>
    <w:rsid w:val="007F0F81"/>
    <w:rsid w:val="007F12A7"/>
    <w:rsid w:val="007F327B"/>
    <w:rsid w:val="007F450C"/>
    <w:rsid w:val="007F51F0"/>
    <w:rsid w:val="007F590B"/>
    <w:rsid w:val="007F5BED"/>
    <w:rsid w:val="007F7F76"/>
    <w:rsid w:val="00800C99"/>
    <w:rsid w:val="00801647"/>
    <w:rsid w:val="0080270A"/>
    <w:rsid w:val="008037FE"/>
    <w:rsid w:val="008045AB"/>
    <w:rsid w:val="008050C2"/>
    <w:rsid w:val="00806036"/>
    <w:rsid w:val="00807160"/>
    <w:rsid w:val="00807195"/>
    <w:rsid w:val="00807B32"/>
    <w:rsid w:val="0081046D"/>
    <w:rsid w:val="00810618"/>
    <w:rsid w:val="00810DF9"/>
    <w:rsid w:val="00811B8F"/>
    <w:rsid w:val="00812EDE"/>
    <w:rsid w:val="00813278"/>
    <w:rsid w:val="0081479E"/>
    <w:rsid w:val="00815F1F"/>
    <w:rsid w:val="00820D30"/>
    <w:rsid w:val="008211F0"/>
    <w:rsid w:val="00822164"/>
    <w:rsid w:val="0082248D"/>
    <w:rsid w:val="008228DF"/>
    <w:rsid w:val="00823B89"/>
    <w:rsid w:val="00823DD1"/>
    <w:rsid w:val="00824065"/>
    <w:rsid w:val="0082457E"/>
    <w:rsid w:val="008245FB"/>
    <w:rsid w:val="0082539B"/>
    <w:rsid w:val="008256F6"/>
    <w:rsid w:val="008309D9"/>
    <w:rsid w:val="0083236C"/>
    <w:rsid w:val="00832BA6"/>
    <w:rsid w:val="00833B5E"/>
    <w:rsid w:val="00833CB3"/>
    <w:rsid w:val="00834F55"/>
    <w:rsid w:val="00836A2C"/>
    <w:rsid w:val="00840DEE"/>
    <w:rsid w:val="00841F42"/>
    <w:rsid w:val="0084211C"/>
    <w:rsid w:val="008426C3"/>
    <w:rsid w:val="008429DD"/>
    <w:rsid w:val="00842C84"/>
    <w:rsid w:val="00843107"/>
    <w:rsid w:val="00843F9D"/>
    <w:rsid w:val="0084469A"/>
    <w:rsid w:val="008459A8"/>
    <w:rsid w:val="00846300"/>
    <w:rsid w:val="008478B1"/>
    <w:rsid w:val="00850889"/>
    <w:rsid w:val="008509B4"/>
    <w:rsid w:val="00850C4D"/>
    <w:rsid w:val="00854468"/>
    <w:rsid w:val="00854900"/>
    <w:rsid w:val="00855014"/>
    <w:rsid w:val="00855324"/>
    <w:rsid w:val="008600E6"/>
    <w:rsid w:val="008602EA"/>
    <w:rsid w:val="0086059F"/>
    <w:rsid w:val="00860AB9"/>
    <w:rsid w:val="00860D56"/>
    <w:rsid w:val="008615EB"/>
    <w:rsid w:val="00864362"/>
    <w:rsid w:val="00865E81"/>
    <w:rsid w:val="0086721B"/>
    <w:rsid w:val="00867F51"/>
    <w:rsid w:val="00870F16"/>
    <w:rsid w:val="0087371B"/>
    <w:rsid w:val="00873CA2"/>
    <w:rsid w:val="00875095"/>
    <w:rsid w:val="00875D58"/>
    <w:rsid w:val="00876B02"/>
    <w:rsid w:val="00877201"/>
    <w:rsid w:val="008777E7"/>
    <w:rsid w:val="00881BD0"/>
    <w:rsid w:val="00882462"/>
    <w:rsid w:val="00885A4B"/>
    <w:rsid w:val="00887574"/>
    <w:rsid w:val="00890D48"/>
    <w:rsid w:val="00891B3D"/>
    <w:rsid w:val="00893CA3"/>
    <w:rsid w:val="00894B7A"/>
    <w:rsid w:val="00894DED"/>
    <w:rsid w:val="00894E09"/>
    <w:rsid w:val="00894E2D"/>
    <w:rsid w:val="00895102"/>
    <w:rsid w:val="00895DB5"/>
    <w:rsid w:val="008A02C8"/>
    <w:rsid w:val="008A1866"/>
    <w:rsid w:val="008A1A86"/>
    <w:rsid w:val="008A1E86"/>
    <w:rsid w:val="008A57D5"/>
    <w:rsid w:val="008A663C"/>
    <w:rsid w:val="008A7362"/>
    <w:rsid w:val="008B0908"/>
    <w:rsid w:val="008B2D33"/>
    <w:rsid w:val="008B2D7E"/>
    <w:rsid w:val="008B3245"/>
    <w:rsid w:val="008B36D9"/>
    <w:rsid w:val="008B5AE3"/>
    <w:rsid w:val="008B6133"/>
    <w:rsid w:val="008B6E27"/>
    <w:rsid w:val="008B6E8F"/>
    <w:rsid w:val="008B6FFD"/>
    <w:rsid w:val="008B7EDD"/>
    <w:rsid w:val="008C26EC"/>
    <w:rsid w:val="008C4045"/>
    <w:rsid w:val="008C54DC"/>
    <w:rsid w:val="008D0B72"/>
    <w:rsid w:val="008D14F7"/>
    <w:rsid w:val="008D1EBA"/>
    <w:rsid w:val="008D2085"/>
    <w:rsid w:val="008D2CE4"/>
    <w:rsid w:val="008D2E86"/>
    <w:rsid w:val="008D48F1"/>
    <w:rsid w:val="008D5237"/>
    <w:rsid w:val="008D6065"/>
    <w:rsid w:val="008D734D"/>
    <w:rsid w:val="008E0680"/>
    <w:rsid w:val="008E0A72"/>
    <w:rsid w:val="008E3293"/>
    <w:rsid w:val="008E402E"/>
    <w:rsid w:val="008E49A7"/>
    <w:rsid w:val="008E4BC7"/>
    <w:rsid w:val="008E4D36"/>
    <w:rsid w:val="008E50D4"/>
    <w:rsid w:val="008E556D"/>
    <w:rsid w:val="008E65E0"/>
    <w:rsid w:val="008E6E95"/>
    <w:rsid w:val="008E75D8"/>
    <w:rsid w:val="008E766D"/>
    <w:rsid w:val="008E78B9"/>
    <w:rsid w:val="008E7B62"/>
    <w:rsid w:val="008E7DEF"/>
    <w:rsid w:val="008F25C5"/>
    <w:rsid w:val="008F2E8D"/>
    <w:rsid w:val="008F4441"/>
    <w:rsid w:val="008F533C"/>
    <w:rsid w:val="008F73D8"/>
    <w:rsid w:val="008F7DF8"/>
    <w:rsid w:val="008F7FC4"/>
    <w:rsid w:val="00900B33"/>
    <w:rsid w:val="009019F3"/>
    <w:rsid w:val="009025D9"/>
    <w:rsid w:val="00902C24"/>
    <w:rsid w:val="00904484"/>
    <w:rsid w:val="009048A1"/>
    <w:rsid w:val="00905AEB"/>
    <w:rsid w:val="00907E75"/>
    <w:rsid w:val="00910334"/>
    <w:rsid w:val="00910583"/>
    <w:rsid w:val="00913EDB"/>
    <w:rsid w:val="00913F8A"/>
    <w:rsid w:val="009153B5"/>
    <w:rsid w:val="00915AD4"/>
    <w:rsid w:val="0091648D"/>
    <w:rsid w:val="0092047B"/>
    <w:rsid w:val="009204AD"/>
    <w:rsid w:val="0092167B"/>
    <w:rsid w:val="00922012"/>
    <w:rsid w:val="00923F54"/>
    <w:rsid w:val="009253F9"/>
    <w:rsid w:val="009259B3"/>
    <w:rsid w:val="00926019"/>
    <w:rsid w:val="00926756"/>
    <w:rsid w:val="0092793E"/>
    <w:rsid w:val="009302C8"/>
    <w:rsid w:val="00930DEF"/>
    <w:rsid w:val="00931CA6"/>
    <w:rsid w:val="00932DFA"/>
    <w:rsid w:val="00934709"/>
    <w:rsid w:val="00934D81"/>
    <w:rsid w:val="0093547E"/>
    <w:rsid w:val="0093714E"/>
    <w:rsid w:val="0093739D"/>
    <w:rsid w:val="00937FE2"/>
    <w:rsid w:val="00940834"/>
    <w:rsid w:val="009408BA"/>
    <w:rsid w:val="009417DD"/>
    <w:rsid w:val="009425B8"/>
    <w:rsid w:val="00944A4C"/>
    <w:rsid w:val="009452F1"/>
    <w:rsid w:val="00945F58"/>
    <w:rsid w:val="00946929"/>
    <w:rsid w:val="00946BB2"/>
    <w:rsid w:val="00946C52"/>
    <w:rsid w:val="0095126E"/>
    <w:rsid w:val="0095240A"/>
    <w:rsid w:val="00953BD9"/>
    <w:rsid w:val="00953D4F"/>
    <w:rsid w:val="009559E8"/>
    <w:rsid w:val="00956D43"/>
    <w:rsid w:val="00957059"/>
    <w:rsid w:val="00957EB2"/>
    <w:rsid w:val="00960C0D"/>
    <w:rsid w:val="00961A2B"/>
    <w:rsid w:val="00961ED7"/>
    <w:rsid w:val="00961F35"/>
    <w:rsid w:val="009622A8"/>
    <w:rsid w:val="009624E3"/>
    <w:rsid w:val="009637E5"/>
    <w:rsid w:val="0096533A"/>
    <w:rsid w:val="00967C7C"/>
    <w:rsid w:val="009704AE"/>
    <w:rsid w:val="009704EC"/>
    <w:rsid w:val="00971B88"/>
    <w:rsid w:val="00971F62"/>
    <w:rsid w:val="009721F9"/>
    <w:rsid w:val="00972DEF"/>
    <w:rsid w:val="009743C5"/>
    <w:rsid w:val="00974798"/>
    <w:rsid w:val="00974FB7"/>
    <w:rsid w:val="0097678A"/>
    <w:rsid w:val="00976FEE"/>
    <w:rsid w:val="00977034"/>
    <w:rsid w:val="009777AA"/>
    <w:rsid w:val="00980758"/>
    <w:rsid w:val="00981F16"/>
    <w:rsid w:val="00985407"/>
    <w:rsid w:val="009854E8"/>
    <w:rsid w:val="0098565D"/>
    <w:rsid w:val="00985817"/>
    <w:rsid w:val="0098629A"/>
    <w:rsid w:val="009901D4"/>
    <w:rsid w:val="009926F2"/>
    <w:rsid w:val="00992AEE"/>
    <w:rsid w:val="009942F1"/>
    <w:rsid w:val="0099456A"/>
    <w:rsid w:val="00994F2E"/>
    <w:rsid w:val="009950C7"/>
    <w:rsid w:val="009971A3"/>
    <w:rsid w:val="00997E45"/>
    <w:rsid w:val="009A1445"/>
    <w:rsid w:val="009A1588"/>
    <w:rsid w:val="009A171D"/>
    <w:rsid w:val="009A275B"/>
    <w:rsid w:val="009A2D3C"/>
    <w:rsid w:val="009A3552"/>
    <w:rsid w:val="009A3A64"/>
    <w:rsid w:val="009A3D6B"/>
    <w:rsid w:val="009A3FA5"/>
    <w:rsid w:val="009A41BA"/>
    <w:rsid w:val="009A48D5"/>
    <w:rsid w:val="009A5BC3"/>
    <w:rsid w:val="009A6B5F"/>
    <w:rsid w:val="009A6DCC"/>
    <w:rsid w:val="009A71AB"/>
    <w:rsid w:val="009B1429"/>
    <w:rsid w:val="009B30D8"/>
    <w:rsid w:val="009B3687"/>
    <w:rsid w:val="009B4439"/>
    <w:rsid w:val="009B4AA0"/>
    <w:rsid w:val="009B57AB"/>
    <w:rsid w:val="009B5D23"/>
    <w:rsid w:val="009B6981"/>
    <w:rsid w:val="009C0C82"/>
    <w:rsid w:val="009C15A2"/>
    <w:rsid w:val="009C178E"/>
    <w:rsid w:val="009C1939"/>
    <w:rsid w:val="009C64C6"/>
    <w:rsid w:val="009C68CB"/>
    <w:rsid w:val="009C71EC"/>
    <w:rsid w:val="009D09D8"/>
    <w:rsid w:val="009D0E61"/>
    <w:rsid w:val="009D2C2C"/>
    <w:rsid w:val="009D3746"/>
    <w:rsid w:val="009D3B4E"/>
    <w:rsid w:val="009D47A8"/>
    <w:rsid w:val="009D5BE1"/>
    <w:rsid w:val="009D630C"/>
    <w:rsid w:val="009D76EF"/>
    <w:rsid w:val="009D7B21"/>
    <w:rsid w:val="009E0991"/>
    <w:rsid w:val="009E4651"/>
    <w:rsid w:val="009E4871"/>
    <w:rsid w:val="009E5620"/>
    <w:rsid w:val="009E56FF"/>
    <w:rsid w:val="009E5BA8"/>
    <w:rsid w:val="009E5E02"/>
    <w:rsid w:val="009E5EA3"/>
    <w:rsid w:val="009E631C"/>
    <w:rsid w:val="009E77E3"/>
    <w:rsid w:val="009F0B8B"/>
    <w:rsid w:val="009F0B98"/>
    <w:rsid w:val="009F0F0B"/>
    <w:rsid w:val="009F22FB"/>
    <w:rsid w:val="009F3F80"/>
    <w:rsid w:val="009F418D"/>
    <w:rsid w:val="009F4CBE"/>
    <w:rsid w:val="00A01353"/>
    <w:rsid w:val="00A023CB"/>
    <w:rsid w:val="00A02695"/>
    <w:rsid w:val="00A02D9E"/>
    <w:rsid w:val="00A03109"/>
    <w:rsid w:val="00A03E45"/>
    <w:rsid w:val="00A06DB3"/>
    <w:rsid w:val="00A07BC5"/>
    <w:rsid w:val="00A114B1"/>
    <w:rsid w:val="00A1201A"/>
    <w:rsid w:val="00A125B9"/>
    <w:rsid w:val="00A13125"/>
    <w:rsid w:val="00A13164"/>
    <w:rsid w:val="00A1346B"/>
    <w:rsid w:val="00A1379C"/>
    <w:rsid w:val="00A13FC9"/>
    <w:rsid w:val="00A14032"/>
    <w:rsid w:val="00A15346"/>
    <w:rsid w:val="00A160CB"/>
    <w:rsid w:val="00A16DA6"/>
    <w:rsid w:val="00A17697"/>
    <w:rsid w:val="00A203A1"/>
    <w:rsid w:val="00A21B94"/>
    <w:rsid w:val="00A21E6D"/>
    <w:rsid w:val="00A22702"/>
    <w:rsid w:val="00A238FF"/>
    <w:rsid w:val="00A2446C"/>
    <w:rsid w:val="00A24490"/>
    <w:rsid w:val="00A257E4"/>
    <w:rsid w:val="00A26B90"/>
    <w:rsid w:val="00A2748B"/>
    <w:rsid w:val="00A30BC9"/>
    <w:rsid w:val="00A318DF"/>
    <w:rsid w:val="00A324BA"/>
    <w:rsid w:val="00A33DC6"/>
    <w:rsid w:val="00A34DE3"/>
    <w:rsid w:val="00A357A9"/>
    <w:rsid w:val="00A365A1"/>
    <w:rsid w:val="00A37553"/>
    <w:rsid w:val="00A37B57"/>
    <w:rsid w:val="00A40C98"/>
    <w:rsid w:val="00A42F11"/>
    <w:rsid w:val="00A43960"/>
    <w:rsid w:val="00A4439E"/>
    <w:rsid w:val="00A45130"/>
    <w:rsid w:val="00A45878"/>
    <w:rsid w:val="00A460A5"/>
    <w:rsid w:val="00A4616C"/>
    <w:rsid w:val="00A4686C"/>
    <w:rsid w:val="00A50B30"/>
    <w:rsid w:val="00A50E9E"/>
    <w:rsid w:val="00A5219C"/>
    <w:rsid w:val="00A539ED"/>
    <w:rsid w:val="00A5757E"/>
    <w:rsid w:val="00A57662"/>
    <w:rsid w:val="00A6099B"/>
    <w:rsid w:val="00A6200C"/>
    <w:rsid w:val="00A62F9F"/>
    <w:rsid w:val="00A64D36"/>
    <w:rsid w:val="00A65CA1"/>
    <w:rsid w:val="00A669B3"/>
    <w:rsid w:val="00A707DC"/>
    <w:rsid w:val="00A70868"/>
    <w:rsid w:val="00A710E6"/>
    <w:rsid w:val="00A7178D"/>
    <w:rsid w:val="00A71A4F"/>
    <w:rsid w:val="00A72024"/>
    <w:rsid w:val="00A72E88"/>
    <w:rsid w:val="00A753EB"/>
    <w:rsid w:val="00A779A2"/>
    <w:rsid w:val="00A80582"/>
    <w:rsid w:val="00A8069C"/>
    <w:rsid w:val="00A80F16"/>
    <w:rsid w:val="00A818BC"/>
    <w:rsid w:val="00A818C7"/>
    <w:rsid w:val="00A81E58"/>
    <w:rsid w:val="00A82C8B"/>
    <w:rsid w:val="00A834FD"/>
    <w:rsid w:val="00A84D72"/>
    <w:rsid w:val="00A856A5"/>
    <w:rsid w:val="00A861B1"/>
    <w:rsid w:val="00A8651D"/>
    <w:rsid w:val="00A871CD"/>
    <w:rsid w:val="00A87682"/>
    <w:rsid w:val="00A87D03"/>
    <w:rsid w:val="00A90D95"/>
    <w:rsid w:val="00A90E1C"/>
    <w:rsid w:val="00A90F14"/>
    <w:rsid w:val="00A91EEC"/>
    <w:rsid w:val="00A92A25"/>
    <w:rsid w:val="00A93F7E"/>
    <w:rsid w:val="00A949D3"/>
    <w:rsid w:val="00A954B6"/>
    <w:rsid w:val="00A959DF"/>
    <w:rsid w:val="00AA0FEF"/>
    <w:rsid w:val="00AA22EF"/>
    <w:rsid w:val="00AA29EA"/>
    <w:rsid w:val="00AA4B3C"/>
    <w:rsid w:val="00AA56AA"/>
    <w:rsid w:val="00AA5A9A"/>
    <w:rsid w:val="00AA5E12"/>
    <w:rsid w:val="00AA7C3E"/>
    <w:rsid w:val="00AB0B57"/>
    <w:rsid w:val="00AB2A94"/>
    <w:rsid w:val="00AB4552"/>
    <w:rsid w:val="00AB466D"/>
    <w:rsid w:val="00AB466E"/>
    <w:rsid w:val="00AB49BF"/>
    <w:rsid w:val="00AB4CD3"/>
    <w:rsid w:val="00AB560C"/>
    <w:rsid w:val="00AB5AB4"/>
    <w:rsid w:val="00AB7A1F"/>
    <w:rsid w:val="00AC00BC"/>
    <w:rsid w:val="00AC0910"/>
    <w:rsid w:val="00AC1D1F"/>
    <w:rsid w:val="00AC1EC6"/>
    <w:rsid w:val="00AC27FF"/>
    <w:rsid w:val="00AC33DF"/>
    <w:rsid w:val="00AC3A0C"/>
    <w:rsid w:val="00AC4434"/>
    <w:rsid w:val="00AC448C"/>
    <w:rsid w:val="00AC47EA"/>
    <w:rsid w:val="00AC4BFE"/>
    <w:rsid w:val="00AC513E"/>
    <w:rsid w:val="00AC5904"/>
    <w:rsid w:val="00AC60C5"/>
    <w:rsid w:val="00AC622A"/>
    <w:rsid w:val="00AC6B44"/>
    <w:rsid w:val="00AC6FA8"/>
    <w:rsid w:val="00AC7833"/>
    <w:rsid w:val="00AD0159"/>
    <w:rsid w:val="00AD039F"/>
    <w:rsid w:val="00AD0BB8"/>
    <w:rsid w:val="00AD225F"/>
    <w:rsid w:val="00AD33A4"/>
    <w:rsid w:val="00AD415F"/>
    <w:rsid w:val="00AE00DD"/>
    <w:rsid w:val="00AE102B"/>
    <w:rsid w:val="00AE34F1"/>
    <w:rsid w:val="00AE3644"/>
    <w:rsid w:val="00AE4DB7"/>
    <w:rsid w:val="00AE6A78"/>
    <w:rsid w:val="00AE6EE3"/>
    <w:rsid w:val="00AE7D8E"/>
    <w:rsid w:val="00AF0404"/>
    <w:rsid w:val="00AF08F7"/>
    <w:rsid w:val="00AF1D25"/>
    <w:rsid w:val="00AF2AE4"/>
    <w:rsid w:val="00AF39E7"/>
    <w:rsid w:val="00AF3DA4"/>
    <w:rsid w:val="00AF63D0"/>
    <w:rsid w:val="00AF73DE"/>
    <w:rsid w:val="00B0122A"/>
    <w:rsid w:val="00B016AC"/>
    <w:rsid w:val="00B02324"/>
    <w:rsid w:val="00B02772"/>
    <w:rsid w:val="00B027F4"/>
    <w:rsid w:val="00B0377C"/>
    <w:rsid w:val="00B04763"/>
    <w:rsid w:val="00B05574"/>
    <w:rsid w:val="00B05630"/>
    <w:rsid w:val="00B062EC"/>
    <w:rsid w:val="00B06AE6"/>
    <w:rsid w:val="00B0704C"/>
    <w:rsid w:val="00B11229"/>
    <w:rsid w:val="00B12635"/>
    <w:rsid w:val="00B12777"/>
    <w:rsid w:val="00B1655A"/>
    <w:rsid w:val="00B173B8"/>
    <w:rsid w:val="00B17729"/>
    <w:rsid w:val="00B177FF"/>
    <w:rsid w:val="00B216C1"/>
    <w:rsid w:val="00B21E69"/>
    <w:rsid w:val="00B2261D"/>
    <w:rsid w:val="00B22BB7"/>
    <w:rsid w:val="00B23F70"/>
    <w:rsid w:val="00B2451C"/>
    <w:rsid w:val="00B247E6"/>
    <w:rsid w:val="00B24D2E"/>
    <w:rsid w:val="00B24E98"/>
    <w:rsid w:val="00B25EF0"/>
    <w:rsid w:val="00B2733B"/>
    <w:rsid w:val="00B276B8"/>
    <w:rsid w:val="00B27D1D"/>
    <w:rsid w:val="00B3035E"/>
    <w:rsid w:val="00B314B0"/>
    <w:rsid w:val="00B33817"/>
    <w:rsid w:val="00B34242"/>
    <w:rsid w:val="00B35B6D"/>
    <w:rsid w:val="00B35F0D"/>
    <w:rsid w:val="00B371D2"/>
    <w:rsid w:val="00B410A7"/>
    <w:rsid w:val="00B4142A"/>
    <w:rsid w:val="00B41672"/>
    <w:rsid w:val="00B42744"/>
    <w:rsid w:val="00B43039"/>
    <w:rsid w:val="00B43061"/>
    <w:rsid w:val="00B433E0"/>
    <w:rsid w:val="00B4376D"/>
    <w:rsid w:val="00B43DAC"/>
    <w:rsid w:val="00B44048"/>
    <w:rsid w:val="00B45969"/>
    <w:rsid w:val="00B5184C"/>
    <w:rsid w:val="00B51B21"/>
    <w:rsid w:val="00B51CB3"/>
    <w:rsid w:val="00B52BAE"/>
    <w:rsid w:val="00B5313F"/>
    <w:rsid w:val="00B5373F"/>
    <w:rsid w:val="00B53D0C"/>
    <w:rsid w:val="00B54182"/>
    <w:rsid w:val="00B54956"/>
    <w:rsid w:val="00B54B72"/>
    <w:rsid w:val="00B55B4C"/>
    <w:rsid w:val="00B55F82"/>
    <w:rsid w:val="00B566C6"/>
    <w:rsid w:val="00B56752"/>
    <w:rsid w:val="00B6005C"/>
    <w:rsid w:val="00B6065C"/>
    <w:rsid w:val="00B60A06"/>
    <w:rsid w:val="00B61652"/>
    <w:rsid w:val="00B61754"/>
    <w:rsid w:val="00B63808"/>
    <w:rsid w:val="00B639EC"/>
    <w:rsid w:val="00B65413"/>
    <w:rsid w:val="00B66F21"/>
    <w:rsid w:val="00B66F6C"/>
    <w:rsid w:val="00B70FA9"/>
    <w:rsid w:val="00B7145E"/>
    <w:rsid w:val="00B7171F"/>
    <w:rsid w:val="00B71834"/>
    <w:rsid w:val="00B71E3D"/>
    <w:rsid w:val="00B7224A"/>
    <w:rsid w:val="00B75017"/>
    <w:rsid w:val="00B754D7"/>
    <w:rsid w:val="00B75A46"/>
    <w:rsid w:val="00B80D87"/>
    <w:rsid w:val="00B8190C"/>
    <w:rsid w:val="00B81AB0"/>
    <w:rsid w:val="00B81C3E"/>
    <w:rsid w:val="00B81E9A"/>
    <w:rsid w:val="00B820DE"/>
    <w:rsid w:val="00B820F5"/>
    <w:rsid w:val="00B82263"/>
    <w:rsid w:val="00B822D8"/>
    <w:rsid w:val="00B823F2"/>
    <w:rsid w:val="00B83935"/>
    <w:rsid w:val="00B83D17"/>
    <w:rsid w:val="00B84840"/>
    <w:rsid w:val="00B85035"/>
    <w:rsid w:val="00B850EC"/>
    <w:rsid w:val="00B85391"/>
    <w:rsid w:val="00B861D5"/>
    <w:rsid w:val="00B87125"/>
    <w:rsid w:val="00B87B74"/>
    <w:rsid w:val="00B87E09"/>
    <w:rsid w:val="00B91F61"/>
    <w:rsid w:val="00B93D6D"/>
    <w:rsid w:val="00B93FC0"/>
    <w:rsid w:val="00B944AE"/>
    <w:rsid w:val="00B95FE7"/>
    <w:rsid w:val="00B9616A"/>
    <w:rsid w:val="00BA0A8C"/>
    <w:rsid w:val="00BA0A94"/>
    <w:rsid w:val="00BA234F"/>
    <w:rsid w:val="00BA46DF"/>
    <w:rsid w:val="00BA4EDA"/>
    <w:rsid w:val="00BA602E"/>
    <w:rsid w:val="00BA6705"/>
    <w:rsid w:val="00BA70AC"/>
    <w:rsid w:val="00BA751C"/>
    <w:rsid w:val="00BA7D0A"/>
    <w:rsid w:val="00BB0CB3"/>
    <w:rsid w:val="00BB127E"/>
    <w:rsid w:val="00BB151E"/>
    <w:rsid w:val="00BB1F82"/>
    <w:rsid w:val="00BB22CD"/>
    <w:rsid w:val="00BB25A1"/>
    <w:rsid w:val="00BB2777"/>
    <w:rsid w:val="00BB3292"/>
    <w:rsid w:val="00BB3299"/>
    <w:rsid w:val="00BB32A6"/>
    <w:rsid w:val="00BB3470"/>
    <w:rsid w:val="00BB3AD2"/>
    <w:rsid w:val="00BB3F1D"/>
    <w:rsid w:val="00BC04D3"/>
    <w:rsid w:val="00BC08D2"/>
    <w:rsid w:val="00BC140B"/>
    <w:rsid w:val="00BC167D"/>
    <w:rsid w:val="00BC1721"/>
    <w:rsid w:val="00BC199A"/>
    <w:rsid w:val="00BC1D56"/>
    <w:rsid w:val="00BC3B20"/>
    <w:rsid w:val="00BC5363"/>
    <w:rsid w:val="00BC5F2B"/>
    <w:rsid w:val="00BD0767"/>
    <w:rsid w:val="00BD0A73"/>
    <w:rsid w:val="00BD0D8B"/>
    <w:rsid w:val="00BD1896"/>
    <w:rsid w:val="00BD2281"/>
    <w:rsid w:val="00BD267E"/>
    <w:rsid w:val="00BD2822"/>
    <w:rsid w:val="00BD2C2E"/>
    <w:rsid w:val="00BD404C"/>
    <w:rsid w:val="00BD42F2"/>
    <w:rsid w:val="00BD599B"/>
    <w:rsid w:val="00BD65BE"/>
    <w:rsid w:val="00BD7C4E"/>
    <w:rsid w:val="00BE1D00"/>
    <w:rsid w:val="00BE2065"/>
    <w:rsid w:val="00BE2319"/>
    <w:rsid w:val="00BE49E1"/>
    <w:rsid w:val="00BE513E"/>
    <w:rsid w:val="00BE7281"/>
    <w:rsid w:val="00BF069C"/>
    <w:rsid w:val="00BF123D"/>
    <w:rsid w:val="00BF189E"/>
    <w:rsid w:val="00BF18F4"/>
    <w:rsid w:val="00BF47BF"/>
    <w:rsid w:val="00BF56E1"/>
    <w:rsid w:val="00BF6403"/>
    <w:rsid w:val="00BF6F40"/>
    <w:rsid w:val="00C00C8C"/>
    <w:rsid w:val="00C00E0A"/>
    <w:rsid w:val="00C01562"/>
    <w:rsid w:val="00C019B7"/>
    <w:rsid w:val="00C01B10"/>
    <w:rsid w:val="00C02C02"/>
    <w:rsid w:val="00C02E72"/>
    <w:rsid w:val="00C03D4C"/>
    <w:rsid w:val="00C057BC"/>
    <w:rsid w:val="00C06097"/>
    <w:rsid w:val="00C1090D"/>
    <w:rsid w:val="00C13288"/>
    <w:rsid w:val="00C159CF"/>
    <w:rsid w:val="00C15B82"/>
    <w:rsid w:val="00C15EDE"/>
    <w:rsid w:val="00C15F3A"/>
    <w:rsid w:val="00C17133"/>
    <w:rsid w:val="00C1732C"/>
    <w:rsid w:val="00C1738D"/>
    <w:rsid w:val="00C174AE"/>
    <w:rsid w:val="00C22CAA"/>
    <w:rsid w:val="00C2322C"/>
    <w:rsid w:val="00C23DD0"/>
    <w:rsid w:val="00C267E7"/>
    <w:rsid w:val="00C2709E"/>
    <w:rsid w:val="00C278D1"/>
    <w:rsid w:val="00C27D82"/>
    <w:rsid w:val="00C30F0C"/>
    <w:rsid w:val="00C322EF"/>
    <w:rsid w:val="00C32CEA"/>
    <w:rsid w:val="00C3389F"/>
    <w:rsid w:val="00C34840"/>
    <w:rsid w:val="00C3506C"/>
    <w:rsid w:val="00C35C82"/>
    <w:rsid w:val="00C35E05"/>
    <w:rsid w:val="00C361DF"/>
    <w:rsid w:val="00C366BA"/>
    <w:rsid w:val="00C37846"/>
    <w:rsid w:val="00C41206"/>
    <w:rsid w:val="00C43BF7"/>
    <w:rsid w:val="00C43FE6"/>
    <w:rsid w:val="00C45252"/>
    <w:rsid w:val="00C45646"/>
    <w:rsid w:val="00C472E4"/>
    <w:rsid w:val="00C476E2"/>
    <w:rsid w:val="00C50317"/>
    <w:rsid w:val="00C50992"/>
    <w:rsid w:val="00C51E30"/>
    <w:rsid w:val="00C525D9"/>
    <w:rsid w:val="00C533F9"/>
    <w:rsid w:val="00C546FA"/>
    <w:rsid w:val="00C55DD2"/>
    <w:rsid w:val="00C57CF8"/>
    <w:rsid w:val="00C60005"/>
    <w:rsid w:val="00C60226"/>
    <w:rsid w:val="00C61070"/>
    <w:rsid w:val="00C621FB"/>
    <w:rsid w:val="00C6270C"/>
    <w:rsid w:val="00C63172"/>
    <w:rsid w:val="00C6339C"/>
    <w:rsid w:val="00C634D3"/>
    <w:rsid w:val="00C65D27"/>
    <w:rsid w:val="00C6606D"/>
    <w:rsid w:val="00C6647C"/>
    <w:rsid w:val="00C6649E"/>
    <w:rsid w:val="00C668E8"/>
    <w:rsid w:val="00C66984"/>
    <w:rsid w:val="00C67203"/>
    <w:rsid w:val="00C67DE9"/>
    <w:rsid w:val="00C70258"/>
    <w:rsid w:val="00C712BA"/>
    <w:rsid w:val="00C719E2"/>
    <w:rsid w:val="00C722B8"/>
    <w:rsid w:val="00C728A8"/>
    <w:rsid w:val="00C72CC1"/>
    <w:rsid w:val="00C7327F"/>
    <w:rsid w:val="00C73609"/>
    <w:rsid w:val="00C73634"/>
    <w:rsid w:val="00C73F1A"/>
    <w:rsid w:val="00C74A1F"/>
    <w:rsid w:val="00C751CD"/>
    <w:rsid w:val="00C752E8"/>
    <w:rsid w:val="00C765FD"/>
    <w:rsid w:val="00C778EC"/>
    <w:rsid w:val="00C816F0"/>
    <w:rsid w:val="00C81ECE"/>
    <w:rsid w:val="00C831F1"/>
    <w:rsid w:val="00C870A2"/>
    <w:rsid w:val="00C90187"/>
    <w:rsid w:val="00C90793"/>
    <w:rsid w:val="00C90B6C"/>
    <w:rsid w:val="00C90C18"/>
    <w:rsid w:val="00C91433"/>
    <w:rsid w:val="00C920D0"/>
    <w:rsid w:val="00C93A87"/>
    <w:rsid w:val="00C9421B"/>
    <w:rsid w:val="00C94885"/>
    <w:rsid w:val="00C9591D"/>
    <w:rsid w:val="00C95B1E"/>
    <w:rsid w:val="00C95BDD"/>
    <w:rsid w:val="00C95FD3"/>
    <w:rsid w:val="00C963F0"/>
    <w:rsid w:val="00C96496"/>
    <w:rsid w:val="00C97082"/>
    <w:rsid w:val="00C97AAA"/>
    <w:rsid w:val="00C97B6C"/>
    <w:rsid w:val="00C97E8B"/>
    <w:rsid w:val="00CA0176"/>
    <w:rsid w:val="00CA02AF"/>
    <w:rsid w:val="00CA1CEB"/>
    <w:rsid w:val="00CA1ED6"/>
    <w:rsid w:val="00CA3F4B"/>
    <w:rsid w:val="00CA462A"/>
    <w:rsid w:val="00CA5213"/>
    <w:rsid w:val="00CA5A00"/>
    <w:rsid w:val="00CA5DC1"/>
    <w:rsid w:val="00CA6C66"/>
    <w:rsid w:val="00CA7A60"/>
    <w:rsid w:val="00CB0DBB"/>
    <w:rsid w:val="00CB1AB1"/>
    <w:rsid w:val="00CB2A00"/>
    <w:rsid w:val="00CB3F12"/>
    <w:rsid w:val="00CB3FB9"/>
    <w:rsid w:val="00CB41C1"/>
    <w:rsid w:val="00CB5336"/>
    <w:rsid w:val="00CB5416"/>
    <w:rsid w:val="00CB545E"/>
    <w:rsid w:val="00CC0574"/>
    <w:rsid w:val="00CC0A3B"/>
    <w:rsid w:val="00CC0E79"/>
    <w:rsid w:val="00CC276F"/>
    <w:rsid w:val="00CC2A7D"/>
    <w:rsid w:val="00CC5A26"/>
    <w:rsid w:val="00CC6BDA"/>
    <w:rsid w:val="00CC6CB6"/>
    <w:rsid w:val="00CC79F9"/>
    <w:rsid w:val="00CD078D"/>
    <w:rsid w:val="00CD0D19"/>
    <w:rsid w:val="00CD0ED5"/>
    <w:rsid w:val="00CD1A2D"/>
    <w:rsid w:val="00CD2F1E"/>
    <w:rsid w:val="00CD395F"/>
    <w:rsid w:val="00CD425C"/>
    <w:rsid w:val="00CD5D75"/>
    <w:rsid w:val="00CD722B"/>
    <w:rsid w:val="00CE0733"/>
    <w:rsid w:val="00CE08B4"/>
    <w:rsid w:val="00CE0DDF"/>
    <w:rsid w:val="00CE14CC"/>
    <w:rsid w:val="00CE2004"/>
    <w:rsid w:val="00CE3C7B"/>
    <w:rsid w:val="00CE3DC4"/>
    <w:rsid w:val="00CE5163"/>
    <w:rsid w:val="00CE71A2"/>
    <w:rsid w:val="00CF1009"/>
    <w:rsid w:val="00CF14B9"/>
    <w:rsid w:val="00CF18B0"/>
    <w:rsid w:val="00CF324A"/>
    <w:rsid w:val="00CF33E9"/>
    <w:rsid w:val="00CF4520"/>
    <w:rsid w:val="00CF50F0"/>
    <w:rsid w:val="00CF76C4"/>
    <w:rsid w:val="00CF780C"/>
    <w:rsid w:val="00D00B90"/>
    <w:rsid w:val="00D01BD6"/>
    <w:rsid w:val="00D02902"/>
    <w:rsid w:val="00D03C02"/>
    <w:rsid w:val="00D041FC"/>
    <w:rsid w:val="00D057F2"/>
    <w:rsid w:val="00D066AF"/>
    <w:rsid w:val="00D07554"/>
    <w:rsid w:val="00D07A64"/>
    <w:rsid w:val="00D10CAC"/>
    <w:rsid w:val="00D11EEB"/>
    <w:rsid w:val="00D1335C"/>
    <w:rsid w:val="00D14840"/>
    <w:rsid w:val="00D14990"/>
    <w:rsid w:val="00D16005"/>
    <w:rsid w:val="00D16D40"/>
    <w:rsid w:val="00D20F53"/>
    <w:rsid w:val="00D221F8"/>
    <w:rsid w:val="00D22646"/>
    <w:rsid w:val="00D231E5"/>
    <w:rsid w:val="00D2504B"/>
    <w:rsid w:val="00D265DD"/>
    <w:rsid w:val="00D275D9"/>
    <w:rsid w:val="00D27AC6"/>
    <w:rsid w:val="00D3077C"/>
    <w:rsid w:val="00D31143"/>
    <w:rsid w:val="00D315A5"/>
    <w:rsid w:val="00D322E6"/>
    <w:rsid w:val="00D323E3"/>
    <w:rsid w:val="00D323FA"/>
    <w:rsid w:val="00D33C47"/>
    <w:rsid w:val="00D343C7"/>
    <w:rsid w:val="00D36696"/>
    <w:rsid w:val="00D36B60"/>
    <w:rsid w:val="00D36FB0"/>
    <w:rsid w:val="00D43101"/>
    <w:rsid w:val="00D44442"/>
    <w:rsid w:val="00D44A75"/>
    <w:rsid w:val="00D44EB9"/>
    <w:rsid w:val="00D46ABD"/>
    <w:rsid w:val="00D4728E"/>
    <w:rsid w:val="00D50020"/>
    <w:rsid w:val="00D505A4"/>
    <w:rsid w:val="00D51DE7"/>
    <w:rsid w:val="00D5287D"/>
    <w:rsid w:val="00D53314"/>
    <w:rsid w:val="00D54862"/>
    <w:rsid w:val="00D629FE"/>
    <w:rsid w:val="00D641FA"/>
    <w:rsid w:val="00D65456"/>
    <w:rsid w:val="00D665AE"/>
    <w:rsid w:val="00D672EB"/>
    <w:rsid w:val="00D701BA"/>
    <w:rsid w:val="00D709DF"/>
    <w:rsid w:val="00D71844"/>
    <w:rsid w:val="00D7593E"/>
    <w:rsid w:val="00D77A63"/>
    <w:rsid w:val="00D80044"/>
    <w:rsid w:val="00D80137"/>
    <w:rsid w:val="00D81867"/>
    <w:rsid w:val="00D81FB7"/>
    <w:rsid w:val="00D821F4"/>
    <w:rsid w:val="00D828EE"/>
    <w:rsid w:val="00D8294B"/>
    <w:rsid w:val="00D82ACE"/>
    <w:rsid w:val="00D83190"/>
    <w:rsid w:val="00D83304"/>
    <w:rsid w:val="00D836B2"/>
    <w:rsid w:val="00D8370F"/>
    <w:rsid w:val="00D83D56"/>
    <w:rsid w:val="00D83DEF"/>
    <w:rsid w:val="00D84B91"/>
    <w:rsid w:val="00D84CAC"/>
    <w:rsid w:val="00D86D58"/>
    <w:rsid w:val="00D87C3E"/>
    <w:rsid w:val="00D927DD"/>
    <w:rsid w:val="00D9326F"/>
    <w:rsid w:val="00D9465E"/>
    <w:rsid w:val="00D95033"/>
    <w:rsid w:val="00D95286"/>
    <w:rsid w:val="00D968E6"/>
    <w:rsid w:val="00D96CBB"/>
    <w:rsid w:val="00D97907"/>
    <w:rsid w:val="00DA0665"/>
    <w:rsid w:val="00DA1036"/>
    <w:rsid w:val="00DA1EFA"/>
    <w:rsid w:val="00DA2CC2"/>
    <w:rsid w:val="00DA2E77"/>
    <w:rsid w:val="00DA3C59"/>
    <w:rsid w:val="00DA4076"/>
    <w:rsid w:val="00DA4947"/>
    <w:rsid w:val="00DA4DA0"/>
    <w:rsid w:val="00DA5359"/>
    <w:rsid w:val="00DA53CC"/>
    <w:rsid w:val="00DA54F4"/>
    <w:rsid w:val="00DB03DF"/>
    <w:rsid w:val="00DB0EA7"/>
    <w:rsid w:val="00DB2173"/>
    <w:rsid w:val="00DB30B3"/>
    <w:rsid w:val="00DB434F"/>
    <w:rsid w:val="00DB678B"/>
    <w:rsid w:val="00DB765B"/>
    <w:rsid w:val="00DC051A"/>
    <w:rsid w:val="00DC283E"/>
    <w:rsid w:val="00DC2A0E"/>
    <w:rsid w:val="00DC2C17"/>
    <w:rsid w:val="00DC2DDA"/>
    <w:rsid w:val="00DC327E"/>
    <w:rsid w:val="00DC3389"/>
    <w:rsid w:val="00DC34EE"/>
    <w:rsid w:val="00DC3BBA"/>
    <w:rsid w:val="00DC3C0C"/>
    <w:rsid w:val="00DC47D3"/>
    <w:rsid w:val="00DC5094"/>
    <w:rsid w:val="00DC58F0"/>
    <w:rsid w:val="00DC6F96"/>
    <w:rsid w:val="00DD163C"/>
    <w:rsid w:val="00DD1855"/>
    <w:rsid w:val="00DD7C8C"/>
    <w:rsid w:val="00DE0088"/>
    <w:rsid w:val="00DE2126"/>
    <w:rsid w:val="00DE3433"/>
    <w:rsid w:val="00DE521C"/>
    <w:rsid w:val="00DE59A9"/>
    <w:rsid w:val="00DE60FC"/>
    <w:rsid w:val="00DE6B0F"/>
    <w:rsid w:val="00DE7715"/>
    <w:rsid w:val="00DE7CB0"/>
    <w:rsid w:val="00DE7DF3"/>
    <w:rsid w:val="00DF16CB"/>
    <w:rsid w:val="00DF1B64"/>
    <w:rsid w:val="00DF1F22"/>
    <w:rsid w:val="00DF2D03"/>
    <w:rsid w:val="00DF41A2"/>
    <w:rsid w:val="00DF42AA"/>
    <w:rsid w:val="00DF5CF5"/>
    <w:rsid w:val="00DF6608"/>
    <w:rsid w:val="00DF676A"/>
    <w:rsid w:val="00DF73BE"/>
    <w:rsid w:val="00DF7BA0"/>
    <w:rsid w:val="00E00033"/>
    <w:rsid w:val="00E00268"/>
    <w:rsid w:val="00E0059E"/>
    <w:rsid w:val="00E01316"/>
    <w:rsid w:val="00E020D1"/>
    <w:rsid w:val="00E02610"/>
    <w:rsid w:val="00E04408"/>
    <w:rsid w:val="00E046DE"/>
    <w:rsid w:val="00E04BF4"/>
    <w:rsid w:val="00E0541F"/>
    <w:rsid w:val="00E05905"/>
    <w:rsid w:val="00E06CD4"/>
    <w:rsid w:val="00E12F5E"/>
    <w:rsid w:val="00E131BF"/>
    <w:rsid w:val="00E13469"/>
    <w:rsid w:val="00E13647"/>
    <w:rsid w:val="00E14B37"/>
    <w:rsid w:val="00E15081"/>
    <w:rsid w:val="00E150BD"/>
    <w:rsid w:val="00E1731F"/>
    <w:rsid w:val="00E20420"/>
    <w:rsid w:val="00E20963"/>
    <w:rsid w:val="00E20A68"/>
    <w:rsid w:val="00E2130A"/>
    <w:rsid w:val="00E21D29"/>
    <w:rsid w:val="00E22065"/>
    <w:rsid w:val="00E2294D"/>
    <w:rsid w:val="00E230AF"/>
    <w:rsid w:val="00E254B8"/>
    <w:rsid w:val="00E25A3C"/>
    <w:rsid w:val="00E26A98"/>
    <w:rsid w:val="00E27066"/>
    <w:rsid w:val="00E272BA"/>
    <w:rsid w:val="00E275FE"/>
    <w:rsid w:val="00E27716"/>
    <w:rsid w:val="00E27E98"/>
    <w:rsid w:val="00E27F7B"/>
    <w:rsid w:val="00E305D2"/>
    <w:rsid w:val="00E3090A"/>
    <w:rsid w:val="00E3198C"/>
    <w:rsid w:val="00E369DD"/>
    <w:rsid w:val="00E37724"/>
    <w:rsid w:val="00E414F8"/>
    <w:rsid w:val="00E417CB"/>
    <w:rsid w:val="00E41AB7"/>
    <w:rsid w:val="00E4237C"/>
    <w:rsid w:val="00E4499E"/>
    <w:rsid w:val="00E46298"/>
    <w:rsid w:val="00E51CAD"/>
    <w:rsid w:val="00E52AA2"/>
    <w:rsid w:val="00E5312C"/>
    <w:rsid w:val="00E541CD"/>
    <w:rsid w:val="00E54EC7"/>
    <w:rsid w:val="00E553AD"/>
    <w:rsid w:val="00E55D10"/>
    <w:rsid w:val="00E62DE5"/>
    <w:rsid w:val="00E63E38"/>
    <w:rsid w:val="00E641D3"/>
    <w:rsid w:val="00E64F39"/>
    <w:rsid w:val="00E657B5"/>
    <w:rsid w:val="00E65825"/>
    <w:rsid w:val="00E6740E"/>
    <w:rsid w:val="00E6795B"/>
    <w:rsid w:val="00E704B6"/>
    <w:rsid w:val="00E704DE"/>
    <w:rsid w:val="00E70823"/>
    <w:rsid w:val="00E7173C"/>
    <w:rsid w:val="00E727D2"/>
    <w:rsid w:val="00E7295F"/>
    <w:rsid w:val="00E73253"/>
    <w:rsid w:val="00E734F2"/>
    <w:rsid w:val="00E73B77"/>
    <w:rsid w:val="00E755C0"/>
    <w:rsid w:val="00E75945"/>
    <w:rsid w:val="00E75EC8"/>
    <w:rsid w:val="00E7697E"/>
    <w:rsid w:val="00E769A5"/>
    <w:rsid w:val="00E7712D"/>
    <w:rsid w:val="00E77CC1"/>
    <w:rsid w:val="00E819DE"/>
    <w:rsid w:val="00E81E34"/>
    <w:rsid w:val="00E821B0"/>
    <w:rsid w:val="00E829BC"/>
    <w:rsid w:val="00E841A5"/>
    <w:rsid w:val="00E844EE"/>
    <w:rsid w:val="00E85347"/>
    <w:rsid w:val="00E8601F"/>
    <w:rsid w:val="00E903BC"/>
    <w:rsid w:val="00E904A5"/>
    <w:rsid w:val="00E906DC"/>
    <w:rsid w:val="00E90D02"/>
    <w:rsid w:val="00E91DC8"/>
    <w:rsid w:val="00E929DE"/>
    <w:rsid w:val="00E92BEC"/>
    <w:rsid w:val="00E96A40"/>
    <w:rsid w:val="00EA04B8"/>
    <w:rsid w:val="00EA05DC"/>
    <w:rsid w:val="00EA1845"/>
    <w:rsid w:val="00EA1BB2"/>
    <w:rsid w:val="00EA1CD8"/>
    <w:rsid w:val="00EA204C"/>
    <w:rsid w:val="00EA2681"/>
    <w:rsid w:val="00EA3700"/>
    <w:rsid w:val="00EA3B42"/>
    <w:rsid w:val="00EB00D9"/>
    <w:rsid w:val="00EB01C7"/>
    <w:rsid w:val="00EB2402"/>
    <w:rsid w:val="00EB325A"/>
    <w:rsid w:val="00EB356F"/>
    <w:rsid w:val="00EB39C1"/>
    <w:rsid w:val="00EB3CE1"/>
    <w:rsid w:val="00EB4131"/>
    <w:rsid w:val="00EB4376"/>
    <w:rsid w:val="00EB48CA"/>
    <w:rsid w:val="00EB6736"/>
    <w:rsid w:val="00EB6F9A"/>
    <w:rsid w:val="00EB7C10"/>
    <w:rsid w:val="00EB7ED6"/>
    <w:rsid w:val="00EB7F31"/>
    <w:rsid w:val="00EC018D"/>
    <w:rsid w:val="00EC03F2"/>
    <w:rsid w:val="00EC0C4D"/>
    <w:rsid w:val="00EC14A3"/>
    <w:rsid w:val="00EC1559"/>
    <w:rsid w:val="00EC18A8"/>
    <w:rsid w:val="00EC18B4"/>
    <w:rsid w:val="00EC214B"/>
    <w:rsid w:val="00EC3698"/>
    <w:rsid w:val="00EC39B1"/>
    <w:rsid w:val="00EC5E8D"/>
    <w:rsid w:val="00EC6258"/>
    <w:rsid w:val="00EC73B2"/>
    <w:rsid w:val="00EC7FC5"/>
    <w:rsid w:val="00ED01D9"/>
    <w:rsid w:val="00ED0294"/>
    <w:rsid w:val="00ED1ADB"/>
    <w:rsid w:val="00ED264E"/>
    <w:rsid w:val="00ED29D5"/>
    <w:rsid w:val="00ED39A2"/>
    <w:rsid w:val="00ED3D2A"/>
    <w:rsid w:val="00ED6015"/>
    <w:rsid w:val="00ED7AC9"/>
    <w:rsid w:val="00ED7CBB"/>
    <w:rsid w:val="00EE3883"/>
    <w:rsid w:val="00EE3987"/>
    <w:rsid w:val="00EE40C4"/>
    <w:rsid w:val="00EE5316"/>
    <w:rsid w:val="00EE57D6"/>
    <w:rsid w:val="00EE5C86"/>
    <w:rsid w:val="00EE6700"/>
    <w:rsid w:val="00EE7267"/>
    <w:rsid w:val="00EF161D"/>
    <w:rsid w:val="00EF19FE"/>
    <w:rsid w:val="00EF1F17"/>
    <w:rsid w:val="00EF218C"/>
    <w:rsid w:val="00EF2F61"/>
    <w:rsid w:val="00EF5068"/>
    <w:rsid w:val="00EF579A"/>
    <w:rsid w:val="00EF6CD8"/>
    <w:rsid w:val="00EF7736"/>
    <w:rsid w:val="00EF7829"/>
    <w:rsid w:val="00F02D91"/>
    <w:rsid w:val="00F03213"/>
    <w:rsid w:val="00F04959"/>
    <w:rsid w:val="00F0522B"/>
    <w:rsid w:val="00F05BBF"/>
    <w:rsid w:val="00F05C11"/>
    <w:rsid w:val="00F077CB"/>
    <w:rsid w:val="00F1005A"/>
    <w:rsid w:val="00F135FA"/>
    <w:rsid w:val="00F14011"/>
    <w:rsid w:val="00F14279"/>
    <w:rsid w:val="00F14D34"/>
    <w:rsid w:val="00F15E53"/>
    <w:rsid w:val="00F16BBB"/>
    <w:rsid w:val="00F16E29"/>
    <w:rsid w:val="00F16F32"/>
    <w:rsid w:val="00F1793B"/>
    <w:rsid w:val="00F20EAE"/>
    <w:rsid w:val="00F217F5"/>
    <w:rsid w:val="00F21DFA"/>
    <w:rsid w:val="00F220DE"/>
    <w:rsid w:val="00F22B22"/>
    <w:rsid w:val="00F2350A"/>
    <w:rsid w:val="00F235C3"/>
    <w:rsid w:val="00F236B5"/>
    <w:rsid w:val="00F23EE2"/>
    <w:rsid w:val="00F24157"/>
    <w:rsid w:val="00F24454"/>
    <w:rsid w:val="00F2484F"/>
    <w:rsid w:val="00F24B5D"/>
    <w:rsid w:val="00F25444"/>
    <w:rsid w:val="00F26D0B"/>
    <w:rsid w:val="00F30BC2"/>
    <w:rsid w:val="00F30D8D"/>
    <w:rsid w:val="00F31437"/>
    <w:rsid w:val="00F31B74"/>
    <w:rsid w:val="00F33B27"/>
    <w:rsid w:val="00F34044"/>
    <w:rsid w:val="00F344AA"/>
    <w:rsid w:val="00F3451A"/>
    <w:rsid w:val="00F34F02"/>
    <w:rsid w:val="00F355C8"/>
    <w:rsid w:val="00F359AD"/>
    <w:rsid w:val="00F35BE5"/>
    <w:rsid w:val="00F365B6"/>
    <w:rsid w:val="00F36738"/>
    <w:rsid w:val="00F40D31"/>
    <w:rsid w:val="00F422B3"/>
    <w:rsid w:val="00F42619"/>
    <w:rsid w:val="00F429D1"/>
    <w:rsid w:val="00F42AB1"/>
    <w:rsid w:val="00F42E1D"/>
    <w:rsid w:val="00F4352D"/>
    <w:rsid w:val="00F438C4"/>
    <w:rsid w:val="00F43D9A"/>
    <w:rsid w:val="00F4400F"/>
    <w:rsid w:val="00F446D8"/>
    <w:rsid w:val="00F45522"/>
    <w:rsid w:val="00F467BE"/>
    <w:rsid w:val="00F527FE"/>
    <w:rsid w:val="00F52C47"/>
    <w:rsid w:val="00F535D8"/>
    <w:rsid w:val="00F54F16"/>
    <w:rsid w:val="00F571B6"/>
    <w:rsid w:val="00F574C1"/>
    <w:rsid w:val="00F6243C"/>
    <w:rsid w:val="00F6319C"/>
    <w:rsid w:val="00F638C7"/>
    <w:rsid w:val="00F63E8B"/>
    <w:rsid w:val="00F63E9E"/>
    <w:rsid w:val="00F64FA1"/>
    <w:rsid w:val="00F6691A"/>
    <w:rsid w:val="00F66B81"/>
    <w:rsid w:val="00F67B03"/>
    <w:rsid w:val="00F70A9C"/>
    <w:rsid w:val="00F71B88"/>
    <w:rsid w:val="00F7286B"/>
    <w:rsid w:val="00F72B17"/>
    <w:rsid w:val="00F736C8"/>
    <w:rsid w:val="00F738B4"/>
    <w:rsid w:val="00F73BF6"/>
    <w:rsid w:val="00F749F6"/>
    <w:rsid w:val="00F7558E"/>
    <w:rsid w:val="00F76502"/>
    <w:rsid w:val="00F77A28"/>
    <w:rsid w:val="00F816E7"/>
    <w:rsid w:val="00F819F3"/>
    <w:rsid w:val="00F81B3E"/>
    <w:rsid w:val="00F820FE"/>
    <w:rsid w:val="00F823D6"/>
    <w:rsid w:val="00F83514"/>
    <w:rsid w:val="00F8366D"/>
    <w:rsid w:val="00F84BA7"/>
    <w:rsid w:val="00F860BF"/>
    <w:rsid w:val="00F861AB"/>
    <w:rsid w:val="00F87933"/>
    <w:rsid w:val="00F90C18"/>
    <w:rsid w:val="00F91732"/>
    <w:rsid w:val="00F91F55"/>
    <w:rsid w:val="00F92A32"/>
    <w:rsid w:val="00F947C1"/>
    <w:rsid w:val="00F97375"/>
    <w:rsid w:val="00F97571"/>
    <w:rsid w:val="00F977EE"/>
    <w:rsid w:val="00F97935"/>
    <w:rsid w:val="00FA1491"/>
    <w:rsid w:val="00FA1EFA"/>
    <w:rsid w:val="00FA4D71"/>
    <w:rsid w:val="00FA5530"/>
    <w:rsid w:val="00FA69FC"/>
    <w:rsid w:val="00FA6F32"/>
    <w:rsid w:val="00FA7664"/>
    <w:rsid w:val="00FB0DC0"/>
    <w:rsid w:val="00FB1045"/>
    <w:rsid w:val="00FB17A6"/>
    <w:rsid w:val="00FB182A"/>
    <w:rsid w:val="00FB23D8"/>
    <w:rsid w:val="00FB277C"/>
    <w:rsid w:val="00FB2E82"/>
    <w:rsid w:val="00FB37C8"/>
    <w:rsid w:val="00FB39D9"/>
    <w:rsid w:val="00FB39F3"/>
    <w:rsid w:val="00FB432B"/>
    <w:rsid w:val="00FB4D21"/>
    <w:rsid w:val="00FB5E6B"/>
    <w:rsid w:val="00FB6B9D"/>
    <w:rsid w:val="00FB6EE8"/>
    <w:rsid w:val="00FC16D4"/>
    <w:rsid w:val="00FC2019"/>
    <w:rsid w:val="00FC218D"/>
    <w:rsid w:val="00FC41C9"/>
    <w:rsid w:val="00FC54FC"/>
    <w:rsid w:val="00FD09CB"/>
    <w:rsid w:val="00FD1954"/>
    <w:rsid w:val="00FD1B99"/>
    <w:rsid w:val="00FD3B17"/>
    <w:rsid w:val="00FD40C5"/>
    <w:rsid w:val="00FE17A9"/>
    <w:rsid w:val="00FE41B7"/>
    <w:rsid w:val="00FE5E19"/>
    <w:rsid w:val="00FF1C74"/>
    <w:rsid w:val="00FF2EA0"/>
    <w:rsid w:val="00FF33CE"/>
    <w:rsid w:val="00FF383C"/>
    <w:rsid w:val="00FF51FD"/>
    <w:rsid w:val="00FF555B"/>
    <w:rsid w:val="00FF68DA"/>
    <w:rsid w:val="00FF74B9"/>
    <w:rsid w:val="00FF7A5D"/>
    <w:rsid w:val="02A5FC20"/>
    <w:rsid w:val="06F939DC"/>
    <w:rsid w:val="07865F4B"/>
    <w:rsid w:val="07D246A6"/>
    <w:rsid w:val="0AF47EAC"/>
    <w:rsid w:val="0C0DE913"/>
    <w:rsid w:val="0C51B112"/>
    <w:rsid w:val="0C904F0D"/>
    <w:rsid w:val="0DED8173"/>
    <w:rsid w:val="1575C535"/>
    <w:rsid w:val="18BDDB02"/>
    <w:rsid w:val="18F17213"/>
    <w:rsid w:val="1CCBE875"/>
    <w:rsid w:val="1D12C7BA"/>
    <w:rsid w:val="20F13D8A"/>
    <w:rsid w:val="22C3918E"/>
    <w:rsid w:val="236DE8F7"/>
    <w:rsid w:val="262C0D64"/>
    <w:rsid w:val="29442CD5"/>
    <w:rsid w:val="2963AE26"/>
    <w:rsid w:val="29A83A2E"/>
    <w:rsid w:val="29ACAC84"/>
    <w:rsid w:val="2B29B55F"/>
    <w:rsid w:val="2C10C992"/>
    <w:rsid w:val="2E38E4EE"/>
    <w:rsid w:val="2F92BA9D"/>
    <w:rsid w:val="2FB0243F"/>
    <w:rsid w:val="326D8A3A"/>
    <w:rsid w:val="336684A9"/>
    <w:rsid w:val="380C133C"/>
    <w:rsid w:val="3B2E5DB1"/>
    <w:rsid w:val="3B586E31"/>
    <w:rsid w:val="3C582475"/>
    <w:rsid w:val="3CA037DB"/>
    <w:rsid w:val="3DD7F864"/>
    <w:rsid w:val="4088CFB0"/>
    <w:rsid w:val="42F07F64"/>
    <w:rsid w:val="43075A03"/>
    <w:rsid w:val="43E5E610"/>
    <w:rsid w:val="468735BF"/>
    <w:rsid w:val="4AC6848D"/>
    <w:rsid w:val="4D20D692"/>
    <w:rsid w:val="4E0B6EAF"/>
    <w:rsid w:val="5335E8B4"/>
    <w:rsid w:val="548ABD15"/>
    <w:rsid w:val="550B8FCA"/>
    <w:rsid w:val="56DB94BF"/>
    <w:rsid w:val="58C65F82"/>
    <w:rsid w:val="59F274CE"/>
    <w:rsid w:val="5A69F415"/>
    <w:rsid w:val="5B8AA753"/>
    <w:rsid w:val="5B9D4CCC"/>
    <w:rsid w:val="61BF6D64"/>
    <w:rsid w:val="626A4C70"/>
    <w:rsid w:val="64E6E848"/>
    <w:rsid w:val="6649FAA0"/>
    <w:rsid w:val="6694E5DC"/>
    <w:rsid w:val="6991A844"/>
    <w:rsid w:val="6CD69266"/>
    <w:rsid w:val="70D21889"/>
    <w:rsid w:val="7236C28D"/>
    <w:rsid w:val="729DC67C"/>
    <w:rsid w:val="735E0028"/>
    <w:rsid w:val="739D35CC"/>
    <w:rsid w:val="73A9E783"/>
    <w:rsid w:val="74CF4089"/>
    <w:rsid w:val="74E1A44B"/>
    <w:rsid w:val="750E3848"/>
    <w:rsid w:val="77E8EEB1"/>
    <w:rsid w:val="79793AF5"/>
    <w:rsid w:val="7AC1049F"/>
    <w:rsid w:val="7C723DBC"/>
    <w:rsid w:val="7D926014"/>
    <w:rsid w:val="7F09F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56D8D4C"/>
  <w15:docId w15:val="{D8BBFABE-B29D-40CF-8633-493AD4B2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123"/>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uiPriority w:val="99"/>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rsid w:val="00972DEF"/>
  </w:style>
  <w:style w:type="character" w:customStyle="1" w:styleId="CommentTextChar">
    <w:name w:val="Comment Text Char"/>
    <w:link w:val="CommentText"/>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5D380A"/>
    <w:pPr>
      <w:tabs>
        <w:tab w:val="left" w:pos="1440"/>
        <w:tab w:val="right" w:leader="dot" w:pos="8208"/>
        <w:tab w:val="left" w:pos="8640"/>
      </w:tabs>
      <w:ind w:left="288"/>
    </w:pPr>
    <w:rPr>
      <w:caps/>
    </w:rPr>
  </w:style>
  <w:style w:type="paragraph" w:styleId="TOC2">
    <w:name w:val="toc 2"/>
    <w:basedOn w:val="Normal"/>
    <w:autoRedefine/>
    <w:semiHidden/>
    <w:rsid w:val="00B173B8"/>
    <w:pPr>
      <w:tabs>
        <w:tab w:val="left" w:pos="2160"/>
        <w:tab w:val="right" w:leader="dot" w:pos="8208"/>
        <w:tab w:val="left" w:pos="8640"/>
      </w:tabs>
      <w:ind w:left="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6942C9"/>
    <w:rPr>
      <w:b/>
      <w:bCs/>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aliases w:val="Bullet List,FooterText,List Paragraph1"/>
    <w:basedOn w:val="Normal"/>
    <w:link w:val="ListParagraphChar"/>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customStyle="1" w:styleId="title1">
    <w:name w:val="title1"/>
    <w:basedOn w:val="Normal"/>
    <w:rsid w:val="004041AF"/>
    <w:rPr>
      <w:sz w:val="27"/>
      <w:szCs w:val="27"/>
    </w:rPr>
  </w:style>
  <w:style w:type="paragraph" w:customStyle="1" w:styleId="desc2">
    <w:name w:val="desc2"/>
    <w:basedOn w:val="Normal"/>
    <w:rsid w:val="004041AF"/>
    <w:rPr>
      <w:sz w:val="26"/>
      <w:szCs w:val="26"/>
    </w:rPr>
  </w:style>
  <w:style w:type="character" w:customStyle="1" w:styleId="jrnl">
    <w:name w:val="jrnl"/>
    <w:basedOn w:val="DefaultParagraphFont"/>
    <w:rsid w:val="004041AF"/>
  </w:style>
  <w:style w:type="character" w:customStyle="1" w:styleId="ListParagraphChar">
    <w:name w:val="List Paragraph Char"/>
    <w:aliases w:val="Bullet List Char,FooterText Char,List Paragraph1 Char"/>
    <w:basedOn w:val="DefaultParagraphFont"/>
    <w:link w:val="ListParagraph"/>
    <w:uiPriority w:val="34"/>
    <w:locked/>
    <w:rsid w:val="003F151D"/>
    <w:rPr>
      <w:sz w:val="24"/>
      <w:szCs w:val="24"/>
    </w:rPr>
  </w:style>
  <w:style w:type="paragraph" w:customStyle="1" w:styleId="EndNoteBibliography">
    <w:name w:val="EndNote Bibliography"/>
    <w:basedOn w:val="Normal"/>
    <w:link w:val="EndNoteBibliographyChar"/>
    <w:rsid w:val="00C366BA"/>
    <w:rPr>
      <w:noProof/>
    </w:rPr>
  </w:style>
  <w:style w:type="character" w:customStyle="1" w:styleId="EndNoteBibliographyChar">
    <w:name w:val="EndNote Bibliography Char"/>
    <w:basedOn w:val="DefaultParagraphFont"/>
    <w:link w:val="EndNoteBibliography"/>
    <w:rsid w:val="00C366BA"/>
    <w:rPr>
      <w:noProof/>
      <w:sz w:val="24"/>
      <w:szCs w:val="24"/>
    </w:rPr>
  </w:style>
  <w:style w:type="paragraph" w:customStyle="1" w:styleId="EndNoteBibliographyTitle">
    <w:name w:val="EndNote Bibliography Title"/>
    <w:basedOn w:val="Normal"/>
    <w:link w:val="EndNoteBibliographyTitleChar"/>
    <w:rsid w:val="00C366BA"/>
    <w:pPr>
      <w:jc w:val="center"/>
    </w:pPr>
    <w:rPr>
      <w:noProof/>
    </w:rPr>
  </w:style>
  <w:style w:type="character" w:customStyle="1" w:styleId="EndNoteBibliographyTitleChar">
    <w:name w:val="EndNote Bibliography Title Char"/>
    <w:basedOn w:val="DefaultParagraphFont"/>
    <w:link w:val="EndNoteBibliographyTitle"/>
    <w:rsid w:val="00C366BA"/>
    <w:rPr>
      <w:noProof/>
      <w:sz w:val="24"/>
      <w:szCs w:val="24"/>
    </w:rPr>
  </w:style>
  <w:style w:type="table" w:styleId="TableGrid">
    <w:name w:val="Table Grid"/>
    <w:basedOn w:val="TableNormal"/>
    <w:uiPriority w:val="59"/>
    <w:rsid w:val="006F1C6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A7C3E"/>
    <w:pPr>
      <w:spacing w:before="100" w:beforeAutospacing="1" w:after="100" w:afterAutospacing="1"/>
    </w:pPr>
  </w:style>
  <w:style w:type="character" w:customStyle="1" w:styleId="apple-converted-space">
    <w:name w:val="apple-converted-space"/>
    <w:basedOn w:val="DefaultParagraphFont"/>
    <w:rsid w:val="00AA7C3E"/>
  </w:style>
  <w:style w:type="paragraph" w:customStyle="1" w:styleId="xmsolistparagraph">
    <w:name w:val="x_msolistparagraph"/>
    <w:basedOn w:val="Normal"/>
    <w:rsid w:val="00AA7C3E"/>
    <w:pPr>
      <w:spacing w:before="100" w:beforeAutospacing="1" w:after="100" w:afterAutospacing="1"/>
    </w:pPr>
  </w:style>
  <w:style w:type="character" w:customStyle="1" w:styleId="hilite">
    <w:name w:val="hilite"/>
    <w:basedOn w:val="DefaultParagraphFont"/>
    <w:rsid w:val="00262762"/>
  </w:style>
  <w:style w:type="character" w:styleId="Emphasis">
    <w:name w:val="Emphasis"/>
    <w:basedOn w:val="DefaultParagraphFont"/>
    <w:uiPriority w:val="20"/>
    <w:qFormat/>
    <w:rsid w:val="00262762"/>
    <w:rPr>
      <w:i/>
      <w:iCs/>
    </w:rPr>
  </w:style>
  <w:style w:type="paragraph" w:styleId="BodyText">
    <w:name w:val="Body Text"/>
    <w:basedOn w:val="Normal"/>
    <w:link w:val="BodyTextChar"/>
    <w:semiHidden/>
    <w:unhideWhenUsed/>
    <w:rsid w:val="005B5168"/>
    <w:pPr>
      <w:spacing w:after="120"/>
    </w:pPr>
  </w:style>
  <w:style w:type="character" w:customStyle="1" w:styleId="BodyTextChar">
    <w:name w:val="Body Text Char"/>
    <w:basedOn w:val="DefaultParagraphFont"/>
    <w:link w:val="BodyText"/>
    <w:semiHidden/>
    <w:rsid w:val="005B5168"/>
    <w:rPr>
      <w:sz w:val="24"/>
      <w:szCs w:val="24"/>
    </w:rPr>
  </w:style>
  <w:style w:type="paragraph" w:styleId="NoSpacing">
    <w:name w:val="No Spacing"/>
    <w:uiPriority w:val="1"/>
    <w:qFormat/>
    <w:rsid w:val="005B5168"/>
    <w:rPr>
      <w:rFonts w:ascii="Calibri" w:eastAsia="Calibri" w:hAnsi="Calibri" w:cs="Calibri"/>
      <w:sz w:val="22"/>
      <w:szCs w:val="22"/>
    </w:rPr>
  </w:style>
  <w:style w:type="paragraph" w:customStyle="1" w:styleId="Pa2">
    <w:name w:val="Pa2"/>
    <w:basedOn w:val="Default"/>
    <w:next w:val="Default"/>
    <w:uiPriority w:val="99"/>
    <w:rsid w:val="0009207D"/>
    <w:pPr>
      <w:spacing w:line="221" w:lineRule="atLeast"/>
    </w:pPr>
    <w:rPr>
      <w:rFonts w:ascii="Myriad Pro" w:hAnsi="Myriad Pro"/>
      <w:color w:val="auto"/>
    </w:rPr>
  </w:style>
  <w:style w:type="paragraph" w:customStyle="1" w:styleId="default0">
    <w:name w:val="default"/>
    <w:basedOn w:val="Normal"/>
    <w:rsid w:val="00586B88"/>
    <w:pPr>
      <w:spacing w:before="100" w:beforeAutospacing="1" w:after="100" w:afterAutospacing="1"/>
    </w:pPr>
  </w:style>
  <w:style w:type="character" w:styleId="UnresolvedMention">
    <w:name w:val="Unresolved Mention"/>
    <w:basedOn w:val="DefaultParagraphFont"/>
    <w:uiPriority w:val="99"/>
    <w:unhideWhenUsed/>
    <w:rsid w:val="00211CEE"/>
    <w:rPr>
      <w:color w:val="605E5C"/>
      <w:shd w:val="clear" w:color="auto" w:fill="E1DFDD"/>
    </w:rPr>
  </w:style>
  <w:style w:type="paragraph" w:customStyle="1" w:styleId="NormalSS">
    <w:name w:val="NormalSS"/>
    <w:basedOn w:val="Normal"/>
    <w:link w:val="NormalSSChar"/>
    <w:qFormat/>
    <w:rsid w:val="00ED7CBB"/>
    <w:pPr>
      <w:spacing w:after="240"/>
      <w:ind w:firstLine="432"/>
    </w:pPr>
    <w:rPr>
      <w:szCs w:val="20"/>
    </w:rPr>
  </w:style>
  <w:style w:type="character" w:customStyle="1" w:styleId="NormalSSChar">
    <w:name w:val="NormalSS Char"/>
    <w:link w:val="NormalSS"/>
    <w:locked/>
    <w:rsid w:val="00ED7CBB"/>
    <w:rPr>
      <w:sz w:val="24"/>
    </w:rPr>
  </w:style>
  <w:style w:type="paragraph" w:styleId="BodyText3">
    <w:name w:val="Body Text 3"/>
    <w:basedOn w:val="Normal"/>
    <w:link w:val="BodyText3Char"/>
    <w:rsid w:val="00E51CAD"/>
    <w:pPr>
      <w:spacing w:after="120"/>
    </w:pPr>
    <w:rPr>
      <w:sz w:val="16"/>
      <w:szCs w:val="16"/>
    </w:rPr>
  </w:style>
  <w:style w:type="character" w:customStyle="1" w:styleId="BodyText3Char">
    <w:name w:val="Body Text 3 Char"/>
    <w:basedOn w:val="DefaultParagraphFont"/>
    <w:link w:val="BodyText3"/>
    <w:rsid w:val="00E51CAD"/>
    <w:rPr>
      <w:sz w:val="16"/>
      <w:szCs w:val="16"/>
    </w:rPr>
  </w:style>
  <w:style w:type="character" w:styleId="Mention">
    <w:name w:val="Mention"/>
    <w:basedOn w:val="DefaultParagraphFont"/>
    <w:uiPriority w:val="99"/>
    <w:unhideWhenUsed/>
    <w:rsid w:val="00654506"/>
    <w:rPr>
      <w:color w:val="2B579A"/>
      <w:shd w:val="clear" w:color="auto" w:fill="E1DFDD"/>
    </w:rPr>
  </w:style>
  <w:style w:type="character" w:customStyle="1" w:styleId="authors">
    <w:name w:val="authors"/>
    <w:basedOn w:val="DefaultParagraphFont"/>
    <w:rsid w:val="00562EB2"/>
  </w:style>
  <w:style w:type="character" w:customStyle="1" w:styleId="Date1">
    <w:name w:val="Date1"/>
    <w:basedOn w:val="DefaultParagraphFont"/>
    <w:rsid w:val="00562EB2"/>
  </w:style>
  <w:style w:type="character" w:customStyle="1" w:styleId="arttitle">
    <w:name w:val="art_title"/>
    <w:basedOn w:val="DefaultParagraphFont"/>
    <w:rsid w:val="00562EB2"/>
  </w:style>
  <w:style w:type="character" w:customStyle="1" w:styleId="serialtitle">
    <w:name w:val="serial_title"/>
    <w:basedOn w:val="DefaultParagraphFont"/>
    <w:rsid w:val="00562EB2"/>
  </w:style>
  <w:style w:type="character" w:customStyle="1" w:styleId="doilink">
    <w:name w:val="doi_link"/>
    <w:basedOn w:val="DefaultParagraphFont"/>
    <w:rsid w:val="0056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75676">
      <w:bodyDiv w:val="1"/>
      <w:marLeft w:val="0"/>
      <w:marRight w:val="0"/>
      <w:marTop w:val="0"/>
      <w:marBottom w:val="0"/>
      <w:divBdr>
        <w:top w:val="none" w:sz="0" w:space="0" w:color="auto"/>
        <w:left w:val="none" w:sz="0" w:space="0" w:color="auto"/>
        <w:bottom w:val="none" w:sz="0" w:space="0" w:color="auto"/>
        <w:right w:val="none" w:sz="0" w:space="0" w:color="auto"/>
      </w:divBdr>
    </w:div>
    <w:div w:id="109781669">
      <w:bodyDiv w:val="1"/>
      <w:marLeft w:val="0"/>
      <w:marRight w:val="0"/>
      <w:marTop w:val="0"/>
      <w:marBottom w:val="0"/>
      <w:divBdr>
        <w:top w:val="none" w:sz="0" w:space="0" w:color="auto"/>
        <w:left w:val="none" w:sz="0" w:space="0" w:color="auto"/>
        <w:bottom w:val="none" w:sz="0" w:space="0" w:color="auto"/>
        <w:right w:val="none" w:sz="0" w:space="0" w:color="auto"/>
      </w:divBdr>
    </w:div>
    <w:div w:id="114448527">
      <w:bodyDiv w:val="1"/>
      <w:marLeft w:val="0"/>
      <w:marRight w:val="0"/>
      <w:marTop w:val="0"/>
      <w:marBottom w:val="0"/>
      <w:divBdr>
        <w:top w:val="none" w:sz="0" w:space="0" w:color="auto"/>
        <w:left w:val="none" w:sz="0" w:space="0" w:color="auto"/>
        <w:bottom w:val="none" w:sz="0" w:space="0" w:color="auto"/>
        <w:right w:val="none" w:sz="0" w:space="0" w:color="auto"/>
      </w:divBdr>
      <w:divsChild>
        <w:div w:id="802965766">
          <w:marLeft w:val="0"/>
          <w:marRight w:val="0"/>
          <w:marTop w:val="0"/>
          <w:marBottom w:val="0"/>
          <w:divBdr>
            <w:top w:val="none" w:sz="0" w:space="0" w:color="auto"/>
            <w:left w:val="none" w:sz="0" w:space="0" w:color="auto"/>
            <w:bottom w:val="none" w:sz="0" w:space="0" w:color="auto"/>
            <w:right w:val="none" w:sz="0" w:space="0" w:color="auto"/>
          </w:divBdr>
        </w:div>
      </w:divsChild>
    </w:div>
    <w:div w:id="127671046">
      <w:bodyDiv w:val="1"/>
      <w:marLeft w:val="0"/>
      <w:marRight w:val="0"/>
      <w:marTop w:val="0"/>
      <w:marBottom w:val="0"/>
      <w:divBdr>
        <w:top w:val="none" w:sz="0" w:space="0" w:color="auto"/>
        <w:left w:val="none" w:sz="0" w:space="0" w:color="auto"/>
        <w:bottom w:val="none" w:sz="0" w:space="0" w:color="auto"/>
        <w:right w:val="none" w:sz="0" w:space="0" w:color="auto"/>
      </w:divBdr>
    </w:div>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41254045">
      <w:bodyDiv w:val="1"/>
      <w:marLeft w:val="0"/>
      <w:marRight w:val="0"/>
      <w:marTop w:val="0"/>
      <w:marBottom w:val="0"/>
      <w:divBdr>
        <w:top w:val="none" w:sz="0" w:space="0" w:color="auto"/>
        <w:left w:val="none" w:sz="0" w:space="0" w:color="auto"/>
        <w:bottom w:val="none" w:sz="0" w:space="0" w:color="auto"/>
        <w:right w:val="none" w:sz="0" w:space="0" w:color="auto"/>
      </w:divBdr>
    </w:div>
    <w:div w:id="282617082">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6443">
      <w:bodyDiv w:val="1"/>
      <w:marLeft w:val="0"/>
      <w:marRight w:val="0"/>
      <w:marTop w:val="0"/>
      <w:marBottom w:val="0"/>
      <w:divBdr>
        <w:top w:val="none" w:sz="0" w:space="0" w:color="auto"/>
        <w:left w:val="none" w:sz="0" w:space="0" w:color="auto"/>
        <w:bottom w:val="none" w:sz="0" w:space="0" w:color="auto"/>
        <w:right w:val="none" w:sz="0" w:space="0" w:color="auto"/>
      </w:divBdr>
    </w:div>
    <w:div w:id="374962736">
      <w:bodyDiv w:val="1"/>
      <w:marLeft w:val="0"/>
      <w:marRight w:val="0"/>
      <w:marTop w:val="0"/>
      <w:marBottom w:val="0"/>
      <w:divBdr>
        <w:top w:val="none" w:sz="0" w:space="0" w:color="auto"/>
        <w:left w:val="none" w:sz="0" w:space="0" w:color="auto"/>
        <w:bottom w:val="none" w:sz="0" w:space="0" w:color="auto"/>
        <w:right w:val="none" w:sz="0" w:space="0" w:color="auto"/>
      </w:divBdr>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764499755">
      <w:bodyDiv w:val="1"/>
      <w:marLeft w:val="0"/>
      <w:marRight w:val="0"/>
      <w:marTop w:val="0"/>
      <w:marBottom w:val="0"/>
      <w:divBdr>
        <w:top w:val="none" w:sz="0" w:space="0" w:color="auto"/>
        <w:left w:val="none" w:sz="0" w:space="0" w:color="auto"/>
        <w:bottom w:val="none" w:sz="0" w:space="0" w:color="auto"/>
        <w:right w:val="none" w:sz="0" w:space="0" w:color="auto"/>
      </w:divBdr>
      <w:divsChild>
        <w:div w:id="1603566115">
          <w:marLeft w:val="0"/>
          <w:marRight w:val="0"/>
          <w:marTop w:val="0"/>
          <w:marBottom w:val="0"/>
          <w:divBdr>
            <w:top w:val="none" w:sz="0" w:space="0" w:color="auto"/>
            <w:left w:val="none" w:sz="0" w:space="0" w:color="auto"/>
            <w:bottom w:val="none" w:sz="0" w:space="0" w:color="auto"/>
            <w:right w:val="none" w:sz="0" w:space="0" w:color="auto"/>
          </w:divBdr>
        </w:div>
      </w:divsChild>
    </w:div>
    <w:div w:id="829566229">
      <w:bodyDiv w:val="1"/>
      <w:marLeft w:val="0"/>
      <w:marRight w:val="0"/>
      <w:marTop w:val="0"/>
      <w:marBottom w:val="0"/>
      <w:divBdr>
        <w:top w:val="none" w:sz="0" w:space="0" w:color="auto"/>
        <w:left w:val="none" w:sz="0" w:space="0" w:color="auto"/>
        <w:bottom w:val="none" w:sz="0" w:space="0" w:color="auto"/>
        <w:right w:val="none" w:sz="0" w:space="0" w:color="auto"/>
      </w:divBdr>
      <w:divsChild>
        <w:div w:id="726760344">
          <w:marLeft w:val="0"/>
          <w:marRight w:val="0"/>
          <w:marTop w:val="0"/>
          <w:marBottom w:val="0"/>
          <w:divBdr>
            <w:top w:val="none" w:sz="0" w:space="0" w:color="auto"/>
            <w:left w:val="none" w:sz="0" w:space="0" w:color="auto"/>
            <w:bottom w:val="none" w:sz="0" w:space="0" w:color="auto"/>
            <w:right w:val="none" w:sz="0" w:space="0" w:color="auto"/>
          </w:divBdr>
        </w:div>
      </w:divsChild>
    </w:div>
    <w:div w:id="851603975">
      <w:bodyDiv w:val="1"/>
      <w:marLeft w:val="0"/>
      <w:marRight w:val="0"/>
      <w:marTop w:val="0"/>
      <w:marBottom w:val="0"/>
      <w:divBdr>
        <w:top w:val="none" w:sz="0" w:space="0" w:color="auto"/>
        <w:left w:val="none" w:sz="0" w:space="0" w:color="auto"/>
        <w:bottom w:val="none" w:sz="0" w:space="0" w:color="auto"/>
        <w:right w:val="none" w:sz="0" w:space="0" w:color="auto"/>
      </w:divBdr>
      <w:divsChild>
        <w:div w:id="2069839474">
          <w:marLeft w:val="0"/>
          <w:marRight w:val="0"/>
          <w:marTop w:val="0"/>
          <w:marBottom w:val="0"/>
          <w:divBdr>
            <w:top w:val="none" w:sz="0" w:space="0" w:color="auto"/>
            <w:left w:val="none" w:sz="0" w:space="0" w:color="auto"/>
            <w:bottom w:val="none" w:sz="0" w:space="0" w:color="auto"/>
            <w:right w:val="none" w:sz="0" w:space="0" w:color="auto"/>
          </w:divBdr>
        </w:div>
      </w:divsChild>
    </w:div>
    <w:div w:id="863056183">
      <w:bodyDiv w:val="1"/>
      <w:marLeft w:val="0"/>
      <w:marRight w:val="0"/>
      <w:marTop w:val="0"/>
      <w:marBottom w:val="0"/>
      <w:divBdr>
        <w:top w:val="none" w:sz="0" w:space="0" w:color="auto"/>
        <w:left w:val="none" w:sz="0" w:space="0" w:color="auto"/>
        <w:bottom w:val="none" w:sz="0" w:space="0" w:color="auto"/>
        <w:right w:val="none" w:sz="0" w:space="0" w:color="auto"/>
      </w:divBdr>
    </w:div>
    <w:div w:id="997611624">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085230550">
      <w:bodyDiv w:val="1"/>
      <w:marLeft w:val="0"/>
      <w:marRight w:val="0"/>
      <w:marTop w:val="0"/>
      <w:marBottom w:val="0"/>
      <w:divBdr>
        <w:top w:val="none" w:sz="0" w:space="0" w:color="auto"/>
        <w:left w:val="none" w:sz="0" w:space="0" w:color="auto"/>
        <w:bottom w:val="none" w:sz="0" w:space="0" w:color="auto"/>
        <w:right w:val="none" w:sz="0" w:space="0" w:color="auto"/>
      </w:divBdr>
    </w:div>
    <w:div w:id="1096942984">
      <w:bodyDiv w:val="1"/>
      <w:marLeft w:val="0"/>
      <w:marRight w:val="0"/>
      <w:marTop w:val="0"/>
      <w:marBottom w:val="0"/>
      <w:divBdr>
        <w:top w:val="none" w:sz="0" w:space="0" w:color="auto"/>
        <w:left w:val="none" w:sz="0" w:space="0" w:color="auto"/>
        <w:bottom w:val="none" w:sz="0" w:space="0" w:color="auto"/>
        <w:right w:val="none" w:sz="0" w:space="0" w:color="auto"/>
      </w:divBdr>
      <w:divsChild>
        <w:div w:id="2013727046">
          <w:marLeft w:val="0"/>
          <w:marRight w:val="0"/>
          <w:marTop w:val="0"/>
          <w:marBottom w:val="0"/>
          <w:divBdr>
            <w:top w:val="none" w:sz="0" w:space="0" w:color="auto"/>
            <w:left w:val="none" w:sz="0" w:space="0" w:color="auto"/>
            <w:bottom w:val="none" w:sz="0" w:space="0" w:color="auto"/>
            <w:right w:val="none" w:sz="0" w:space="0" w:color="auto"/>
          </w:divBdr>
        </w:div>
      </w:divsChild>
    </w:div>
    <w:div w:id="1144471142">
      <w:bodyDiv w:val="1"/>
      <w:marLeft w:val="0"/>
      <w:marRight w:val="0"/>
      <w:marTop w:val="0"/>
      <w:marBottom w:val="0"/>
      <w:divBdr>
        <w:top w:val="none" w:sz="0" w:space="0" w:color="auto"/>
        <w:left w:val="none" w:sz="0" w:space="0" w:color="auto"/>
        <w:bottom w:val="none" w:sz="0" w:space="0" w:color="auto"/>
        <w:right w:val="none" w:sz="0" w:space="0" w:color="auto"/>
      </w:divBdr>
    </w:div>
    <w:div w:id="1183125018">
      <w:bodyDiv w:val="1"/>
      <w:marLeft w:val="0"/>
      <w:marRight w:val="0"/>
      <w:marTop w:val="0"/>
      <w:marBottom w:val="0"/>
      <w:divBdr>
        <w:top w:val="none" w:sz="0" w:space="0" w:color="auto"/>
        <w:left w:val="none" w:sz="0" w:space="0" w:color="auto"/>
        <w:bottom w:val="none" w:sz="0" w:space="0" w:color="auto"/>
        <w:right w:val="none" w:sz="0" w:space="0" w:color="auto"/>
      </w:divBdr>
      <w:divsChild>
        <w:div w:id="2139566509">
          <w:marLeft w:val="0"/>
          <w:marRight w:val="0"/>
          <w:marTop w:val="0"/>
          <w:marBottom w:val="0"/>
          <w:divBdr>
            <w:top w:val="none" w:sz="0" w:space="0" w:color="auto"/>
            <w:left w:val="none" w:sz="0" w:space="0" w:color="auto"/>
            <w:bottom w:val="none" w:sz="0" w:space="0" w:color="auto"/>
            <w:right w:val="none" w:sz="0" w:space="0" w:color="auto"/>
          </w:divBdr>
        </w:div>
      </w:divsChild>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299798833">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339581722">
      <w:bodyDiv w:val="1"/>
      <w:marLeft w:val="0"/>
      <w:marRight w:val="0"/>
      <w:marTop w:val="0"/>
      <w:marBottom w:val="0"/>
      <w:divBdr>
        <w:top w:val="none" w:sz="0" w:space="0" w:color="auto"/>
        <w:left w:val="none" w:sz="0" w:space="0" w:color="auto"/>
        <w:bottom w:val="none" w:sz="0" w:space="0" w:color="auto"/>
        <w:right w:val="none" w:sz="0" w:space="0" w:color="auto"/>
      </w:divBdr>
    </w:div>
    <w:div w:id="1353268247">
      <w:bodyDiv w:val="1"/>
      <w:marLeft w:val="0"/>
      <w:marRight w:val="0"/>
      <w:marTop w:val="0"/>
      <w:marBottom w:val="0"/>
      <w:divBdr>
        <w:top w:val="none" w:sz="0" w:space="0" w:color="auto"/>
        <w:left w:val="none" w:sz="0" w:space="0" w:color="auto"/>
        <w:bottom w:val="none" w:sz="0" w:space="0" w:color="auto"/>
        <w:right w:val="none" w:sz="0" w:space="0" w:color="auto"/>
      </w:divBdr>
    </w:div>
    <w:div w:id="1361468329">
      <w:bodyDiv w:val="1"/>
      <w:marLeft w:val="0"/>
      <w:marRight w:val="0"/>
      <w:marTop w:val="0"/>
      <w:marBottom w:val="0"/>
      <w:divBdr>
        <w:top w:val="none" w:sz="0" w:space="0" w:color="auto"/>
        <w:left w:val="none" w:sz="0" w:space="0" w:color="auto"/>
        <w:bottom w:val="none" w:sz="0" w:space="0" w:color="auto"/>
        <w:right w:val="none" w:sz="0" w:space="0" w:color="auto"/>
      </w:divBdr>
    </w:div>
    <w:div w:id="1419520438">
      <w:bodyDiv w:val="1"/>
      <w:marLeft w:val="0"/>
      <w:marRight w:val="0"/>
      <w:marTop w:val="0"/>
      <w:marBottom w:val="0"/>
      <w:divBdr>
        <w:top w:val="none" w:sz="0" w:space="0" w:color="auto"/>
        <w:left w:val="none" w:sz="0" w:space="0" w:color="auto"/>
        <w:bottom w:val="none" w:sz="0" w:space="0" w:color="auto"/>
        <w:right w:val="none" w:sz="0" w:space="0" w:color="auto"/>
      </w:divBdr>
      <w:divsChild>
        <w:div w:id="1611626189">
          <w:marLeft w:val="0"/>
          <w:marRight w:val="0"/>
          <w:marTop w:val="0"/>
          <w:marBottom w:val="0"/>
          <w:divBdr>
            <w:top w:val="none" w:sz="0" w:space="0" w:color="auto"/>
            <w:left w:val="none" w:sz="0" w:space="0" w:color="auto"/>
            <w:bottom w:val="none" w:sz="0" w:space="0" w:color="auto"/>
            <w:right w:val="none" w:sz="0" w:space="0" w:color="auto"/>
          </w:divBdr>
        </w:div>
      </w:divsChild>
    </w:div>
    <w:div w:id="1421482646">
      <w:bodyDiv w:val="1"/>
      <w:marLeft w:val="0"/>
      <w:marRight w:val="0"/>
      <w:marTop w:val="0"/>
      <w:marBottom w:val="0"/>
      <w:divBdr>
        <w:top w:val="none" w:sz="0" w:space="0" w:color="auto"/>
        <w:left w:val="none" w:sz="0" w:space="0" w:color="auto"/>
        <w:bottom w:val="none" w:sz="0" w:space="0" w:color="auto"/>
        <w:right w:val="none" w:sz="0" w:space="0" w:color="auto"/>
      </w:divBdr>
    </w:div>
    <w:div w:id="1597207816">
      <w:bodyDiv w:val="1"/>
      <w:marLeft w:val="0"/>
      <w:marRight w:val="0"/>
      <w:marTop w:val="0"/>
      <w:marBottom w:val="0"/>
      <w:divBdr>
        <w:top w:val="none" w:sz="0" w:space="0" w:color="auto"/>
        <w:left w:val="none" w:sz="0" w:space="0" w:color="auto"/>
        <w:bottom w:val="none" w:sz="0" w:space="0" w:color="auto"/>
        <w:right w:val="none" w:sz="0" w:space="0" w:color="auto"/>
      </w:divBdr>
      <w:divsChild>
        <w:div w:id="780417654">
          <w:marLeft w:val="0"/>
          <w:marRight w:val="0"/>
          <w:marTop w:val="0"/>
          <w:marBottom w:val="0"/>
          <w:divBdr>
            <w:top w:val="none" w:sz="0" w:space="0" w:color="auto"/>
            <w:left w:val="none" w:sz="0" w:space="0" w:color="auto"/>
            <w:bottom w:val="none" w:sz="0" w:space="0" w:color="auto"/>
            <w:right w:val="none" w:sz="0" w:space="0" w:color="auto"/>
          </w:divBdr>
        </w:div>
      </w:divsChild>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744643040">
      <w:bodyDiv w:val="1"/>
      <w:marLeft w:val="0"/>
      <w:marRight w:val="0"/>
      <w:marTop w:val="0"/>
      <w:marBottom w:val="0"/>
      <w:divBdr>
        <w:top w:val="none" w:sz="0" w:space="0" w:color="auto"/>
        <w:left w:val="none" w:sz="0" w:space="0" w:color="auto"/>
        <w:bottom w:val="none" w:sz="0" w:space="0" w:color="auto"/>
        <w:right w:val="none" w:sz="0" w:space="0" w:color="auto"/>
      </w:divBdr>
    </w:div>
    <w:div w:id="1755277361">
      <w:bodyDiv w:val="1"/>
      <w:marLeft w:val="0"/>
      <w:marRight w:val="0"/>
      <w:marTop w:val="0"/>
      <w:marBottom w:val="0"/>
      <w:divBdr>
        <w:top w:val="none" w:sz="0" w:space="0" w:color="auto"/>
        <w:left w:val="none" w:sz="0" w:space="0" w:color="auto"/>
        <w:bottom w:val="none" w:sz="0" w:space="0" w:color="auto"/>
        <w:right w:val="none" w:sz="0" w:space="0" w:color="auto"/>
      </w:divBdr>
    </w:div>
    <w:div w:id="1768229044">
      <w:bodyDiv w:val="1"/>
      <w:marLeft w:val="0"/>
      <w:marRight w:val="0"/>
      <w:marTop w:val="0"/>
      <w:marBottom w:val="0"/>
      <w:divBdr>
        <w:top w:val="none" w:sz="0" w:space="0" w:color="auto"/>
        <w:left w:val="none" w:sz="0" w:space="0" w:color="auto"/>
        <w:bottom w:val="none" w:sz="0" w:space="0" w:color="auto"/>
        <w:right w:val="none" w:sz="0" w:space="0" w:color="auto"/>
      </w:divBdr>
      <w:divsChild>
        <w:div w:id="1411275358">
          <w:marLeft w:val="0"/>
          <w:marRight w:val="0"/>
          <w:marTop w:val="0"/>
          <w:marBottom w:val="0"/>
          <w:divBdr>
            <w:top w:val="none" w:sz="0" w:space="0" w:color="auto"/>
            <w:left w:val="none" w:sz="0" w:space="0" w:color="auto"/>
            <w:bottom w:val="none" w:sz="0" w:space="0" w:color="auto"/>
            <w:right w:val="none" w:sz="0" w:space="0" w:color="auto"/>
          </w:divBdr>
          <w:divsChild>
            <w:div w:id="206309724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92742325">
      <w:bodyDiv w:val="1"/>
      <w:marLeft w:val="0"/>
      <w:marRight w:val="0"/>
      <w:marTop w:val="0"/>
      <w:marBottom w:val="0"/>
      <w:divBdr>
        <w:top w:val="none" w:sz="0" w:space="0" w:color="auto"/>
        <w:left w:val="none" w:sz="0" w:space="0" w:color="auto"/>
        <w:bottom w:val="none" w:sz="0" w:space="0" w:color="auto"/>
        <w:right w:val="none" w:sz="0" w:space="0" w:color="auto"/>
      </w:divBdr>
      <w:divsChild>
        <w:div w:id="584261657">
          <w:marLeft w:val="0"/>
          <w:marRight w:val="0"/>
          <w:marTop w:val="0"/>
          <w:marBottom w:val="0"/>
          <w:divBdr>
            <w:top w:val="none" w:sz="0" w:space="0" w:color="auto"/>
            <w:left w:val="none" w:sz="0" w:space="0" w:color="auto"/>
            <w:bottom w:val="none" w:sz="0" w:space="0" w:color="auto"/>
            <w:right w:val="none" w:sz="0" w:space="0" w:color="auto"/>
          </w:divBdr>
        </w:div>
      </w:divsChild>
    </w:div>
    <w:div w:id="1824740073">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187237374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59">
          <w:marLeft w:val="0"/>
          <w:marRight w:val="0"/>
          <w:marTop w:val="0"/>
          <w:marBottom w:val="0"/>
          <w:divBdr>
            <w:top w:val="none" w:sz="0" w:space="0" w:color="auto"/>
            <w:left w:val="none" w:sz="0" w:space="0" w:color="auto"/>
            <w:bottom w:val="none" w:sz="0" w:space="0" w:color="auto"/>
            <w:right w:val="none" w:sz="0" w:space="0" w:color="auto"/>
          </w:divBdr>
          <w:divsChild>
            <w:div w:id="672412041">
              <w:marLeft w:val="0"/>
              <w:marRight w:val="0"/>
              <w:marTop w:val="0"/>
              <w:marBottom w:val="0"/>
              <w:divBdr>
                <w:top w:val="none" w:sz="0" w:space="0" w:color="auto"/>
                <w:left w:val="none" w:sz="0" w:space="0" w:color="auto"/>
                <w:bottom w:val="none" w:sz="0" w:space="0" w:color="auto"/>
                <w:right w:val="none" w:sz="0" w:space="0" w:color="auto"/>
              </w:divBdr>
              <w:divsChild>
                <w:div w:id="344476888">
                  <w:marLeft w:val="0"/>
                  <w:marRight w:val="0"/>
                  <w:marTop w:val="0"/>
                  <w:marBottom w:val="0"/>
                  <w:divBdr>
                    <w:top w:val="none" w:sz="0" w:space="0" w:color="auto"/>
                    <w:left w:val="none" w:sz="0" w:space="0" w:color="auto"/>
                    <w:bottom w:val="none" w:sz="0" w:space="0" w:color="auto"/>
                    <w:right w:val="none" w:sz="0" w:space="0" w:color="auto"/>
                  </w:divBdr>
                  <w:divsChild>
                    <w:div w:id="391002593">
                      <w:marLeft w:val="0"/>
                      <w:marRight w:val="0"/>
                      <w:marTop w:val="120"/>
                      <w:marBottom w:val="0"/>
                      <w:divBdr>
                        <w:top w:val="none" w:sz="0" w:space="0" w:color="auto"/>
                        <w:left w:val="none" w:sz="0" w:space="0" w:color="auto"/>
                        <w:bottom w:val="none" w:sz="0" w:space="0" w:color="auto"/>
                        <w:right w:val="none" w:sz="0" w:space="0" w:color="auto"/>
                      </w:divBdr>
                      <w:divsChild>
                        <w:div w:id="907113357">
                          <w:marLeft w:val="0"/>
                          <w:marRight w:val="0"/>
                          <w:marTop w:val="0"/>
                          <w:marBottom w:val="0"/>
                          <w:divBdr>
                            <w:top w:val="none" w:sz="0" w:space="0" w:color="auto"/>
                            <w:left w:val="none" w:sz="0" w:space="0" w:color="auto"/>
                            <w:bottom w:val="none" w:sz="0" w:space="0" w:color="auto"/>
                            <w:right w:val="none" w:sz="0" w:space="0" w:color="auto"/>
                          </w:divBdr>
                          <w:divsChild>
                            <w:div w:id="56049141">
                              <w:marLeft w:val="60"/>
                              <w:marRight w:val="60"/>
                              <w:marTop w:val="60"/>
                              <w:marBottom w:val="60"/>
                              <w:divBdr>
                                <w:top w:val="none" w:sz="0" w:space="0" w:color="auto"/>
                                <w:left w:val="none" w:sz="0" w:space="0" w:color="auto"/>
                                <w:bottom w:val="none" w:sz="0" w:space="0" w:color="auto"/>
                                <w:right w:val="none" w:sz="0" w:space="0" w:color="auto"/>
                              </w:divBdr>
                              <w:divsChild>
                                <w:div w:id="129979811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4326833">
                              <w:marLeft w:val="60"/>
                              <w:marRight w:val="60"/>
                              <w:marTop w:val="60"/>
                              <w:marBottom w:val="60"/>
                              <w:divBdr>
                                <w:top w:val="none" w:sz="0" w:space="0" w:color="auto"/>
                                <w:left w:val="none" w:sz="0" w:space="0" w:color="auto"/>
                                <w:bottom w:val="none" w:sz="0" w:space="0" w:color="auto"/>
                                <w:right w:val="none" w:sz="0" w:space="0" w:color="auto"/>
                              </w:divBdr>
                              <w:divsChild>
                                <w:div w:id="7170904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19169119">
                              <w:marLeft w:val="60"/>
                              <w:marRight w:val="60"/>
                              <w:marTop w:val="60"/>
                              <w:marBottom w:val="60"/>
                              <w:divBdr>
                                <w:top w:val="none" w:sz="0" w:space="0" w:color="auto"/>
                                <w:left w:val="none" w:sz="0" w:space="0" w:color="auto"/>
                                <w:bottom w:val="none" w:sz="0" w:space="0" w:color="auto"/>
                                <w:right w:val="none" w:sz="0" w:space="0" w:color="auto"/>
                              </w:divBdr>
                              <w:divsChild>
                                <w:div w:id="103523571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62610336">
                              <w:marLeft w:val="60"/>
                              <w:marRight w:val="60"/>
                              <w:marTop w:val="60"/>
                              <w:marBottom w:val="60"/>
                              <w:divBdr>
                                <w:top w:val="none" w:sz="0" w:space="0" w:color="auto"/>
                                <w:left w:val="none" w:sz="0" w:space="0" w:color="auto"/>
                                <w:bottom w:val="none" w:sz="0" w:space="0" w:color="auto"/>
                                <w:right w:val="none" w:sz="0" w:space="0" w:color="auto"/>
                              </w:divBdr>
                              <w:divsChild>
                                <w:div w:id="201387419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32026394">
                              <w:marLeft w:val="60"/>
                              <w:marRight w:val="60"/>
                              <w:marTop w:val="60"/>
                              <w:marBottom w:val="60"/>
                              <w:divBdr>
                                <w:top w:val="none" w:sz="0" w:space="0" w:color="auto"/>
                                <w:left w:val="none" w:sz="0" w:space="0" w:color="auto"/>
                                <w:bottom w:val="none" w:sz="0" w:space="0" w:color="auto"/>
                                <w:right w:val="none" w:sz="0" w:space="0" w:color="auto"/>
                              </w:divBdr>
                              <w:divsChild>
                                <w:div w:id="194537665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96321867">
                              <w:marLeft w:val="60"/>
                              <w:marRight w:val="60"/>
                              <w:marTop w:val="60"/>
                              <w:marBottom w:val="60"/>
                              <w:divBdr>
                                <w:top w:val="none" w:sz="0" w:space="0" w:color="auto"/>
                                <w:left w:val="none" w:sz="0" w:space="0" w:color="auto"/>
                                <w:bottom w:val="none" w:sz="0" w:space="0" w:color="auto"/>
                                <w:right w:val="none" w:sz="0" w:space="0" w:color="auto"/>
                              </w:divBdr>
                              <w:divsChild>
                                <w:div w:id="165047367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474027555">
                              <w:marLeft w:val="60"/>
                              <w:marRight w:val="60"/>
                              <w:marTop w:val="60"/>
                              <w:marBottom w:val="60"/>
                              <w:divBdr>
                                <w:top w:val="none" w:sz="0" w:space="0" w:color="auto"/>
                                <w:left w:val="none" w:sz="0" w:space="0" w:color="auto"/>
                                <w:bottom w:val="none" w:sz="0" w:space="0" w:color="auto"/>
                                <w:right w:val="none" w:sz="0" w:space="0" w:color="auto"/>
                              </w:divBdr>
                              <w:divsChild>
                                <w:div w:id="76346044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497964341">
                              <w:marLeft w:val="60"/>
                              <w:marRight w:val="60"/>
                              <w:marTop w:val="60"/>
                              <w:marBottom w:val="60"/>
                              <w:divBdr>
                                <w:top w:val="none" w:sz="0" w:space="0" w:color="auto"/>
                                <w:left w:val="none" w:sz="0" w:space="0" w:color="auto"/>
                                <w:bottom w:val="none" w:sz="0" w:space="0" w:color="auto"/>
                                <w:right w:val="none" w:sz="0" w:space="0" w:color="auto"/>
                              </w:divBdr>
                              <w:divsChild>
                                <w:div w:id="159346976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55763430">
                              <w:marLeft w:val="60"/>
                              <w:marRight w:val="60"/>
                              <w:marTop w:val="60"/>
                              <w:marBottom w:val="60"/>
                              <w:divBdr>
                                <w:top w:val="none" w:sz="0" w:space="0" w:color="auto"/>
                                <w:left w:val="none" w:sz="0" w:space="0" w:color="auto"/>
                                <w:bottom w:val="none" w:sz="0" w:space="0" w:color="auto"/>
                                <w:right w:val="none" w:sz="0" w:space="0" w:color="auto"/>
                              </w:divBdr>
                              <w:divsChild>
                                <w:div w:id="208158707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34818440">
                              <w:marLeft w:val="60"/>
                              <w:marRight w:val="60"/>
                              <w:marTop w:val="60"/>
                              <w:marBottom w:val="60"/>
                              <w:divBdr>
                                <w:top w:val="none" w:sz="0" w:space="0" w:color="auto"/>
                                <w:left w:val="none" w:sz="0" w:space="0" w:color="auto"/>
                                <w:bottom w:val="none" w:sz="0" w:space="0" w:color="auto"/>
                                <w:right w:val="none" w:sz="0" w:space="0" w:color="auto"/>
                              </w:divBdr>
                              <w:divsChild>
                                <w:div w:id="208413416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71067482">
                              <w:marLeft w:val="60"/>
                              <w:marRight w:val="60"/>
                              <w:marTop w:val="60"/>
                              <w:marBottom w:val="60"/>
                              <w:divBdr>
                                <w:top w:val="none" w:sz="0" w:space="0" w:color="auto"/>
                                <w:left w:val="none" w:sz="0" w:space="0" w:color="auto"/>
                                <w:bottom w:val="none" w:sz="0" w:space="0" w:color="auto"/>
                                <w:right w:val="none" w:sz="0" w:space="0" w:color="auto"/>
                              </w:divBdr>
                              <w:divsChild>
                                <w:div w:id="115090400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73928361">
                              <w:marLeft w:val="60"/>
                              <w:marRight w:val="60"/>
                              <w:marTop w:val="60"/>
                              <w:marBottom w:val="60"/>
                              <w:divBdr>
                                <w:top w:val="none" w:sz="0" w:space="0" w:color="auto"/>
                                <w:left w:val="none" w:sz="0" w:space="0" w:color="auto"/>
                                <w:bottom w:val="none" w:sz="0" w:space="0" w:color="auto"/>
                                <w:right w:val="none" w:sz="0" w:space="0" w:color="auto"/>
                              </w:divBdr>
                              <w:divsChild>
                                <w:div w:id="105565851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974801296">
                              <w:marLeft w:val="60"/>
                              <w:marRight w:val="60"/>
                              <w:marTop w:val="60"/>
                              <w:marBottom w:val="60"/>
                              <w:divBdr>
                                <w:top w:val="none" w:sz="0" w:space="0" w:color="auto"/>
                                <w:left w:val="none" w:sz="0" w:space="0" w:color="auto"/>
                                <w:bottom w:val="none" w:sz="0" w:space="0" w:color="auto"/>
                                <w:right w:val="none" w:sz="0" w:space="0" w:color="auto"/>
                              </w:divBdr>
                              <w:divsChild>
                                <w:div w:id="51839183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099178961">
                              <w:marLeft w:val="60"/>
                              <w:marRight w:val="60"/>
                              <w:marTop w:val="60"/>
                              <w:marBottom w:val="60"/>
                              <w:divBdr>
                                <w:top w:val="none" w:sz="0" w:space="0" w:color="auto"/>
                                <w:left w:val="none" w:sz="0" w:space="0" w:color="auto"/>
                                <w:bottom w:val="none" w:sz="0" w:space="0" w:color="auto"/>
                                <w:right w:val="none" w:sz="0" w:space="0" w:color="auto"/>
                              </w:divBdr>
                              <w:divsChild>
                                <w:div w:id="202520762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78614422">
                              <w:marLeft w:val="60"/>
                              <w:marRight w:val="60"/>
                              <w:marTop w:val="60"/>
                              <w:marBottom w:val="60"/>
                              <w:divBdr>
                                <w:top w:val="none" w:sz="0" w:space="0" w:color="auto"/>
                                <w:left w:val="none" w:sz="0" w:space="0" w:color="auto"/>
                                <w:bottom w:val="none" w:sz="0" w:space="0" w:color="auto"/>
                                <w:right w:val="none" w:sz="0" w:space="0" w:color="auto"/>
                              </w:divBdr>
                              <w:divsChild>
                                <w:div w:id="27263414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79582677">
                              <w:marLeft w:val="60"/>
                              <w:marRight w:val="60"/>
                              <w:marTop w:val="60"/>
                              <w:marBottom w:val="60"/>
                              <w:divBdr>
                                <w:top w:val="none" w:sz="0" w:space="0" w:color="auto"/>
                                <w:left w:val="none" w:sz="0" w:space="0" w:color="auto"/>
                                <w:bottom w:val="none" w:sz="0" w:space="0" w:color="auto"/>
                                <w:right w:val="none" w:sz="0" w:space="0" w:color="auto"/>
                              </w:divBdr>
                              <w:divsChild>
                                <w:div w:id="2035567513">
                                  <w:marLeft w:val="0"/>
                                  <w:marRight w:val="0"/>
                                  <w:marTop w:val="0"/>
                                  <w:marBottom w:val="0"/>
                                  <w:divBdr>
                                    <w:top w:val="single" w:sz="6" w:space="0" w:color="DADCE0"/>
                                    <w:left w:val="single" w:sz="6" w:space="0" w:color="DADCE0"/>
                                    <w:bottom w:val="single" w:sz="6" w:space="0" w:color="DADCE0"/>
                                    <w:right w:val="single" w:sz="6" w:space="0" w:color="DADCE0"/>
                                  </w:divBdr>
                                  <w:divsChild>
                                    <w:div w:id="2046128850">
                                      <w:marLeft w:val="0"/>
                                      <w:marRight w:val="0"/>
                                      <w:marTop w:val="0"/>
                                      <w:marBottom w:val="0"/>
                                      <w:divBdr>
                                        <w:top w:val="none" w:sz="0" w:space="0" w:color="auto"/>
                                        <w:left w:val="none" w:sz="0" w:space="0" w:color="auto"/>
                                        <w:bottom w:val="none" w:sz="0" w:space="0" w:color="auto"/>
                                        <w:right w:val="none" w:sz="0" w:space="0" w:color="auto"/>
                                      </w:divBdr>
                                    </w:div>
                                    <w:div w:id="20615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5654">
                              <w:marLeft w:val="60"/>
                              <w:marRight w:val="60"/>
                              <w:marTop w:val="60"/>
                              <w:marBottom w:val="60"/>
                              <w:divBdr>
                                <w:top w:val="none" w:sz="0" w:space="0" w:color="auto"/>
                                <w:left w:val="none" w:sz="0" w:space="0" w:color="auto"/>
                                <w:bottom w:val="none" w:sz="0" w:space="0" w:color="auto"/>
                                <w:right w:val="none" w:sz="0" w:space="0" w:color="auto"/>
                              </w:divBdr>
                              <w:divsChild>
                                <w:div w:id="174154494">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299990592">
                              <w:marLeft w:val="60"/>
                              <w:marRight w:val="60"/>
                              <w:marTop w:val="60"/>
                              <w:marBottom w:val="60"/>
                              <w:divBdr>
                                <w:top w:val="none" w:sz="0" w:space="0" w:color="auto"/>
                                <w:left w:val="none" w:sz="0" w:space="0" w:color="auto"/>
                                <w:bottom w:val="none" w:sz="0" w:space="0" w:color="auto"/>
                                <w:right w:val="none" w:sz="0" w:space="0" w:color="auto"/>
                              </w:divBdr>
                              <w:divsChild>
                                <w:div w:id="86949562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93113996">
                              <w:marLeft w:val="60"/>
                              <w:marRight w:val="60"/>
                              <w:marTop w:val="60"/>
                              <w:marBottom w:val="60"/>
                              <w:divBdr>
                                <w:top w:val="none" w:sz="0" w:space="0" w:color="auto"/>
                                <w:left w:val="none" w:sz="0" w:space="0" w:color="auto"/>
                                <w:bottom w:val="none" w:sz="0" w:space="0" w:color="auto"/>
                                <w:right w:val="none" w:sz="0" w:space="0" w:color="auto"/>
                              </w:divBdr>
                              <w:divsChild>
                                <w:div w:id="68807131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00979227">
                              <w:marLeft w:val="60"/>
                              <w:marRight w:val="60"/>
                              <w:marTop w:val="60"/>
                              <w:marBottom w:val="60"/>
                              <w:divBdr>
                                <w:top w:val="none" w:sz="0" w:space="0" w:color="auto"/>
                                <w:left w:val="none" w:sz="0" w:space="0" w:color="auto"/>
                                <w:bottom w:val="none" w:sz="0" w:space="0" w:color="auto"/>
                                <w:right w:val="none" w:sz="0" w:space="0" w:color="auto"/>
                              </w:divBdr>
                              <w:divsChild>
                                <w:div w:id="120097295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02828832">
                              <w:marLeft w:val="60"/>
                              <w:marRight w:val="60"/>
                              <w:marTop w:val="60"/>
                              <w:marBottom w:val="60"/>
                              <w:divBdr>
                                <w:top w:val="none" w:sz="0" w:space="0" w:color="auto"/>
                                <w:left w:val="none" w:sz="0" w:space="0" w:color="auto"/>
                                <w:bottom w:val="none" w:sz="0" w:space="0" w:color="auto"/>
                                <w:right w:val="none" w:sz="0" w:space="0" w:color="auto"/>
                              </w:divBdr>
                              <w:divsChild>
                                <w:div w:id="161481947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18214643">
                              <w:marLeft w:val="60"/>
                              <w:marRight w:val="60"/>
                              <w:marTop w:val="60"/>
                              <w:marBottom w:val="60"/>
                              <w:divBdr>
                                <w:top w:val="none" w:sz="0" w:space="0" w:color="auto"/>
                                <w:left w:val="none" w:sz="0" w:space="0" w:color="auto"/>
                                <w:bottom w:val="none" w:sz="0" w:space="0" w:color="auto"/>
                                <w:right w:val="none" w:sz="0" w:space="0" w:color="auto"/>
                              </w:divBdr>
                              <w:divsChild>
                                <w:div w:id="15677019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20440576">
                              <w:marLeft w:val="60"/>
                              <w:marRight w:val="60"/>
                              <w:marTop w:val="60"/>
                              <w:marBottom w:val="60"/>
                              <w:divBdr>
                                <w:top w:val="none" w:sz="0" w:space="0" w:color="auto"/>
                                <w:left w:val="none" w:sz="0" w:space="0" w:color="auto"/>
                                <w:bottom w:val="none" w:sz="0" w:space="0" w:color="auto"/>
                                <w:right w:val="none" w:sz="0" w:space="0" w:color="auto"/>
                              </w:divBdr>
                              <w:divsChild>
                                <w:div w:id="17330626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92409096">
                              <w:marLeft w:val="60"/>
                              <w:marRight w:val="60"/>
                              <w:marTop w:val="60"/>
                              <w:marBottom w:val="60"/>
                              <w:divBdr>
                                <w:top w:val="none" w:sz="0" w:space="0" w:color="auto"/>
                                <w:left w:val="none" w:sz="0" w:space="0" w:color="auto"/>
                                <w:bottom w:val="none" w:sz="0" w:space="0" w:color="auto"/>
                                <w:right w:val="none" w:sz="0" w:space="0" w:color="auto"/>
                              </w:divBdr>
                              <w:divsChild>
                                <w:div w:id="13680060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659379782">
                              <w:marLeft w:val="60"/>
                              <w:marRight w:val="60"/>
                              <w:marTop w:val="60"/>
                              <w:marBottom w:val="60"/>
                              <w:divBdr>
                                <w:top w:val="none" w:sz="0" w:space="0" w:color="auto"/>
                                <w:left w:val="none" w:sz="0" w:space="0" w:color="auto"/>
                                <w:bottom w:val="none" w:sz="0" w:space="0" w:color="auto"/>
                                <w:right w:val="none" w:sz="0" w:space="0" w:color="auto"/>
                              </w:divBdr>
                              <w:divsChild>
                                <w:div w:id="59220286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879976606">
                              <w:marLeft w:val="60"/>
                              <w:marRight w:val="60"/>
                              <w:marTop w:val="60"/>
                              <w:marBottom w:val="60"/>
                              <w:divBdr>
                                <w:top w:val="none" w:sz="0" w:space="0" w:color="auto"/>
                                <w:left w:val="none" w:sz="0" w:space="0" w:color="auto"/>
                                <w:bottom w:val="none" w:sz="0" w:space="0" w:color="auto"/>
                                <w:right w:val="none" w:sz="0" w:space="0" w:color="auto"/>
                              </w:divBdr>
                              <w:divsChild>
                                <w:div w:id="143787254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952977586">
                              <w:marLeft w:val="60"/>
                              <w:marRight w:val="60"/>
                              <w:marTop w:val="60"/>
                              <w:marBottom w:val="60"/>
                              <w:divBdr>
                                <w:top w:val="none" w:sz="0" w:space="0" w:color="auto"/>
                                <w:left w:val="none" w:sz="0" w:space="0" w:color="auto"/>
                                <w:bottom w:val="none" w:sz="0" w:space="0" w:color="auto"/>
                                <w:right w:val="none" w:sz="0" w:space="0" w:color="auto"/>
                              </w:divBdr>
                              <w:divsChild>
                                <w:div w:id="139187708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02730295">
                              <w:marLeft w:val="60"/>
                              <w:marRight w:val="60"/>
                              <w:marTop w:val="60"/>
                              <w:marBottom w:val="60"/>
                              <w:divBdr>
                                <w:top w:val="none" w:sz="0" w:space="0" w:color="auto"/>
                                <w:left w:val="none" w:sz="0" w:space="0" w:color="auto"/>
                                <w:bottom w:val="none" w:sz="0" w:space="0" w:color="auto"/>
                                <w:right w:val="none" w:sz="0" w:space="0" w:color="auto"/>
                              </w:divBdr>
                              <w:divsChild>
                                <w:div w:id="58977639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025087407">
                              <w:marLeft w:val="60"/>
                              <w:marRight w:val="60"/>
                              <w:marTop w:val="60"/>
                              <w:marBottom w:val="60"/>
                              <w:divBdr>
                                <w:top w:val="none" w:sz="0" w:space="0" w:color="auto"/>
                                <w:left w:val="none" w:sz="0" w:space="0" w:color="auto"/>
                                <w:bottom w:val="none" w:sz="0" w:space="0" w:color="auto"/>
                                <w:right w:val="none" w:sz="0" w:space="0" w:color="auto"/>
                              </w:divBdr>
                              <w:divsChild>
                                <w:div w:id="206321082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31562662">
                              <w:marLeft w:val="60"/>
                              <w:marRight w:val="60"/>
                              <w:marTop w:val="60"/>
                              <w:marBottom w:val="60"/>
                              <w:divBdr>
                                <w:top w:val="none" w:sz="0" w:space="0" w:color="auto"/>
                                <w:left w:val="none" w:sz="0" w:space="0" w:color="auto"/>
                                <w:bottom w:val="none" w:sz="0" w:space="0" w:color="auto"/>
                                <w:right w:val="none" w:sz="0" w:space="0" w:color="auto"/>
                              </w:divBdr>
                              <w:divsChild>
                                <w:div w:id="208595522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037727979">
                              <w:marLeft w:val="60"/>
                              <w:marRight w:val="60"/>
                              <w:marTop w:val="60"/>
                              <w:marBottom w:val="60"/>
                              <w:divBdr>
                                <w:top w:val="none" w:sz="0" w:space="0" w:color="auto"/>
                                <w:left w:val="none" w:sz="0" w:space="0" w:color="auto"/>
                                <w:bottom w:val="none" w:sz="0" w:space="0" w:color="auto"/>
                                <w:right w:val="none" w:sz="0" w:space="0" w:color="auto"/>
                              </w:divBdr>
                              <w:divsChild>
                                <w:div w:id="72386760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061245654">
                              <w:marLeft w:val="60"/>
                              <w:marRight w:val="60"/>
                              <w:marTop w:val="60"/>
                              <w:marBottom w:val="60"/>
                              <w:divBdr>
                                <w:top w:val="none" w:sz="0" w:space="0" w:color="auto"/>
                                <w:left w:val="none" w:sz="0" w:space="0" w:color="auto"/>
                                <w:bottom w:val="none" w:sz="0" w:space="0" w:color="auto"/>
                                <w:right w:val="none" w:sz="0" w:space="0" w:color="auto"/>
                              </w:divBdr>
                              <w:divsChild>
                                <w:div w:id="109150494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062243520">
                              <w:marLeft w:val="60"/>
                              <w:marRight w:val="60"/>
                              <w:marTop w:val="60"/>
                              <w:marBottom w:val="60"/>
                              <w:divBdr>
                                <w:top w:val="none" w:sz="0" w:space="0" w:color="auto"/>
                                <w:left w:val="none" w:sz="0" w:space="0" w:color="auto"/>
                                <w:bottom w:val="none" w:sz="0" w:space="0" w:color="auto"/>
                                <w:right w:val="none" w:sz="0" w:space="0" w:color="auto"/>
                              </w:divBdr>
                              <w:divsChild>
                                <w:div w:id="8600666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130541778">
                              <w:marLeft w:val="60"/>
                              <w:marRight w:val="60"/>
                              <w:marTop w:val="60"/>
                              <w:marBottom w:val="60"/>
                              <w:divBdr>
                                <w:top w:val="none" w:sz="0" w:space="0" w:color="auto"/>
                                <w:left w:val="none" w:sz="0" w:space="0" w:color="auto"/>
                                <w:bottom w:val="none" w:sz="0" w:space="0" w:color="auto"/>
                                <w:right w:val="none" w:sz="0" w:space="0" w:color="auto"/>
                              </w:divBdr>
                              <w:divsChild>
                                <w:div w:id="1434857335">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 w:id="1262488213">
                      <w:marLeft w:val="0"/>
                      <w:marRight w:val="0"/>
                      <w:marTop w:val="0"/>
                      <w:marBottom w:val="0"/>
                      <w:divBdr>
                        <w:top w:val="none" w:sz="0" w:space="0" w:color="auto"/>
                        <w:left w:val="none" w:sz="0" w:space="0" w:color="auto"/>
                        <w:bottom w:val="none" w:sz="0" w:space="0" w:color="auto"/>
                        <w:right w:val="none" w:sz="0" w:space="0" w:color="auto"/>
                      </w:divBdr>
                    </w:div>
                    <w:div w:id="1347169765">
                      <w:marLeft w:val="0"/>
                      <w:marRight w:val="0"/>
                      <w:marTop w:val="0"/>
                      <w:marBottom w:val="0"/>
                      <w:divBdr>
                        <w:top w:val="none" w:sz="0" w:space="0" w:color="auto"/>
                        <w:left w:val="none" w:sz="0" w:space="0" w:color="auto"/>
                        <w:bottom w:val="none" w:sz="0" w:space="0" w:color="auto"/>
                        <w:right w:val="none" w:sz="0" w:space="0" w:color="auto"/>
                      </w:divBdr>
                      <w:divsChild>
                        <w:div w:id="335111848">
                          <w:marLeft w:val="0"/>
                          <w:marRight w:val="0"/>
                          <w:marTop w:val="100"/>
                          <w:marBottom w:val="100"/>
                          <w:divBdr>
                            <w:top w:val="single" w:sz="6" w:space="8" w:color="4285F4"/>
                            <w:left w:val="single" w:sz="6" w:space="8" w:color="4285F4"/>
                            <w:bottom w:val="single" w:sz="6" w:space="0" w:color="4285F4"/>
                            <w:right w:val="single" w:sz="6" w:space="11" w:color="4285F4"/>
                          </w:divBdr>
                          <w:divsChild>
                            <w:div w:id="283854376">
                              <w:marLeft w:val="0"/>
                              <w:marRight w:val="0"/>
                              <w:marTop w:val="0"/>
                              <w:marBottom w:val="0"/>
                              <w:divBdr>
                                <w:top w:val="none" w:sz="0" w:space="0" w:color="auto"/>
                                <w:left w:val="none" w:sz="0" w:space="0" w:color="auto"/>
                                <w:bottom w:val="none" w:sz="0" w:space="0" w:color="auto"/>
                                <w:right w:val="none" w:sz="0" w:space="0" w:color="auto"/>
                              </w:divBdr>
                              <w:divsChild>
                                <w:div w:id="1816724367">
                                  <w:marLeft w:val="0"/>
                                  <w:marRight w:val="0"/>
                                  <w:marTop w:val="0"/>
                                  <w:marBottom w:val="0"/>
                                  <w:divBdr>
                                    <w:top w:val="none" w:sz="0" w:space="0" w:color="auto"/>
                                    <w:left w:val="none" w:sz="0" w:space="0" w:color="auto"/>
                                    <w:bottom w:val="none" w:sz="0" w:space="0" w:color="auto"/>
                                    <w:right w:val="none" w:sz="0" w:space="0" w:color="auto"/>
                                  </w:divBdr>
                                  <w:divsChild>
                                    <w:div w:id="8474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11025">
      <w:bodyDiv w:val="1"/>
      <w:marLeft w:val="0"/>
      <w:marRight w:val="0"/>
      <w:marTop w:val="0"/>
      <w:marBottom w:val="0"/>
      <w:divBdr>
        <w:top w:val="none" w:sz="0" w:space="0" w:color="auto"/>
        <w:left w:val="none" w:sz="0" w:space="0" w:color="auto"/>
        <w:bottom w:val="none" w:sz="0" w:space="0" w:color="auto"/>
        <w:right w:val="none" w:sz="0" w:space="0" w:color="auto"/>
      </w:divBdr>
      <w:divsChild>
        <w:div w:id="120151116">
          <w:marLeft w:val="0"/>
          <w:marRight w:val="0"/>
          <w:marTop w:val="0"/>
          <w:marBottom w:val="0"/>
          <w:divBdr>
            <w:top w:val="none" w:sz="0" w:space="0" w:color="auto"/>
            <w:left w:val="none" w:sz="0" w:space="0" w:color="auto"/>
            <w:bottom w:val="none" w:sz="0" w:space="0" w:color="auto"/>
            <w:right w:val="none" w:sz="0" w:space="0" w:color="auto"/>
          </w:divBdr>
        </w:div>
      </w:divsChild>
    </w:div>
    <w:div w:id="1947081452">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eralregister.gov/documents/2021/01/29/2021-01606/indian-entities-recognized-by-and-eligible-to-receive-services-from-the-united-states-bureau-o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qsj3@cdc.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cbi.nlm.nih.gov/pubmed/3169765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ederalregister.gov/d/00-2900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tribal/documents/tac/2014/CDCATSDR_Tribal_Consultation_Policy.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6D2D32D66D474CA096A64A951C49F2" ma:contentTypeVersion="6" ma:contentTypeDescription="Create a new document." ma:contentTypeScope="" ma:versionID="e4f57e31a40e8ba852497d469142fbed">
  <xsd:schema xmlns:xsd="http://www.w3.org/2001/XMLSchema" xmlns:xs="http://www.w3.org/2001/XMLSchema" xmlns:p="http://schemas.microsoft.com/office/2006/metadata/properties" xmlns:ns2="004a172f-e16f-4887-a47b-3990e8128e1e" xmlns:ns3="1da2386c-6bfa-488e-a592-0dc804a72316" xmlns:ns4="http://schemas.microsoft.com/sharepoint/v4" targetNamespace="http://schemas.microsoft.com/office/2006/metadata/properties" ma:root="true" ma:fieldsID="ff8e414a728f5b339b29a304876cc946" ns2:_="" ns3:_="" ns4:_="">
    <xsd:import namespace="004a172f-e16f-4887-a47b-3990e8128e1e"/>
    <xsd:import namespace="1da2386c-6bfa-488e-a592-0dc804a7231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4:IconOverlay" minOccurs="0"/>
                <xsd:element ref="ns3:w4sn" minOccurs="0"/>
                <xsd:element ref="ns3: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a2386c-6bfa-488e-a592-0dc804a72316"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element name="w4sn" ma:index="13" nillable="true" ma:displayName="Number" ma:internalName="w4sn">
      <xsd:simpleType>
        <xsd:restriction base="dms:Number"/>
      </xsd:simpleType>
    </xsd:element>
    <xsd:element name="Sub_x002d_Category" ma:index="14" nillable="true" ma:displayName="Sub-Category" ma:internalName="Sub_x002d_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VUADPPQRPPK6-678577938-28</_dlc_DocId>
    <_dlc_DocIdUrl xmlns="004a172f-e16f-4887-a47b-3990e8128e1e">
      <Url>https://esp.cdc.gov/sites/ncipc/ADS/OMB/_layouts/15/DocIdRedir.aspx?ID=VUADPPQRPPK6-678577938-28</Url>
      <Description>VUADPPQRPPK6-678577938-28</Description>
    </_dlc_DocIdUrl>
    <Category xmlns="1da2386c-6bfa-488e-a592-0dc804a72316">A. ICR</Category>
    <IconOverlay xmlns="http://schemas.microsoft.com/sharepoint/v4" xsi:nil="true"/>
    <w4sn xmlns="1da2386c-6bfa-488e-a592-0dc804a72316">3.1</w4sn>
    <Sub_x002d_Category xmlns="1da2386c-6bfa-488e-a592-0dc804a72316">2. ICR Templates</Sub_x002d_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038F-ED8C-4FA5-B23D-48408BCBD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1da2386c-6bfa-488e-a592-0dc804a7231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3.xml><?xml version="1.0" encoding="utf-8"?>
<ds:datastoreItem xmlns:ds="http://schemas.openxmlformats.org/officeDocument/2006/customXml" ds:itemID="{A82E1F3D-B25B-4FD2-B891-3D13E6F3D133}">
  <ds:schemaRefs>
    <ds:schemaRef ds:uri="http://schemas.microsoft.com/sharepoint/events"/>
  </ds:schemaRefs>
</ds:datastoreItem>
</file>

<file path=customXml/itemProps4.xml><?xml version="1.0" encoding="utf-8"?>
<ds:datastoreItem xmlns:ds="http://schemas.openxmlformats.org/officeDocument/2006/customXml" ds:itemID="{DA48D616-DE41-4E43-994E-AE28A3042AE2}">
  <ds:schemaRefs>
    <ds:schemaRef ds:uri="http://schemas.microsoft.com/office/2006/metadata/properties"/>
    <ds:schemaRef ds:uri="http://schemas.microsoft.com/office/infopath/2007/PartnerControls"/>
    <ds:schemaRef ds:uri="004a172f-e16f-4887-a47b-3990e8128e1e"/>
    <ds:schemaRef ds:uri="1da2386c-6bfa-488e-a592-0dc804a72316"/>
    <ds:schemaRef ds:uri="http://schemas.microsoft.com/sharepoint/v4"/>
  </ds:schemaRefs>
</ds:datastoreItem>
</file>

<file path=customXml/itemProps5.xml><?xml version="1.0" encoding="utf-8"?>
<ds:datastoreItem xmlns:ds="http://schemas.openxmlformats.org/officeDocument/2006/customXml" ds:itemID="{12CCFDFC-5A9B-4381-8F80-56597FF3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8192</Words>
  <Characters>48887</Characters>
  <Application>Microsoft Office Word</Application>
  <DocSecurity>0</DocSecurity>
  <Lines>407</Lines>
  <Paragraphs>113</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56966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Shortt, Joann Wu (CDC/DDNID/NCIPC/DVP)</dc:creator>
  <cp:keywords/>
  <dc:description/>
  <cp:lastModifiedBy>Joyce, Kevin J. (CDC/DDPHSS/OS/OSI)</cp:lastModifiedBy>
  <cp:revision>5</cp:revision>
  <cp:lastPrinted>2014-10-08T15:28:00Z</cp:lastPrinted>
  <dcterms:created xsi:type="dcterms:W3CDTF">2021-05-03T12:23:00Z</dcterms:created>
  <dcterms:modified xsi:type="dcterms:W3CDTF">2021-05-04T19:55:00Z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0x010100136D2D32D66D474CA096A64A951C49F2</vt:lpwstr>
  </property>
  <property fmtid="{D5CDD505-2E9C-101B-9397-08002B2CF9AE}" pid="3" name="_dlc_DocIdItemGuid">
    <vt:lpwstr>a8fcc1f3-ba25-4397-8fcb-9452be1e473e</vt:lpwstr>
  </property>
  <property fmtid="{D5CDD505-2E9C-101B-9397-08002B2CF9AE}" pid="4" name="Order0">
    <vt:r8>9</vt:r8>
  </property>
  <property fmtid="{D5CDD505-2E9C-101B-9397-08002B2CF9AE}" pid="5" name="MSIP_Label_7b94a7b8-f06c-4dfe-bdcc-9b548fd58c31_Enabled">
    <vt:lpwstr>true</vt:lpwstr>
  </property>
  <property fmtid="{D5CDD505-2E9C-101B-9397-08002B2CF9AE}" pid="6" name="MSIP_Label_7b94a7b8-f06c-4dfe-bdcc-9b548fd58c31_SetDate">
    <vt:lpwstr>2021-03-16T03:50:36Z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cee6a3fc-32cd-43c8-b0c1-613aecf574b5</vt:lpwstr>
  </property>
  <property fmtid="{D5CDD505-2E9C-101B-9397-08002B2CF9AE}" pid="11" name="MSIP_Label_7b94a7b8-f06c-4dfe-bdcc-9b548fd58c31_ContentBits">
    <vt:lpwstr>0</vt:lpwstr>
  </property>
</Properties>
</file>