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BBB" w:rsidP="009A79E1" w:rsidRDefault="00304BBB" w14:paraId="55FE1770" w14:textId="77777777">
      <w:bookmarkStart w:name="_Toc473880015" w:id="0"/>
    </w:p>
    <w:p w:rsidR="00304BBB" w:rsidP="009A79E1" w:rsidRDefault="00304BBB" w14:paraId="55FE1771" w14:textId="77777777"/>
    <w:bookmarkEnd w:id="0"/>
    <w:p w:rsidR="00054A99" w:rsidP="00054A99" w:rsidRDefault="00054A99" w14:paraId="037B7BEC" w14:textId="77777777">
      <w:pPr>
        <w:pStyle w:val="Default"/>
      </w:pPr>
    </w:p>
    <w:p w:rsidR="004A13E8" w:rsidP="00054A99" w:rsidRDefault="00054A99" w14:paraId="55FE1773" w14:textId="1EEE9E93">
      <w:pPr>
        <w:spacing w:after="0" w:line="240" w:lineRule="auto"/>
        <w:jc w:val="center"/>
        <w:rPr>
          <w:b/>
        </w:rPr>
      </w:pPr>
      <w:r>
        <w:t xml:space="preserve"> </w:t>
      </w:r>
      <w:r>
        <w:rPr>
          <w:b/>
          <w:bCs/>
          <w:sz w:val="30"/>
          <w:szCs w:val="30"/>
        </w:rPr>
        <w:t xml:space="preserve">Triazole-resistant </w:t>
      </w:r>
      <w:r>
        <w:rPr>
          <w:b/>
          <w:bCs/>
          <w:i/>
          <w:iCs/>
          <w:sz w:val="30"/>
          <w:szCs w:val="30"/>
        </w:rPr>
        <w:t xml:space="preserve">Aspergillus </w:t>
      </w:r>
      <w:r w:rsidRPr="00986712" w:rsidR="00986712">
        <w:rPr>
          <w:b/>
          <w:bCs/>
          <w:i/>
          <w:iCs/>
          <w:sz w:val="30"/>
          <w:szCs w:val="30"/>
        </w:rPr>
        <w:t>f</w:t>
      </w:r>
      <w:r w:rsidRPr="00986712">
        <w:rPr>
          <w:b/>
          <w:bCs/>
          <w:i/>
          <w:iCs/>
          <w:sz w:val="30"/>
          <w:szCs w:val="30"/>
        </w:rPr>
        <w:t>umigatus</w:t>
      </w:r>
      <w:r>
        <w:rPr>
          <w:b/>
          <w:bCs/>
          <w:sz w:val="30"/>
          <w:szCs w:val="30"/>
        </w:rPr>
        <w:t xml:space="preserve"> Case Report Form</w:t>
      </w:r>
    </w:p>
    <w:p w:rsidRPr="004A13E8" w:rsidR="004A13E8" w:rsidP="004A13E8" w:rsidRDefault="004A13E8" w14:paraId="55FE1774" w14:textId="7BABA451">
      <w:pPr>
        <w:pStyle w:val="Heading3"/>
      </w:pPr>
      <w:bookmarkStart w:name="_Toc473880016" w:id="1"/>
      <w:r w:rsidRPr="004A13E8">
        <w:t>Request for OMB approval of a</w:t>
      </w:r>
      <w:r w:rsidR="00DC74EE">
        <w:t xml:space="preserve"> </w:t>
      </w:r>
      <w:r w:rsidRPr="00054A99" w:rsidR="00DC74EE">
        <w:t>New</w:t>
      </w:r>
      <w:r w:rsidR="009A53DD">
        <w:t xml:space="preserve"> </w:t>
      </w:r>
      <w:r w:rsidR="00DC74EE">
        <w:t>Information Collection</w:t>
      </w:r>
      <w:bookmarkEnd w:id="1"/>
      <w:r w:rsidR="00DC74EE">
        <w:t xml:space="preserve"> </w:t>
      </w:r>
    </w:p>
    <w:p w:rsidR="004A13E8" w:rsidP="004A13E8" w:rsidRDefault="004A13E8" w14:paraId="55FE1775" w14:textId="77777777">
      <w:pPr>
        <w:spacing w:after="0" w:line="240" w:lineRule="auto"/>
        <w:jc w:val="center"/>
        <w:rPr>
          <w:b/>
        </w:rPr>
      </w:pPr>
    </w:p>
    <w:p w:rsidRPr="004A13E8" w:rsidR="004A13E8" w:rsidP="004A13E8" w:rsidRDefault="00E26196" w14:paraId="55FE1776" w14:textId="17F32CE0">
      <w:pPr>
        <w:pStyle w:val="Heading4"/>
      </w:pPr>
      <w:r>
        <w:t>May 6</w:t>
      </w:r>
      <w:r w:rsidR="00F51CE0">
        <w:t>, 2022</w:t>
      </w:r>
    </w:p>
    <w:p w:rsidR="004A13E8" w:rsidP="004A13E8" w:rsidRDefault="004A13E8" w14:paraId="55FE1777" w14:textId="77777777">
      <w:pPr>
        <w:spacing w:after="0" w:line="240" w:lineRule="auto"/>
        <w:jc w:val="center"/>
        <w:rPr>
          <w:b/>
        </w:rPr>
      </w:pPr>
    </w:p>
    <w:p w:rsidR="004A13E8" w:rsidP="00F8003E" w:rsidRDefault="006B5008" w14:paraId="55FE1778" w14:textId="6E6B9C5C">
      <w:pPr>
        <w:jc w:val="center"/>
      </w:pPr>
      <w:r>
        <w:t>OMB Control # 0920-</w:t>
      </w:r>
      <w:r w:rsidR="00AB5621">
        <w:t>New</w:t>
      </w:r>
    </w:p>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4A13E8" w:rsidR="004A13E8" w:rsidP="009A79E1" w:rsidRDefault="002A7CC4" w14:paraId="55FE1794" w14:textId="4CC7BFDF">
      <w:pPr>
        <w:pStyle w:val="NoSpacing"/>
      </w:pPr>
      <w:r>
        <w:t>Thomas J. “Chip” Daymude</w:t>
      </w:r>
    </w:p>
    <w:p w:rsidRPr="004A13E8" w:rsidR="004A13E8" w:rsidP="009A79E1" w:rsidRDefault="004A13E8" w14:paraId="55FE1795" w14:textId="77777777">
      <w:pPr>
        <w:pStyle w:val="NoSpacing"/>
      </w:pPr>
      <w:r w:rsidRPr="004A13E8">
        <w:t xml:space="preserve">National Center for Emerging and Zoonotic Infectious Diseases </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032595A9">
      <w:pPr>
        <w:pStyle w:val="NoSpacing"/>
      </w:pPr>
      <w:r w:rsidRPr="004A13E8">
        <w:t>Phone: (4</w:t>
      </w:r>
      <w:r w:rsidR="00AE15A5">
        <w:t>70</w:t>
      </w:r>
      <w:r w:rsidRPr="004A13E8">
        <w:t xml:space="preserve">) </w:t>
      </w:r>
      <w:r w:rsidR="00AE15A5">
        <w:t>553</w:t>
      </w:r>
      <w:r w:rsidRPr="004A13E8">
        <w:t>-</w:t>
      </w:r>
      <w:r w:rsidR="00AE15A5">
        <w:t>3567</w:t>
      </w:r>
      <w:r w:rsidRPr="004A13E8">
        <w:t xml:space="preserve"> </w:t>
      </w:r>
    </w:p>
    <w:p w:rsidR="004A13E8" w:rsidP="009A79E1" w:rsidRDefault="004A13E8" w14:paraId="55FE179A" w14:textId="68B82186">
      <w:pPr>
        <w:pStyle w:val="NoSpacing"/>
      </w:pPr>
      <w:r w:rsidRPr="004A6DE8">
        <w:t xml:space="preserve">Email: </w:t>
      </w:r>
      <w:hyperlink w:history="1" r:id="rId12">
        <w:r w:rsidR="002A7CC4">
          <w:rPr>
            <w:rStyle w:val="Hyperlink"/>
          </w:rPr>
          <w:t>qkh7</w:t>
        </w:r>
        <w:r w:rsidRPr="0023289E">
          <w:rPr>
            <w:rStyle w:val="Hyperlink"/>
          </w:rPr>
          <w:t>@cdc.gov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C90B13" w:rsidP="00C90B13" w:rsidRDefault="004A13E8" w14:paraId="55FE179C" w14:textId="77777777">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C90B13" w:rsidRDefault="00E1024B" w14:paraId="55FE179D" w14:textId="77777777">
          <w:pPr>
            <w:pStyle w:val="TOC1"/>
            <w:tabs>
              <w:tab w:val="left" w:pos="480"/>
              <w:tab w:val="right" w:leader="dot" w:pos="10070"/>
            </w:tabs>
            <w:rPr>
              <w:rFonts w:asciiTheme="minorHAnsi" w:hAnsiTheme="minorHAnsi" w:eastAsiaTheme="minorEastAsia"/>
              <w:noProof/>
              <w:sz w:val="22"/>
            </w:rPr>
          </w:pPr>
          <w:hyperlink w:history="1" w:anchor="_Toc473880017">
            <w:r w:rsidRPr="00804687" w:rsidR="00C90B13">
              <w:rPr>
                <w:rStyle w:val="Hyperlink"/>
                <w:noProof/>
              </w:rPr>
              <w:t>1.</w:t>
            </w:r>
            <w:r w:rsidR="00C90B13">
              <w:rPr>
                <w:rFonts w:asciiTheme="minorHAnsi" w:hAnsiTheme="minorHAnsi" w:eastAsiaTheme="minorEastAsia"/>
                <w:noProof/>
                <w:sz w:val="22"/>
              </w:rPr>
              <w:tab/>
            </w:r>
            <w:r w:rsidRPr="00804687" w:rsidR="00C90B13">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C32380">
              <w:rPr>
                <w:noProof/>
                <w:webHidden/>
              </w:rPr>
              <w:t>3</w:t>
            </w:r>
            <w:r w:rsidR="00C90B13">
              <w:rPr>
                <w:noProof/>
                <w:webHidden/>
              </w:rPr>
              <w:fldChar w:fldCharType="end"/>
            </w:r>
          </w:hyperlink>
        </w:p>
        <w:p w:rsidR="00C90B13" w:rsidRDefault="00E1024B" w14:paraId="55FE179E" w14:textId="77777777">
          <w:pPr>
            <w:pStyle w:val="TOC1"/>
            <w:tabs>
              <w:tab w:val="left" w:pos="480"/>
              <w:tab w:val="right" w:leader="dot" w:pos="10070"/>
            </w:tabs>
            <w:rPr>
              <w:rFonts w:asciiTheme="minorHAnsi" w:hAnsiTheme="minorHAnsi" w:eastAsiaTheme="minorEastAsia"/>
              <w:noProof/>
              <w:sz w:val="22"/>
            </w:rPr>
          </w:pPr>
          <w:hyperlink w:history="1" w:anchor="_Toc473880018">
            <w:r w:rsidRPr="00804687" w:rsidR="00C90B13">
              <w:rPr>
                <w:rStyle w:val="Hyperlink"/>
                <w:noProof/>
              </w:rPr>
              <w:t>2.</w:t>
            </w:r>
            <w:r w:rsidR="00C90B13">
              <w:rPr>
                <w:rFonts w:asciiTheme="minorHAnsi" w:hAnsiTheme="minorHAnsi" w:eastAsiaTheme="minorEastAsia"/>
                <w:noProof/>
                <w:sz w:val="22"/>
              </w:rPr>
              <w:tab/>
            </w:r>
            <w:r w:rsidRPr="00804687" w:rsidR="00C90B13">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C32380">
              <w:rPr>
                <w:noProof/>
                <w:webHidden/>
              </w:rPr>
              <w:t>3</w:t>
            </w:r>
            <w:r w:rsidR="00C90B13">
              <w:rPr>
                <w:noProof/>
                <w:webHidden/>
              </w:rPr>
              <w:fldChar w:fldCharType="end"/>
            </w:r>
          </w:hyperlink>
        </w:p>
        <w:p w:rsidR="00C90B13" w:rsidRDefault="00E1024B" w14:paraId="55FE179F" w14:textId="77777777">
          <w:pPr>
            <w:pStyle w:val="TOC1"/>
            <w:tabs>
              <w:tab w:val="left" w:pos="480"/>
              <w:tab w:val="right" w:leader="dot" w:pos="10070"/>
            </w:tabs>
            <w:rPr>
              <w:rFonts w:asciiTheme="minorHAnsi" w:hAnsiTheme="minorHAnsi" w:eastAsiaTheme="minorEastAsia"/>
              <w:noProof/>
              <w:sz w:val="22"/>
            </w:rPr>
          </w:pPr>
          <w:hyperlink w:history="1" w:anchor="_Toc473880019">
            <w:r w:rsidRPr="00804687" w:rsidR="00C90B13">
              <w:rPr>
                <w:rStyle w:val="Hyperlink"/>
                <w:noProof/>
              </w:rPr>
              <w:t>3.</w:t>
            </w:r>
            <w:r w:rsidR="00C90B13">
              <w:rPr>
                <w:rFonts w:asciiTheme="minorHAnsi" w:hAnsiTheme="minorHAnsi" w:eastAsiaTheme="minorEastAsia"/>
                <w:noProof/>
                <w:sz w:val="22"/>
              </w:rPr>
              <w:tab/>
            </w:r>
            <w:r w:rsidRPr="00804687" w:rsidR="00C90B13">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C32380">
              <w:rPr>
                <w:noProof/>
                <w:webHidden/>
              </w:rPr>
              <w:t>3</w:t>
            </w:r>
            <w:r w:rsidR="00C90B13">
              <w:rPr>
                <w:noProof/>
                <w:webHidden/>
              </w:rPr>
              <w:fldChar w:fldCharType="end"/>
            </w:r>
          </w:hyperlink>
        </w:p>
        <w:p w:rsidR="00C90B13" w:rsidRDefault="00E1024B" w14:paraId="55FE17A0" w14:textId="77777777">
          <w:pPr>
            <w:pStyle w:val="TOC1"/>
            <w:tabs>
              <w:tab w:val="left" w:pos="480"/>
              <w:tab w:val="right" w:leader="dot" w:pos="10070"/>
            </w:tabs>
            <w:rPr>
              <w:rFonts w:asciiTheme="minorHAnsi" w:hAnsiTheme="minorHAnsi" w:eastAsiaTheme="minorEastAsia"/>
              <w:noProof/>
              <w:sz w:val="22"/>
            </w:rPr>
          </w:pPr>
          <w:hyperlink w:history="1" w:anchor="_Toc473880020">
            <w:r w:rsidRPr="00804687" w:rsidR="00C90B13">
              <w:rPr>
                <w:rStyle w:val="Hyperlink"/>
                <w:noProof/>
              </w:rPr>
              <w:t>4.</w:t>
            </w:r>
            <w:r w:rsidR="00C90B13">
              <w:rPr>
                <w:rFonts w:asciiTheme="minorHAnsi" w:hAnsiTheme="minorHAnsi" w:eastAsiaTheme="minorEastAsia"/>
                <w:noProof/>
                <w:sz w:val="22"/>
              </w:rPr>
              <w:tab/>
            </w:r>
            <w:r w:rsidRPr="00804687" w:rsidR="00C90B13">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E1024B" w14:paraId="55FE17A1" w14:textId="77777777">
          <w:pPr>
            <w:pStyle w:val="TOC1"/>
            <w:tabs>
              <w:tab w:val="left" w:pos="480"/>
              <w:tab w:val="right" w:leader="dot" w:pos="10070"/>
            </w:tabs>
            <w:rPr>
              <w:rFonts w:asciiTheme="minorHAnsi" w:hAnsiTheme="minorHAnsi" w:eastAsiaTheme="minorEastAsia"/>
              <w:noProof/>
              <w:sz w:val="22"/>
            </w:rPr>
          </w:pPr>
          <w:hyperlink w:history="1" w:anchor="_Toc473880021">
            <w:r w:rsidRPr="00804687" w:rsidR="00C90B13">
              <w:rPr>
                <w:rStyle w:val="Hyperlink"/>
                <w:noProof/>
              </w:rPr>
              <w:t>5.</w:t>
            </w:r>
            <w:r w:rsidR="00C90B13">
              <w:rPr>
                <w:rFonts w:asciiTheme="minorHAnsi" w:hAnsiTheme="minorHAnsi" w:eastAsiaTheme="minorEastAsia"/>
                <w:noProof/>
                <w:sz w:val="22"/>
              </w:rPr>
              <w:tab/>
            </w:r>
            <w:r w:rsidRPr="00804687" w:rsidR="00C90B13">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E1024B" w14:paraId="55FE17A2" w14:textId="77777777">
          <w:pPr>
            <w:pStyle w:val="TOC1"/>
            <w:tabs>
              <w:tab w:val="left" w:pos="480"/>
              <w:tab w:val="right" w:leader="dot" w:pos="10070"/>
            </w:tabs>
            <w:rPr>
              <w:rFonts w:asciiTheme="minorHAnsi" w:hAnsiTheme="minorHAnsi" w:eastAsiaTheme="minorEastAsia"/>
              <w:noProof/>
              <w:sz w:val="22"/>
            </w:rPr>
          </w:pPr>
          <w:hyperlink w:history="1" w:anchor="_Toc473880022">
            <w:r w:rsidRPr="00804687" w:rsidR="00C90B13">
              <w:rPr>
                <w:rStyle w:val="Hyperlink"/>
                <w:noProof/>
              </w:rPr>
              <w:t>6.</w:t>
            </w:r>
            <w:r w:rsidR="00C90B13">
              <w:rPr>
                <w:rFonts w:asciiTheme="minorHAnsi" w:hAnsiTheme="minorHAnsi" w:eastAsiaTheme="minorEastAsia"/>
                <w:noProof/>
                <w:sz w:val="22"/>
              </w:rPr>
              <w:tab/>
            </w:r>
            <w:r w:rsidRPr="00804687" w:rsidR="00C90B13">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E1024B" w14:paraId="55FE17A3" w14:textId="77777777">
          <w:pPr>
            <w:pStyle w:val="TOC1"/>
            <w:tabs>
              <w:tab w:val="left" w:pos="480"/>
              <w:tab w:val="right" w:leader="dot" w:pos="10070"/>
            </w:tabs>
            <w:rPr>
              <w:rFonts w:asciiTheme="minorHAnsi" w:hAnsiTheme="minorHAnsi" w:eastAsiaTheme="minorEastAsia"/>
              <w:noProof/>
              <w:sz w:val="22"/>
            </w:rPr>
          </w:pPr>
          <w:hyperlink w:history="1" w:anchor="_Toc473880023">
            <w:r w:rsidRPr="00804687" w:rsidR="00C90B13">
              <w:rPr>
                <w:rStyle w:val="Hyperlink"/>
                <w:noProof/>
              </w:rPr>
              <w:t>7.</w:t>
            </w:r>
            <w:r w:rsidR="00C90B13">
              <w:rPr>
                <w:rFonts w:asciiTheme="minorHAnsi" w:hAnsiTheme="minorHAnsi" w:eastAsiaTheme="minorEastAsia"/>
                <w:noProof/>
                <w:sz w:val="22"/>
              </w:rPr>
              <w:tab/>
            </w:r>
            <w:r w:rsidRPr="00804687" w:rsidR="00C90B13">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E1024B" w14:paraId="55FE17A4" w14:textId="77777777">
          <w:pPr>
            <w:pStyle w:val="TOC1"/>
            <w:tabs>
              <w:tab w:val="left" w:pos="480"/>
              <w:tab w:val="right" w:leader="dot" w:pos="10070"/>
            </w:tabs>
            <w:rPr>
              <w:rFonts w:asciiTheme="minorHAnsi" w:hAnsiTheme="minorHAnsi" w:eastAsiaTheme="minorEastAsia"/>
              <w:noProof/>
              <w:sz w:val="22"/>
            </w:rPr>
          </w:pPr>
          <w:hyperlink w:history="1" w:anchor="_Toc473880024">
            <w:r w:rsidRPr="00804687" w:rsidR="00C90B13">
              <w:rPr>
                <w:rStyle w:val="Hyperlink"/>
                <w:noProof/>
              </w:rPr>
              <w:t>8.</w:t>
            </w:r>
            <w:r w:rsidR="00C90B13">
              <w:rPr>
                <w:rFonts w:asciiTheme="minorHAnsi" w:hAnsiTheme="minorHAnsi" w:eastAsiaTheme="minorEastAsia"/>
                <w:noProof/>
                <w:sz w:val="22"/>
              </w:rPr>
              <w:tab/>
            </w:r>
            <w:r w:rsidRPr="00804687" w:rsidR="00C90B13">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E1024B" w14:paraId="55FE17A5" w14:textId="77777777">
          <w:pPr>
            <w:pStyle w:val="TOC1"/>
            <w:tabs>
              <w:tab w:val="left" w:pos="480"/>
              <w:tab w:val="right" w:leader="dot" w:pos="10070"/>
            </w:tabs>
            <w:rPr>
              <w:rFonts w:asciiTheme="minorHAnsi" w:hAnsiTheme="minorHAnsi" w:eastAsiaTheme="minorEastAsia"/>
              <w:noProof/>
              <w:sz w:val="22"/>
            </w:rPr>
          </w:pPr>
          <w:hyperlink w:history="1" w:anchor="_Toc473880025">
            <w:r w:rsidRPr="00804687" w:rsidR="00C90B13">
              <w:rPr>
                <w:rStyle w:val="Hyperlink"/>
                <w:noProof/>
              </w:rPr>
              <w:t>9.</w:t>
            </w:r>
            <w:r w:rsidR="00C90B13">
              <w:rPr>
                <w:rFonts w:asciiTheme="minorHAnsi" w:hAnsiTheme="minorHAnsi" w:eastAsiaTheme="minorEastAsia"/>
                <w:noProof/>
                <w:sz w:val="22"/>
              </w:rPr>
              <w:tab/>
            </w:r>
            <w:r w:rsidRPr="00804687" w:rsidR="00C90B13">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E1024B" w14:paraId="55FE17A6" w14:textId="77777777">
          <w:pPr>
            <w:pStyle w:val="TOC1"/>
            <w:tabs>
              <w:tab w:val="left" w:pos="660"/>
              <w:tab w:val="right" w:leader="dot" w:pos="10070"/>
            </w:tabs>
            <w:rPr>
              <w:rFonts w:asciiTheme="minorHAnsi" w:hAnsiTheme="minorHAnsi" w:eastAsiaTheme="minorEastAsia"/>
              <w:noProof/>
              <w:sz w:val="22"/>
            </w:rPr>
          </w:pPr>
          <w:hyperlink w:history="1" w:anchor="_Toc473880026">
            <w:r w:rsidRPr="00804687" w:rsidR="00C90B13">
              <w:rPr>
                <w:rStyle w:val="Hyperlink"/>
                <w:noProof/>
              </w:rPr>
              <w:t>10.</w:t>
            </w:r>
            <w:r w:rsidR="00C90B13">
              <w:rPr>
                <w:rFonts w:asciiTheme="minorHAnsi" w:hAnsiTheme="minorHAnsi" w:eastAsiaTheme="minorEastAsia"/>
                <w:noProof/>
                <w:sz w:val="22"/>
              </w:rPr>
              <w:tab/>
            </w:r>
            <w:r w:rsidRPr="00804687" w:rsidR="00C90B13">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C32380">
              <w:rPr>
                <w:noProof/>
                <w:webHidden/>
              </w:rPr>
              <w:t>5</w:t>
            </w:r>
            <w:r w:rsidR="00C90B13">
              <w:rPr>
                <w:noProof/>
                <w:webHidden/>
              </w:rPr>
              <w:fldChar w:fldCharType="end"/>
            </w:r>
          </w:hyperlink>
        </w:p>
        <w:p w:rsidR="00C90B13" w:rsidRDefault="00E1024B" w14:paraId="55FE17A7" w14:textId="77777777">
          <w:pPr>
            <w:pStyle w:val="TOC1"/>
            <w:tabs>
              <w:tab w:val="left" w:pos="660"/>
              <w:tab w:val="right" w:leader="dot" w:pos="10070"/>
            </w:tabs>
            <w:rPr>
              <w:rFonts w:asciiTheme="minorHAnsi" w:hAnsiTheme="minorHAnsi" w:eastAsiaTheme="minorEastAsia"/>
              <w:noProof/>
              <w:sz w:val="22"/>
            </w:rPr>
          </w:pPr>
          <w:hyperlink w:history="1" w:anchor="_Toc473880027">
            <w:r w:rsidRPr="00804687" w:rsidR="00C90B13">
              <w:rPr>
                <w:rStyle w:val="Hyperlink"/>
                <w:noProof/>
              </w:rPr>
              <w:t>11.</w:t>
            </w:r>
            <w:r w:rsidR="00C90B13">
              <w:rPr>
                <w:rFonts w:asciiTheme="minorHAnsi" w:hAnsiTheme="minorHAnsi" w:eastAsiaTheme="minorEastAsia"/>
                <w:noProof/>
                <w:sz w:val="22"/>
              </w:rPr>
              <w:tab/>
            </w:r>
            <w:r w:rsidRPr="00804687" w:rsidR="00C90B13">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C32380">
              <w:rPr>
                <w:noProof/>
                <w:webHidden/>
              </w:rPr>
              <w:t>5</w:t>
            </w:r>
            <w:r w:rsidR="00C90B13">
              <w:rPr>
                <w:noProof/>
                <w:webHidden/>
              </w:rPr>
              <w:fldChar w:fldCharType="end"/>
            </w:r>
          </w:hyperlink>
        </w:p>
        <w:p w:rsidR="00C90B13" w:rsidRDefault="00E1024B" w14:paraId="55FE17A8" w14:textId="77777777">
          <w:pPr>
            <w:pStyle w:val="TOC1"/>
            <w:tabs>
              <w:tab w:val="left" w:pos="660"/>
              <w:tab w:val="right" w:leader="dot" w:pos="10070"/>
            </w:tabs>
            <w:rPr>
              <w:rFonts w:asciiTheme="minorHAnsi" w:hAnsiTheme="minorHAnsi" w:eastAsiaTheme="minorEastAsia"/>
              <w:noProof/>
              <w:sz w:val="22"/>
            </w:rPr>
          </w:pPr>
          <w:hyperlink w:history="1" w:anchor="_Toc473880028">
            <w:r w:rsidRPr="00804687" w:rsidR="00C90B13">
              <w:rPr>
                <w:rStyle w:val="Hyperlink"/>
                <w:noProof/>
              </w:rPr>
              <w:t>12.</w:t>
            </w:r>
            <w:r w:rsidR="00C90B13">
              <w:rPr>
                <w:rFonts w:asciiTheme="minorHAnsi" w:hAnsiTheme="minorHAnsi" w:eastAsiaTheme="minorEastAsia"/>
                <w:noProof/>
                <w:sz w:val="22"/>
              </w:rPr>
              <w:tab/>
            </w:r>
            <w:r w:rsidRPr="00804687" w:rsidR="00C90B13">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C32380">
              <w:rPr>
                <w:noProof/>
                <w:webHidden/>
              </w:rPr>
              <w:t>5</w:t>
            </w:r>
            <w:r w:rsidR="00C90B13">
              <w:rPr>
                <w:noProof/>
                <w:webHidden/>
              </w:rPr>
              <w:fldChar w:fldCharType="end"/>
            </w:r>
          </w:hyperlink>
        </w:p>
        <w:p w:rsidR="00C90B13" w:rsidRDefault="00E1024B" w14:paraId="55FE17A9" w14:textId="77777777">
          <w:pPr>
            <w:pStyle w:val="TOC1"/>
            <w:tabs>
              <w:tab w:val="left" w:pos="660"/>
              <w:tab w:val="right" w:leader="dot" w:pos="10070"/>
            </w:tabs>
            <w:rPr>
              <w:rFonts w:asciiTheme="minorHAnsi" w:hAnsiTheme="minorHAnsi" w:eastAsiaTheme="minorEastAsia"/>
              <w:noProof/>
              <w:sz w:val="22"/>
            </w:rPr>
          </w:pPr>
          <w:hyperlink w:history="1" w:anchor="_Toc473880029">
            <w:r w:rsidRPr="00804687" w:rsidR="00C90B13">
              <w:rPr>
                <w:rStyle w:val="Hyperlink"/>
                <w:noProof/>
              </w:rPr>
              <w:t>13.</w:t>
            </w:r>
            <w:r w:rsidR="00C90B13">
              <w:rPr>
                <w:rFonts w:asciiTheme="minorHAnsi" w:hAnsiTheme="minorHAnsi" w:eastAsiaTheme="minorEastAsia"/>
                <w:noProof/>
                <w:sz w:val="22"/>
              </w:rPr>
              <w:tab/>
            </w:r>
            <w:r w:rsidRPr="00804687" w:rsidR="00C90B13">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E1024B" w14:paraId="55FE17AA" w14:textId="77777777">
          <w:pPr>
            <w:pStyle w:val="TOC1"/>
            <w:tabs>
              <w:tab w:val="left" w:pos="660"/>
              <w:tab w:val="right" w:leader="dot" w:pos="10070"/>
            </w:tabs>
            <w:rPr>
              <w:rFonts w:asciiTheme="minorHAnsi" w:hAnsiTheme="minorHAnsi" w:eastAsiaTheme="minorEastAsia"/>
              <w:noProof/>
              <w:sz w:val="22"/>
            </w:rPr>
          </w:pPr>
          <w:hyperlink w:history="1" w:anchor="_Toc473880030">
            <w:r w:rsidRPr="00804687" w:rsidR="00C90B13">
              <w:rPr>
                <w:rStyle w:val="Hyperlink"/>
                <w:noProof/>
              </w:rPr>
              <w:t>14.</w:t>
            </w:r>
            <w:r w:rsidR="00C90B13">
              <w:rPr>
                <w:rFonts w:asciiTheme="minorHAnsi" w:hAnsiTheme="minorHAnsi" w:eastAsiaTheme="minorEastAsia"/>
                <w:noProof/>
                <w:sz w:val="22"/>
              </w:rPr>
              <w:tab/>
            </w:r>
            <w:r w:rsidRPr="00804687" w:rsidR="00C90B13">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E1024B" w14:paraId="55FE17AB" w14:textId="77777777">
          <w:pPr>
            <w:pStyle w:val="TOC1"/>
            <w:tabs>
              <w:tab w:val="left" w:pos="660"/>
              <w:tab w:val="right" w:leader="dot" w:pos="10070"/>
            </w:tabs>
            <w:rPr>
              <w:rFonts w:asciiTheme="minorHAnsi" w:hAnsiTheme="minorHAnsi" w:eastAsiaTheme="minorEastAsia"/>
              <w:noProof/>
              <w:sz w:val="22"/>
            </w:rPr>
          </w:pPr>
          <w:hyperlink w:history="1" w:anchor="_Toc473880031">
            <w:r w:rsidRPr="00804687" w:rsidR="00C90B13">
              <w:rPr>
                <w:rStyle w:val="Hyperlink"/>
                <w:noProof/>
              </w:rPr>
              <w:t>15.</w:t>
            </w:r>
            <w:r w:rsidR="00C90B13">
              <w:rPr>
                <w:rFonts w:asciiTheme="minorHAnsi" w:hAnsiTheme="minorHAnsi" w:eastAsiaTheme="minorEastAsia"/>
                <w:noProof/>
                <w:sz w:val="22"/>
              </w:rPr>
              <w:tab/>
            </w:r>
            <w:r w:rsidRPr="00804687" w:rsidR="00C90B13">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E1024B" w14:paraId="55FE17AC" w14:textId="77777777">
          <w:pPr>
            <w:pStyle w:val="TOC1"/>
            <w:tabs>
              <w:tab w:val="left" w:pos="660"/>
              <w:tab w:val="right" w:leader="dot" w:pos="10070"/>
            </w:tabs>
            <w:rPr>
              <w:rFonts w:asciiTheme="minorHAnsi" w:hAnsiTheme="minorHAnsi" w:eastAsiaTheme="minorEastAsia"/>
              <w:noProof/>
              <w:sz w:val="22"/>
            </w:rPr>
          </w:pPr>
          <w:hyperlink w:history="1" w:anchor="_Toc473880032">
            <w:r w:rsidRPr="00804687" w:rsidR="00C90B13">
              <w:rPr>
                <w:rStyle w:val="Hyperlink"/>
                <w:noProof/>
              </w:rPr>
              <w:t>16.</w:t>
            </w:r>
            <w:r w:rsidR="00C90B13">
              <w:rPr>
                <w:rFonts w:asciiTheme="minorHAnsi" w:hAnsiTheme="minorHAnsi" w:eastAsiaTheme="minorEastAsia"/>
                <w:noProof/>
                <w:sz w:val="22"/>
              </w:rPr>
              <w:tab/>
            </w:r>
            <w:r w:rsidRPr="00804687" w:rsidR="00C90B13">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E1024B" w14:paraId="55FE17AD" w14:textId="77777777">
          <w:pPr>
            <w:pStyle w:val="TOC1"/>
            <w:tabs>
              <w:tab w:val="left" w:pos="660"/>
              <w:tab w:val="right" w:leader="dot" w:pos="10070"/>
            </w:tabs>
            <w:rPr>
              <w:rFonts w:asciiTheme="minorHAnsi" w:hAnsiTheme="minorHAnsi" w:eastAsiaTheme="minorEastAsia"/>
              <w:noProof/>
              <w:sz w:val="22"/>
            </w:rPr>
          </w:pPr>
          <w:hyperlink w:history="1" w:anchor="_Toc473880033">
            <w:r w:rsidRPr="00804687" w:rsidR="00C90B13">
              <w:rPr>
                <w:rStyle w:val="Hyperlink"/>
                <w:noProof/>
              </w:rPr>
              <w:t>17.</w:t>
            </w:r>
            <w:r w:rsidR="00C90B13">
              <w:rPr>
                <w:rFonts w:asciiTheme="minorHAnsi" w:hAnsiTheme="minorHAnsi" w:eastAsiaTheme="minorEastAsia"/>
                <w:noProof/>
                <w:sz w:val="22"/>
              </w:rPr>
              <w:tab/>
            </w:r>
            <w:r w:rsidRPr="00804687" w:rsidR="00C90B13">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C32380">
              <w:rPr>
                <w:noProof/>
                <w:webHidden/>
              </w:rPr>
              <w:t>7</w:t>
            </w:r>
            <w:r w:rsidR="00C90B13">
              <w:rPr>
                <w:noProof/>
                <w:webHidden/>
              </w:rPr>
              <w:fldChar w:fldCharType="end"/>
            </w:r>
          </w:hyperlink>
        </w:p>
        <w:p w:rsidR="00C90B13" w:rsidRDefault="00E1024B" w14:paraId="55FE17AE" w14:textId="77777777">
          <w:pPr>
            <w:pStyle w:val="TOC1"/>
            <w:tabs>
              <w:tab w:val="left" w:pos="660"/>
              <w:tab w:val="right" w:leader="dot" w:pos="10070"/>
            </w:tabs>
            <w:rPr>
              <w:rFonts w:asciiTheme="minorHAnsi" w:hAnsiTheme="minorHAnsi" w:eastAsiaTheme="minorEastAsia"/>
              <w:noProof/>
              <w:sz w:val="22"/>
            </w:rPr>
          </w:pPr>
          <w:hyperlink w:history="1" w:anchor="_Toc473880034">
            <w:r w:rsidRPr="00804687" w:rsidR="00C90B13">
              <w:rPr>
                <w:rStyle w:val="Hyperlink"/>
                <w:noProof/>
              </w:rPr>
              <w:t>18.</w:t>
            </w:r>
            <w:r w:rsidR="00C90B13">
              <w:rPr>
                <w:rFonts w:asciiTheme="minorHAnsi" w:hAnsiTheme="minorHAnsi" w:eastAsiaTheme="minorEastAsia"/>
                <w:noProof/>
                <w:sz w:val="22"/>
              </w:rPr>
              <w:tab/>
            </w:r>
            <w:r w:rsidRPr="00804687" w:rsidR="00C90B13">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C32380">
              <w:rPr>
                <w:noProof/>
                <w:webHidden/>
              </w:rPr>
              <w:t>7</w:t>
            </w:r>
            <w:r w:rsidR="00C90B13">
              <w:rPr>
                <w:noProof/>
                <w:webHidden/>
              </w:rPr>
              <w:fldChar w:fldCharType="end"/>
            </w:r>
          </w:hyperlink>
        </w:p>
        <w:p w:rsidR="00C90B13" w:rsidRDefault="00E1024B" w14:paraId="55FE17AF" w14:textId="77777777">
          <w:pPr>
            <w:pStyle w:val="TOC1"/>
            <w:tabs>
              <w:tab w:val="right" w:leader="dot" w:pos="10070"/>
            </w:tabs>
            <w:rPr>
              <w:rFonts w:asciiTheme="minorHAnsi" w:hAnsiTheme="minorHAnsi" w:eastAsiaTheme="minorEastAsia"/>
              <w:noProof/>
              <w:sz w:val="22"/>
            </w:rPr>
          </w:pPr>
          <w:hyperlink w:history="1" w:anchor="_Toc473880035">
            <w:r w:rsidRPr="00804687" w:rsidR="00C90B13">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C32380">
              <w:rPr>
                <w:noProof/>
                <w:webHidden/>
              </w:rPr>
              <w:t>7</w:t>
            </w:r>
            <w:r w:rsidR="00C90B13">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4F554A83" wp14:anchorId="55FE182F">
                <wp:simplePos x="0" y="0"/>
                <wp:positionH relativeFrom="margin">
                  <wp:align>left</wp:align>
                </wp:positionH>
                <wp:positionV relativeFrom="margin">
                  <wp:align>top</wp:align>
                </wp:positionV>
                <wp:extent cx="6477000" cy="3275330"/>
                <wp:effectExtent l="0" t="0" r="19050" b="20320"/>
                <wp:wrapTight wrapText="bothSides">
                  <wp:wrapPolygon edited="0">
                    <wp:start x="0" y="0"/>
                    <wp:lineTo x="0" y="21608"/>
                    <wp:lineTo x="21600" y="2160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275938"/>
                        </a:xfrm>
                        <a:prstGeom prst="rect">
                          <a:avLst/>
                        </a:prstGeom>
                        <a:solidFill>
                          <a:srgbClr val="FFFFFF"/>
                        </a:solidFill>
                        <a:ln w="9525">
                          <a:solidFill>
                            <a:srgbClr val="000000"/>
                          </a:solidFill>
                          <a:miter lim="800000"/>
                          <a:headEnd/>
                          <a:tailEnd/>
                        </a:ln>
                      </wps:spPr>
                      <wps:txbx>
                        <w:txbxContent>
                          <w:p w:rsidRPr="001A58BE" w:rsidR="004A13E8" w:rsidP="004A13E8" w:rsidRDefault="004A13E8" w14:paraId="55FE1837" w14:textId="7B9CF029">
                            <w:pPr>
                              <w:pStyle w:val="Bullets"/>
                              <w:rPr>
                                <w:b/>
                              </w:rPr>
                            </w:pPr>
                            <w:r w:rsidRPr="001A58BE">
                              <w:rPr>
                                <w:b/>
                              </w:rPr>
                              <w:t>Goal of the study:</w:t>
                            </w:r>
                            <w:r w:rsidR="001A58BE">
                              <w:rPr>
                                <w:b/>
                              </w:rPr>
                              <w:t xml:space="preserve"> </w:t>
                            </w:r>
                            <w:r w:rsidR="009A53DD">
                              <w:t xml:space="preserve">The goal is </w:t>
                            </w:r>
                            <w:r w:rsidRPr="009A53DD" w:rsidR="009A53DD">
                              <w:t xml:space="preserve">to monitor for and characterize features (e.g., demographics, underlying conditions, treatments, and clinical outcomes) of persons affected by triazole-resistant </w:t>
                            </w:r>
                            <w:r w:rsidRPr="009A53DD" w:rsidR="009A53DD">
                              <w:rPr>
                                <w:i/>
                                <w:iCs/>
                              </w:rPr>
                              <w:t>A. fumigatus</w:t>
                            </w:r>
                            <w:r w:rsidRPr="009A53DD" w:rsidR="009A53DD">
                              <w:t>.</w:t>
                            </w:r>
                          </w:p>
                          <w:p w:rsidRPr="009A53DD" w:rsidR="004A13E8" w:rsidP="004A13E8" w:rsidRDefault="004A13E8" w14:paraId="55FE1838" w14:textId="2C7D172C">
                            <w:pPr>
                              <w:pStyle w:val="Bullets"/>
                              <w:rPr>
                                <w:b/>
                                <w:i/>
                                <w:iCs/>
                              </w:rPr>
                            </w:pPr>
                            <w:r w:rsidRPr="001A58BE">
                              <w:rPr>
                                <w:b/>
                              </w:rPr>
                              <w:t>Intended use of the resulting data:</w:t>
                            </w:r>
                            <w:r w:rsidR="001A58BE">
                              <w:rPr>
                                <w:b/>
                              </w:rPr>
                              <w:t xml:space="preserve"> </w:t>
                            </w:r>
                            <w:r w:rsidR="009A53DD">
                              <w:t xml:space="preserve">Data on </w:t>
                            </w:r>
                            <w:r w:rsidRPr="009A53DD" w:rsidR="009A53DD">
                              <w:t xml:space="preserve">features (e.g., demographics, underlying conditions, treatments, and clinical outcomes) of persons affected by triazole-resistant </w:t>
                            </w:r>
                            <w:r w:rsidRPr="009A53DD" w:rsidR="009A53DD">
                              <w:rPr>
                                <w:i/>
                                <w:iCs/>
                              </w:rPr>
                              <w:t>A. fumigatus</w:t>
                            </w:r>
                            <w:r w:rsidR="009A53DD">
                              <w:rPr>
                                <w:i/>
                                <w:iCs/>
                              </w:rPr>
                              <w:t xml:space="preserve"> </w:t>
                            </w:r>
                            <w:r w:rsidR="009A53DD">
                              <w:t>will be used to inform clinical practice and public health policy.</w:t>
                            </w:r>
                          </w:p>
                          <w:p w:rsidRPr="001A58BE" w:rsidR="004A13E8" w:rsidP="004A13E8" w:rsidRDefault="004A13E8" w14:paraId="55FE1839" w14:textId="73B7554B">
                            <w:pPr>
                              <w:pStyle w:val="Bullets"/>
                              <w:rPr>
                                <w:b/>
                              </w:rPr>
                            </w:pPr>
                            <w:r w:rsidRPr="001A58BE">
                              <w:rPr>
                                <w:b/>
                              </w:rPr>
                              <w:t>Methods to be used to collect:</w:t>
                            </w:r>
                            <w:r w:rsidR="001A58BE">
                              <w:rPr>
                                <w:b/>
                              </w:rPr>
                              <w:t xml:space="preserve"> </w:t>
                            </w:r>
                            <w:r w:rsidR="00D20AFF">
                              <w:t>P</w:t>
                            </w:r>
                            <w:r w:rsidR="00CA3999">
                              <w:t xml:space="preserve">ublic health officials and clinicians </w:t>
                            </w:r>
                            <w:r w:rsidR="00D20AFF">
                              <w:t xml:space="preserve">will voluntarily submit data </w:t>
                            </w:r>
                            <w:r w:rsidR="00CA3999">
                              <w:t>using a case report form that collects de-identified data.</w:t>
                            </w:r>
                            <w:r w:rsidR="0090106E">
                              <w:t xml:space="preserve"> The collection will involve a</w:t>
                            </w:r>
                            <w:r w:rsidRPr="0090106E" w:rsidR="0090106E">
                              <w:t xml:space="preserve"> </w:t>
                            </w:r>
                            <w:r w:rsidR="0090106E">
                              <w:t xml:space="preserve">convenience sample of patients receiving testing for </w:t>
                            </w:r>
                            <w:r w:rsidRPr="009A53DD" w:rsidR="0090106E">
                              <w:t xml:space="preserve">triazole-resistant </w:t>
                            </w:r>
                            <w:r w:rsidRPr="009A53DD" w:rsidR="0090106E">
                              <w:rPr>
                                <w:i/>
                                <w:iCs/>
                              </w:rPr>
                              <w:t>A. fumigatus</w:t>
                            </w:r>
                            <w:r w:rsidR="0090106E">
                              <w:t>.</w:t>
                            </w:r>
                          </w:p>
                          <w:p w:rsidRPr="00CA3999" w:rsidR="004A13E8" w:rsidP="00CA3999" w:rsidRDefault="004A13E8" w14:paraId="55FE183A" w14:textId="19A635F4">
                            <w:pPr>
                              <w:pStyle w:val="Bullets"/>
                              <w:rPr>
                                <w:b/>
                              </w:rPr>
                            </w:pPr>
                            <w:r w:rsidRPr="001A58BE">
                              <w:rPr>
                                <w:b/>
                              </w:rPr>
                              <w:t>The subpopulation to be studied:</w:t>
                            </w:r>
                            <w:r w:rsidR="001A58BE">
                              <w:rPr>
                                <w:b/>
                              </w:rPr>
                              <w:t xml:space="preserve"> </w:t>
                            </w:r>
                            <w:r w:rsidRPr="00AB5621" w:rsidR="00D20AFF">
                              <w:rPr>
                                <w:bCs/>
                              </w:rPr>
                              <w:t>The subpopulation will involve</w:t>
                            </w:r>
                            <w:r w:rsidR="00D20AFF">
                              <w:rPr>
                                <w:b/>
                              </w:rPr>
                              <w:t xml:space="preserve"> </w:t>
                            </w:r>
                            <w:r w:rsidR="009A53DD">
                              <w:t xml:space="preserve">patients receiving care </w:t>
                            </w:r>
                            <w:r w:rsidR="00AB5621">
                              <w:t xml:space="preserve">for </w:t>
                            </w:r>
                            <w:r w:rsidRPr="00AB5621" w:rsidR="00AB5621">
                              <w:t xml:space="preserve">triazole-resistant </w:t>
                            </w:r>
                            <w:r w:rsidRPr="00AB5621" w:rsidR="00AB5621">
                              <w:rPr>
                                <w:i/>
                                <w:iCs/>
                              </w:rPr>
                              <w:t>A. fumigatus</w:t>
                            </w:r>
                            <w:r w:rsidRPr="00AB5621" w:rsidR="00AB5621">
                              <w:t xml:space="preserve"> </w:t>
                            </w:r>
                            <w:r w:rsidR="009A53DD">
                              <w:t>at U.S. healthcare facilities</w:t>
                            </w:r>
                            <w:r w:rsidRPr="009A53DD" w:rsidR="00CA3999">
                              <w:t>.</w:t>
                            </w:r>
                          </w:p>
                          <w:p w:rsidRPr="001A58BE" w:rsidR="004A13E8" w:rsidP="004A13E8" w:rsidRDefault="004A13E8" w14:paraId="55FE183C" w14:textId="28C19527">
                            <w:pPr>
                              <w:pStyle w:val="Bullets"/>
                              <w:rPr>
                                <w:b/>
                              </w:rPr>
                            </w:pPr>
                            <w:r w:rsidRPr="001A58BE">
                              <w:rPr>
                                <w:b/>
                              </w:rPr>
                              <w:t>How data will be analyzed:</w:t>
                            </w:r>
                            <w:r w:rsidR="001A58BE">
                              <w:rPr>
                                <w:b/>
                              </w:rPr>
                              <w:t xml:space="preserve"> </w:t>
                            </w:r>
                            <w:r w:rsidR="006F03E0">
                              <w:t>D</w:t>
                            </w:r>
                            <w:r w:rsidR="009A53DD">
                              <w:t>escriptive analyses</w:t>
                            </w:r>
                            <w:r w:rsidR="006F03E0">
                              <w:t xml:space="preserve"> will be used to analyze the collected data.</w:t>
                            </w:r>
                          </w:p>
                          <w:p w:rsidR="004A13E8" w:rsidP="004A13E8" w:rsidRDefault="004A13E8"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57.9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">
                <v:textbox>
                  <w:txbxContent>
                    <w:p w:rsidRPr="001A58BE" w:rsidR="004A13E8" w:rsidP="004A13E8" w:rsidRDefault="004A13E8" w14:paraId="55FE1837" w14:textId="7B9CF029">
                      <w:pPr>
                        <w:pStyle w:val="Bullets"/>
                        <w:rPr>
                          <w:b/>
                        </w:rPr>
                      </w:pPr>
                      <w:r w:rsidRPr="001A58BE">
                        <w:rPr>
                          <w:b/>
                        </w:rPr>
                        <w:t>Goal of the study:</w:t>
                      </w:r>
                      <w:r w:rsidR="001A58BE">
                        <w:rPr>
                          <w:b/>
                        </w:rPr>
                        <w:t xml:space="preserve"> </w:t>
                      </w:r>
                      <w:r w:rsidR="009A53DD">
                        <w:t xml:space="preserve">The goal is </w:t>
                      </w:r>
                      <w:r w:rsidRPr="009A53DD" w:rsidR="009A53DD">
                        <w:t xml:space="preserve">to monitor for and characterize features (e.g., demographics, underlying conditions, treatments, and clinical outcomes) of persons affected by triazole-resistant </w:t>
                      </w:r>
                      <w:r w:rsidRPr="009A53DD" w:rsidR="009A53DD">
                        <w:rPr>
                          <w:i/>
                          <w:iCs/>
                        </w:rPr>
                        <w:t>A. fumigatus</w:t>
                      </w:r>
                      <w:r w:rsidRPr="009A53DD" w:rsidR="009A53DD">
                        <w:t>.</w:t>
                      </w:r>
                    </w:p>
                    <w:p w:rsidRPr="009A53DD" w:rsidR="004A13E8" w:rsidP="004A13E8" w:rsidRDefault="004A13E8" w14:paraId="55FE1838" w14:textId="2C7D172C">
                      <w:pPr>
                        <w:pStyle w:val="Bullets"/>
                        <w:rPr>
                          <w:b/>
                          <w:i/>
                          <w:iCs/>
                        </w:rPr>
                      </w:pPr>
                      <w:r w:rsidRPr="001A58BE">
                        <w:rPr>
                          <w:b/>
                        </w:rPr>
                        <w:t>Intended use of the resulting data:</w:t>
                      </w:r>
                      <w:r w:rsidR="001A58BE">
                        <w:rPr>
                          <w:b/>
                        </w:rPr>
                        <w:t xml:space="preserve"> </w:t>
                      </w:r>
                      <w:r w:rsidR="009A53DD">
                        <w:t xml:space="preserve">Data on </w:t>
                      </w:r>
                      <w:r w:rsidRPr="009A53DD" w:rsidR="009A53DD">
                        <w:t xml:space="preserve">features (e.g., demographics, underlying conditions, treatments, and clinical outcomes) of persons affected by triazole-resistant </w:t>
                      </w:r>
                      <w:r w:rsidRPr="009A53DD" w:rsidR="009A53DD">
                        <w:rPr>
                          <w:i/>
                          <w:iCs/>
                        </w:rPr>
                        <w:t>A. fumigatus</w:t>
                      </w:r>
                      <w:r w:rsidR="009A53DD">
                        <w:rPr>
                          <w:i/>
                          <w:iCs/>
                        </w:rPr>
                        <w:t xml:space="preserve"> </w:t>
                      </w:r>
                      <w:r w:rsidR="009A53DD">
                        <w:t>will be used to inform clinical practice and public health policy.</w:t>
                      </w:r>
                    </w:p>
                    <w:p w:rsidRPr="001A58BE" w:rsidR="004A13E8" w:rsidP="004A13E8" w:rsidRDefault="004A13E8" w14:paraId="55FE1839" w14:textId="73B7554B">
                      <w:pPr>
                        <w:pStyle w:val="Bullets"/>
                        <w:rPr>
                          <w:b/>
                        </w:rPr>
                      </w:pPr>
                      <w:r w:rsidRPr="001A58BE">
                        <w:rPr>
                          <w:b/>
                        </w:rPr>
                        <w:t>Methods to be used to collect:</w:t>
                      </w:r>
                      <w:r w:rsidR="001A58BE">
                        <w:rPr>
                          <w:b/>
                        </w:rPr>
                        <w:t xml:space="preserve"> </w:t>
                      </w:r>
                      <w:r w:rsidR="00D20AFF">
                        <w:t>P</w:t>
                      </w:r>
                      <w:r w:rsidR="00CA3999">
                        <w:t xml:space="preserve">ublic health officials and clinicians </w:t>
                      </w:r>
                      <w:r w:rsidR="00D20AFF">
                        <w:t xml:space="preserve">will voluntarily submit data </w:t>
                      </w:r>
                      <w:r w:rsidR="00CA3999">
                        <w:t>using a case report form that collects de-identified data.</w:t>
                      </w:r>
                      <w:r w:rsidR="0090106E">
                        <w:t xml:space="preserve"> The collection will involve a</w:t>
                      </w:r>
                      <w:r w:rsidRPr="0090106E" w:rsidR="0090106E">
                        <w:t xml:space="preserve"> </w:t>
                      </w:r>
                      <w:r w:rsidR="0090106E">
                        <w:t xml:space="preserve">convenience sample of patients receiving testing for </w:t>
                      </w:r>
                      <w:r w:rsidRPr="009A53DD" w:rsidR="0090106E">
                        <w:t xml:space="preserve">triazole-resistant </w:t>
                      </w:r>
                      <w:r w:rsidRPr="009A53DD" w:rsidR="0090106E">
                        <w:rPr>
                          <w:i/>
                          <w:iCs/>
                        </w:rPr>
                        <w:t>A. fumigatus</w:t>
                      </w:r>
                      <w:r w:rsidR="0090106E">
                        <w:t>.</w:t>
                      </w:r>
                    </w:p>
                    <w:p w:rsidRPr="00CA3999" w:rsidR="004A13E8" w:rsidP="00CA3999" w:rsidRDefault="004A13E8" w14:paraId="55FE183A" w14:textId="19A635F4">
                      <w:pPr>
                        <w:pStyle w:val="Bullets"/>
                        <w:rPr>
                          <w:b/>
                        </w:rPr>
                      </w:pPr>
                      <w:r w:rsidRPr="001A58BE">
                        <w:rPr>
                          <w:b/>
                        </w:rPr>
                        <w:t>The subpopulation to be studied:</w:t>
                      </w:r>
                      <w:r w:rsidR="001A58BE">
                        <w:rPr>
                          <w:b/>
                        </w:rPr>
                        <w:t xml:space="preserve"> </w:t>
                      </w:r>
                      <w:r w:rsidRPr="00AB5621" w:rsidR="00D20AFF">
                        <w:rPr>
                          <w:bCs/>
                        </w:rPr>
                        <w:t>The subpopulation will involve</w:t>
                      </w:r>
                      <w:r w:rsidR="00D20AFF">
                        <w:rPr>
                          <w:b/>
                        </w:rPr>
                        <w:t xml:space="preserve"> </w:t>
                      </w:r>
                      <w:r w:rsidR="009A53DD">
                        <w:t xml:space="preserve">patients receiving care </w:t>
                      </w:r>
                      <w:r w:rsidR="00AB5621">
                        <w:t xml:space="preserve">for </w:t>
                      </w:r>
                      <w:r w:rsidRPr="00AB5621" w:rsidR="00AB5621">
                        <w:t xml:space="preserve">triazole-resistant </w:t>
                      </w:r>
                      <w:r w:rsidRPr="00AB5621" w:rsidR="00AB5621">
                        <w:rPr>
                          <w:i/>
                          <w:iCs/>
                        </w:rPr>
                        <w:t>A. fumigatus</w:t>
                      </w:r>
                      <w:r w:rsidRPr="00AB5621" w:rsidR="00AB5621">
                        <w:t xml:space="preserve"> </w:t>
                      </w:r>
                      <w:r w:rsidR="009A53DD">
                        <w:t>at U.S. healthcare facilities</w:t>
                      </w:r>
                      <w:r w:rsidRPr="009A53DD" w:rsidR="00CA3999">
                        <w:t>.</w:t>
                      </w:r>
                    </w:p>
                    <w:p w:rsidRPr="001A58BE" w:rsidR="004A13E8" w:rsidP="004A13E8" w:rsidRDefault="004A13E8" w14:paraId="55FE183C" w14:textId="28C19527">
                      <w:pPr>
                        <w:pStyle w:val="Bullets"/>
                        <w:rPr>
                          <w:b/>
                        </w:rPr>
                      </w:pPr>
                      <w:r w:rsidRPr="001A58BE">
                        <w:rPr>
                          <w:b/>
                        </w:rPr>
                        <w:t>How data will be analyzed:</w:t>
                      </w:r>
                      <w:r w:rsidR="001A58BE">
                        <w:rPr>
                          <w:b/>
                        </w:rPr>
                        <w:t xml:space="preserve"> </w:t>
                      </w:r>
                      <w:r w:rsidR="006F03E0">
                        <w:t>D</w:t>
                      </w:r>
                      <w:r w:rsidR="009A53DD">
                        <w:t>escriptive analyses</w:t>
                      </w:r>
                      <w:r w:rsidR="006F03E0">
                        <w:t xml:space="preserve"> will be used to analyze the collected data.</w:t>
                      </w:r>
                    </w:p>
                    <w:p w:rsidR="004A13E8" w:rsidP="004A13E8" w:rsidRDefault="004A13E8" w14:paraId="55FE183D" w14:textId="77777777"/>
                  </w:txbxContent>
                </v:textbox>
                <w10:wrap type="tight" anchorx="margin" anchory="margin"/>
              </v:shape>
            </w:pict>
          </mc:Fallback>
        </mc:AlternateContent>
      </w:r>
    </w:p>
    <w:p w:rsidR="004A13E8" w:rsidP="004A13E8" w:rsidRDefault="004A13E8" w14:paraId="55FE17B3" w14:textId="77777777">
      <w:pPr>
        <w:pStyle w:val="Heading1"/>
      </w:pPr>
      <w:bookmarkStart w:name="_Toc473880017" w:id="2"/>
      <w:r w:rsidRPr="004A13E8">
        <w:t>Circumstances Making the Collection of Information Necessary</w:t>
      </w:r>
      <w:bookmarkEnd w:id="2"/>
    </w:p>
    <w:p w:rsidR="006316EE" w:rsidP="007F46E9" w:rsidRDefault="006316EE" w14:paraId="2EA2B643" w14:textId="23617AD4">
      <w:r>
        <w:t>This</w:t>
      </w:r>
      <w:r w:rsidR="003D7283">
        <w:t xml:space="preserve"> is a new</w:t>
      </w:r>
      <w:r>
        <w:t xml:space="preserve"> </w:t>
      </w:r>
      <w:r w:rsidRPr="003F60CF" w:rsidR="003D7283">
        <w:t>Information Collection Request (ICR</w:t>
      </w:r>
      <w:r w:rsidR="009D0E2A">
        <w:t>).</w:t>
      </w:r>
      <w:r w:rsidR="00C06FA7">
        <w:t xml:space="preserve"> </w:t>
      </w:r>
      <w:r w:rsidR="009D0E2A">
        <w:t>T</w:t>
      </w:r>
      <w:r w:rsidR="00C06FA7">
        <w:t xml:space="preserve">he request is </w:t>
      </w:r>
      <w:r w:rsidR="00030A7F">
        <w:t xml:space="preserve">to approve </w:t>
      </w:r>
      <w:r w:rsidR="00C06FA7">
        <w:t>3 years of information collection</w:t>
      </w:r>
      <w:r w:rsidR="00744266">
        <w:t xml:space="preserve"> from date of approval</w:t>
      </w:r>
      <w:r w:rsidR="00C06FA7">
        <w:t>.</w:t>
      </w:r>
    </w:p>
    <w:p w:rsidR="009A53DD" w:rsidP="007F46E9" w:rsidRDefault="009A53DD" w14:paraId="488C2BFE" w14:textId="0A85706D">
      <w:r w:rsidRPr="009A53DD">
        <w:t xml:space="preserve">The environmental mold </w:t>
      </w:r>
      <w:r w:rsidRPr="009A53DD">
        <w:rPr>
          <w:i/>
          <w:iCs/>
        </w:rPr>
        <w:t>Aspergillus fumigatus</w:t>
      </w:r>
      <w:r w:rsidRPr="009A53DD">
        <w:t xml:space="preserve"> is the primary cause of invasive aspergillosis and is associated with </w:t>
      </w:r>
      <w:r>
        <w:t>~</w:t>
      </w:r>
      <w:r w:rsidRPr="009A53DD">
        <w:t xml:space="preserve">50% mortality in high-risk patients, including stem cell and organ transplant recipients. The use of triazole antifungals has greatly improved survival; however, triazole-resistant </w:t>
      </w:r>
      <w:r w:rsidRPr="009F629A">
        <w:rPr>
          <w:i/>
          <w:iCs/>
        </w:rPr>
        <w:t>A. fumigatus</w:t>
      </w:r>
      <w:r w:rsidRPr="009A53DD">
        <w:t xml:space="preserve"> infections are increasingly reported worldwide and are associated with increased mortality and treatment failure. Of particular concern are resistant A. fumigatus isolates carrying the TR34/L98H and TR46/Y121F genetic resistance markers, which are associated with environmental triazole fungicide use rather than previous patient exposure to antifungals. Infections with these triazole-resistant strains have become common among patients with </w:t>
      </w:r>
      <w:r w:rsidRPr="009F629A">
        <w:rPr>
          <w:i/>
          <w:iCs/>
        </w:rPr>
        <w:t>A. fumigatus</w:t>
      </w:r>
      <w:r w:rsidRPr="009A53DD">
        <w:t xml:space="preserve"> infections in Europe, Asia and South America, and have been characterized epidemiologically.  However, US reports of isolates carrying TR34/L98H or TR46/Y121F markers are limited to date</w:t>
      </w:r>
      <w:r w:rsidR="00B669E6">
        <w:t xml:space="preserve"> and clinical data on affected U.S. patients are lacking</w:t>
      </w:r>
      <w:r w:rsidRPr="009A53DD">
        <w:t xml:space="preserve">. CDC is conducting testing for triazole-resistant </w:t>
      </w:r>
      <w:r w:rsidRPr="005D0DF6">
        <w:rPr>
          <w:i/>
          <w:iCs/>
        </w:rPr>
        <w:t>A. fumigatus</w:t>
      </w:r>
      <w:r w:rsidRPr="009A53DD">
        <w:t xml:space="preserve"> through the Antibiotic Resistance Laboratory Network (ARLN)</w:t>
      </w:r>
      <w:r>
        <w:t xml:space="preserve"> and through direct submission to CDC</w:t>
      </w:r>
      <w:r w:rsidR="00B669E6">
        <w:t xml:space="preserve"> laboratories</w:t>
      </w:r>
      <w:r w:rsidRPr="009A53DD">
        <w:t>.</w:t>
      </w:r>
    </w:p>
    <w:p w:rsidRPr="007F46E9" w:rsidR="007F46E9" w:rsidP="007F46E9" w:rsidRDefault="009A53DD" w14:paraId="55FE17B6" w14:textId="1C30EEAC">
      <w:r>
        <w:t xml:space="preserve">Authorizing legislation: </w:t>
      </w:r>
      <w:r w:rsidRPr="007F46E9" w:rsidR="007F46E9">
        <w:t xml:space="preserve">Section 301 of the Public Health Service Act (42 U.S.C. 241) (Attachment </w:t>
      </w:r>
      <w:r w:rsidR="007F46E9">
        <w:t>1</w:t>
      </w:r>
      <w:r w:rsidRPr="007F46E9" w:rsidR="007F46E9">
        <w:t>)</w:t>
      </w:r>
      <w:r w:rsidR="007F46E9">
        <w:t>.</w:t>
      </w:r>
    </w:p>
    <w:p w:rsidR="004A13E8" w:rsidP="004A13E8" w:rsidRDefault="004A13E8" w14:paraId="55FE17B7" w14:textId="739F117B">
      <w:pPr>
        <w:pStyle w:val="Heading1"/>
      </w:pPr>
      <w:bookmarkStart w:name="_Toc473880018" w:id="3"/>
      <w:r>
        <w:t>Purpose and Use of Information Collection</w:t>
      </w:r>
      <w:bookmarkEnd w:id="3"/>
    </w:p>
    <w:p w:rsidR="009A53DD" w:rsidP="009A53DD" w:rsidRDefault="009A53DD" w14:paraId="386EA33B" w14:textId="395B03AA">
      <w:r w:rsidRPr="009A53DD">
        <w:t xml:space="preserve">CDC is already receiving </w:t>
      </w:r>
      <w:r w:rsidRPr="00DA4C8A">
        <w:rPr>
          <w:i/>
          <w:iCs/>
        </w:rPr>
        <w:t>Aspergillus fumigatus</w:t>
      </w:r>
      <w:r w:rsidRPr="009A53DD">
        <w:t xml:space="preserve"> isolates from laboratories across the nation, primarily through ARLN and sometimes directly from submitters. These isolates undergo testing for triazole resistance (defined using minimum inhibitory concentrations or epidemiologic cutoff values set forth by Clinical and Laboratory Standards Institute). For patients involving triazole-resistant isolates, </w:t>
      </w:r>
      <w:r w:rsidR="00DA4C8A">
        <w:t>CDC</w:t>
      </w:r>
      <w:r w:rsidRPr="009A53DD">
        <w:t xml:space="preserve"> would use a standardized case report form (CRF) to characterize demographics (e.g., race/ethnicity, </w:t>
      </w:r>
      <w:r w:rsidRPr="009A53DD">
        <w:lastRenderedPageBreak/>
        <w:t>country of residence) underlying medical conditions, treatments, and outcomes (e.g., vital status at 30 days for initial positive specimen). The CRF would be filled out voluntarily by state and local health departments and contains an optional supplement at the end involving a brief interview (including data on occupational and environmental exposures) of a patient or their representative.</w:t>
      </w:r>
    </w:p>
    <w:p w:rsidRPr="003A7157" w:rsidR="003A7157" w:rsidP="009A53DD" w:rsidRDefault="003A7157" w14:paraId="0555F746" w14:textId="0CFB4C7F">
      <w:r>
        <w:t xml:space="preserve">Azole-resistant </w:t>
      </w:r>
      <w:r>
        <w:rPr>
          <w:i/>
          <w:iCs/>
        </w:rPr>
        <w:t xml:space="preserve">Aspergillus fumigatus </w:t>
      </w:r>
      <w:r>
        <w:t xml:space="preserve">is an urgent public health threat, and detailed clinical and demographic information about patients affected by this organism are needed to guide public health policies and clinical decision-making. Not having such information might permit the spread and impact of triazole-resistant </w:t>
      </w:r>
      <w:r w:rsidRPr="003A7157">
        <w:rPr>
          <w:i/>
          <w:iCs/>
        </w:rPr>
        <w:t>A. fumigatus</w:t>
      </w:r>
      <w:r>
        <w:t xml:space="preserve"> to go unnoticed</w:t>
      </w:r>
      <w:r w:rsidR="00B669E6">
        <w:t xml:space="preserve"> and unaddressed</w:t>
      </w:r>
      <w:r>
        <w:t>. We expect each jurisdiction might be asked to fill out a maximum of 2 forms per year; most jurisdictions would not have any forms to fill out. The form would take approximately 30 minutes to complete.</w:t>
      </w:r>
    </w:p>
    <w:p w:rsidR="004A13E8" w:rsidP="004A13E8" w:rsidRDefault="004A13E8" w14:paraId="55FE17B9" w14:textId="3618017C">
      <w:pPr>
        <w:pStyle w:val="Heading1"/>
      </w:pPr>
      <w:bookmarkStart w:name="_Toc473880019" w:id="4"/>
      <w:r>
        <w:t>Use of Improved Information Technology and Burden Reduction</w:t>
      </w:r>
      <w:bookmarkEnd w:id="4"/>
    </w:p>
    <w:p w:rsidRPr="003A7157" w:rsidR="003A7157" w:rsidP="003A7157" w:rsidRDefault="003A7157" w14:paraId="51FDCD02" w14:textId="0CD657E0">
      <w:r>
        <w:t>The collection of all information will occur using an electronic case report form that can be electronically submitted</w:t>
      </w:r>
      <w:r w:rsidR="00B41E24">
        <w:t xml:space="preserve"> to CDC</w:t>
      </w:r>
      <w:r>
        <w:t>. The electronic case report is designed to ask a</w:t>
      </w:r>
      <w:r w:rsidR="00DD04F6">
        <w:t>s</w:t>
      </w:r>
      <w:r>
        <w:t xml:space="preserve"> few questions as possible while providing </w:t>
      </w:r>
      <w:r w:rsidR="00DD04F6">
        <w:t xml:space="preserve">the necessary </w:t>
      </w:r>
      <w:r>
        <w:t>relevant</w:t>
      </w:r>
      <w:r w:rsidR="00DD04F6">
        <w:t xml:space="preserve"> clinical and demographic</w:t>
      </w:r>
      <w:r>
        <w:t xml:space="preserve"> information about involved patients. </w:t>
      </w:r>
      <w:r w:rsidR="00B669E6">
        <w:t>Data will be stored in a secure REDCap platform.</w:t>
      </w:r>
      <w:r w:rsidR="003A5254">
        <w:t xml:space="preserve"> Data sent to CDC will not contain personally identifiable information.</w:t>
      </w:r>
    </w:p>
    <w:p w:rsidR="004A13E8" w:rsidP="004A13E8" w:rsidRDefault="004A13E8" w14:paraId="55FE17BC" w14:textId="47589C99">
      <w:pPr>
        <w:pStyle w:val="Heading1"/>
      </w:pPr>
      <w:bookmarkStart w:name="_Toc473880020" w:id="5"/>
      <w:r>
        <w:t>Efforts to Identify Duplication and Use of Similar Information</w:t>
      </w:r>
      <w:bookmarkEnd w:id="5"/>
    </w:p>
    <w:p w:rsidRPr="003B2FB4" w:rsidR="003B2FB4" w:rsidP="003B2FB4" w:rsidRDefault="003B2FB4" w14:paraId="55FE17BE" w14:textId="6DB1E64A">
      <w:r>
        <w:t>CDC is not aware of the availability of any similar information</w:t>
      </w:r>
      <w:r w:rsidR="009D0E2A">
        <w:t>.</w:t>
      </w:r>
    </w:p>
    <w:p w:rsidR="00DC57CC" w:rsidP="004A13E8" w:rsidRDefault="004A13E8" w14:paraId="55FE17BF" w14:textId="77777777">
      <w:pPr>
        <w:pStyle w:val="Heading1"/>
      </w:pPr>
      <w:bookmarkStart w:name="_Toc473880021" w:id="6"/>
      <w:r>
        <w:t>Impact on Small Businesses or Other Small Entities</w:t>
      </w:r>
      <w:bookmarkEnd w:id="6"/>
    </w:p>
    <w:p w:rsidR="004A13E8" w:rsidP="004A13E8" w:rsidRDefault="004A13E8" w14:paraId="55FE17C0" w14:textId="77777777">
      <w:r>
        <w:t>This data collection wi</w:t>
      </w:r>
      <w:r w:rsidR="001523DF">
        <w:t>ll not involve small businesses.</w:t>
      </w:r>
    </w:p>
    <w:p w:rsidRPr="00B669E6" w:rsidR="00B669E6" w:rsidP="00B669E6" w:rsidRDefault="004A13E8" w14:paraId="72D53F4C" w14:textId="402D6571">
      <w:pPr>
        <w:pStyle w:val="Heading1"/>
      </w:pPr>
      <w:bookmarkStart w:name="_Toc473880022" w:id="7"/>
      <w:r>
        <w:t>Consequences of Collecting the Information Less Frequently</w:t>
      </w:r>
      <w:bookmarkEnd w:id="7"/>
    </w:p>
    <w:p w:rsidR="00B669E6" w:rsidP="003A7157" w:rsidRDefault="003A7157" w14:paraId="31357E9C" w14:textId="3B9C1318">
      <w:r>
        <w:t xml:space="preserve">Triazole-resistant </w:t>
      </w:r>
      <w:r w:rsidRPr="003A7157">
        <w:rPr>
          <w:i/>
          <w:iCs/>
        </w:rPr>
        <w:t>A. fumigatus</w:t>
      </w:r>
      <w:r>
        <w:t xml:space="preserve"> is an urgent public health threat to the United States. The data collection instruments are as short as possible while still collecting the critical information needed from public health officials</w:t>
      </w:r>
      <w:bookmarkStart w:name="_Toc473880023" w:id="8"/>
      <w:r w:rsidR="00B669E6">
        <w:t xml:space="preserve">. Not collecting this information or collecting it less frequently might permit the spread and impact of triazole-resistant </w:t>
      </w:r>
      <w:r w:rsidRPr="003A7157" w:rsidR="00B669E6">
        <w:rPr>
          <w:i/>
          <w:iCs/>
        </w:rPr>
        <w:t>A. fumigatus</w:t>
      </w:r>
      <w:r w:rsidR="00B669E6">
        <w:t xml:space="preserve"> to go unnoticed and unaddressed</w:t>
      </w:r>
    </w:p>
    <w:bookmarkEnd w:id="8"/>
    <w:p w:rsidR="00E54113" w:rsidP="00E54113" w:rsidRDefault="00E54113" w14:paraId="06AEC03E" w14:textId="77777777">
      <w:pPr>
        <w:pStyle w:val="Heading1"/>
      </w:pPr>
      <w:r w:rsidRPr="00E54113">
        <w:t>Special Circumstances Relating to the Guidelines of 5 CFR 1320.5</w:t>
      </w:r>
    </w:p>
    <w:p w:rsidRPr="00F8003E" w:rsidR="004A13E8" w:rsidP="00F8003E" w:rsidRDefault="004A13E8" w14:paraId="55FE17C7" w14:textId="4AA713C8">
      <w:pPr>
        <w:pStyle w:val="Heading1"/>
        <w:numPr>
          <w:ilvl w:val="0"/>
          <w:numId w:val="0"/>
        </w:numPr>
        <w:rPr>
          <w:b w:val="0"/>
          <w:bCs/>
        </w:rPr>
      </w:pPr>
      <w:r w:rsidRPr="00F8003E">
        <w:rPr>
          <w:b w:val="0"/>
          <w:bCs/>
        </w:rPr>
        <w:t>This request fully complies with the regulation 5 CFR 1320.5.</w:t>
      </w:r>
    </w:p>
    <w:p w:rsidR="004A13E8" w:rsidP="004A13E8" w:rsidRDefault="004A13E8" w14:paraId="55FE17C8" w14:textId="77777777">
      <w:pPr>
        <w:pStyle w:val="Heading1"/>
      </w:pPr>
      <w:bookmarkStart w:name="_Toc473880024" w:id="9"/>
      <w:r>
        <w:t>Comments in Response to the Federal Register Notice and Efforts to Consult Outside the Agency</w:t>
      </w:r>
      <w:bookmarkEnd w:id="9"/>
    </w:p>
    <w:p w:rsidR="004A13E8" w:rsidP="004A13E8" w:rsidRDefault="004A13E8" w14:paraId="55FE17C9" w14:textId="5FD851CD">
      <w:r>
        <w:t xml:space="preserve">A. A 60-day Federal Register Notice was published in the </w:t>
      </w:r>
      <w:r w:rsidRPr="004A13E8">
        <w:rPr>
          <w:i/>
        </w:rPr>
        <w:t>Federal Register</w:t>
      </w:r>
      <w:r>
        <w:rPr>
          <w:i/>
        </w:rPr>
        <w:t xml:space="preserve"> </w:t>
      </w:r>
      <w:r>
        <w:t xml:space="preserve">on </w:t>
      </w:r>
      <w:r w:rsidR="00B669E6">
        <w:t>December</w:t>
      </w:r>
      <w:r>
        <w:t xml:space="preserve"> </w:t>
      </w:r>
      <w:r w:rsidR="00B669E6">
        <w:t>21</w:t>
      </w:r>
      <w:r>
        <w:t xml:space="preserve">, </w:t>
      </w:r>
      <w:r w:rsidR="00B669E6">
        <w:t>2021</w:t>
      </w:r>
      <w:r>
        <w:t xml:space="preserve">, vol. </w:t>
      </w:r>
      <w:r w:rsidR="004D7CC6">
        <w:t>86</w:t>
      </w:r>
      <w:r>
        <w:t xml:space="preserve">, No. </w:t>
      </w:r>
      <w:r w:rsidR="004D7CC6">
        <w:t>242</w:t>
      </w:r>
      <w:r>
        <w:t xml:space="preserve">, pp. </w:t>
      </w:r>
      <w:r w:rsidR="004D7CC6">
        <w:t>72238-9</w:t>
      </w:r>
      <w:r>
        <w:t xml:space="preserve"> (Attachment 2). CDC </w:t>
      </w:r>
      <w:r w:rsidR="00D465A0">
        <w:t xml:space="preserve">did not receive public comments related to this notice. </w:t>
      </w:r>
    </w:p>
    <w:p w:rsidRPr="004A13E8" w:rsidR="004A13E8" w:rsidP="004A13E8" w:rsidRDefault="004A13E8" w14:paraId="55FE17CA" w14:textId="6AF09CCE">
      <w:r>
        <w:t>B. No consultations outside of CDC occurred.</w:t>
      </w:r>
    </w:p>
    <w:p w:rsidR="004A13E8" w:rsidP="004A13E8" w:rsidRDefault="004A13E8" w14:paraId="55FE17CB" w14:textId="77777777">
      <w:pPr>
        <w:pStyle w:val="Heading1"/>
      </w:pPr>
      <w:bookmarkStart w:name="_Toc473880025" w:id="10"/>
      <w:r>
        <w:t>Explanation of Any Payment or Gift to Respondents</w:t>
      </w:r>
      <w:bookmarkEnd w:id="10"/>
    </w:p>
    <w:p w:rsidR="00B669E6" w:rsidP="00B669E6" w:rsidRDefault="00B669E6" w14:paraId="26999A28" w14:textId="06B9B4E2">
      <w:pPr>
        <w:spacing w:line="240" w:lineRule="auto"/>
        <w:rPr>
          <w:rFonts w:cs="Times New Roman"/>
          <w:szCs w:val="24"/>
        </w:rPr>
      </w:pPr>
      <w:r>
        <w:lastRenderedPageBreak/>
        <w:t xml:space="preserve">CDC </w:t>
      </w:r>
      <w:r>
        <w:rPr>
          <w:rFonts w:cs="Times New Roman"/>
          <w:szCs w:val="24"/>
        </w:rPr>
        <w:t>will not provide remuneration or incentives to participants.</w:t>
      </w:r>
    </w:p>
    <w:p w:rsidRPr="004A13E8" w:rsidR="004A13E8" w:rsidP="004A13E8" w:rsidRDefault="004A13E8" w14:paraId="55FE17CC" w14:textId="6DBBBCE1"/>
    <w:p w:rsidR="004A13E8" w:rsidP="004A13E8" w:rsidRDefault="004A13E8" w14:paraId="55FE17CD" w14:textId="77777777">
      <w:pPr>
        <w:pStyle w:val="Heading1"/>
      </w:pPr>
      <w:bookmarkStart w:name="_Toc473880026" w:id="11"/>
      <w:r>
        <w:t>Protection of the Privacy and Confidentiality of Information Provided by Respondents</w:t>
      </w:r>
      <w:bookmarkEnd w:id="11"/>
    </w:p>
    <w:p w:rsidR="00457614" w:rsidP="00CD2AA4" w:rsidRDefault="00B669E6" w14:paraId="4231371F" w14:textId="2C2EE4C0">
      <w:r>
        <w:rPr>
          <w:rFonts w:eastAsia="Times New Roman" w:cs="Times New Roman"/>
          <w:szCs w:val="24"/>
        </w:rPr>
        <w:t xml:space="preserve">No PII is being collected. </w:t>
      </w:r>
      <w:r w:rsidRPr="00457614" w:rsidR="00457614">
        <w:t>CDC’s Information Systems Security Officer reviewed this submission and determined that the Privacy Act</w:t>
      </w:r>
      <w:r>
        <w:t xml:space="preserve"> </w:t>
      </w:r>
      <w:r w:rsidRPr="00457614" w:rsidR="00457614">
        <w:t>does not apply.</w:t>
      </w:r>
    </w:p>
    <w:p w:rsidR="004A13E8" w:rsidP="004A13E8" w:rsidRDefault="004A13E8" w14:paraId="55FE17D0" w14:textId="77777777">
      <w:pPr>
        <w:pStyle w:val="Heading1"/>
      </w:pPr>
      <w:bookmarkStart w:name="_Toc473880027" w:id="12"/>
      <w:r>
        <w:t>Institutional Review Board (IRB) and Justification for Sensitive Questions</w:t>
      </w:r>
      <w:bookmarkEnd w:id="12"/>
    </w:p>
    <w:p w:rsidR="004A13E8" w:rsidP="004A13E8" w:rsidRDefault="004A13E8" w14:paraId="55FE17D1" w14:textId="77777777">
      <w:pPr>
        <w:rPr>
          <w:u w:val="single"/>
        </w:rPr>
      </w:pPr>
      <w:r>
        <w:rPr>
          <w:u w:val="single"/>
        </w:rPr>
        <w:t>Institutional Review Board (IRB)</w:t>
      </w:r>
    </w:p>
    <w:p w:rsidRPr="00CC7BC8" w:rsidR="004A13E8" w:rsidP="004A13E8" w:rsidRDefault="004A13E8" w14:paraId="55FE17D2" w14:textId="150FD583">
      <w:pPr>
        <w:rPr>
          <w:szCs w:val="24"/>
        </w:rPr>
      </w:pPr>
      <w:r>
        <w:t xml:space="preserve">NCEZID’s Human Subjects Advisor has determined that information collection is not research involving </w:t>
      </w:r>
      <w:r w:rsidRPr="00CC7BC8">
        <w:rPr>
          <w:szCs w:val="24"/>
        </w:rPr>
        <w:t xml:space="preserve">human subjects.  IRB approval </w:t>
      </w:r>
      <w:r w:rsidRPr="00CC7BC8" w:rsidR="001E08A8">
        <w:rPr>
          <w:szCs w:val="24"/>
        </w:rPr>
        <w:t>is</w:t>
      </w:r>
      <w:r w:rsidRPr="00CC7BC8">
        <w:rPr>
          <w:szCs w:val="24"/>
        </w:rPr>
        <w:t xml:space="preserve"> not required.</w:t>
      </w:r>
    </w:p>
    <w:p w:rsidRPr="00CC7BC8" w:rsidR="00B669E6" w:rsidP="004A13E8" w:rsidRDefault="00CC7BC8" w14:paraId="196BA661" w14:textId="4DDD55B4">
      <w:pPr>
        <w:rPr>
          <w:rFonts w:cs="Times New Roman"/>
          <w:color w:val="222222"/>
          <w:szCs w:val="24"/>
          <w:shd w:val="clear" w:color="auto" w:fill="FFFFFF"/>
        </w:rPr>
      </w:pPr>
      <w:r w:rsidRPr="00CC7BC8">
        <w:rPr>
          <w:rFonts w:cs="Times New Roman"/>
          <w:color w:val="222222"/>
          <w:szCs w:val="24"/>
          <w:shd w:val="clear" w:color="auto" w:fill="FFFFFF"/>
        </w:rPr>
        <w:t xml:space="preserve">The project was determined to be </w:t>
      </w:r>
      <w:r w:rsidRPr="00CC7BC8" w:rsidR="00B669E6">
        <w:rPr>
          <w:rFonts w:cs="Times New Roman"/>
          <w:color w:val="222222"/>
          <w:szCs w:val="24"/>
          <w:shd w:val="clear" w:color="auto" w:fill="FFFFFF"/>
        </w:rPr>
        <w:t>non-research public health surveillance</w:t>
      </w:r>
    </w:p>
    <w:p w:rsidRPr="00CC7BC8" w:rsidR="00B669E6" w:rsidP="004A13E8" w:rsidRDefault="00B669E6" w14:paraId="48CEB73B" w14:textId="77777777">
      <w:pPr>
        <w:rPr>
          <w:rFonts w:ascii="Verdana" w:hAnsi="Verdana"/>
          <w:color w:val="222222"/>
          <w:szCs w:val="24"/>
          <w:shd w:val="clear" w:color="auto" w:fill="FFFFFF"/>
        </w:rPr>
      </w:pPr>
    </w:p>
    <w:p w:rsidRPr="00CC7BC8" w:rsidR="004A13E8" w:rsidP="004A13E8" w:rsidRDefault="004A13E8" w14:paraId="55FE17D4" w14:textId="51DA8FE2">
      <w:pPr>
        <w:rPr>
          <w:szCs w:val="24"/>
        </w:rPr>
      </w:pPr>
      <w:r w:rsidRPr="00CC7BC8">
        <w:rPr>
          <w:szCs w:val="24"/>
          <w:u w:val="single"/>
        </w:rPr>
        <w:t>Justification for Sensitive Questions</w:t>
      </w:r>
    </w:p>
    <w:p w:rsidRPr="0005699B" w:rsidR="0005699B" w:rsidP="004A13E8" w:rsidRDefault="00CC7BC8" w14:paraId="55FE17D6" w14:textId="20B273D7">
      <w:r>
        <w:t>No sensitive questions are asked.</w:t>
      </w:r>
    </w:p>
    <w:p w:rsidR="004A13E8" w:rsidP="004A13E8" w:rsidRDefault="004A13E8" w14:paraId="55FE17D7" w14:textId="77777777">
      <w:pPr>
        <w:pStyle w:val="Heading1"/>
      </w:pPr>
      <w:bookmarkStart w:name="_Toc473880028" w:id="13"/>
      <w:r>
        <w:t>Estimates of Annualized Burden Hours and Costs</w:t>
      </w:r>
      <w:bookmarkEnd w:id="13"/>
    </w:p>
    <w:p w:rsidR="00C553B7" w:rsidP="009B0947" w:rsidRDefault="009B0947" w14:paraId="093B700D" w14:textId="11FDF0BD">
      <w:r>
        <w:t xml:space="preserve">A. </w:t>
      </w:r>
      <w:r w:rsidR="00C553B7">
        <w:t>Estimated Annualized Burden Hours</w:t>
      </w:r>
    </w:p>
    <w:p w:rsidR="009F7E98" w:rsidP="009B0947" w:rsidRDefault="009F7E98" w14:paraId="56094139" w14:textId="3C181B3F"/>
    <w:p w:rsidR="009F7E98" w:rsidP="009B0947" w:rsidRDefault="009F7E98" w14:paraId="03DA1D2D" w14:textId="4B02D46B">
      <w:r>
        <w:t>The respondents include state and local public health officials. The anticipated yearly number of respondents is approximately 15, with each respondent filling out the form once per year. The estimated average burden of the response is about 0.5 hours. This estimate was derived from the amount of time it took partners to fill out a similar pilot for</w:t>
      </w:r>
      <w:r w:rsidR="00406614">
        <w:t>m in the past</w:t>
      </w:r>
      <w:r>
        <w:t>.</w:t>
      </w:r>
    </w:p>
    <w:p w:rsidR="004A13E8" w:rsidP="004A13E8" w:rsidRDefault="004A13E8" w14:paraId="55FE17D9" w14:textId="260D1D70"/>
    <w:tbl>
      <w:tblPr>
        <w:tblStyle w:val="TableGrid"/>
        <w:tblW w:w="0" w:type="auto"/>
        <w:tblLook w:val="04A0" w:firstRow="1" w:lastRow="0" w:firstColumn="1" w:lastColumn="0" w:noHBand="0" w:noVBand="1"/>
      </w:tblPr>
      <w:tblGrid>
        <w:gridCol w:w="1678"/>
        <w:gridCol w:w="1678"/>
        <w:gridCol w:w="1678"/>
        <w:gridCol w:w="1678"/>
        <w:gridCol w:w="1679"/>
        <w:gridCol w:w="1679"/>
      </w:tblGrid>
      <w:tr w:rsidR="004A13E8" w:rsidTr="00612C0A" w14:paraId="55FE17E0" w14:textId="77777777">
        <w:tc>
          <w:tcPr>
            <w:tcW w:w="1678" w:type="dxa"/>
          </w:tcPr>
          <w:p w:rsidR="004A13E8" w:rsidP="00612C0A" w:rsidRDefault="004A13E8" w14:paraId="55FE17DA" w14:textId="77777777">
            <w:r>
              <w:t>Type of Respondent</w:t>
            </w:r>
          </w:p>
        </w:tc>
        <w:tc>
          <w:tcPr>
            <w:tcW w:w="1678" w:type="dxa"/>
          </w:tcPr>
          <w:p w:rsidR="004A13E8" w:rsidP="00612C0A" w:rsidRDefault="004A13E8" w14:paraId="55FE17DB" w14:textId="77777777">
            <w:r>
              <w:t>Form Name</w:t>
            </w:r>
          </w:p>
        </w:tc>
        <w:tc>
          <w:tcPr>
            <w:tcW w:w="1678" w:type="dxa"/>
          </w:tcPr>
          <w:p w:rsidR="004A13E8" w:rsidP="00612C0A" w:rsidRDefault="004A13E8" w14:paraId="55FE17DC" w14:textId="77777777">
            <w:r>
              <w:t>No. of Respondents</w:t>
            </w:r>
          </w:p>
        </w:tc>
        <w:tc>
          <w:tcPr>
            <w:tcW w:w="1678" w:type="dxa"/>
          </w:tcPr>
          <w:p w:rsidR="004A13E8" w:rsidP="00612C0A" w:rsidRDefault="004A13E8" w14:paraId="55FE17DD" w14:textId="77777777">
            <w:r>
              <w:t>No. Responses per Respondent</w:t>
            </w:r>
          </w:p>
        </w:tc>
        <w:tc>
          <w:tcPr>
            <w:tcW w:w="1679" w:type="dxa"/>
          </w:tcPr>
          <w:p w:rsidR="004A13E8" w:rsidP="00612C0A" w:rsidRDefault="004A13E8" w14:paraId="55FE17DE" w14:textId="77777777">
            <w:r>
              <w:t>Avg. Burden per response (in hrs.)</w:t>
            </w:r>
          </w:p>
        </w:tc>
        <w:tc>
          <w:tcPr>
            <w:tcW w:w="1679" w:type="dxa"/>
          </w:tcPr>
          <w:p w:rsidR="004A13E8" w:rsidP="00612C0A" w:rsidRDefault="004A13E8" w14:paraId="55FE17DF" w14:textId="77777777">
            <w:r>
              <w:t>Total Burden (in hrs.)</w:t>
            </w:r>
          </w:p>
        </w:tc>
      </w:tr>
      <w:tr w:rsidR="004A13E8" w:rsidTr="00612C0A" w14:paraId="55FE17E7" w14:textId="77777777">
        <w:tc>
          <w:tcPr>
            <w:tcW w:w="1678" w:type="dxa"/>
          </w:tcPr>
          <w:p w:rsidRPr="003002E1" w:rsidR="00CC7BC8" w:rsidP="00CC7BC8" w:rsidRDefault="00CC7BC8" w14:paraId="33701135" w14:textId="77777777">
            <w:pPr>
              <w:widowControl w:val="0"/>
              <w:tabs>
                <w:tab w:val="left" w:pos="0"/>
              </w:tabs>
              <w:rPr>
                <w:rFonts w:cs="Times New Roman"/>
                <w:color w:val="000000"/>
                <w:szCs w:val="24"/>
              </w:rPr>
            </w:pPr>
            <w:r w:rsidRPr="003002E1">
              <w:rPr>
                <w:rFonts w:cs="Times New Roman"/>
                <w:color w:val="000000"/>
                <w:szCs w:val="24"/>
              </w:rPr>
              <w:t>Public health officials, clinicians</w:t>
            </w:r>
          </w:p>
          <w:p w:rsidRPr="003002E1" w:rsidR="004A13E8" w:rsidP="00612C0A" w:rsidRDefault="004A13E8" w14:paraId="55FE17E1" w14:textId="77777777">
            <w:pPr>
              <w:rPr>
                <w:rFonts w:cs="Times New Roman"/>
              </w:rPr>
            </w:pPr>
          </w:p>
        </w:tc>
        <w:tc>
          <w:tcPr>
            <w:tcW w:w="1678" w:type="dxa"/>
          </w:tcPr>
          <w:p w:rsidRPr="003002E1" w:rsidR="00CC7BC8" w:rsidP="00CC7BC8" w:rsidRDefault="00CC7BC8" w14:paraId="2BF3D24B" w14:textId="77777777">
            <w:pPr>
              <w:widowControl w:val="0"/>
              <w:tabs>
                <w:tab w:val="left" w:pos="0"/>
              </w:tabs>
              <w:rPr>
                <w:rFonts w:cs="Times New Roman"/>
                <w:color w:val="000000"/>
                <w:szCs w:val="24"/>
              </w:rPr>
            </w:pPr>
            <w:r w:rsidRPr="003002E1">
              <w:rPr>
                <w:rFonts w:cs="Times New Roman"/>
                <w:color w:val="000000"/>
                <w:szCs w:val="24"/>
              </w:rPr>
              <w:t xml:space="preserve">Triazole-resistant </w:t>
            </w:r>
            <w:r w:rsidRPr="003002E1">
              <w:rPr>
                <w:rFonts w:cs="Times New Roman"/>
                <w:i/>
                <w:iCs/>
                <w:color w:val="000000"/>
                <w:szCs w:val="24"/>
              </w:rPr>
              <w:t>Aspergillus fumigatus</w:t>
            </w:r>
          </w:p>
          <w:p w:rsidRPr="003002E1" w:rsidR="004A13E8" w:rsidP="00CC7BC8" w:rsidRDefault="00CC7BC8" w14:paraId="55FE17E2" w14:textId="43D7436A">
            <w:pPr>
              <w:rPr>
                <w:rFonts w:cs="Times New Roman"/>
              </w:rPr>
            </w:pPr>
            <w:r w:rsidRPr="003002E1">
              <w:rPr>
                <w:rFonts w:cs="Times New Roman"/>
                <w:color w:val="000000"/>
                <w:szCs w:val="24"/>
              </w:rPr>
              <w:t>Case Report Form</w:t>
            </w:r>
          </w:p>
        </w:tc>
        <w:tc>
          <w:tcPr>
            <w:tcW w:w="1678" w:type="dxa"/>
          </w:tcPr>
          <w:p w:rsidR="004A13E8" w:rsidP="00612C0A" w:rsidRDefault="00CC7BC8" w14:paraId="55FE17E3" w14:textId="70EA8E5A">
            <w:r>
              <w:t>15</w:t>
            </w:r>
          </w:p>
        </w:tc>
        <w:tc>
          <w:tcPr>
            <w:tcW w:w="1678" w:type="dxa"/>
          </w:tcPr>
          <w:p w:rsidR="004A13E8" w:rsidP="00612C0A" w:rsidRDefault="003002E1" w14:paraId="55FE17E4" w14:textId="70640F8B">
            <w:r>
              <w:t>1</w:t>
            </w:r>
          </w:p>
        </w:tc>
        <w:tc>
          <w:tcPr>
            <w:tcW w:w="1679" w:type="dxa"/>
          </w:tcPr>
          <w:p w:rsidR="004A13E8" w:rsidP="00612C0A" w:rsidRDefault="00CC7BC8" w14:paraId="55FE17E5" w14:textId="3852407C">
            <w:r>
              <w:t>.5</w:t>
            </w:r>
          </w:p>
        </w:tc>
        <w:tc>
          <w:tcPr>
            <w:tcW w:w="1679" w:type="dxa"/>
          </w:tcPr>
          <w:p w:rsidR="004A13E8" w:rsidP="00612C0A" w:rsidRDefault="00174AFE" w14:paraId="55FE17E6" w14:textId="2583B078">
            <w:r>
              <w:t>8</w:t>
            </w:r>
          </w:p>
        </w:tc>
      </w:tr>
      <w:tr w:rsidR="004A13E8" w:rsidTr="00612C0A" w14:paraId="55FE17EB" w14:textId="77777777">
        <w:tc>
          <w:tcPr>
            <w:tcW w:w="1678" w:type="dxa"/>
          </w:tcPr>
          <w:p w:rsidRPr="00131328" w:rsidR="004A13E8" w:rsidP="00612C0A" w:rsidRDefault="004A13E8" w14:paraId="55FE17E8" w14:textId="77777777">
            <w:pPr>
              <w:rPr>
                <w:b/>
              </w:rPr>
            </w:pPr>
            <w:r>
              <w:rPr>
                <w:b/>
              </w:rPr>
              <w:t>Total</w:t>
            </w:r>
          </w:p>
        </w:tc>
        <w:tc>
          <w:tcPr>
            <w:tcW w:w="6713" w:type="dxa"/>
            <w:gridSpan w:val="4"/>
          </w:tcPr>
          <w:p w:rsidR="004A13E8" w:rsidP="00612C0A" w:rsidRDefault="004A13E8" w14:paraId="55FE17E9" w14:textId="77777777"/>
        </w:tc>
        <w:tc>
          <w:tcPr>
            <w:tcW w:w="1679" w:type="dxa"/>
          </w:tcPr>
          <w:p w:rsidR="004A13E8" w:rsidP="00612C0A" w:rsidRDefault="00174AFE" w14:paraId="55FE17EA" w14:textId="4815A104">
            <w:r>
              <w:t>8</w:t>
            </w:r>
          </w:p>
        </w:tc>
      </w:tr>
    </w:tbl>
    <w:p w:rsidR="00C553B7" w:rsidP="004A13E8" w:rsidRDefault="004A13E8" w14:paraId="505C920E" w14:textId="5C37D43F">
      <w:pPr>
        <w:spacing w:before="240"/>
      </w:pPr>
      <w:r>
        <w:t>B.</w:t>
      </w:r>
      <w:r w:rsidR="00C553B7">
        <w:t xml:space="preserve"> Estimated Annualized Burden Costs</w:t>
      </w:r>
      <w:r w:rsidR="009B0947">
        <w:t xml:space="preserve"> </w:t>
      </w:r>
    </w:p>
    <w:p w:rsidR="009F7E98" w:rsidP="004A13E8" w:rsidRDefault="009F7E98" w14:paraId="64D6680D" w14:textId="10629B89">
      <w:pPr>
        <w:spacing w:before="240"/>
      </w:pPr>
    </w:p>
    <w:p w:rsidR="009F7E98" w:rsidP="009F7E98" w:rsidRDefault="009F7E98" w14:paraId="31F57DF5" w14:textId="5009C51D">
      <w:pPr>
        <w:spacing w:before="240"/>
      </w:pPr>
      <w:r>
        <w:t>The estimate</w:t>
      </w:r>
      <w:r w:rsidR="00406614">
        <w:t>d</w:t>
      </w:r>
      <w:r>
        <w:t xml:space="preserve"> cost to respondents for this form was based on the U.S. May 2021 National Occupational Employment and Wage Estimates, found on the </w:t>
      </w:r>
      <w:hyperlink w:history="1" r:id="rId13">
        <w:r w:rsidRPr="009B0947">
          <w:rPr>
            <w:rStyle w:val="Hyperlink"/>
          </w:rPr>
          <w:t>Department of Labor website</w:t>
        </w:r>
      </w:hyperlink>
      <w:r>
        <w:rPr>
          <w:rStyle w:val="Hyperlink"/>
        </w:rPr>
        <w:t>.</w:t>
      </w:r>
      <w:r>
        <w:t xml:space="preserve"> The average hourly wage was </w:t>
      </w:r>
      <w:r w:rsidR="00406614">
        <w:t>multiplied</w:t>
      </w:r>
      <w:r>
        <w:t xml:space="preserve"> by the estimate total burden of hours, yielding an estimated total respondent cost of $625.50.</w:t>
      </w:r>
    </w:p>
    <w:p w:rsidR="004A13E8" w:rsidP="004A13E8" w:rsidRDefault="004A13E8" w14:paraId="55FE17EC" w14:textId="602F1173">
      <w:pPr>
        <w:spacing w:before="240"/>
      </w:pPr>
    </w:p>
    <w:tbl>
      <w:tblPr>
        <w:tblStyle w:val="TableGrid"/>
        <w:tblW w:w="10075" w:type="dxa"/>
        <w:tblLook w:val="04A0" w:firstRow="1" w:lastRow="0" w:firstColumn="1" w:lastColumn="0" w:noHBand="0" w:noVBand="1"/>
      </w:tblPr>
      <w:tblGrid>
        <w:gridCol w:w="2015"/>
        <w:gridCol w:w="2015"/>
        <w:gridCol w:w="2015"/>
        <w:gridCol w:w="2015"/>
        <w:gridCol w:w="2015"/>
      </w:tblGrid>
      <w:tr w:rsidR="004A13E8" w:rsidTr="00612C0A" w14:paraId="55FE17F2" w14:textId="77777777">
        <w:tc>
          <w:tcPr>
            <w:tcW w:w="2015" w:type="dxa"/>
          </w:tcPr>
          <w:p w:rsidR="004A13E8" w:rsidP="00612C0A" w:rsidRDefault="004A13E8" w14:paraId="55FE17ED" w14:textId="77777777">
            <w:r>
              <w:t>Type of Respondent</w:t>
            </w:r>
          </w:p>
        </w:tc>
        <w:tc>
          <w:tcPr>
            <w:tcW w:w="2015" w:type="dxa"/>
          </w:tcPr>
          <w:p w:rsidR="004A13E8" w:rsidP="00612C0A" w:rsidRDefault="004A13E8" w14:paraId="55FE17EE" w14:textId="77777777">
            <w:r>
              <w:t>Form Name</w:t>
            </w:r>
          </w:p>
        </w:tc>
        <w:tc>
          <w:tcPr>
            <w:tcW w:w="2015" w:type="dxa"/>
          </w:tcPr>
          <w:p w:rsidR="004A13E8" w:rsidP="00612C0A" w:rsidRDefault="004A13E8" w14:paraId="55FE17EF" w14:textId="77777777">
            <w:r>
              <w:t>Total Burden Hours</w:t>
            </w:r>
          </w:p>
        </w:tc>
        <w:tc>
          <w:tcPr>
            <w:tcW w:w="2015" w:type="dxa"/>
          </w:tcPr>
          <w:p w:rsidR="004A13E8" w:rsidP="00612C0A" w:rsidRDefault="004A13E8" w14:paraId="55FE17F0" w14:textId="77777777">
            <w:r>
              <w:t>Hourly Wage Rate</w:t>
            </w:r>
          </w:p>
        </w:tc>
        <w:tc>
          <w:tcPr>
            <w:tcW w:w="2015" w:type="dxa"/>
          </w:tcPr>
          <w:p w:rsidR="004A13E8" w:rsidP="00612C0A" w:rsidRDefault="004A13E8" w14:paraId="55FE17F1" w14:textId="77777777">
            <w:r>
              <w:t>Total Respondent Costs</w:t>
            </w:r>
          </w:p>
        </w:tc>
      </w:tr>
      <w:tr w:rsidR="00CC7BC8" w:rsidTr="00612C0A" w14:paraId="55FE17F8" w14:textId="77777777">
        <w:tc>
          <w:tcPr>
            <w:tcW w:w="2015" w:type="dxa"/>
          </w:tcPr>
          <w:p w:rsidRPr="00CC7BC8" w:rsidR="00CC7BC8" w:rsidP="00CC7BC8" w:rsidRDefault="00CC7BC8" w14:paraId="07CB0470" w14:textId="77777777">
            <w:pPr>
              <w:widowControl w:val="0"/>
              <w:tabs>
                <w:tab w:val="left" w:pos="0"/>
              </w:tabs>
              <w:rPr>
                <w:rFonts w:cs="Times New Roman"/>
                <w:color w:val="000000"/>
                <w:szCs w:val="24"/>
              </w:rPr>
            </w:pPr>
            <w:r w:rsidRPr="00CC7BC8">
              <w:rPr>
                <w:rFonts w:cs="Times New Roman"/>
                <w:color w:val="000000"/>
                <w:szCs w:val="24"/>
              </w:rPr>
              <w:t>Public health officials, clinicians</w:t>
            </w:r>
          </w:p>
          <w:p w:rsidRPr="00CC7BC8" w:rsidR="00CC7BC8" w:rsidP="00CC7BC8" w:rsidRDefault="00CC7BC8" w14:paraId="55FE17F3" w14:textId="77777777">
            <w:pPr>
              <w:rPr>
                <w:rFonts w:cs="Times New Roman"/>
              </w:rPr>
            </w:pPr>
          </w:p>
        </w:tc>
        <w:tc>
          <w:tcPr>
            <w:tcW w:w="2015" w:type="dxa"/>
          </w:tcPr>
          <w:p w:rsidRPr="00CC7BC8" w:rsidR="00CC7BC8" w:rsidP="00CC7BC8" w:rsidRDefault="00CC7BC8" w14:paraId="1275DFE8" w14:textId="77777777">
            <w:pPr>
              <w:widowControl w:val="0"/>
              <w:tabs>
                <w:tab w:val="left" w:pos="0"/>
              </w:tabs>
              <w:rPr>
                <w:rFonts w:cs="Times New Roman"/>
                <w:color w:val="000000"/>
                <w:szCs w:val="24"/>
              </w:rPr>
            </w:pPr>
            <w:r w:rsidRPr="00CC7BC8">
              <w:rPr>
                <w:rFonts w:cs="Times New Roman"/>
                <w:color w:val="000000"/>
                <w:szCs w:val="24"/>
              </w:rPr>
              <w:t xml:space="preserve">Triazole-resistant </w:t>
            </w:r>
            <w:r w:rsidRPr="00CC7BC8">
              <w:rPr>
                <w:rFonts w:cs="Times New Roman"/>
                <w:i/>
                <w:iCs/>
                <w:color w:val="000000"/>
                <w:szCs w:val="24"/>
              </w:rPr>
              <w:t>Aspergillus fumigatus</w:t>
            </w:r>
          </w:p>
          <w:p w:rsidRPr="00CC7BC8" w:rsidR="00CC7BC8" w:rsidP="00CC7BC8" w:rsidRDefault="00CC7BC8" w14:paraId="55FE17F4" w14:textId="4F1B88FE">
            <w:pPr>
              <w:rPr>
                <w:rFonts w:cs="Times New Roman"/>
              </w:rPr>
            </w:pPr>
            <w:r w:rsidRPr="00CC7BC8">
              <w:rPr>
                <w:rFonts w:cs="Times New Roman"/>
                <w:color w:val="000000"/>
                <w:szCs w:val="24"/>
              </w:rPr>
              <w:t>Case Report Form</w:t>
            </w:r>
          </w:p>
        </w:tc>
        <w:tc>
          <w:tcPr>
            <w:tcW w:w="2015" w:type="dxa"/>
          </w:tcPr>
          <w:p w:rsidRPr="00CC7BC8" w:rsidR="00CC7BC8" w:rsidP="00CC7BC8" w:rsidRDefault="00CC7BC8" w14:paraId="55FE17F5" w14:textId="18CA4D23">
            <w:pPr>
              <w:rPr>
                <w:rFonts w:cs="Times New Roman"/>
              </w:rPr>
            </w:pPr>
            <w:r w:rsidRPr="00CC7BC8">
              <w:rPr>
                <w:rFonts w:cs="Times New Roman"/>
              </w:rPr>
              <w:t>15</w:t>
            </w:r>
          </w:p>
        </w:tc>
        <w:tc>
          <w:tcPr>
            <w:tcW w:w="2015" w:type="dxa"/>
          </w:tcPr>
          <w:p w:rsidRPr="00CC7BC8" w:rsidR="00CC7BC8" w:rsidP="00CC7BC8" w:rsidRDefault="00CC7BC8" w14:paraId="55FE17F6" w14:textId="17497D45">
            <w:pPr>
              <w:rPr>
                <w:rFonts w:cs="Times New Roman"/>
              </w:rPr>
            </w:pPr>
            <w:r w:rsidRPr="00CC7BC8">
              <w:rPr>
                <w:rFonts w:cs="Times New Roman"/>
              </w:rPr>
              <w:t>$41.70 (reference: occupation code 19-1041 from the department of labor website)</w:t>
            </w:r>
          </w:p>
        </w:tc>
        <w:tc>
          <w:tcPr>
            <w:tcW w:w="2015" w:type="dxa"/>
          </w:tcPr>
          <w:p w:rsidR="00CC7BC8" w:rsidP="00CC7BC8" w:rsidRDefault="00CC7BC8" w14:paraId="55FE17F7" w14:textId="4DDB0AC5">
            <w:r>
              <w:t>$</w:t>
            </w:r>
            <w:r w:rsidRPr="00CC7BC8">
              <w:t>625.5</w:t>
            </w:r>
            <w:r>
              <w:t>0</w:t>
            </w:r>
          </w:p>
        </w:tc>
      </w:tr>
      <w:tr w:rsidR="00CC7BC8" w:rsidTr="00612C0A" w14:paraId="55FE17FC" w14:textId="77777777">
        <w:tc>
          <w:tcPr>
            <w:tcW w:w="2015" w:type="dxa"/>
          </w:tcPr>
          <w:p w:rsidRPr="00DC08D0" w:rsidR="00CC7BC8" w:rsidP="00CC7BC8" w:rsidRDefault="00CC7BC8" w14:paraId="55FE17F9" w14:textId="77777777">
            <w:pPr>
              <w:rPr>
                <w:b/>
              </w:rPr>
            </w:pPr>
            <w:r>
              <w:rPr>
                <w:b/>
              </w:rPr>
              <w:t>Total</w:t>
            </w:r>
          </w:p>
        </w:tc>
        <w:tc>
          <w:tcPr>
            <w:tcW w:w="6045" w:type="dxa"/>
            <w:gridSpan w:val="3"/>
          </w:tcPr>
          <w:p w:rsidR="00CC7BC8" w:rsidP="00CC7BC8" w:rsidRDefault="00CC7BC8" w14:paraId="55FE17FA" w14:textId="77777777"/>
        </w:tc>
        <w:tc>
          <w:tcPr>
            <w:tcW w:w="2015" w:type="dxa"/>
          </w:tcPr>
          <w:p w:rsidR="00CC7BC8" w:rsidP="00CC7BC8" w:rsidRDefault="00CC7BC8" w14:paraId="55FE17FB" w14:textId="77777777"/>
        </w:tc>
      </w:tr>
    </w:tbl>
    <w:p w:rsidR="004A13E8" w:rsidP="0025156B" w:rsidRDefault="004A13E8" w14:paraId="55FE17FE" w14:textId="77777777">
      <w:pPr>
        <w:pStyle w:val="Heading1"/>
        <w:spacing w:before="240"/>
      </w:pPr>
      <w:bookmarkStart w:name="_Toc473880029" w:id="14"/>
      <w:r>
        <w:t>Estimates of Other Total Annual Cost Burden to Respondents or Record Keepers</w:t>
      </w:r>
      <w:bookmarkEnd w:id="14"/>
    </w:p>
    <w:p w:rsidRPr="004A13E8" w:rsidR="004A13E8" w:rsidP="004A13E8" w:rsidRDefault="004A13E8" w14:paraId="55FE1800" w14:textId="4E3EBCEC">
      <w:r>
        <w:t>There are no costs to respondents other than their time to participate</w:t>
      </w:r>
      <w:r w:rsidR="00CC7BC8">
        <w:t>.</w:t>
      </w:r>
    </w:p>
    <w:p w:rsidR="004A13E8" w:rsidP="004A13E8" w:rsidRDefault="004A13E8" w14:paraId="55FE1801" w14:textId="77777777">
      <w:pPr>
        <w:pStyle w:val="Heading1"/>
      </w:pPr>
      <w:bookmarkStart w:name="_Toc473880030" w:id="15"/>
      <w:r>
        <w:t>Annualized Cost to the Government</w:t>
      </w:r>
      <w:bookmarkEnd w:id="15"/>
    </w:p>
    <w:p w:rsidR="00FE0398" w:rsidP="00FE0398" w:rsidRDefault="00CC7BC8" w14:paraId="55FE1803" w14:textId="2FB4040F">
      <w:r>
        <w:rPr>
          <w:rFonts w:cs="Times New Roman"/>
          <w:szCs w:val="24"/>
        </w:rPr>
        <w:t>The estimated cost for the federal government is calculated to be approximately 5% of the workload of one GS-13 federal government employee salary at the Atlanta, GA locality</w:t>
      </w:r>
    </w:p>
    <w:tbl>
      <w:tblPr>
        <w:tblStyle w:val="TableGrid"/>
        <w:tblW w:w="0" w:type="auto"/>
        <w:tblLook w:val="04A0" w:firstRow="1" w:lastRow="0" w:firstColumn="1" w:lastColumn="0" w:noHBand="0" w:noVBand="1"/>
      </w:tblPr>
      <w:tblGrid>
        <w:gridCol w:w="3052"/>
        <w:gridCol w:w="2562"/>
        <w:gridCol w:w="4456"/>
      </w:tblGrid>
      <w:tr w:rsidR="00CC7BC8" w:rsidTr="00CC7BC8" w14:paraId="55FE180E" w14:textId="7B236996">
        <w:tc>
          <w:tcPr>
            <w:tcW w:w="3052" w:type="dxa"/>
            <w:vAlign w:val="center"/>
          </w:tcPr>
          <w:p w:rsidR="00CC7BC8" w:rsidP="00CC7BC8" w:rsidRDefault="00CC7BC8" w14:paraId="55FE180C" w14:textId="6121ACD3">
            <w:r>
              <w:rPr>
                <w:rFonts w:cs="Times New Roman"/>
                <w:b/>
                <w:szCs w:val="24"/>
              </w:rPr>
              <w:t xml:space="preserve">Contract and Personnel </w:t>
            </w:r>
          </w:p>
        </w:tc>
        <w:tc>
          <w:tcPr>
            <w:tcW w:w="2562" w:type="dxa"/>
            <w:vAlign w:val="center"/>
          </w:tcPr>
          <w:p w:rsidR="00CC7BC8" w:rsidP="00CC7BC8" w:rsidRDefault="00CC7BC8" w14:paraId="55FE180D" w14:textId="63EFF4DD">
            <w:r>
              <w:rPr>
                <w:rFonts w:cs="Times New Roman"/>
                <w:b/>
                <w:szCs w:val="24"/>
              </w:rPr>
              <w:t>Role</w:t>
            </w:r>
          </w:p>
        </w:tc>
        <w:tc>
          <w:tcPr>
            <w:tcW w:w="4456" w:type="dxa"/>
          </w:tcPr>
          <w:p w:rsidR="00CC7BC8" w:rsidP="00CC7BC8" w:rsidRDefault="00CC7BC8" w14:paraId="1896A8FD" w14:textId="029A12D4">
            <w:pPr>
              <w:rPr>
                <w:rFonts w:cs="Times New Roman"/>
                <w:b/>
                <w:szCs w:val="24"/>
              </w:rPr>
            </w:pPr>
            <w:r>
              <w:rPr>
                <w:rFonts w:cs="Times New Roman"/>
                <w:b/>
                <w:szCs w:val="24"/>
              </w:rPr>
              <w:t>Average Cost</w:t>
            </w:r>
          </w:p>
        </w:tc>
      </w:tr>
      <w:tr w:rsidR="00CC7BC8" w:rsidTr="00CC7BC8" w14:paraId="0F3FC15C" w14:textId="66DDB15F">
        <w:tc>
          <w:tcPr>
            <w:tcW w:w="3052" w:type="dxa"/>
          </w:tcPr>
          <w:p w:rsidR="00CC7BC8" w:rsidP="00CC7BC8" w:rsidRDefault="00CC7BC8" w14:paraId="2F514904" w14:textId="0813F340">
            <w:pPr>
              <w:rPr>
                <w:rFonts w:cs="Times New Roman"/>
                <w:b/>
                <w:szCs w:val="24"/>
              </w:rPr>
            </w:pPr>
            <w:r>
              <w:rPr>
                <w:rFonts w:cs="Times New Roman"/>
              </w:rPr>
              <w:t>Federal employee costs, per information collection, (e.g. 30% FTE of one GS-13 at $97,078/year)</w:t>
            </w:r>
          </w:p>
        </w:tc>
        <w:tc>
          <w:tcPr>
            <w:tcW w:w="2562" w:type="dxa"/>
          </w:tcPr>
          <w:p w:rsidR="00CC7BC8" w:rsidP="00CC7BC8" w:rsidRDefault="00CC7BC8" w14:paraId="5C6AFB83" w14:textId="00679A6C">
            <w:pPr>
              <w:rPr>
                <w:rFonts w:cs="Times New Roman"/>
                <w:b/>
                <w:szCs w:val="24"/>
              </w:rPr>
            </w:pPr>
            <w:r>
              <w:rPr>
                <w:rFonts w:cs="Times New Roman"/>
              </w:rPr>
              <w:t xml:space="preserve">1 GS-13 FTE (5%) </w:t>
            </w:r>
          </w:p>
        </w:tc>
        <w:tc>
          <w:tcPr>
            <w:tcW w:w="4456" w:type="dxa"/>
          </w:tcPr>
          <w:p w:rsidR="00CC7BC8" w:rsidP="00CC7BC8" w:rsidRDefault="00CC7BC8" w14:paraId="61EA83F1" w14:textId="2385B9F1">
            <w:pPr>
              <w:rPr>
                <w:rFonts w:cs="Times New Roman"/>
              </w:rPr>
            </w:pPr>
            <w:r>
              <w:rPr>
                <w:rFonts w:cs="Times New Roman"/>
              </w:rPr>
              <w:t>$</w:t>
            </w:r>
            <w:r w:rsidRPr="00CC7BC8">
              <w:rPr>
                <w:rFonts w:cs="Times New Roman"/>
              </w:rPr>
              <w:t>4853.9</w:t>
            </w:r>
            <w:r>
              <w:rPr>
                <w:rFonts w:cs="Times New Roman"/>
              </w:rPr>
              <w:t>0</w:t>
            </w:r>
          </w:p>
        </w:tc>
      </w:tr>
    </w:tbl>
    <w:p w:rsidR="004A13E8" w:rsidP="0025156B" w:rsidRDefault="004A13E8" w14:paraId="55FE1810" w14:textId="77777777">
      <w:pPr>
        <w:pStyle w:val="Heading1"/>
        <w:spacing w:before="240"/>
      </w:pPr>
      <w:bookmarkStart w:name="_Toc473880031" w:id="16"/>
      <w:r>
        <w:t>Explanation for Program Changes or Adjustments</w:t>
      </w:r>
      <w:bookmarkEnd w:id="16"/>
    </w:p>
    <w:p w:rsidRPr="004A13E8" w:rsidR="004A13E8" w:rsidP="004A13E8" w:rsidRDefault="004A13E8" w14:paraId="55FE1811" w14:textId="5C147D00">
      <w:r>
        <w:t>This is a new information collection.</w:t>
      </w:r>
    </w:p>
    <w:p w:rsidR="004A13E8" w:rsidP="004A13E8" w:rsidRDefault="004A13E8" w14:paraId="55FE1812" w14:textId="77777777">
      <w:pPr>
        <w:pStyle w:val="Heading1"/>
      </w:pPr>
      <w:bookmarkStart w:name="_Toc473880032" w:id="17"/>
      <w:r>
        <w:t>Plans for Tabulation and Publication and Project Time Schedule</w:t>
      </w:r>
      <w:bookmarkEnd w:id="17"/>
    </w:p>
    <w:p w:rsidR="00A806B5" w:rsidP="00CC7BC8" w:rsidRDefault="00CC7BC8" w14:paraId="514B44F0" w14:textId="77777777">
      <w:r>
        <w:t xml:space="preserve">Data will be entered and analyzed on a monthly basis and reported in publications (e.g., journal manuscripts) approximately every </w:t>
      </w:r>
      <w:r w:rsidR="00A806B5">
        <w:t>1-</w:t>
      </w:r>
      <w:r>
        <w:t>2 years.</w:t>
      </w:r>
      <w:bookmarkStart w:name="_Toc473880033" w:id="18"/>
      <w:r>
        <w:t xml:space="preserve"> </w:t>
      </w:r>
    </w:p>
    <w:p w:rsidR="00A806B5" w:rsidP="00CC7BC8" w:rsidRDefault="00A806B5" w14:paraId="5BD73251" w14:textId="77777777"/>
    <w:p w:rsidR="004A13E8" w:rsidP="00F8003E" w:rsidRDefault="004A13E8" w14:paraId="55FE1826" w14:textId="12E2E334">
      <w:pPr>
        <w:pStyle w:val="Heading1"/>
      </w:pPr>
      <w:r>
        <w:t>Reason(s) Display of OMB Expiration Date is Inappropriate</w:t>
      </w:r>
      <w:bookmarkEnd w:id="18"/>
    </w:p>
    <w:p w:rsidRPr="004A13E8" w:rsidR="004A13E8" w:rsidP="004A13E8" w:rsidRDefault="00CC7BC8" w14:paraId="55FE1827" w14:textId="4A8D2562">
      <w:r>
        <w:rPr>
          <w:rFonts w:cs="Times New Roman"/>
          <w:szCs w:val="24"/>
        </w:rPr>
        <w:t xml:space="preserve">No exemption is being requested. </w:t>
      </w:r>
      <w:r w:rsidR="004A13E8">
        <w:t>The display of the OMB Expiration date is not inappropriate.</w:t>
      </w:r>
    </w:p>
    <w:p w:rsidR="004A13E8" w:rsidP="004A13E8" w:rsidRDefault="004A13E8" w14:paraId="55FE1828" w14:textId="77777777">
      <w:pPr>
        <w:pStyle w:val="Heading1"/>
      </w:pPr>
      <w:bookmarkStart w:name="_Toc473880034" w:id="19"/>
      <w:r>
        <w:t>Exceptions to Certification for Paperwork Reduction Act Submissions</w:t>
      </w:r>
      <w:bookmarkEnd w:id="19"/>
    </w:p>
    <w:p w:rsidRPr="004A13E8" w:rsidR="004A13E8" w:rsidP="004A13E8" w:rsidRDefault="004A13E8" w14:paraId="55FE1829" w14:textId="77777777">
      <w:r>
        <w:lastRenderedPageBreak/>
        <w:t>There are no exceptions to the certification.</w:t>
      </w:r>
    </w:p>
    <w:p w:rsidRPr="004A13E8" w:rsidR="004A13E8" w:rsidP="004A13E8" w:rsidRDefault="004A13E8" w14:paraId="55FE182A" w14:textId="77777777">
      <w:pPr>
        <w:pStyle w:val="Heading1"/>
        <w:numPr>
          <w:ilvl w:val="0"/>
          <w:numId w:val="0"/>
        </w:numPr>
      </w:pPr>
      <w:bookmarkStart w:name="_Toc473880035" w:id="20"/>
      <w:r>
        <w:t>Attachments</w:t>
      </w:r>
      <w:bookmarkEnd w:id="20"/>
    </w:p>
    <w:p w:rsidR="004A13E8" w:rsidP="004A0034" w:rsidRDefault="00AD2F36" w14:paraId="55FE182B" w14:textId="77777777">
      <w:pPr>
        <w:pStyle w:val="ListParagraph"/>
        <w:numPr>
          <w:ilvl w:val="0"/>
          <w:numId w:val="3"/>
        </w:numPr>
        <w:ind w:left="360"/>
      </w:pPr>
      <w:r>
        <w:t>Authorizing Legislation</w:t>
      </w:r>
    </w:p>
    <w:p w:rsidR="00AD2F36" w:rsidP="004A0034" w:rsidRDefault="008F0737" w14:paraId="55FE182C" w14:textId="5F4183E6">
      <w:pPr>
        <w:pStyle w:val="ListParagraph"/>
        <w:numPr>
          <w:ilvl w:val="0"/>
          <w:numId w:val="3"/>
        </w:numPr>
        <w:ind w:left="360"/>
      </w:pPr>
      <w:r>
        <w:t xml:space="preserve">Published </w:t>
      </w:r>
      <w:r w:rsidR="00AD2F36">
        <w:t>60-Day FRN</w:t>
      </w:r>
    </w:p>
    <w:p w:rsidR="00AD2F36" w:rsidP="004A0034" w:rsidRDefault="00AD2F36" w14:paraId="55FE182D" w14:textId="69255D95">
      <w:pPr>
        <w:pStyle w:val="ListParagraph"/>
        <w:numPr>
          <w:ilvl w:val="0"/>
          <w:numId w:val="3"/>
        </w:numPr>
        <w:ind w:left="360"/>
      </w:pPr>
      <w:r>
        <w:t xml:space="preserve">Information Collection </w:t>
      </w:r>
      <w:r w:rsidR="008F0737">
        <w:t>I</w:t>
      </w:r>
      <w:r>
        <w:t>nstrument</w:t>
      </w:r>
    </w:p>
    <w:p w:rsidR="00CA48AB" w:rsidP="00CA48AB" w:rsidRDefault="00CA48AB" w14:paraId="7FAB4A7F" w14:textId="682934C9">
      <w:pPr>
        <w:pStyle w:val="ListParagraph"/>
        <w:numPr>
          <w:ilvl w:val="0"/>
          <w:numId w:val="3"/>
        </w:numPr>
        <w:ind w:left="360"/>
      </w:pPr>
      <w:r>
        <w:t>Non-Research Determination</w:t>
      </w:r>
    </w:p>
    <w:sectPr w:rsidR="00CA48AB"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CBA1" w14:textId="77777777" w:rsidR="008F4DDB" w:rsidRDefault="008F4DDB" w:rsidP="008B5D54">
      <w:pPr>
        <w:spacing w:after="0" w:line="240" w:lineRule="auto"/>
      </w:pPr>
      <w:r>
        <w:separator/>
      </w:r>
    </w:p>
  </w:endnote>
  <w:endnote w:type="continuationSeparator" w:id="0">
    <w:p w14:paraId="0C0902B2" w14:textId="77777777" w:rsidR="008F4DDB" w:rsidRDefault="008F4DD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43CB" w14:textId="77777777" w:rsidR="00AE15A5" w:rsidRDefault="00AE1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075931"/>
      <w:docPartObj>
        <w:docPartGallery w:val="Page Numbers (Bottom of Page)"/>
        <w:docPartUnique/>
      </w:docPartObj>
    </w:sdtPr>
    <w:sdtEndPr>
      <w:rPr>
        <w:noProof/>
      </w:rPr>
    </w:sdtEndPr>
    <w:sdtContent>
      <w:p w14:paraId="55FE1835" w14:textId="10FAEDD9" w:rsidR="00780DC1" w:rsidRDefault="00780DC1">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14:paraId="55FE183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21B8" w14:textId="77777777" w:rsidR="00AE15A5" w:rsidRDefault="00AE1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0968" w14:textId="77777777" w:rsidR="008F4DDB" w:rsidRDefault="008F4DDB" w:rsidP="008B5D54">
      <w:pPr>
        <w:spacing w:after="0" w:line="240" w:lineRule="auto"/>
      </w:pPr>
      <w:r>
        <w:separator/>
      </w:r>
    </w:p>
  </w:footnote>
  <w:footnote w:type="continuationSeparator" w:id="0">
    <w:p w14:paraId="5185FBDF" w14:textId="77777777" w:rsidR="008F4DDB" w:rsidRDefault="008F4DDB"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80D0" w14:textId="77777777" w:rsidR="00AE15A5" w:rsidRDefault="00AE1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A5A3" w14:textId="77777777" w:rsidR="00AE15A5" w:rsidRDefault="00AE1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C241" w14:textId="77777777" w:rsidR="00AE15A5" w:rsidRDefault="00AE1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86A31"/>
    <w:multiLevelType w:val="hybridMultilevel"/>
    <w:tmpl w:val="DDC43CEC"/>
    <w:lvl w:ilvl="0" w:tplc="BA6A0E0C">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30A7F"/>
    <w:rsid w:val="00034112"/>
    <w:rsid w:val="00054A99"/>
    <w:rsid w:val="0005699B"/>
    <w:rsid w:val="00077A77"/>
    <w:rsid w:val="000C1760"/>
    <w:rsid w:val="000C7BC2"/>
    <w:rsid w:val="00124128"/>
    <w:rsid w:val="001523DF"/>
    <w:rsid w:val="00174AFE"/>
    <w:rsid w:val="00181DB5"/>
    <w:rsid w:val="001A58BE"/>
    <w:rsid w:val="001E08A8"/>
    <w:rsid w:val="00237BB7"/>
    <w:rsid w:val="002441B9"/>
    <w:rsid w:val="0025156B"/>
    <w:rsid w:val="00252E6F"/>
    <w:rsid w:val="00254505"/>
    <w:rsid w:val="002A15BE"/>
    <w:rsid w:val="002A7CC4"/>
    <w:rsid w:val="002F1B39"/>
    <w:rsid w:val="002F79B5"/>
    <w:rsid w:val="003002E1"/>
    <w:rsid w:val="00304BBB"/>
    <w:rsid w:val="003419B3"/>
    <w:rsid w:val="0038763E"/>
    <w:rsid w:val="003A5254"/>
    <w:rsid w:val="003A7157"/>
    <w:rsid w:val="003B2FB4"/>
    <w:rsid w:val="003D7283"/>
    <w:rsid w:val="003F60CF"/>
    <w:rsid w:val="00406614"/>
    <w:rsid w:val="0043440D"/>
    <w:rsid w:val="00446A7C"/>
    <w:rsid w:val="00457614"/>
    <w:rsid w:val="004841D1"/>
    <w:rsid w:val="00497275"/>
    <w:rsid w:val="004A0034"/>
    <w:rsid w:val="004A13E8"/>
    <w:rsid w:val="004C24FD"/>
    <w:rsid w:val="004D0CD2"/>
    <w:rsid w:val="004D5C0A"/>
    <w:rsid w:val="004D7CC6"/>
    <w:rsid w:val="005D0DF6"/>
    <w:rsid w:val="006316EE"/>
    <w:rsid w:val="00653FB3"/>
    <w:rsid w:val="00674026"/>
    <w:rsid w:val="00692B50"/>
    <w:rsid w:val="006B5008"/>
    <w:rsid w:val="006C6578"/>
    <w:rsid w:val="006F03E0"/>
    <w:rsid w:val="00713C81"/>
    <w:rsid w:val="007335B2"/>
    <w:rsid w:val="00744266"/>
    <w:rsid w:val="00766B83"/>
    <w:rsid w:val="00780796"/>
    <w:rsid w:val="00780DC1"/>
    <w:rsid w:val="007E3F57"/>
    <w:rsid w:val="007F46E9"/>
    <w:rsid w:val="00827F0C"/>
    <w:rsid w:val="008B5D54"/>
    <w:rsid w:val="008C2A1E"/>
    <w:rsid w:val="008D5AEA"/>
    <w:rsid w:val="008E55F7"/>
    <w:rsid w:val="008F0737"/>
    <w:rsid w:val="008F1415"/>
    <w:rsid w:val="008F4DDB"/>
    <w:rsid w:val="0090106E"/>
    <w:rsid w:val="00937D6B"/>
    <w:rsid w:val="00963E7C"/>
    <w:rsid w:val="00977DE1"/>
    <w:rsid w:val="00984FE5"/>
    <w:rsid w:val="00986712"/>
    <w:rsid w:val="00997D0E"/>
    <w:rsid w:val="009A53DD"/>
    <w:rsid w:val="009A79E1"/>
    <w:rsid w:val="009B0947"/>
    <w:rsid w:val="009D0E2A"/>
    <w:rsid w:val="009F629A"/>
    <w:rsid w:val="009F7E98"/>
    <w:rsid w:val="00A0075F"/>
    <w:rsid w:val="00A67086"/>
    <w:rsid w:val="00A806B5"/>
    <w:rsid w:val="00AB5621"/>
    <w:rsid w:val="00AD2F36"/>
    <w:rsid w:val="00AE15A5"/>
    <w:rsid w:val="00B41E24"/>
    <w:rsid w:val="00B55735"/>
    <w:rsid w:val="00B608AC"/>
    <w:rsid w:val="00B64B9E"/>
    <w:rsid w:val="00B669E6"/>
    <w:rsid w:val="00B91400"/>
    <w:rsid w:val="00BA6B1A"/>
    <w:rsid w:val="00BC7BBC"/>
    <w:rsid w:val="00C06FA7"/>
    <w:rsid w:val="00C32380"/>
    <w:rsid w:val="00C553B7"/>
    <w:rsid w:val="00C90B13"/>
    <w:rsid w:val="00CA3999"/>
    <w:rsid w:val="00CA48AB"/>
    <w:rsid w:val="00CC7BC8"/>
    <w:rsid w:val="00CD2AA4"/>
    <w:rsid w:val="00CE243D"/>
    <w:rsid w:val="00D13EA1"/>
    <w:rsid w:val="00D20AFF"/>
    <w:rsid w:val="00D42969"/>
    <w:rsid w:val="00D465A0"/>
    <w:rsid w:val="00D952DF"/>
    <w:rsid w:val="00DA4C8A"/>
    <w:rsid w:val="00DC57CC"/>
    <w:rsid w:val="00DC74EE"/>
    <w:rsid w:val="00DD04F6"/>
    <w:rsid w:val="00E1024B"/>
    <w:rsid w:val="00E26196"/>
    <w:rsid w:val="00E54113"/>
    <w:rsid w:val="00E80D2C"/>
    <w:rsid w:val="00EC309D"/>
    <w:rsid w:val="00EE704B"/>
    <w:rsid w:val="00F00226"/>
    <w:rsid w:val="00F51CE0"/>
    <w:rsid w:val="00F548DB"/>
    <w:rsid w:val="00F56C86"/>
    <w:rsid w:val="00F8003E"/>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CommentReference">
    <w:name w:val="annotation reference"/>
    <w:basedOn w:val="DefaultParagraphFont"/>
    <w:uiPriority w:val="99"/>
    <w:semiHidden/>
    <w:unhideWhenUsed/>
    <w:rsid w:val="009A53DD"/>
    <w:rPr>
      <w:sz w:val="16"/>
      <w:szCs w:val="16"/>
    </w:rPr>
  </w:style>
  <w:style w:type="paragraph" w:styleId="CommentText">
    <w:name w:val="annotation text"/>
    <w:basedOn w:val="Normal"/>
    <w:link w:val="CommentTextChar"/>
    <w:uiPriority w:val="99"/>
    <w:semiHidden/>
    <w:unhideWhenUsed/>
    <w:rsid w:val="009A53DD"/>
    <w:pPr>
      <w:spacing w:line="240" w:lineRule="auto"/>
    </w:pPr>
    <w:rPr>
      <w:sz w:val="20"/>
      <w:szCs w:val="20"/>
    </w:rPr>
  </w:style>
  <w:style w:type="character" w:customStyle="1" w:styleId="CommentTextChar">
    <w:name w:val="Comment Text Char"/>
    <w:basedOn w:val="DefaultParagraphFont"/>
    <w:link w:val="CommentText"/>
    <w:uiPriority w:val="99"/>
    <w:semiHidden/>
    <w:rsid w:val="009A53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53DD"/>
    <w:rPr>
      <w:b/>
      <w:bCs/>
    </w:rPr>
  </w:style>
  <w:style w:type="character" w:customStyle="1" w:styleId="CommentSubjectChar">
    <w:name w:val="Comment Subject Char"/>
    <w:basedOn w:val="CommentTextChar"/>
    <w:link w:val="CommentSubject"/>
    <w:uiPriority w:val="99"/>
    <w:semiHidden/>
    <w:rsid w:val="009A53DD"/>
    <w:rPr>
      <w:rFonts w:ascii="Times New Roman" w:hAnsi="Times New Roman"/>
      <w:b/>
      <w:bCs/>
      <w:sz w:val="20"/>
      <w:szCs w:val="20"/>
    </w:rPr>
  </w:style>
  <w:style w:type="paragraph" w:customStyle="1" w:styleId="Default">
    <w:name w:val="Default"/>
    <w:rsid w:val="00054A99"/>
    <w:pPr>
      <w:autoSpaceDE w:val="0"/>
      <w:autoSpaceDN w:val="0"/>
      <w:adjustRightInd w:val="0"/>
      <w:spacing w:after="0" w:line="240" w:lineRule="auto"/>
    </w:pPr>
    <w:rPr>
      <w:rFonts w:ascii="Myriad Pro Light" w:hAnsi="Myriad Pro Light" w:cs="Myriad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03908336">
      <w:bodyDiv w:val="1"/>
      <w:marLeft w:val="0"/>
      <w:marRight w:val="0"/>
      <w:marTop w:val="0"/>
      <w:marBottom w:val="0"/>
      <w:divBdr>
        <w:top w:val="none" w:sz="0" w:space="0" w:color="auto"/>
        <w:left w:val="none" w:sz="0" w:space="0" w:color="auto"/>
        <w:bottom w:val="none" w:sz="0" w:space="0" w:color="auto"/>
        <w:right w:val="none" w:sz="0" w:space="0" w:color="auto"/>
      </w:divBdr>
    </w:div>
    <w:div w:id="1487553785">
      <w:bodyDiv w:val="1"/>
      <w:marLeft w:val="0"/>
      <w:marRight w:val="0"/>
      <w:marTop w:val="0"/>
      <w:marBottom w:val="0"/>
      <w:divBdr>
        <w:top w:val="none" w:sz="0" w:space="0" w:color="auto"/>
        <w:left w:val="none" w:sz="0" w:space="0" w:color="auto"/>
        <w:bottom w:val="none" w:sz="0" w:space="0" w:color="auto"/>
        <w:right w:val="none" w:sz="0" w:space="0" w:color="auto"/>
      </w:divBdr>
    </w:div>
    <w:div w:id="1594971729">
      <w:bodyDiv w:val="1"/>
      <w:marLeft w:val="0"/>
      <w:marRight w:val="0"/>
      <w:marTop w:val="0"/>
      <w:marBottom w:val="0"/>
      <w:divBdr>
        <w:top w:val="none" w:sz="0" w:space="0" w:color="auto"/>
        <w:left w:val="none" w:sz="0" w:space="0" w:color="auto"/>
        <w:bottom w:val="none" w:sz="0" w:space="0" w:color="auto"/>
        <w:right w:val="none" w:sz="0" w:space="0" w:color="auto"/>
      </w:divBdr>
    </w:div>
    <w:div w:id="18914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C21317-D8DA-4166-A653-ABCE83E313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Joyce, Kevin J. (CDC/DDPHSS/OS/OSI)</cp:lastModifiedBy>
  <cp:revision>3</cp:revision>
  <dcterms:created xsi:type="dcterms:W3CDTF">2022-05-18T12:32:00Z</dcterms:created>
  <dcterms:modified xsi:type="dcterms:W3CDTF">2022-05-18T13:57:00Z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2020-12-01T19:50:49Z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d8f0e01a-2d97-4b9d-817b-c3443a1d06e1</vt:lpwstr>
  </property>
  <property fmtid="{D5CDD505-2E9C-101B-9397-08002B2CF9AE}" pid="10" name="MSIP_Label_7b94a7b8-f06c-4dfe-bdcc-9b548fd58c31_ContentBits">
    <vt:lpwstr>0</vt:lpwstr>
  </property>
</Properties>
</file>