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317A" w:rsidR="005C3DC2" w:rsidP="005C3DC2" w:rsidRDefault="005C3DC2" w14:paraId="70C1BBAA" w14:textId="77777777">
      <w:pPr>
        <w:ind w:left="1440" w:firstLine="720"/>
      </w:pPr>
    </w:p>
    <w:p w:rsidRPr="0038317A" w:rsidR="005C3DC2" w:rsidP="005C3DC2" w:rsidRDefault="005C3DC2" w14:paraId="5349563A" w14:textId="77777777">
      <w:pPr>
        <w:ind w:left="1440" w:firstLine="720"/>
      </w:pPr>
    </w:p>
    <w:p w:rsidRPr="0038317A" w:rsidR="005C3DC2" w:rsidP="005C3DC2" w:rsidRDefault="005C3DC2" w14:paraId="3F7DD772" w14:textId="77777777">
      <w:pPr>
        <w:ind w:left="1440" w:firstLine="720"/>
      </w:pPr>
    </w:p>
    <w:p w:rsidRPr="005C613F" w:rsidR="005C613F" w:rsidP="005C613F" w:rsidRDefault="005C613F" w14:paraId="404C7085" w14:textId="77777777">
      <w:pPr>
        <w:jc w:val="center"/>
        <w:rPr>
          <w:b/>
          <w:bCs/>
          <w:sz w:val="28"/>
          <w:szCs w:val="28"/>
        </w:rPr>
      </w:pPr>
      <w:r w:rsidRPr="005C613F">
        <w:rPr>
          <w:b/>
          <w:bCs/>
          <w:sz w:val="28"/>
          <w:szCs w:val="28"/>
        </w:rPr>
        <w:t>Mini Supporting Statement A</w:t>
      </w:r>
    </w:p>
    <w:p w:rsidRPr="00CE2C80" w:rsidR="00CA02BF" w:rsidP="005C613F" w:rsidRDefault="00CA02BF" w14:paraId="1936C490" w14:textId="77777777">
      <w:pPr>
        <w:jc w:val="center"/>
        <w:rPr>
          <w:sz w:val="28"/>
          <w:szCs w:val="28"/>
        </w:rPr>
      </w:pPr>
    </w:p>
    <w:p w:rsidRPr="00CE2C80" w:rsidR="00CA02BF" w:rsidP="005952FA" w:rsidRDefault="00CA02BF" w14:paraId="651F94F7" w14:textId="77777777">
      <w:pPr>
        <w:jc w:val="center"/>
        <w:rPr>
          <w:sz w:val="28"/>
          <w:szCs w:val="28"/>
        </w:rPr>
      </w:pPr>
    </w:p>
    <w:p w:rsidRPr="00CE2C80" w:rsidR="005C3DC2" w:rsidP="007370A7" w:rsidRDefault="003F5268" w14:paraId="07A2A61B" w14:textId="5D29310A">
      <w:pPr>
        <w:jc w:val="center"/>
        <w:rPr>
          <w:sz w:val="28"/>
          <w:szCs w:val="28"/>
        </w:rPr>
      </w:pPr>
      <w:r w:rsidRPr="00CE2C80">
        <w:rPr>
          <w:sz w:val="28"/>
          <w:szCs w:val="28"/>
        </w:rPr>
        <w:t>Introduction to Cancer Research Careers</w:t>
      </w:r>
      <w:r w:rsidRPr="00CE2C80" w:rsidR="005952FA">
        <w:rPr>
          <w:sz w:val="28"/>
          <w:szCs w:val="28"/>
        </w:rPr>
        <w:t xml:space="preserve"> </w:t>
      </w:r>
      <w:r w:rsidRPr="00CE2C80" w:rsidR="004F4102">
        <w:rPr>
          <w:sz w:val="28"/>
          <w:szCs w:val="28"/>
        </w:rPr>
        <w:t>(</w:t>
      </w:r>
      <w:r w:rsidRPr="00CE2C80" w:rsidR="00DD23BC">
        <w:rPr>
          <w:sz w:val="28"/>
          <w:szCs w:val="28"/>
        </w:rPr>
        <w:t>ICRC</w:t>
      </w:r>
      <w:r w:rsidRPr="00CE2C80" w:rsidR="004F4102">
        <w:rPr>
          <w:sz w:val="28"/>
          <w:szCs w:val="28"/>
        </w:rPr>
        <w:t xml:space="preserve">) </w:t>
      </w:r>
      <w:r w:rsidRPr="00CE2C80" w:rsidR="005952FA">
        <w:rPr>
          <w:sz w:val="28"/>
          <w:szCs w:val="28"/>
        </w:rPr>
        <w:t>Application</w:t>
      </w:r>
      <w:r w:rsidR="00E26214">
        <w:rPr>
          <w:sz w:val="28"/>
          <w:szCs w:val="28"/>
        </w:rPr>
        <w:t xml:space="preserve"> </w:t>
      </w:r>
      <w:r w:rsidR="005A33C6">
        <w:rPr>
          <w:sz w:val="28"/>
          <w:szCs w:val="28"/>
        </w:rPr>
        <w:t>(NCI)</w:t>
      </w:r>
    </w:p>
    <w:p w:rsidRPr="00CE2C80" w:rsidR="00967AAE" w:rsidP="005952FA" w:rsidRDefault="00967AAE" w14:paraId="05CB17DA" w14:textId="77777777">
      <w:pPr>
        <w:jc w:val="center"/>
        <w:rPr>
          <w:sz w:val="28"/>
          <w:szCs w:val="28"/>
        </w:rPr>
      </w:pPr>
    </w:p>
    <w:p w:rsidRPr="00CE2C80" w:rsidR="00967AAE" w:rsidP="0089515C" w:rsidRDefault="00967AAE" w14:paraId="5E5032C6" w14:textId="559ADDD2">
      <w:pPr>
        <w:ind w:left="1440" w:firstLine="720"/>
        <w:rPr>
          <w:sz w:val="28"/>
          <w:szCs w:val="28"/>
        </w:rPr>
      </w:pPr>
      <w:r w:rsidRPr="00CE2C80">
        <w:rPr>
          <w:sz w:val="28"/>
          <w:szCs w:val="28"/>
        </w:rPr>
        <w:t xml:space="preserve">                    </w:t>
      </w:r>
    </w:p>
    <w:p w:rsidRPr="00CE2C80" w:rsidR="00967AAE" w:rsidP="00967AAE" w:rsidRDefault="00967AAE" w14:paraId="45B8B29E" w14:textId="77777777">
      <w:pPr>
        <w:ind w:left="1440" w:firstLine="720"/>
        <w:rPr>
          <w:sz w:val="28"/>
          <w:szCs w:val="28"/>
        </w:rPr>
      </w:pPr>
    </w:p>
    <w:p w:rsidRPr="005C613F" w:rsidR="005C613F" w:rsidP="005C613F" w:rsidRDefault="005C613F" w14:paraId="0A3FD892" w14:textId="774555B2">
      <w:pPr>
        <w:jc w:val="center"/>
        <w:rPr>
          <w:noProof/>
          <w:sz w:val="28"/>
          <w:szCs w:val="28"/>
        </w:rPr>
      </w:pPr>
      <w:r w:rsidRPr="005C613F">
        <w:rPr>
          <w:noProof/>
          <w:sz w:val="28"/>
          <w:szCs w:val="28"/>
        </w:rPr>
        <w:t>Sub-study under,</w:t>
      </w:r>
    </w:p>
    <w:p w:rsidRPr="005C613F" w:rsidR="005C613F" w:rsidP="005C613F" w:rsidRDefault="005C613F" w14:paraId="4E63FCB4" w14:textId="77777777">
      <w:pPr>
        <w:jc w:val="center"/>
        <w:rPr>
          <w:bCs/>
          <w:noProof/>
          <w:sz w:val="28"/>
          <w:szCs w:val="28"/>
        </w:rPr>
      </w:pPr>
      <w:r w:rsidRPr="005C613F">
        <w:rPr>
          <w:noProof/>
          <w:sz w:val="28"/>
          <w:szCs w:val="28"/>
        </w:rPr>
        <w:t>“</w:t>
      </w:r>
      <w:bookmarkStart w:name="_Hlk17112293" w:id="0"/>
      <w:r w:rsidRPr="005C613F">
        <w:rPr>
          <w:bCs/>
          <w:noProof/>
          <w:sz w:val="28"/>
          <w:szCs w:val="28"/>
        </w:rPr>
        <w:t>Generic Clearance for Application Information for</w:t>
      </w:r>
    </w:p>
    <w:p w:rsidRPr="005C613F" w:rsidR="005C613F" w:rsidP="005C613F" w:rsidRDefault="005C613F" w14:paraId="6CE270E9" w14:textId="77777777">
      <w:pPr>
        <w:jc w:val="center"/>
        <w:rPr>
          <w:bCs/>
          <w:noProof/>
          <w:sz w:val="28"/>
          <w:szCs w:val="28"/>
        </w:rPr>
      </w:pPr>
      <w:r w:rsidRPr="005C613F">
        <w:rPr>
          <w:bCs/>
          <w:noProof/>
          <w:sz w:val="28"/>
          <w:szCs w:val="28"/>
        </w:rPr>
        <w:t>Fellowship, Internships, Training Programs, and Specialty Positions</w:t>
      </w:r>
    </w:p>
    <w:p w:rsidRPr="005C613F" w:rsidR="005C613F" w:rsidP="005C613F" w:rsidRDefault="005C613F" w14:paraId="46128D96" w14:textId="77777777">
      <w:pPr>
        <w:jc w:val="center"/>
        <w:rPr>
          <w:noProof/>
          <w:sz w:val="28"/>
          <w:szCs w:val="28"/>
        </w:rPr>
      </w:pPr>
      <w:r w:rsidRPr="005C613F">
        <w:rPr>
          <w:bCs/>
          <w:noProof/>
          <w:sz w:val="28"/>
          <w:szCs w:val="28"/>
        </w:rPr>
        <w:t>(National Cancer Institute)</w:t>
      </w:r>
      <w:bookmarkEnd w:id="0"/>
      <w:r w:rsidRPr="005C613F">
        <w:rPr>
          <w:bCs/>
          <w:noProof/>
          <w:sz w:val="28"/>
          <w:szCs w:val="28"/>
        </w:rPr>
        <w:t>”</w:t>
      </w:r>
    </w:p>
    <w:p w:rsidRPr="005C613F" w:rsidR="005C613F" w:rsidP="005C613F" w:rsidRDefault="005C613F" w14:paraId="50CE7F8B" w14:textId="77777777">
      <w:pPr>
        <w:jc w:val="center"/>
        <w:rPr>
          <w:noProof/>
          <w:sz w:val="28"/>
          <w:szCs w:val="28"/>
        </w:rPr>
      </w:pPr>
    </w:p>
    <w:p w:rsidRPr="005C613F" w:rsidR="005C613F" w:rsidP="005C613F" w:rsidRDefault="005C613F" w14:paraId="1CFFDF59" w14:textId="39F58F97">
      <w:pPr>
        <w:jc w:val="center"/>
        <w:rPr>
          <w:noProof/>
          <w:sz w:val="28"/>
          <w:szCs w:val="28"/>
        </w:rPr>
      </w:pPr>
      <w:r w:rsidRPr="005C613F">
        <w:rPr>
          <w:noProof/>
          <w:sz w:val="28"/>
          <w:szCs w:val="28"/>
        </w:rPr>
        <w:t>OMB No. 0925-0761</w:t>
      </w:r>
    </w:p>
    <w:p w:rsidRPr="005C613F" w:rsidR="005C613F" w:rsidP="005C613F" w:rsidRDefault="005C613F" w14:paraId="1F2829BB" w14:textId="77777777">
      <w:pPr>
        <w:jc w:val="center"/>
        <w:rPr>
          <w:noProof/>
          <w:sz w:val="28"/>
          <w:szCs w:val="28"/>
        </w:rPr>
      </w:pPr>
    </w:p>
    <w:p w:rsidRPr="005C613F" w:rsidR="005C613F" w:rsidP="005C613F" w:rsidRDefault="005C613F" w14:paraId="62D5C0F3" w14:textId="18609A4B">
      <w:pPr>
        <w:jc w:val="center"/>
        <w:rPr>
          <w:noProof/>
          <w:sz w:val="28"/>
          <w:szCs w:val="28"/>
        </w:rPr>
      </w:pPr>
      <w:r w:rsidRPr="005C613F">
        <w:rPr>
          <w:noProof/>
          <w:sz w:val="28"/>
          <w:szCs w:val="28"/>
        </w:rPr>
        <w:t>Expiration Date: 07/31/202</w:t>
      </w:r>
      <w:r w:rsidR="00903B33">
        <w:rPr>
          <w:noProof/>
          <w:sz w:val="28"/>
          <w:szCs w:val="28"/>
        </w:rPr>
        <w:t>5</w:t>
      </w:r>
    </w:p>
    <w:p w:rsidRPr="005C613F" w:rsidR="005C613F" w:rsidP="005C613F" w:rsidRDefault="005C613F" w14:paraId="3D581833" w14:textId="77777777">
      <w:pPr>
        <w:jc w:val="center"/>
        <w:rPr>
          <w:noProof/>
          <w:sz w:val="28"/>
          <w:szCs w:val="28"/>
        </w:rPr>
      </w:pPr>
    </w:p>
    <w:p w:rsidRPr="005C613F" w:rsidR="005C613F" w:rsidP="005C613F" w:rsidRDefault="005C613F" w14:paraId="77A521E8" w14:textId="77777777">
      <w:pPr>
        <w:jc w:val="center"/>
        <w:rPr>
          <w:noProof/>
          <w:sz w:val="28"/>
          <w:szCs w:val="28"/>
        </w:rPr>
      </w:pPr>
    </w:p>
    <w:p w:rsidRPr="005C613F" w:rsidR="005C613F" w:rsidP="005C613F" w:rsidRDefault="005C613F" w14:paraId="1512C921" w14:textId="77777777">
      <w:pPr>
        <w:jc w:val="center"/>
        <w:rPr>
          <w:noProof/>
          <w:sz w:val="28"/>
          <w:szCs w:val="28"/>
        </w:rPr>
      </w:pPr>
    </w:p>
    <w:p w:rsidRPr="005C613F" w:rsidR="005C613F" w:rsidP="005C613F" w:rsidRDefault="00903B33" w14:paraId="71FC13F3" w14:textId="2ED7C809">
      <w:pPr>
        <w:jc w:val="center"/>
        <w:rPr>
          <w:noProof/>
          <w:sz w:val="28"/>
          <w:szCs w:val="28"/>
        </w:rPr>
      </w:pPr>
      <w:r>
        <w:rPr>
          <w:noProof/>
          <w:sz w:val="28"/>
          <w:szCs w:val="28"/>
        </w:rPr>
        <w:t xml:space="preserve">July </w:t>
      </w:r>
      <w:r w:rsidR="00B66E72">
        <w:rPr>
          <w:noProof/>
          <w:sz w:val="28"/>
          <w:szCs w:val="28"/>
        </w:rPr>
        <w:t>13</w:t>
      </w:r>
      <w:r>
        <w:rPr>
          <w:noProof/>
          <w:sz w:val="28"/>
          <w:szCs w:val="28"/>
        </w:rPr>
        <w:t>, 2022</w:t>
      </w:r>
    </w:p>
    <w:p w:rsidRPr="005C613F" w:rsidR="005C613F" w:rsidP="005C613F" w:rsidRDefault="005C613F" w14:paraId="6E964198" w14:textId="77777777">
      <w:pPr>
        <w:jc w:val="center"/>
        <w:rPr>
          <w:noProof/>
          <w:sz w:val="28"/>
          <w:szCs w:val="28"/>
        </w:rPr>
      </w:pPr>
    </w:p>
    <w:p w:rsidRPr="005C613F" w:rsidR="005C613F" w:rsidP="005C613F" w:rsidRDefault="005C613F" w14:paraId="155F48DA" w14:textId="77777777">
      <w:pPr>
        <w:rPr>
          <w:noProof/>
          <w:sz w:val="28"/>
          <w:szCs w:val="28"/>
        </w:rPr>
      </w:pPr>
    </w:p>
    <w:p w:rsidRPr="005C613F" w:rsidR="005C613F" w:rsidP="005C613F" w:rsidRDefault="005C613F" w14:paraId="037A8494" w14:textId="77777777">
      <w:pPr>
        <w:rPr>
          <w:noProof/>
          <w:sz w:val="28"/>
          <w:szCs w:val="28"/>
        </w:rPr>
      </w:pPr>
    </w:p>
    <w:p w:rsidRPr="005C613F" w:rsidR="005C613F" w:rsidP="005C613F" w:rsidRDefault="005C613F" w14:paraId="0E3CC9C8" w14:textId="77777777">
      <w:pPr>
        <w:rPr>
          <w:noProof/>
          <w:sz w:val="28"/>
          <w:szCs w:val="28"/>
        </w:rPr>
      </w:pPr>
    </w:p>
    <w:p w:rsidRPr="005C613F" w:rsidR="005C613F" w:rsidP="005C613F" w:rsidRDefault="005C613F" w14:paraId="4D15B0FB" w14:textId="77777777">
      <w:pPr>
        <w:rPr>
          <w:noProof/>
          <w:sz w:val="28"/>
          <w:szCs w:val="28"/>
        </w:rPr>
      </w:pPr>
    </w:p>
    <w:p w:rsidRPr="005C613F" w:rsidR="005C613F" w:rsidP="005C613F" w:rsidRDefault="005C613F" w14:paraId="54337748" w14:textId="77777777">
      <w:pPr>
        <w:rPr>
          <w:noProof/>
          <w:sz w:val="28"/>
          <w:szCs w:val="28"/>
        </w:rPr>
      </w:pPr>
    </w:p>
    <w:p w:rsidRPr="005C613F" w:rsidR="005C613F" w:rsidP="005C613F" w:rsidRDefault="005C613F" w14:paraId="5573E6C9" w14:textId="77777777">
      <w:pPr>
        <w:rPr>
          <w:noProof/>
          <w:sz w:val="28"/>
          <w:szCs w:val="28"/>
        </w:rPr>
      </w:pPr>
    </w:p>
    <w:p w:rsidRPr="005C613F" w:rsidR="005C613F" w:rsidP="005C613F" w:rsidRDefault="005C613F" w14:paraId="5A69A0DB" w14:textId="38591968">
      <w:pPr>
        <w:rPr>
          <w:noProof/>
          <w:sz w:val="28"/>
          <w:szCs w:val="28"/>
        </w:rPr>
      </w:pPr>
      <w:r w:rsidRPr="005C613F">
        <w:rPr>
          <w:noProof/>
          <w:sz w:val="28"/>
          <w:szCs w:val="28"/>
        </w:rPr>
        <w:t xml:space="preserve">Name: </w:t>
      </w:r>
      <w:r w:rsidRPr="005C613F">
        <w:rPr>
          <w:noProof/>
          <w:sz w:val="28"/>
          <w:szCs w:val="28"/>
        </w:rPr>
        <w:tab/>
        <w:t xml:space="preserve">Angela R. Jones </w:t>
      </w:r>
    </w:p>
    <w:p w:rsidRPr="005C613F" w:rsidR="005C613F" w:rsidP="005C613F" w:rsidRDefault="005C613F" w14:paraId="214CEAB8" w14:textId="77777777">
      <w:pPr>
        <w:rPr>
          <w:noProof/>
          <w:sz w:val="28"/>
          <w:szCs w:val="28"/>
        </w:rPr>
      </w:pPr>
      <w:r w:rsidRPr="005C613F">
        <w:rPr>
          <w:noProof/>
          <w:sz w:val="28"/>
          <w:szCs w:val="28"/>
        </w:rPr>
        <w:t xml:space="preserve">Address: </w:t>
      </w:r>
      <w:r w:rsidRPr="005C613F">
        <w:rPr>
          <w:noProof/>
          <w:sz w:val="28"/>
          <w:szCs w:val="28"/>
        </w:rPr>
        <w:tab/>
        <w:t>9609 Medical Center, Room 2W-236</w:t>
      </w:r>
    </w:p>
    <w:p w:rsidRPr="005C613F" w:rsidR="005C613F" w:rsidP="005C613F" w:rsidRDefault="005C613F" w14:paraId="1ED563AC" w14:textId="77777777">
      <w:pPr>
        <w:rPr>
          <w:noProof/>
          <w:sz w:val="28"/>
          <w:szCs w:val="28"/>
        </w:rPr>
      </w:pPr>
      <w:r w:rsidRPr="005C613F">
        <w:rPr>
          <w:noProof/>
          <w:sz w:val="28"/>
          <w:szCs w:val="28"/>
        </w:rPr>
        <w:t xml:space="preserve">               </w:t>
      </w:r>
      <w:r w:rsidRPr="005C613F">
        <w:rPr>
          <w:noProof/>
          <w:sz w:val="28"/>
          <w:szCs w:val="28"/>
        </w:rPr>
        <w:tab/>
        <w:t>Bethesda, MD  20892</w:t>
      </w:r>
    </w:p>
    <w:p w:rsidRPr="005C613F" w:rsidR="005C613F" w:rsidP="005C613F" w:rsidRDefault="005C613F" w14:paraId="7B5D7441" w14:textId="77777777">
      <w:pPr>
        <w:rPr>
          <w:noProof/>
          <w:sz w:val="28"/>
          <w:szCs w:val="28"/>
        </w:rPr>
      </w:pPr>
      <w:r w:rsidRPr="005C613F">
        <w:rPr>
          <w:noProof/>
          <w:sz w:val="28"/>
          <w:szCs w:val="28"/>
        </w:rPr>
        <w:t>Telephone:</w:t>
      </w:r>
      <w:r w:rsidRPr="005C613F">
        <w:rPr>
          <w:noProof/>
          <w:sz w:val="28"/>
          <w:szCs w:val="28"/>
        </w:rPr>
        <w:tab/>
        <w:t>240-276-5631</w:t>
      </w:r>
    </w:p>
    <w:p w:rsidRPr="005C613F" w:rsidR="005C613F" w:rsidP="005C613F" w:rsidRDefault="005C613F" w14:paraId="4B41D959" w14:textId="642B03F0">
      <w:pPr>
        <w:rPr>
          <w:noProof/>
          <w:sz w:val="28"/>
          <w:szCs w:val="28"/>
        </w:rPr>
      </w:pPr>
      <w:r w:rsidRPr="005C613F">
        <w:rPr>
          <w:noProof/>
          <w:sz w:val="28"/>
          <w:szCs w:val="28"/>
        </w:rPr>
        <w:t xml:space="preserve">Email: </w:t>
      </w:r>
      <w:r w:rsidRPr="005C613F">
        <w:rPr>
          <w:noProof/>
          <w:sz w:val="28"/>
          <w:szCs w:val="28"/>
        </w:rPr>
        <w:tab/>
      </w:r>
      <w:hyperlink w:history="1" r:id="rId8">
        <w:r w:rsidRPr="005C613F">
          <w:rPr>
            <w:rStyle w:val="Hyperlink"/>
            <w:noProof/>
            <w:sz w:val="28"/>
            <w:szCs w:val="28"/>
          </w:rPr>
          <w:t>jonesangel@mail.nih.gov</w:t>
        </w:r>
      </w:hyperlink>
      <w:r w:rsidRPr="005C613F">
        <w:rPr>
          <w:noProof/>
          <w:sz w:val="28"/>
          <w:szCs w:val="28"/>
        </w:rPr>
        <w:t xml:space="preserve">  </w:t>
      </w:r>
    </w:p>
    <w:p w:rsidRPr="005C613F" w:rsidR="009219DD" w:rsidP="005C613F" w:rsidRDefault="005C613F" w14:paraId="637736C3" w14:textId="41AACFAB">
      <w:pPr>
        <w:rPr>
          <w:noProof/>
          <w:sz w:val="28"/>
          <w:szCs w:val="28"/>
        </w:rPr>
      </w:pPr>
      <w:r w:rsidRPr="005C613F">
        <w:rPr>
          <w:noProof/>
          <w:sz w:val="28"/>
          <w:szCs w:val="28"/>
        </w:rPr>
        <w:br w:type="page"/>
      </w:r>
    </w:p>
    <w:p w:rsidRPr="00F52F2D" w:rsidR="00D26B69" w:rsidP="00DA1E74" w:rsidRDefault="009219DD" w14:paraId="6F7CB074" w14:textId="77777777">
      <w:pPr>
        <w:jc w:val="center"/>
        <w:rPr>
          <w:b/>
          <w:caps/>
          <w:noProof/>
        </w:rPr>
      </w:pPr>
      <w:r w:rsidRPr="00DA1E74">
        <w:rPr>
          <w:b/>
          <w:caps/>
          <w:noProof/>
        </w:rPr>
        <w:lastRenderedPageBreak/>
        <w:t>Attachments</w:t>
      </w:r>
    </w:p>
    <w:p w:rsidRPr="00DA1E74" w:rsidR="00680E77" w:rsidP="00DA1E74" w:rsidRDefault="00680E77" w14:paraId="1D8A3546" w14:textId="77777777">
      <w:pPr>
        <w:jc w:val="center"/>
        <w:rPr>
          <w:b/>
          <w:caps/>
          <w:noProof/>
        </w:rPr>
      </w:pPr>
    </w:p>
    <w:p w:rsidR="00B35CBB" w:rsidP="00725A24" w:rsidRDefault="009219DD" w14:paraId="7778A380" w14:textId="7C517D37">
      <w:pPr>
        <w:spacing w:line="360" w:lineRule="auto"/>
      </w:pPr>
      <w:r w:rsidRPr="00725A24">
        <w:t>Attachment 1</w:t>
      </w:r>
      <w:r w:rsidR="00246E2B">
        <w:t xml:space="preserve"> </w:t>
      </w:r>
      <w:r w:rsidRPr="00725A24" w:rsidR="008C3489">
        <w:t>–</w:t>
      </w:r>
      <w:r w:rsidR="00B1315C">
        <w:t xml:space="preserve"> </w:t>
      </w:r>
      <w:r w:rsidR="00B35CBB">
        <w:t>Application</w:t>
      </w:r>
    </w:p>
    <w:p w:rsidR="006C6F80" w:rsidP="00B35CBB" w:rsidRDefault="00725A24" w14:paraId="0A088686" w14:textId="3BF2B03E">
      <w:pPr>
        <w:spacing w:line="360" w:lineRule="auto"/>
      </w:pPr>
      <w:r>
        <w:t>A</w:t>
      </w:r>
      <w:r w:rsidRPr="00725A24" w:rsidR="006C6F80">
        <w:t xml:space="preserve">ttachment </w:t>
      </w:r>
      <w:r w:rsidR="001E2FC1">
        <w:t>2</w:t>
      </w:r>
      <w:r w:rsidRPr="00725A24" w:rsidR="006C6F80">
        <w:t xml:space="preserve"> –</w:t>
      </w:r>
      <w:r w:rsidR="00B1315C">
        <w:t xml:space="preserve"> </w:t>
      </w:r>
      <w:r w:rsidR="00B35CBB">
        <w:t xml:space="preserve">Reference Letter </w:t>
      </w:r>
      <w:r w:rsidR="00D71B60">
        <w:t xml:space="preserve"> </w:t>
      </w:r>
    </w:p>
    <w:p w:rsidR="00D7716F" w:rsidP="00B35CBB" w:rsidRDefault="00D7716F" w14:paraId="76AA5E48" w14:textId="75C239EE">
      <w:pPr>
        <w:spacing w:line="360" w:lineRule="auto"/>
      </w:pPr>
      <w:r>
        <w:t xml:space="preserve">Attachment </w:t>
      </w:r>
      <w:r w:rsidR="001E2FC1">
        <w:t>3</w:t>
      </w:r>
      <w:r>
        <w:t xml:space="preserve"> –</w:t>
      </w:r>
      <w:r w:rsidR="00B1315C">
        <w:t xml:space="preserve"> </w:t>
      </w:r>
      <w:r>
        <w:t>Automated Email</w:t>
      </w:r>
      <w:r w:rsidR="005020ED">
        <w:t>s</w:t>
      </w:r>
    </w:p>
    <w:p w:rsidR="00093F09" w:rsidP="00B35CBB" w:rsidRDefault="001E2FC1" w14:paraId="6CA5C1DF" w14:textId="1464BCCA">
      <w:pPr>
        <w:spacing w:line="360" w:lineRule="auto"/>
      </w:pPr>
      <w:r>
        <w:t xml:space="preserve">Attachment 4 – </w:t>
      </w:r>
      <w:r w:rsidR="00093F09">
        <w:t>PIA</w:t>
      </w:r>
    </w:p>
    <w:p w:rsidRPr="00725A24" w:rsidR="001E2FC1" w:rsidP="00B35CBB" w:rsidRDefault="00093F09" w14:paraId="785BB614" w14:textId="56BEA1E0">
      <w:pPr>
        <w:spacing w:line="360" w:lineRule="auto"/>
      </w:pPr>
      <w:r>
        <w:t xml:space="preserve">Attachment 5 - </w:t>
      </w:r>
      <w:r w:rsidR="001E2FC1">
        <w:t>Privacy Act Memo</w:t>
      </w:r>
    </w:p>
    <w:p w:rsidR="00961936" w:rsidP="00DB2250" w:rsidRDefault="00961936" w14:paraId="3EDD2AED" w14:textId="77777777">
      <w:pPr>
        <w:rPr>
          <w:b/>
          <w:caps/>
          <w:noProof/>
        </w:rPr>
        <w:sectPr w:rsidR="00961936" w:rsidSect="00961936">
          <w:footerReference w:type="even" r:id="rId9"/>
          <w:footerReference w:type="default" r:id="rId10"/>
          <w:pgSz w:w="12240" w:h="15840"/>
          <w:pgMar w:top="1296" w:right="1440" w:bottom="1152" w:left="1440" w:header="720" w:footer="720" w:gutter="0"/>
          <w:pgNumType w:fmt="lowerRoman"/>
          <w:cols w:space="720"/>
          <w:docGrid w:linePitch="360"/>
        </w:sectPr>
      </w:pPr>
    </w:p>
    <w:p w:rsidRPr="005C613F" w:rsidR="005C613F" w:rsidP="005C613F" w:rsidRDefault="005C613F" w14:paraId="6B06A0AA" w14:textId="77777777">
      <w:pPr>
        <w:pStyle w:val="P1-StandPara"/>
        <w:tabs>
          <w:tab w:val="left" w:pos="720"/>
          <w:tab w:val="right" w:leader="dot" w:pos="9504"/>
        </w:tabs>
        <w:spacing w:line="240" w:lineRule="auto"/>
        <w:jc w:val="center"/>
        <w:rPr>
          <w:b/>
          <w:sz w:val="24"/>
          <w:szCs w:val="24"/>
        </w:rPr>
      </w:pPr>
      <w:r w:rsidRPr="005C613F">
        <w:rPr>
          <w:b/>
          <w:sz w:val="24"/>
          <w:szCs w:val="24"/>
        </w:rPr>
        <w:lastRenderedPageBreak/>
        <w:t>Mini Supporting Statement A</w:t>
      </w:r>
    </w:p>
    <w:p w:rsidR="00A34BBF" w:rsidP="00A34BBF" w:rsidRDefault="00A34BBF" w14:paraId="6D3D99DD" w14:textId="024503D7">
      <w:pPr>
        <w:pStyle w:val="P1-StandPara"/>
        <w:tabs>
          <w:tab w:val="left" w:pos="720"/>
          <w:tab w:val="right" w:leader="dot" w:pos="9504"/>
        </w:tabs>
        <w:spacing w:line="240" w:lineRule="auto"/>
        <w:ind w:firstLine="0"/>
        <w:rPr>
          <w:b/>
          <w:sz w:val="24"/>
          <w:szCs w:val="24"/>
        </w:rPr>
      </w:pPr>
    </w:p>
    <w:p w:rsidRPr="00735C41" w:rsidR="00BF4042" w:rsidP="00735C41" w:rsidRDefault="00BF4042" w14:paraId="15E799D2" w14:textId="42438B02">
      <w:pPr>
        <w:pStyle w:val="P1-StandPara"/>
        <w:tabs>
          <w:tab w:val="left" w:pos="720"/>
          <w:tab w:val="right" w:leader="dot" w:pos="9504"/>
        </w:tabs>
        <w:spacing w:before="120" w:after="120"/>
        <w:ind w:firstLine="0"/>
        <w:rPr>
          <w:b/>
          <w:sz w:val="24"/>
          <w:szCs w:val="24"/>
        </w:rPr>
      </w:pPr>
      <w:r w:rsidRPr="00F52F2D">
        <w:rPr>
          <w:b/>
          <w:sz w:val="24"/>
          <w:szCs w:val="24"/>
        </w:rPr>
        <w:t>A.1</w:t>
      </w:r>
      <w:r w:rsidRPr="00F52F2D">
        <w:rPr>
          <w:b/>
          <w:sz w:val="24"/>
          <w:szCs w:val="24"/>
        </w:rPr>
        <w:tab/>
      </w:r>
      <w:r w:rsidR="00726B9F">
        <w:rPr>
          <w:b/>
          <w:sz w:val="24"/>
          <w:szCs w:val="24"/>
        </w:rPr>
        <w:t>Circumstance</w:t>
      </w:r>
      <w:r w:rsidRPr="00F52F2D">
        <w:rPr>
          <w:b/>
          <w:sz w:val="24"/>
          <w:szCs w:val="24"/>
        </w:rPr>
        <w:t xml:space="preserve"> Making the Collection of Information Necessary</w:t>
      </w:r>
      <w:r w:rsidRPr="00DA1E74">
        <w:t> </w:t>
      </w:r>
    </w:p>
    <w:p w:rsidR="00C74725" w:rsidP="00BF4042" w:rsidRDefault="00AF0738" w14:paraId="31EC6DAB" w14:textId="7E3F39E2">
      <w:pPr>
        <w:rPr>
          <w:noProof/>
        </w:rPr>
      </w:pPr>
      <w:r w:rsidRPr="00DA1E74">
        <w:t xml:space="preserve">The National Cancer Institute’s (NCI) </w:t>
      </w:r>
      <w:r w:rsidR="00D36B58">
        <w:t xml:space="preserve">Introduction to Cancer Research Careers (ICRC) </w:t>
      </w:r>
      <w:r w:rsidR="00513B2B">
        <w:t xml:space="preserve">fellowship </w:t>
      </w:r>
      <w:r w:rsidR="00D36B58">
        <w:t>program</w:t>
      </w:r>
      <w:r w:rsidRPr="00DA1E74" w:rsidR="000C3E67">
        <w:t xml:space="preserve"> </w:t>
      </w:r>
      <w:r w:rsidRPr="00DA1E74" w:rsidR="00E056B3">
        <w:t>supports NCI's goal of training cancer researchers for the 21st century</w:t>
      </w:r>
      <w:r w:rsidRPr="00DA1E74" w:rsidR="00F01F14">
        <w:t xml:space="preserve">. </w:t>
      </w:r>
      <w:r w:rsidR="00513B2B">
        <w:t>Fellows who</w:t>
      </w:r>
      <w:r w:rsidR="00656E1B">
        <w:t xml:space="preserve"> come to the NCI </w:t>
      </w:r>
      <w:r w:rsidR="00D36B58">
        <w:t xml:space="preserve">through the ICRC program </w:t>
      </w:r>
      <w:r w:rsidR="00513B2B">
        <w:t>have</w:t>
      </w:r>
      <w:r w:rsidR="00656E1B">
        <w:t xml:space="preserve"> </w:t>
      </w:r>
      <w:r w:rsidR="00656E1B">
        <w:rPr>
          <w:noProof/>
        </w:rPr>
        <w:t>various educational levels (</w:t>
      </w:r>
      <w:r w:rsidR="00D36B58">
        <w:rPr>
          <w:noProof/>
        </w:rPr>
        <w:t xml:space="preserve">undergraduates, </w:t>
      </w:r>
      <w:r w:rsidR="00656E1B">
        <w:rPr>
          <w:noProof/>
        </w:rPr>
        <w:t>postb</w:t>
      </w:r>
      <w:r w:rsidR="00D36B58">
        <w:rPr>
          <w:noProof/>
        </w:rPr>
        <w:t>accalaureate, graduate students</w:t>
      </w:r>
      <w:r w:rsidR="00656E1B">
        <w:rPr>
          <w:noProof/>
        </w:rPr>
        <w:t xml:space="preserve">) and varying </w:t>
      </w:r>
      <w:r w:rsidR="00513B2B">
        <w:rPr>
          <w:noProof/>
        </w:rPr>
        <w:t>fellowship periods</w:t>
      </w:r>
      <w:r w:rsidR="00656E1B">
        <w:rPr>
          <w:noProof/>
        </w:rPr>
        <w:t xml:space="preserve"> (3 months to 5 years).  Training at the NCI focuses on the development of science, professional, and career skills. </w:t>
      </w:r>
      <w:r w:rsidR="002424B2">
        <w:rPr>
          <w:noProof/>
        </w:rPr>
        <w:t>Applying to the ICRC program</w:t>
      </w:r>
      <w:r w:rsidR="00C74725">
        <w:rPr>
          <w:noProof/>
        </w:rPr>
        <w:t xml:space="preserve"> through the ICRC website</w:t>
      </w:r>
      <w:r w:rsidR="003E6B9D">
        <w:rPr>
          <w:noProof/>
        </w:rPr>
        <w:t xml:space="preserve"> (</w:t>
      </w:r>
      <w:r w:rsidRPr="003E6B9D" w:rsidR="003E6B9D">
        <w:rPr>
          <w:noProof/>
        </w:rPr>
        <w:t>https://icrc.nci.nih.gov/</w:t>
      </w:r>
      <w:r w:rsidR="003E6B9D">
        <w:rPr>
          <w:noProof/>
        </w:rPr>
        <w:t>)</w:t>
      </w:r>
      <w:r w:rsidR="002424B2">
        <w:rPr>
          <w:noProof/>
        </w:rPr>
        <w:t xml:space="preserve"> is </w:t>
      </w:r>
      <w:r w:rsidR="00C74725">
        <w:rPr>
          <w:noProof/>
        </w:rPr>
        <w:t xml:space="preserve">required </w:t>
      </w:r>
      <w:r w:rsidR="00726B9F">
        <w:rPr>
          <w:noProof/>
        </w:rPr>
        <w:t>for</w:t>
      </w:r>
      <w:r w:rsidR="002424B2">
        <w:rPr>
          <w:noProof/>
        </w:rPr>
        <w:t xml:space="preserve"> candidates to be considered </w:t>
      </w:r>
      <w:r w:rsidR="00726B9F">
        <w:rPr>
          <w:noProof/>
        </w:rPr>
        <w:t>for</w:t>
      </w:r>
      <w:r w:rsidR="00BE487F">
        <w:rPr>
          <w:noProof/>
        </w:rPr>
        <w:t xml:space="preserve"> </w:t>
      </w:r>
      <w:r w:rsidR="002424B2">
        <w:rPr>
          <w:noProof/>
        </w:rPr>
        <w:t>the program</w:t>
      </w:r>
      <w:r w:rsidR="00C74725">
        <w:rPr>
          <w:noProof/>
        </w:rPr>
        <w:t xml:space="preserve">. </w:t>
      </w:r>
    </w:p>
    <w:p w:rsidRPr="00DA1E74" w:rsidR="006211BF" w:rsidP="00BF4042" w:rsidRDefault="006211BF" w14:paraId="008C0A3C" w14:textId="20D361F2"/>
    <w:p w:rsidR="000419AC" w:rsidP="00455259" w:rsidRDefault="00455259" w14:paraId="1C02DBFA" w14:textId="1F2A29C5">
      <w:r w:rsidRPr="00DA1E74">
        <w:t xml:space="preserve">This information collection request is </w:t>
      </w:r>
      <w:r w:rsidR="00294F71">
        <w:t>t</w:t>
      </w:r>
      <w:r w:rsidRPr="00DA1E74">
        <w:t xml:space="preserve">o </w:t>
      </w:r>
      <w:r w:rsidR="001E2FC1">
        <w:t xml:space="preserve">implement the electronic </w:t>
      </w:r>
      <w:r w:rsidR="00013F9D">
        <w:t xml:space="preserve">ICRC </w:t>
      </w:r>
      <w:r w:rsidR="00225755">
        <w:t>A</w:t>
      </w:r>
      <w:r w:rsidR="00013F9D">
        <w:t>pplication.</w:t>
      </w:r>
      <w:r w:rsidRPr="00DA1E74">
        <w:t xml:space="preserve"> </w:t>
      </w:r>
      <w:r w:rsidR="00513B2B">
        <w:t>The ICRC fellowship program</w:t>
      </w:r>
      <w:r w:rsidRPr="00513B2B" w:rsidR="00513B2B">
        <w:t xml:space="preserve"> fulfill</w:t>
      </w:r>
      <w:r w:rsidR="00513B2B">
        <w:t>s</w:t>
      </w:r>
      <w:r w:rsidRPr="00513B2B" w:rsidR="00513B2B">
        <w:t xml:space="preserve"> the requirements of the </w:t>
      </w:r>
      <w:r w:rsidR="00513B2B">
        <w:t>NCI</w:t>
      </w:r>
      <w:r w:rsidRPr="00513B2B" w:rsidR="00513B2B">
        <w:t xml:space="preserve"> training authority as established under Section 413 (b) (3) of the Public Health Service Act, 42 USC 285a-2 (b) (3), as amended pertaining to the NCI, which states that the Director, NCI, in carrying out the National Cancer Program . . . shall . . . "support appropriate programs of education and training (including continuing education and laboratory and clinical research training)</w:t>
      </w:r>
      <w:r w:rsidR="00726B9F">
        <w:t>.”</w:t>
      </w:r>
      <w:r w:rsidRPr="00513B2B" w:rsidR="00513B2B">
        <w:t xml:space="preserve"> Training </w:t>
      </w:r>
      <w:r w:rsidR="00726B9F">
        <w:t>early-career</w:t>
      </w:r>
      <w:r w:rsidRPr="00513B2B" w:rsidR="00513B2B">
        <w:t xml:space="preserve"> scientists is a critical part of the NCI mission.  NCI’s research enterprise is dependent upon the research efforts of these fellows.  Fellows gain comprehensive experience </w:t>
      </w:r>
      <w:r w:rsidRPr="00D71B60" w:rsidR="00D71B60">
        <w:t xml:space="preserve">designing and executing research studies, analyzing data, writing </w:t>
      </w:r>
      <w:r w:rsidRPr="00513B2B" w:rsidR="00513B2B">
        <w:t xml:space="preserve">study results, and </w:t>
      </w:r>
      <w:r w:rsidR="00726B9F">
        <w:t>sometimes</w:t>
      </w:r>
      <w:r w:rsidRPr="00513B2B" w:rsidR="00513B2B">
        <w:t xml:space="preserve"> publishing in peer-reviewed journals.  </w:t>
      </w:r>
    </w:p>
    <w:p w:rsidRPr="006726BA" w:rsidR="006D6479" w:rsidP="00455259" w:rsidRDefault="006D6479" w14:paraId="2F91381E" w14:textId="77777777"/>
    <w:p w:rsidRPr="00DA1E74" w:rsidR="00CA04F3" w:rsidP="00CA04F3" w:rsidRDefault="00CA04F3" w14:paraId="679EFB2B" w14:textId="77777777">
      <w:pPr>
        <w:rPr>
          <w:vanish/>
        </w:rPr>
      </w:pPr>
    </w:p>
    <w:p w:rsidRPr="00DA1E74" w:rsidR="006E557B" w:rsidP="006E557B" w:rsidRDefault="006E557B" w14:paraId="591688FF" w14:textId="77777777">
      <w:pPr>
        <w:pStyle w:val="Heading2"/>
        <w:spacing w:after="0" w:line="480" w:lineRule="auto"/>
        <w:ind w:left="0" w:firstLine="0"/>
        <w:rPr>
          <w:sz w:val="24"/>
          <w:szCs w:val="24"/>
        </w:rPr>
      </w:pPr>
      <w:bookmarkStart w:name="_Toc443881743" w:id="1"/>
      <w:bookmarkStart w:name="_Toc451592232" w:id="2"/>
      <w:bookmarkStart w:name="_Toc5610273" w:id="3"/>
      <w:bookmarkStart w:name="_Toc99178779" w:id="4"/>
      <w:r w:rsidRPr="00DA1E74">
        <w:rPr>
          <w:sz w:val="24"/>
          <w:szCs w:val="24"/>
        </w:rPr>
        <w:t>A.2    Purpose and Use of the Information</w:t>
      </w:r>
      <w:bookmarkEnd w:id="1"/>
      <w:bookmarkEnd w:id="2"/>
      <w:bookmarkEnd w:id="3"/>
      <w:bookmarkEnd w:id="4"/>
      <w:r w:rsidRPr="00DA1E74">
        <w:rPr>
          <w:sz w:val="24"/>
          <w:szCs w:val="24"/>
        </w:rPr>
        <w:t xml:space="preserve"> Collection</w:t>
      </w:r>
    </w:p>
    <w:p w:rsidR="00757310" w:rsidP="00757310" w:rsidRDefault="000264FE" w14:paraId="0B4928F0" w14:textId="76CCEB66">
      <w:pPr>
        <w:autoSpaceDE w:val="0"/>
        <w:autoSpaceDN w:val="0"/>
        <w:adjustRightInd w:val="0"/>
      </w:pPr>
      <w:r w:rsidRPr="000803DA">
        <w:t xml:space="preserve">The purpose of the </w:t>
      </w:r>
      <w:r w:rsidR="009174F7">
        <w:t xml:space="preserve">ICRC Application </w:t>
      </w:r>
      <w:r w:rsidRPr="000803DA">
        <w:t>(</w:t>
      </w:r>
      <w:r w:rsidRPr="000803DA">
        <w:rPr>
          <w:b/>
        </w:rPr>
        <w:t>Attachment 1</w:t>
      </w:r>
      <w:r w:rsidR="00757310">
        <w:rPr>
          <w:b/>
        </w:rPr>
        <w:t>)</w:t>
      </w:r>
      <w:r w:rsidR="00757310">
        <w:t xml:space="preserve"> is to assure that candidates for the ICRC program meet basic eligibility requirements; to assess their potential as future scientists; to determine where mutual research interests exist</w:t>
      </w:r>
      <w:r w:rsidR="00726B9F">
        <w:t>, and</w:t>
      </w:r>
      <w:r w:rsidR="00757310">
        <w:t xml:space="preserve"> to make decisions regarding which applicants will be proposed and approved for fellowship awards.  The information is for internal use to make decisions about prospective fellows and students that could benefit from the ICRC program.  </w:t>
      </w:r>
    </w:p>
    <w:p w:rsidR="00757310" w:rsidP="00757310" w:rsidRDefault="00757310" w14:paraId="7E1C13F2" w14:textId="099DF192">
      <w:pPr>
        <w:autoSpaceDE w:val="0"/>
        <w:autoSpaceDN w:val="0"/>
        <w:adjustRightInd w:val="0"/>
      </w:pPr>
      <w:r>
        <w:t xml:space="preserve"> </w:t>
      </w:r>
    </w:p>
    <w:p w:rsidR="000264FE" w:rsidP="00757310" w:rsidRDefault="00FA0AFF" w14:paraId="51E8EC30" w14:textId="6F56EB4E">
      <w:pPr>
        <w:autoSpaceDE w:val="0"/>
        <w:autoSpaceDN w:val="0"/>
        <w:adjustRightInd w:val="0"/>
      </w:pPr>
      <w:r>
        <w:t>Participation in the ICRC p</w:t>
      </w:r>
      <w:r w:rsidR="00757310">
        <w:t xml:space="preserve">rogram includes U.S. citizens and U.S. permanent residents from populations underrepresented in science and/or financially disadvantaged backgrounds.  The full-time fellowship program may </w:t>
      </w:r>
      <w:r w:rsidR="00726B9F">
        <w:t>consist of</w:t>
      </w:r>
      <w:r w:rsidR="00757310">
        <w:t xml:space="preserve"> college students, post-baccalaureates who have completed either college or master level degrees</w:t>
      </w:r>
      <w:r w:rsidR="00726B9F">
        <w:t>,</w:t>
      </w:r>
      <w:r w:rsidR="00757310">
        <w:t xml:space="preserve"> or graduate students.</w:t>
      </w:r>
    </w:p>
    <w:p w:rsidR="00E34C05" w:rsidP="0014340C" w:rsidRDefault="00E34C05" w14:paraId="7153FC30" w14:textId="77777777">
      <w:pPr>
        <w:autoSpaceDE w:val="0"/>
        <w:autoSpaceDN w:val="0"/>
        <w:adjustRightInd w:val="0"/>
      </w:pPr>
    </w:p>
    <w:p w:rsidRPr="00620742" w:rsidR="00E34C05" w:rsidP="00620742" w:rsidRDefault="007640C7" w14:paraId="7142AB80" w14:textId="1BABDDA3">
      <w:pPr>
        <w:pStyle w:val="P1-StandPara"/>
        <w:tabs>
          <w:tab w:val="left" w:pos="720"/>
          <w:tab w:val="right" w:leader="dot" w:pos="9504"/>
        </w:tabs>
        <w:spacing w:line="240" w:lineRule="auto"/>
        <w:ind w:firstLine="0"/>
        <w:rPr>
          <w:sz w:val="24"/>
          <w:szCs w:val="24"/>
        </w:rPr>
      </w:pPr>
      <w:r w:rsidRPr="00620742">
        <w:rPr>
          <w:sz w:val="24"/>
          <w:szCs w:val="24"/>
        </w:rPr>
        <w:t xml:space="preserve">This request is </w:t>
      </w:r>
      <w:r w:rsidRPr="00620742" w:rsidR="001E2FC1">
        <w:rPr>
          <w:sz w:val="24"/>
          <w:szCs w:val="24"/>
        </w:rPr>
        <w:t xml:space="preserve">to implement the </w:t>
      </w:r>
      <w:r w:rsidRPr="00620742" w:rsidR="00225755">
        <w:rPr>
          <w:sz w:val="24"/>
          <w:szCs w:val="24"/>
        </w:rPr>
        <w:t>electronic version of the ICRC A</w:t>
      </w:r>
      <w:r w:rsidRPr="00620742" w:rsidR="001E2FC1">
        <w:rPr>
          <w:sz w:val="24"/>
          <w:szCs w:val="24"/>
        </w:rPr>
        <w:t>pplication</w:t>
      </w:r>
      <w:r w:rsidRPr="00620742">
        <w:rPr>
          <w:sz w:val="24"/>
          <w:szCs w:val="24"/>
        </w:rPr>
        <w:t xml:space="preserve"> </w:t>
      </w:r>
      <w:r w:rsidRPr="00620742" w:rsidR="00B35CBB">
        <w:rPr>
          <w:b/>
          <w:sz w:val="24"/>
          <w:szCs w:val="24"/>
        </w:rPr>
        <w:t xml:space="preserve">(Attachment </w:t>
      </w:r>
      <w:r w:rsidRPr="00620742" w:rsidR="001E2FC1">
        <w:rPr>
          <w:b/>
          <w:sz w:val="24"/>
          <w:szCs w:val="24"/>
        </w:rPr>
        <w:t>1</w:t>
      </w:r>
      <w:r w:rsidRPr="00620742" w:rsidR="00B35CBB">
        <w:rPr>
          <w:b/>
          <w:sz w:val="24"/>
          <w:szCs w:val="24"/>
        </w:rPr>
        <w:t>)</w:t>
      </w:r>
      <w:r w:rsidRPr="00620742" w:rsidR="00B35CBB">
        <w:rPr>
          <w:sz w:val="24"/>
          <w:szCs w:val="24"/>
        </w:rPr>
        <w:t xml:space="preserve"> </w:t>
      </w:r>
      <w:r w:rsidRPr="00620742">
        <w:rPr>
          <w:sz w:val="24"/>
          <w:szCs w:val="24"/>
        </w:rPr>
        <w:t xml:space="preserve">involving approximately </w:t>
      </w:r>
      <w:r w:rsidRPr="00620742" w:rsidR="007D7427">
        <w:rPr>
          <w:sz w:val="24"/>
          <w:szCs w:val="24"/>
        </w:rPr>
        <w:t xml:space="preserve">120 </w:t>
      </w:r>
      <w:r w:rsidRPr="00620742" w:rsidR="00757310">
        <w:rPr>
          <w:sz w:val="24"/>
          <w:szCs w:val="24"/>
        </w:rPr>
        <w:t>applicants</w:t>
      </w:r>
      <w:r w:rsidRPr="00620742" w:rsidR="00BA3B8C">
        <w:rPr>
          <w:sz w:val="24"/>
          <w:szCs w:val="24"/>
        </w:rPr>
        <w:t xml:space="preserve">.  </w:t>
      </w:r>
      <w:bookmarkStart w:name="_Hlk521488423" w:id="5"/>
      <w:r w:rsidRPr="00620742" w:rsidR="00FA0AFF">
        <w:rPr>
          <w:sz w:val="24"/>
          <w:szCs w:val="24"/>
        </w:rPr>
        <w:t xml:space="preserve">Prospective ICRC fellows must apply directly to NCI.  The </w:t>
      </w:r>
      <w:r w:rsidRPr="00620742" w:rsidR="001F704A">
        <w:rPr>
          <w:sz w:val="24"/>
          <w:szCs w:val="24"/>
        </w:rPr>
        <w:t xml:space="preserve">ICRC </w:t>
      </w:r>
      <w:r w:rsidRPr="00620742" w:rsidR="00225755">
        <w:rPr>
          <w:sz w:val="24"/>
          <w:szCs w:val="24"/>
        </w:rPr>
        <w:t>A</w:t>
      </w:r>
      <w:r w:rsidRPr="00620742" w:rsidR="00FA0AFF">
        <w:rPr>
          <w:sz w:val="24"/>
          <w:szCs w:val="24"/>
        </w:rPr>
        <w:t xml:space="preserve">pplication is web-based and accessible through the NCI </w:t>
      </w:r>
      <w:r w:rsidR="00726B9F">
        <w:rPr>
          <w:sz w:val="24"/>
          <w:szCs w:val="24"/>
        </w:rPr>
        <w:t>website</w:t>
      </w:r>
      <w:r w:rsidRPr="00620742" w:rsidR="00FA0AFF">
        <w:rPr>
          <w:sz w:val="24"/>
          <w:szCs w:val="24"/>
        </w:rPr>
        <w:t xml:space="preserve">: </w:t>
      </w:r>
      <w:hyperlink w:history="1" r:id="rId11">
        <w:r w:rsidRPr="00620742" w:rsidR="001F704A">
          <w:rPr>
            <w:sz w:val="24"/>
            <w:szCs w:val="24"/>
          </w:rPr>
          <w:t>https://icrc.nci.nih.gov/</w:t>
        </w:r>
      </w:hyperlink>
      <w:r w:rsidRPr="00620742" w:rsidR="00FA0AFF">
        <w:rPr>
          <w:sz w:val="24"/>
          <w:szCs w:val="24"/>
        </w:rPr>
        <w:t>.</w:t>
      </w:r>
      <w:r w:rsidRPr="00620742" w:rsidR="001F704A">
        <w:rPr>
          <w:sz w:val="24"/>
          <w:szCs w:val="24"/>
        </w:rPr>
        <w:t xml:space="preserve">  </w:t>
      </w:r>
    </w:p>
    <w:p w:rsidR="00E34C05" w:rsidP="0014340C" w:rsidRDefault="00E34C05" w14:paraId="76A2CB60" w14:textId="77777777">
      <w:pPr>
        <w:autoSpaceDE w:val="0"/>
        <w:autoSpaceDN w:val="0"/>
        <w:adjustRightInd w:val="0"/>
      </w:pPr>
    </w:p>
    <w:p w:rsidR="00FA0AFF" w:rsidP="0014340C" w:rsidRDefault="00FA0AFF" w14:paraId="7E58EE62" w14:textId="6D4B88F2">
      <w:pPr>
        <w:autoSpaceDE w:val="0"/>
        <w:autoSpaceDN w:val="0"/>
        <w:adjustRightInd w:val="0"/>
      </w:pPr>
      <w:r w:rsidRPr="00FA0AFF">
        <w:t xml:space="preserve">Once </w:t>
      </w:r>
      <w:r w:rsidR="00E34C05">
        <w:t xml:space="preserve">the application is </w:t>
      </w:r>
      <w:r w:rsidRPr="00FA0AFF">
        <w:t xml:space="preserve">submitted, the </w:t>
      </w:r>
      <w:r w:rsidR="00E34C05">
        <w:t>system</w:t>
      </w:r>
      <w:r w:rsidRPr="00FA0AFF">
        <w:t xml:space="preserve"> generates an email request to two references who are asked to submit a letter of recommendation on behalf of the applicant.  The email links the</w:t>
      </w:r>
      <w:r w:rsidR="00E34C05">
        <w:t xml:space="preserve"> references </w:t>
      </w:r>
      <w:r w:rsidRPr="00FA0AFF">
        <w:t xml:space="preserve">to an online textbox where they can </w:t>
      </w:r>
      <w:r w:rsidR="007D7427">
        <w:t>type their</w:t>
      </w:r>
      <w:r w:rsidR="001F704A">
        <w:t xml:space="preserve"> reference letter (</w:t>
      </w:r>
      <w:r w:rsidRPr="001F704A" w:rsidR="001F704A">
        <w:rPr>
          <w:b/>
        </w:rPr>
        <w:t xml:space="preserve">Attachment </w:t>
      </w:r>
      <w:r w:rsidR="001E2FC1">
        <w:rPr>
          <w:b/>
        </w:rPr>
        <w:t>2</w:t>
      </w:r>
      <w:r w:rsidR="001F704A">
        <w:t>)</w:t>
      </w:r>
      <w:r w:rsidRPr="00FA0AFF">
        <w:t xml:space="preserve">.  </w:t>
      </w:r>
      <w:r w:rsidR="00FB06F4">
        <w:t xml:space="preserve">Two reference letters are required </w:t>
      </w:r>
      <w:r w:rsidR="007D7427">
        <w:t>for each applicant.</w:t>
      </w:r>
    </w:p>
    <w:bookmarkEnd w:id="5"/>
    <w:p w:rsidR="005510AD" w:rsidP="0014340C" w:rsidRDefault="005510AD" w14:paraId="2D1E07F5" w14:textId="77777777">
      <w:pPr>
        <w:autoSpaceDE w:val="0"/>
        <w:autoSpaceDN w:val="0"/>
        <w:adjustRightInd w:val="0"/>
      </w:pPr>
    </w:p>
    <w:p w:rsidRPr="00891A1A" w:rsidR="009F2F47" w:rsidP="00891A1A" w:rsidRDefault="006E557B" w14:paraId="121FDA2E" w14:textId="7CE5EC34">
      <w:pPr>
        <w:pStyle w:val="Heading2"/>
        <w:spacing w:after="0" w:line="480" w:lineRule="auto"/>
        <w:ind w:left="0" w:firstLine="0"/>
        <w:rPr>
          <w:sz w:val="24"/>
          <w:szCs w:val="24"/>
        </w:rPr>
      </w:pPr>
      <w:bookmarkStart w:name="_Toc443881744" w:id="6"/>
      <w:bookmarkStart w:name="_Toc451592233" w:id="7"/>
      <w:bookmarkStart w:name="_Toc5610274" w:id="8"/>
      <w:bookmarkStart w:name="_Toc99178780" w:id="9"/>
      <w:r w:rsidRPr="00DA1E74">
        <w:rPr>
          <w:sz w:val="24"/>
          <w:szCs w:val="24"/>
        </w:rPr>
        <w:lastRenderedPageBreak/>
        <w:t>A.3     Use of Information Technology and Burden Reduction</w:t>
      </w:r>
      <w:bookmarkEnd w:id="6"/>
      <w:bookmarkEnd w:id="7"/>
      <w:bookmarkEnd w:id="8"/>
      <w:bookmarkEnd w:id="9"/>
    </w:p>
    <w:p w:rsidR="009F2F47" w:rsidP="00994161" w:rsidRDefault="00695A0B" w14:paraId="41CFC16A" w14:textId="537D4C96">
      <w:pPr>
        <w:autoSpaceDE w:val="0"/>
        <w:autoSpaceDN w:val="0"/>
        <w:adjustRightInd w:val="0"/>
      </w:pPr>
      <w:r>
        <w:t>Applicants voluntarily submit their information</w:t>
      </w:r>
      <w:r w:rsidR="00726B9F">
        <w:t>,</w:t>
      </w:r>
      <w:r>
        <w:t xml:space="preserve"> and s</w:t>
      </w:r>
      <w:r w:rsidR="00891A1A">
        <w:t xml:space="preserve">ubmission of an </w:t>
      </w:r>
      <w:r w:rsidR="009F2F47">
        <w:t xml:space="preserve">ICRC </w:t>
      </w:r>
      <w:r w:rsidR="00225755">
        <w:t>A</w:t>
      </w:r>
      <w:r w:rsidR="009F2F47">
        <w:t xml:space="preserve">pplication is required annually to be considered for the program.  The online application was developed </w:t>
      </w:r>
      <w:r w:rsidR="00726B9F">
        <w:t xml:space="preserve">to save time and resources and </w:t>
      </w:r>
      <w:r w:rsidR="009F2F47">
        <w:t xml:space="preserve">lessen the burden </w:t>
      </w:r>
      <w:r w:rsidR="00726B9F">
        <w:t>on</w:t>
      </w:r>
      <w:r w:rsidR="009F2F47">
        <w:t xml:space="preserve"> the applicants, </w:t>
      </w:r>
      <w:r w:rsidR="005F75BE">
        <w:t>references</w:t>
      </w:r>
      <w:r w:rsidR="009F2F47">
        <w:t>, and government employees accessing the applications.</w:t>
      </w:r>
    </w:p>
    <w:p w:rsidR="00994161" w:rsidP="00994161" w:rsidRDefault="00994161" w14:paraId="7E215BD5" w14:textId="097E85C6">
      <w:pPr>
        <w:pStyle w:val="P1-StandPara"/>
        <w:spacing w:line="240" w:lineRule="auto"/>
        <w:ind w:firstLine="0"/>
      </w:pPr>
    </w:p>
    <w:p w:rsidR="00695A0B" w:rsidP="00891A1A" w:rsidRDefault="00891A1A" w14:paraId="7FFF2511" w14:textId="7A866B5C">
      <w:pPr>
        <w:pStyle w:val="P1-StandPara"/>
        <w:spacing w:line="240" w:lineRule="auto"/>
        <w:ind w:firstLine="0"/>
        <w:rPr>
          <w:sz w:val="24"/>
          <w:szCs w:val="24"/>
        </w:rPr>
      </w:pPr>
      <w:r w:rsidRPr="007D7427">
        <w:rPr>
          <w:sz w:val="24"/>
          <w:szCs w:val="24"/>
        </w:rPr>
        <w:t xml:space="preserve">The application is web-based.  The applicant will receive an automated email confirming </w:t>
      </w:r>
      <w:r w:rsidR="00C80DB3">
        <w:rPr>
          <w:sz w:val="24"/>
          <w:szCs w:val="24"/>
        </w:rPr>
        <w:t xml:space="preserve">receipt of </w:t>
      </w:r>
      <w:r w:rsidRPr="007D7427">
        <w:rPr>
          <w:sz w:val="24"/>
          <w:szCs w:val="24"/>
        </w:rPr>
        <w:t>submission</w:t>
      </w:r>
      <w:r w:rsidR="00C80DB3">
        <w:rPr>
          <w:sz w:val="24"/>
          <w:szCs w:val="24"/>
        </w:rPr>
        <w:t xml:space="preserve"> </w:t>
      </w:r>
      <w:r w:rsidRPr="00160496" w:rsidR="00C80DB3">
        <w:rPr>
          <w:b/>
          <w:sz w:val="24"/>
          <w:szCs w:val="24"/>
        </w:rPr>
        <w:t>(Attachment 3)</w:t>
      </w:r>
      <w:r w:rsidRPr="007D7427" w:rsidR="00994161">
        <w:rPr>
          <w:sz w:val="24"/>
          <w:szCs w:val="24"/>
        </w:rPr>
        <w:t>.</w:t>
      </w:r>
      <w:r w:rsidRPr="007D7427">
        <w:rPr>
          <w:sz w:val="24"/>
          <w:szCs w:val="24"/>
        </w:rPr>
        <w:t xml:space="preserve">  </w:t>
      </w:r>
      <w:r w:rsidR="00C80DB3">
        <w:rPr>
          <w:sz w:val="24"/>
          <w:szCs w:val="24"/>
        </w:rPr>
        <w:t xml:space="preserve">In addition, the online application system triggers 12 additional automatic emails for a variety of reasons that include: in </w:t>
      </w:r>
      <w:r w:rsidR="00726B9F">
        <w:rPr>
          <w:sz w:val="24"/>
          <w:szCs w:val="24"/>
        </w:rPr>
        <w:t xml:space="preserve">the </w:t>
      </w:r>
      <w:r w:rsidR="00C80DB3">
        <w:rPr>
          <w:sz w:val="24"/>
          <w:szCs w:val="24"/>
        </w:rPr>
        <w:t xml:space="preserve">process (a submission that has been started but not completed), missing items on a submission, letters of reference, ineligibility, selected, not selected, or alternates for the program, visit accepted, internship offered, offer accepted emails </w:t>
      </w:r>
      <w:r w:rsidRPr="00160496" w:rsidR="00C80DB3">
        <w:rPr>
          <w:b/>
          <w:sz w:val="24"/>
          <w:szCs w:val="24"/>
        </w:rPr>
        <w:t>(Attachment 3)</w:t>
      </w:r>
      <w:r w:rsidR="00C80DB3">
        <w:rPr>
          <w:sz w:val="24"/>
          <w:szCs w:val="24"/>
        </w:rPr>
        <w:t xml:space="preserve">. </w:t>
      </w:r>
    </w:p>
    <w:p w:rsidRPr="005443FA" w:rsidR="00B930B0" w:rsidP="00B930B0" w:rsidRDefault="00B930B0" w14:paraId="25E76E1C" w14:textId="77777777">
      <w:pPr>
        <w:pStyle w:val="P1-StandPara"/>
        <w:spacing w:line="240" w:lineRule="auto"/>
        <w:ind w:firstLine="0"/>
        <w:rPr>
          <w:sz w:val="24"/>
          <w:szCs w:val="24"/>
        </w:rPr>
      </w:pPr>
    </w:p>
    <w:p w:rsidRPr="00C571B0" w:rsidR="00695A0B" w:rsidP="00891A1A" w:rsidRDefault="00B930B0" w14:paraId="378FFF97" w14:textId="5904C530">
      <w:pPr>
        <w:pStyle w:val="P1-StandPara"/>
        <w:spacing w:line="240" w:lineRule="auto"/>
        <w:ind w:firstLine="0"/>
        <w:rPr>
          <w:sz w:val="24"/>
          <w:szCs w:val="24"/>
        </w:rPr>
      </w:pPr>
      <w:r w:rsidRPr="00C571B0">
        <w:rPr>
          <w:sz w:val="24"/>
          <w:szCs w:val="24"/>
        </w:rPr>
        <w:t xml:space="preserve">The applicant’s information is stored on information systems protected at all entry points by firewalls and intrusion detection devices.  Information collected is only made available </w:t>
      </w:r>
      <w:r w:rsidRPr="00C571B0" w:rsidR="00160496">
        <w:rPr>
          <w:sz w:val="24"/>
          <w:szCs w:val="24"/>
        </w:rPr>
        <w:t>once an NCI account holder has requested access to the system.  The ICRC Program manager will then grant access to these NCI staff (typically scientific staff members or anyone who will be interviewing candidates) who have requested access</w:t>
      </w:r>
      <w:r w:rsidRPr="00C571B0">
        <w:rPr>
          <w:sz w:val="24"/>
          <w:szCs w:val="24"/>
        </w:rPr>
        <w:t>.  Applications for current trainees will be kept in the system f</w:t>
      </w:r>
      <w:r w:rsidRPr="00C571B0" w:rsidR="00160496">
        <w:rPr>
          <w:sz w:val="24"/>
          <w:szCs w:val="24"/>
        </w:rPr>
        <w:t xml:space="preserve">or close to one year from </w:t>
      </w:r>
      <w:r w:rsidR="00726B9F">
        <w:rPr>
          <w:sz w:val="24"/>
          <w:szCs w:val="24"/>
        </w:rPr>
        <w:t>when</w:t>
      </w:r>
      <w:r w:rsidRPr="00C571B0" w:rsidR="00160496">
        <w:rPr>
          <w:sz w:val="24"/>
          <w:szCs w:val="24"/>
        </w:rPr>
        <w:t xml:space="preserve"> they apply to when the new cycle opens.  </w:t>
      </w:r>
    </w:p>
    <w:p w:rsidRPr="00C571B0" w:rsidR="005443FA" w:rsidP="00891A1A" w:rsidRDefault="005443FA" w14:paraId="142C2348" w14:textId="77777777">
      <w:pPr>
        <w:pStyle w:val="P1-StandPara"/>
        <w:spacing w:line="240" w:lineRule="auto"/>
        <w:ind w:firstLine="0"/>
        <w:rPr>
          <w:sz w:val="24"/>
          <w:szCs w:val="24"/>
        </w:rPr>
      </w:pPr>
    </w:p>
    <w:p w:rsidR="00695A0B" w:rsidP="00891A1A" w:rsidRDefault="002420E2" w14:paraId="7504E8A1" w14:textId="0D733AB5">
      <w:pPr>
        <w:pStyle w:val="P1-StandPara"/>
        <w:spacing w:line="240" w:lineRule="auto"/>
        <w:ind w:firstLine="0"/>
        <w:rPr>
          <w:sz w:val="24"/>
          <w:szCs w:val="24"/>
        </w:rPr>
      </w:pPr>
      <w:r w:rsidRPr="00C571B0">
        <w:rPr>
          <w:sz w:val="24"/>
          <w:szCs w:val="24"/>
        </w:rPr>
        <w:t>The NCI Privacy Act Coordinator was consulted, and a Privacy Impact Assessment (PIA)</w:t>
      </w:r>
      <w:r w:rsidR="003958EE">
        <w:rPr>
          <w:sz w:val="24"/>
          <w:szCs w:val="24"/>
        </w:rPr>
        <w:t xml:space="preserve"> </w:t>
      </w:r>
      <w:r w:rsidR="00DA1E53">
        <w:rPr>
          <w:sz w:val="24"/>
          <w:szCs w:val="24"/>
        </w:rPr>
        <w:t xml:space="preserve">is </w:t>
      </w:r>
      <w:r w:rsidR="003958EE">
        <w:rPr>
          <w:sz w:val="24"/>
          <w:szCs w:val="24"/>
        </w:rPr>
        <w:t xml:space="preserve">required.  </w:t>
      </w:r>
      <w:r w:rsidRPr="00C571B0" w:rsidR="00D85560">
        <w:rPr>
          <w:b/>
          <w:sz w:val="24"/>
          <w:szCs w:val="24"/>
        </w:rPr>
        <w:t>(Attachment 4)</w:t>
      </w:r>
      <w:r w:rsidRPr="00C571B0" w:rsidR="00684ED5">
        <w:rPr>
          <w:b/>
          <w:sz w:val="24"/>
          <w:szCs w:val="24"/>
        </w:rPr>
        <w:t>.</w:t>
      </w:r>
      <w:r w:rsidRPr="00C571B0" w:rsidR="00684ED5">
        <w:rPr>
          <w:sz w:val="24"/>
          <w:szCs w:val="24"/>
        </w:rPr>
        <w:t xml:space="preserve">  </w:t>
      </w:r>
    </w:p>
    <w:p w:rsidRPr="00DA1E74" w:rsidR="006E557B" w:rsidP="006E557B" w:rsidRDefault="006E557B" w14:paraId="3E58102E" w14:textId="56E59BA1"/>
    <w:p w:rsidRPr="007D7427" w:rsidR="004A2F05" w:rsidP="00735C41" w:rsidRDefault="006E557B" w14:paraId="5371936B" w14:textId="77777777">
      <w:pPr>
        <w:pStyle w:val="Heading2"/>
        <w:spacing w:after="0" w:line="480" w:lineRule="auto"/>
        <w:ind w:left="0" w:firstLine="0"/>
        <w:rPr>
          <w:sz w:val="24"/>
          <w:szCs w:val="24"/>
        </w:rPr>
      </w:pPr>
      <w:bookmarkStart w:name="_Toc443881745" w:id="10"/>
      <w:bookmarkStart w:name="_Toc451592234" w:id="11"/>
      <w:bookmarkStart w:name="_Toc5610275" w:id="12"/>
      <w:bookmarkStart w:name="_Toc99178781" w:id="13"/>
      <w:r w:rsidRPr="007D7427">
        <w:rPr>
          <w:sz w:val="24"/>
          <w:szCs w:val="24"/>
        </w:rPr>
        <w:t>A.4</w:t>
      </w:r>
      <w:r w:rsidRPr="007D7427">
        <w:rPr>
          <w:sz w:val="24"/>
          <w:szCs w:val="24"/>
        </w:rPr>
        <w:tab/>
        <w:t>Efforts to Identify Duplication and Use of Similar Information</w:t>
      </w:r>
      <w:bookmarkEnd w:id="10"/>
      <w:bookmarkEnd w:id="11"/>
      <w:bookmarkEnd w:id="12"/>
      <w:bookmarkEnd w:id="13"/>
    </w:p>
    <w:p w:rsidR="005C613F" w:rsidP="005C613F" w:rsidRDefault="009279CE" w14:paraId="36535F0E" w14:textId="65E8F2D9">
      <w:pPr>
        <w:spacing w:after="240"/>
      </w:pPr>
      <w:r w:rsidRPr="007C0266">
        <w:t xml:space="preserve">This information will not </w:t>
      </w:r>
      <w:r w:rsidRPr="007C0266">
        <w:rPr>
          <w:noProof/>
        </w:rPr>
        <w:t>be collected</w:t>
      </w:r>
      <w:r w:rsidRPr="007C0266">
        <w:t xml:space="preserve"> anywhere else and </w:t>
      </w:r>
      <w:r w:rsidRPr="007C0266" w:rsidR="007640C7">
        <w:t xml:space="preserve">is </w:t>
      </w:r>
      <w:r w:rsidRPr="007C0266">
        <w:t xml:space="preserve">unique to </w:t>
      </w:r>
      <w:r w:rsidRPr="007C0266" w:rsidR="002C7065">
        <w:t xml:space="preserve">the </w:t>
      </w:r>
      <w:r w:rsidRPr="007C0266" w:rsidR="00891A1A">
        <w:t>candidate’s application.</w:t>
      </w:r>
      <w:r w:rsidRPr="007C0266" w:rsidR="00FE0CEE">
        <w:t xml:space="preserve">  </w:t>
      </w:r>
      <w:r w:rsidRPr="007C0266" w:rsidR="00366AB2">
        <w:t xml:space="preserve">  The ICRC application is unique in that application collection begins in early September and closes in Mid-November.  NIH’s application system </w:t>
      </w:r>
      <w:r w:rsidR="00E7773D">
        <w:t>(</w:t>
      </w:r>
      <w:r w:rsidRPr="00E7773D" w:rsidR="00E7773D">
        <w:t>NIH Office of Intramural Training &amp; Education Application (OD)</w:t>
      </w:r>
      <w:r w:rsidR="00E7773D">
        <w:t xml:space="preserve">, OMB # 0925-0299, Expiration Date, </w:t>
      </w:r>
      <w:r w:rsidR="00806E8D">
        <w:t>5/31/2024</w:t>
      </w:r>
      <w:r w:rsidRPr="007C0266" w:rsidR="00366AB2">
        <w:t xml:space="preserve">. </w:t>
      </w:r>
      <w:r w:rsidRPr="00C911C1" w:rsidR="00C911C1">
        <w:rPr>
          <w:color w:val="000000" w:themeColor="text1"/>
        </w:rPr>
        <w:t>The collection forms are either open year-round or have specific time periods for collections.</w:t>
      </w:r>
      <w:r w:rsidRPr="00B128BD" w:rsidR="00C911C1">
        <w:rPr>
          <w:rFonts w:ascii="Arial" w:hAnsi="Arial" w:cs="Arial"/>
          <w:color w:val="000000" w:themeColor="text1"/>
          <w:sz w:val="20"/>
          <w:szCs w:val="20"/>
        </w:rPr>
        <w:t xml:space="preserve">  </w:t>
      </w:r>
      <w:r w:rsidRPr="007C0266" w:rsidR="00366AB2">
        <w:t xml:space="preserve"> This </w:t>
      </w:r>
      <w:r w:rsidR="00726B9F">
        <w:t>period</w:t>
      </w:r>
      <w:r w:rsidRPr="007C0266" w:rsidR="00366AB2">
        <w:t xml:space="preserve"> would not work for the ICRC program.</w:t>
      </w:r>
      <w:bookmarkStart w:name="_Toc443881746" w:id="14"/>
      <w:bookmarkStart w:name="_Toc451592235" w:id="15"/>
      <w:bookmarkStart w:name="_Toc5610276" w:id="16"/>
      <w:bookmarkStart w:name="_Toc99178782" w:id="17"/>
    </w:p>
    <w:p w:rsidRPr="007D7427" w:rsidR="00B41EC6" w:rsidP="00B41EC6" w:rsidRDefault="00B41EC6" w14:paraId="14F97676" w14:textId="6FDE1833">
      <w:pPr>
        <w:pStyle w:val="Heading2"/>
        <w:spacing w:after="0" w:line="480" w:lineRule="auto"/>
        <w:ind w:left="720" w:hanging="720"/>
        <w:rPr>
          <w:sz w:val="24"/>
          <w:szCs w:val="24"/>
        </w:rPr>
      </w:pPr>
      <w:r w:rsidRPr="007D7427">
        <w:rPr>
          <w:sz w:val="24"/>
          <w:szCs w:val="24"/>
        </w:rPr>
        <w:t>A.5</w:t>
      </w:r>
      <w:r w:rsidRPr="007D7427">
        <w:rPr>
          <w:sz w:val="24"/>
          <w:szCs w:val="24"/>
        </w:rPr>
        <w:tab/>
        <w:t>Impact on Small Businesses or Other Small Entities</w:t>
      </w:r>
      <w:bookmarkEnd w:id="14"/>
      <w:bookmarkEnd w:id="15"/>
      <w:bookmarkEnd w:id="16"/>
      <w:bookmarkEnd w:id="17"/>
    </w:p>
    <w:p w:rsidRPr="007D7427" w:rsidR="00B41EC6" w:rsidP="006E557B" w:rsidRDefault="00960F21" w14:paraId="41424E21" w14:textId="3EF78035">
      <w:r w:rsidRPr="007D7427">
        <w:t>There is no impact on small businesses or other small entities.</w:t>
      </w:r>
    </w:p>
    <w:p w:rsidRPr="007D7427" w:rsidR="00B41EC6" w:rsidP="006E557B" w:rsidRDefault="00B41EC6" w14:paraId="661EE2A0" w14:textId="77777777"/>
    <w:p w:rsidRPr="007D7427" w:rsidR="00DA487D" w:rsidP="00735C41" w:rsidRDefault="00B41EC6" w14:paraId="49E90A70" w14:textId="77777777">
      <w:pPr>
        <w:pStyle w:val="Heading2"/>
        <w:spacing w:after="0" w:line="480" w:lineRule="auto"/>
        <w:ind w:left="720" w:hanging="720"/>
        <w:rPr>
          <w:sz w:val="24"/>
          <w:szCs w:val="24"/>
        </w:rPr>
      </w:pPr>
      <w:bookmarkStart w:name="_Toc443881747" w:id="18"/>
      <w:bookmarkStart w:name="_Toc451592236" w:id="19"/>
      <w:bookmarkStart w:name="_Toc5610277" w:id="20"/>
      <w:bookmarkStart w:name="_Toc99178783" w:id="21"/>
      <w:r w:rsidRPr="007D7427">
        <w:rPr>
          <w:sz w:val="24"/>
          <w:szCs w:val="24"/>
        </w:rPr>
        <w:t>A.6</w:t>
      </w:r>
      <w:r w:rsidRPr="007D7427">
        <w:rPr>
          <w:sz w:val="24"/>
          <w:szCs w:val="24"/>
        </w:rPr>
        <w:tab/>
        <w:t>Consequences of Collecting the Information Less Frequently</w:t>
      </w:r>
      <w:bookmarkEnd w:id="18"/>
      <w:bookmarkEnd w:id="19"/>
      <w:bookmarkEnd w:id="20"/>
      <w:bookmarkEnd w:id="21"/>
    </w:p>
    <w:p w:rsidR="00B41EC6" w:rsidP="005C613F" w:rsidRDefault="00EF0208" w14:paraId="5D7EE679" w14:textId="775A2096">
      <w:pPr>
        <w:autoSpaceDE w:val="0"/>
        <w:autoSpaceDN w:val="0"/>
        <w:adjustRightInd w:val="0"/>
        <w:spacing w:after="240"/>
      </w:pPr>
      <w:r w:rsidRPr="00A72B62">
        <w:t xml:space="preserve">Applicants can apply </w:t>
      </w:r>
      <w:r w:rsidRPr="00A72B62" w:rsidR="00D85560">
        <w:t>once per yea</w:t>
      </w:r>
      <w:r w:rsidR="00D85560">
        <w:t xml:space="preserve">r, </w:t>
      </w:r>
      <w:r w:rsidRPr="00A72B62">
        <w:t xml:space="preserve">between September and mid-November.  Once they </w:t>
      </w:r>
      <w:r w:rsidR="00726B9F">
        <w:t>apply</w:t>
      </w:r>
      <w:r w:rsidRPr="00A72B62" w:rsidR="00620742">
        <w:t>,</w:t>
      </w:r>
      <w:r w:rsidRPr="00A72B62">
        <w:t xml:space="preserve"> they cannot modify </w:t>
      </w:r>
      <w:r w:rsidRPr="00A72B62" w:rsidR="00366AB2">
        <w:t>the application</w:t>
      </w:r>
      <w:r w:rsidRPr="00A72B62">
        <w:t xml:space="preserve">.  </w:t>
      </w:r>
      <w:r w:rsidRPr="00A72B62" w:rsidR="00366AB2">
        <w:t>However, applicants can</w:t>
      </w:r>
      <w:r w:rsidRPr="00A72B62">
        <w:t xml:space="preserve"> upload required documents once submitted up until the application deadline.  ICRC staff </w:t>
      </w:r>
      <w:r w:rsidR="00726B9F">
        <w:t>can</w:t>
      </w:r>
      <w:r w:rsidRPr="00A72B62">
        <w:t xml:space="preserve"> modify an application </w:t>
      </w:r>
      <w:r w:rsidRPr="00A72B62" w:rsidR="00366AB2">
        <w:t>after it has been submitted.</w:t>
      </w:r>
      <w:r w:rsidR="00A72B62">
        <w:t xml:space="preserve"> </w:t>
      </w:r>
      <w:r w:rsidRPr="00A72B62" w:rsidR="00DE002E">
        <w:t xml:space="preserve">The ICRC Application opens annually for applicants on September 1 and closes </w:t>
      </w:r>
      <w:r w:rsidRPr="00A72B62" w:rsidR="00366AB2">
        <w:t xml:space="preserve">in </w:t>
      </w:r>
      <w:r w:rsidR="00726B9F">
        <w:t>mid-November</w:t>
      </w:r>
      <w:r w:rsidRPr="00A72B62" w:rsidR="00DE002E">
        <w:t xml:space="preserve">.  </w:t>
      </w:r>
      <w:r w:rsidR="00806E8D">
        <w:t>This submission is anticipated to</w:t>
      </w:r>
      <w:r w:rsidRPr="00A72B62" w:rsidR="00DE002E">
        <w:t xml:space="preserve"> cover </w:t>
      </w:r>
      <w:r w:rsidR="00806E8D">
        <w:t xml:space="preserve">the </w:t>
      </w:r>
      <w:r w:rsidRPr="00A72B62" w:rsidR="00DE002E">
        <w:t>20</w:t>
      </w:r>
      <w:r w:rsidR="00726B9F">
        <w:t>22</w:t>
      </w:r>
      <w:r w:rsidRPr="00A72B62" w:rsidR="00DE002E">
        <w:t>, 20</w:t>
      </w:r>
      <w:r w:rsidR="00726B9F">
        <w:t>23</w:t>
      </w:r>
      <w:r w:rsidRPr="00A72B62" w:rsidR="00DE002E">
        <w:t>, and 20</w:t>
      </w:r>
      <w:r w:rsidR="00726B9F">
        <w:t>24</w:t>
      </w:r>
      <w:r w:rsidRPr="00A72B62" w:rsidR="00DE002E">
        <w:t xml:space="preserve"> application cycles</w:t>
      </w:r>
      <w:r w:rsidR="006D6479">
        <w:t>.</w:t>
      </w:r>
      <w:r w:rsidR="00DE002E">
        <w:t xml:space="preserve">  </w:t>
      </w:r>
    </w:p>
    <w:p w:rsidRPr="005C613F" w:rsidR="006D6479" w:rsidP="005C613F" w:rsidRDefault="006D6479" w14:paraId="5AE03476" w14:textId="77777777">
      <w:pPr>
        <w:autoSpaceDE w:val="0"/>
        <w:autoSpaceDN w:val="0"/>
        <w:adjustRightInd w:val="0"/>
        <w:spacing w:after="240"/>
        <w:rPr>
          <w:vanish/>
        </w:rPr>
      </w:pPr>
    </w:p>
    <w:p w:rsidRPr="007D7427" w:rsidR="00B41EC6" w:rsidP="002C7065" w:rsidRDefault="00B41EC6" w14:paraId="685CA691" w14:textId="77777777">
      <w:pPr>
        <w:pStyle w:val="Heading2"/>
        <w:tabs>
          <w:tab w:val="clear" w:pos="1152"/>
          <w:tab w:val="left" w:pos="720"/>
        </w:tabs>
        <w:spacing w:after="0" w:line="480" w:lineRule="auto"/>
        <w:ind w:left="0" w:firstLine="0"/>
        <w:rPr>
          <w:sz w:val="24"/>
          <w:szCs w:val="24"/>
        </w:rPr>
      </w:pPr>
      <w:bookmarkStart w:name="_Toc443881748" w:id="22"/>
      <w:bookmarkStart w:name="_Toc451592237" w:id="23"/>
      <w:bookmarkStart w:name="_Toc5610278" w:id="24"/>
      <w:bookmarkStart w:name="_Toc99178784" w:id="25"/>
      <w:r w:rsidRPr="007D7427">
        <w:rPr>
          <w:sz w:val="24"/>
          <w:szCs w:val="24"/>
        </w:rPr>
        <w:t>A.7</w:t>
      </w:r>
      <w:r w:rsidRPr="007D7427" w:rsidR="002C7065">
        <w:rPr>
          <w:sz w:val="24"/>
          <w:szCs w:val="24"/>
        </w:rPr>
        <w:tab/>
      </w:r>
      <w:r w:rsidRPr="007D7427">
        <w:rPr>
          <w:sz w:val="24"/>
          <w:szCs w:val="24"/>
        </w:rPr>
        <w:t>Special Circumstances Relating to the Guidelines of 5 CFR 1320.5</w:t>
      </w:r>
      <w:bookmarkEnd w:id="22"/>
      <w:bookmarkEnd w:id="23"/>
      <w:bookmarkEnd w:id="24"/>
      <w:bookmarkEnd w:id="25"/>
    </w:p>
    <w:p w:rsidRPr="00ED7B44" w:rsidR="00CA04F3" w:rsidP="00ED7B44" w:rsidRDefault="00B56B34" w14:paraId="413F9A72" w14:textId="56151BCD">
      <w:pPr>
        <w:autoSpaceDE w:val="0"/>
        <w:autoSpaceDN w:val="0"/>
        <w:adjustRightInd w:val="0"/>
      </w:pPr>
      <w:r w:rsidRPr="007D7427">
        <w:t>There are no special circumstances</w:t>
      </w:r>
      <w:r w:rsidR="00EE2176">
        <w:t xml:space="preserve"> relating to the Guidelines of 5 CFR 1320.5</w:t>
      </w:r>
      <w:r w:rsidRPr="007D7427">
        <w:t>.</w:t>
      </w:r>
    </w:p>
    <w:p w:rsidRPr="007D7427" w:rsidR="00C94EE3" w:rsidP="00C94EE3" w:rsidRDefault="00C94EE3" w14:paraId="4014EFF0" w14:textId="77777777"/>
    <w:p w:rsidRPr="005C613F" w:rsidR="005C613F" w:rsidP="005C613F" w:rsidRDefault="005C613F" w14:paraId="04C2DAB3" w14:textId="77777777">
      <w:pPr>
        <w:autoSpaceDE w:val="0"/>
        <w:autoSpaceDN w:val="0"/>
        <w:adjustRightInd w:val="0"/>
        <w:spacing w:after="240"/>
        <w:outlineLvl w:val="0"/>
        <w:rPr>
          <w:b/>
        </w:rPr>
      </w:pPr>
      <w:bookmarkStart w:name="_Toc443881749" w:id="26"/>
      <w:bookmarkStart w:name="_Toc451592238" w:id="27"/>
      <w:bookmarkStart w:name="_Toc5610279" w:id="28"/>
      <w:bookmarkStart w:name="_Toc99178785" w:id="29"/>
      <w:r w:rsidRPr="005C613F">
        <w:rPr>
          <w:b/>
        </w:rPr>
        <w:lastRenderedPageBreak/>
        <w:t>A.8</w:t>
      </w:r>
      <w:r w:rsidRPr="005C613F">
        <w:rPr>
          <w:b/>
        </w:rPr>
        <w:tab/>
        <w:t>Comments in Response to the Federal Register Notice and Efforts to Consult Outside Agency</w:t>
      </w:r>
    </w:p>
    <w:p w:rsidRPr="005C613F" w:rsidR="005C613F" w:rsidP="005C613F" w:rsidRDefault="005C613F" w14:paraId="424CB61B" w14:textId="77777777">
      <w:pPr>
        <w:autoSpaceDE w:val="0"/>
        <w:autoSpaceDN w:val="0"/>
        <w:adjustRightInd w:val="0"/>
        <w:outlineLvl w:val="0"/>
        <w:rPr>
          <w:bCs/>
        </w:rPr>
      </w:pPr>
      <w:r w:rsidRPr="005C613F">
        <w:rPr>
          <w:bCs/>
        </w:rPr>
        <w:t>N/A</w:t>
      </w:r>
    </w:p>
    <w:bookmarkEnd w:id="26"/>
    <w:bookmarkEnd w:id="27"/>
    <w:bookmarkEnd w:id="28"/>
    <w:bookmarkEnd w:id="29"/>
    <w:p w:rsidRPr="007D7427" w:rsidR="004A70E1" w:rsidP="005C613F" w:rsidRDefault="004A70E1" w14:paraId="4BC91FF5" w14:textId="77777777"/>
    <w:p w:rsidRPr="007D7427" w:rsidR="008439EE" w:rsidP="00735C41" w:rsidRDefault="0005035B" w14:paraId="7DDBDDBB" w14:textId="77777777">
      <w:pPr>
        <w:pStyle w:val="Heading2"/>
        <w:spacing w:after="0" w:line="480" w:lineRule="auto"/>
        <w:ind w:left="720" w:hanging="720"/>
        <w:rPr>
          <w:sz w:val="24"/>
          <w:szCs w:val="24"/>
        </w:rPr>
      </w:pPr>
      <w:bookmarkStart w:name="_Toc443881750" w:id="30"/>
      <w:bookmarkStart w:name="_Toc451592239" w:id="31"/>
      <w:bookmarkStart w:name="_Toc5610280" w:id="32"/>
      <w:bookmarkStart w:name="_Toc99178786" w:id="33"/>
      <w:r w:rsidRPr="007D7427">
        <w:rPr>
          <w:sz w:val="24"/>
          <w:szCs w:val="24"/>
        </w:rPr>
        <w:t>A.9</w:t>
      </w:r>
      <w:r w:rsidRPr="007D7427">
        <w:rPr>
          <w:sz w:val="24"/>
          <w:szCs w:val="24"/>
        </w:rPr>
        <w:tab/>
        <w:t>Explanation of Any Payment of Gift to Respondents</w:t>
      </w:r>
      <w:bookmarkEnd w:id="30"/>
      <w:bookmarkEnd w:id="31"/>
      <w:bookmarkEnd w:id="32"/>
      <w:bookmarkEnd w:id="33"/>
    </w:p>
    <w:p w:rsidRPr="007D7427" w:rsidR="00455259" w:rsidP="00253C78" w:rsidRDefault="00B56B34" w14:paraId="154AF330" w14:textId="4A788172">
      <w:r w:rsidRPr="007D7427">
        <w:t>Neither payments nor gifts will be provided to respondents.</w:t>
      </w:r>
    </w:p>
    <w:p w:rsidR="00CA04F3" w:rsidP="00CA04F3" w:rsidRDefault="00CA04F3" w14:paraId="77603966" w14:textId="54F116ED"/>
    <w:p w:rsidRPr="007D7427" w:rsidR="00CA58BB" w:rsidP="00CA04F3" w:rsidRDefault="00CA58BB" w14:paraId="40096800" w14:textId="77777777">
      <w:pPr>
        <w:rPr>
          <w:vanish/>
        </w:rPr>
      </w:pPr>
    </w:p>
    <w:p w:rsidRPr="007D7427" w:rsidR="00B459A9" w:rsidP="00735C41" w:rsidRDefault="0005035B" w14:paraId="4186EA67" w14:textId="513EAB14">
      <w:pPr>
        <w:pStyle w:val="Heading2"/>
        <w:spacing w:after="0" w:line="480" w:lineRule="auto"/>
        <w:ind w:left="720" w:hanging="720"/>
        <w:rPr>
          <w:sz w:val="24"/>
          <w:szCs w:val="24"/>
        </w:rPr>
      </w:pPr>
      <w:bookmarkStart w:name="_Toc443881751" w:id="34"/>
      <w:bookmarkStart w:name="_Toc451592240" w:id="35"/>
      <w:bookmarkStart w:name="_Toc5610281" w:id="36"/>
      <w:bookmarkStart w:name="_Toc99178787" w:id="37"/>
      <w:r w:rsidRPr="007D7427">
        <w:rPr>
          <w:sz w:val="24"/>
          <w:szCs w:val="24"/>
        </w:rPr>
        <w:t>A.10</w:t>
      </w:r>
      <w:r w:rsidRPr="007D7427">
        <w:rPr>
          <w:sz w:val="24"/>
          <w:szCs w:val="24"/>
        </w:rPr>
        <w:tab/>
        <w:t>Assurance of Confidentiality Provided to Respondents</w:t>
      </w:r>
      <w:bookmarkEnd w:id="34"/>
      <w:bookmarkEnd w:id="35"/>
      <w:bookmarkEnd w:id="36"/>
      <w:bookmarkEnd w:id="37"/>
    </w:p>
    <w:p w:rsidR="00795F75" w:rsidP="00795F75" w:rsidRDefault="000D30FE" w14:paraId="1F563A2F" w14:textId="4C1D3C79">
      <w:r w:rsidRPr="007D7427">
        <w:t xml:space="preserve">Only applicants will have the ability to initiate their applications using a </w:t>
      </w:r>
      <w:r w:rsidR="00726B9F">
        <w:t>password-protected</w:t>
      </w:r>
      <w:r w:rsidRPr="007D7427">
        <w:t xml:space="preserve"> login </w:t>
      </w:r>
      <w:r w:rsidRPr="007D7427" w:rsidR="007F3FA7">
        <w:t>of their choice.</w:t>
      </w:r>
      <w:r w:rsidR="00795F75">
        <w:t xml:space="preserve">  ICRC program managers will have the ability to review all submitted applications.  A group of NCI staff (mainly NCI </w:t>
      </w:r>
      <w:r w:rsidR="00726B9F">
        <w:t>Principal</w:t>
      </w:r>
      <w:r w:rsidR="00795F75">
        <w:t xml:space="preserve"> Investigators) will review all eligible applications and select the top 18 applicants who will be the ICRC participants.  After the 18 candidates have been selected, any NCI staff member can request access to review applications.  ICRC program managers manage this access</w:t>
      </w:r>
      <w:r w:rsidR="00726B9F">
        <w:t>,</w:t>
      </w:r>
      <w:r w:rsidR="00795F75">
        <w:t xml:space="preserve"> and NCI staff who request access to review application</w:t>
      </w:r>
      <w:r w:rsidRPr="007D7427" w:rsidR="007F3FA7">
        <w:t xml:space="preserve"> </w:t>
      </w:r>
    </w:p>
    <w:p w:rsidR="00795F75" w:rsidP="00795F75" w:rsidRDefault="00795F75" w14:paraId="6CD5F70D" w14:textId="77777777"/>
    <w:p w:rsidR="000D30FE" w:rsidP="00CA04F3" w:rsidRDefault="003F6C68" w14:paraId="56FA4EBE" w14:textId="7617EB99">
      <w:r w:rsidRPr="00FF52F6">
        <w:t xml:space="preserve">All information will be kept private to the extent </w:t>
      </w:r>
      <w:r w:rsidRPr="00FF52F6" w:rsidR="00FF52F6">
        <w:t>allowable by law</w:t>
      </w:r>
      <w:r w:rsidRPr="00FF52F6">
        <w:t xml:space="preserve">. </w:t>
      </w:r>
      <w:r w:rsidR="002420E2">
        <w:t>The NIH Privacy Act Officer has reviewed this submission and concluded t</w:t>
      </w:r>
      <w:r w:rsidRPr="003A5685" w:rsidR="002420E2">
        <w:t xml:space="preserve">he </w:t>
      </w:r>
      <w:r w:rsidRPr="00FF52F6">
        <w:t>information collected is covered by the NIH Privacy Act System of Records Notice (SORN), #09-25-0014, “Clinical Research; Student Records, HHS/PHS/NIH/OD/OID/OE” published on 9/26/2002 (67 FR 60742)</w:t>
      </w:r>
      <w:r w:rsidRPr="00FF52F6" w:rsidR="005537F2">
        <w:t xml:space="preserve"> </w:t>
      </w:r>
      <w:r w:rsidRPr="00FF52F6" w:rsidR="005537F2">
        <w:rPr>
          <w:b/>
        </w:rPr>
        <w:t xml:space="preserve">(Attachment </w:t>
      </w:r>
      <w:r w:rsidRPr="00FF52F6" w:rsidR="00E7773D">
        <w:rPr>
          <w:b/>
        </w:rPr>
        <w:t>5</w:t>
      </w:r>
      <w:r w:rsidRPr="00FF52F6" w:rsidR="005537F2">
        <w:rPr>
          <w:b/>
        </w:rPr>
        <w:t>)</w:t>
      </w:r>
      <w:r w:rsidRPr="00FF52F6">
        <w:t>.</w:t>
      </w:r>
    </w:p>
    <w:p w:rsidRPr="007D7427" w:rsidR="00F37331" w:rsidP="00CA04F3" w:rsidRDefault="00F37331" w14:paraId="0D849FD6" w14:textId="77777777"/>
    <w:p w:rsidRPr="007D7427" w:rsidR="0005035B" w:rsidP="00A1583B" w:rsidRDefault="0005035B" w14:paraId="34DD106B" w14:textId="74BF77B1">
      <w:pPr>
        <w:pStyle w:val="Heading2"/>
        <w:spacing w:after="0" w:line="480" w:lineRule="auto"/>
        <w:ind w:left="720" w:hanging="720"/>
        <w:rPr>
          <w:sz w:val="24"/>
          <w:szCs w:val="24"/>
        </w:rPr>
      </w:pPr>
      <w:bookmarkStart w:name="_Toc443881752" w:id="38"/>
      <w:bookmarkStart w:name="_Toc451592241" w:id="39"/>
      <w:bookmarkStart w:name="_Toc5610282" w:id="40"/>
      <w:bookmarkStart w:name="_Toc99178788" w:id="41"/>
      <w:r w:rsidRPr="007D7427">
        <w:rPr>
          <w:sz w:val="24"/>
          <w:szCs w:val="24"/>
        </w:rPr>
        <w:t>A.11</w:t>
      </w:r>
      <w:r w:rsidRPr="007D7427" w:rsidR="00A1583B">
        <w:rPr>
          <w:sz w:val="24"/>
          <w:szCs w:val="24"/>
        </w:rPr>
        <w:tab/>
      </w:r>
      <w:r w:rsidRPr="007D7427">
        <w:rPr>
          <w:sz w:val="24"/>
          <w:szCs w:val="24"/>
        </w:rPr>
        <w:t>Justification for Sensitive Questions</w:t>
      </w:r>
      <w:bookmarkEnd w:id="38"/>
      <w:bookmarkEnd w:id="39"/>
      <w:bookmarkEnd w:id="40"/>
      <w:bookmarkEnd w:id="41"/>
    </w:p>
    <w:p w:rsidRPr="007D7427" w:rsidR="00DB3C68" w:rsidP="00DB3C68" w:rsidRDefault="000E67AD" w14:paraId="24C6D11A" w14:textId="18A5DC2E">
      <w:pPr>
        <w:pStyle w:val="P1-StandPara"/>
        <w:spacing w:line="240" w:lineRule="auto"/>
        <w:ind w:firstLine="0"/>
        <w:rPr>
          <w:sz w:val="24"/>
          <w:szCs w:val="24"/>
        </w:rPr>
      </w:pPr>
      <w:r w:rsidRPr="007D7427">
        <w:rPr>
          <w:sz w:val="24"/>
          <w:szCs w:val="24"/>
        </w:rPr>
        <w:t>Personally Identifiable Information (PII)</w:t>
      </w:r>
      <w:r w:rsidRPr="007D7427" w:rsidR="00DB3C68">
        <w:rPr>
          <w:sz w:val="24"/>
          <w:szCs w:val="24"/>
        </w:rPr>
        <w:t xml:space="preserve"> </w:t>
      </w:r>
      <w:r w:rsidRPr="007D7427">
        <w:rPr>
          <w:sz w:val="24"/>
          <w:szCs w:val="24"/>
        </w:rPr>
        <w:t>is collected</w:t>
      </w:r>
      <w:r w:rsidRPr="007D7427" w:rsidR="00DB3C68">
        <w:rPr>
          <w:sz w:val="24"/>
          <w:szCs w:val="24"/>
        </w:rPr>
        <w:t xml:space="preserve"> on the ICRC </w:t>
      </w:r>
      <w:r w:rsidR="00225755">
        <w:rPr>
          <w:sz w:val="24"/>
          <w:szCs w:val="24"/>
        </w:rPr>
        <w:t>A</w:t>
      </w:r>
      <w:r w:rsidRPr="007D7427" w:rsidR="00DB3C68">
        <w:rPr>
          <w:sz w:val="24"/>
          <w:szCs w:val="24"/>
        </w:rPr>
        <w:t xml:space="preserve">pplication.  </w:t>
      </w:r>
      <w:r w:rsidRPr="007D7427">
        <w:rPr>
          <w:sz w:val="24"/>
          <w:szCs w:val="24"/>
        </w:rPr>
        <w:t>These</w:t>
      </w:r>
      <w:r w:rsidRPr="007D7427" w:rsidR="00DB3C68">
        <w:rPr>
          <w:sz w:val="24"/>
          <w:szCs w:val="24"/>
        </w:rPr>
        <w:t xml:space="preserve"> include full name, date of birth, phone number, email, citizenship status, </w:t>
      </w:r>
      <w:r w:rsidR="00150B15">
        <w:rPr>
          <w:sz w:val="24"/>
          <w:szCs w:val="24"/>
        </w:rPr>
        <w:t xml:space="preserve">home </w:t>
      </w:r>
      <w:r w:rsidRPr="007D7427" w:rsidR="00DB3C68">
        <w:rPr>
          <w:sz w:val="24"/>
          <w:szCs w:val="24"/>
        </w:rPr>
        <w:t xml:space="preserve">address, </w:t>
      </w:r>
      <w:r w:rsidR="00150B15">
        <w:rPr>
          <w:sz w:val="24"/>
          <w:szCs w:val="24"/>
        </w:rPr>
        <w:t xml:space="preserve">emergency contact name and number, </w:t>
      </w:r>
      <w:r w:rsidRPr="007D7427" w:rsidR="00DB3C68">
        <w:rPr>
          <w:sz w:val="24"/>
          <w:szCs w:val="24"/>
        </w:rPr>
        <w:t>school name, and contact information for two references.</w:t>
      </w:r>
    </w:p>
    <w:p w:rsidRPr="007D7427" w:rsidR="000E67AD" w:rsidP="00DB3C68" w:rsidRDefault="000E67AD" w14:paraId="4C6BE919" w14:textId="77777777">
      <w:pPr>
        <w:pStyle w:val="P1-StandPara"/>
        <w:spacing w:line="240" w:lineRule="auto"/>
        <w:ind w:firstLine="0"/>
        <w:rPr>
          <w:sz w:val="24"/>
          <w:szCs w:val="24"/>
        </w:rPr>
      </w:pPr>
    </w:p>
    <w:p w:rsidR="00F37331" w:rsidP="00DB3C68" w:rsidRDefault="00DB3C68" w14:paraId="4645E796" w14:textId="0E2B9C64">
      <w:pPr>
        <w:pStyle w:val="P1-StandPara"/>
        <w:spacing w:line="240" w:lineRule="auto"/>
        <w:ind w:firstLine="0"/>
        <w:rPr>
          <w:sz w:val="24"/>
          <w:szCs w:val="24"/>
        </w:rPr>
      </w:pPr>
      <w:r w:rsidRPr="007D7427">
        <w:rPr>
          <w:sz w:val="24"/>
          <w:szCs w:val="24"/>
        </w:rPr>
        <w:t xml:space="preserve">In addition, the ICRC </w:t>
      </w:r>
      <w:r w:rsidR="00225755">
        <w:rPr>
          <w:sz w:val="24"/>
          <w:szCs w:val="24"/>
        </w:rPr>
        <w:t>A</w:t>
      </w:r>
      <w:r w:rsidRPr="007D7427">
        <w:rPr>
          <w:sz w:val="24"/>
          <w:szCs w:val="24"/>
        </w:rPr>
        <w:t xml:space="preserve">pplication asks applicants to indicate </w:t>
      </w:r>
      <w:r w:rsidR="00150B15">
        <w:rPr>
          <w:sz w:val="24"/>
          <w:szCs w:val="24"/>
        </w:rPr>
        <w:t>how they believe their participation in the program could further diversify the biomedical research consistent with the National Institutes of Health’s (NIH) Notice of Interest and Diversity</w:t>
      </w:r>
      <w:r w:rsidR="00BA2472">
        <w:rPr>
          <w:sz w:val="24"/>
          <w:szCs w:val="24"/>
        </w:rPr>
        <w:t>.  Applicants will have the opportunity to specify whether they are from</w:t>
      </w:r>
      <w:r w:rsidRPr="007D7427">
        <w:rPr>
          <w:sz w:val="24"/>
          <w:szCs w:val="24"/>
        </w:rPr>
        <w:t xml:space="preserve"> an underrepresented population</w:t>
      </w:r>
      <w:r w:rsidR="00BA2472">
        <w:rPr>
          <w:sz w:val="24"/>
          <w:szCs w:val="24"/>
        </w:rPr>
        <w:t xml:space="preserve"> or if they are financially disadvantaged</w:t>
      </w:r>
      <w:r w:rsidRPr="007D7427">
        <w:rPr>
          <w:sz w:val="24"/>
          <w:szCs w:val="24"/>
        </w:rPr>
        <w:t xml:space="preserve">.  They are asked to include this information in their </w:t>
      </w:r>
      <w:r w:rsidR="00F64D89">
        <w:rPr>
          <w:sz w:val="24"/>
          <w:szCs w:val="24"/>
        </w:rPr>
        <w:t>diversity</w:t>
      </w:r>
      <w:r w:rsidRPr="007D7427">
        <w:rPr>
          <w:sz w:val="24"/>
          <w:szCs w:val="24"/>
        </w:rPr>
        <w:t xml:space="preserve"> statement using terms of their choosing. If they qualify based on financial disadvantage, they must submit recent tax forms showing that their income is below guidelines issued annually by the Department of Health and Human Services and published in the Federal Register under the title, Low-Income Levels'' Used for Various Health Professions and Nursing Programs Authorized in Titles III, VII, and VIII of the Public Health Service Act.</w:t>
      </w:r>
    </w:p>
    <w:p w:rsidRPr="007D7427" w:rsidR="006D6479" w:rsidP="00DB3C68" w:rsidRDefault="006D6479" w14:paraId="3A1B6612" w14:textId="77777777">
      <w:pPr>
        <w:pStyle w:val="P1-StandPara"/>
        <w:spacing w:line="240" w:lineRule="auto"/>
        <w:ind w:firstLine="0"/>
        <w:rPr>
          <w:sz w:val="24"/>
          <w:szCs w:val="24"/>
        </w:rPr>
      </w:pPr>
    </w:p>
    <w:p w:rsidRPr="007D7427" w:rsidR="007C16BD" w:rsidP="007C16BD" w:rsidRDefault="007C16BD" w14:paraId="00A1696D" w14:textId="56C24B84">
      <w:pPr>
        <w:pStyle w:val="Heading2"/>
        <w:tabs>
          <w:tab w:val="clear" w:pos="1152"/>
          <w:tab w:val="left" w:pos="450"/>
        </w:tabs>
        <w:spacing w:after="0" w:line="480" w:lineRule="auto"/>
        <w:ind w:left="720" w:hanging="720"/>
        <w:jc w:val="left"/>
        <w:rPr>
          <w:sz w:val="24"/>
          <w:szCs w:val="24"/>
        </w:rPr>
      </w:pPr>
      <w:r w:rsidRPr="007D7427">
        <w:rPr>
          <w:sz w:val="24"/>
          <w:szCs w:val="24"/>
        </w:rPr>
        <w:t>A.12</w:t>
      </w:r>
      <w:r w:rsidR="000A472B">
        <w:rPr>
          <w:sz w:val="24"/>
          <w:szCs w:val="24"/>
        </w:rPr>
        <w:t>-</w:t>
      </w:r>
      <w:r w:rsidRPr="007D7427" w:rsidR="005B62AE">
        <w:rPr>
          <w:sz w:val="24"/>
          <w:szCs w:val="24"/>
        </w:rPr>
        <w:t>1</w:t>
      </w:r>
      <w:r w:rsidRPr="007D7427">
        <w:rPr>
          <w:sz w:val="24"/>
          <w:szCs w:val="24"/>
        </w:rPr>
        <w:tab/>
      </w:r>
      <w:r w:rsidRPr="005C613F" w:rsidR="005C613F">
        <w:rPr>
          <w:sz w:val="24"/>
          <w:szCs w:val="24"/>
        </w:rPr>
        <w:t>Estimates of Annualized Burden Hours and Costs</w:t>
      </w:r>
    </w:p>
    <w:p w:rsidR="00E4644A" w:rsidP="00DE7758" w:rsidRDefault="00E4644A" w14:paraId="78A49037" w14:textId="0EB42372">
      <w:pPr>
        <w:autoSpaceDE w:val="0"/>
        <w:autoSpaceDN w:val="0"/>
        <w:adjustRightInd w:val="0"/>
      </w:pPr>
      <w:r>
        <w:t>Respondents apply for the Introduction to Cancer Research Careers (ICRC) fellowship program</w:t>
      </w:r>
      <w:r w:rsidRPr="00DA1E74">
        <w:t xml:space="preserve"> </w:t>
      </w:r>
      <w:r>
        <w:t>through the website (</w:t>
      </w:r>
      <w:hyperlink w:history="1" r:id="rId12">
        <w:r w:rsidRPr="00633108">
          <w:rPr>
            <w:rStyle w:val="Hyperlink"/>
          </w:rPr>
          <w:t>https://icrc.nci.nih.gov/</w:t>
        </w:r>
      </w:hyperlink>
      <w:r>
        <w:t xml:space="preserve">).  </w:t>
      </w:r>
      <w:r w:rsidR="00331554">
        <w:t xml:space="preserve"> </w:t>
      </w:r>
      <w:r w:rsidR="004E0102">
        <w:t>Automated system emails are sent to applicants at various times throughout the application cycle, right before the candidates begin their fellowship</w:t>
      </w:r>
      <w:r w:rsidR="00331554">
        <w:t xml:space="preserve"> </w:t>
      </w:r>
      <w:r w:rsidRPr="000039B4" w:rsidR="00331554">
        <w:rPr>
          <w:b/>
        </w:rPr>
        <w:t xml:space="preserve">(Attachment </w:t>
      </w:r>
      <w:r w:rsidR="00E7773D">
        <w:rPr>
          <w:b/>
        </w:rPr>
        <w:t>3</w:t>
      </w:r>
      <w:r w:rsidRPr="000039B4" w:rsidR="00331554">
        <w:rPr>
          <w:b/>
        </w:rPr>
        <w:t>)</w:t>
      </w:r>
      <w:r w:rsidR="00331554">
        <w:t xml:space="preserve">.  </w:t>
      </w:r>
    </w:p>
    <w:p w:rsidR="00E4644A" w:rsidP="00DE7758" w:rsidRDefault="00E4644A" w14:paraId="45176F4A" w14:textId="77777777">
      <w:pPr>
        <w:autoSpaceDE w:val="0"/>
        <w:autoSpaceDN w:val="0"/>
        <w:adjustRightInd w:val="0"/>
      </w:pPr>
    </w:p>
    <w:p w:rsidRPr="007D7427" w:rsidR="000F3F12" w:rsidP="00DE7758" w:rsidRDefault="00E4235B" w14:paraId="3A6C5C5A" w14:textId="4437123E">
      <w:pPr>
        <w:autoSpaceDE w:val="0"/>
        <w:autoSpaceDN w:val="0"/>
        <w:adjustRightInd w:val="0"/>
      </w:pPr>
      <w:r w:rsidRPr="007D7427">
        <w:t>The</w:t>
      </w:r>
      <w:r w:rsidR="0021246C">
        <w:t xml:space="preserve">re are </w:t>
      </w:r>
      <w:r w:rsidR="00EA78E6">
        <w:t xml:space="preserve">two </w:t>
      </w:r>
      <w:r w:rsidRPr="007D7427">
        <w:t>instruments</w:t>
      </w:r>
      <w:r w:rsidR="0021246C">
        <w:t>: the application and the reference letter.</w:t>
      </w:r>
      <w:r w:rsidRPr="007D7427">
        <w:t xml:space="preserve"> </w:t>
      </w:r>
      <w:r w:rsidR="0021246C">
        <w:t xml:space="preserve"> It is anticipated </w:t>
      </w:r>
      <w:r w:rsidRPr="003749A5" w:rsidR="0021246C">
        <w:t>that 120</w:t>
      </w:r>
      <w:r w:rsidR="0021246C">
        <w:t xml:space="preserve"> applicants will spend approximately one hour completing and submitting the application.  For the </w:t>
      </w:r>
      <w:r w:rsidR="0021246C">
        <w:lastRenderedPageBreak/>
        <w:t>reference letter, e</w:t>
      </w:r>
      <w:r w:rsidRPr="007D7427" w:rsidR="00930BE1">
        <w:t xml:space="preserve">ach applicant has </w:t>
      </w:r>
      <w:r w:rsidR="00726B9F">
        <w:t>two</w:t>
      </w:r>
      <w:r w:rsidRPr="007D7427" w:rsidR="00930BE1">
        <w:t xml:space="preserve"> </w:t>
      </w:r>
      <w:r w:rsidRPr="007D7427" w:rsidR="00F52D2C">
        <w:t>references,</w:t>
      </w:r>
      <w:r w:rsidRPr="007D7427" w:rsidR="00930BE1">
        <w:t xml:space="preserve"> so it is estimated </w:t>
      </w:r>
      <w:r w:rsidRPr="007D7427" w:rsidR="00CA5D41">
        <w:t>that there will be 240 respondents</w:t>
      </w:r>
      <w:r w:rsidRPr="007D7427" w:rsidR="00930BE1">
        <w:t xml:space="preserve">. </w:t>
      </w:r>
      <w:r w:rsidRPr="007D7427">
        <w:t xml:space="preserve"> </w:t>
      </w:r>
      <w:r w:rsidR="00BF2C47">
        <w:t xml:space="preserve">This is a total of 360 respondents (the same 120 for Attachments 1 and 2), and then an additional 240). </w:t>
      </w:r>
      <w:r w:rsidR="002726D7">
        <w:t xml:space="preserve"> </w:t>
      </w:r>
      <w:r w:rsidRPr="007D7427" w:rsidR="00277DD8">
        <w:t xml:space="preserve">The </w:t>
      </w:r>
      <w:r w:rsidRPr="00726B9F" w:rsidR="00726B9F">
        <w:t>estimated burden for this information collection is 246 hours (Table A.12-1), which amounts</w:t>
      </w:r>
      <w:r w:rsidRPr="003749A5" w:rsidR="008119CD">
        <w:t xml:space="preserve"> to </w:t>
      </w:r>
      <w:r w:rsidRPr="003749A5" w:rsidR="00A72B62">
        <w:t xml:space="preserve">738 </w:t>
      </w:r>
      <w:r w:rsidRPr="003749A5" w:rsidR="008119CD">
        <w:t>hours over a three-year information collection period.</w:t>
      </w:r>
    </w:p>
    <w:p w:rsidR="008119CD" w:rsidRDefault="008119CD" w14:paraId="1F42FD2B" w14:textId="03F849A8"/>
    <w:p w:rsidRPr="005C613F" w:rsidR="00C27111" w:rsidP="00B25B57" w:rsidRDefault="007640C7" w14:paraId="44200B0F" w14:textId="41016E1D">
      <w:pPr>
        <w:jc w:val="center"/>
        <w:rPr>
          <w:b/>
          <w:bCs/>
        </w:rPr>
      </w:pPr>
      <w:r w:rsidRPr="005C613F">
        <w:rPr>
          <w:b/>
          <w:bCs/>
        </w:rPr>
        <w:t>Table A</w:t>
      </w:r>
      <w:r w:rsidRPr="005C613F" w:rsidR="0021246C">
        <w:rPr>
          <w:b/>
          <w:bCs/>
        </w:rPr>
        <w:t>.</w:t>
      </w:r>
      <w:r w:rsidRPr="005C613F">
        <w:rPr>
          <w:b/>
          <w:bCs/>
        </w:rPr>
        <w:t>12-1. Estimated Annualized Burden Hours</w:t>
      </w:r>
    </w:p>
    <w:p w:rsidRPr="007D7427" w:rsidR="003E5D3E" w:rsidP="00253C78" w:rsidRDefault="007640C7" w14:paraId="6A1FC887" w14:textId="1C9CBD8A">
      <w:r w:rsidRPr="007D7427">
        <w:t xml:space="preserve">  </w:t>
      </w:r>
    </w:p>
    <w:tbl>
      <w:tblPr>
        <w:tblW w:w="524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1879"/>
        <w:gridCol w:w="1531"/>
        <w:gridCol w:w="1619"/>
        <w:gridCol w:w="1733"/>
        <w:gridCol w:w="1711"/>
        <w:gridCol w:w="1327"/>
      </w:tblGrid>
      <w:tr w:rsidRPr="007D7427" w:rsidR="001165B2" w:rsidTr="001165B2" w14:paraId="05F9737F" w14:textId="77777777">
        <w:trPr>
          <w:cantSplit/>
          <w:trHeight w:val="745"/>
          <w:jc w:val="center"/>
        </w:trPr>
        <w:tc>
          <w:tcPr>
            <w:tcW w:w="959" w:type="pct"/>
            <w:vAlign w:val="center"/>
          </w:tcPr>
          <w:p w:rsidRPr="007D7427" w:rsidR="001165B2" w:rsidP="00CB5FA4" w:rsidRDefault="001165B2" w14:paraId="2B4C993B" w14:textId="12DED6EE">
            <w:pPr>
              <w:jc w:val="center"/>
              <w:rPr>
                <w:b/>
              </w:rPr>
            </w:pPr>
            <w:r>
              <w:rPr>
                <w:b/>
              </w:rPr>
              <w:t>Form Name</w:t>
            </w:r>
          </w:p>
        </w:tc>
        <w:tc>
          <w:tcPr>
            <w:tcW w:w="781" w:type="pct"/>
            <w:shd w:val="clear" w:color="auto" w:fill="auto"/>
            <w:vAlign w:val="center"/>
            <w:hideMark/>
          </w:tcPr>
          <w:p w:rsidRPr="007D7427" w:rsidR="001165B2" w:rsidP="00CB5FA4" w:rsidRDefault="001165B2" w14:paraId="629B86B1" w14:textId="4622420C">
            <w:pPr>
              <w:jc w:val="center"/>
              <w:rPr>
                <w:b/>
              </w:rPr>
            </w:pPr>
            <w:r w:rsidRPr="007D7427">
              <w:rPr>
                <w:b/>
              </w:rPr>
              <w:t>Type of Respondent</w:t>
            </w:r>
          </w:p>
        </w:tc>
        <w:tc>
          <w:tcPr>
            <w:tcW w:w="826" w:type="pct"/>
            <w:shd w:val="clear" w:color="auto" w:fill="auto"/>
            <w:vAlign w:val="center"/>
            <w:hideMark/>
          </w:tcPr>
          <w:p w:rsidRPr="007D7427" w:rsidR="001165B2" w:rsidP="00CB5FA4" w:rsidRDefault="001165B2" w14:paraId="038B2080" w14:textId="298CA5F3">
            <w:pPr>
              <w:jc w:val="center"/>
              <w:rPr>
                <w:b/>
              </w:rPr>
            </w:pPr>
            <w:r w:rsidRPr="007D7427">
              <w:rPr>
                <w:b/>
              </w:rPr>
              <w:t>Number of Respondents</w:t>
            </w:r>
          </w:p>
        </w:tc>
        <w:tc>
          <w:tcPr>
            <w:tcW w:w="884" w:type="pct"/>
            <w:shd w:val="clear" w:color="auto" w:fill="auto"/>
            <w:vAlign w:val="center"/>
            <w:hideMark/>
          </w:tcPr>
          <w:p w:rsidRPr="007D7427" w:rsidR="001165B2" w:rsidP="00CB5FA4" w:rsidRDefault="001165B2" w14:paraId="0B6A8D12" w14:textId="5A42691B">
            <w:pPr>
              <w:jc w:val="center"/>
              <w:rPr>
                <w:b/>
              </w:rPr>
            </w:pPr>
            <w:r w:rsidRPr="007D7427">
              <w:rPr>
                <w:b/>
              </w:rPr>
              <w:t>Number of Responses Per Respondent</w:t>
            </w:r>
          </w:p>
        </w:tc>
        <w:tc>
          <w:tcPr>
            <w:tcW w:w="873" w:type="pct"/>
            <w:shd w:val="clear" w:color="auto" w:fill="auto"/>
            <w:vAlign w:val="center"/>
            <w:hideMark/>
          </w:tcPr>
          <w:p w:rsidR="001165B2" w:rsidP="00CB5FA4" w:rsidRDefault="001165B2" w14:paraId="59EF7EDC" w14:textId="77777777">
            <w:pPr>
              <w:jc w:val="center"/>
              <w:rPr>
                <w:b/>
              </w:rPr>
            </w:pPr>
            <w:r w:rsidRPr="007D7427">
              <w:rPr>
                <w:b/>
              </w:rPr>
              <w:t xml:space="preserve">Average Time Per Response </w:t>
            </w:r>
          </w:p>
          <w:p w:rsidRPr="007D7427" w:rsidR="001165B2" w:rsidP="00CB5FA4" w:rsidRDefault="001165B2" w14:paraId="11B2925B" w14:textId="7DDB1CDE">
            <w:pPr>
              <w:jc w:val="center"/>
              <w:rPr>
                <w:b/>
              </w:rPr>
            </w:pPr>
            <w:r w:rsidRPr="007D7427">
              <w:rPr>
                <w:b/>
              </w:rPr>
              <w:t>(in hours)</w:t>
            </w:r>
          </w:p>
        </w:tc>
        <w:tc>
          <w:tcPr>
            <w:tcW w:w="677" w:type="pct"/>
            <w:shd w:val="clear" w:color="auto" w:fill="auto"/>
            <w:vAlign w:val="center"/>
            <w:hideMark/>
          </w:tcPr>
          <w:p w:rsidRPr="007D7427" w:rsidR="001165B2" w:rsidP="00CB5FA4" w:rsidRDefault="001165B2" w14:paraId="0AA563FC" w14:textId="2107F67E">
            <w:pPr>
              <w:jc w:val="center"/>
              <w:rPr>
                <w:b/>
              </w:rPr>
            </w:pPr>
            <w:r w:rsidRPr="007D7427">
              <w:rPr>
                <w:b/>
              </w:rPr>
              <w:t>Total Annual Burden Hours</w:t>
            </w:r>
          </w:p>
        </w:tc>
      </w:tr>
      <w:tr w:rsidRPr="007D7427" w:rsidR="001165B2" w:rsidTr="001165B2" w14:paraId="11518D84" w14:textId="77777777">
        <w:trPr>
          <w:cantSplit/>
          <w:trHeight w:val="260"/>
          <w:jc w:val="center"/>
        </w:trPr>
        <w:tc>
          <w:tcPr>
            <w:tcW w:w="959" w:type="pct"/>
          </w:tcPr>
          <w:p w:rsidRPr="007D7427" w:rsidR="001165B2" w:rsidP="004475CE" w:rsidRDefault="001165B2" w14:paraId="5CBC8415" w14:textId="148AADDF">
            <w:r>
              <w:t>Application</w:t>
            </w:r>
          </w:p>
        </w:tc>
        <w:tc>
          <w:tcPr>
            <w:tcW w:w="781" w:type="pct"/>
            <w:shd w:val="clear" w:color="auto" w:fill="auto"/>
            <w:noWrap/>
            <w:vAlign w:val="center"/>
            <w:hideMark/>
          </w:tcPr>
          <w:p w:rsidRPr="007D7427" w:rsidR="001165B2" w:rsidP="004475CE" w:rsidRDefault="001165B2" w14:paraId="39B5F085" w14:textId="4132B7E4">
            <w:r w:rsidRPr="007D7427">
              <w:t>Individuals</w:t>
            </w:r>
          </w:p>
        </w:tc>
        <w:tc>
          <w:tcPr>
            <w:tcW w:w="826" w:type="pct"/>
            <w:shd w:val="clear" w:color="auto" w:fill="auto"/>
            <w:noWrap/>
            <w:vAlign w:val="center"/>
            <w:hideMark/>
          </w:tcPr>
          <w:p w:rsidRPr="003749A5" w:rsidR="001165B2" w:rsidP="00C571B0" w:rsidRDefault="001165B2" w14:paraId="13D8F589" w14:textId="2DE506AB">
            <w:pPr>
              <w:jc w:val="center"/>
            </w:pPr>
            <w:r w:rsidRPr="003749A5">
              <w:t>120</w:t>
            </w:r>
          </w:p>
        </w:tc>
        <w:tc>
          <w:tcPr>
            <w:tcW w:w="884" w:type="pct"/>
            <w:shd w:val="clear" w:color="auto" w:fill="auto"/>
            <w:noWrap/>
            <w:vAlign w:val="center"/>
            <w:hideMark/>
          </w:tcPr>
          <w:p w:rsidRPr="003749A5" w:rsidR="001165B2" w:rsidP="00C571B0" w:rsidRDefault="001165B2" w14:paraId="05504CBC" w14:textId="77777777">
            <w:pPr>
              <w:jc w:val="center"/>
            </w:pPr>
            <w:r w:rsidRPr="003749A5">
              <w:t>1</w:t>
            </w:r>
          </w:p>
        </w:tc>
        <w:tc>
          <w:tcPr>
            <w:tcW w:w="873" w:type="pct"/>
            <w:shd w:val="clear" w:color="auto" w:fill="auto"/>
            <w:vAlign w:val="center"/>
            <w:hideMark/>
          </w:tcPr>
          <w:p w:rsidRPr="003749A5" w:rsidR="001165B2" w:rsidP="00C571B0" w:rsidRDefault="0051356C" w14:paraId="749C721B" w14:textId="0E12FDA5">
            <w:pPr>
              <w:jc w:val="center"/>
            </w:pPr>
            <w:r>
              <w:t>1</w:t>
            </w:r>
          </w:p>
        </w:tc>
        <w:tc>
          <w:tcPr>
            <w:tcW w:w="677" w:type="pct"/>
            <w:shd w:val="clear" w:color="auto" w:fill="auto"/>
            <w:vAlign w:val="center"/>
            <w:hideMark/>
          </w:tcPr>
          <w:p w:rsidRPr="003749A5" w:rsidR="001165B2" w:rsidP="00C571B0" w:rsidRDefault="001165B2" w14:paraId="30D25D49" w14:textId="70306A6C">
            <w:pPr>
              <w:jc w:val="center"/>
            </w:pPr>
            <w:r w:rsidRPr="003749A5">
              <w:t>120</w:t>
            </w:r>
          </w:p>
        </w:tc>
      </w:tr>
      <w:tr w:rsidRPr="007D7427" w:rsidR="001165B2" w:rsidTr="001165B2" w14:paraId="42E86FE0" w14:textId="77777777">
        <w:trPr>
          <w:cantSplit/>
          <w:trHeight w:val="260"/>
          <w:jc w:val="center"/>
        </w:trPr>
        <w:tc>
          <w:tcPr>
            <w:tcW w:w="959" w:type="pct"/>
          </w:tcPr>
          <w:p w:rsidRPr="007D7427" w:rsidR="001165B2" w:rsidP="001A7600" w:rsidRDefault="001165B2" w14:paraId="4DC96004" w14:textId="682B0D6C">
            <w:r>
              <w:t>Reference Letter</w:t>
            </w:r>
          </w:p>
        </w:tc>
        <w:tc>
          <w:tcPr>
            <w:tcW w:w="781" w:type="pct"/>
            <w:shd w:val="clear" w:color="auto" w:fill="auto"/>
            <w:noWrap/>
            <w:vAlign w:val="center"/>
          </w:tcPr>
          <w:p w:rsidRPr="007D7427" w:rsidR="001165B2" w:rsidP="001A7600" w:rsidRDefault="001165B2" w14:paraId="6009A84A" w14:textId="1FA5E178">
            <w:r w:rsidRPr="007D7427">
              <w:t>Individuals</w:t>
            </w:r>
          </w:p>
        </w:tc>
        <w:tc>
          <w:tcPr>
            <w:tcW w:w="826" w:type="pct"/>
            <w:shd w:val="clear" w:color="auto" w:fill="auto"/>
            <w:noWrap/>
            <w:vAlign w:val="center"/>
          </w:tcPr>
          <w:p w:rsidRPr="003749A5" w:rsidR="001165B2" w:rsidP="00C571B0" w:rsidRDefault="001165B2" w14:paraId="6D8A08D5" w14:textId="09AAA48A">
            <w:pPr>
              <w:jc w:val="center"/>
            </w:pPr>
            <w:r w:rsidRPr="003749A5">
              <w:t>240</w:t>
            </w:r>
          </w:p>
        </w:tc>
        <w:tc>
          <w:tcPr>
            <w:tcW w:w="884" w:type="pct"/>
            <w:shd w:val="clear" w:color="auto" w:fill="auto"/>
            <w:noWrap/>
            <w:vAlign w:val="center"/>
          </w:tcPr>
          <w:p w:rsidRPr="003749A5" w:rsidR="001165B2" w:rsidP="00C571B0" w:rsidRDefault="001165B2" w14:paraId="6381B289" w14:textId="7276F0CF">
            <w:pPr>
              <w:jc w:val="center"/>
            </w:pPr>
            <w:r w:rsidRPr="003749A5">
              <w:t>1</w:t>
            </w:r>
          </w:p>
        </w:tc>
        <w:tc>
          <w:tcPr>
            <w:tcW w:w="873" w:type="pct"/>
            <w:shd w:val="clear" w:color="auto" w:fill="auto"/>
            <w:vAlign w:val="center"/>
          </w:tcPr>
          <w:p w:rsidRPr="003749A5" w:rsidR="001165B2" w:rsidP="00C571B0" w:rsidRDefault="001165B2" w14:paraId="01AB25FD" w14:textId="72364049">
            <w:pPr>
              <w:jc w:val="center"/>
            </w:pPr>
            <w:r w:rsidRPr="003749A5">
              <w:t>30/60</w:t>
            </w:r>
          </w:p>
        </w:tc>
        <w:tc>
          <w:tcPr>
            <w:tcW w:w="677" w:type="pct"/>
            <w:shd w:val="clear" w:color="auto" w:fill="auto"/>
            <w:vAlign w:val="center"/>
          </w:tcPr>
          <w:p w:rsidRPr="003749A5" w:rsidR="001165B2" w:rsidP="00C571B0" w:rsidRDefault="001165B2" w14:paraId="1DDD03D3" w14:textId="2AEBCCE5">
            <w:pPr>
              <w:jc w:val="center"/>
            </w:pPr>
            <w:r w:rsidRPr="003749A5">
              <w:t>120</w:t>
            </w:r>
          </w:p>
        </w:tc>
      </w:tr>
      <w:tr w:rsidRPr="007D7427" w:rsidR="001165B2" w:rsidTr="001165B2" w14:paraId="75EFE6F9" w14:textId="77777777">
        <w:trPr>
          <w:cantSplit/>
          <w:trHeight w:val="260"/>
          <w:jc w:val="center"/>
        </w:trPr>
        <w:tc>
          <w:tcPr>
            <w:tcW w:w="959" w:type="pct"/>
          </w:tcPr>
          <w:p w:rsidRPr="002B0B89" w:rsidR="001165B2" w:rsidP="001A7600" w:rsidRDefault="001165B2" w14:paraId="506D4EDC" w14:textId="14EA61D1">
            <w:pPr>
              <w:rPr>
                <w:b/>
              </w:rPr>
            </w:pPr>
            <w:r w:rsidRPr="002B0B89">
              <w:rPr>
                <w:b/>
              </w:rPr>
              <w:t>Total</w:t>
            </w:r>
            <w:r w:rsidRPr="002B0B89" w:rsidR="00452A40">
              <w:rPr>
                <w:b/>
              </w:rPr>
              <w:t>s</w:t>
            </w:r>
          </w:p>
        </w:tc>
        <w:tc>
          <w:tcPr>
            <w:tcW w:w="781" w:type="pct"/>
            <w:shd w:val="clear" w:color="auto" w:fill="auto"/>
            <w:noWrap/>
            <w:vAlign w:val="center"/>
            <w:hideMark/>
          </w:tcPr>
          <w:p w:rsidRPr="002B0B89" w:rsidR="001165B2" w:rsidP="001A7600" w:rsidRDefault="001165B2" w14:paraId="4CDBE8A3" w14:textId="42DB5EC8">
            <w:pPr>
              <w:rPr>
                <w:b/>
              </w:rPr>
            </w:pPr>
            <w:r w:rsidRPr="002B0B89">
              <w:rPr>
                <w:b/>
              </w:rPr>
              <w:t xml:space="preserve"> </w:t>
            </w:r>
          </w:p>
        </w:tc>
        <w:tc>
          <w:tcPr>
            <w:tcW w:w="826" w:type="pct"/>
            <w:shd w:val="clear" w:color="auto" w:fill="auto"/>
            <w:noWrap/>
            <w:vAlign w:val="center"/>
            <w:hideMark/>
          </w:tcPr>
          <w:p w:rsidRPr="002B0B89" w:rsidR="001165B2" w:rsidP="00C571B0" w:rsidRDefault="001165B2" w14:paraId="2B788C95" w14:textId="7F47C718">
            <w:pPr>
              <w:jc w:val="center"/>
              <w:rPr>
                <w:b/>
              </w:rPr>
            </w:pPr>
          </w:p>
        </w:tc>
        <w:tc>
          <w:tcPr>
            <w:tcW w:w="884" w:type="pct"/>
            <w:shd w:val="clear" w:color="auto" w:fill="auto"/>
            <w:noWrap/>
            <w:vAlign w:val="center"/>
            <w:hideMark/>
          </w:tcPr>
          <w:p w:rsidRPr="002B0B89" w:rsidR="001165B2" w:rsidP="00C571B0" w:rsidRDefault="005806F3" w14:paraId="4AB60D7D" w14:textId="7FADE09F">
            <w:pPr>
              <w:jc w:val="center"/>
              <w:rPr>
                <w:b/>
              </w:rPr>
            </w:pPr>
            <w:r w:rsidRPr="002B0B89">
              <w:rPr>
                <w:b/>
              </w:rPr>
              <w:t>360</w:t>
            </w:r>
            <w:r w:rsidRPr="002B0B89" w:rsidR="009F32A4">
              <w:rPr>
                <w:b/>
              </w:rPr>
              <w:t xml:space="preserve"> </w:t>
            </w:r>
          </w:p>
        </w:tc>
        <w:tc>
          <w:tcPr>
            <w:tcW w:w="873" w:type="pct"/>
            <w:shd w:val="clear" w:color="auto" w:fill="auto"/>
            <w:vAlign w:val="center"/>
            <w:hideMark/>
          </w:tcPr>
          <w:p w:rsidRPr="002B0B89" w:rsidR="001165B2" w:rsidP="00C571B0" w:rsidRDefault="001165B2" w14:paraId="45305AB0" w14:textId="170037A5">
            <w:pPr>
              <w:jc w:val="center"/>
              <w:rPr>
                <w:b/>
              </w:rPr>
            </w:pPr>
          </w:p>
        </w:tc>
        <w:tc>
          <w:tcPr>
            <w:tcW w:w="677" w:type="pct"/>
            <w:shd w:val="clear" w:color="auto" w:fill="auto"/>
            <w:vAlign w:val="center"/>
          </w:tcPr>
          <w:p w:rsidRPr="002B0B89" w:rsidR="001165B2" w:rsidP="00C571B0" w:rsidRDefault="001165B2" w14:paraId="6B13E974" w14:textId="4D5088B2">
            <w:pPr>
              <w:jc w:val="center"/>
              <w:rPr>
                <w:b/>
              </w:rPr>
            </w:pPr>
            <w:r w:rsidRPr="002B0B89">
              <w:rPr>
                <w:b/>
              </w:rPr>
              <w:t>24</w:t>
            </w:r>
            <w:r w:rsidRPr="002B0B89" w:rsidR="00620742">
              <w:rPr>
                <w:b/>
              </w:rPr>
              <w:t>0</w:t>
            </w:r>
          </w:p>
        </w:tc>
      </w:tr>
    </w:tbl>
    <w:p w:rsidRPr="007D7427" w:rsidR="00CE4295" w:rsidP="00253C78" w:rsidRDefault="00CE4295" w14:paraId="0F7CC496" w14:textId="77777777"/>
    <w:p w:rsidRPr="007D7427" w:rsidR="000F3F12" w:rsidP="007D338E" w:rsidRDefault="000F3F12" w14:paraId="34A4127C" w14:textId="701152A8">
      <w:pPr>
        <w:pStyle w:val="Heading2"/>
        <w:tabs>
          <w:tab w:val="clear" w:pos="1152"/>
          <w:tab w:val="left" w:pos="450"/>
        </w:tabs>
        <w:spacing w:after="0" w:line="480" w:lineRule="auto"/>
        <w:ind w:left="720" w:hanging="720"/>
        <w:jc w:val="left"/>
        <w:rPr>
          <w:sz w:val="24"/>
          <w:szCs w:val="24"/>
        </w:rPr>
      </w:pPr>
      <w:r w:rsidRPr="007D7427">
        <w:rPr>
          <w:sz w:val="24"/>
          <w:szCs w:val="24"/>
        </w:rPr>
        <w:t>A.12</w:t>
      </w:r>
      <w:r w:rsidR="000A472B">
        <w:rPr>
          <w:sz w:val="24"/>
          <w:szCs w:val="24"/>
        </w:rPr>
        <w:t>-</w:t>
      </w:r>
      <w:r w:rsidRPr="007D7427">
        <w:rPr>
          <w:sz w:val="24"/>
          <w:szCs w:val="24"/>
        </w:rPr>
        <w:t>2</w:t>
      </w:r>
      <w:r w:rsidRPr="007D7427">
        <w:rPr>
          <w:sz w:val="24"/>
          <w:szCs w:val="24"/>
        </w:rPr>
        <w:tab/>
        <w:t xml:space="preserve">Annual Cost to Respondents </w:t>
      </w:r>
    </w:p>
    <w:p w:rsidRPr="005C613F" w:rsidR="003E3637" w:rsidRDefault="007640C7" w14:paraId="17EF334F" w14:textId="5B0AC9F5">
      <w:pPr>
        <w:rPr>
          <w:color w:val="0000FF"/>
          <w:u w:val="single"/>
        </w:rPr>
      </w:pPr>
      <w:r w:rsidRPr="007D7427">
        <w:t>The a</w:t>
      </w:r>
      <w:r w:rsidRPr="007D7427" w:rsidR="00F33DD6">
        <w:t xml:space="preserve">nnualized cost to </w:t>
      </w:r>
      <w:r w:rsidR="00F64D89">
        <w:t xml:space="preserve">the </w:t>
      </w:r>
      <w:r w:rsidR="000A472B">
        <w:t>respondents</w:t>
      </w:r>
      <w:r w:rsidRPr="007D7427" w:rsidR="000A472B">
        <w:t xml:space="preserve"> </w:t>
      </w:r>
      <w:r w:rsidRPr="007D7427">
        <w:t xml:space="preserve">is </w:t>
      </w:r>
      <w:r w:rsidR="00F6074F">
        <w:t xml:space="preserve">estimated to be </w:t>
      </w:r>
      <w:r w:rsidRPr="007D7427" w:rsidR="0021187A">
        <w:t>$</w:t>
      </w:r>
      <w:r w:rsidR="00F6074F">
        <w:t>7,</w:t>
      </w:r>
      <w:r w:rsidR="00CB4458">
        <w:t>193.64</w:t>
      </w:r>
      <w:r w:rsidRPr="007D7427" w:rsidR="00CB4458">
        <w:t xml:space="preserve"> </w:t>
      </w:r>
      <w:r w:rsidRPr="007D7427" w:rsidR="00B25B57">
        <w:t>(Table A.12</w:t>
      </w:r>
      <w:r w:rsidR="000A472B">
        <w:t>-</w:t>
      </w:r>
      <w:r w:rsidRPr="007D7427" w:rsidR="00B25B57">
        <w:t>2)</w:t>
      </w:r>
      <w:r w:rsidR="008119CD">
        <w:t xml:space="preserve"> </w:t>
      </w:r>
      <w:r w:rsidRPr="003927A6" w:rsidR="008119CD">
        <w:t>or approximately $</w:t>
      </w:r>
      <w:r w:rsidRPr="003927A6" w:rsidR="00CB4458">
        <w:t>21,580.92</w:t>
      </w:r>
      <w:r w:rsidRPr="003927A6" w:rsidR="00366AB2">
        <w:t xml:space="preserve"> </w:t>
      </w:r>
      <w:r w:rsidRPr="003927A6" w:rsidR="008119CD">
        <w:t>over a three-year information collection period</w:t>
      </w:r>
      <w:r w:rsidRPr="003927A6">
        <w:t>.</w:t>
      </w:r>
      <w:r w:rsidRPr="007D7427">
        <w:t xml:space="preserve"> </w:t>
      </w:r>
    </w:p>
    <w:p w:rsidR="006726BA" w:rsidRDefault="006726BA" w14:paraId="7DC46730" w14:textId="58B2089E"/>
    <w:p w:rsidRPr="005C613F" w:rsidR="00CE4295" w:rsidP="00B25B57" w:rsidRDefault="003749A5" w14:paraId="42F61764" w14:textId="275833B5">
      <w:pPr>
        <w:jc w:val="center"/>
        <w:rPr>
          <w:b/>
          <w:bCs/>
        </w:rPr>
      </w:pPr>
      <w:r w:rsidRPr="005C613F">
        <w:rPr>
          <w:b/>
          <w:bCs/>
        </w:rPr>
        <w:t xml:space="preserve">Table </w:t>
      </w:r>
      <w:r w:rsidRPr="005C613F" w:rsidR="007640C7">
        <w:rPr>
          <w:b/>
          <w:bCs/>
        </w:rPr>
        <w:t>A</w:t>
      </w:r>
      <w:r w:rsidRPr="005C613F" w:rsidR="0021246C">
        <w:rPr>
          <w:b/>
          <w:bCs/>
        </w:rPr>
        <w:t>.</w:t>
      </w:r>
      <w:r w:rsidRPr="005C613F" w:rsidR="007640C7">
        <w:rPr>
          <w:b/>
          <w:bCs/>
        </w:rPr>
        <w:t>12</w:t>
      </w:r>
      <w:r w:rsidRPr="005C613F" w:rsidR="000A472B">
        <w:rPr>
          <w:b/>
          <w:bCs/>
        </w:rPr>
        <w:t>-</w:t>
      </w:r>
      <w:r w:rsidRPr="005C613F" w:rsidR="007640C7">
        <w:rPr>
          <w:b/>
          <w:bCs/>
        </w:rPr>
        <w:t>2</w:t>
      </w:r>
      <w:r w:rsidRPr="005C613F" w:rsidR="000F3F12">
        <w:rPr>
          <w:b/>
          <w:bCs/>
        </w:rPr>
        <w:t>.</w:t>
      </w:r>
      <w:r w:rsidRPr="005C613F" w:rsidR="007640C7">
        <w:rPr>
          <w:b/>
          <w:bCs/>
        </w:rPr>
        <w:t xml:space="preserve"> Annualized Cost to </w:t>
      </w:r>
      <w:r w:rsidRPr="005C613F" w:rsidR="000F3F12">
        <w:rPr>
          <w:b/>
          <w:bCs/>
        </w:rPr>
        <w:t xml:space="preserve">the </w:t>
      </w:r>
      <w:r w:rsidRPr="005C613F" w:rsidR="007640C7">
        <w:rPr>
          <w:b/>
          <w:bCs/>
        </w:rPr>
        <w:t>Respondents</w:t>
      </w:r>
    </w:p>
    <w:p w:rsidRPr="007D7427" w:rsidR="00B25B57" w:rsidP="00CE4295" w:rsidRDefault="00B25B57" w14:paraId="021473B6" w14:textId="77777777"/>
    <w:tbl>
      <w:tblPr>
        <w:tblW w:w="972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30"/>
        <w:gridCol w:w="1710"/>
        <w:gridCol w:w="2070"/>
        <w:gridCol w:w="2610"/>
      </w:tblGrid>
      <w:tr w:rsidRPr="007D7427" w:rsidR="00AC30AA" w:rsidTr="005C613F" w14:paraId="57C211AD" w14:textId="77777777">
        <w:trPr>
          <w:trHeight w:val="665"/>
        </w:trPr>
        <w:tc>
          <w:tcPr>
            <w:tcW w:w="3330" w:type="dxa"/>
          </w:tcPr>
          <w:p w:rsidRPr="007D7427" w:rsidR="00AC30AA" w:rsidP="00C27111" w:rsidRDefault="00AC30AA" w14:paraId="75EC23E7" w14:textId="77777777">
            <w:pPr>
              <w:jc w:val="center"/>
              <w:rPr>
                <w:b/>
              </w:rPr>
            </w:pPr>
            <w:r w:rsidRPr="007D7427">
              <w:rPr>
                <w:b/>
              </w:rPr>
              <w:t>Type of Respondent</w:t>
            </w:r>
          </w:p>
        </w:tc>
        <w:tc>
          <w:tcPr>
            <w:tcW w:w="1710" w:type="dxa"/>
          </w:tcPr>
          <w:p w:rsidRPr="007D7427" w:rsidR="00AC30AA" w:rsidP="00C27111" w:rsidRDefault="00AC30AA" w14:paraId="7F2A472E" w14:textId="3BE98C3A">
            <w:pPr>
              <w:jc w:val="center"/>
              <w:rPr>
                <w:b/>
              </w:rPr>
            </w:pPr>
            <w:r>
              <w:rPr>
                <w:b/>
              </w:rPr>
              <w:t>Total Annual Burden Hours</w:t>
            </w:r>
          </w:p>
        </w:tc>
        <w:tc>
          <w:tcPr>
            <w:tcW w:w="2070" w:type="dxa"/>
          </w:tcPr>
          <w:p w:rsidRPr="007D7427" w:rsidR="00AC30AA" w:rsidP="00C27111" w:rsidRDefault="00AC30AA" w14:paraId="6CE4357E" w14:textId="76C7A172">
            <w:pPr>
              <w:jc w:val="center"/>
              <w:rPr>
                <w:b/>
              </w:rPr>
            </w:pPr>
            <w:r w:rsidRPr="007D7427">
              <w:rPr>
                <w:b/>
              </w:rPr>
              <w:t>Hourly Wage Rate</w:t>
            </w:r>
            <w:r>
              <w:rPr>
                <w:b/>
              </w:rPr>
              <w:t>*</w:t>
            </w:r>
          </w:p>
        </w:tc>
        <w:tc>
          <w:tcPr>
            <w:tcW w:w="2610" w:type="dxa"/>
          </w:tcPr>
          <w:p w:rsidRPr="007D7427" w:rsidR="00AC30AA" w:rsidP="00C27111" w:rsidRDefault="00AC30AA" w14:paraId="09E52142" w14:textId="77777777">
            <w:pPr>
              <w:jc w:val="center"/>
              <w:rPr>
                <w:b/>
              </w:rPr>
            </w:pPr>
            <w:r w:rsidRPr="007D7427">
              <w:rPr>
                <w:b/>
              </w:rPr>
              <w:t>Respondent</w:t>
            </w:r>
          </w:p>
          <w:p w:rsidRPr="007D7427" w:rsidR="00AC30AA" w:rsidP="00C27111" w:rsidRDefault="00AC30AA" w14:paraId="36398578" w14:textId="77777777">
            <w:pPr>
              <w:jc w:val="center"/>
              <w:rPr>
                <w:b/>
              </w:rPr>
            </w:pPr>
            <w:r w:rsidRPr="007D7427">
              <w:rPr>
                <w:b/>
              </w:rPr>
              <w:t>Cost</w:t>
            </w:r>
          </w:p>
        </w:tc>
      </w:tr>
      <w:tr w:rsidRPr="007D7427" w:rsidR="00AC30AA" w:rsidTr="005C613F" w14:paraId="3B3A0E4D" w14:textId="77777777">
        <w:trPr>
          <w:trHeight w:val="296"/>
        </w:trPr>
        <w:tc>
          <w:tcPr>
            <w:tcW w:w="3330" w:type="dxa"/>
            <w:vAlign w:val="center"/>
          </w:tcPr>
          <w:p w:rsidRPr="007D7427" w:rsidR="00AC30AA" w:rsidP="00273081" w:rsidRDefault="00AC30AA" w14:paraId="4B2D05D2" w14:textId="2F885C00">
            <w:r>
              <w:t>Individual</w:t>
            </w:r>
            <w:r w:rsidR="005C613F">
              <w:t xml:space="preserve"> - </w:t>
            </w:r>
            <w:r w:rsidRPr="007D7427">
              <w:t>Applica</w:t>
            </w:r>
            <w:r>
              <w:t>nt</w:t>
            </w:r>
          </w:p>
        </w:tc>
        <w:tc>
          <w:tcPr>
            <w:tcW w:w="1710" w:type="dxa"/>
            <w:vAlign w:val="center"/>
          </w:tcPr>
          <w:p w:rsidRPr="00F37331" w:rsidR="00AC30AA" w:rsidP="00CB5FA4" w:rsidRDefault="00AC30AA" w14:paraId="19451951" w14:textId="2318D4EA">
            <w:pPr>
              <w:jc w:val="center"/>
            </w:pPr>
            <w:r w:rsidRPr="00F37331">
              <w:t>120</w:t>
            </w:r>
          </w:p>
        </w:tc>
        <w:tc>
          <w:tcPr>
            <w:tcW w:w="2070" w:type="dxa"/>
            <w:vAlign w:val="center"/>
          </w:tcPr>
          <w:p w:rsidRPr="007D7427" w:rsidR="00AC30AA" w:rsidP="00CB5FA4" w:rsidRDefault="00AC30AA" w14:paraId="24A34F1C" w14:textId="5E15C9F9">
            <w:pPr>
              <w:jc w:val="center"/>
            </w:pPr>
            <w:r w:rsidRPr="007D7427">
              <w:t>$</w:t>
            </w:r>
            <w:r w:rsidR="00CE6FA5">
              <w:t>24.34*</w:t>
            </w:r>
          </w:p>
        </w:tc>
        <w:tc>
          <w:tcPr>
            <w:tcW w:w="2610" w:type="dxa"/>
            <w:vAlign w:val="center"/>
          </w:tcPr>
          <w:p w:rsidRPr="007D7427" w:rsidR="00AC30AA" w:rsidP="009E565A" w:rsidRDefault="00AC30AA" w14:paraId="281EA8AF" w14:textId="72204A54">
            <w:pPr>
              <w:ind w:right="-140"/>
              <w:jc w:val="center"/>
            </w:pPr>
            <w:r w:rsidRPr="007D7427">
              <w:t>$2,</w:t>
            </w:r>
            <w:r w:rsidR="001350D3">
              <w:t>920.80</w:t>
            </w:r>
          </w:p>
        </w:tc>
      </w:tr>
      <w:tr w:rsidRPr="007D7427" w:rsidR="00AC30AA" w:rsidTr="005C613F" w14:paraId="52EAA070" w14:textId="77777777">
        <w:trPr>
          <w:trHeight w:val="259"/>
        </w:trPr>
        <w:tc>
          <w:tcPr>
            <w:tcW w:w="3330" w:type="dxa"/>
            <w:vAlign w:val="center"/>
          </w:tcPr>
          <w:p w:rsidRPr="007D7427" w:rsidR="00AC30AA" w:rsidDel="00C27111" w:rsidP="005C613F" w:rsidRDefault="00AC30AA" w14:paraId="455953C2" w14:textId="53FA6B4A">
            <w:r>
              <w:t>Individual</w:t>
            </w:r>
            <w:r w:rsidR="005C613F">
              <w:t xml:space="preserve"> - </w:t>
            </w:r>
            <w:r w:rsidRPr="007D7427">
              <w:t>Reference Letter</w:t>
            </w:r>
          </w:p>
        </w:tc>
        <w:tc>
          <w:tcPr>
            <w:tcW w:w="1710" w:type="dxa"/>
            <w:vAlign w:val="center"/>
          </w:tcPr>
          <w:p w:rsidRPr="00F37331" w:rsidR="00AC30AA" w:rsidP="00CB5FA4" w:rsidRDefault="00AC30AA" w14:paraId="0EEF0263" w14:textId="36CC5A54">
            <w:pPr>
              <w:jc w:val="center"/>
            </w:pPr>
            <w:r w:rsidRPr="00F37331">
              <w:t>120</w:t>
            </w:r>
          </w:p>
        </w:tc>
        <w:tc>
          <w:tcPr>
            <w:tcW w:w="2070" w:type="dxa"/>
            <w:vAlign w:val="center"/>
          </w:tcPr>
          <w:p w:rsidRPr="007D7427" w:rsidR="00AC30AA" w:rsidP="00CB5FA4" w:rsidRDefault="001350D3" w14:paraId="3513092F" w14:textId="39828639">
            <w:pPr>
              <w:jc w:val="center"/>
            </w:pPr>
            <w:r>
              <w:t>$34.39</w:t>
            </w:r>
            <w:r w:rsidR="00CE6FA5">
              <w:t>**</w:t>
            </w:r>
          </w:p>
        </w:tc>
        <w:tc>
          <w:tcPr>
            <w:tcW w:w="2610" w:type="dxa"/>
            <w:vAlign w:val="center"/>
          </w:tcPr>
          <w:p w:rsidRPr="007D7427" w:rsidR="00AC30AA" w:rsidP="009E565A" w:rsidRDefault="00AC30AA" w14:paraId="3654165C" w14:textId="6C24912E">
            <w:pPr>
              <w:ind w:right="-140"/>
              <w:jc w:val="center"/>
            </w:pPr>
            <w:r w:rsidRPr="007D7427">
              <w:t>$</w:t>
            </w:r>
            <w:r w:rsidR="001350D3">
              <w:t>4,126.8</w:t>
            </w:r>
            <w:r w:rsidR="005449E7">
              <w:t>0</w:t>
            </w:r>
          </w:p>
        </w:tc>
      </w:tr>
      <w:tr w:rsidRPr="007D7427" w:rsidR="00AC30AA" w:rsidTr="005C613F" w14:paraId="127EAEC4" w14:textId="77777777">
        <w:trPr>
          <w:trHeight w:val="259"/>
        </w:trPr>
        <w:tc>
          <w:tcPr>
            <w:tcW w:w="3330" w:type="dxa"/>
            <w:vAlign w:val="center"/>
          </w:tcPr>
          <w:p w:rsidRPr="00620742" w:rsidR="00AC30AA" w:rsidP="00452A40" w:rsidRDefault="00AC30AA" w14:paraId="75F60857" w14:textId="28BFE752">
            <w:pPr>
              <w:rPr>
                <w:b/>
              </w:rPr>
            </w:pPr>
            <w:r w:rsidRPr="00620742">
              <w:rPr>
                <w:b/>
              </w:rPr>
              <w:t>Total</w:t>
            </w:r>
          </w:p>
        </w:tc>
        <w:tc>
          <w:tcPr>
            <w:tcW w:w="1710" w:type="dxa"/>
            <w:vAlign w:val="center"/>
          </w:tcPr>
          <w:p w:rsidRPr="00620742" w:rsidR="00AC30AA" w:rsidP="00CB5FA4" w:rsidRDefault="00AC30AA" w14:paraId="7AAAF63A" w14:textId="2B12FA05">
            <w:pPr>
              <w:jc w:val="center"/>
              <w:rPr>
                <w:b/>
              </w:rPr>
            </w:pPr>
            <w:r w:rsidRPr="00620742">
              <w:rPr>
                <w:b/>
              </w:rPr>
              <w:t>24</w:t>
            </w:r>
            <w:r w:rsidR="00620742">
              <w:rPr>
                <w:b/>
              </w:rPr>
              <w:t>0</w:t>
            </w:r>
          </w:p>
        </w:tc>
        <w:tc>
          <w:tcPr>
            <w:tcW w:w="2070" w:type="dxa"/>
            <w:vAlign w:val="center"/>
          </w:tcPr>
          <w:p w:rsidRPr="00620742" w:rsidR="00AC30AA" w:rsidP="00CB5FA4" w:rsidRDefault="00AC30AA" w14:paraId="394362C4" w14:textId="77777777">
            <w:pPr>
              <w:jc w:val="center"/>
              <w:rPr>
                <w:b/>
              </w:rPr>
            </w:pPr>
          </w:p>
        </w:tc>
        <w:tc>
          <w:tcPr>
            <w:tcW w:w="2610" w:type="dxa"/>
            <w:vAlign w:val="center"/>
          </w:tcPr>
          <w:p w:rsidRPr="00620742" w:rsidR="00AC30AA" w:rsidP="00CB5FA4" w:rsidRDefault="005449E7" w14:paraId="6930DC42" w14:textId="4A5E608B">
            <w:pPr>
              <w:jc w:val="center"/>
              <w:rPr>
                <w:b/>
              </w:rPr>
            </w:pPr>
            <w:r w:rsidRPr="00620742">
              <w:rPr>
                <w:b/>
              </w:rPr>
              <w:t>$7</w:t>
            </w:r>
            <w:r w:rsidRPr="00620742" w:rsidR="00AC30AA">
              <w:rPr>
                <w:b/>
              </w:rPr>
              <w:t>,</w:t>
            </w:r>
            <w:r w:rsidRPr="00620742">
              <w:rPr>
                <w:b/>
              </w:rPr>
              <w:t>193.64</w:t>
            </w:r>
          </w:p>
        </w:tc>
      </w:tr>
    </w:tbl>
    <w:p w:rsidRPr="00CE6FA5" w:rsidR="00CE6FA5" w:rsidP="00CE6FA5" w:rsidRDefault="00EC6047" w14:paraId="30B311EE" w14:textId="5CEC0EC0">
      <w:pPr>
        <w:rPr>
          <w:sz w:val="20"/>
          <w:szCs w:val="20"/>
        </w:rPr>
      </w:pPr>
      <w:r w:rsidRPr="00CE6FA5">
        <w:rPr>
          <w:sz w:val="20"/>
          <w:szCs w:val="20"/>
        </w:rPr>
        <w:t>*</w:t>
      </w:r>
      <w:r w:rsidR="00CE6FA5">
        <w:rPr>
          <w:sz w:val="20"/>
          <w:szCs w:val="20"/>
        </w:rPr>
        <w:t xml:space="preserve">The mean hourly wage rate for the </w:t>
      </w:r>
      <w:r w:rsidRPr="00CE6FA5" w:rsidR="00B958E6">
        <w:rPr>
          <w:sz w:val="20"/>
          <w:szCs w:val="20"/>
        </w:rPr>
        <w:t>ICRC</w:t>
      </w:r>
      <w:r w:rsidRPr="00CE6FA5" w:rsidR="00ED1D5E">
        <w:rPr>
          <w:sz w:val="20"/>
          <w:szCs w:val="20"/>
        </w:rPr>
        <w:t xml:space="preserve"> applicants</w:t>
      </w:r>
      <w:r w:rsidR="00A03512">
        <w:rPr>
          <w:sz w:val="20"/>
          <w:szCs w:val="20"/>
        </w:rPr>
        <w:t xml:space="preserve"> is </w:t>
      </w:r>
      <w:r w:rsidR="00CE6FA5">
        <w:rPr>
          <w:sz w:val="20"/>
          <w:szCs w:val="20"/>
        </w:rPr>
        <w:t xml:space="preserve">cited from </w:t>
      </w:r>
      <w:r w:rsidR="00A03512">
        <w:rPr>
          <w:sz w:val="20"/>
          <w:szCs w:val="20"/>
        </w:rPr>
        <w:t xml:space="preserve">the U.S. Bureau of Labor Statistics, </w:t>
      </w:r>
      <w:r w:rsidR="00CE6FA5">
        <w:rPr>
          <w:sz w:val="20"/>
          <w:szCs w:val="20"/>
        </w:rPr>
        <w:t>All Occupations</w:t>
      </w:r>
      <w:r w:rsidR="00A03512">
        <w:rPr>
          <w:sz w:val="20"/>
          <w:szCs w:val="20"/>
        </w:rPr>
        <w:t>, Occupation Code 00-0000.</w:t>
      </w:r>
      <w:r w:rsidR="00CE6FA5">
        <w:rPr>
          <w:sz w:val="20"/>
          <w:szCs w:val="20"/>
        </w:rPr>
        <w:t xml:space="preserve"> </w:t>
      </w:r>
      <w:hyperlink w:history="1" r:id="rId13">
        <w:r w:rsidRPr="005365F6" w:rsidR="00CE6FA5">
          <w:rPr>
            <w:rStyle w:val="Hyperlink"/>
            <w:sz w:val="20"/>
            <w:szCs w:val="20"/>
          </w:rPr>
          <w:t>https://www.bls.gov/oes/current/oes_nat.htm</w:t>
        </w:r>
      </w:hyperlink>
      <w:r w:rsidR="00CE6FA5">
        <w:rPr>
          <w:rStyle w:val="Hyperlink"/>
          <w:sz w:val="20"/>
          <w:szCs w:val="20"/>
        </w:rPr>
        <w:t xml:space="preserve">. </w:t>
      </w:r>
    </w:p>
    <w:p w:rsidRPr="00CE6FA5" w:rsidR="00CE6FA5" w:rsidP="00253C78" w:rsidRDefault="00CE6FA5" w14:paraId="3E3920FB" w14:textId="77777777">
      <w:pPr>
        <w:rPr>
          <w:sz w:val="20"/>
          <w:szCs w:val="20"/>
        </w:rPr>
      </w:pPr>
    </w:p>
    <w:p w:rsidR="005C613F" w:rsidP="009218B9" w:rsidRDefault="00CE6FA5" w14:paraId="75FEED0D" w14:textId="16171603">
      <w:pPr>
        <w:pStyle w:val="Heading2"/>
        <w:tabs>
          <w:tab w:val="clear" w:pos="1152"/>
          <w:tab w:val="left" w:pos="720"/>
        </w:tabs>
        <w:spacing w:after="0" w:line="240" w:lineRule="auto"/>
        <w:ind w:left="0" w:firstLine="0"/>
        <w:jc w:val="left"/>
        <w:rPr>
          <w:b w:val="0"/>
          <w:sz w:val="20"/>
        </w:rPr>
      </w:pPr>
      <w:r w:rsidRPr="00E7773D">
        <w:rPr>
          <w:b w:val="0"/>
          <w:sz w:val="20"/>
        </w:rPr>
        <w:t>**The mean hourly wage rate f</w:t>
      </w:r>
      <w:r w:rsidRPr="00E7773D" w:rsidR="00ED1D5E">
        <w:rPr>
          <w:b w:val="0"/>
          <w:sz w:val="20"/>
        </w:rPr>
        <w:t xml:space="preserve">or </w:t>
      </w:r>
      <w:r w:rsidRPr="00E7773D" w:rsidR="00A03512">
        <w:rPr>
          <w:b w:val="0"/>
          <w:sz w:val="20"/>
        </w:rPr>
        <w:t xml:space="preserve">Postsecondary Teachers </w:t>
      </w:r>
      <w:r w:rsidRPr="00E7773D" w:rsidR="00ED1D5E">
        <w:rPr>
          <w:b w:val="0"/>
          <w:sz w:val="20"/>
        </w:rPr>
        <w:t xml:space="preserve">is </w:t>
      </w:r>
      <w:r w:rsidRPr="00E7773D" w:rsidR="00A03512">
        <w:rPr>
          <w:b w:val="0"/>
          <w:sz w:val="20"/>
        </w:rPr>
        <w:t xml:space="preserve">cited from </w:t>
      </w:r>
      <w:r w:rsidRPr="00E7773D" w:rsidR="00ED1D5E">
        <w:rPr>
          <w:b w:val="0"/>
          <w:sz w:val="20"/>
        </w:rPr>
        <w:t>the U.S. Bureau of Lab</w:t>
      </w:r>
      <w:r w:rsidRPr="00E7773D" w:rsidR="00A03512">
        <w:rPr>
          <w:b w:val="0"/>
          <w:sz w:val="20"/>
        </w:rPr>
        <w:t>or Statistics, Occupation code 25-1081</w:t>
      </w:r>
      <w:r w:rsidRPr="00E7773D" w:rsidR="00ED1D5E">
        <w:rPr>
          <w:b w:val="0"/>
          <w:sz w:val="20"/>
        </w:rPr>
        <w:t xml:space="preserve">. </w:t>
      </w:r>
      <w:hyperlink w:history="1" r:id="rId14">
        <w:r w:rsidRPr="00E7773D" w:rsidR="001350D3">
          <w:rPr>
            <w:rStyle w:val="Hyperlink"/>
            <w:b w:val="0"/>
            <w:sz w:val="20"/>
            <w:shd w:val="clear" w:color="auto" w:fill="FFFFFF"/>
          </w:rPr>
          <w:t>https://www.bls.gov/oes/current/oes251081.htm</w:t>
        </w:r>
      </w:hyperlink>
      <w:r w:rsidRPr="00E7773D" w:rsidR="00A03512">
        <w:rPr>
          <w:rStyle w:val="Hyperlink"/>
          <w:b w:val="0"/>
          <w:sz w:val="20"/>
        </w:rPr>
        <w:t xml:space="preserve"> </w:t>
      </w:r>
      <w:r w:rsidRPr="00E7773D" w:rsidR="001350D3">
        <w:rPr>
          <w:b w:val="0"/>
          <w:sz w:val="20"/>
        </w:rPr>
        <w:t xml:space="preserve"> W</w:t>
      </w:r>
      <w:r w:rsidRPr="00E7773D" w:rsidR="00A03512">
        <w:rPr>
          <w:b w:val="0"/>
          <w:sz w:val="20"/>
        </w:rPr>
        <w:t xml:space="preserve">ages for </w:t>
      </w:r>
      <w:r w:rsidRPr="00E7773D" w:rsidR="001350D3">
        <w:rPr>
          <w:b w:val="0"/>
          <w:sz w:val="20"/>
        </w:rPr>
        <w:t>teachers</w:t>
      </w:r>
      <w:r w:rsidRPr="00E7773D" w:rsidR="00A03512">
        <w:rPr>
          <w:b w:val="0"/>
          <w:sz w:val="20"/>
        </w:rPr>
        <w:t xml:space="preserve"> that do not generally work year-round, full time, are reported as annual salaries depending on how they are typically paid.</w:t>
      </w:r>
      <w:r w:rsidRPr="00E7773D" w:rsidR="00A03512">
        <w:rPr>
          <w:rFonts w:ascii="Tahoma" w:hAnsi="Tahoma" w:cs="Tahoma"/>
          <w:b w:val="0"/>
          <w:color w:val="333333"/>
          <w:sz w:val="20"/>
          <w:shd w:val="clear" w:color="auto" w:fill="FFFFFF"/>
        </w:rPr>
        <w:t xml:space="preserve"> </w:t>
      </w:r>
      <w:r w:rsidR="00726B9F">
        <w:rPr>
          <w:b w:val="0"/>
          <w:sz w:val="20"/>
        </w:rPr>
        <w:t>The mean yearly</w:t>
      </w:r>
      <w:r w:rsidRPr="00E7773D" w:rsidR="001350D3">
        <w:rPr>
          <w:b w:val="0"/>
          <w:sz w:val="20"/>
        </w:rPr>
        <w:t xml:space="preserve"> W</w:t>
      </w:r>
      <w:r w:rsidRPr="00E7773D" w:rsidR="00A03512">
        <w:rPr>
          <w:b w:val="0"/>
          <w:sz w:val="20"/>
        </w:rPr>
        <w:t>age for college and un</w:t>
      </w:r>
      <w:r w:rsidRPr="00E7773D" w:rsidR="001350D3">
        <w:rPr>
          <w:b w:val="0"/>
          <w:sz w:val="20"/>
        </w:rPr>
        <w:t>iversity professors is $71,530.</w:t>
      </w:r>
      <w:r w:rsidRPr="00E7773D" w:rsidR="00A03512">
        <w:rPr>
          <w:b w:val="0"/>
          <w:sz w:val="20"/>
        </w:rPr>
        <w:t xml:space="preserve"> To determine the Hourly Wage Rate</w:t>
      </w:r>
      <w:r w:rsidRPr="00E7773D" w:rsidR="001350D3">
        <w:rPr>
          <w:b w:val="0"/>
          <w:sz w:val="20"/>
        </w:rPr>
        <w:t xml:space="preserve"> in the table above, the</w:t>
      </w:r>
      <w:r w:rsidR="005C613F">
        <w:rPr>
          <w:b w:val="0"/>
          <w:sz w:val="20"/>
        </w:rPr>
        <w:t xml:space="preserve"> </w:t>
      </w:r>
      <w:r w:rsidR="00726B9F">
        <w:rPr>
          <w:b w:val="0"/>
          <w:sz w:val="20"/>
        </w:rPr>
        <w:t>annual Mean</w:t>
      </w:r>
      <w:r w:rsidRPr="00E7773D" w:rsidR="001350D3">
        <w:rPr>
          <w:b w:val="0"/>
          <w:sz w:val="20"/>
        </w:rPr>
        <w:t xml:space="preserve"> Wage was leveled over 40 hours per week, times 52 weeks per </w:t>
      </w:r>
      <w:r w:rsidRPr="00E7773D" w:rsidR="00A03512">
        <w:rPr>
          <w:b w:val="0"/>
          <w:sz w:val="20"/>
        </w:rPr>
        <w:t>year (2,080).  This amounts to $</w:t>
      </w:r>
      <w:r w:rsidRPr="00E7773D" w:rsidR="001350D3">
        <w:rPr>
          <w:b w:val="0"/>
          <w:sz w:val="20"/>
        </w:rPr>
        <w:t>71,530 divided by 2,080, which equals $34.39.</w:t>
      </w:r>
      <w:bookmarkStart w:name="_Toc443881756" w:id="42"/>
      <w:bookmarkStart w:name="_Toc451592243" w:id="43"/>
      <w:bookmarkStart w:name="_Toc5610284" w:id="44"/>
      <w:bookmarkStart w:name="_Toc99178790" w:id="45"/>
    </w:p>
    <w:p w:rsidRPr="005C613F" w:rsidR="00E7773D" w:rsidP="005C613F" w:rsidRDefault="00E7773D" w14:paraId="51137E3A" w14:textId="5FD1151A">
      <w:pPr>
        <w:rPr>
          <w:sz w:val="20"/>
          <w:szCs w:val="20"/>
        </w:rPr>
      </w:pPr>
    </w:p>
    <w:p w:rsidRPr="00E7773D" w:rsidR="0093431F" w:rsidP="009218B9" w:rsidRDefault="0093431F" w14:paraId="6C6D7182" w14:textId="4FD8F3F3">
      <w:pPr>
        <w:pStyle w:val="Heading2"/>
        <w:tabs>
          <w:tab w:val="clear" w:pos="1152"/>
          <w:tab w:val="left" w:pos="720"/>
        </w:tabs>
        <w:spacing w:after="0" w:line="240" w:lineRule="auto"/>
        <w:ind w:left="0" w:firstLine="0"/>
        <w:jc w:val="left"/>
        <w:rPr>
          <w:sz w:val="24"/>
          <w:szCs w:val="24"/>
        </w:rPr>
      </w:pPr>
      <w:r w:rsidRPr="00E7773D">
        <w:rPr>
          <w:sz w:val="24"/>
          <w:szCs w:val="24"/>
        </w:rPr>
        <w:t>A.13</w:t>
      </w:r>
      <w:r w:rsidRPr="00E7773D">
        <w:rPr>
          <w:sz w:val="24"/>
          <w:szCs w:val="24"/>
        </w:rPr>
        <w:tab/>
        <w:t>Estimate of Other Total Annual Cost</w:t>
      </w:r>
      <w:r w:rsidRPr="00E7773D" w:rsidR="00BC4E67">
        <w:rPr>
          <w:sz w:val="24"/>
          <w:szCs w:val="24"/>
        </w:rPr>
        <w:t xml:space="preserve"> Burden to Respondents or Record </w:t>
      </w:r>
      <w:r w:rsidRPr="00E7773D">
        <w:rPr>
          <w:sz w:val="24"/>
          <w:szCs w:val="24"/>
        </w:rPr>
        <w:t>Keepers</w:t>
      </w:r>
      <w:bookmarkEnd w:id="42"/>
      <w:bookmarkEnd w:id="43"/>
      <w:bookmarkEnd w:id="44"/>
      <w:bookmarkEnd w:id="45"/>
    </w:p>
    <w:p w:rsidRPr="007D7427" w:rsidR="009218B9" w:rsidP="009218B9" w:rsidRDefault="009218B9" w14:paraId="3DA87A91" w14:textId="77777777">
      <w:pPr>
        <w:pStyle w:val="P1-StandPara"/>
        <w:spacing w:line="240" w:lineRule="auto"/>
        <w:rPr>
          <w:sz w:val="24"/>
          <w:szCs w:val="24"/>
        </w:rPr>
      </w:pPr>
    </w:p>
    <w:p w:rsidRPr="006726BA" w:rsidR="00714448" w:rsidP="007640C7" w:rsidRDefault="00714448" w14:paraId="0372EDB6" w14:textId="03AB2C98">
      <w:pPr>
        <w:autoSpaceDE w:val="0"/>
        <w:autoSpaceDN w:val="0"/>
        <w:adjustRightInd w:val="0"/>
        <w:rPr>
          <w:szCs w:val="22"/>
        </w:rPr>
      </w:pPr>
      <w:r w:rsidRPr="007D7427">
        <w:t xml:space="preserve">There </w:t>
      </w:r>
      <w:proofErr w:type="gramStart"/>
      <w:r w:rsidRPr="007D7427">
        <w:t>are</w:t>
      </w:r>
      <w:proofErr w:type="gramEnd"/>
      <w:r w:rsidRPr="007D7427">
        <w:t xml:space="preserve"> no capital</w:t>
      </w:r>
      <w:r w:rsidR="00726B9F">
        <w:t>, operating</w:t>
      </w:r>
      <w:r w:rsidRPr="007D7427">
        <w:t>, or maintenance costs to report</w:t>
      </w:r>
      <w:r w:rsidRPr="00CB4458">
        <w:t>.</w:t>
      </w:r>
      <w:r w:rsidRPr="003927A6" w:rsidR="008119CD">
        <w:rPr>
          <w:szCs w:val="22"/>
        </w:rPr>
        <w:t xml:space="preserve"> </w:t>
      </w:r>
    </w:p>
    <w:p w:rsidRPr="007D7427" w:rsidR="00DB2250" w:rsidP="00E36A07" w:rsidRDefault="00DB2250" w14:paraId="50C63F6A" w14:textId="77777777">
      <w:bookmarkStart w:name="_Toc443881757" w:id="46"/>
      <w:bookmarkStart w:name="_Toc451592244" w:id="47"/>
      <w:bookmarkStart w:name="_Toc5610285" w:id="48"/>
      <w:bookmarkStart w:name="_Toc99178791" w:id="49"/>
    </w:p>
    <w:p w:rsidR="005C613F" w:rsidRDefault="005C613F" w14:paraId="30231754" w14:textId="77777777">
      <w:pPr>
        <w:rPr>
          <w:b/>
        </w:rPr>
      </w:pPr>
      <w:r>
        <w:br w:type="page"/>
      </w:r>
    </w:p>
    <w:p w:rsidRPr="007D7427" w:rsidR="00E36A07" w:rsidP="00A725E8" w:rsidRDefault="00E36A07" w14:paraId="4A1EB405" w14:textId="73236693">
      <w:pPr>
        <w:pStyle w:val="Heading2"/>
        <w:tabs>
          <w:tab w:val="clear" w:pos="1152"/>
          <w:tab w:val="left" w:pos="720"/>
        </w:tabs>
        <w:spacing w:after="0" w:line="480" w:lineRule="auto"/>
        <w:ind w:left="0" w:firstLine="0"/>
        <w:rPr>
          <w:sz w:val="24"/>
          <w:szCs w:val="24"/>
        </w:rPr>
      </w:pPr>
      <w:r w:rsidRPr="007D7427">
        <w:rPr>
          <w:sz w:val="24"/>
          <w:szCs w:val="24"/>
        </w:rPr>
        <w:lastRenderedPageBreak/>
        <w:t>A.14</w:t>
      </w:r>
      <w:r w:rsidRPr="007D7427">
        <w:rPr>
          <w:sz w:val="24"/>
          <w:szCs w:val="24"/>
        </w:rPr>
        <w:tab/>
        <w:t>Annualized Cost to the Federal Government</w:t>
      </w:r>
      <w:bookmarkEnd w:id="46"/>
      <w:bookmarkEnd w:id="47"/>
      <w:bookmarkEnd w:id="48"/>
      <w:bookmarkEnd w:id="49"/>
      <w:r w:rsidRPr="007D7427">
        <w:rPr>
          <w:sz w:val="24"/>
          <w:szCs w:val="24"/>
        </w:rPr>
        <w:t xml:space="preserve">  </w:t>
      </w:r>
    </w:p>
    <w:p w:rsidR="00E7773D" w:rsidP="00620742" w:rsidRDefault="00257BCC" w14:paraId="56892B1D" w14:textId="42EC2387">
      <w:pPr>
        <w:widowControl w:val="0"/>
        <w:adjustRightInd w:val="0"/>
        <w:snapToGrid w:val="0"/>
      </w:pPr>
      <w:r w:rsidRPr="007D7427">
        <w:t xml:space="preserve">The annualized cost to the Federal Government for the proposed data collection effort is estimated to be </w:t>
      </w:r>
      <w:r w:rsidRPr="00BA5075">
        <w:t>$</w:t>
      </w:r>
      <w:r w:rsidR="00F17CE8">
        <w:t>114,110.82</w:t>
      </w:r>
      <w:r w:rsidRPr="00BA5075" w:rsidR="00D360A9">
        <w:rPr>
          <w:color w:val="000000" w:themeColor="text1"/>
        </w:rPr>
        <w:t xml:space="preserve"> </w:t>
      </w:r>
      <w:r w:rsidRPr="00727390" w:rsidR="00D360A9">
        <w:rPr>
          <w:color w:val="000000" w:themeColor="text1"/>
        </w:rPr>
        <w:t>(</w:t>
      </w:r>
      <w:r w:rsidRPr="007D7427" w:rsidR="00D360A9">
        <w:rPr>
          <w:color w:val="000000" w:themeColor="text1"/>
        </w:rPr>
        <w:t>Table A.14</w:t>
      </w:r>
      <w:r w:rsidR="000A472B">
        <w:rPr>
          <w:color w:val="000000" w:themeColor="text1"/>
        </w:rPr>
        <w:t>-</w:t>
      </w:r>
      <w:r w:rsidRPr="007D7427" w:rsidR="00D360A9">
        <w:rPr>
          <w:color w:val="000000" w:themeColor="text1"/>
        </w:rPr>
        <w:t>1)</w:t>
      </w:r>
      <w:r w:rsidRPr="007D7427">
        <w:rPr>
          <w:color w:val="000000" w:themeColor="text1"/>
        </w:rPr>
        <w:t xml:space="preserve">. </w:t>
      </w:r>
      <w:r w:rsidRPr="007D7427" w:rsidR="007640C7">
        <w:t xml:space="preserve">The </w:t>
      </w:r>
      <w:r w:rsidRPr="007D7427" w:rsidR="00D929DF">
        <w:t xml:space="preserve">ICRC </w:t>
      </w:r>
      <w:r w:rsidRPr="007D7427" w:rsidR="007640C7">
        <w:t xml:space="preserve">federal personnel </w:t>
      </w:r>
      <w:r w:rsidRPr="007D7427" w:rsidR="007640C7">
        <w:rPr>
          <w:noProof/>
        </w:rPr>
        <w:t>are</w:t>
      </w:r>
      <w:r w:rsidRPr="007D7427" w:rsidR="007640C7">
        <w:t xml:space="preserve"> responsible for</w:t>
      </w:r>
      <w:r w:rsidRPr="007D7427" w:rsidR="00171992">
        <w:t xml:space="preserve"> </w:t>
      </w:r>
      <w:r w:rsidRPr="007D7427" w:rsidR="00D929DF">
        <w:t>reviewing</w:t>
      </w:r>
      <w:r w:rsidRPr="007D7427" w:rsidR="00EA5E15">
        <w:t xml:space="preserve"> </w:t>
      </w:r>
      <w:r w:rsidRPr="007D7427" w:rsidR="00D929DF">
        <w:t>and distributing the applications</w:t>
      </w:r>
      <w:r w:rsidRPr="007D7427" w:rsidR="00A725E8">
        <w:t xml:space="preserve">.  </w:t>
      </w:r>
      <w:r w:rsidRPr="007D7427" w:rsidR="00C67B8E">
        <w:t>T</w:t>
      </w:r>
      <w:r w:rsidRPr="007D7427" w:rsidR="007640C7">
        <w:t xml:space="preserve">he </w:t>
      </w:r>
      <w:r w:rsidR="00726B9F">
        <w:t>contractor’s</w:t>
      </w:r>
      <w:r w:rsidRPr="007D7427" w:rsidR="007640C7">
        <w:t xml:space="preserve"> tasks include</w:t>
      </w:r>
      <w:r w:rsidRPr="007D7427" w:rsidR="009C61E9">
        <w:t xml:space="preserve"> the design and </w:t>
      </w:r>
      <w:r w:rsidRPr="007D7427" w:rsidR="00D929DF">
        <w:t xml:space="preserve">management of the ICRC </w:t>
      </w:r>
      <w:r w:rsidR="00225755">
        <w:t>A</w:t>
      </w:r>
      <w:r w:rsidRPr="007D7427" w:rsidR="00D929DF">
        <w:t>pplication</w:t>
      </w:r>
      <w:r w:rsidRPr="007D7427" w:rsidR="00171992">
        <w:t>.</w:t>
      </w:r>
    </w:p>
    <w:p w:rsidR="00E06F3D" w:rsidP="00D360A9" w:rsidRDefault="00E06F3D" w14:paraId="1635FC73" w14:textId="77777777">
      <w:pPr>
        <w:widowControl w:val="0"/>
        <w:adjustRightInd w:val="0"/>
        <w:snapToGrid w:val="0"/>
        <w:jc w:val="center"/>
      </w:pPr>
    </w:p>
    <w:p w:rsidR="007640C7" w:rsidP="00D360A9" w:rsidRDefault="007640C7" w14:paraId="7AFF2A2A" w14:textId="639CECD1">
      <w:pPr>
        <w:widowControl w:val="0"/>
        <w:adjustRightInd w:val="0"/>
        <w:snapToGrid w:val="0"/>
        <w:jc w:val="center"/>
      </w:pPr>
      <w:r w:rsidRPr="007D7427">
        <w:t>Tab</w:t>
      </w:r>
      <w:r w:rsidRPr="007D7427" w:rsidR="00C67B8E">
        <w:t>le 14</w:t>
      </w:r>
      <w:r w:rsidR="000A472B">
        <w:t>-</w:t>
      </w:r>
      <w:r w:rsidRPr="007D7427" w:rsidR="005A0DCA">
        <w:t>1 Annualized C</w:t>
      </w:r>
      <w:r w:rsidRPr="007D7427" w:rsidR="00C67B8E">
        <w:t>ost to the F</w:t>
      </w:r>
      <w:r w:rsidRPr="007D7427">
        <w:t>ederal Government</w:t>
      </w:r>
    </w:p>
    <w:p w:rsidRPr="007D7427" w:rsidR="000A472B" w:rsidP="00D360A9" w:rsidRDefault="000A472B" w14:paraId="2D0BBE4E" w14:textId="77777777">
      <w:pPr>
        <w:widowControl w:val="0"/>
        <w:adjustRightInd w:val="0"/>
        <w:snapToGrid w:val="0"/>
        <w:jc w:val="center"/>
      </w:pPr>
    </w:p>
    <w:tbl>
      <w:tblPr>
        <w:tblW w:w="9558" w:type="dxa"/>
        <w:tblInd w:w="-118" w:type="dxa"/>
        <w:tblLayout w:type="fixed"/>
        <w:tblCellMar>
          <w:left w:w="0" w:type="dxa"/>
          <w:right w:w="0" w:type="dxa"/>
        </w:tblCellMar>
        <w:tblLook w:val="04A0" w:firstRow="1" w:lastRow="0" w:firstColumn="1" w:lastColumn="0" w:noHBand="0" w:noVBand="1"/>
      </w:tblPr>
      <w:tblGrid>
        <w:gridCol w:w="3258"/>
        <w:gridCol w:w="1260"/>
        <w:gridCol w:w="1260"/>
        <w:gridCol w:w="900"/>
        <w:gridCol w:w="1481"/>
        <w:gridCol w:w="1399"/>
      </w:tblGrid>
      <w:tr w:rsidRPr="007D7427" w:rsidR="00425499" w:rsidTr="003E3637" w14:paraId="442A738E" w14:textId="77777777">
        <w:trPr>
          <w:trHeight w:val="583"/>
        </w:trPr>
        <w:tc>
          <w:tcPr>
            <w:tcW w:w="3258"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7D7427" w:rsidR="00425499" w:rsidP="00B25B57" w:rsidRDefault="00425499" w14:paraId="2A018239" w14:textId="77777777">
            <w:pPr>
              <w:jc w:val="center"/>
              <w:rPr>
                <w:rFonts w:eastAsia="Calibri"/>
                <w:b/>
                <w:bCs/>
                <w:color w:val="000000"/>
              </w:rPr>
            </w:pPr>
            <w:bookmarkStart w:name="_Hlk521578159" w:id="50"/>
            <w:bookmarkStart w:name="_Hlk522023158" w:id="51"/>
            <w:r w:rsidRPr="007D7427">
              <w:rPr>
                <w:b/>
                <w:bCs/>
                <w:color w:val="000000"/>
              </w:rPr>
              <w:t>Staff</w:t>
            </w:r>
          </w:p>
        </w:tc>
        <w:tc>
          <w:tcPr>
            <w:tcW w:w="1260" w:type="dxa"/>
            <w:tcBorders>
              <w:top w:val="single" w:color="auto" w:sz="8" w:space="0"/>
              <w:left w:val="nil"/>
              <w:bottom w:val="single" w:color="auto" w:sz="8" w:space="0"/>
              <w:right w:val="single" w:color="auto" w:sz="8" w:space="0"/>
            </w:tcBorders>
            <w:shd w:val="clear" w:color="auto" w:fill="auto"/>
            <w:vAlign w:val="center"/>
          </w:tcPr>
          <w:p w:rsidRPr="007D7427" w:rsidR="00425499" w:rsidP="00B25B57" w:rsidRDefault="00425499" w14:paraId="324790CB" w14:textId="77777777">
            <w:pPr>
              <w:jc w:val="center"/>
              <w:rPr>
                <w:rFonts w:eastAsia="Calibri"/>
                <w:b/>
                <w:bCs/>
                <w:color w:val="000000"/>
              </w:rPr>
            </w:pPr>
            <w:r w:rsidRPr="007D7427">
              <w:rPr>
                <w:b/>
                <w:bCs/>
                <w:color w:val="000000"/>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7D7427" w:rsidR="00425499" w:rsidP="00B25B57" w:rsidRDefault="00425499" w14:paraId="7E8A9A61" w14:textId="547C1F61">
            <w:pPr>
              <w:jc w:val="center"/>
              <w:rPr>
                <w:rFonts w:eastAsia="Calibri"/>
                <w:b/>
                <w:bCs/>
              </w:rPr>
            </w:pPr>
            <w:r w:rsidRPr="007D7427">
              <w:rPr>
                <w:b/>
                <w:bCs/>
              </w:rPr>
              <w:t>Salary</w:t>
            </w:r>
            <w:r w:rsidR="00642434">
              <w:rPr>
                <w:b/>
                <w:bCs/>
              </w:rPr>
              <w:t>**</w:t>
            </w:r>
          </w:p>
        </w:tc>
        <w:tc>
          <w:tcPr>
            <w:tcW w:w="9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7D7427" w:rsidR="00425499" w:rsidP="00B25B57" w:rsidRDefault="00425499" w14:paraId="265164E4" w14:textId="77777777">
            <w:pPr>
              <w:jc w:val="center"/>
              <w:rPr>
                <w:rFonts w:eastAsia="Calibri"/>
                <w:b/>
                <w:bCs/>
              </w:rPr>
            </w:pPr>
            <w:r w:rsidRPr="007D7427">
              <w:rPr>
                <w:b/>
                <w:bCs/>
              </w:rPr>
              <w:t>% of Effort</w:t>
            </w:r>
          </w:p>
        </w:tc>
        <w:tc>
          <w:tcPr>
            <w:tcW w:w="1481" w:type="dxa"/>
            <w:tcBorders>
              <w:top w:val="single" w:color="auto" w:sz="8" w:space="0"/>
              <w:left w:val="nil"/>
              <w:bottom w:val="single" w:color="auto" w:sz="8" w:space="0"/>
              <w:right w:val="single" w:color="auto" w:sz="8" w:space="0"/>
            </w:tcBorders>
            <w:shd w:val="clear" w:color="auto" w:fill="auto"/>
            <w:vAlign w:val="center"/>
          </w:tcPr>
          <w:p w:rsidRPr="007D7427" w:rsidR="00425499" w:rsidP="00B25B57" w:rsidRDefault="00425499" w14:paraId="1B9836CD" w14:textId="77777777">
            <w:pPr>
              <w:jc w:val="center"/>
              <w:rPr>
                <w:b/>
                <w:bCs/>
              </w:rPr>
            </w:pPr>
            <w:r w:rsidRPr="007D7427">
              <w:rPr>
                <w:b/>
                <w:bCs/>
              </w:rPr>
              <w:t>Fringe (if applicable)</w:t>
            </w:r>
          </w:p>
        </w:tc>
        <w:tc>
          <w:tcPr>
            <w:tcW w:w="1399" w:type="dxa"/>
            <w:tcBorders>
              <w:top w:val="single" w:color="auto" w:sz="8" w:space="0"/>
              <w:left w:val="nil"/>
              <w:bottom w:val="single" w:color="auto" w:sz="8" w:space="0"/>
              <w:right w:val="single" w:color="auto" w:sz="8" w:space="0"/>
            </w:tcBorders>
            <w:shd w:val="clear" w:color="auto" w:fill="auto"/>
            <w:vAlign w:val="center"/>
          </w:tcPr>
          <w:p w:rsidRPr="007D7427" w:rsidR="00425499" w:rsidP="00B25B57" w:rsidRDefault="00425499" w14:paraId="397B2440" w14:textId="77777777">
            <w:pPr>
              <w:jc w:val="center"/>
              <w:rPr>
                <w:b/>
                <w:bCs/>
              </w:rPr>
            </w:pPr>
            <w:r w:rsidRPr="007D7427">
              <w:rPr>
                <w:b/>
                <w:bCs/>
              </w:rPr>
              <w:t>Total Cost to Gov’t</w:t>
            </w:r>
          </w:p>
        </w:tc>
      </w:tr>
      <w:bookmarkEnd w:id="50"/>
      <w:tr w:rsidRPr="007D7427" w:rsidR="00425499" w:rsidTr="003E3637" w14:paraId="2EAB214A" w14:textId="77777777">
        <w:trPr>
          <w:trHeight w:val="300"/>
        </w:trPr>
        <w:tc>
          <w:tcPr>
            <w:tcW w:w="325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D7427" w:rsidR="00425499" w:rsidP="00C74EC4" w:rsidRDefault="00425499" w14:paraId="2B9FF34B" w14:textId="77777777">
            <w:pPr>
              <w:rPr>
                <w:rFonts w:eastAsia="Calibri"/>
                <w:b/>
                <w:color w:val="000000"/>
                <w:highlight w:val="yellow"/>
              </w:rPr>
            </w:pPr>
            <w:r w:rsidRPr="007D7427">
              <w:rPr>
                <w:rFonts w:eastAsia="Calibri"/>
                <w:b/>
                <w:color w:val="000000"/>
              </w:rPr>
              <w:t>Federal Oversight</w:t>
            </w:r>
          </w:p>
        </w:tc>
        <w:tc>
          <w:tcPr>
            <w:tcW w:w="1260" w:type="dxa"/>
            <w:tcBorders>
              <w:top w:val="nil"/>
              <w:left w:val="nil"/>
              <w:bottom w:val="single" w:color="auto" w:sz="8" w:space="0"/>
              <w:right w:val="single" w:color="auto" w:sz="8" w:space="0"/>
            </w:tcBorders>
          </w:tcPr>
          <w:p w:rsidRPr="007D7427" w:rsidR="00425499" w:rsidP="00C74EC4" w:rsidRDefault="00425499" w14:paraId="32453C85" w14:textId="77777777">
            <w:pPr>
              <w:jc w:val="right"/>
              <w:rPr>
                <w:rFonts w:eastAsia="Calibri"/>
                <w:color w:val="000000"/>
                <w:highlight w:val="yellow"/>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D7427" w:rsidR="00425499" w:rsidP="00C74EC4" w:rsidRDefault="00425499" w14:paraId="252F7D9B" w14:textId="77777777"/>
        </w:tc>
        <w:tc>
          <w:tcPr>
            <w:tcW w:w="9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D7427" w:rsidR="00425499" w:rsidP="00C74EC4" w:rsidRDefault="00425499" w14:paraId="29F25B22" w14:textId="77777777"/>
        </w:tc>
        <w:tc>
          <w:tcPr>
            <w:tcW w:w="1481" w:type="dxa"/>
            <w:tcBorders>
              <w:top w:val="nil"/>
              <w:left w:val="nil"/>
              <w:bottom w:val="single" w:color="auto" w:sz="8" w:space="0"/>
              <w:right w:val="single" w:color="auto" w:sz="8" w:space="0"/>
            </w:tcBorders>
            <w:shd w:val="clear" w:color="auto" w:fill="BFBFBF" w:themeFill="background1" w:themeFillShade="BF"/>
          </w:tcPr>
          <w:p w:rsidRPr="007D7427" w:rsidR="00425499" w:rsidP="00C74EC4" w:rsidRDefault="00425499" w14:paraId="519EE731" w14:textId="77777777"/>
        </w:tc>
        <w:tc>
          <w:tcPr>
            <w:tcW w:w="1399" w:type="dxa"/>
            <w:tcBorders>
              <w:top w:val="nil"/>
              <w:left w:val="nil"/>
              <w:bottom w:val="single" w:color="auto" w:sz="8" w:space="0"/>
              <w:right w:val="single" w:color="auto" w:sz="8" w:space="0"/>
            </w:tcBorders>
          </w:tcPr>
          <w:p w:rsidRPr="007D7427" w:rsidR="00425499" w:rsidP="00C74EC4" w:rsidRDefault="00425499" w14:paraId="58181359" w14:textId="77777777"/>
        </w:tc>
      </w:tr>
      <w:tr w:rsidRPr="007D7427" w:rsidR="003E3637" w:rsidTr="00A63D34" w14:paraId="3163D8A3" w14:textId="77777777">
        <w:trPr>
          <w:trHeight w:val="300"/>
        </w:trPr>
        <w:tc>
          <w:tcPr>
            <w:tcW w:w="325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D7427" w:rsidR="00425499" w:rsidP="00B25B57" w:rsidRDefault="00EB609E" w14:paraId="7628D332" w14:textId="003BA9C7">
            <w:pPr>
              <w:ind w:left="450"/>
              <w:rPr>
                <w:rFonts w:eastAsia="Calibri"/>
              </w:rPr>
            </w:pPr>
            <w:r w:rsidRPr="007D7427">
              <w:rPr>
                <w:rFonts w:eastAsia="Calibri"/>
              </w:rPr>
              <w:t>Program Manager</w:t>
            </w:r>
          </w:p>
        </w:tc>
        <w:tc>
          <w:tcPr>
            <w:tcW w:w="1260" w:type="dxa"/>
            <w:tcBorders>
              <w:top w:val="nil"/>
              <w:left w:val="nil"/>
              <w:bottom w:val="single" w:color="auto" w:sz="8" w:space="0"/>
              <w:right w:val="single" w:color="auto" w:sz="8" w:space="0"/>
            </w:tcBorders>
          </w:tcPr>
          <w:p w:rsidRPr="007D7427" w:rsidR="00425499" w:rsidP="00E06F3D" w:rsidRDefault="00F17CE8" w14:paraId="173B11AA" w14:textId="3FC772CB">
            <w:pPr>
              <w:jc w:val="center"/>
              <w:rPr>
                <w:rFonts w:eastAsia="Calibri"/>
              </w:rPr>
            </w:pPr>
            <w:r>
              <w:rPr>
                <w:rFonts w:eastAsia="Calibri"/>
              </w:rPr>
              <w:t>14/4</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D7427" w:rsidR="00425499" w:rsidP="00C74EC4" w:rsidRDefault="00EB609E" w14:paraId="50215AD5" w14:textId="6AD9B712">
            <w:pPr>
              <w:rPr>
                <w:rFonts w:eastAsia="Calibri"/>
              </w:rPr>
            </w:pPr>
            <w:r w:rsidRPr="007D7427">
              <w:rPr>
                <w:rFonts w:eastAsia="Calibri"/>
              </w:rPr>
              <w:t>$</w:t>
            </w:r>
            <w:r w:rsidR="00F17CE8">
              <w:rPr>
                <w:rFonts w:eastAsia="Calibri"/>
              </w:rPr>
              <w:t>138,856</w:t>
            </w:r>
          </w:p>
        </w:tc>
        <w:tc>
          <w:tcPr>
            <w:tcW w:w="9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D7427" w:rsidR="00425499" w:rsidP="00D838EF" w:rsidRDefault="00D929DF" w14:paraId="2AA68070" w14:textId="015FF25B">
            <w:pPr>
              <w:jc w:val="center"/>
              <w:rPr>
                <w:rFonts w:eastAsia="Calibri"/>
              </w:rPr>
            </w:pPr>
            <w:r w:rsidRPr="007D7427">
              <w:rPr>
                <w:rFonts w:eastAsia="Calibri"/>
              </w:rPr>
              <w:t>50%</w:t>
            </w:r>
          </w:p>
        </w:tc>
        <w:tc>
          <w:tcPr>
            <w:tcW w:w="1481" w:type="dxa"/>
            <w:tcBorders>
              <w:top w:val="nil"/>
              <w:left w:val="nil"/>
              <w:bottom w:val="single" w:color="auto" w:sz="8" w:space="0"/>
              <w:right w:val="single" w:color="auto" w:sz="8" w:space="0"/>
            </w:tcBorders>
            <w:shd w:val="clear" w:color="auto" w:fill="BFBFBF" w:themeFill="background1" w:themeFillShade="BF"/>
          </w:tcPr>
          <w:p w:rsidRPr="007D7427" w:rsidR="00425499" w:rsidP="00C74EC4" w:rsidRDefault="00425499" w14:paraId="509A011C" w14:textId="77777777"/>
        </w:tc>
        <w:tc>
          <w:tcPr>
            <w:tcW w:w="1399" w:type="dxa"/>
            <w:tcBorders>
              <w:top w:val="nil"/>
              <w:left w:val="nil"/>
              <w:bottom w:val="single" w:color="auto" w:sz="8" w:space="0"/>
              <w:right w:val="single" w:color="auto" w:sz="8" w:space="0"/>
            </w:tcBorders>
          </w:tcPr>
          <w:p w:rsidRPr="007D7427" w:rsidR="00425499" w:rsidP="003E3637" w:rsidRDefault="00EB609E" w14:paraId="3F296065" w14:textId="317F04E1">
            <w:pPr>
              <w:ind w:right="176"/>
              <w:jc w:val="right"/>
            </w:pPr>
            <w:r w:rsidRPr="007D7427">
              <w:t>$</w:t>
            </w:r>
            <w:r w:rsidR="00F17CE8">
              <w:t>69,428</w:t>
            </w:r>
          </w:p>
        </w:tc>
      </w:tr>
      <w:tr w:rsidRPr="007D7427" w:rsidR="003E3637" w:rsidTr="00E06F3D" w14:paraId="05001C91" w14:textId="77777777">
        <w:trPr>
          <w:trHeight w:val="300"/>
        </w:trPr>
        <w:tc>
          <w:tcPr>
            <w:tcW w:w="325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D7427" w:rsidR="00EA5E15" w:rsidP="00B25B57" w:rsidRDefault="005C613F" w14:paraId="5E7AA5CD" w14:textId="48C35B90">
            <w:pPr>
              <w:ind w:left="450"/>
              <w:rPr>
                <w:rFonts w:eastAsia="Calibri"/>
              </w:rPr>
            </w:pPr>
            <w:r>
              <w:rPr>
                <w:rFonts w:eastAsia="Calibri"/>
              </w:rPr>
              <w:t xml:space="preserve">Branch </w:t>
            </w:r>
            <w:r w:rsidR="004E0102">
              <w:rPr>
                <w:rFonts w:eastAsia="Calibri"/>
              </w:rPr>
              <w:t>Chief</w:t>
            </w:r>
          </w:p>
        </w:tc>
        <w:tc>
          <w:tcPr>
            <w:tcW w:w="1260" w:type="dxa"/>
            <w:tcBorders>
              <w:top w:val="nil"/>
              <w:left w:val="nil"/>
              <w:bottom w:val="single" w:color="auto" w:sz="8" w:space="0"/>
              <w:right w:val="single" w:color="auto" w:sz="8" w:space="0"/>
            </w:tcBorders>
            <w:vAlign w:val="center"/>
          </w:tcPr>
          <w:p w:rsidRPr="007D7427" w:rsidR="00EA5E15" w:rsidP="00E06F3D" w:rsidRDefault="004E0102" w14:paraId="22379958" w14:textId="27A8B016">
            <w:pPr>
              <w:jc w:val="center"/>
              <w:rPr>
                <w:rFonts w:eastAsia="Calibri"/>
              </w:rPr>
            </w:pPr>
            <w:r>
              <w:rPr>
                <w:rFonts w:eastAsia="Calibri"/>
              </w:rPr>
              <w:t>1</w:t>
            </w:r>
            <w:r w:rsidR="00F17CE8">
              <w:rPr>
                <w:rFonts w:eastAsia="Calibri"/>
              </w:rPr>
              <w:t>5</w:t>
            </w:r>
            <w:r>
              <w:rPr>
                <w:rFonts w:eastAsia="Calibri"/>
              </w:rPr>
              <w:t>/</w:t>
            </w:r>
            <w:r w:rsidR="00F17CE8">
              <w:rPr>
                <w:rFonts w:eastAsia="Calibri"/>
              </w:rPr>
              <w:t>5</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7D7427" w:rsidR="00EA5E15" w:rsidP="00C74EC4" w:rsidRDefault="004E0102" w14:paraId="4A027FB6" w14:textId="451AD0C4">
            <w:pPr>
              <w:jc w:val="both"/>
              <w:rPr>
                <w:rFonts w:eastAsia="Calibri"/>
              </w:rPr>
            </w:pPr>
            <w:r>
              <w:rPr>
                <w:rFonts w:eastAsia="Calibri"/>
              </w:rPr>
              <w:t>$</w:t>
            </w:r>
            <w:r w:rsidR="00F17CE8">
              <w:rPr>
                <w:rFonts w:eastAsia="Calibri"/>
              </w:rPr>
              <w:t>168,282</w:t>
            </w:r>
          </w:p>
        </w:tc>
        <w:tc>
          <w:tcPr>
            <w:tcW w:w="90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7D7427" w:rsidR="00EA5E15" w:rsidP="00D838EF" w:rsidRDefault="004E0102" w14:paraId="5CEA528A" w14:textId="31F1F56D">
            <w:pPr>
              <w:jc w:val="center"/>
              <w:rPr>
                <w:rFonts w:eastAsia="Calibri"/>
              </w:rPr>
            </w:pPr>
            <w:r>
              <w:rPr>
                <w:rFonts w:eastAsia="Calibri"/>
              </w:rPr>
              <w:t>1%</w:t>
            </w:r>
          </w:p>
        </w:tc>
        <w:tc>
          <w:tcPr>
            <w:tcW w:w="1481" w:type="dxa"/>
            <w:tcBorders>
              <w:top w:val="nil"/>
              <w:left w:val="nil"/>
              <w:bottom w:val="single" w:color="auto" w:sz="8" w:space="0"/>
              <w:right w:val="single" w:color="auto" w:sz="8" w:space="0"/>
            </w:tcBorders>
            <w:shd w:val="clear" w:color="auto" w:fill="BFBFBF" w:themeFill="background1" w:themeFillShade="BF"/>
            <w:vAlign w:val="center"/>
          </w:tcPr>
          <w:p w:rsidRPr="007D7427" w:rsidR="00EA5E15" w:rsidP="00C74EC4" w:rsidRDefault="00EA5E15" w14:paraId="246D67C7" w14:textId="77777777"/>
        </w:tc>
        <w:tc>
          <w:tcPr>
            <w:tcW w:w="1399" w:type="dxa"/>
            <w:tcBorders>
              <w:top w:val="nil"/>
              <w:left w:val="nil"/>
              <w:bottom w:val="single" w:color="auto" w:sz="8" w:space="0"/>
              <w:right w:val="single" w:color="auto" w:sz="8" w:space="0"/>
            </w:tcBorders>
            <w:vAlign w:val="center"/>
          </w:tcPr>
          <w:p w:rsidRPr="007D7427" w:rsidR="00EA5E15" w:rsidP="003E3637" w:rsidRDefault="00AD46D8" w14:paraId="1433097F" w14:textId="6137C080">
            <w:pPr>
              <w:ind w:right="176"/>
              <w:jc w:val="right"/>
            </w:pPr>
            <w:r>
              <w:t>$</w:t>
            </w:r>
            <w:r w:rsidR="00F17CE8">
              <w:t>1,682.82</w:t>
            </w:r>
          </w:p>
        </w:tc>
      </w:tr>
      <w:tr w:rsidRPr="007D7427" w:rsidR="003E3637" w:rsidTr="00A63D34" w14:paraId="34515D44" w14:textId="77777777">
        <w:trPr>
          <w:trHeight w:val="300"/>
        </w:trPr>
        <w:tc>
          <w:tcPr>
            <w:tcW w:w="325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D7427" w:rsidR="00425499" w:rsidP="00C74EC4" w:rsidRDefault="00425499" w14:paraId="0125E876" w14:textId="77777777">
            <w:pPr>
              <w:rPr>
                <w:rFonts w:eastAsia="Calibri"/>
                <w:b/>
              </w:rPr>
            </w:pPr>
            <w:bookmarkStart w:name="_Hlk521578124" w:id="52"/>
            <w:bookmarkEnd w:id="51"/>
            <w:r w:rsidRPr="007D7427">
              <w:rPr>
                <w:rFonts w:eastAsia="Calibri"/>
                <w:b/>
              </w:rPr>
              <w:t>Contractor Cost</w:t>
            </w:r>
          </w:p>
        </w:tc>
        <w:tc>
          <w:tcPr>
            <w:tcW w:w="1260" w:type="dxa"/>
            <w:tcBorders>
              <w:top w:val="nil"/>
              <w:left w:val="nil"/>
              <w:bottom w:val="single" w:color="auto" w:sz="8" w:space="0"/>
              <w:right w:val="single" w:color="auto" w:sz="8" w:space="0"/>
            </w:tcBorders>
            <w:shd w:val="clear" w:color="auto" w:fill="BFBFBF" w:themeFill="background1" w:themeFillShade="BF"/>
          </w:tcPr>
          <w:p w:rsidRPr="007D7427" w:rsidR="00425499" w:rsidP="00C74EC4" w:rsidRDefault="00425499" w14:paraId="2653AA92" w14:textId="77777777">
            <w:pPr>
              <w:rPr>
                <w:rFonts w:eastAsia="Calibri"/>
              </w:rPr>
            </w:pPr>
          </w:p>
        </w:tc>
        <w:tc>
          <w:tcPr>
            <w:tcW w:w="1260" w:type="dxa"/>
            <w:tcBorders>
              <w:top w:val="single" w:color="auto" w:sz="8" w:space="0"/>
              <w:left w:val="nil"/>
              <w:bottom w:val="single" w:color="auto" w:sz="8" w:space="0"/>
              <w:right w:val="single" w:color="auto" w:sz="8" w:space="0"/>
            </w:tcBorders>
            <w:shd w:val="pct25" w:color="auto" w:fill="auto"/>
            <w:noWrap/>
            <w:tcMar>
              <w:top w:w="0" w:type="dxa"/>
              <w:left w:w="108" w:type="dxa"/>
              <w:bottom w:w="0" w:type="dxa"/>
              <w:right w:w="108" w:type="dxa"/>
            </w:tcMar>
            <w:vAlign w:val="bottom"/>
          </w:tcPr>
          <w:p w:rsidRPr="007D7427" w:rsidR="00425499" w:rsidP="00C74EC4" w:rsidRDefault="00425499" w14:paraId="72C36340" w14:textId="77777777">
            <w:pPr>
              <w:rPr>
                <w:rFonts w:eastAsia="Calibri"/>
              </w:rPr>
            </w:pPr>
          </w:p>
        </w:tc>
        <w:tc>
          <w:tcPr>
            <w:tcW w:w="900" w:type="dxa"/>
            <w:tcBorders>
              <w:top w:val="single" w:color="auto" w:sz="8" w:space="0"/>
              <w:left w:val="nil"/>
              <w:bottom w:val="single" w:color="auto" w:sz="8" w:space="0"/>
              <w:right w:val="single" w:color="auto" w:sz="8" w:space="0"/>
            </w:tcBorders>
            <w:shd w:val="pct25" w:color="auto" w:fill="auto"/>
            <w:noWrap/>
            <w:tcMar>
              <w:top w:w="0" w:type="dxa"/>
              <w:left w:w="108" w:type="dxa"/>
              <w:bottom w:w="0" w:type="dxa"/>
              <w:right w:w="108" w:type="dxa"/>
            </w:tcMar>
            <w:vAlign w:val="bottom"/>
          </w:tcPr>
          <w:p w:rsidRPr="007D7427" w:rsidR="00425499" w:rsidP="00C74EC4" w:rsidRDefault="00425499" w14:paraId="4CC38D24" w14:textId="77777777">
            <w:pPr>
              <w:rPr>
                <w:rFonts w:eastAsia="Calibri"/>
              </w:rPr>
            </w:pPr>
          </w:p>
        </w:tc>
        <w:tc>
          <w:tcPr>
            <w:tcW w:w="1481" w:type="dxa"/>
            <w:tcBorders>
              <w:top w:val="single" w:color="auto" w:sz="8" w:space="0"/>
              <w:left w:val="nil"/>
              <w:bottom w:val="single" w:color="auto" w:sz="8" w:space="0"/>
              <w:right w:val="single" w:color="auto" w:sz="8" w:space="0"/>
            </w:tcBorders>
            <w:shd w:val="pct25" w:color="auto" w:fill="auto"/>
          </w:tcPr>
          <w:p w:rsidRPr="007D7427" w:rsidR="00425499" w:rsidP="00C74EC4" w:rsidRDefault="00425499" w14:paraId="050A7C1E" w14:textId="77777777"/>
        </w:tc>
        <w:tc>
          <w:tcPr>
            <w:tcW w:w="1399" w:type="dxa"/>
            <w:tcBorders>
              <w:top w:val="nil"/>
              <w:left w:val="nil"/>
              <w:bottom w:val="single" w:color="auto" w:sz="8" w:space="0"/>
              <w:right w:val="single" w:color="auto" w:sz="8" w:space="0"/>
            </w:tcBorders>
          </w:tcPr>
          <w:p w:rsidRPr="007D7427" w:rsidR="00425499" w:rsidP="003E3637" w:rsidRDefault="000A472B" w14:paraId="7E483CCC" w14:textId="441927E6">
            <w:pPr>
              <w:ind w:right="176"/>
              <w:jc w:val="right"/>
            </w:pPr>
            <w:r>
              <w:t>$43,000</w:t>
            </w:r>
            <w:r w:rsidR="00382F63">
              <w:t>.00</w:t>
            </w:r>
          </w:p>
        </w:tc>
      </w:tr>
      <w:bookmarkEnd w:id="52"/>
      <w:tr w:rsidRPr="007D7427" w:rsidR="003E3637" w:rsidTr="00A63D34" w14:paraId="259BA21D" w14:textId="77777777">
        <w:trPr>
          <w:trHeight w:val="300"/>
        </w:trPr>
        <w:tc>
          <w:tcPr>
            <w:tcW w:w="325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06F3D" w:rsidR="00425499" w:rsidP="00C74EC4" w:rsidRDefault="00425499" w14:paraId="6C95B07D" w14:textId="77777777">
            <w:pPr>
              <w:rPr>
                <w:rFonts w:eastAsia="Calibri"/>
                <w:color w:val="000000" w:themeColor="text1"/>
              </w:rPr>
            </w:pPr>
            <w:r w:rsidRPr="00E06F3D">
              <w:rPr>
                <w:rFonts w:eastAsia="Calibri"/>
                <w:color w:val="000000" w:themeColor="text1"/>
              </w:rPr>
              <w:t>Travel</w:t>
            </w:r>
          </w:p>
        </w:tc>
        <w:tc>
          <w:tcPr>
            <w:tcW w:w="1260" w:type="dxa"/>
            <w:tcBorders>
              <w:top w:val="nil"/>
              <w:left w:val="nil"/>
              <w:bottom w:val="single" w:color="auto" w:sz="8" w:space="0"/>
              <w:right w:val="single" w:color="auto" w:sz="8" w:space="0"/>
            </w:tcBorders>
            <w:shd w:val="clear" w:color="auto" w:fill="BFBFBF" w:themeFill="background1" w:themeFillShade="BF"/>
          </w:tcPr>
          <w:p w:rsidRPr="007D7427" w:rsidR="00425499" w:rsidP="00C74EC4" w:rsidRDefault="00425499" w14:paraId="45A098E1" w14:textId="77777777">
            <w:pPr>
              <w:rPr>
                <w:rFonts w:eastAsia="Calibri"/>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7D7427" w:rsidR="00425499" w:rsidP="00C74EC4" w:rsidRDefault="00425499" w14:paraId="3D15D81D" w14:textId="77777777">
            <w:pPr>
              <w:rPr>
                <w:rFonts w:eastAsia="Calibri"/>
              </w:rPr>
            </w:pPr>
          </w:p>
        </w:tc>
        <w:tc>
          <w:tcPr>
            <w:tcW w:w="90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7D7427" w:rsidR="00425499" w:rsidP="00C74EC4" w:rsidRDefault="00425499" w14:paraId="0A10AB5A" w14:textId="77777777">
            <w:pPr>
              <w:rPr>
                <w:rFonts w:eastAsia="Calibri"/>
              </w:rPr>
            </w:pPr>
          </w:p>
        </w:tc>
        <w:tc>
          <w:tcPr>
            <w:tcW w:w="1481" w:type="dxa"/>
            <w:tcBorders>
              <w:top w:val="nil"/>
              <w:left w:val="nil"/>
              <w:bottom w:val="single" w:color="auto" w:sz="8" w:space="0"/>
              <w:right w:val="single" w:color="auto" w:sz="8" w:space="0"/>
            </w:tcBorders>
            <w:shd w:val="clear" w:color="auto" w:fill="BFBFBF" w:themeFill="background1" w:themeFillShade="BF"/>
          </w:tcPr>
          <w:p w:rsidRPr="007D7427" w:rsidR="00425499" w:rsidP="00C74EC4" w:rsidRDefault="00425499" w14:paraId="3C8A54DE" w14:textId="77777777"/>
        </w:tc>
        <w:tc>
          <w:tcPr>
            <w:tcW w:w="1399" w:type="dxa"/>
            <w:tcBorders>
              <w:top w:val="nil"/>
              <w:left w:val="nil"/>
              <w:bottom w:val="single" w:color="auto" w:sz="8" w:space="0"/>
              <w:right w:val="single" w:color="auto" w:sz="8" w:space="0"/>
            </w:tcBorders>
          </w:tcPr>
          <w:p w:rsidRPr="007D7427" w:rsidR="00425499" w:rsidP="003E3637" w:rsidRDefault="00527FFE" w14:paraId="21E692D4" w14:textId="77777777">
            <w:pPr>
              <w:ind w:right="176"/>
              <w:jc w:val="right"/>
            </w:pPr>
            <w:r w:rsidRPr="007D7427">
              <w:t>$0</w:t>
            </w:r>
          </w:p>
        </w:tc>
      </w:tr>
      <w:tr w:rsidRPr="007D7427" w:rsidR="003E3637" w:rsidTr="00A63D34" w14:paraId="04143B30" w14:textId="77777777">
        <w:trPr>
          <w:trHeight w:val="300"/>
        </w:trPr>
        <w:tc>
          <w:tcPr>
            <w:tcW w:w="325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06F3D" w:rsidR="00425499" w:rsidP="00C74EC4" w:rsidRDefault="00425499" w14:paraId="5EA6F6DE" w14:textId="77777777">
            <w:pPr>
              <w:rPr>
                <w:rFonts w:eastAsia="Calibri"/>
                <w:color w:val="000000" w:themeColor="text1"/>
                <w:highlight w:val="yellow"/>
              </w:rPr>
            </w:pPr>
            <w:r w:rsidRPr="00E06F3D">
              <w:rPr>
                <w:rFonts w:eastAsia="Calibri"/>
                <w:color w:val="000000" w:themeColor="text1"/>
              </w:rPr>
              <w:t>Other Cost</w:t>
            </w:r>
          </w:p>
        </w:tc>
        <w:tc>
          <w:tcPr>
            <w:tcW w:w="1260" w:type="dxa"/>
            <w:tcBorders>
              <w:top w:val="nil"/>
              <w:left w:val="nil"/>
              <w:bottom w:val="single" w:color="auto" w:sz="8" w:space="0"/>
              <w:right w:val="single" w:color="auto" w:sz="8" w:space="0"/>
            </w:tcBorders>
            <w:shd w:val="clear" w:color="auto" w:fill="BFBFBF" w:themeFill="background1" w:themeFillShade="BF"/>
          </w:tcPr>
          <w:p w:rsidRPr="007D7427" w:rsidR="00425499" w:rsidP="00C74EC4" w:rsidRDefault="00425499" w14:paraId="465995AA" w14:textId="77777777">
            <w:pPr>
              <w:rPr>
                <w:rFonts w:eastAsia="Calibri"/>
                <w:color w:val="000000"/>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7D7427" w:rsidR="00425499" w:rsidP="00C74EC4" w:rsidRDefault="00425499" w14:paraId="75CF6DA0" w14:textId="77777777">
            <w:pPr>
              <w:rPr>
                <w:rFonts w:eastAsia="Calibri"/>
              </w:rPr>
            </w:pPr>
          </w:p>
        </w:tc>
        <w:tc>
          <w:tcPr>
            <w:tcW w:w="90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7D7427" w:rsidR="00425499" w:rsidP="00C74EC4" w:rsidRDefault="00425499" w14:paraId="31AD8F48" w14:textId="77777777">
            <w:pPr>
              <w:rPr>
                <w:rFonts w:eastAsia="Calibri"/>
              </w:rPr>
            </w:pPr>
          </w:p>
        </w:tc>
        <w:tc>
          <w:tcPr>
            <w:tcW w:w="1481" w:type="dxa"/>
            <w:tcBorders>
              <w:top w:val="nil"/>
              <w:left w:val="nil"/>
              <w:bottom w:val="single" w:color="auto" w:sz="8" w:space="0"/>
              <w:right w:val="single" w:color="auto" w:sz="8" w:space="0"/>
            </w:tcBorders>
            <w:shd w:val="clear" w:color="auto" w:fill="BFBFBF" w:themeFill="background1" w:themeFillShade="BF"/>
          </w:tcPr>
          <w:p w:rsidRPr="007D7427" w:rsidR="00425499" w:rsidP="00C74EC4" w:rsidRDefault="00425499" w14:paraId="6A5E963E" w14:textId="77777777">
            <w:pPr>
              <w:rPr>
                <w:rFonts w:eastAsia="Calibri"/>
              </w:rPr>
            </w:pPr>
          </w:p>
        </w:tc>
        <w:tc>
          <w:tcPr>
            <w:tcW w:w="1399" w:type="dxa"/>
            <w:tcBorders>
              <w:top w:val="nil"/>
              <w:left w:val="nil"/>
              <w:bottom w:val="single" w:color="auto" w:sz="8" w:space="0"/>
              <w:right w:val="single" w:color="auto" w:sz="8" w:space="0"/>
            </w:tcBorders>
          </w:tcPr>
          <w:p w:rsidRPr="007D7427" w:rsidR="00425499" w:rsidP="003E3637" w:rsidRDefault="00425499" w14:paraId="49B6C79A" w14:textId="77777777">
            <w:pPr>
              <w:ind w:right="176"/>
              <w:jc w:val="right"/>
              <w:rPr>
                <w:rFonts w:eastAsia="Calibri"/>
              </w:rPr>
            </w:pPr>
            <w:r w:rsidRPr="007D7427">
              <w:rPr>
                <w:rFonts w:eastAsia="Calibri"/>
              </w:rPr>
              <w:t>$0</w:t>
            </w:r>
          </w:p>
        </w:tc>
      </w:tr>
      <w:tr w:rsidRPr="007D7427" w:rsidR="003E3637" w:rsidTr="00A63D34" w14:paraId="4B96A258" w14:textId="77777777">
        <w:trPr>
          <w:trHeight w:val="300"/>
        </w:trPr>
        <w:tc>
          <w:tcPr>
            <w:tcW w:w="325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620742" w:rsidR="00425499" w:rsidP="00620742" w:rsidRDefault="00425499" w14:paraId="2F29CC5E" w14:textId="77777777">
            <w:pPr>
              <w:rPr>
                <w:b/>
              </w:rPr>
            </w:pPr>
            <w:r w:rsidRPr="00620742">
              <w:rPr>
                <w:rFonts w:eastAsia="Calibri"/>
                <w:b/>
              </w:rPr>
              <w:t>Total</w:t>
            </w:r>
          </w:p>
        </w:tc>
        <w:tc>
          <w:tcPr>
            <w:tcW w:w="1260" w:type="dxa"/>
            <w:tcBorders>
              <w:top w:val="nil"/>
              <w:left w:val="nil"/>
              <w:bottom w:val="single" w:color="auto" w:sz="8" w:space="0"/>
              <w:right w:val="single" w:color="auto" w:sz="8" w:space="0"/>
            </w:tcBorders>
          </w:tcPr>
          <w:p w:rsidRPr="00620742" w:rsidR="00425499" w:rsidP="00C74EC4" w:rsidRDefault="00425499" w14:paraId="7191F608" w14:textId="77777777">
            <w:pPr>
              <w:rPr>
                <w:rFonts w:eastAsia="Calibri"/>
                <w:b/>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620742" w:rsidR="00425499" w:rsidP="00C74EC4" w:rsidRDefault="00425499" w14:paraId="0798807A" w14:textId="77777777">
            <w:pPr>
              <w:rPr>
                <w:b/>
              </w:rPr>
            </w:pPr>
          </w:p>
        </w:tc>
        <w:tc>
          <w:tcPr>
            <w:tcW w:w="90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620742" w:rsidR="00425499" w:rsidP="00C74EC4" w:rsidRDefault="00425499" w14:paraId="00858DA2" w14:textId="77777777">
            <w:pPr>
              <w:rPr>
                <w:b/>
              </w:rPr>
            </w:pPr>
          </w:p>
        </w:tc>
        <w:tc>
          <w:tcPr>
            <w:tcW w:w="1481" w:type="dxa"/>
            <w:tcBorders>
              <w:top w:val="nil"/>
              <w:left w:val="nil"/>
              <w:bottom w:val="single" w:color="auto" w:sz="8" w:space="0"/>
              <w:right w:val="single" w:color="auto" w:sz="8" w:space="0"/>
            </w:tcBorders>
          </w:tcPr>
          <w:p w:rsidRPr="00620742" w:rsidR="00425499" w:rsidP="00C74EC4" w:rsidRDefault="00425499" w14:paraId="1E973401" w14:textId="77777777">
            <w:pPr>
              <w:rPr>
                <w:b/>
              </w:rPr>
            </w:pPr>
          </w:p>
        </w:tc>
        <w:tc>
          <w:tcPr>
            <w:tcW w:w="1399" w:type="dxa"/>
            <w:tcBorders>
              <w:top w:val="nil"/>
              <w:left w:val="nil"/>
              <w:bottom w:val="single" w:color="auto" w:sz="8" w:space="0"/>
              <w:right w:val="single" w:color="auto" w:sz="8" w:space="0"/>
            </w:tcBorders>
          </w:tcPr>
          <w:p w:rsidRPr="00620742" w:rsidR="00425499" w:rsidP="003E3637" w:rsidRDefault="00527FFE" w14:paraId="29B2CE07" w14:textId="1CA67D13">
            <w:pPr>
              <w:ind w:right="176"/>
              <w:jc w:val="right"/>
              <w:rPr>
                <w:b/>
              </w:rPr>
            </w:pPr>
            <w:r w:rsidRPr="00620742">
              <w:rPr>
                <w:b/>
              </w:rPr>
              <w:t>$</w:t>
            </w:r>
            <w:r w:rsidR="00F17CE8">
              <w:rPr>
                <w:b/>
              </w:rPr>
              <w:t>114,110.82</w:t>
            </w:r>
          </w:p>
        </w:tc>
      </w:tr>
    </w:tbl>
    <w:p w:rsidR="00F17CE8" w:rsidP="00F17CE8" w:rsidRDefault="00A63D34" w14:paraId="1C09B0DB" w14:textId="77777777">
      <w:r w:rsidRPr="00EC6047">
        <w:rPr>
          <w:sz w:val="20"/>
          <w:szCs w:val="20"/>
        </w:rPr>
        <w:t xml:space="preserve">**The </w:t>
      </w:r>
      <w:r w:rsidR="000D6DAE">
        <w:rPr>
          <w:sz w:val="20"/>
          <w:szCs w:val="20"/>
        </w:rPr>
        <w:t>s</w:t>
      </w:r>
      <w:r w:rsidRPr="00EC6047">
        <w:rPr>
          <w:sz w:val="20"/>
          <w:szCs w:val="20"/>
        </w:rPr>
        <w:t xml:space="preserve">alary </w:t>
      </w:r>
      <w:r w:rsidR="000D6DAE">
        <w:rPr>
          <w:sz w:val="20"/>
          <w:szCs w:val="20"/>
        </w:rPr>
        <w:t xml:space="preserve">in the table above is cited </w:t>
      </w:r>
      <w:r w:rsidRPr="000D6DAE" w:rsidR="000D6DAE">
        <w:rPr>
          <w:sz w:val="20"/>
          <w:szCs w:val="20"/>
        </w:rPr>
        <w:t>from</w:t>
      </w:r>
      <w:r w:rsidRPr="000D6DAE">
        <w:rPr>
          <w:sz w:val="20"/>
          <w:szCs w:val="20"/>
        </w:rPr>
        <w:t xml:space="preserve"> </w:t>
      </w:r>
      <w:bookmarkStart w:name="_Toc443881758" w:id="53"/>
      <w:bookmarkStart w:name="_Toc451592245" w:id="54"/>
      <w:bookmarkStart w:name="_Toc5610286" w:id="55"/>
      <w:bookmarkStart w:name="_Toc99178792" w:id="56"/>
      <w:r w:rsidRPr="00F17CE8" w:rsidR="00F17CE8">
        <w:rPr>
          <w:sz w:val="21"/>
          <w:szCs w:val="21"/>
        </w:rPr>
        <w:fldChar w:fldCharType="begin"/>
      </w:r>
      <w:r w:rsidRPr="00F17CE8" w:rsidR="00F17CE8">
        <w:rPr>
          <w:sz w:val="21"/>
          <w:szCs w:val="21"/>
        </w:rPr>
        <w:instrText xml:space="preserve"> HYPERLINK "https://www.opm.gov/policy-data-oversight/pay-leave/salaries-wages/salary-tables/22Tables/html/DCB.aspx" </w:instrText>
      </w:r>
      <w:r w:rsidRPr="00F17CE8" w:rsidR="00F17CE8">
        <w:rPr>
          <w:sz w:val="21"/>
          <w:szCs w:val="21"/>
        </w:rPr>
        <w:fldChar w:fldCharType="separate"/>
      </w:r>
      <w:r w:rsidRPr="00F17CE8" w:rsidR="00F17CE8">
        <w:rPr>
          <w:rStyle w:val="Hyperlink"/>
          <w:sz w:val="21"/>
          <w:szCs w:val="21"/>
        </w:rPr>
        <w:t>https://www.opm.gov/policy-data-oversight/pay-leave/salaries-wages/salary-tables/22Tables/html/DCB.aspx</w:t>
      </w:r>
      <w:r w:rsidRPr="00F17CE8" w:rsidR="00F17CE8">
        <w:rPr>
          <w:sz w:val="21"/>
          <w:szCs w:val="21"/>
        </w:rPr>
        <w:fldChar w:fldCharType="end"/>
      </w:r>
      <w:r w:rsidRPr="00F17CE8" w:rsidR="00F17CE8">
        <w:rPr>
          <w:sz w:val="21"/>
          <w:szCs w:val="21"/>
        </w:rPr>
        <w:t xml:space="preserve"> </w:t>
      </w:r>
    </w:p>
    <w:p w:rsidRPr="006726BA" w:rsidR="006726BA" w:rsidP="006726BA" w:rsidRDefault="006726BA" w14:paraId="0EB729C8" w14:textId="3AD27ABB">
      <w:pPr>
        <w:rPr>
          <w:vanish/>
          <w:sz w:val="20"/>
          <w:szCs w:val="20"/>
        </w:rPr>
      </w:pPr>
    </w:p>
    <w:p w:rsidR="006726BA" w:rsidRDefault="006726BA" w14:paraId="18E9CA4E" w14:textId="3FF05B74">
      <w:pPr>
        <w:rPr>
          <w:b/>
        </w:rPr>
      </w:pPr>
    </w:p>
    <w:p w:rsidRPr="007D7427" w:rsidR="007354E0" w:rsidP="00DA1E74" w:rsidRDefault="00E36A07" w14:paraId="3F18E547" w14:textId="2C2EC289">
      <w:pPr>
        <w:pStyle w:val="Heading2"/>
        <w:tabs>
          <w:tab w:val="clear" w:pos="1152"/>
          <w:tab w:val="left" w:pos="720"/>
        </w:tabs>
        <w:spacing w:after="0" w:line="480" w:lineRule="auto"/>
        <w:ind w:left="0" w:firstLine="0"/>
        <w:rPr>
          <w:sz w:val="24"/>
          <w:szCs w:val="24"/>
        </w:rPr>
      </w:pPr>
      <w:r w:rsidRPr="007D7427">
        <w:rPr>
          <w:sz w:val="24"/>
          <w:szCs w:val="24"/>
        </w:rPr>
        <w:t>A.15</w:t>
      </w:r>
      <w:r w:rsidRPr="007D7427">
        <w:rPr>
          <w:sz w:val="24"/>
          <w:szCs w:val="24"/>
        </w:rPr>
        <w:tab/>
        <w:t>Explanation for Program Changes or Adjustments</w:t>
      </w:r>
      <w:bookmarkEnd w:id="53"/>
      <w:bookmarkEnd w:id="54"/>
      <w:bookmarkEnd w:id="55"/>
      <w:bookmarkEnd w:id="56"/>
    </w:p>
    <w:p w:rsidR="00CA04F3" w:rsidP="008A7D49" w:rsidRDefault="005C613F" w14:paraId="7340EC18" w14:textId="10DABB7B">
      <w:pPr>
        <w:pStyle w:val="CommentText"/>
      </w:pPr>
      <w:r>
        <w:rPr>
          <w:sz w:val="24"/>
          <w:szCs w:val="24"/>
        </w:rPr>
        <w:t>N/A</w:t>
      </w:r>
    </w:p>
    <w:p w:rsidRPr="007D7427" w:rsidR="00FF198E" w:rsidP="00CA04F3" w:rsidRDefault="00FF198E" w14:paraId="52053526" w14:textId="77777777">
      <w:pPr>
        <w:rPr>
          <w:vanish/>
        </w:rPr>
      </w:pPr>
    </w:p>
    <w:p w:rsidRPr="007D7427" w:rsidR="00807E31" w:rsidP="00807E31" w:rsidRDefault="00807E31" w14:paraId="1CAE4F27" w14:textId="77777777">
      <w:pPr>
        <w:pStyle w:val="Heading2"/>
        <w:tabs>
          <w:tab w:val="clear" w:pos="1152"/>
          <w:tab w:val="left" w:pos="720"/>
        </w:tabs>
        <w:spacing w:after="0" w:line="480" w:lineRule="auto"/>
        <w:ind w:left="0" w:firstLine="0"/>
        <w:rPr>
          <w:sz w:val="24"/>
          <w:szCs w:val="24"/>
        </w:rPr>
      </w:pPr>
      <w:bookmarkStart w:name="_Toc443881759" w:id="57"/>
      <w:bookmarkStart w:name="_Toc451592246" w:id="58"/>
      <w:bookmarkStart w:name="_Toc5610287" w:id="59"/>
      <w:bookmarkStart w:name="_Toc99178793" w:id="60"/>
      <w:r w:rsidRPr="007D7427">
        <w:rPr>
          <w:sz w:val="24"/>
          <w:szCs w:val="24"/>
        </w:rPr>
        <w:t>A.16</w:t>
      </w:r>
      <w:r w:rsidRPr="007D7427">
        <w:rPr>
          <w:sz w:val="24"/>
          <w:szCs w:val="24"/>
        </w:rPr>
        <w:tab/>
        <w:t xml:space="preserve">Plans for Tabulation and Publication and Project </w:t>
      </w:r>
      <w:r w:rsidRPr="007D7427">
        <w:rPr>
          <w:noProof/>
          <w:sz w:val="24"/>
          <w:szCs w:val="24"/>
        </w:rPr>
        <w:t>Time Schedule</w:t>
      </w:r>
      <w:bookmarkEnd w:id="57"/>
      <w:bookmarkEnd w:id="58"/>
      <w:bookmarkEnd w:id="59"/>
      <w:bookmarkEnd w:id="60"/>
    </w:p>
    <w:p w:rsidRPr="007D7427" w:rsidR="00CA5D41" w:rsidP="00C67B8E" w:rsidRDefault="005C613F" w14:paraId="3CBB98C7" w14:textId="252E669E">
      <w:pPr>
        <w:autoSpaceDE w:val="0"/>
        <w:autoSpaceDN w:val="0"/>
        <w:adjustRightInd w:val="0"/>
        <w:outlineLvl w:val="0"/>
      </w:pPr>
      <w:r w:rsidRPr="005C613F">
        <w:t xml:space="preserve">There are no plans for tabulation since this is an application.  </w:t>
      </w:r>
      <w:r w:rsidRPr="007D7427" w:rsidR="00C67B8E">
        <w:t xml:space="preserve">The </w:t>
      </w:r>
      <w:r w:rsidR="00DE002E">
        <w:t xml:space="preserve">ICRC Application opens annually for applicants on September 1 and closes </w:t>
      </w:r>
      <w:r w:rsidR="00726B9F">
        <w:t xml:space="preserve">in </w:t>
      </w:r>
      <w:r w:rsidR="008C0599">
        <w:t>mid-November</w:t>
      </w:r>
      <w:r w:rsidR="00DE002E">
        <w:t xml:space="preserve">.  </w:t>
      </w:r>
      <w:r w:rsidR="00726B9F">
        <w:t>This submission is anticipated to</w:t>
      </w:r>
      <w:r w:rsidR="00DE002E">
        <w:t xml:space="preserve"> cover 20</w:t>
      </w:r>
      <w:r w:rsidR="00F17CE8">
        <w:t>23</w:t>
      </w:r>
      <w:r w:rsidR="00DE002E">
        <w:t>, 202</w:t>
      </w:r>
      <w:r w:rsidR="00F17CE8">
        <w:t>4</w:t>
      </w:r>
      <w:r w:rsidR="00DE002E">
        <w:t>, and 202</w:t>
      </w:r>
      <w:r w:rsidR="00F17CE8">
        <w:t>5</w:t>
      </w:r>
      <w:r w:rsidR="00DE002E">
        <w:t xml:space="preserve"> application cycles.  </w:t>
      </w:r>
    </w:p>
    <w:p w:rsidRPr="007D7427" w:rsidR="007D338E" w:rsidP="00C67B8E" w:rsidRDefault="007D338E" w14:paraId="6A8A705C" w14:textId="77777777">
      <w:pPr>
        <w:autoSpaceDE w:val="0"/>
        <w:autoSpaceDN w:val="0"/>
        <w:adjustRightInd w:val="0"/>
        <w:outlineLvl w:val="0"/>
      </w:pPr>
    </w:p>
    <w:p w:rsidRPr="007D7427" w:rsidR="0093431F" w:rsidP="0093431F" w:rsidRDefault="0093431F" w14:paraId="5DC2E47F" w14:textId="77777777"/>
    <w:p w:rsidRPr="007D7427" w:rsidR="00807E31" w:rsidP="00807E31" w:rsidRDefault="00807E31" w14:paraId="4EF03932" w14:textId="77777777">
      <w:pPr>
        <w:pStyle w:val="Heading2"/>
        <w:tabs>
          <w:tab w:val="clear" w:pos="1152"/>
          <w:tab w:val="left" w:pos="720"/>
        </w:tabs>
        <w:spacing w:after="0" w:line="480" w:lineRule="auto"/>
        <w:ind w:left="0" w:firstLine="0"/>
        <w:rPr>
          <w:sz w:val="24"/>
          <w:szCs w:val="24"/>
        </w:rPr>
      </w:pPr>
      <w:bookmarkStart w:name="_Toc443881760" w:id="61"/>
      <w:bookmarkStart w:name="_Toc451592247" w:id="62"/>
      <w:bookmarkStart w:name="_Toc5610288" w:id="63"/>
      <w:bookmarkStart w:name="_Toc99178794" w:id="64"/>
      <w:r w:rsidRPr="007D7427">
        <w:rPr>
          <w:sz w:val="24"/>
          <w:szCs w:val="24"/>
        </w:rPr>
        <w:t>A.17</w:t>
      </w:r>
      <w:r w:rsidRPr="007D7427">
        <w:rPr>
          <w:sz w:val="24"/>
          <w:szCs w:val="24"/>
        </w:rPr>
        <w:tab/>
        <w:t>Reason(s) Display of OMB Expiration Date is Inappropriate</w:t>
      </w:r>
      <w:bookmarkEnd w:id="61"/>
      <w:bookmarkEnd w:id="62"/>
      <w:bookmarkEnd w:id="63"/>
      <w:bookmarkEnd w:id="64"/>
    </w:p>
    <w:p w:rsidRPr="005C613F" w:rsidR="005C613F" w:rsidP="005C613F" w:rsidRDefault="005C613F" w14:paraId="0AB0F861" w14:textId="77777777">
      <w:r w:rsidRPr="005C613F">
        <w:t xml:space="preserve">There is no request for exemption from displaying the expiration date for OMB approval </w:t>
      </w:r>
    </w:p>
    <w:p w:rsidRPr="007D7427" w:rsidR="007354E0" w:rsidP="00807E31" w:rsidRDefault="007354E0" w14:paraId="54CD9308" w14:textId="77777777"/>
    <w:p w:rsidRPr="007D7427" w:rsidR="00807E31" w:rsidP="00807E31" w:rsidRDefault="00807E31" w14:paraId="6D8E7671" w14:textId="77777777"/>
    <w:p w:rsidRPr="007D7427" w:rsidR="00807E31" w:rsidP="00807E31" w:rsidRDefault="00807E31" w14:paraId="0D62B368" w14:textId="77777777">
      <w:pPr>
        <w:pStyle w:val="Heading2"/>
        <w:tabs>
          <w:tab w:val="clear" w:pos="1152"/>
          <w:tab w:val="left" w:pos="720"/>
        </w:tabs>
        <w:spacing w:after="0" w:line="480" w:lineRule="auto"/>
        <w:ind w:left="0" w:firstLine="0"/>
        <w:rPr>
          <w:sz w:val="24"/>
          <w:szCs w:val="24"/>
        </w:rPr>
      </w:pPr>
      <w:bookmarkStart w:name="_Toc443881761" w:id="65"/>
      <w:bookmarkStart w:name="_Toc451592248" w:id="66"/>
      <w:bookmarkStart w:name="_Toc5610289" w:id="67"/>
      <w:bookmarkStart w:name="_Toc99178795" w:id="68"/>
      <w:r w:rsidRPr="007D7427">
        <w:rPr>
          <w:sz w:val="24"/>
          <w:szCs w:val="24"/>
        </w:rPr>
        <w:t>A.18</w:t>
      </w:r>
      <w:r w:rsidRPr="007D7427">
        <w:rPr>
          <w:sz w:val="24"/>
          <w:szCs w:val="24"/>
        </w:rPr>
        <w:tab/>
        <w:t>Exceptions to Certification for Paperwork Reduction Act Submissions</w:t>
      </w:r>
      <w:bookmarkEnd w:id="65"/>
      <w:bookmarkEnd w:id="66"/>
      <w:bookmarkEnd w:id="67"/>
      <w:bookmarkEnd w:id="68"/>
    </w:p>
    <w:p w:rsidRPr="007D7427" w:rsidR="0093431F" w:rsidP="00253C78" w:rsidRDefault="005C613F" w14:paraId="470969DE" w14:textId="6E4CE05F">
      <w:r w:rsidRPr="005C613F">
        <w:t>This collection will comply with the requirements in 5 CFR 1320.9.</w:t>
      </w:r>
    </w:p>
    <w:sectPr w:rsidRPr="007D7427" w:rsidR="0093431F" w:rsidSect="005C613F">
      <w:footerReference w:type="default" r:id="rId15"/>
      <w:pgSz w:w="12240" w:h="15840"/>
      <w:pgMar w:top="810" w:right="1440" w:bottom="90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27A09" w14:textId="77777777" w:rsidR="00A86A82" w:rsidRDefault="00A86A82">
      <w:r>
        <w:separator/>
      </w:r>
    </w:p>
  </w:endnote>
  <w:endnote w:type="continuationSeparator" w:id="0">
    <w:p w14:paraId="7A0BCEFB" w14:textId="77777777" w:rsidR="00A86A82" w:rsidRDefault="00A86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B800E" w14:textId="77777777" w:rsidR="00A101FC" w:rsidRDefault="00A101FC"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FC8249" w14:textId="77777777" w:rsidR="00A101FC" w:rsidRDefault="00A101FC">
    <w:pPr>
      <w:pStyle w:val="Footer"/>
    </w:pPr>
  </w:p>
  <w:p w14:paraId="29D9FF2F" w14:textId="77777777" w:rsidR="00CB0187" w:rsidRDefault="00CB01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98D8A" w14:textId="77777777" w:rsidR="00A101FC" w:rsidRDefault="00A101FC"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61E9">
      <w:rPr>
        <w:rStyle w:val="PageNumber"/>
        <w:noProof/>
      </w:rPr>
      <w:t>5</w:t>
    </w:r>
    <w:r>
      <w:rPr>
        <w:rStyle w:val="PageNumber"/>
      </w:rPr>
      <w:fldChar w:fldCharType="end"/>
    </w:r>
  </w:p>
  <w:p w14:paraId="1257DBCD" w14:textId="77777777" w:rsidR="00A101FC" w:rsidRDefault="00A101FC" w:rsidP="004A70E1">
    <w:pPr>
      <w:pStyle w:val="Footer"/>
      <w:jc w:val="center"/>
    </w:pPr>
  </w:p>
  <w:p w14:paraId="4158C13F" w14:textId="77777777" w:rsidR="00CB0187" w:rsidRDefault="00CB018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32D1" w14:textId="77777777" w:rsidR="00961936" w:rsidRDefault="00961936"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13B4282" w14:textId="77777777" w:rsidR="00961936" w:rsidRDefault="00961936" w:rsidP="004A70E1">
    <w:pPr>
      <w:pStyle w:val="Footer"/>
      <w:jc w:val="center"/>
    </w:pPr>
  </w:p>
  <w:p w14:paraId="6973531C" w14:textId="77777777" w:rsidR="00961936" w:rsidRDefault="009619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B3044" w14:textId="77777777" w:rsidR="00A86A82" w:rsidRDefault="00A86A82">
      <w:r>
        <w:separator/>
      </w:r>
    </w:p>
  </w:footnote>
  <w:footnote w:type="continuationSeparator" w:id="0">
    <w:p w14:paraId="56CB640C" w14:textId="77777777" w:rsidR="00A86A82" w:rsidRDefault="00A86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7872C1"/>
    <w:multiLevelType w:val="hybridMultilevel"/>
    <w:tmpl w:val="4B7E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797566"/>
    <w:multiLevelType w:val="hybridMultilevel"/>
    <w:tmpl w:val="2DFA5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2D7BF8"/>
    <w:multiLevelType w:val="hybridMultilevel"/>
    <w:tmpl w:val="4956F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5" w15:restartNumberingAfterBreak="0">
    <w:nsid w:val="564C6BC2"/>
    <w:multiLevelType w:val="hybridMultilevel"/>
    <w:tmpl w:val="A4C8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8134F3"/>
    <w:multiLevelType w:val="hybridMultilevel"/>
    <w:tmpl w:val="1E7E51F8"/>
    <w:lvl w:ilvl="0" w:tplc="00010409">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50B2A8B"/>
    <w:multiLevelType w:val="hybridMultilevel"/>
    <w:tmpl w:val="A6DC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528470C"/>
    <w:multiLevelType w:val="hybridMultilevel"/>
    <w:tmpl w:val="10AE6340"/>
    <w:lvl w:ilvl="0" w:tplc="DD7CA01E">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1"/>
  </w:num>
  <w:num w:numId="5">
    <w:abstractNumId w:val="5"/>
  </w:num>
  <w:num w:numId="6">
    <w:abstractNumId w:val="6"/>
  </w:num>
  <w:num w:numId="7">
    <w:abstractNumId w:val="7"/>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E3MzKwMLI0NjcysjRR0lEKTi0uzszPAykwrwUA6BJRDCwAAAA="/>
  </w:docVars>
  <w:rsids>
    <w:rsidRoot w:val="008C310E"/>
    <w:rsid w:val="00000B54"/>
    <w:rsid w:val="00001AC2"/>
    <w:rsid w:val="000039B4"/>
    <w:rsid w:val="00013F9D"/>
    <w:rsid w:val="0002627D"/>
    <w:rsid w:val="000264FE"/>
    <w:rsid w:val="000370D5"/>
    <w:rsid w:val="00040E64"/>
    <w:rsid w:val="00041715"/>
    <w:rsid w:val="000419AC"/>
    <w:rsid w:val="0005035B"/>
    <w:rsid w:val="00053D8D"/>
    <w:rsid w:val="00067402"/>
    <w:rsid w:val="00067756"/>
    <w:rsid w:val="000803DA"/>
    <w:rsid w:val="0008116E"/>
    <w:rsid w:val="00093F09"/>
    <w:rsid w:val="000A472B"/>
    <w:rsid w:val="000B2DE2"/>
    <w:rsid w:val="000C3E67"/>
    <w:rsid w:val="000C447B"/>
    <w:rsid w:val="000D30FE"/>
    <w:rsid w:val="000D6DAE"/>
    <w:rsid w:val="000E67AD"/>
    <w:rsid w:val="000F3F12"/>
    <w:rsid w:val="000F3FA3"/>
    <w:rsid w:val="000F6321"/>
    <w:rsid w:val="001023FD"/>
    <w:rsid w:val="0010529E"/>
    <w:rsid w:val="00107FC3"/>
    <w:rsid w:val="001165B2"/>
    <w:rsid w:val="00121522"/>
    <w:rsid w:val="001350D3"/>
    <w:rsid w:val="001374D5"/>
    <w:rsid w:val="0014340C"/>
    <w:rsid w:val="00150B15"/>
    <w:rsid w:val="00154D68"/>
    <w:rsid w:val="0015758A"/>
    <w:rsid w:val="00160496"/>
    <w:rsid w:val="0016182C"/>
    <w:rsid w:val="00171992"/>
    <w:rsid w:val="001A7600"/>
    <w:rsid w:val="001C0667"/>
    <w:rsid w:val="001C142B"/>
    <w:rsid w:val="001D62D9"/>
    <w:rsid w:val="001E2C04"/>
    <w:rsid w:val="001E2FC1"/>
    <w:rsid w:val="001F39A8"/>
    <w:rsid w:val="001F68B2"/>
    <w:rsid w:val="001F704A"/>
    <w:rsid w:val="0020289B"/>
    <w:rsid w:val="00205B8F"/>
    <w:rsid w:val="0021187A"/>
    <w:rsid w:val="0021246C"/>
    <w:rsid w:val="002156FC"/>
    <w:rsid w:val="00215843"/>
    <w:rsid w:val="00216001"/>
    <w:rsid w:val="00225755"/>
    <w:rsid w:val="0024029C"/>
    <w:rsid w:val="002420E2"/>
    <w:rsid w:val="002424B2"/>
    <w:rsid w:val="00246E2B"/>
    <w:rsid w:val="00246F69"/>
    <w:rsid w:val="00247AA1"/>
    <w:rsid w:val="00253C78"/>
    <w:rsid w:val="00257BCC"/>
    <w:rsid w:val="0026021E"/>
    <w:rsid w:val="00264777"/>
    <w:rsid w:val="00270FD2"/>
    <w:rsid w:val="002726D7"/>
    <w:rsid w:val="00273081"/>
    <w:rsid w:val="00276A0C"/>
    <w:rsid w:val="00277DD8"/>
    <w:rsid w:val="00283F98"/>
    <w:rsid w:val="00290B00"/>
    <w:rsid w:val="002935FA"/>
    <w:rsid w:val="00294F71"/>
    <w:rsid w:val="002A16F0"/>
    <w:rsid w:val="002A3A75"/>
    <w:rsid w:val="002A5B21"/>
    <w:rsid w:val="002B0B89"/>
    <w:rsid w:val="002B705F"/>
    <w:rsid w:val="002C7065"/>
    <w:rsid w:val="002D2CA0"/>
    <w:rsid w:val="002E1650"/>
    <w:rsid w:val="003209BA"/>
    <w:rsid w:val="00322895"/>
    <w:rsid w:val="00322D8A"/>
    <w:rsid w:val="00326840"/>
    <w:rsid w:val="0033101E"/>
    <w:rsid w:val="00331082"/>
    <w:rsid w:val="00331554"/>
    <w:rsid w:val="003353F4"/>
    <w:rsid w:val="00336257"/>
    <w:rsid w:val="00341BEB"/>
    <w:rsid w:val="00342BE4"/>
    <w:rsid w:val="00355094"/>
    <w:rsid w:val="00366AB2"/>
    <w:rsid w:val="00370AF3"/>
    <w:rsid w:val="00371EE3"/>
    <w:rsid w:val="00372904"/>
    <w:rsid w:val="003749A5"/>
    <w:rsid w:val="003751DA"/>
    <w:rsid w:val="00382F63"/>
    <w:rsid w:val="0038317A"/>
    <w:rsid w:val="00383F50"/>
    <w:rsid w:val="0038462D"/>
    <w:rsid w:val="0039108B"/>
    <w:rsid w:val="00391EA9"/>
    <w:rsid w:val="003927A6"/>
    <w:rsid w:val="003958EE"/>
    <w:rsid w:val="003A019D"/>
    <w:rsid w:val="003A4672"/>
    <w:rsid w:val="003A5FD5"/>
    <w:rsid w:val="003B257C"/>
    <w:rsid w:val="003B3547"/>
    <w:rsid w:val="003D1319"/>
    <w:rsid w:val="003D2292"/>
    <w:rsid w:val="003D6117"/>
    <w:rsid w:val="003E01C6"/>
    <w:rsid w:val="003E3637"/>
    <w:rsid w:val="003E5D3E"/>
    <w:rsid w:val="003E6B9D"/>
    <w:rsid w:val="003F5268"/>
    <w:rsid w:val="003F6C68"/>
    <w:rsid w:val="003F7C6C"/>
    <w:rsid w:val="00403334"/>
    <w:rsid w:val="0041492D"/>
    <w:rsid w:val="00417FE6"/>
    <w:rsid w:val="004223FB"/>
    <w:rsid w:val="00425499"/>
    <w:rsid w:val="004475CE"/>
    <w:rsid w:val="00452A40"/>
    <w:rsid w:val="00455259"/>
    <w:rsid w:val="00460BCD"/>
    <w:rsid w:val="00462360"/>
    <w:rsid w:val="00492178"/>
    <w:rsid w:val="00493D23"/>
    <w:rsid w:val="004A2F05"/>
    <w:rsid w:val="004A5A3E"/>
    <w:rsid w:val="004A70E1"/>
    <w:rsid w:val="004C16AD"/>
    <w:rsid w:val="004C1B4A"/>
    <w:rsid w:val="004E0102"/>
    <w:rsid w:val="004E2C12"/>
    <w:rsid w:val="004E63B3"/>
    <w:rsid w:val="004E73A4"/>
    <w:rsid w:val="004E7F14"/>
    <w:rsid w:val="004F3348"/>
    <w:rsid w:val="004F4102"/>
    <w:rsid w:val="005020ED"/>
    <w:rsid w:val="00505857"/>
    <w:rsid w:val="0051356C"/>
    <w:rsid w:val="00513B2B"/>
    <w:rsid w:val="005175D8"/>
    <w:rsid w:val="00522DEE"/>
    <w:rsid w:val="00525A4B"/>
    <w:rsid w:val="00527FFE"/>
    <w:rsid w:val="005347DB"/>
    <w:rsid w:val="005443FA"/>
    <w:rsid w:val="005449E7"/>
    <w:rsid w:val="005510AD"/>
    <w:rsid w:val="005537F2"/>
    <w:rsid w:val="00554C51"/>
    <w:rsid w:val="00556035"/>
    <w:rsid w:val="00563174"/>
    <w:rsid w:val="00566439"/>
    <w:rsid w:val="005728D4"/>
    <w:rsid w:val="005806F3"/>
    <w:rsid w:val="00593C14"/>
    <w:rsid w:val="005952FA"/>
    <w:rsid w:val="005974BD"/>
    <w:rsid w:val="005A0DCA"/>
    <w:rsid w:val="005A33C6"/>
    <w:rsid w:val="005B3DB2"/>
    <w:rsid w:val="005B62AE"/>
    <w:rsid w:val="005C3DC2"/>
    <w:rsid w:val="005C613F"/>
    <w:rsid w:val="005D3103"/>
    <w:rsid w:val="005E35D6"/>
    <w:rsid w:val="005E479E"/>
    <w:rsid w:val="005E7CA1"/>
    <w:rsid w:val="005F75BE"/>
    <w:rsid w:val="00620742"/>
    <w:rsid w:val="006211BF"/>
    <w:rsid w:val="0063600C"/>
    <w:rsid w:val="00642434"/>
    <w:rsid w:val="00643076"/>
    <w:rsid w:val="006466D2"/>
    <w:rsid w:val="00656E1B"/>
    <w:rsid w:val="006613AF"/>
    <w:rsid w:val="00665E4D"/>
    <w:rsid w:val="00670156"/>
    <w:rsid w:val="00670E9D"/>
    <w:rsid w:val="00670FC4"/>
    <w:rsid w:val="006726BA"/>
    <w:rsid w:val="0068063F"/>
    <w:rsid w:val="00680E77"/>
    <w:rsid w:val="00684ED5"/>
    <w:rsid w:val="006876EB"/>
    <w:rsid w:val="00695A0B"/>
    <w:rsid w:val="006A3E74"/>
    <w:rsid w:val="006A6662"/>
    <w:rsid w:val="006B3889"/>
    <w:rsid w:val="006B43F2"/>
    <w:rsid w:val="006C6F80"/>
    <w:rsid w:val="006D6479"/>
    <w:rsid w:val="006D7566"/>
    <w:rsid w:val="006E2162"/>
    <w:rsid w:val="006E557B"/>
    <w:rsid w:val="006F4774"/>
    <w:rsid w:val="007037C8"/>
    <w:rsid w:val="00714448"/>
    <w:rsid w:val="00725A24"/>
    <w:rsid w:val="00726B9F"/>
    <w:rsid w:val="00727390"/>
    <w:rsid w:val="007354E0"/>
    <w:rsid w:val="00735C41"/>
    <w:rsid w:val="007370A7"/>
    <w:rsid w:val="0074071B"/>
    <w:rsid w:val="00741EE3"/>
    <w:rsid w:val="00757310"/>
    <w:rsid w:val="007640C7"/>
    <w:rsid w:val="007677C5"/>
    <w:rsid w:val="007802FB"/>
    <w:rsid w:val="00782607"/>
    <w:rsid w:val="0078457F"/>
    <w:rsid w:val="00794D40"/>
    <w:rsid w:val="007957C2"/>
    <w:rsid w:val="00795F75"/>
    <w:rsid w:val="007B0DC6"/>
    <w:rsid w:val="007C0266"/>
    <w:rsid w:val="007C16BD"/>
    <w:rsid w:val="007D276B"/>
    <w:rsid w:val="007D338E"/>
    <w:rsid w:val="007D7427"/>
    <w:rsid w:val="007E2337"/>
    <w:rsid w:val="007E312E"/>
    <w:rsid w:val="007F0573"/>
    <w:rsid w:val="007F3FA7"/>
    <w:rsid w:val="007F6403"/>
    <w:rsid w:val="00803347"/>
    <w:rsid w:val="00804430"/>
    <w:rsid w:val="00806E8D"/>
    <w:rsid w:val="00807E31"/>
    <w:rsid w:val="008119CD"/>
    <w:rsid w:val="00811F5C"/>
    <w:rsid w:val="008120DB"/>
    <w:rsid w:val="0081346D"/>
    <w:rsid w:val="00817122"/>
    <w:rsid w:val="0083013E"/>
    <w:rsid w:val="00831B11"/>
    <w:rsid w:val="00833926"/>
    <w:rsid w:val="00835A43"/>
    <w:rsid w:val="00840416"/>
    <w:rsid w:val="008439EE"/>
    <w:rsid w:val="00845AFA"/>
    <w:rsid w:val="008500C0"/>
    <w:rsid w:val="008547FD"/>
    <w:rsid w:val="0085671F"/>
    <w:rsid w:val="00856E5B"/>
    <w:rsid w:val="00873E09"/>
    <w:rsid w:val="00890FD7"/>
    <w:rsid w:val="00891A1A"/>
    <w:rsid w:val="0089515C"/>
    <w:rsid w:val="008A1E04"/>
    <w:rsid w:val="008A7D49"/>
    <w:rsid w:val="008C0599"/>
    <w:rsid w:val="008C310E"/>
    <w:rsid w:val="008C3489"/>
    <w:rsid w:val="008E33A9"/>
    <w:rsid w:val="008E4371"/>
    <w:rsid w:val="008E7C5F"/>
    <w:rsid w:val="008F048F"/>
    <w:rsid w:val="008F1164"/>
    <w:rsid w:val="008F7D72"/>
    <w:rsid w:val="00900FBF"/>
    <w:rsid w:val="00903B33"/>
    <w:rsid w:val="009174F7"/>
    <w:rsid w:val="009218B9"/>
    <w:rsid w:val="009219DD"/>
    <w:rsid w:val="009279CE"/>
    <w:rsid w:val="00930BE1"/>
    <w:rsid w:val="0093431F"/>
    <w:rsid w:val="00946C63"/>
    <w:rsid w:val="009562F4"/>
    <w:rsid w:val="00956F5B"/>
    <w:rsid w:val="00960F21"/>
    <w:rsid w:val="00961936"/>
    <w:rsid w:val="00967AAE"/>
    <w:rsid w:val="009814EE"/>
    <w:rsid w:val="00981B27"/>
    <w:rsid w:val="00994161"/>
    <w:rsid w:val="009965F7"/>
    <w:rsid w:val="009B01FB"/>
    <w:rsid w:val="009C09FA"/>
    <w:rsid w:val="009C2538"/>
    <w:rsid w:val="009C61E9"/>
    <w:rsid w:val="009E565A"/>
    <w:rsid w:val="009E5AA3"/>
    <w:rsid w:val="009F2F47"/>
    <w:rsid w:val="009F32A4"/>
    <w:rsid w:val="00A03512"/>
    <w:rsid w:val="00A0722B"/>
    <w:rsid w:val="00A101FC"/>
    <w:rsid w:val="00A10AC6"/>
    <w:rsid w:val="00A129C9"/>
    <w:rsid w:val="00A1583B"/>
    <w:rsid w:val="00A17634"/>
    <w:rsid w:val="00A247FF"/>
    <w:rsid w:val="00A34BBF"/>
    <w:rsid w:val="00A43763"/>
    <w:rsid w:val="00A51864"/>
    <w:rsid w:val="00A63D34"/>
    <w:rsid w:val="00A71760"/>
    <w:rsid w:val="00A725E8"/>
    <w:rsid w:val="00A72794"/>
    <w:rsid w:val="00A72B62"/>
    <w:rsid w:val="00A733F1"/>
    <w:rsid w:val="00A7736A"/>
    <w:rsid w:val="00A82039"/>
    <w:rsid w:val="00A86A82"/>
    <w:rsid w:val="00AA0A3B"/>
    <w:rsid w:val="00AB54E2"/>
    <w:rsid w:val="00AC22A0"/>
    <w:rsid w:val="00AC30AA"/>
    <w:rsid w:val="00AC5F21"/>
    <w:rsid w:val="00AC79A6"/>
    <w:rsid w:val="00AD46D8"/>
    <w:rsid w:val="00AD70C7"/>
    <w:rsid w:val="00AD7B60"/>
    <w:rsid w:val="00AF0738"/>
    <w:rsid w:val="00AF7240"/>
    <w:rsid w:val="00AF79D4"/>
    <w:rsid w:val="00B06047"/>
    <w:rsid w:val="00B079F2"/>
    <w:rsid w:val="00B1315C"/>
    <w:rsid w:val="00B22FA2"/>
    <w:rsid w:val="00B25B57"/>
    <w:rsid w:val="00B336DF"/>
    <w:rsid w:val="00B35CBB"/>
    <w:rsid w:val="00B41EC6"/>
    <w:rsid w:val="00B44CBE"/>
    <w:rsid w:val="00B459A9"/>
    <w:rsid w:val="00B56401"/>
    <w:rsid w:val="00B56B34"/>
    <w:rsid w:val="00B635E1"/>
    <w:rsid w:val="00B66E72"/>
    <w:rsid w:val="00B9196B"/>
    <w:rsid w:val="00B930B0"/>
    <w:rsid w:val="00B958E6"/>
    <w:rsid w:val="00B96402"/>
    <w:rsid w:val="00B96E06"/>
    <w:rsid w:val="00B97CB3"/>
    <w:rsid w:val="00BA2472"/>
    <w:rsid w:val="00BA374F"/>
    <w:rsid w:val="00BA3B8C"/>
    <w:rsid w:val="00BA5075"/>
    <w:rsid w:val="00BB2262"/>
    <w:rsid w:val="00BB6B64"/>
    <w:rsid w:val="00BB7571"/>
    <w:rsid w:val="00BC4E67"/>
    <w:rsid w:val="00BD6179"/>
    <w:rsid w:val="00BE487F"/>
    <w:rsid w:val="00BF2C47"/>
    <w:rsid w:val="00BF4042"/>
    <w:rsid w:val="00BF4ED9"/>
    <w:rsid w:val="00C00242"/>
    <w:rsid w:val="00C21735"/>
    <w:rsid w:val="00C267C8"/>
    <w:rsid w:val="00C27111"/>
    <w:rsid w:val="00C27F76"/>
    <w:rsid w:val="00C30EF0"/>
    <w:rsid w:val="00C312FD"/>
    <w:rsid w:val="00C319A1"/>
    <w:rsid w:val="00C31EC0"/>
    <w:rsid w:val="00C36C74"/>
    <w:rsid w:val="00C47145"/>
    <w:rsid w:val="00C535EB"/>
    <w:rsid w:val="00C571B0"/>
    <w:rsid w:val="00C67B8E"/>
    <w:rsid w:val="00C72A82"/>
    <w:rsid w:val="00C74725"/>
    <w:rsid w:val="00C751FF"/>
    <w:rsid w:val="00C80DB3"/>
    <w:rsid w:val="00C911C1"/>
    <w:rsid w:val="00C94EE3"/>
    <w:rsid w:val="00CA02BF"/>
    <w:rsid w:val="00CA04F3"/>
    <w:rsid w:val="00CA58BB"/>
    <w:rsid w:val="00CA5D41"/>
    <w:rsid w:val="00CA5E71"/>
    <w:rsid w:val="00CA618A"/>
    <w:rsid w:val="00CB0187"/>
    <w:rsid w:val="00CB4458"/>
    <w:rsid w:val="00CB5FA4"/>
    <w:rsid w:val="00CD39A4"/>
    <w:rsid w:val="00CD51A6"/>
    <w:rsid w:val="00CD679B"/>
    <w:rsid w:val="00CE19B5"/>
    <w:rsid w:val="00CE2C80"/>
    <w:rsid w:val="00CE4295"/>
    <w:rsid w:val="00CE6FA5"/>
    <w:rsid w:val="00CF088A"/>
    <w:rsid w:val="00CF55FF"/>
    <w:rsid w:val="00CF6A23"/>
    <w:rsid w:val="00D05880"/>
    <w:rsid w:val="00D07FDC"/>
    <w:rsid w:val="00D22692"/>
    <w:rsid w:val="00D23882"/>
    <w:rsid w:val="00D26B69"/>
    <w:rsid w:val="00D31B80"/>
    <w:rsid w:val="00D360A9"/>
    <w:rsid w:val="00D36B58"/>
    <w:rsid w:val="00D5053E"/>
    <w:rsid w:val="00D52E1D"/>
    <w:rsid w:val="00D576BA"/>
    <w:rsid w:val="00D635C7"/>
    <w:rsid w:val="00D6427F"/>
    <w:rsid w:val="00D71B60"/>
    <w:rsid w:val="00D7716F"/>
    <w:rsid w:val="00D80D51"/>
    <w:rsid w:val="00D838EF"/>
    <w:rsid w:val="00D85560"/>
    <w:rsid w:val="00D877D8"/>
    <w:rsid w:val="00D929DF"/>
    <w:rsid w:val="00D9475F"/>
    <w:rsid w:val="00D97089"/>
    <w:rsid w:val="00DA1E53"/>
    <w:rsid w:val="00DA1E74"/>
    <w:rsid w:val="00DA487D"/>
    <w:rsid w:val="00DB1072"/>
    <w:rsid w:val="00DB2250"/>
    <w:rsid w:val="00DB3C68"/>
    <w:rsid w:val="00DC2BB5"/>
    <w:rsid w:val="00DD23BC"/>
    <w:rsid w:val="00DD42D7"/>
    <w:rsid w:val="00DE002E"/>
    <w:rsid w:val="00DE181A"/>
    <w:rsid w:val="00DE1DFD"/>
    <w:rsid w:val="00DE7758"/>
    <w:rsid w:val="00DF0C00"/>
    <w:rsid w:val="00DF49A5"/>
    <w:rsid w:val="00DF7F8D"/>
    <w:rsid w:val="00E056B3"/>
    <w:rsid w:val="00E06F3D"/>
    <w:rsid w:val="00E24F15"/>
    <w:rsid w:val="00E26214"/>
    <w:rsid w:val="00E304DC"/>
    <w:rsid w:val="00E34C05"/>
    <w:rsid w:val="00E36A07"/>
    <w:rsid w:val="00E4235B"/>
    <w:rsid w:val="00E45191"/>
    <w:rsid w:val="00E4644A"/>
    <w:rsid w:val="00E53EF0"/>
    <w:rsid w:val="00E57D82"/>
    <w:rsid w:val="00E7773D"/>
    <w:rsid w:val="00E9424F"/>
    <w:rsid w:val="00EA5E15"/>
    <w:rsid w:val="00EA78E6"/>
    <w:rsid w:val="00EB609E"/>
    <w:rsid w:val="00EB7350"/>
    <w:rsid w:val="00EC6047"/>
    <w:rsid w:val="00ED1D5E"/>
    <w:rsid w:val="00ED7B44"/>
    <w:rsid w:val="00EE2176"/>
    <w:rsid w:val="00EF0208"/>
    <w:rsid w:val="00EF5CAC"/>
    <w:rsid w:val="00F01F14"/>
    <w:rsid w:val="00F04870"/>
    <w:rsid w:val="00F142F3"/>
    <w:rsid w:val="00F17CE8"/>
    <w:rsid w:val="00F23A50"/>
    <w:rsid w:val="00F243EE"/>
    <w:rsid w:val="00F2716E"/>
    <w:rsid w:val="00F33DD6"/>
    <w:rsid w:val="00F37331"/>
    <w:rsid w:val="00F37BCB"/>
    <w:rsid w:val="00F460A8"/>
    <w:rsid w:val="00F52D2C"/>
    <w:rsid w:val="00F52F2D"/>
    <w:rsid w:val="00F6074F"/>
    <w:rsid w:val="00F62334"/>
    <w:rsid w:val="00F64D89"/>
    <w:rsid w:val="00F8064C"/>
    <w:rsid w:val="00FA0AFF"/>
    <w:rsid w:val="00FA18B1"/>
    <w:rsid w:val="00FA1D51"/>
    <w:rsid w:val="00FA1FD0"/>
    <w:rsid w:val="00FB06F4"/>
    <w:rsid w:val="00FC0785"/>
    <w:rsid w:val="00FC2F69"/>
    <w:rsid w:val="00FD11FD"/>
    <w:rsid w:val="00FD6D0C"/>
    <w:rsid w:val="00FE0CEE"/>
    <w:rsid w:val="00FE6176"/>
    <w:rsid w:val="00FE6B60"/>
    <w:rsid w:val="00FF198E"/>
    <w:rsid w:val="00FF5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6874A"/>
  <w15:docId w15:val="{A0C0BC11-64AF-447A-B3E1-164C6F56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A03512"/>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link w:val="FooterChar"/>
    <w:uiPriority w:val="99"/>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link w:val="PlainText"/>
    <w:uiPriority w:val="99"/>
    <w:rsid w:val="00F23A50"/>
    <w:rPr>
      <w:rFonts w:ascii="Courier New" w:eastAsia="Calibri" w:hAnsi="Courier New" w:cs="Courier New"/>
    </w:rPr>
  </w:style>
  <w:style w:type="character" w:styleId="FollowedHyperlink">
    <w:name w:val="FollowedHyperlink"/>
    <w:rsid w:val="00AF0738"/>
    <w:rPr>
      <w:color w:val="800080"/>
      <w:u w:val="single"/>
    </w:rPr>
  </w:style>
  <w:style w:type="character" w:styleId="CommentReference">
    <w:name w:val="annotation reference"/>
    <w:rsid w:val="00AD70C7"/>
    <w:rPr>
      <w:sz w:val="16"/>
      <w:szCs w:val="16"/>
    </w:rPr>
  </w:style>
  <w:style w:type="paragraph" w:styleId="CommentText">
    <w:name w:val="annotation text"/>
    <w:basedOn w:val="Normal"/>
    <w:link w:val="CommentTextChar"/>
    <w:rsid w:val="00AD70C7"/>
    <w:rPr>
      <w:sz w:val="20"/>
      <w:szCs w:val="20"/>
    </w:rPr>
  </w:style>
  <w:style w:type="character" w:customStyle="1" w:styleId="CommentTextChar">
    <w:name w:val="Comment Text Char"/>
    <w:basedOn w:val="DefaultParagraphFont"/>
    <w:link w:val="CommentText"/>
    <w:rsid w:val="00AD70C7"/>
  </w:style>
  <w:style w:type="paragraph" w:styleId="CommentSubject">
    <w:name w:val="annotation subject"/>
    <w:basedOn w:val="CommentText"/>
    <w:next w:val="CommentText"/>
    <w:link w:val="CommentSubjectChar"/>
    <w:rsid w:val="00AD70C7"/>
    <w:rPr>
      <w:b/>
      <w:bCs/>
    </w:rPr>
  </w:style>
  <w:style w:type="character" w:customStyle="1" w:styleId="CommentSubjectChar">
    <w:name w:val="Comment Subject Char"/>
    <w:link w:val="CommentSubject"/>
    <w:rsid w:val="00AD70C7"/>
    <w:rPr>
      <w:b/>
      <w:bCs/>
    </w:rPr>
  </w:style>
  <w:style w:type="paragraph" w:styleId="BalloonText">
    <w:name w:val="Balloon Text"/>
    <w:basedOn w:val="Normal"/>
    <w:link w:val="BalloonTextChar"/>
    <w:rsid w:val="00AD70C7"/>
    <w:rPr>
      <w:rFonts w:ascii="Tahoma" w:hAnsi="Tahoma" w:cs="Tahoma"/>
      <w:sz w:val="16"/>
      <w:szCs w:val="16"/>
    </w:rPr>
  </w:style>
  <w:style w:type="character" w:customStyle="1" w:styleId="BalloonTextChar">
    <w:name w:val="Balloon Text Char"/>
    <w:link w:val="BalloonText"/>
    <w:rsid w:val="00AD70C7"/>
    <w:rPr>
      <w:rFonts w:ascii="Tahoma" w:hAnsi="Tahoma" w:cs="Tahoma"/>
      <w:sz w:val="16"/>
      <w:szCs w:val="16"/>
    </w:rPr>
  </w:style>
  <w:style w:type="paragraph" w:styleId="Revision">
    <w:name w:val="Revision"/>
    <w:hidden/>
    <w:uiPriority w:val="99"/>
    <w:semiHidden/>
    <w:rsid w:val="00FA18B1"/>
    <w:rPr>
      <w:sz w:val="24"/>
      <w:szCs w:val="24"/>
    </w:rPr>
  </w:style>
  <w:style w:type="character" w:styleId="UnresolvedMention">
    <w:name w:val="Unresolved Mention"/>
    <w:basedOn w:val="DefaultParagraphFont"/>
    <w:rsid w:val="001F704A"/>
    <w:rPr>
      <w:color w:val="808080"/>
      <w:shd w:val="clear" w:color="auto" w:fill="E6E6E6"/>
    </w:rPr>
  </w:style>
  <w:style w:type="paragraph" w:styleId="Header">
    <w:name w:val="header"/>
    <w:basedOn w:val="Normal"/>
    <w:link w:val="HeaderChar"/>
    <w:unhideWhenUsed/>
    <w:rsid w:val="00C47145"/>
    <w:pPr>
      <w:tabs>
        <w:tab w:val="center" w:pos="4680"/>
        <w:tab w:val="right" w:pos="9360"/>
      </w:tabs>
    </w:pPr>
  </w:style>
  <w:style w:type="character" w:customStyle="1" w:styleId="HeaderChar">
    <w:name w:val="Header Char"/>
    <w:basedOn w:val="DefaultParagraphFont"/>
    <w:link w:val="Header"/>
    <w:rsid w:val="00C47145"/>
    <w:rPr>
      <w:sz w:val="24"/>
      <w:szCs w:val="24"/>
    </w:rPr>
  </w:style>
  <w:style w:type="character" w:customStyle="1" w:styleId="FooterChar">
    <w:name w:val="Footer Char"/>
    <w:basedOn w:val="DefaultParagraphFont"/>
    <w:link w:val="Footer"/>
    <w:uiPriority w:val="99"/>
    <w:rsid w:val="001E2FC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9132">
      <w:bodyDiv w:val="1"/>
      <w:marLeft w:val="0"/>
      <w:marRight w:val="0"/>
      <w:marTop w:val="0"/>
      <w:marBottom w:val="0"/>
      <w:divBdr>
        <w:top w:val="none" w:sz="0" w:space="0" w:color="auto"/>
        <w:left w:val="none" w:sz="0" w:space="0" w:color="auto"/>
        <w:bottom w:val="none" w:sz="0" w:space="0" w:color="auto"/>
        <w:right w:val="none" w:sz="0" w:space="0" w:color="auto"/>
      </w:divBdr>
    </w:div>
    <w:div w:id="346710510">
      <w:bodyDiv w:val="1"/>
      <w:marLeft w:val="0"/>
      <w:marRight w:val="0"/>
      <w:marTop w:val="0"/>
      <w:marBottom w:val="0"/>
      <w:divBdr>
        <w:top w:val="none" w:sz="0" w:space="0" w:color="auto"/>
        <w:left w:val="none" w:sz="0" w:space="0" w:color="auto"/>
        <w:bottom w:val="none" w:sz="0" w:space="0" w:color="auto"/>
        <w:right w:val="none" w:sz="0" w:space="0" w:color="auto"/>
      </w:divBdr>
    </w:div>
    <w:div w:id="788082680">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20578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esangel@mail.nih.gov" TargetMode="External"/><Relationship Id="rId13"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rc.nci.nih.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rc.nci.nih.go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ls.gov/oes/current/oes25108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A51A5-6041-4C13-B21C-0032578EB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1889</Words>
  <Characters>11752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 'A' Preparation - 04/05/2011</vt:lpstr>
    </vt:vector>
  </TitlesOfParts>
  <Company>Sapient</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- 04/05/2011</dc:title>
  <dc:subject>Supporting Statement 'A' Preparation - 04/05/2011</dc:subject>
  <dc:creator>OD/USER</dc:creator>
  <cp:keywords>Supporting Statement 'A' Preparation - 04/05/2011</cp:keywords>
  <cp:lastModifiedBy>Abdelmouti, Tawanda (NIH/OD) [E]</cp:lastModifiedBy>
  <cp:revision>2</cp:revision>
  <dcterms:created xsi:type="dcterms:W3CDTF">2022-07-14T16:42:00Z</dcterms:created>
  <dcterms:modified xsi:type="dcterms:W3CDTF">2022-07-14T16:42:00Z</dcterms:modified>
</cp:coreProperties>
</file>