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BDE" w:rsidP="00CC3731" w:rsidRDefault="009D7BDE" w14:paraId="79999D9F" w14:textId="77777777">
      <w:pPr>
        <w:rPr>
          <w:rFonts w:ascii="Arial" w:hAnsi="Arial" w:cs="Arial"/>
          <w:b/>
          <w:sz w:val="22"/>
          <w:szCs w:val="22"/>
        </w:rPr>
      </w:pPr>
      <w:bookmarkStart w:name="_Toc230515978" w:id="0"/>
    </w:p>
    <w:p w:rsidR="009D7BDE" w:rsidP="00CC3731" w:rsidRDefault="009D7BDE" w14:paraId="1540E67C" w14:textId="77777777">
      <w:pPr>
        <w:rPr>
          <w:rFonts w:ascii="Arial" w:hAnsi="Arial" w:cs="Arial"/>
          <w:b/>
          <w:sz w:val="22"/>
          <w:szCs w:val="22"/>
        </w:rPr>
      </w:pPr>
    </w:p>
    <w:p w:rsidR="004C3F9E" w:rsidP="003B6D3D" w:rsidRDefault="003B6D3D" w14:paraId="2010221C" w14:textId="5FC8BE1B">
      <w:pPr>
        <w:pStyle w:val="P1-StandPara"/>
        <w:tabs>
          <w:tab w:val="left" w:pos="720"/>
          <w:tab w:val="right" w:leader="dot" w:pos="9504"/>
        </w:tabs>
        <w:spacing w:before="120" w:after="120"/>
        <w:ind w:firstLine="0"/>
        <w:jc w:val="center"/>
        <w:rPr>
          <w:sz w:val="32"/>
          <w:szCs w:val="32"/>
        </w:rPr>
      </w:pPr>
      <w:r w:rsidRPr="00C9604D">
        <w:rPr>
          <w:sz w:val="32"/>
          <w:szCs w:val="32"/>
        </w:rPr>
        <w:t xml:space="preserve">Mini </w:t>
      </w:r>
      <w:r w:rsidRPr="00C9604D" w:rsidR="004C3F9E">
        <w:rPr>
          <w:sz w:val="32"/>
          <w:szCs w:val="32"/>
        </w:rPr>
        <w:t>Supporting Statement A</w:t>
      </w:r>
    </w:p>
    <w:p w:rsidRPr="00C9604D" w:rsidR="00C9604D" w:rsidP="003B6D3D" w:rsidRDefault="00C9604D" w14:paraId="333204C0" w14:textId="77777777">
      <w:pPr>
        <w:pStyle w:val="P1-StandPara"/>
        <w:tabs>
          <w:tab w:val="left" w:pos="720"/>
          <w:tab w:val="right" w:leader="dot" w:pos="9504"/>
        </w:tabs>
        <w:spacing w:before="120" w:after="120"/>
        <w:ind w:firstLine="0"/>
        <w:jc w:val="center"/>
        <w:rPr>
          <w:sz w:val="32"/>
          <w:szCs w:val="32"/>
        </w:rPr>
      </w:pPr>
    </w:p>
    <w:p w:rsidRPr="00C9604D" w:rsidR="001366E4" w:rsidP="003C7D10" w:rsidRDefault="00DC5A38" w14:paraId="25F94D5D" w14:textId="1512693C">
      <w:pPr>
        <w:pStyle w:val="P1-StandPara"/>
        <w:tabs>
          <w:tab w:val="left" w:pos="720"/>
          <w:tab w:val="right" w:leader="dot" w:pos="9504"/>
        </w:tabs>
        <w:spacing w:before="120" w:line="240" w:lineRule="auto"/>
        <w:ind w:firstLine="0"/>
        <w:jc w:val="center"/>
        <w:rPr>
          <w:sz w:val="32"/>
          <w:szCs w:val="32"/>
        </w:rPr>
      </w:pPr>
      <w:bookmarkStart w:name="_Hlk17112247" w:id="1"/>
      <w:r w:rsidRPr="00C9604D">
        <w:rPr>
          <w:sz w:val="32"/>
          <w:szCs w:val="32"/>
        </w:rPr>
        <w:t>Cancer Prevention Fellowship Program</w:t>
      </w:r>
      <w:r w:rsidRPr="00C9604D" w:rsidR="00BA7245">
        <w:rPr>
          <w:sz w:val="32"/>
          <w:szCs w:val="32"/>
        </w:rPr>
        <w:t xml:space="preserve"> </w:t>
      </w:r>
    </w:p>
    <w:p w:rsidRPr="00C9604D" w:rsidR="004C3F9E" w:rsidP="00D309AC" w:rsidRDefault="00002F72" w14:paraId="7E2703BE" w14:textId="199ED9B6">
      <w:pPr>
        <w:pStyle w:val="P1-StandPara"/>
        <w:tabs>
          <w:tab w:val="left" w:pos="720"/>
          <w:tab w:val="right" w:leader="dot" w:pos="9504"/>
        </w:tabs>
        <w:spacing w:before="120" w:line="240" w:lineRule="auto"/>
        <w:ind w:firstLine="0"/>
        <w:jc w:val="center"/>
        <w:rPr>
          <w:b/>
          <w:sz w:val="32"/>
          <w:szCs w:val="32"/>
        </w:rPr>
      </w:pPr>
      <w:r w:rsidRPr="00C9604D">
        <w:rPr>
          <w:sz w:val="32"/>
          <w:szCs w:val="32"/>
        </w:rPr>
        <w:t>Fellowship Program</w:t>
      </w:r>
      <w:r w:rsidRPr="00C9604D" w:rsidR="00DC5A38">
        <w:rPr>
          <w:sz w:val="32"/>
          <w:szCs w:val="32"/>
        </w:rPr>
        <w:t xml:space="preserve"> </w:t>
      </w:r>
      <w:r w:rsidRPr="00C9604D">
        <w:rPr>
          <w:sz w:val="32"/>
          <w:szCs w:val="32"/>
        </w:rPr>
        <w:t>Application</w:t>
      </w:r>
      <w:r w:rsidRPr="00C9604D" w:rsidR="004C3F9E">
        <w:rPr>
          <w:sz w:val="32"/>
          <w:szCs w:val="32"/>
        </w:rPr>
        <w:t xml:space="preserve"> </w:t>
      </w:r>
      <w:r w:rsidRPr="00C9604D" w:rsidR="00BA7245">
        <w:rPr>
          <w:sz w:val="32"/>
          <w:szCs w:val="32"/>
        </w:rPr>
        <w:t>(NCI)</w:t>
      </w:r>
    </w:p>
    <w:bookmarkEnd w:id="1"/>
    <w:p w:rsidRPr="009D586F" w:rsidR="004C3F9E" w:rsidP="000A2025" w:rsidRDefault="004C3F9E" w14:paraId="39C79D90" w14:textId="77777777">
      <w:pPr>
        <w:jc w:val="center"/>
        <w:rPr>
          <w:rFonts w:ascii="Arial" w:hAnsi="Arial" w:cs="Arial"/>
          <w:b/>
          <w:color w:val="000000"/>
        </w:rPr>
      </w:pPr>
    </w:p>
    <w:p w:rsidR="00C9604D" w:rsidP="00A90614" w:rsidRDefault="00C9604D" w14:paraId="3FFEB195" w14:textId="77777777">
      <w:pPr>
        <w:numPr>
          <w:ilvl w:val="12"/>
          <w:numId w:val="0"/>
        </w:numPr>
        <w:jc w:val="center"/>
        <w:outlineLvl w:val="0"/>
        <w:rPr>
          <w:rFonts w:eastAsia="Times New Roman"/>
          <w:sz w:val="28"/>
          <w:szCs w:val="28"/>
          <w:lang w:eastAsia="en-US"/>
        </w:rPr>
      </w:pPr>
    </w:p>
    <w:p w:rsidR="00C9604D" w:rsidP="00A90614" w:rsidRDefault="00C9604D" w14:paraId="061F4FD7" w14:textId="77777777">
      <w:pPr>
        <w:numPr>
          <w:ilvl w:val="12"/>
          <w:numId w:val="0"/>
        </w:numPr>
        <w:jc w:val="center"/>
        <w:outlineLvl w:val="0"/>
        <w:rPr>
          <w:rFonts w:eastAsia="Times New Roman"/>
          <w:sz w:val="28"/>
          <w:szCs w:val="28"/>
          <w:lang w:eastAsia="en-US"/>
        </w:rPr>
      </w:pPr>
    </w:p>
    <w:p w:rsidRPr="00A90614" w:rsidR="00A90614" w:rsidP="00A90614" w:rsidRDefault="00A90614" w14:paraId="0E3D52BF" w14:textId="28EF79C5">
      <w:pPr>
        <w:numPr>
          <w:ilvl w:val="12"/>
          <w:numId w:val="0"/>
        </w:numPr>
        <w:jc w:val="center"/>
        <w:outlineLvl w:val="0"/>
        <w:rPr>
          <w:rFonts w:eastAsia="Times New Roman"/>
          <w:sz w:val="28"/>
          <w:szCs w:val="28"/>
          <w:lang w:eastAsia="en-US"/>
        </w:rPr>
      </w:pPr>
      <w:r w:rsidRPr="00A90614">
        <w:rPr>
          <w:rFonts w:eastAsia="Times New Roman"/>
          <w:sz w:val="28"/>
          <w:szCs w:val="28"/>
          <w:lang w:eastAsia="en-US"/>
        </w:rPr>
        <w:t xml:space="preserve">Sub-study under, </w:t>
      </w:r>
    </w:p>
    <w:p w:rsidRPr="00A90614" w:rsidR="00A90614" w:rsidP="00A90614" w:rsidRDefault="00A90614" w14:paraId="619C3091" w14:textId="77777777">
      <w:pPr>
        <w:numPr>
          <w:ilvl w:val="12"/>
          <w:numId w:val="0"/>
        </w:numPr>
        <w:jc w:val="center"/>
        <w:outlineLvl w:val="0"/>
        <w:rPr>
          <w:rFonts w:eastAsia="Times New Roman"/>
          <w:bCs/>
          <w:sz w:val="28"/>
          <w:szCs w:val="28"/>
          <w:lang w:eastAsia="en-US"/>
        </w:rPr>
      </w:pPr>
      <w:r w:rsidRPr="00A90614">
        <w:rPr>
          <w:rFonts w:eastAsia="Times New Roman"/>
          <w:sz w:val="28"/>
          <w:szCs w:val="28"/>
          <w:lang w:eastAsia="en-US"/>
        </w:rPr>
        <w:t>“</w:t>
      </w:r>
      <w:bookmarkStart w:name="_Hlk17112293" w:id="2"/>
      <w:r w:rsidRPr="00A90614">
        <w:rPr>
          <w:rFonts w:eastAsia="Times New Roman"/>
          <w:bCs/>
          <w:sz w:val="28"/>
          <w:szCs w:val="28"/>
          <w:lang w:eastAsia="en-US"/>
        </w:rPr>
        <w:t>Generic Clearance for Application Information for</w:t>
      </w:r>
    </w:p>
    <w:p w:rsidRPr="00A90614" w:rsidR="00A90614" w:rsidP="00A90614" w:rsidRDefault="00A90614" w14:paraId="400019F2" w14:textId="77777777">
      <w:pPr>
        <w:numPr>
          <w:ilvl w:val="12"/>
          <w:numId w:val="0"/>
        </w:numPr>
        <w:jc w:val="center"/>
        <w:outlineLvl w:val="0"/>
        <w:rPr>
          <w:rFonts w:eastAsia="Times New Roman"/>
          <w:bCs/>
          <w:sz w:val="28"/>
          <w:szCs w:val="28"/>
          <w:lang w:eastAsia="en-US"/>
        </w:rPr>
      </w:pPr>
      <w:r w:rsidRPr="00A90614">
        <w:rPr>
          <w:rFonts w:eastAsia="Times New Roman"/>
          <w:bCs/>
          <w:sz w:val="28"/>
          <w:szCs w:val="28"/>
          <w:lang w:eastAsia="en-US"/>
        </w:rPr>
        <w:t>Fellowship, Internships, Training Programs, and Specialty Positions</w:t>
      </w:r>
    </w:p>
    <w:p w:rsidRPr="00600081" w:rsidR="003B6D3D" w:rsidP="00A90614" w:rsidRDefault="00A90614" w14:paraId="0AE28A70" w14:textId="5EF028A3">
      <w:pPr>
        <w:numPr>
          <w:ilvl w:val="12"/>
          <w:numId w:val="0"/>
        </w:numPr>
        <w:jc w:val="center"/>
        <w:outlineLvl w:val="0"/>
        <w:rPr>
          <w:sz w:val="28"/>
          <w:szCs w:val="28"/>
        </w:rPr>
      </w:pPr>
      <w:r w:rsidRPr="00A90614">
        <w:rPr>
          <w:rFonts w:eastAsia="Times New Roman"/>
          <w:bCs/>
          <w:sz w:val="28"/>
          <w:szCs w:val="28"/>
          <w:lang w:eastAsia="en-US"/>
        </w:rPr>
        <w:t>(National Cancer Institute)</w:t>
      </w:r>
      <w:bookmarkEnd w:id="2"/>
      <w:r w:rsidRPr="00A90614">
        <w:rPr>
          <w:rFonts w:eastAsia="Times New Roman"/>
          <w:bCs/>
          <w:sz w:val="28"/>
          <w:szCs w:val="28"/>
          <w:lang w:eastAsia="en-US"/>
        </w:rPr>
        <w:t>”</w:t>
      </w:r>
    </w:p>
    <w:p w:rsidR="00A90614" w:rsidP="003B6D3D" w:rsidRDefault="00A90614" w14:paraId="31C20C2C" w14:textId="77777777">
      <w:pPr>
        <w:jc w:val="center"/>
        <w:rPr>
          <w:sz w:val="28"/>
          <w:szCs w:val="28"/>
        </w:rPr>
      </w:pPr>
    </w:p>
    <w:p w:rsidRPr="00C943AF" w:rsidR="003B6D3D" w:rsidP="003B6D3D" w:rsidRDefault="003B6D3D" w14:paraId="2FE59BC4" w14:textId="7F0E785B">
      <w:pPr>
        <w:jc w:val="center"/>
        <w:rPr>
          <w:sz w:val="28"/>
          <w:szCs w:val="28"/>
        </w:rPr>
      </w:pPr>
      <w:r w:rsidRPr="00C943AF">
        <w:rPr>
          <w:sz w:val="28"/>
          <w:szCs w:val="28"/>
        </w:rPr>
        <w:t>OMB No. 0925-</w:t>
      </w:r>
      <w:r w:rsidRPr="00C943AF" w:rsidR="00C943AF">
        <w:rPr>
          <w:sz w:val="28"/>
          <w:szCs w:val="28"/>
        </w:rPr>
        <w:t>0761</w:t>
      </w:r>
      <w:r w:rsidRPr="00C943AF">
        <w:rPr>
          <w:sz w:val="28"/>
          <w:szCs w:val="28"/>
        </w:rPr>
        <w:t xml:space="preserve"> </w:t>
      </w:r>
    </w:p>
    <w:p w:rsidRPr="00C943AF" w:rsidR="003B6D3D" w:rsidP="003B6D3D" w:rsidRDefault="003B6D3D" w14:paraId="67CBD858" w14:textId="77777777">
      <w:pPr>
        <w:jc w:val="center"/>
        <w:rPr>
          <w:sz w:val="28"/>
          <w:szCs w:val="28"/>
        </w:rPr>
      </w:pPr>
    </w:p>
    <w:p w:rsidRPr="00600081" w:rsidR="003B6D3D" w:rsidP="003B6D3D" w:rsidRDefault="003B6D3D" w14:paraId="16958712" w14:textId="3977D14A">
      <w:pPr>
        <w:jc w:val="center"/>
        <w:rPr>
          <w:sz w:val="28"/>
          <w:szCs w:val="28"/>
        </w:rPr>
      </w:pPr>
      <w:r w:rsidRPr="00C943AF">
        <w:rPr>
          <w:sz w:val="28"/>
          <w:szCs w:val="28"/>
        </w:rPr>
        <w:t xml:space="preserve">Expiration Date: </w:t>
      </w:r>
      <w:r w:rsidRPr="00C943AF" w:rsidR="00C943AF">
        <w:rPr>
          <w:sz w:val="28"/>
          <w:szCs w:val="28"/>
        </w:rPr>
        <w:t>07/31/202</w:t>
      </w:r>
      <w:r w:rsidR="00C70409">
        <w:rPr>
          <w:sz w:val="28"/>
          <w:szCs w:val="28"/>
        </w:rPr>
        <w:t>5</w:t>
      </w:r>
    </w:p>
    <w:p w:rsidRPr="002D3F25" w:rsidR="003B6D3D" w:rsidP="003B6D3D" w:rsidRDefault="003B6D3D" w14:paraId="016B815A" w14:textId="77777777">
      <w:pPr>
        <w:jc w:val="center"/>
        <w:rPr>
          <w:sz w:val="28"/>
          <w:szCs w:val="28"/>
          <w:highlight w:val="yellow"/>
        </w:rPr>
      </w:pPr>
    </w:p>
    <w:p w:rsidR="00C9604D" w:rsidP="003B6D3D" w:rsidRDefault="00C9604D" w14:paraId="008F5F34" w14:textId="77777777">
      <w:pPr>
        <w:jc w:val="center"/>
        <w:rPr>
          <w:sz w:val="28"/>
          <w:szCs w:val="28"/>
        </w:rPr>
      </w:pPr>
    </w:p>
    <w:p w:rsidR="00C9604D" w:rsidP="003B6D3D" w:rsidRDefault="00C9604D" w14:paraId="278ABE19" w14:textId="77777777">
      <w:pPr>
        <w:jc w:val="center"/>
        <w:rPr>
          <w:sz w:val="28"/>
          <w:szCs w:val="28"/>
        </w:rPr>
      </w:pPr>
    </w:p>
    <w:p w:rsidRPr="002D3F25" w:rsidR="003B6D3D" w:rsidP="003B6D3D" w:rsidRDefault="00390521" w14:paraId="144E1BEF" w14:textId="6FD2AEF1">
      <w:pPr>
        <w:jc w:val="center"/>
        <w:rPr>
          <w:sz w:val="28"/>
          <w:szCs w:val="28"/>
        </w:rPr>
      </w:pPr>
      <w:r>
        <w:rPr>
          <w:sz w:val="28"/>
          <w:szCs w:val="28"/>
        </w:rPr>
        <w:t>July 12, 2022</w:t>
      </w:r>
    </w:p>
    <w:p w:rsidRPr="009D586F" w:rsidR="00A047DB" w:rsidP="003C7D10" w:rsidRDefault="00A047DB" w14:paraId="258480C3" w14:textId="77777777">
      <w:pPr>
        <w:tabs>
          <w:tab w:val="left" w:pos="3600"/>
        </w:tabs>
        <w:spacing w:line="360" w:lineRule="auto"/>
        <w:rPr>
          <w:rFonts w:ascii="Calibri" w:hAnsi="Calibri" w:eastAsia="Times New Roman"/>
          <w:lang w:eastAsia="en-US"/>
        </w:rPr>
      </w:pPr>
    </w:p>
    <w:p w:rsidR="003B6D3D" w:rsidP="00D309AC" w:rsidRDefault="003B6D3D" w14:paraId="6F898EA4" w14:textId="77777777">
      <w:pPr>
        <w:spacing w:line="360" w:lineRule="auto"/>
        <w:rPr>
          <w:rFonts w:eastAsia="Times New Roman"/>
          <w:lang w:eastAsia="en-US"/>
        </w:rPr>
      </w:pPr>
    </w:p>
    <w:p w:rsidR="003B6D3D" w:rsidP="00D309AC" w:rsidRDefault="003B6D3D" w14:paraId="1BF00CA2" w14:textId="77777777">
      <w:pPr>
        <w:spacing w:line="360" w:lineRule="auto"/>
        <w:rPr>
          <w:rFonts w:eastAsia="Times New Roman"/>
          <w:lang w:eastAsia="en-US"/>
        </w:rPr>
      </w:pPr>
    </w:p>
    <w:p w:rsidR="003B6D3D" w:rsidP="00D309AC" w:rsidRDefault="003B6D3D" w14:paraId="138BE893" w14:textId="77777777">
      <w:pPr>
        <w:spacing w:line="360" w:lineRule="auto"/>
        <w:rPr>
          <w:rFonts w:eastAsia="Times New Roman"/>
          <w:lang w:eastAsia="en-US"/>
        </w:rPr>
      </w:pPr>
    </w:p>
    <w:p w:rsidR="003B6D3D" w:rsidP="00D309AC" w:rsidRDefault="003B6D3D" w14:paraId="5BC549AC" w14:textId="77777777">
      <w:pPr>
        <w:spacing w:line="360" w:lineRule="auto"/>
        <w:rPr>
          <w:rFonts w:eastAsia="Times New Roman"/>
          <w:lang w:eastAsia="en-US"/>
        </w:rPr>
      </w:pPr>
    </w:p>
    <w:p w:rsidR="003B6D3D" w:rsidP="00D309AC" w:rsidRDefault="003B6D3D" w14:paraId="63334A37" w14:textId="77777777">
      <w:pPr>
        <w:spacing w:line="360" w:lineRule="auto"/>
        <w:rPr>
          <w:rFonts w:eastAsia="Times New Roman"/>
          <w:lang w:eastAsia="en-US"/>
        </w:rPr>
      </w:pPr>
    </w:p>
    <w:p w:rsidRPr="003B6D3D" w:rsidR="00D309AC" w:rsidP="00D309AC" w:rsidRDefault="00D309AC" w14:paraId="62E0B3A1" w14:textId="19A191C5">
      <w:pPr>
        <w:spacing w:line="360" w:lineRule="auto"/>
        <w:rPr>
          <w:rFonts w:eastAsia="Times New Roman"/>
          <w:lang w:eastAsia="en-US"/>
        </w:rPr>
      </w:pPr>
      <w:r w:rsidRPr="003B6D3D">
        <w:rPr>
          <w:rFonts w:eastAsia="Times New Roman"/>
          <w:lang w:eastAsia="en-US"/>
        </w:rPr>
        <w:t xml:space="preserve">Name: </w:t>
      </w:r>
      <w:r w:rsidR="00B33ED2">
        <w:rPr>
          <w:rFonts w:eastAsia="Times New Roman"/>
          <w:lang w:eastAsia="en-US"/>
        </w:rPr>
        <w:t xml:space="preserve">Lisa </w:t>
      </w:r>
      <w:proofErr w:type="spellStart"/>
      <w:r w:rsidR="00B33ED2">
        <w:rPr>
          <w:rFonts w:eastAsia="Times New Roman"/>
          <w:lang w:eastAsia="en-US"/>
        </w:rPr>
        <w:t>Signorello</w:t>
      </w:r>
      <w:proofErr w:type="spellEnd"/>
    </w:p>
    <w:p w:rsidRPr="003B6D3D" w:rsidR="00D309AC" w:rsidP="00D309AC" w:rsidRDefault="00D309AC" w14:paraId="615820DF" w14:textId="397C3CC1">
      <w:pPr>
        <w:spacing w:line="360" w:lineRule="auto"/>
        <w:rPr>
          <w:rFonts w:eastAsia="Times New Roman"/>
          <w:lang w:eastAsia="en-US"/>
        </w:rPr>
      </w:pPr>
      <w:r w:rsidRPr="003B6D3D">
        <w:rPr>
          <w:rFonts w:eastAsia="Times New Roman"/>
          <w:lang w:eastAsia="en-US"/>
        </w:rPr>
        <w:t xml:space="preserve">Address: </w:t>
      </w:r>
      <w:r w:rsidRPr="007675B7" w:rsidR="007675B7">
        <w:rPr>
          <w:rFonts w:eastAsia="Times New Roman"/>
          <w:lang w:eastAsia="en-US"/>
        </w:rPr>
        <w:t>9609 Medical Center Dr</w:t>
      </w:r>
      <w:r w:rsidRPr="003B6D3D">
        <w:rPr>
          <w:rFonts w:eastAsia="Times New Roman"/>
          <w:lang w:eastAsia="en-US"/>
        </w:rPr>
        <w:br/>
      </w:r>
      <w:r w:rsidR="007675B7">
        <w:rPr>
          <w:rFonts w:eastAsia="Times New Roman"/>
          <w:lang w:eastAsia="en-US"/>
        </w:rPr>
        <w:t>Rockville</w:t>
      </w:r>
      <w:r w:rsidRPr="003B6D3D">
        <w:rPr>
          <w:rFonts w:eastAsia="Times New Roman"/>
          <w:lang w:eastAsia="en-US"/>
        </w:rPr>
        <w:t>, Maryland 2</w:t>
      </w:r>
      <w:r w:rsidR="007675B7">
        <w:rPr>
          <w:rFonts w:eastAsia="Times New Roman"/>
          <w:lang w:eastAsia="en-US"/>
        </w:rPr>
        <w:t>0850</w:t>
      </w:r>
    </w:p>
    <w:p w:rsidRPr="003B6D3D" w:rsidR="00D309AC" w:rsidP="00D309AC" w:rsidRDefault="00D309AC" w14:paraId="0CF1EEBF" w14:textId="5BDEA757">
      <w:pPr>
        <w:tabs>
          <w:tab w:val="left" w:pos="3600"/>
        </w:tabs>
        <w:spacing w:line="360" w:lineRule="auto"/>
        <w:rPr>
          <w:rFonts w:eastAsia="Times New Roman"/>
          <w:lang w:eastAsia="en-US"/>
        </w:rPr>
      </w:pPr>
      <w:r w:rsidRPr="003B6D3D">
        <w:rPr>
          <w:rFonts w:eastAsia="Times New Roman"/>
          <w:lang w:eastAsia="en-US"/>
        </w:rPr>
        <w:t xml:space="preserve">Telephone: </w:t>
      </w:r>
      <w:r w:rsidR="007675B7">
        <w:rPr>
          <w:rFonts w:eastAsia="Times New Roman"/>
          <w:lang w:eastAsia="en-US"/>
        </w:rPr>
        <w:t>240-276-</w:t>
      </w:r>
      <w:r w:rsidR="00B33ED2">
        <w:rPr>
          <w:rFonts w:eastAsia="Times New Roman"/>
          <w:lang w:eastAsia="en-US"/>
        </w:rPr>
        <w:t>5890</w:t>
      </w:r>
    </w:p>
    <w:p w:rsidRPr="00C9604D" w:rsidR="00E60F72" w:rsidP="00C9604D" w:rsidRDefault="00D309AC" w14:paraId="75178D3D" w14:textId="283D5EC0">
      <w:pPr>
        <w:tabs>
          <w:tab w:val="left" w:pos="3600"/>
        </w:tabs>
        <w:spacing w:line="360" w:lineRule="auto"/>
        <w:rPr>
          <w:rFonts w:eastAsia="Times New Roman"/>
          <w:lang w:eastAsia="en-US"/>
        </w:rPr>
      </w:pPr>
      <w:r w:rsidRPr="003B6D3D">
        <w:rPr>
          <w:rFonts w:eastAsia="Times New Roman"/>
          <w:lang w:eastAsia="en-US"/>
        </w:rPr>
        <w:t xml:space="preserve">E-mail:  </w:t>
      </w:r>
      <w:hyperlink w:history="1" r:id="rId8">
        <w:r w:rsidRPr="00D47AE1" w:rsidR="00B33ED2">
          <w:rPr>
            <w:rStyle w:val="Hyperlink"/>
            <w:rFonts w:eastAsia="Times New Roman"/>
            <w:lang w:eastAsia="en-US"/>
          </w:rPr>
          <w:t>lisa.signorello@nih.gov</w:t>
        </w:r>
      </w:hyperlink>
    </w:p>
    <w:p w:rsidR="007675B7" w:rsidP="00E60F72" w:rsidRDefault="007675B7" w14:paraId="19328176" w14:textId="77777777">
      <w:pPr>
        <w:pStyle w:val="P1-StandPara"/>
        <w:tabs>
          <w:tab w:val="left" w:pos="720"/>
          <w:tab w:val="right" w:leader="dot" w:pos="9360"/>
        </w:tabs>
        <w:ind w:firstLine="0"/>
        <w:jc w:val="center"/>
        <w:rPr>
          <w:rFonts w:asciiTheme="minorHAnsi" w:hAnsiTheme="minorHAnsi" w:cstheme="minorHAnsi"/>
          <w:b/>
          <w:noProof/>
          <w:color w:val="000000"/>
          <w:sz w:val="24"/>
          <w:szCs w:val="24"/>
        </w:rPr>
      </w:pPr>
    </w:p>
    <w:p w:rsidRPr="00E60F72" w:rsidR="009D7BDE" w:rsidP="00E60F72" w:rsidRDefault="004C3F9E" w14:paraId="442B8211" w14:textId="4A221954">
      <w:pPr>
        <w:pStyle w:val="P1-StandPara"/>
        <w:tabs>
          <w:tab w:val="left" w:pos="720"/>
          <w:tab w:val="right" w:leader="dot" w:pos="9360"/>
        </w:tabs>
        <w:ind w:firstLine="0"/>
        <w:jc w:val="center"/>
      </w:pPr>
      <w:r w:rsidRPr="009D586F">
        <w:rPr>
          <w:rFonts w:asciiTheme="minorHAnsi" w:hAnsiTheme="minorHAnsi" w:cstheme="minorHAnsi"/>
          <w:b/>
          <w:noProof/>
          <w:color w:val="000000"/>
          <w:sz w:val="24"/>
          <w:szCs w:val="24"/>
        </w:rPr>
        <w:lastRenderedPageBreak/>
        <w:t>List of Attachments</w:t>
      </w:r>
    </w:p>
    <w:p w:rsidRPr="005662F8" w:rsidR="00DC5A38" w:rsidP="00DC5A38" w:rsidRDefault="00253D15" w14:paraId="5429A542" w14:textId="29C999C3">
      <w:pPr>
        <w:autoSpaceDE w:val="0"/>
        <w:autoSpaceDN w:val="0"/>
        <w:adjustRightInd w:val="0"/>
        <w:rPr>
          <w:sz w:val="22"/>
          <w:szCs w:val="22"/>
        </w:rPr>
      </w:pPr>
      <w:r w:rsidRPr="005662F8">
        <w:rPr>
          <w:sz w:val="22"/>
          <w:szCs w:val="22"/>
        </w:rPr>
        <w:t xml:space="preserve">Attachment 1: </w:t>
      </w:r>
      <w:r>
        <w:rPr>
          <w:sz w:val="22"/>
          <w:szCs w:val="22"/>
        </w:rPr>
        <w:t>F</w:t>
      </w:r>
      <w:r w:rsidRPr="005662F8">
        <w:rPr>
          <w:sz w:val="22"/>
          <w:szCs w:val="22"/>
        </w:rPr>
        <w:t>ellowship application – applicant perspective</w:t>
      </w:r>
    </w:p>
    <w:p w:rsidRPr="005662F8" w:rsidR="00DC5A38" w:rsidP="00DC5A38" w:rsidRDefault="00DC5A38" w14:paraId="7A2A69DE" w14:textId="77777777">
      <w:pPr>
        <w:autoSpaceDE w:val="0"/>
        <w:autoSpaceDN w:val="0"/>
        <w:adjustRightInd w:val="0"/>
        <w:rPr>
          <w:sz w:val="22"/>
          <w:szCs w:val="22"/>
        </w:rPr>
      </w:pPr>
    </w:p>
    <w:p w:rsidRPr="005662F8" w:rsidR="004902C1" w:rsidP="00DC5A38" w:rsidRDefault="00253D15" w14:paraId="482C71CB" w14:textId="7949A698">
      <w:pPr>
        <w:autoSpaceDE w:val="0"/>
        <w:autoSpaceDN w:val="0"/>
        <w:adjustRightInd w:val="0"/>
        <w:rPr>
          <w:sz w:val="22"/>
          <w:szCs w:val="22"/>
        </w:rPr>
      </w:pPr>
      <w:r w:rsidRPr="005662F8">
        <w:rPr>
          <w:sz w:val="22"/>
          <w:szCs w:val="22"/>
        </w:rPr>
        <w:t xml:space="preserve">Attachment </w:t>
      </w:r>
      <w:r w:rsidR="007675B7">
        <w:rPr>
          <w:sz w:val="22"/>
          <w:szCs w:val="22"/>
        </w:rPr>
        <w:t>2</w:t>
      </w:r>
      <w:r w:rsidRPr="005662F8">
        <w:rPr>
          <w:sz w:val="22"/>
          <w:szCs w:val="22"/>
        </w:rPr>
        <w:t xml:space="preserve">:  </w:t>
      </w:r>
      <w:r>
        <w:rPr>
          <w:sz w:val="22"/>
          <w:szCs w:val="22"/>
        </w:rPr>
        <w:t>F</w:t>
      </w:r>
      <w:r w:rsidRPr="005662F8">
        <w:rPr>
          <w:sz w:val="22"/>
          <w:szCs w:val="22"/>
        </w:rPr>
        <w:t>ellowship application – referee perspective</w:t>
      </w:r>
    </w:p>
    <w:p w:rsidRPr="005662F8" w:rsidR="00A0645B" w:rsidP="00DC5A38" w:rsidRDefault="00A0645B" w14:paraId="4297193D" w14:textId="39B01BD7">
      <w:pPr>
        <w:autoSpaceDE w:val="0"/>
        <w:autoSpaceDN w:val="0"/>
        <w:adjustRightInd w:val="0"/>
        <w:rPr>
          <w:sz w:val="22"/>
          <w:szCs w:val="22"/>
        </w:rPr>
      </w:pPr>
    </w:p>
    <w:p w:rsidRPr="005662F8" w:rsidR="00A0645B" w:rsidP="00DC5A38" w:rsidRDefault="00253D15" w14:paraId="3428E96A" w14:textId="19891520">
      <w:pPr>
        <w:autoSpaceDE w:val="0"/>
        <w:autoSpaceDN w:val="0"/>
        <w:adjustRightInd w:val="0"/>
        <w:rPr>
          <w:sz w:val="22"/>
          <w:szCs w:val="22"/>
        </w:rPr>
      </w:pPr>
      <w:r w:rsidRPr="005662F8">
        <w:rPr>
          <w:sz w:val="22"/>
          <w:szCs w:val="22"/>
        </w:rPr>
        <w:t xml:space="preserve">Attachment </w:t>
      </w:r>
      <w:r w:rsidR="007675B7">
        <w:rPr>
          <w:sz w:val="22"/>
          <w:szCs w:val="22"/>
        </w:rPr>
        <w:t>3</w:t>
      </w:r>
      <w:r w:rsidRPr="005662F8">
        <w:rPr>
          <w:sz w:val="22"/>
          <w:szCs w:val="22"/>
        </w:rPr>
        <w:t xml:space="preserve">: </w:t>
      </w:r>
      <w:r>
        <w:rPr>
          <w:sz w:val="22"/>
          <w:szCs w:val="22"/>
        </w:rPr>
        <w:t>F</w:t>
      </w:r>
      <w:r w:rsidRPr="005662F8">
        <w:rPr>
          <w:sz w:val="22"/>
          <w:szCs w:val="22"/>
        </w:rPr>
        <w:t>ellowship application – advisor perspective</w:t>
      </w:r>
    </w:p>
    <w:p w:rsidRPr="005662F8" w:rsidR="00F81B44" w:rsidP="00DC5A38" w:rsidRDefault="00F81B44" w14:paraId="16AC5297" w14:textId="6246BC28">
      <w:pPr>
        <w:autoSpaceDE w:val="0"/>
        <w:autoSpaceDN w:val="0"/>
        <w:adjustRightInd w:val="0"/>
        <w:rPr>
          <w:sz w:val="22"/>
          <w:szCs w:val="22"/>
        </w:rPr>
      </w:pPr>
    </w:p>
    <w:p w:rsidRPr="005662F8" w:rsidR="00F81B44" w:rsidP="00DC5A38" w:rsidRDefault="00253D15" w14:paraId="4EAD4783" w14:textId="07138BFA">
      <w:pPr>
        <w:autoSpaceDE w:val="0"/>
        <w:autoSpaceDN w:val="0"/>
        <w:adjustRightInd w:val="0"/>
        <w:rPr>
          <w:sz w:val="22"/>
          <w:szCs w:val="22"/>
        </w:rPr>
      </w:pPr>
      <w:r w:rsidRPr="005662F8">
        <w:rPr>
          <w:sz w:val="22"/>
          <w:szCs w:val="22"/>
        </w:rPr>
        <w:t xml:space="preserve">Attachment </w:t>
      </w:r>
      <w:r w:rsidR="0035511C">
        <w:rPr>
          <w:sz w:val="22"/>
          <w:szCs w:val="22"/>
        </w:rPr>
        <w:t>4</w:t>
      </w:r>
      <w:r w:rsidRPr="005662F8">
        <w:rPr>
          <w:sz w:val="22"/>
          <w:szCs w:val="22"/>
        </w:rPr>
        <w:t xml:space="preserve">- </w:t>
      </w:r>
      <w:r>
        <w:rPr>
          <w:sz w:val="22"/>
          <w:szCs w:val="22"/>
        </w:rPr>
        <w:t>S</w:t>
      </w:r>
      <w:r w:rsidRPr="005662F8">
        <w:rPr>
          <w:sz w:val="22"/>
          <w:szCs w:val="22"/>
        </w:rPr>
        <w:t>ystem generated emails</w:t>
      </w:r>
    </w:p>
    <w:p w:rsidRPr="005662F8" w:rsidR="00732C3E" w:rsidP="00DC5A38" w:rsidRDefault="00732C3E" w14:paraId="6C16543B" w14:textId="77777777">
      <w:pPr>
        <w:autoSpaceDE w:val="0"/>
        <w:autoSpaceDN w:val="0"/>
        <w:adjustRightInd w:val="0"/>
        <w:rPr>
          <w:sz w:val="22"/>
          <w:szCs w:val="22"/>
        </w:rPr>
      </w:pPr>
    </w:p>
    <w:p w:rsidRPr="005662F8" w:rsidR="00732C3E" w:rsidP="00DC5A38" w:rsidRDefault="00253D15" w14:paraId="2FAA5352" w14:textId="13ED9FEF">
      <w:pPr>
        <w:autoSpaceDE w:val="0"/>
        <w:autoSpaceDN w:val="0"/>
        <w:adjustRightInd w:val="0"/>
        <w:rPr>
          <w:sz w:val="22"/>
          <w:szCs w:val="22"/>
        </w:rPr>
      </w:pPr>
      <w:r w:rsidRPr="005662F8">
        <w:rPr>
          <w:sz w:val="22"/>
          <w:szCs w:val="22"/>
        </w:rPr>
        <w:t xml:space="preserve">Attachment </w:t>
      </w:r>
      <w:r w:rsidR="0035511C">
        <w:rPr>
          <w:sz w:val="22"/>
          <w:szCs w:val="22"/>
        </w:rPr>
        <w:t>5</w:t>
      </w:r>
      <w:r w:rsidRPr="005662F8">
        <w:rPr>
          <w:sz w:val="22"/>
          <w:szCs w:val="22"/>
        </w:rPr>
        <w:t xml:space="preserve">- </w:t>
      </w:r>
      <w:r>
        <w:rPr>
          <w:sz w:val="22"/>
          <w:szCs w:val="22"/>
        </w:rPr>
        <w:t>P</w:t>
      </w:r>
      <w:r w:rsidRPr="005662F8">
        <w:rPr>
          <w:sz w:val="22"/>
          <w:szCs w:val="22"/>
        </w:rPr>
        <w:t xml:space="preserve">rivacy </w:t>
      </w:r>
      <w:r>
        <w:rPr>
          <w:sz w:val="22"/>
          <w:szCs w:val="22"/>
        </w:rPr>
        <w:t>A</w:t>
      </w:r>
      <w:r w:rsidRPr="005662F8">
        <w:rPr>
          <w:sz w:val="22"/>
          <w:szCs w:val="22"/>
        </w:rPr>
        <w:t xml:space="preserve">ct </w:t>
      </w:r>
      <w:r>
        <w:rPr>
          <w:sz w:val="22"/>
          <w:szCs w:val="22"/>
        </w:rPr>
        <w:t>M</w:t>
      </w:r>
      <w:r w:rsidRPr="005662F8">
        <w:rPr>
          <w:sz w:val="22"/>
          <w:szCs w:val="22"/>
        </w:rPr>
        <w:t>emo</w:t>
      </w:r>
    </w:p>
    <w:p w:rsidRPr="005662F8" w:rsidR="00732C3E" w:rsidP="00DC5A38" w:rsidRDefault="00732C3E" w14:paraId="344B3C3E" w14:textId="77777777">
      <w:pPr>
        <w:autoSpaceDE w:val="0"/>
        <w:autoSpaceDN w:val="0"/>
        <w:adjustRightInd w:val="0"/>
        <w:rPr>
          <w:sz w:val="22"/>
          <w:szCs w:val="22"/>
        </w:rPr>
      </w:pPr>
    </w:p>
    <w:p w:rsidRPr="005662F8" w:rsidR="00732C3E" w:rsidP="00DC5A38" w:rsidRDefault="00253D15" w14:paraId="4552ECFE" w14:textId="1E1D4A73">
      <w:pPr>
        <w:autoSpaceDE w:val="0"/>
        <w:autoSpaceDN w:val="0"/>
        <w:adjustRightInd w:val="0"/>
        <w:rPr>
          <w:sz w:val="22"/>
          <w:szCs w:val="22"/>
        </w:rPr>
      </w:pPr>
      <w:r w:rsidRPr="005662F8">
        <w:rPr>
          <w:sz w:val="22"/>
          <w:szCs w:val="22"/>
        </w:rPr>
        <w:t xml:space="preserve">Attachment </w:t>
      </w:r>
      <w:r w:rsidR="0035511C">
        <w:rPr>
          <w:sz w:val="22"/>
          <w:szCs w:val="22"/>
        </w:rPr>
        <w:t>6</w:t>
      </w:r>
      <w:r w:rsidRPr="005662F8">
        <w:rPr>
          <w:sz w:val="22"/>
          <w:szCs w:val="22"/>
        </w:rPr>
        <w:t xml:space="preserve">- </w:t>
      </w:r>
      <w:r>
        <w:rPr>
          <w:sz w:val="22"/>
          <w:szCs w:val="22"/>
        </w:rPr>
        <w:t>PIA</w:t>
      </w:r>
    </w:p>
    <w:p w:rsidRPr="005662F8" w:rsidR="009D7BDE" w:rsidP="00E2147D" w:rsidRDefault="009D7BDE" w14:paraId="195A9748" w14:textId="77777777">
      <w:pPr>
        <w:spacing w:line="480" w:lineRule="auto"/>
        <w:rPr>
          <w:b/>
          <w:sz w:val="22"/>
          <w:szCs w:val="22"/>
        </w:rPr>
      </w:pPr>
    </w:p>
    <w:p w:rsidRPr="009D586F" w:rsidR="004C3F9E" w:rsidP="00E2147D" w:rsidRDefault="004C3F9E" w14:paraId="436A51D0" w14:textId="77777777">
      <w:pPr>
        <w:spacing w:line="480" w:lineRule="auto"/>
        <w:rPr>
          <w:rFonts w:asciiTheme="minorHAnsi" w:hAnsiTheme="minorHAnsi" w:cstheme="minorHAnsi"/>
          <w:b/>
        </w:rPr>
        <w:sectPr w:rsidRPr="009D586F" w:rsidR="004C3F9E" w:rsidSect="00A90614">
          <w:headerReference w:type="even" r:id="rId9"/>
          <w:headerReference w:type="default" r:id="rId10"/>
          <w:footerReference w:type="even" r:id="rId11"/>
          <w:footerReference w:type="default" r:id="rId12"/>
          <w:pgSz w:w="12240" w:h="15840" w:code="1"/>
          <w:pgMar w:top="1260" w:right="1440" w:bottom="1440" w:left="1440" w:header="720" w:footer="720" w:gutter="0"/>
          <w:pgNumType w:fmt="lowerRoman"/>
          <w:cols w:space="720"/>
          <w:titlePg/>
          <w:docGrid w:linePitch="360"/>
        </w:sectPr>
      </w:pPr>
    </w:p>
    <w:p w:rsidR="00343786" w:rsidP="00BE590D" w:rsidRDefault="003B6D3D" w14:paraId="54DE4811" w14:textId="7DE4EC0C">
      <w:pPr>
        <w:spacing w:line="276" w:lineRule="auto"/>
        <w:jc w:val="center"/>
        <w:rPr>
          <w:b/>
        </w:rPr>
      </w:pPr>
      <w:r w:rsidRPr="003B6D3D">
        <w:rPr>
          <w:b/>
        </w:rPr>
        <w:lastRenderedPageBreak/>
        <w:t>Mini Supporting Statement A</w:t>
      </w:r>
    </w:p>
    <w:p w:rsidRPr="003B6D3D" w:rsidR="00BE590D" w:rsidP="00BE590D" w:rsidRDefault="00BE590D" w14:paraId="52408CAF" w14:textId="77777777">
      <w:pPr>
        <w:spacing w:line="276" w:lineRule="auto"/>
        <w:jc w:val="center"/>
        <w:rPr>
          <w:b/>
        </w:rPr>
      </w:pPr>
    </w:p>
    <w:p w:rsidRPr="003B6D3D" w:rsidR="00D309AC" w:rsidP="00BE590D" w:rsidRDefault="0008711B" w14:paraId="2B034BC7" w14:textId="0A32571C">
      <w:pPr>
        <w:tabs>
          <w:tab w:val="left" w:pos="810"/>
        </w:tabs>
        <w:spacing w:after="240" w:line="276" w:lineRule="auto"/>
      </w:pPr>
      <w:r w:rsidRPr="003B6D3D">
        <w:rPr>
          <w:b/>
        </w:rPr>
        <w:t>A</w:t>
      </w:r>
      <w:r w:rsidRPr="003B6D3D" w:rsidR="00A44C70">
        <w:rPr>
          <w:b/>
        </w:rPr>
        <w:t>.</w:t>
      </w:r>
      <w:r w:rsidRPr="003B6D3D">
        <w:rPr>
          <w:b/>
        </w:rPr>
        <w:t>1</w:t>
      </w:r>
      <w:r w:rsidRPr="003B6D3D" w:rsidR="00125ADC">
        <w:rPr>
          <w:b/>
        </w:rPr>
        <w:tab/>
      </w:r>
      <w:r w:rsidR="00B7323E">
        <w:rPr>
          <w:b/>
        </w:rPr>
        <w:t>Circumstance</w:t>
      </w:r>
      <w:r w:rsidRPr="003B6D3D">
        <w:rPr>
          <w:b/>
        </w:rPr>
        <w:t xml:space="preserve"> Making the Collection of Information Necessary</w:t>
      </w:r>
      <w:bookmarkStart w:name="_Toc230515979" w:id="3"/>
      <w:bookmarkEnd w:id="0"/>
    </w:p>
    <w:p w:rsidRPr="003B6D3D" w:rsidR="006F62E1" w:rsidP="00BE590D" w:rsidRDefault="006F62E1" w14:paraId="0D030204" w14:textId="090BC81C">
      <w:pPr>
        <w:tabs>
          <w:tab w:val="left" w:pos="720"/>
        </w:tabs>
        <w:spacing w:line="276" w:lineRule="auto"/>
        <w:outlineLvl w:val="0"/>
      </w:pPr>
      <w:r w:rsidRPr="003B6D3D">
        <w:t xml:space="preserve">The </w:t>
      </w:r>
      <w:r w:rsidRPr="003B6D3D" w:rsidR="00EB0FFD">
        <w:t>CPFP</w:t>
      </w:r>
      <w:r w:rsidRPr="003B6D3D">
        <w:t xml:space="preserve"> supports NCI’s goal of training cancer researchers for the 21st century. The CPFP supports that goal by providing state-of-the-art</w:t>
      </w:r>
      <w:r w:rsidR="00390521">
        <w:t xml:space="preserve"> cancer prevention and control training </w:t>
      </w:r>
      <w:r w:rsidRPr="003B6D3D">
        <w:t>to a cadre of scientist</w:t>
      </w:r>
      <w:r w:rsidRPr="003B6D3D" w:rsidR="00EB0FFD">
        <w:t>s</w:t>
      </w:r>
      <w:r w:rsidRPr="003B6D3D">
        <w:t xml:space="preserve"> and clinicians.  The legal authority granted to NIH to train future biomedical scientists comes from several sources.  Title 42 of the U.S. Code, Sections 241 and 282(b)(13) authorize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 </w:t>
      </w:r>
    </w:p>
    <w:p w:rsidRPr="003B6D3D" w:rsidR="00E60F72" w:rsidP="00BE590D" w:rsidRDefault="00E60F72" w14:paraId="6E66007E" w14:textId="77777777">
      <w:pPr>
        <w:tabs>
          <w:tab w:val="left" w:pos="720"/>
        </w:tabs>
        <w:spacing w:line="276" w:lineRule="auto"/>
        <w:outlineLvl w:val="0"/>
      </w:pPr>
    </w:p>
    <w:p w:rsidRPr="003B6D3D" w:rsidR="006F62E1" w:rsidP="00BE590D" w:rsidRDefault="006F62E1" w14:paraId="4770F8B1" w14:textId="67638ED7">
      <w:pPr>
        <w:tabs>
          <w:tab w:val="left" w:pos="720"/>
        </w:tabs>
        <w:spacing w:line="276" w:lineRule="auto"/>
        <w:outlineLvl w:val="0"/>
      </w:pPr>
      <w:r w:rsidRPr="003B6D3D">
        <w:t xml:space="preserve">The CPFP </w:t>
      </w:r>
      <w:r w:rsidR="00632245">
        <w:t>recruits’</w:t>
      </w:r>
      <w:r w:rsidRPr="003B6D3D">
        <w:t xml:space="preserve"> </w:t>
      </w:r>
      <w:r w:rsidRPr="003B6D3D" w:rsidR="00786438">
        <w:t>fellows and participants</w:t>
      </w:r>
      <w:r w:rsidRPr="003B6D3D">
        <w:t xml:space="preserve"> </w:t>
      </w:r>
      <w:r w:rsidR="00B7323E">
        <w:t>annually</w:t>
      </w:r>
      <w:r w:rsidRPr="003B6D3D">
        <w:t xml:space="preserve"> through web-based application system</w:t>
      </w:r>
      <w:r w:rsidRPr="003B6D3D" w:rsidR="00B624D1">
        <w:t>s</w:t>
      </w:r>
      <w:r w:rsidRPr="003B6D3D">
        <w:t xml:space="preserve">. The </w:t>
      </w:r>
      <w:r w:rsidRPr="003B6D3D" w:rsidR="00CA57E4">
        <w:t>a</w:t>
      </w:r>
      <w:r w:rsidRPr="003B6D3D">
        <w:t xml:space="preserve">pplication </w:t>
      </w:r>
      <w:r w:rsidRPr="003B6D3D" w:rsidR="00CA57E4">
        <w:t>s</w:t>
      </w:r>
      <w:r w:rsidRPr="003B6D3D">
        <w:t xml:space="preserve">ystem </w:t>
      </w:r>
      <w:r w:rsidR="00B7323E">
        <w:t>allows</w:t>
      </w:r>
      <w:r w:rsidRPr="003B6D3D">
        <w:t xml:space="preserve"> people to apply to the </w:t>
      </w:r>
      <w:r w:rsidRPr="003B6D3D" w:rsidR="00786438">
        <w:t>f</w:t>
      </w:r>
      <w:r w:rsidRPr="003B6D3D">
        <w:t xml:space="preserve">ellowship </w:t>
      </w:r>
      <w:r w:rsidRPr="003B6D3D" w:rsidR="00786438">
        <w:t>p</w:t>
      </w:r>
      <w:r w:rsidRPr="003B6D3D">
        <w:t xml:space="preserve">rogram.  The </w:t>
      </w:r>
      <w:r w:rsidRPr="003B6D3D" w:rsidR="00CA57E4">
        <w:t>a</w:t>
      </w:r>
      <w:r w:rsidRPr="003B6D3D">
        <w:t xml:space="preserve">pplication </w:t>
      </w:r>
      <w:r w:rsidRPr="003B6D3D" w:rsidR="00CA57E4">
        <w:t>s</w:t>
      </w:r>
      <w:r w:rsidRPr="003B6D3D">
        <w:t xml:space="preserve">ystem also </w:t>
      </w:r>
      <w:r w:rsidR="00B7323E">
        <w:t>provides</w:t>
      </w:r>
      <w:r w:rsidRPr="003B6D3D">
        <w:t xml:space="preserve"> tools to the NCI CPFP </w:t>
      </w:r>
      <w:r w:rsidRPr="003B6D3D" w:rsidR="00CA57E4">
        <w:t>to</w:t>
      </w:r>
      <w:r w:rsidRPr="003B6D3D">
        <w:t xml:space="preserve"> process applications and evaluate the applicant pool</w:t>
      </w:r>
      <w:r w:rsidRPr="003B6D3D" w:rsidR="00786438">
        <w:t>s</w:t>
      </w:r>
      <w:r w:rsidRPr="003B6D3D">
        <w:t xml:space="preserve">. </w:t>
      </w:r>
    </w:p>
    <w:p w:rsidRPr="003B6D3D" w:rsidR="006F62E1" w:rsidP="00BE590D" w:rsidRDefault="006F62E1" w14:paraId="540182B4" w14:textId="77777777">
      <w:pPr>
        <w:tabs>
          <w:tab w:val="left" w:pos="720"/>
        </w:tabs>
        <w:spacing w:line="276" w:lineRule="auto"/>
        <w:outlineLvl w:val="0"/>
      </w:pPr>
    </w:p>
    <w:p w:rsidRPr="003B6D3D" w:rsidR="0008711B" w:rsidP="00BE590D" w:rsidRDefault="0008711B" w14:paraId="59001C84" w14:textId="1764180A">
      <w:pPr>
        <w:tabs>
          <w:tab w:val="left" w:pos="720"/>
        </w:tabs>
        <w:spacing w:line="276" w:lineRule="auto"/>
        <w:outlineLvl w:val="0"/>
        <w:rPr>
          <w:b/>
        </w:rPr>
      </w:pPr>
      <w:r w:rsidRPr="003B6D3D">
        <w:rPr>
          <w:b/>
        </w:rPr>
        <w:t>A</w:t>
      </w:r>
      <w:r w:rsidRPr="003B6D3D" w:rsidR="00010D75">
        <w:rPr>
          <w:b/>
        </w:rPr>
        <w:t>.</w:t>
      </w:r>
      <w:r w:rsidRPr="003B6D3D">
        <w:rPr>
          <w:b/>
        </w:rPr>
        <w:t xml:space="preserve">2 </w:t>
      </w:r>
      <w:r w:rsidRPr="003B6D3D" w:rsidR="00125ADC">
        <w:rPr>
          <w:b/>
        </w:rPr>
        <w:tab/>
      </w:r>
      <w:r w:rsidRPr="003B6D3D">
        <w:rPr>
          <w:b/>
        </w:rPr>
        <w:t>Purpose and Use of the Information Collection</w:t>
      </w:r>
      <w:bookmarkEnd w:id="3"/>
    </w:p>
    <w:p w:rsidR="00BE590D" w:rsidP="00BE590D" w:rsidRDefault="00BE590D" w14:paraId="73E895A9" w14:textId="77777777">
      <w:pPr>
        <w:autoSpaceDE w:val="0"/>
        <w:autoSpaceDN w:val="0"/>
        <w:adjustRightInd w:val="0"/>
        <w:spacing w:line="276" w:lineRule="auto"/>
      </w:pPr>
    </w:p>
    <w:p w:rsidRPr="003B6D3D" w:rsidR="00120D52" w:rsidP="00BE590D" w:rsidRDefault="00A547A2" w14:paraId="7452C7B8" w14:textId="5D8D1956">
      <w:pPr>
        <w:autoSpaceDE w:val="0"/>
        <w:autoSpaceDN w:val="0"/>
        <w:adjustRightInd w:val="0"/>
        <w:spacing w:line="276" w:lineRule="auto"/>
      </w:pPr>
      <w:r w:rsidRPr="003B6D3D">
        <w:t>Fellows and p</w:t>
      </w:r>
      <w:r w:rsidRPr="003B6D3D" w:rsidR="00004524">
        <w:t xml:space="preserve">articipants are identified and </w:t>
      </w:r>
      <w:r w:rsidR="00390521">
        <w:t>enrolled</w:t>
      </w:r>
      <w:r w:rsidRPr="003B6D3D" w:rsidR="00004524">
        <w:t xml:space="preserve"> </w:t>
      </w:r>
      <w:r w:rsidR="00390521">
        <w:t>in</w:t>
      </w:r>
      <w:r w:rsidRPr="003B6D3D" w:rsidR="00004524">
        <w:t xml:space="preserve"> the program</w:t>
      </w:r>
      <w:r w:rsidRPr="003B6D3D" w:rsidR="00120D52">
        <w:t xml:space="preserve"> through the CPFP </w:t>
      </w:r>
      <w:r w:rsidRPr="003B6D3D" w:rsidR="00786438">
        <w:t>application system</w:t>
      </w:r>
      <w:r w:rsidR="00B92B94">
        <w:t xml:space="preserve">. </w:t>
      </w:r>
      <w:r w:rsidRPr="003B6D3D" w:rsidR="00120D52">
        <w:t>The purpose of the application</w:t>
      </w:r>
      <w:r w:rsidRPr="003B6D3D" w:rsidR="00786438">
        <w:t>s</w:t>
      </w:r>
      <w:r w:rsidRPr="003B6D3D" w:rsidR="00120D52">
        <w:t xml:space="preserve"> (Attachment 1) is to assure that prospective trainees to the </w:t>
      </w:r>
      <w:r w:rsidRPr="003B6D3D" w:rsidR="00632245">
        <w:t>CPFP meet</w:t>
      </w:r>
      <w:r w:rsidRPr="003B6D3D" w:rsidR="00120D52">
        <w:t xml:space="preserve"> basic eligibility requirements; to assess their potential as future scientists; to determine where mutual research interests exist</w:t>
      </w:r>
      <w:r w:rsidR="00B7323E">
        <w:t>, and</w:t>
      </w:r>
      <w:r w:rsidRPr="003B6D3D" w:rsidR="00120D52">
        <w:t xml:space="preserve"> to </w:t>
      </w:r>
      <w:r w:rsidR="00B7323E">
        <w:t>decide</w:t>
      </w:r>
      <w:r w:rsidRPr="003B6D3D" w:rsidR="00120D52">
        <w:t xml:space="preserve"> which applicants will be eligible and invited to attend. </w:t>
      </w:r>
      <w:r w:rsidR="00B7323E">
        <w:t>To</w:t>
      </w:r>
      <w:r w:rsidRPr="003B6D3D" w:rsidR="00120D52">
        <w:t xml:space="preserve"> receive due consideration, the prospective trainee must complete all required</w:t>
      </w:r>
      <w:r w:rsidRPr="003B6D3D" w:rsidR="00786438">
        <w:t xml:space="preserve"> application</w:t>
      </w:r>
      <w:r w:rsidRPr="003B6D3D" w:rsidR="00120D52">
        <w:t xml:space="preserve"> fields</w:t>
      </w:r>
      <w:r w:rsidRPr="003B6D3D" w:rsidR="00786438">
        <w:t xml:space="preserve"> (Attachment 1)</w:t>
      </w:r>
      <w:r w:rsidR="00B7323E">
        <w:t>,</w:t>
      </w:r>
      <w:r w:rsidRPr="003B6D3D" w:rsidR="00EB0FFD">
        <w:t xml:space="preserve"> and </w:t>
      </w:r>
      <w:r w:rsidRPr="003B6D3D" w:rsidR="00E83786">
        <w:t>contributor</w:t>
      </w:r>
      <w:r w:rsidRPr="003B6D3D" w:rsidR="009033F5">
        <w:t>s</w:t>
      </w:r>
      <w:r w:rsidRPr="003B6D3D" w:rsidR="0006133B">
        <w:t xml:space="preserve"> must provide information about the applicant. The contributor</w:t>
      </w:r>
      <w:r w:rsidRPr="003B6D3D" w:rsidR="009033F5">
        <w:t>s</w:t>
      </w:r>
      <w:r w:rsidRPr="003B6D3D" w:rsidR="0006133B">
        <w:t xml:space="preserve"> will submit </w:t>
      </w:r>
      <w:r w:rsidRPr="003B6D3D" w:rsidR="00184B8B">
        <w:t xml:space="preserve">short </w:t>
      </w:r>
      <w:r w:rsidRPr="003B6D3D" w:rsidR="0006133B">
        <w:t>form</w:t>
      </w:r>
      <w:r w:rsidRPr="003B6D3D" w:rsidR="009033F5">
        <w:t>s</w:t>
      </w:r>
      <w:r w:rsidRPr="003B6D3D" w:rsidR="0006133B">
        <w:t xml:space="preserve"> </w:t>
      </w:r>
      <w:r w:rsidR="00390521">
        <w:t>and</w:t>
      </w:r>
      <w:r w:rsidRPr="003B6D3D" w:rsidR="0006133B">
        <w:t xml:space="preserve"> recommendation</w:t>
      </w:r>
      <w:r w:rsidRPr="003B6D3D" w:rsidR="009033F5">
        <w:t>s</w:t>
      </w:r>
      <w:r w:rsidRPr="003B6D3D" w:rsidR="0006133B">
        <w:t xml:space="preserve"> (Attachment </w:t>
      </w:r>
      <w:r w:rsidR="007675B7">
        <w:t>2</w:t>
      </w:r>
      <w:r w:rsidRPr="003B6D3D" w:rsidR="009033F5">
        <w:t xml:space="preserve"> </w:t>
      </w:r>
      <w:r w:rsidR="0035511C">
        <w:t xml:space="preserve">and </w:t>
      </w:r>
      <w:r w:rsidRPr="003B6D3D" w:rsidR="009033F5">
        <w:t xml:space="preserve">Attachment </w:t>
      </w:r>
      <w:r w:rsidR="007675B7">
        <w:t>3</w:t>
      </w:r>
      <w:r w:rsidRPr="003B6D3D" w:rsidR="0006133B">
        <w:t xml:space="preserve">) for the program to assess </w:t>
      </w:r>
      <w:r w:rsidRPr="003B6D3D">
        <w:t>applicant</w:t>
      </w:r>
      <w:r w:rsidRPr="003B6D3D" w:rsidR="0006133B">
        <w:t xml:space="preserve"> potential as </w:t>
      </w:r>
      <w:r w:rsidRPr="003B6D3D" w:rsidR="00A13C8E">
        <w:t>cancer researchers</w:t>
      </w:r>
      <w:r w:rsidRPr="003B6D3D" w:rsidR="0006133B">
        <w:t xml:space="preserve">. </w:t>
      </w:r>
      <w:r w:rsidRPr="003B6D3D" w:rsidR="00184B8B">
        <w:t xml:space="preserve">The contributor is typically a professor but can also be a </w:t>
      </w:r>
      <w:r w:rsidRPr="003B6D3D" w:rsidR="009033F5">
        <w:t>d</w:t>
      </w:r>
      <w:r w:rsidRPr="003B6D3D" w:rsidR="00184B8B">
        <w:t xml:space="preserve">issertation </w:t>
      </w:r>
      <w:r w:rsidRPr="003B6D3D" w:rsidR="009033F5">
        <w:t>c</w:t>
      </w:r>
      <w:r w:rsidRPr="003B6D3D" w:rsidR="00184B8B">
        <w:t xml:space="preserve">ommittee </w:t>
      </w:r>
      <w:r w:rsidRPr="003B6D3D" w:rsidR="009033F5">
        <w:t>m</w:t>
      </w:r>
      <w:r w:rsidRPr="003B6D3D" w:rsidR="00184B8B">
        <w:t>ember, advisor, or supervisor.</w:t>
      </w:r>
    </w:p>
    <w:p w:rsidRPr="003B6D3D" w:rsidR="00E60F72" w:rsidP="00BE590D" w:rsidRDefault="00E60F72" w14:paraId="2BB9375C" w14:textId="77777777">
      <w:pPr>
        <w:autoSpaceDE w:val="0"/>
        <w:autoSpaceDN w:val="0"/>
        <w:adjustRightInd w:val="0"/>
        <w:spacing w:line="276" w:lineRule="auto"/>
      </w:pPr>
      <w:bookmarkStart w:name="_Toc230515980" w:id="4"/>
    </w:p>
    <w:p w:rsidRPr="003B6D3D" w:rsidR="00120D52" w:rsidP="00BE590D" w:rsidRDefault="00DE0563" w14:paraId="69F47F31" w14:textId="4874C5B2">
      <w:pPr>
        <w:autoSpaceDE w:val="0"/>
        <w:autoSpaceDN w:val="0"/>
        <w:adjustRightInd w:val="0"/>
        <w:spacing w:line="276" w:lineRule="auto"/>
      </w:pPr>
      <w:r w:rsidRPr="003B6D3D">
        <w:t xml:space="preserve">CPFP has been using the </w:t>
      </w:r>
      <w:r w:rsidRPr="003B6D3D" w:rsidR="00E47A32">
        <w:t xml:space="preserve">application forms </w:t>
      </w:r>
      <w:r w:rsidRPr="003B6D3D">
        <w:t>to</w:t>
      </w:r>
      <w:r w:rsidRPr="003B6D3D" w:rsidR="00E47A32">
        <w:t xml:space="preserve"> collect information since 2005</w:t>
      </w:r>
      <w:r w:rsidRPr="003B6D3D" w:rsidR="00637391">
        <w:t>.</w:t>
      </w:r>
      <w:r w:rsidRPr="003B6D3D" w:rsidR="00B17FF0">
        <w:t xml:space="preserve">  </w:t>
      </w:r>
      <w:r w:rsidRPr="003B6D3D" w:rsidR="00120D52">
        <w:t>The CPFP application</w:t>
      </w:r>
      <w:r w:rsidRPr="003B6D3D" w:rsidR="00152919">
        <w:t xml:space="preserve"> </w:t>
      </w:r>
      <w:r w:rsidRPr="003B6D3D" w:rsidR="00120D52">
        <w:t>utilize</w:t>
      </w:r>
      <w:r w:rsidR="007675B7">
        <w:t>s</w:t>
      </w:r>
      <w:r w:rsidRPr="003B6D3D" w:rsidR="00120D52">
        <w:t xml:space="preserve"> many of the following information fields: </w:t>
      </w:r>
    </w:p>
    <w:p w:rsidRPr="003B6D3D" w:rsidR="00120D52" w:rsidP="00BE590D" w:rsidRDefault="00120D52" w14:paraId="63C05802" w14:textId="77777777">
      <w:pPr>
        <w:numPr>
          <w:ilvl w:val="0"/>
          <w:numId w:val="2"/>
        </w:numPr>
        <w:autoSpaceDE w:val="0"/>
        <w:autoSpaceDN w:val="0"/>
        <w:adjustRightInd w:val="0"/>
        <w:spacing w:line="276" w:lineRule="auto"/>
      </w:pPr>
      <w:r w:rsidRPr="003B6D3D">
        <w:t>Personal information (name, date of birth, fluencies</w:t>
      </w:r>
      <w:proofErr w:type="gramStart"/>
      <w:r w:rsidRPr="003B6D3D">
        <w:t>);</w:t>
      </w:r>
      <w:proofErr w:type="gramEnd"/>
      <w:r w:rsidRPr="003B6D3D">
        <w:t xml:space="preserve"> </w:t>
      </w:r>
    </w:p>
    <w:p w:rsidRPr="003B6D3D" w:rsidR="00120D52" w:rsidP="00BE590D" w:rsidRDefault="00120D52" w14:paraId="64FD436E" w14:textId="77777777">
      <w:pPr>
        <w:numPr>
          <w:ilvl w:val="0"/>
          <w:numId w:val="2"/>
        </w:numPr>
        <w:autoSpaceDE w:val="0"/>
        <w:autoSpaceDN w:val="0"/>
        <w:adjustRightInd w:val="0"/>
        <w:spacing w:line="276" w:lineRule="auto"/>
      </w:pPr>
      <w:r w:rsidRPr="003B6D3D">
        <w:t>Eligibility information (citizenship, certification questions, previous or current affiliation with NIH, trainee status</w:t>
      </w:r>
      <w:proofErr w:type="gramStart"/>
      <w:r w:rsidRPr="003B6D3D">
        <w:t>);</w:t>
      </w:r>
      <w:proofErr w:type="gramEnd"/>
      <w:r w:rsidRPr="003B6D3D">
        <w:t xml:space="preserve"> </w:t>
      </w:r>
    </w:p>
    <w:p w:rsidRPr="003B6D3D" w:rsidR="00120D52" w:rsidP="00BE590D" w:rsidRDefault="00120D52" w14:paraId="6310B2B8" w14:textId="6619AD4B">
      <w:pPr>
        <w:numPr>
          <w:ilvl w:val="0"/>
          <w:numId w:val="2"/>
        </w:numPr>
        <w:autoSpaceDE w:val="0"/>
        <w:autoSpaceDN w:val="0"/>
        <w:adjustRightInd w:val="0"/>
        <w:spacing w:line="276" w:lineRule="auto"/>
      </w:pPr>
      <w:r w:rsidRPr="003B6D3D">
        <w:t>Contact information (mailing, e-mail, phone for current, permanent</w:t>
      </w:r>
      <w:r w:rsidR="00B7323E">
        <w:t>,</w:t>
      </w:r>
      <w:r w:rsidRPr="003B6D3D">
        <w:t xml:space="preserve"> and future address</w:t>
      </w:r>
      <w:proofErr w:type="gramStart"/>
      <w:r w:rsidRPr="003B6D3D">
        <w:t>);</w:t>
      </w:r>
      <w:proofErr w:type="gramEnd"/>
      <w:r w:rsidRPr="003B6D3D">
        <w:t xml:space="preserve"> </w:t>
      </w:r>
    </w:p>
    <w:p w:rsidRPr="003B6D3D" w:rsidR="00120D52" w:rsidP="00BE590D" w:rsidRDefault="00120D52" w14:paraId="12A51BEE" w14:textId="77777777">
      <w:pPr>
        <w:numPr>
          <w:ilvl w:val="0"/>
          <w:numId w:val="2"/>
        </w:numPr>
        <w:autoSpaceDE w:val="0"/>
        <w:autoSpaceDN w:val="0"/>
        <w:adjustRightInd w:val="0"/>
        <w:spacing w:line="276" w:lineRule="auto"/>
      </w:pPr>
      <w:r w:rsidRPr="003B6D3D">
        <w:t xml:space="preserve">Training program selection; </w:t>
      </w:r>
    </w:p>
    <w:p w:rsidRPr="003B6D3D" w:rsidR="00120D52" w:rsidP="00BE590D" w:rsidRDefault="00120D52" w14:paraId="632D4031" w14:textId="77777777">
      <w:pPr>
        <w:numPr>
          <w:ilvl w:val="0"/>
          <w:numId w:val="2"/>
        </w:numPr>
        <w:autoSpaceDE w:val="0"/>
        <w:autoSpaceDN w:val="0"/>
        <w:adjustRightInd w:val="0"/>
        <w:spacing w:line="276" w:lineRule="auto"/>
      </w:pPr>
      <w:r w:rsidRPr="003B6D3D">
        <w:t>Scientific discipline interests (research interests, medical entity/disease</w:t>
      </w:r>
      <w:proofErr w:type="gramStart"/>
      <w:r w:rsidRPr="003B6D3D">
        <w:t>);</w:t>
      </w:r>
      <w:proofErr w:type="gramEnd"/>
      <w:r w:rsidRPr="003B6D3D">
        <w:t xml:space="preserve"> </w:t>
      </w:r>
    </w:p>
    <w:p w:rsidRPr="003B6D3D" w:rsidR="00120D52" w:rsidP="00BE590D" w:rsidRDefault="00120D52" w14:paraId="5A04839F" w14:textId="401EE93D">
      <w:pPr>
        <w:numPr>
          <w:ilvl w:val="0"/>
          <w:numId w:val="2"/>
        </w:numPr>
        <w:autoSpaceDE w:val="0"/>
        <w:autoSpaceDN w:val="0"/>
        <w:adjustRightInd w:val="0"/>
        <w:spacing w:line="276" w:lineRule="auto"/>
      </w:pPr>
      <w:r w:rsidRPr="003B6D3D">
        <w:t>Educational history (university, academic major, attendance dates, degree awarded/anticipated</w:t>
      </w:r>
      <w:r w:rsidRPr="003B6D3D" w:rsidR="00A547A2">
        <w:t>, transcripts</w:t>
      </w:r>
      <w:proofErr w:type="gramStart"/>
      <w:r w:rsidRPr="003B6D3D">
        <w:t>);</w:t>
      </w:r>
      <w:proofErr w:type="gramEnd"/>
      <w:r w:rsidRPr="003B6D3D">
        <w:t xml:space="preserve"> </w:t>
      </w:r>
    </w:p>
    <w:p w:rsidRPr="003B6D3D" w:rsidR="00120D52" w:rsidP="00BE590D" w:rsidRDefault="00120D52" w14:paraId="7A3A5335" w14:textId="77777777">
      <w:pPr>
        <w:numPr>
          <w:ilvl w:val="0"/>
          <w:numId w:val="2"/>
        </w:numPr>
        <w:autoSpaceDE w:val="0"/>
        <w:autoSpaceDN w:val="0"/>
        <w:adjustRightInd w:val="0"/>
        <w:spacing w:line="276" w:lineRule="auto"/>
      </w:pPr>
      <w:r w:rsidRPr="003B6D3D">
        <w:t>Employment history and interests (type of employment, organization, department, address, title</w:t>
      </w:r>
      <w:proofErr w:type="gramStart"/>
      <w:r w:rsidRPr="003B6D3D">
        <w:t>);</w:t>
      </w:r>
      <w:proofErr w:type="gramEnd"/>
      <w:r w:rsidRPr="003B6D3D">
        <w:t xml:space="preserve"> </w:t>
      </w:r>
    </w:p>
    <w:p w:rsidRPr="003B6D3D" w:rsidR="00120D52" w:rsidP="00BE590D" w:rsidRDefault="00120D52" w14:paraId="2A972066" w14:textId="33437662">
      <w:pPr>
        <w:numPr>
          <w:ilvl w:val="0"/>
          <w:numId w:val="2"/>
        </w:numPr>
        <w:autoSpaceDE w:val="0"/>
        <w:autoSpaceDN w:val="0"/>
        <w:adjustRightInd w:val="0"/>
        <w:spacing w:line="276" w:lineRule="auto"/>
      </w:pPr>
      <w:r w:rsidRPr="003B6D3D">
        <w:lastRenderedPageBreak/>
        <w:t>Reference information (name, contact information</w:t>
      </w:r>
      <w:proofErr w:type="gramStart"/>
      <w:r w:rsidRPr="003B6D3D">
        <w:t>);</w:t>
      </w:r>
      <w:proofErr w:type="gramEnd"/>
      <w:r w:rsidRPr="003B6D3D">
        <w:t xml:space="preserve"> </w:t>
      </w:r>
    </w:p>
    <w:p w:rsidRPr="003B6D3D" w:rsidR="00120D52" w:rsidP="00BE590D" w:rsidRDefault="00120D52" w14:paraId="02C2C48C" w14:textId="42D12AE9">
      <w:pPr>
        <w:numPr>
          <w:ilvl w:val="0"/>
          <w:numId w:val="2"/>
        </w:numPr>
        <w:autoSpaceDE w:val="0"/>
        <w:autoSpaceDN w:val="0"/>
        <w:adjustRightInd w:val="0"/>
        <w:spacing w:line="276" w:lineRule="auto"/>
      </w:pPr>
      <w:r w:rsidRPr="003B6D3D">
        <w:t>Resume components (</w:t>
      </w:r>
      <w:r w:rsidRPr="003B6D3D" w:rsidR="00786438">
        <w:t>CV</w:t>
      </w:r>
      <w:r w:rsidRPr="003B6D3D">
        <w:t>, research experience, publications, presentations, awards/honors, extracurricular activities, personal statemen</w:t>
      </w:r>
      <w:r w:rsidR="00C24B4D">
        <w:t>t</w:t>
      </w:r>
      <w:proofErr w:type="gramStart"/>
      <w:r w:rsidRPr="003B6D3D">
        <w:t>);</w:t>
      </w:r>
      <w:proofErr w:type="gramEnd"/>
      <w:r w:rsidRPr="003B6D3D">
        <w:t xml:space="preserve"> </w:t>
      </w:r>
    </w:p>
    <w:p w:rsidRPr="003B6D3D" w:rsidR="00120D52" w:rsidP="00BE590D" w:rsidRDefault="007B3251" w14:paraId="04FADA06" w14:textId="20311174">
      <w:pPr>
        <w:numPr>
          <w:ilvl w:val="0"/>
          <w:numId w:val="2"/>
        </w:numPr>
        <w:autoSpaceDE w:val="0"/>
        <w:autoSpaceDN w:val="0"/>
        <w:adjustRightInd w:val="0"/>
        <w:spacing w:line="276" w:lineRule="auto"/>
      </w:pPr>
      <w:r w:rsidRPr="003B6D3D">
        <w:t>S</w:t>
      </w:r>
      <w:r w:rsidRPr="003B6D3D" w:rsidR="00120D52">
        <w:t>ensitive information (gender, race, ethnicity)</w:t>
      </w:r>
    </w:p>
    <w:p w:rsidRPr="003B6D3D" w:rsidR="00573E1A" w:rsidP="00BE590D" w:rsidRDefault="007B3251" w14:paraId="083E4E01" w14:textId="532C5084">
      <w:pPr>
        <w:numPr>
          <w:ilvl w:val="0"/>
          <w:numId w:val="2"/>
        </w:numPr>
        <w:autoSpaceDE w:val="0"/>
        <w:autoSpaceDN w:val="0"/>
        <w:adjustRightInd w:val="0"/>
        <w:spacing w:line="276" w:lineRule="auto"/>
      </w:pPr>
      <w:r w:rsidRPr="003B6D3D">
        <w:t xml:space="preserve">Justification for applying to </w:t>
      </w:r>
      <w:r w:rsidR="00B7323E">
        <w:t xml:space="preserve">the </w:t>
      </w:r>
      <w:r w:rsidRPr="003B6D3D">
        <w:t>program</w:t>
      </w:r>
    </w:p>
    <w:p w:rsidRPr="003B6D3D" w:rsidR="00DD617B" w:rsidP="00BE590D" w:rsidRDefault="00DD617B" w14:paraId="4C1B7E21" w14:textId="311AFDA7">
      <w:pPr>
        <w:numPr>
          <w:ilvl w:val="0"/>
          <w:numId w:val="2"/>
        </w:numPr>
        <w:autoSpaceDE w:val="0"/>
        <w:autoSpaceDN w:val="0"/>
        <w:adjustRightInd w:val="0"/>
        <w:spacing w:line="276" w:lineRule="auto"/>
      </w:pPr>
      <w:r w:rsidRPr="003B6D3D">
        <w:t>Identification information</w:t>
      </w:r>
      <w:r w:rsidR="00070799">
        <w:t xml:space="preserve"> for non-U.S. citizens</w:t>
      </w:r>
      <w:r w:rsidRPr="003B6D3D">
        <w:t xml:space="preserve"> (passport biography, visa documentation)</w:t>
      </w:r>
    </w:p>
    <w:p w:rsidRPr="003B6D3D" w:rsidR="00E60F72" w:rsidP="00BE590D" w:rsidRDefault="00E60F72" w14:paraId="0361DD7D" w14:textId="77777777">
      <w:pPr>
        <w:autoSpaceDE w:val="0"/>
        <w:autoSpaceDN w:val="0"/>
        <w:adjustRightInd w:val="0"/>
        <w:spacing w:line="276" w:lineRule="auto"/>
        <w:rPr>
          <w:highlight w:val="yellow"/>
        </w:rPr>
      </w:pPr>
    </w:p>
    <w:p w:rsidR="0008711B" w:rsidP="00BE590D" w:rsidRDefault="00573E1A" w14:paraId="338BED87" w14:textId="651DC953">
      <w:pPr>
        <w:autoSpaceDE w:val="0"/>
        <w:autoSpaceDN w:val="0"/>
        <w:adjustRightInd w:val="0"/>
        <w:spacing w:line="276" w:lineRule="auto"/>
      </w:pPr>
      <w:r w:rsidRPr="003B6D3D">
        <w:t xml:space="preserve">Since </w:t>
      </w:r>
      <w:r w:rsidRPr="003B6D3D" w:rsidR="007675B7">
        <w:t>20</w:t>
      </w:r>
      <w:r w:rsidR="007675B7">
        <w:t>19</w:t>
      </w:r>
      <w:r w:rsidRPr="003B6D3D">
        <w:t xml:space="preserve">, we have received a total of </w:t>
      </w:r>
      <w:r w:rsidR="003B5AA2">
        <w:t>186</w:t>
      </w:r>
      <w:r w:rsidRPr="003B6D3D" w:rsidR="006D0621">
        <w:t xml:space="preserve"> </w:t>
      </w:r>
      <w:r w:rsidRPr="003B6D3D">
        <w:t xml:space="preserve">Fellowship Program applications.  These applications came directly to the CPFP and </w:t>
      </w:r>
      <w:r w:rsidRPr="003B6D3D" w:rsidR="0041069A">
        <w:t>allowed for circulation and review of applications by CPFP leadership</w:t>
      </w:r>
      <w:r w:rsidR="00066B27">
        <w:t xml:space="preserve"> and </w:t>
      </w:r>
      <w:r w:rsidRPr="003B6D3D" w:rsidR="0041069A">
        <w:t>members of the CPFP Scientific Education Committee (SEC)</w:t>
      </w:r>
      <w:r w:rsidR="00066B27">
        <w:t>.</w:t>
      </w:r>
      <w:r w:rsidRPr="003B6D3D" w:rsidR="0041069A">
        <w:t xml:space="preserve">  In addition to the review of application data for acceptance into our program, data was used to inform </w:t>
      </w:r>
      <w:r w:rsidRPr="003B6D3D" w:rsidR="004B3F5F">
        <w:t xml:space="preserve">programmatic </w:t>
      </w:r>
      <w:r w:rsidRPr="003B6D3D" w:rsidR="0041069A">
        <w:t>marketing decisions</w:t>
      </w:r>
      <w:r w:rsidRPr="003B6D3D" w:rsidR="00DD617B">
        <w:t>, conduct qualitative and quantitative analyses of the personal statements and research interests,</w:t>
      </w:r>
      <w:r w:rsidRPr="003B6D3D" w:rsidR="0041069A">
        <w:t xml:space="preserve"> and draft reports on the state of the program to NCI leadership.</w:t>
      </w:r>
      <w:r w:rsidRPr="003B6D3D" w:rsidR="004B3F5F">
        <w:t xml:space="preserve"> </w:t>
      </w:r>
    </w:p>
    <w:p w:rsidRPr="003B6D3D" w:rsidR="005662F8" w:rsidP="00BE590D" w:rsidRDefault="005662F8" w14:paraId="03779039" w14:textId="77777777">
      <w:pPr>
        <w:autoSpaceDE w:val="0"/>
        <w:autoSpaceDN w:val="0"/>
        <w:adjustRightInd w:val="0"/>
        <w:spacing w:line="276" w:lineRule="auto"/>
      </w:pPr>
    </w:p>
    <w:p w:rsidRPr="003B6D3D" w:rsidR="0008711B" w:rsidP="00BE590D" w:rsidRDefault="0008711B" w14:paraId="1A242D19" w14:textId="3884670A">
      <w:pPr>
        <w:tabs>
          <w:tab w:val="left" w:pos="720"/>
        </w:tabs>
        <w:spacing w:line="276" w:lineRule="auto"/>
      </w:pPr>
      <w:r w:rsidRPr="003B6D3D">
        <w:rPr>
          <w:b/>
        </w:rPr>
        <w:t>A</w:t>
      </w:r>
      <w:r w:rsidRPr="003B6D3D" w:rsidR="00010D75">
        <w:rPr>
          <w:b/>
        </w:rPr>
        <w:t>.</w:t>
      </w:r>
      <w:r w:rsidRPr="003B6D3D">
        <w:rPr>
          <w:b/>
        </w:rPr>
        <w:t xml:space="preserve">3 </w:t>
      </w:r>
      <w:r w:rsidRPr="003B6D3D" w:rsidR="00125ADC">
        <w:rPr>
          <w:b/>
        </w:rPr>
        <w:tab/>
      </w:r>
      <w:r w:rsidRPr="003B6D3D">
        <w:rPr>
          <w:b/>
        </w:rPr>
        <w:t>Use of Information Technology and Burden Reduction</w:t>
      </w:r>
      <w:bookmarkEnd w:id="4"/>
    </w:p>
    <w:p w:rsidR="00BE590D" w:rsidP="00BE590D" w:rsidRDefault="00BE590D" w14:paraId="0B1CA20A" w14:textId="77777777">
      <w:pPr>
        <w:autoSpaceDE w:val="0"/>
        <w:autoSpaceDN w:val="0"/>
        <w:adjustRightInd w:val="0"/>
        <w:spacing w:line="276" w:lineRule="auto"/>
      </w:pPr>
    </w:p>
    <w:p w:rsidRPr="003B6D3D" w:rsidR="00FF7A37" w:rsidP="00BE590D" w:rsidRDefault="00D07ACA" w14:paraId="73E20EB4" w14:textId="3CC27559">
      <w:pPr>
        <w:autoSpaceDE w:val="0"/>
        <w:autoSpaceDN w:val="0"/>
        <w:adjustRightInd w:val="0"/>
        <w:spacing w:line="276" w:lineRule="auto"/>
      </w:pPr>
      <w:r w:rsidRPr="003B6D3D">
        <w:t xml:space="preserve">Prospective trainees must apply directly to </w:t>
      </w:r>
      <w:r w:rsidRPr="003B6D3D" w:rsidR="007D7C3F">
        <w:t>CPFP</w:t>
      </w:r>
      <w:r w:rsidRPr="003B6D3D" w:rsidR="00FF7A37">
        <w:t xml:space="preserve"> for admission</w:t>
      </w:r>
      <w:r w:rsidRPr="003B6D3D" w:rsidR="001366E4">
        <w:t>.  T</w:t>
      </w:r>
      <w:r w:rsidRPr="003B6D3D">
        <w:t>he a</w:t>
      </w:r>
      <w:r w:rsidRPr="003B6D3D" w:rsidR="0008711B">
        <w:t xml:space="preserve">pplication </w:t>
      </w:r>
      <w:r w:rsidR="00C24B4D">
        <w:t>is</w:t>
      </w:r>
      <w:r w:rsidRPr="003B6D3D" w:rsidR="0008711B">
        <w:t xml:space="preserve"> </w:t>
      </w:r>
      <w:r w:rsidR="00B7323E">
        <w:t>web-based</w:t>
      </w:r>
      <w:r w:rsidRPr="003B6D3D" w:rsidR="0008711B">
        <w:t xml:space="preserve"> and accessible through the </w:t>
      </w:r>
      <w:r w:rsidRPr="003B6D3D" w:rsidR="007D7C3F">
        <w:t>CPFP</w:t>
      </w:r>
      <w:r w:rsidRPr="003B6D3D" w:rsidR="0008711B">
        <w:t xml:space="preserve">: </w:t>
      </w:r>
      <w:hyperlink w:history="1" r:id="rId13">
        <w:r w:rsidR="009905F9">
          <w:rPr>
            <w:rStyle w:val="Hyperlink"/>
          </w:rPr>
          <w:t>applications</w:t>
        </w:r>
        <w:r w:rsidRPr="003B6D3D" w:rsidR="007D7C3F">
          <w:rPr>
            <w:rStyle w:val="Hyperlink"/>
          </w:rPr>
          <w:t>.cpfp.cancer.gov</w:t>
        </w:r>
      </w:hyperlink>
      <w:r w:rsidR="009905F9">
        <w:t>.</w:t>
      </w:r>
      <w:r w:rsidRPr="003B6D3D" w:rsidR="00771D36">
        <w:t xml:space="preserve"> </w:t>
      </w:r>
      <w:r w:rsidR="00066B27">
        <w:t>The</w:t>
      </w:r>
      <w:r w:rsidRPr="003B6D3D" w:rsidR="00FF7A37">
        <w:t xml:space="preserve"> applicant will receive automated emails confirming receipt and prompting further action (Attachment </w:t>
      </w:r>
      <w:r w:rsidR="0035511C">
        <w:t>4</w:t>
      </w:r>
      <w:r w:rsidRPr="003B6D3D" w:rsidR="00FF7A37">
        <w:t xml:space="preserve">).  In addition, the online application system triggers emails sent to the various contributors involved with the Fellowship Application (Attachment </w:t>
      </w:r>
      <w:r w:rsidR="0035511C">
        <w:t>4</w:t>
      </w:r>
      <w:r w:rsidRPr="003B6D3D" w:rsidR="00FF7A37">
        <w:t>).</w:t>
      </w:r>
    </w:p>
    <w:p w:rsidRPr="003B6D3D" w:rsidR="00E60F72" w:rsidP="00BE590D" w:rsidRDefault="00E60F72" w14:paraId="6C4081E0" w14:textId="77777777">
      <w:pPr>
        <w:autoSpaceDE w:val="0"/>
        <w:autoSpaceDN w:val="0"/>
        <w:adjustRightInd w:val="0"/>
        <w:spacing w:line="276" w:lineRule="auto"/>
      </w:pPr>
    </w:p>
    <w:p w:rsidRPr="00EB64D3" w:rsidR="00EB64D3" w:rsidP="00BE590D" w:rsidRDefault="00EB64D3" w14:paraId="0981F942" w14:textId="76D2A63B">
      <w:pPr>
        <w:autoSpaceDE w:val="0"/>
        <w:autoSpaceDN w:val="0"/>
        <w:adjustRightInd w:val="0"/>
        <w:spacing w:line="276" w:lineRule="auto"/>
      </w:pPr>
      <w:r w:rsidRPr="00EB64D3">
        <w:t>The NCI Privacy Act Coordinator was consulted</w:t>
      </w:r>
      <w:r w:rsidR="00B7323E">
        <w:t xml:space="preserve"> and </w:t>
      </w:r>
      <w:r w:rsidRPr="00EB64D3">
        <w:t xml:space="preserve">determined that a Privacy Impact Assessment (PIA) is required.  </w:t>
      </w:r>
      <w:r w:rsidRPr="00EB64D3">
        <w:rPr>
          <w:b/>
        </w:rPr>
        <w:t xml:space="preserve">(Attachment </w:t>
      </w:r>
      <w:r w:rsidR="0035511C">
        <w:rPr>
          <w:b/>
        </w:rPr>
        <w:t>6</w:t>
      </w:r>
      <w:r w:rsidRPr="00EB64D3">
        <w:rPr>
          <w:b/>
        </w:rPr>
        <w:t>)</w:t>
      </w:r>
      <w:r w:rsidRPr="00EB64D3">
        <w:t xml:space="preserve">.  </w:t>
      </w:r>
    </w:p>
    <w:p w:rsidRPr="003B6D3D" w:rsidR="00786438" w:rsidP="00BE590D" w:rsidRDefault="00786438" w14:paraId="5BA7B55B" w14:textId="77777777">
      <w:pPr>
        <w:autoSpaceDE w:val="0"/>
        <w:autoSpaceDN w:val="0"/>
        <w:adjustRightInd w:val="0"/>
        <w:spacing w:line="276" w:lineRule="auto"/>
      </w:pPr>
    </w:p>
    <w:p w:rsidRPr="003B6D3D" w:rsidR="0008711B" w:rsidP="00BE590D" w:rsidRDefault="0008711B" w14:paraId="6160478C" w14:textId="1586AF04">
      <w:pPr>
        <w:tabs>
          <w:tab w:val="left" w:pos="720"/>
        </w:tabs>
        <w:autoSpaceDE w:val="0"/>
        <w:autoSpaceDN w:val="0"/>
        <w:adjustRightInd w:val="0"/>
        <w:spacing w:line="276" w:lineRule="auto"/>
        <w:outlineLvl w:val="0"/>
        <w:rPr>
          <w:b/>
        </w:rPr>
      </w:pPr>
      <w:bookmarkStart w:name="_Toc230515981" w:id="5"/>
      <w:r w:rsidRPr="003B6D3D">
        <w:rPr>
          <w:b/>
        </w:rPr>
        <w:t>A</w:t>
      </w:r>
      <w:r w:rsidRPr="003B6D3D" w:rsidR="00010D75">
        <w:rPr>
          <w:b/>
        </w:rPr>
        <w:t>.4</w:t>
      </w:r>
      <w:r w:rsidRPr="003B6D3D">
        <w:rPr>
          <w:b/>
        </w:rPr>
        <w:t xml:space="preserve"> </w:t>
      </w:r>
      <w:r w:rsidRPr="003B6D3D" w:rsidR="00125ADC">
        <w:rPr>
          <w:b/>
        </w:rPr>
        <w:tab/>
      </w:r>
      <w:r w:rsidRPr="003B6D3D">
        <w:rPr>
          <w:b/>
        </w:rPr>
        <w:t>Efforts to Identify Duplication and Use of Similar Information</w:t>
      </w:r>
      <w:bookmarkEnd w:id="5"/>
    </w:p>
    <w:p w:rsidR="00BE590D" w:rsidP="00BE590D" w:rsidRDefault="00BE590D" w14:paraId="466D9682" w14:textId="77777777">
      <w:pPr>
        <w:autoSpaceDE w:val="0"/>
        <w:autoSpaceDN w:val="0"/>
        <w:adjustRightInd w:val="0"/>
        <w:spacing w:line="276" w:lineRule="auto"/>
        <w:outlineLvl w:val="0"/>
      </w:pPr>
      <w:bookmarkStart w:name="_Toc230515982" w:id="6"/>
    </w:p>
    <w:p w:rsidRPr="003B6D3D" w:rsidR="006D7BC9" w:rsidP="00BE590D" w:rsidRDefault="006D7BC9" w14:paraId="45A5BA00" w14:textId="648110C7">
      <w:pPr>
        <w:autoSpaceDE w:val="0"/>
        <w:autoSpaceDN w:val="0"/>
        <w:adjustRightInd w:val="0"/>
        <w:spacing w:line="276" w:lineRule="auto"/>
        <w:outlineLvl w:val="0"/>
      </w:pPr>
      <w:r w:rsidRPr="003B6D3D">
        <w:t>This information will not be collected anywhere else and is unique to this program.</w:t>
      </w:r>
    </w:p>
    <w:p w:rsidRPr="003B6D3D" w:rsidR="001366E4" w:rsidP="00BE590D" w:rsidRDefault="001366E4" w14:paraId="01DD5A4F" w14:textId="77777777">
      <w:pPr>
        <w:autoSpaceDE w:val="0"/>
        <w:autoSpaceDN w:val="0"/>
        <w:adjustRightInd w:val="0"/>
        <w:spacing w:line="276" w:lineRule="auto"/>
        <w:outlineLvl w:val="0"/>
        <w:rPr>
          <w:b/>
        </w:rPr>
      </w:pPr>
    </w:p>
    <w:p w:rsidRPr="003B6D3D" w:rsidR="0008711B" w:rsidP="00BE590D" w:rsidRDefault="0008711B" w14:paraId="23DE470B" w14:textId="52A957D1">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5 </w:t>
      </w:r>
      <w:r w:rsidRPr="003B6D3D" w:rsidR="00125ADC">
        <w:rPr>
          <w:b/>
        </w:rPr>
        <w:tab/>
      </w:r>
      <w:r w:rsidRPr="003B6D3D">
        <w:rPr>
          <w:b/>
        </w:rPr>
        <w:t>Impact on Small Businesses or Other Small Entities</w:t>
      </w:r>
      <w:bookmarkEnd w:id="6"/>
    </w:p>
    <w:p w:rsidR="00BE590D" w:rsidP="00BE590D" w:rsidRDefault="00BE590D" w14:paraId="33578F4B" w14:textId="77777777">
      <w:pPr>
        <w:pStyle w:val="Heading1"/>
        <w:numPr>
          <w:ilvl w:val="0"/>
          <w:numId w:val="0"/>
        </w:numPr>
        <w:spacing w:line="276" w:lineRule="auto"/>
        <w:rPr>
          <w:rFonts w:ascii="Times New Roman" w:hAnsi="Times New Roman"/>
          <w:b w:val="0"/>
          <w:szCs w:val="24"/>
        </w:rPr>
      </w:pPr>
      <w:bookmarkStart w:name="_Toc230515983" w:id="7"/>
    </w:p>
    <w:p w:rsidRPr="003B6D3D" w:rsidR="0008711B" w:rsidP="00BE590D" w:rsidRDefault="0008711B" w14:paraId="21582946" w14:textId="285A82C5">
      <w:pPr>
        <w:pStyle w:val="Heading1"/>
        <w:numPr>
          <w:ilvl w:val="0"/>
          <w:numId w:val="0"/>
        </w:numPr>
        <w:spacing w:line="276" w:lineRule="auto"/>
        <w:rPr>
          <w:rFonts w:ascii="Times New Roman" w:hAnsi="Times New Roman"/>
          <w:b w:val="0"/>
          <w:szCs w:val="24"/>
        </w:rPr>
      </w:pPr>
      <w:r w:rsidRPr="003B6D3D">
        <w:rPr>
          <w:rFonts w:ascii="Times New Roman" w:hAnsi="Times New Roman"/>
          <w:b w:val="0"/>
          <w:szCs w:val="24"/>
        </w:rPr>
        <w:t>No small business</w:t>
      </w:r>
      <w:r w:rsidRPr="003B6D3D" w:rsidR="001366E4">
        <w:rPr>
          <w:rFonts w:ascii="Times New Roman" w:hAnsi="Times New Roman"/>
          <w:b w:val="0"/>
          <w:szCs w:val="24"/>
          <w:lang w:val="en-US"/>
        </w:rPr>
        <w:t>es</w:t>
      </w:r>
      <w:r w:rsidRPr="003B6D3D">
        <w:rPr>
          <w:rFonts w:ascii="Times New Roman" w:hAnsi="Times New Roman"/>
          <w:b w:val="0"/>
          <w:szCs w:val="24"/>
        </w:rPr>
        <w:t xml:space="preserve"> or other small entities </w:t>
      </w:r>
      <w:r w:rsidRPr="003B6D3D" w:rsidR="00732C3E">
        <w:rPr>
          <w:rFonts w:ascii="Times New Roman" w:hAnsi="Times New Roman"/>
          <w:b w:val="0"/>
          <w:szCs w:val="24"/>
          <w:lang w:val="en-US"/>
        </w:rPr>
        <w:t>are</w:t>
      </w:r>
      <w:r w:rsidRPr="003B6D3D">
        <w:rPr>
          <w:rFonts w:ascii="Times New Roman" w:hAnsi="Times New Roman"/>
          <w:b w:val="0"/>
          <w:szCs w:val="24"/>
        </w:rPr>
        <w:t xml:space="preserve"> affected</w:t>
      </w:r>
      <w:r w:rsidRPr="003B6D3D" w:rsidR="00732C3E">
        <w:rPr>
          <w:rFonts w:ascii="Times New Roman" w:hAnsi="Times New Roman"/>
          <w:b w:val="0"/>
          <w:szCs w:val="24"/>
          <w:lang w:val="en-US"/>
        </w:rPr>
        <w:t>.</w:t>
      </w:r>
    </w:p>
    <w:p w:rsidRPr="003B6D3D" w:rsidR="0008711B" w:rsidP="00BE590D" w:rsidRDefault="0008711B" w14:paraId="4E34165B" w14:textId="77777777">
      <w:pPr>
        <w:autoSpaceDE w:val="0"/>
        <w:autoSpaceDN w:val="0"/>
        <w:adjustRightInd w:val="0"/>
        <w:spacing w:line="276" w:lineRule="auto"/>
        <w:outlineLvl w:val="0"/>
        <w:rPr>
          <w:b/>
          <w:highlight w:val="yellow"/>
        </w:rPr>
      </w:pPr>
    </w:p>
    <w:p w:rsidRPr="003B6D3D" w:rsidR="00E60F72" w:rsidP="00BE590D" w:rsidRDefault="0008711B" w14:paraId="04812D21" w14:textId="77777777">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6 </w:t>
      </w:r>
      <w:r w:rsidRPr="003B6D3D" w:rsidR="00125ADC">
        <w:rPr>
          <w:b/>
        </w:rPr>
        <w:tab/>
      </w:r>
      <w:r w:rsidRPr="003B6D3D">
        <w:rPr>
          <w:b/>
        </w:rPr>
        <w:t>Consequences of Collecting the Information Less Frequent</w:t>
      </w:r>
      <w:bookmarkStart w:name="_Toc230515984" w:id="8"/>
      <w:bookmarkEnd w:id="7"/>
    </w:p>
    <w:p w:rsidR="00BE590D" w:rsidP="00BE590D" w:rsidRDefault="00BE590D" w14:paraId="2753F04B" w14:textId="77777777">
      <w:pPr>
        <w:autoSpaceDE w:val="0"/>
        <w:autoSpaceDN w:val="0"/>
        <w:adjustRightInd w:val="0"/>
        <w:spacing w:line="276" w:lineRule="auto"/>
        <w:outlineLvl w:val="0"/>
      </w:pPr>
    </w:p>
    <w:p w:rsidRPr="003B6D3D" w:rsidR="006D7BC9" w:rsidP="00BE590D" w:rsidRDefault="006D7BC9" w14:paraId="26A48360" w14:textId="4120EDEA">
      <w:pPr>
        <w:autoSpaceDE w:val="0"/>
        <w:autoSpaceDN w:val="0"/>
        <w:adjustRightInd w:val="0"/>
        <w:spacing w:line="276" w:lineRule="auto"/>
        <w:outlineLvl w:val="0"/>
      </w:pPr>
      <w:r w:rsidRPr="003B6D3D">
        <w:t xml:space="preserve">This </w:t>
      </w:r>
      <w:r w:rsidRPr="003B6D3D" w:rsidR="008F2F05">
        <w:t>information is collected on an annual basis</w:t>
      </w:r>
      <w:r w:rsidRPr="003B6D3D">
        <w:t>.</w:t>
      </w:r>
      <w:r w:rsidRPr="003B6D3D" w:rsidR="0092523D">
        <w:t xml:space="preserve">  Without the approval to collect applications specific to the program’s needs, the CPFP would be compromised in </w:t>
      </w:r>
      <w:r w:rsidR="00B7323E">
        <w:t>its</w:t>
      </w:r>
      <w:r w:rsidRPr="003B6D3D" w:rsidR="0092523D">
        <w:t xml:space="preserve"> ability to identify highly qualified trainees</w:t>
      </w:r>
      <w:r w:rsidRPr="003B6D3D" w:rsidR="004C4126">
        <w:t xml:space="preserve"> and unable to carry out programmatic activities</w:t>
      </w:r>
      <w:r w:rsidRPr="003B6D3D" w:rsidR="001563B6">
        <w:t>.</w:t>
      </w:r>
    </w:p>
    <w:p w:rsidRPr="003B6D3D" w:rsidR="00885A16" w:rsidP="00BE590D" w:rsidRDefault="00885A16" w14:paraId="1050CA5A" w14:textId="77777777">
      <w:pPr>
        <w:autoSpaceDE w:val="0"/>
        <w:autoSpaceDN w:val="0"/>
        <w:adjustRightInd w:val="0"/>
        <w:spacing w:line="276" w:lineRule="auto"/>
        <w:outlineLvl w:val="0"/>
        <w:rPr>
          <w:b/>
          <w:highlight w:val="yellow"/>
        </w:rPr>
      </w:pPr>
    </w:p>
    <w:p w:rsidR="00BE590D" w:rsidRDefault="00BE590D" w14:paraId="071C2EA1" w14:textId="77777777">
      <w:pPr>
        <w:rPr>
          <w:b/>
        </w:rPr>
      </w:pPr>
      <w:r>
        <w:rPr>
          <w:b/>
        </w:rPr>
        <w:br w:type="page"/>
      </w:r>
    </w:p>
    <w:p w:rsidRPr="003B6D3D" w:rsidR="006D7BC9" w:rsidP="00BE590D" w:rsidRDefault="0008711B" w14:paraId="01C02E3B" w14:textId="38E011EB">
      <w:pPr>
        <w:autoSpaceDE w:val="0"/>
        <w:autoSpaceDN w:val="0"/>
        <w:adjustRightInd w:val="0"/>
        <w:spacing w:line="276" w:lineRule="auto"/>
        <w:outlineLvl w:val="0"/>
      </w:pPr>
      <w:r w:rsidRPr="003B6D3D">
        <w:rPr>
          <w:b/>
        </w:rPr>
        <w:lastRenderedPageBreak/>
        <w:t>A</w:t>
      </w:r>
      <w:r w:rsidRPr="003B6D3D" w:rsidR="00010D75">
        <w:rPr>
          <w:b/>
        </w:rPr>
        <w:t>.</w:t>
      </w:r>
      <w:r w:rsidRPr="003B6D3D">
        <w:rPr>
          <w:b/>
        </w:rPr>
        <w:t xml:space="preserve">7 </w:t>
      </w:r>
      <w:r w:rsidRPr="003B6D3D" w:rsidR="00125ADC">
        <w:rPr>
          <w:b/>
        </w:rPr>
        <w:tab/>
      </w:r>
      <w:r w:rsidRPr="003B6D3D">
        <w:rPr>
          <w:b/>
        </w:rPr>
        <w:t>Special Circumstances Relating to the Guidelines of 5 CFR 1320.5</w:t>
      </w:r>
      <w:bookmarkStart w:name="_Toc230515985" w:id="9"/>
      <w:bookmarkEnd w:id="8"/>
    </w:p>
    <w:p w:rsidR="00BE590D" w:rsidP="00BE590D" w:rsidRDefault="00BE590D" w14:paraId="6BBFD1CA" w14:textId="77777777">
      <w:pPr>
        <w:autoSpaceDE w:val="0"/>
        <w:autoSpaceDN w:val="0"/>
        <w:adjustRightInd w:val="0"/>
        <w:spacing w:line="276" w:lineRule="auto"/>
        <w:outlineLvl w:val="0"/>
      </w:pPr>
    </w:p>
    <w:p w:rsidRPr="003B6D3D" w:rsidR="006D7BC9" w:rsidP="00BE590D" w:rsidRDefault="006D7BC9" w14:paraId="44BA2CD4" w14:textId="5A362F42">
      <w:pPr>
        <w:autoSpaceDE w:val="0"/>
        <w:autoSpaceDN w:val="0"/>
        <w:adjustRightInd w:val="0"/>
        <w:spacing w:line="276" w:lineRule="auto"/>
        <w:outlineLvl w:val="0"/>
      </w:pPr>
      <w:r w:rsidRPr="003B6D3D">
        <w:t xml:space="preserve">This information collection is consistent with these guidelines.  </w:t>
      </w:r>
    </w:p>
    <w:p w:rsidRPr="003B6D3D" w:rsidR="0008711B" w:rsidP="00BE590D" w:rsidRDefault="0008711B" w14:paraId="35569EFB" w14:textId="77777777">
      <w:pPr>
        <w:autoSpaceDE w:val="0"/>
        <w:autoSpaceDN w:val="0"/>
        <w:adjustRightInd w:val="0"/>
        <w:spacing w:line="276" w:lineRule="auto"/>
        <w:outlineLvl w:val="0"/>
        <w:rPr>
          <w:b/>
        </w:rPr>
      </w:pPr>
    </w:p>
    <w:p w:rsidRPr="003B6D3D" w:rsidR="004B4CB4" w:rsidP="00BE590D" w:rsidRDefault="0008711B" w14:paraId="2C200A1C" w14:textId="1591699C">
      <w:pPr>
        <w:autoSpaceDE w:val="0"/>
        <w:autoSpaceDN w:val="0"/>
        <w:adjustRightInd w:val="0"/>
        <w:spacing w:line="276" w:lineRule="auto"/>
        <w:ind w:left="720" w:hanging="720"/>
        <w:outlineLvl w:val="0"/>
        <w:rPr>
          <w:b/>
        </w:rPr>
      </w:pPr>
      <w:bookmarkStart w:name="_Hlk5887246" w:id="10"/>
      <w:r w:rsidRPr="003B6D3D">
        <w:rPr>
          <w:b/>
        </w:rPr>
        <w:t>A</w:t>
      </w:r>
      <w:r w:rsidRPr="003B6D3D" w:rsidR="00010D75">
        <w:rPr>
          <w:b/>
        </w:rPr>
        <w:t>.</w:t>
      </w:r>
      <w:r w:rsidRPr="003B6D3D">
        <w:rPr>
          <w:b/>
        </w:rPr>
        <w:t xml:space="preserve">8 </w:t>
      </w:r>
      <w:r w:rsidRPr="003B6D3D" w:rsidR="00125ADC">
        <w:rPr>
          <w:b/>
        </w:rPr>
        <w:tab/>
      </w:r>
      <w:bookmarkEnd w:id="9"/>
      <w:bookmarkEnd w:id="10"/>
      <w:r w:rsidRPr="003B6D3D" w:rsidR="003B6D3D">
        <w:rPr>
          <w:b/>
        </w:rPr>
        <w:t>Comments in Response to the Federal Register Notice and Efforts to Consult Outside Agency</w:t>
      </w:r>
      <w:r w:rsidRPr="003B6D3D" w:rsidR="004B4CB4">
        <w:rPr>
          <w:b/>
        </w:rPr>
        <w:tab/>
      </w:r>
    </w:p>
    <w:p w:rsidRPr="003B6D3D" w:rsidR="006A6456" w:rsidP="00BE590D" w:rsidRDefault="003B6D3D" w14:paraId="77436B06" w14:textId="1675A02A">
      <w:pPr>
        <w:autoSpaceDE w:val="0"/>
        <w:autoSpaceDN w:val="0"/>
        <w:adjustRightInd w:val="0"/>
        <w:spacing w:line="276" w:lineRule="auto"/>
        <w:outlineLvl w:val="0"/>
      </w:pPr>
      <w:r w:rsidRPr="003B6D3D">
        <w:t>N/A</w:t>
      </w:r>
    </w:p>
    <w:p w:rsidRPr="003B6D3D" w:rsidR="008F2F05" w:rsidP="00BE590D" w:rsidRDefault="008F2F05" w14:paraId="35DCF5BD" w14:textId="77777777">
      <w:pPr>
        <w:autoSpaceDE w:val="0"/>
        <w:autoSpaceDN w:val="0"/>
        <w:adjustRightInd w:val="0"/>
        <w:spacing w:line="276" w:lineRule="auto"/>
      </w:pPr>
      <w:bookmarkStart w:name="_Toc230515986" w:id="11"/>
    </w:p>
    <w:p w:rsidRPr="003B6D3D" w:rsidR="00717D41" w:rsidP="00BE590D" w:rsidRDefault="0008711B" w14:paraId="34F6CBE3" w14:textId="6BDF19BF">
      <w:pPr>
        <w:autoSpaceDE w:val="0"/>
        <w:autoSpaceDN w:val="0"/>
        <w:adjustRightInd w:val="0"/>
        <w:spacing w:line="276" w:lineRule="auto"/>
      </w:pPr>
      <w:r w:rsidRPr="003B6D3D">
        <w:rPr>
          <w:b/>
        </w:rPr>
        <w:t>A</w:t>
      </w:r>
      <w:r w:rsidRPr="003B6D3D" w:rsidR="00010D75">
        <w:rPr>
          <w:b/>
        </w:rPr>
        <w:t>.</w:t>
      </w:r>
      <w:r w:rsidRPr="003B6D3D">
        <w:rPr>
          <w:b/>
        </w:rPr>
        <w:t xml:space="preserve">9 </w:t>
      </w:r>
      <w:r w:rsidRPr="003B6D3D" w:rsidR="00125ADC">
        <w:rPr>
          <w:b/>
        </w:rPr>
        <w:tab/>
      </w:r>
      <w:r w:rsidRPr="003B6D3D">
        <w:rPr>
          <w:b/>
        </w:rPr>
        <w:t>Explanation of Any Payment or Gift to Respondents</w:t>
      </w:r>
      <w:bookmarkStart w:name="_Toc230515987" w:id="12"/>
      <w:bookmarkEnd w:id="11"/>
    </w:p>
    <w:p w:rsidR="00BE590D" w:rsidP="00BE590D" w:rsidRDefault="00BE590D" w14:paraId="24033A04" w14:textId="77777777">
      <w:pPr>
        <w:autoSpaceDE w:val="0"/>
        <w:autoSpaceDN w:val="0"/>
        <w:adjustRightInd w:val="0"/>
        <w:spacing w:line="276" w:lineRule="auto"/>
        <w:outlineLvl w:val="0"/>
      </w:pPr>
    </w:p>
    <w:p w:rsidRPr="003B6D3D" w:rsidR="0008711B" w:rsidP="00BE590D" w:rsidRDefault="0008711B" w14:paraId="7AF89C67" w14:textId="5F358A30">
      <w:pPr>
        <w:autoSpaceDE w:val="0"/>
        <w:autoSpaceDN w:val="0"/>
        <w:adjustRightInd w:val="0"/>
        <w:spacing w:line="276" w:lineRule="auto"/>
        <w:outlineLvl w:val="0"/>
      </w:pPr>
      <w:r w:rsidRPr="003B6D3D">
        <w:t xml:space="preserve">Neither payments nor gifts will be </w:t>
      </w:r>
      <w:r w:rsidRPr="003B6D3D" w:rsidR="004C35E0">
        <w:t>provided to respondents</w:t>
      </w:r>
      <w:r w:rsidRPr="003B6D3D" w:rsidR="00732C3E">
        <w:t>.</w:t>
      </w:r>
    </w:p>
    <w:p w:rsidR="00D93E04" w:rsidP="00BE590D" w:rsidRDefault="00D93E04" w14:paraId="391AACBD" w14:textId="4D70324B">
      <w:pPr>
        <w:spacing w:line="276" w:lineRule="auto"/>
        <w:rPr>
          <w:b/>
        </w:rPr>
      </w:pPr>
    </w:p>
    <w:p w:rsidRPr="003B6D3D" w:rsidR="0008711B" w:rsidP="00BE590D" w:rsidRDefault="0008711B" w14:paraId="270FAE94" w14:textId="02F982C7">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10 </w:t>
      </w:r>
      <w:r w:rsidRPr="003B6D3D" w:rsidR="00125ADC">
        <w:rPr>
          <w:b/>
        </w:rPr>
        <w:tab/>
      </w:r>
      <w:r w:rsidRPr="003B6D3D">
        <w:rPr>
          <w:b/>
        </w:rPr>
        <w:t>Assurance of Confidentiality Provided to Respondents</w:t>
      </w:r>
      <w:bookmarkEnd w:id="12"/>
    </w:p>
    <w:p w:rsidR="00BE590D" w:rsidP="00BE590D" w:rsidRDefault="00BE590D" w14:paraId="5A7BD608" w14:textId="77777777">
      <w:pPr>
        <w:autoSpaceDE w:val="0"/>
        <w:autoSpaceDN w:val="0"/>
        <w:adjustRightInd w:val="0"/>
        <w:spacing w:line="276" w:lineRule="auto"/>
        <w:outlineLvl w:val="0"/>
      </w:pPr>
      <w:bookmarkStart w:name="_Toc230515988" w:id="13"/>
    </w:p>
    <w:p w:rsidRPr="005662F8" w:rsidR="00715C45" w:rsidP="00BE590D" w:rsidRDefault="006D7BC9" w14:paraId="7CE74036" w14:textId="2AD5787B">
      <w:pPr>
        <w:autoSpaceDE w:val="0"/>
        <w:autoSpaceDN w:val="0"/>
        <w:adjustRightInd w:val="0"/>
        <w:spacing w:line="276" w:lineRule="auto"/>
        <w:outlineLvl w:val="0"/>
      </w:pPr>
      <w:r w:rsidRPr="005662F8">
        <w:t xml:space="preserve">All information will be kept private to the extent </w:t>
      </w:r>
      <w:r w:rsidRPr="005662F8" w:rsidR="00DE0563">
        <w:t xml:space="preserve">allowable </w:t>
      </w:r>
      <w:r w:rsidRPr="005662F8">
        <w:t xml:space="preserve">by law. </w:t>
      </w:r>
      <w:r w:rsidRPr="005662F8" w:rsidR="008F2F05">
        <w:t xml:space="preserve">Review committees </w:t>
      </w:r>
      <w:r w:rsidRPr="005662F8" w:rsidR="0064693D">
        <w:t>within the Department of Health and Human Services (HHS)</w:t>
      </w:r>
      <w:r w:rsidRPr="005662F8">
        <w:t xml:space="preserve"> will be able to have access to the applications. These individuals are assigned login credentials, including strong passwords that conform to standards used by the NIH Center for Information Technology</w:t>
      </w:r>
      <w:r w:rsidRPr="005662F8" w:rsidR="0064693D">
        <w:t xml:space="preserve"> (CIT)</w:t>
      </w:r>
      <w:r w:rsidR="00B7323E">
        <w:t>. The</w:t>
      </w:r>
      <w:r w:rsidRPr="005662F8">
        <w:t xml:space="preserve"> online tools these individuals use to access applicant data are restricted to CPFP-approved users.  Applicants submit their </w:t>
      </w:r>
      <w:r w:rsidRPr="005662F8" w:rsidR="008F2F05">
        <w:t xml:space="preserve">information </w:t>
      </w:r>
      <w:r w:rsidRPr="005662F8">
        <w:t xml:space="preserve">via password-protected </w:t>
      </w:r>
      <w:r w:rsidRPr="005662F8" w:rsidR="008F2F05">
        <w:t>platforms, as well</w:t>
      </w:r>
      <w:r w:rsidRPr="005662F8">
        <w:t xml:space="preserve">. </w:t>
      </w:r>
      <w:r w:rsidR="009905F9">
        <w:t>Additionally, contributors are sent a unique</w:t>
      </w:r>
      <w:r w:rsidR="00B7323E">
        <w:t>,</w:t>
      </w:r>
      <w:r w:rsidR="009905F9">
        <w:t xml:space="preserve"> randomly generated URL. This takes them to </w:t>
      </w:r>
      <w:r w:rsidR="00B7323E">
        <w:t>a particular</w:t>
      </w:r>
      <w:r w:rsidR="009905F9">
        <w:t xml:space="preserve"> page to upload the requested documents.</w:t>
      </w:r>
    </w:p>
    <w:p w:rsidRPr="005662F8" w:rsidR="00E60F72" w:rsidP="00BE590D" w:rsidRDefault="00E60F72" w14:paraId="3AB54A69" w14:textId="77777777">
      <w:pPr>
        <w:autoSpaceDE w:val="0"/>
        <w:autoSpaceDN w:val="0"/>
        <w:adjustRightInd w:val="0"/>
        <w:spacing w:line="276" w:lineRule="auto"/>
        <w:outlineLvl w:val="0"/>
      </w:pPr>
    </w:p>
    <w:p w:rsidRPr="005662F8" w:rsidR="00156A4A" w:rsidP="00BE590D" w:rsidRDefault="00156A4A" w14:paraId="197C4CB1" w14:textId="57E036C8">
      <w:pPr>
        <w:autoSpaceDE w:val="0"/>
        <w:autoSpaceDN w:val="0"/>
        <w:adjustRightInd w:val="0"/>
        <w:spacing w:line="276" w:lineRule="auto"/>
        <w:outlineLvl w:val="0"/>
      </w:pPr>
      <w:r w:rsidRPr="005662F8">
        <w:t xml:space="preserve">The CPFP website, applicant data, and online access tools are stored and hosted in the Information Management Services, Inc. (IMS) data center.  The IMS data center and network are protected at all entry points by firewalls and intrusion detection devices.  Physical controls such as user/group authorization, encryption of data at rest, and weekly security/virus scans are employed in the data center to </w:t>
      </w:r>
      <w:r w:rsidRPr="005662F8" w:rsidR="00E033A4">
        <w:t>ensure</w:t>
      </w:r>
      <w:r w:rsidRPr="005662F8">
        <w:t xml:space="preserve"> continued data security while at IMS.  All IMS employees are required to complete yearly security </w:t>
      </w:r>
      <w:r w:rsidR="00B7323E">
        <w:t>training</w:t>
      </w:r>
      <w:r w:rsidRPr="005662F8">
        <w:t>.</w:t>
      </w:r>
    </w:p>
    <w:p w:rsidRPr="005662F8" w:rsidR="00E60F72" w:rsidP="00BE590D" w:rsidRDefault="00E60F72" w14:paraId="561F4D93" w14:textId="77777777">
      <w:pPr>
        <w:autoSpaceDE w:val="0"/>
        <w:autoSpaceDN w:val="0"/>
        <w:adjustRightInd w:val="0"/>
        <w:spacing w:line="276" w:lineRule="auto"/>
        <w:outlineLvl w:val="0"/>
      </w:pPr>
    </w:p>
    <w:p w:rsidRPr="003B6D3D" w:rsidR="006D7BC9" w:rsidP="00BE590D" w:rsidRDefault="00715C45" w14:paraId="3A59D8BB" w14:textId="043AAAC6">
      <w:pPr>
        <w:autoSpaceDE w:val="0"/>
        <w:autoSpaceDN w:val="0"/>
        <w:adjustRightInd w:val="0"/>
        <w:spacing w:line="276" w:lineRule="auto"/>
        <w:outlineLvl w:val="0"/>
      </w:pPr>
      <w:r w:rsidRPr="005662F8">
        <w:t xml:space="preserve">The Privacy Act is applicable as determined by the NIH Privacy Officer in the Privacy Act Memo (Attachment </w:t>
      </w:r>
      <w:r w:rsidR="0035511C">
        <w:t>5</w:t>
      </w:r>
      <w:r w:rsidRPr="005662F8">
        <w:t>). The applicable System of Record Notice (SORN) is NIH Privacy Act SORN 09-25-</w:t>
      </w:r>
      <w:r w:rsidR="00904D40">
        <w:t>0014</w:t>
      </w:r>
      <w:r w:rsidRPr="005662F8">
        <w:t>;</w:t>
      </w:r>
      <w:bookmarkStart w:name="_Hlk17112631" w:id="14"/>
      <w:r w:rsidRPr="00904D40" w:rsidR="00904D40">
        <w:t xml:space="preserve"> “Clinical Research: Student Records.”</w:t>
      </w:r>
    </w:p>
    <w:bookmarkEnd w:id="14"/>
    <w:p w:rsidRPr="003B6D3D" w:rsidR="00343786" w:rsidP="00BE590D" w:rsidRDefault="00343786" w14:paraId="7A032A40" w14:textId="10A81599">
      <w:pPr>
        <w:spacing w:line="276" w:lineRule="auto"/>
        <w:rPr>
          <w:b/>
        </w:rPr>
      </w:pPr>
    </w:p>
    <w:p w:rsidRPr="003B6D3D" w:rsidR="00C97012" w:rsidP="00BE590D" w:rsidRDefault="0008711B" w14:paraId="23DC5BBF" w14:textId="66021C43">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11 </w:t>
      </w:r>
      <w:r w:rsidRPr="003B6D3D" w:rsidR="00125ADC">
        <w:rPr>
          <w:b/>
        </w:rPr>
        <w:tab/>
      </w:r>
      <w:r w:rsidRPr="003B6D3D">
        <w:rPr>
          <w:b/>
        </w:rPr>
        <w:t>Justification for Sensitive Questions</w:t>
      </w:r>
      <w:bookmarkEnd w:id="13"/>
    </w:p>
    <w:p w:rsidR="00BE590D" w:rsidP="00BE590D" w:rsidRDefault="00BE590D" w14:paraId="2952DB65" w14:textId="77777777">
      <w:pPr>
        <w:autoSpaceDE w:val="0"/>
        <w:autoSpaceDN w:val="0"/>
        <w:adjustRightInd w:val="0"/>
        <w:spacing w:line="276" w:lineRule="auto"/>
        <w:rPr>
          <w:bCs/>
        </w:rPr>
      </w:pPr>
    </w:p>
    <w:p w:rsidRPr="003B6D3D" w:rsidR="00732C3E" w:rsidP="00BE590D" w:rsidRDefault="006D7BC9" w14:paraId="59F0918A" w14:textId="5BCED875">
      <w:pPr>
        <w:autoSpaceDE w:val="0"/>
        <w:autoSpaceDN w:val="0"/>
        <w:adjustRightInd w:val="0"/>
        <w:spacing w:line="276" w:lineRule="auto"/>
        <w:rPr>
          <w:bCs/>
        </w:rPr>
      </w:pPr>
      <w:r w:rsidRPr="005662F8">
        <w:rPr>
          <w:bCs/>
        </w:rPr>
        <w:t>No sensitive questions are contained in this information collection.</w:t>
      </w:r>
      <w:r w:rsidR="00BA5CDF">
        <w:rPr>
          <w:bCs/>
        </w:rPr>
        <w:t xml:space="preserve"> </w:t>
      </w:r>
      <w:r w:rsidRPr="005662F8">
        <w:rPr>
          <w:bCs/>
        </w:rPr>
        <w:t>Personally Identifiable Information (PII) is collected</w:t>
      </w:r>
      <w:r w:rsidR="00BA5CDF">
        <w:rPr>
          <w:bCs/>
        </w:rPr>
        <w:t xml:space="preserve">, </w:t>
      </w:r>
      <w:r w:rsidRPr="005662F8" w:rsidR="00BA5CDF">
        <w:rPr>
          <w:bCs/>
        </w:rPr>
        <w:t>including</w:t>
      </w:r>
      <w:r w:rsidRPr="005662F8">
        <w:rPr>
          <w:bCs/>
        </w:rPr>
        <w:t xml:space="preserve"> name, contact information, education, </w:t>
      </w:r>
      <w:r w:rsidR="00070799">
        <w:rPr>
          <w:bCs/>
        </w:rPr>
        <w:t xml:space="preserve">proof of </w:t>
      </w:r>
      <w:r w:rsidRPr="005662F8" w:rsidR="008F2F05">
        <w:rPr>
          <w:bCs/>
        </w:rPr>
        <w:t>citizenship</w:t>
      </w:r>
      <w:r w:rsidR="00AF4534">
        <w:rPr>
          <w:bCs/>
        </w:rPr>
        <w:t xml:space="preserve"> which may include</w:t>
      </w:r>
      <w:r w:rsidR="00070799">
        <w:rPr>
          <w:bCs/>
        </w:rPr>
        <w:t xml:space="preserve"> </w:t>
      </w:r>
      <w:r w:rsidRPr="005662F8" w:rsidR="00070799">
        <w:rPr>
          <w:bCs/>
        </w:rPr>
        <w:t>passport/visa information</w:t>
      </w:r>
      <w:r w:rsidRPr="005662F8" w:rsidR="008F2F05">
        <w:rPr>
          <w:bCs/>
        </w:rPr>
        <w:t xml:space="preserve">, </w:t>
      </w:r>
      <w:r w:rsidRPr="005662F8">
        <w:rPr>
          <w:bCs/>
        </w:rPr>
        <w:t>and employment history. Federal regulations for the protection of human subjects do not apply to this activity.</w:t>
      </w:r>
      <w:r w:rsidR="00BA5CDF">
        <w:rPr>
          <w:bCs/>
        </w:rPr>
        <w:t xml:space="preserve"> </w:t>
      </w:r>
      <w:r w:rsidRPr="005662F8" w:rsidR="004C4126">
        <w:rPr>
          <w:bCs/>
        </w:rPr>
        <w:t xml:space="preserve">PII, such as </w:t>
      </w:r>
      <w:r w:rsidRPr="005662F8" w:rsidR="004C4126">
        <w:rPr>
          <w:bCs/>
        </w:rPr>
        <w:lastRenderedPageBreak/>
        <w:t>passport information and employment verification letters, are purged at the end of each application cycle.</w:t>
      </w:r>
    </w:p>
    <w:p w:rsidR="00BE590D" w:rsidP="00BE590D" w:rsidRDefault="00BE590D" w14:paraId="119967D8" w14:textId="64465145">
      <w:pPr>
        <w:spacing w:line="276" w:lineRule="auto"/>
        <w:rPr>
          <w:b/>
        </w:rPr>
      </w:pPr>
      <w:bookmarkStart w:name="_Toc230515989" w:id="15"/>
      <w:bookmarkStart w:name="_Hlk11307768" w:id="16"/>
    </w:p>
    <w:p w:rsidRPr="003B6D3D" w:rsidR="0008711B" w:rsidP="00BE590D" w:rsidRDefault="0008711B" w14:paraId="4C8E795A" w14:textId="78773E2E">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12 </w:t>
      </w:r>
      <w:r w:rsidRPr="003B6D3D" w:rsidR="00010D75">
        <w:rPr>
          <w:b/>
        </w:rPr>
        <w:t xml:space="preserve">   </w:t>
      </w:r>
      <w:r w:rsidRPr="003B6D3D">
        <w:rPr>
          <w:b/>
        </w:rPr>
        <w:t>Estimate</w:t>
      </w:r>
      <w:r w:rsidR="005662F8">
        <w:rPr>
          <w:b/>
        </w:rPr>
        <w:t xml:space="preserve">d Annualized Burden Hours and </w:t>
      </w:r>
      <w:bookmarkEnd w:id="15"/>
      <w:r w:rsidR="005662F8">
        <w:rPr>
          <w:b/>
        </w:rPr>
        <w:t>Cost to Respondents</w:t>
      </w:r>
    </w:p>
    <w:p w:rsidR="00BE590D" w:rsidP="00BE590D" w:rsidRDefault="00BE590D" w14:paraId="1A96BE71" w14:textId="77777777">
      <w:pPr>
        <w:autoSpaceDE w:val="0"/>
        <w:autoSpaceDN w:val="0"/>
        <w:adjustRightInd w:val="0"/>
        <w:spacing w:line="276" w:lineRule="auto"/>
      </w:pPr>
    </w:p>
    <w:p w:rsidR="00C14B9D" w:rsidP="00BE590D" w:rsidRDefault="00FD5D38" w14:paraId="3A2D62F0" w14:textId="6AB771D4">
      <w:pPr>
        <w:autoSpaceDE w:val="0"/>
        <w:autoSpaceDN w:val="0"/>
        <w:adjustRightInd w:val="0"/>
        <w:spacing w:line="276" w:lineRule="auto"/>
      </w:pPr>
      <w:r w:rsidRPr="00BE590D">
        <w:t xml:space="preserve">The total number of respondents is estimated at </w:t>
      </w:r>
      <w:r w:rsidR="00BE590D">
        <w:t>632</w:t>
      </w:r>
      <w:r w:rsidRPr="00BE590D">
        <w:t xml:space="preserve">, with a total annual burden of </w:t>
      </w:r>
      <w:r w:rsidRPr="00BE590D" w:rsidR="003B5AA2">
        <w:t>28</w:t>
      </w:r>
      <w:r w:rsidRPr="00BE590D" w:rsidR="009905F9">
        <w:t>8</w:t>
      </w:r>
      <w:r w:rsidRPr="00BE590D" w:rsidR="003B5AA2">
        <w:t xml:space="preserve"> </w:t>
      </w:r>
      <w:r w:rsidRPr="00BE590D">
        <w:t>hours (Table A.12-1).  Over a three-year information collection period</w:t>
      </w:r>
      <w:r w:rsidRPr="00BE590D" w:rsidR="00FA4CB3">
        <w:t>,</w:t>
      </w:r>
      <w:r w:rsidRPr="00BE590D">
        <w:t xml:space="preserve"> this amounts to an estimated </w:t>
      </w:r>
      <w:r w:rsidR="00BE590D">
        <w:t>1,896</w:t>
      </w:r>
      <w:r w:rsidRPr="00BE590D">
        <w:t xml:space="preserve"> respondents and approximately </w:t>
      </w:r>
      <w:r w:rsidR="00BE590D">
        <w:t>864</w:t>
      </w:r>
      <w:r w:rsidRPr="00BE590D" w:rsidR="003B5AA2">
        <w:t xml:space="preserve"> </w:t>
      </w:r>
      <w:r w:rsidRPr="00BE590D">
        <w:t>hours.</w:t>
      </w:r>
      <w:r w:rsidRPr="005662F8">
        <w:t xml:space="preserve">  </w:t>
      </w:r>
      <w:bookmarkEnd w:id="16"/>
    </w:p>
    <w:p w:rsidR="00BE590D" w:rsidP="00BE590D" w:rsidRDefault="00BE590D" w14:paraId="77DE3D87" w14:textId="2CD0612A">
      <w:pPr>
        <w:spacing w:line="276" w:lineRule="auto"/>
        <w:rPr>
          <w:b/>
        </w:rPr>
      </w:pPr>
    </w:p>
    <w:p w:rsidRPr="005662F8" w:rsidR="00E30BDD" w:rsidP="00BE590D" w:rsidRDefault="006D7BC9" w14:paraId="0B27AE97" w14:textId="78A89EBA">
      <w:pPr>
        <w:autoSpaceDE w:val="0"/>
        <w:autoSpaceDN w:val="0"/>
        <w:adjustRightInd w:val="0"/>
        <w:spacing w:line="276" w:lineRule="auto"/>
        <w:jc w:val="center"/>
        <w:rPr>
          <w:b/>
        </w:rPr>
      </w:pPr>
      <w:r w:rsidRPr="005662F8">
        <w:rPr>
          <w:b/>
        </w:rPr>
        <w:t>Table A</w:t>
      </w:r>
      <w:r w:rsidRPr="005662F8" w:rsidR="008F2F05">
        <w:rPr>
          <w:b/>
        </w:rPr>
        <w:t>.</w:t>
      </w:r>
      <w:r w:rsidRPr="005662F8">
        <w:rPr>
          <w:b/>
        </w:rPr>
        <w:t>12</w:t>
      </w:r>
      <w:r w:rsidRPr="005662F8" w:rsidR="008F2F05">
        <w:rPr>
          <w:b/>
        </w:rPr>
        <w:t>.</w:t>
      </w:r>
      <w:r w:rsidRPr="005662F8">
        <w:rPr>
          <w:b/>
        </w:rPr>
        <w:t>1 Estimated Annualized Burden Hours</w:t>
      </w:r>
    </w:p>
    <w:p w:rsidRPr="003B6D3D" w:rsidR="009B6534" w:rsidP="00BE590D" w:rsidRDefault="009B6534" w14:paraId="51F6E4E9" w14:textId="77777777">
      <w:pPr>
        <w:autoSpaceDE w:val="0"/>
        <w:autoSpaceDN w:val="0"/>
        <w:adjustRightInd w:val="0"/>
        <w:spacing w:line="276" w:lineRule="auto"/>
        <w:jc w:val="center"/>
      </w:pPr>
    </w:p>
    <w:tbl>
      <w:tblPr>
        <w:tblW w:w="4944"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947"/>
        <w:gridCol w:w="1442"/>
        <w:gridCol w:w="1622"/>
        <w:gridCol w:w="1440"/>
        <w:gridCol w:w="1352"/>
        <w:gridCol w:w="1442"/>
      </w:tblGrid>
      <w:tr w:rsidRPr="005662F8" w:rsidR="00F05EF8" w:rsidTr="005662F8" w14:paraId="45500A2D" w14:textId="77777777">
        <w:trPr>
          <w:cantSplit/>
          <w:trHeight w:val="1222"/>
        </w:trPr>
        <w:tc>
          <w:tcPr>
            <w:tcW w:w="1053" w:type="pct"/>
            <w:vAlign w:val="center"/>
          </w:tcPr>
          <w:p w:rsidRPr="005662F8" w:rsidR="006D7BC9" w:rsidP="00BE590D" w:rsidRDefault="006D7BC9" w14:paraId="0C618264" w14:textId="6DD7FB51">
            <w:pPr>
              <w:spacing w:line="276" w:lineRule="auto"/>
              <w:jc w:val="center"/>
              <w:rPr>
                <w:rFonts w:eastAsia="SimSun"/>
                <w:b/>
                <w:bCs/>
                <w:sz w:val="22"/>
                <w:szCs w:val="22"/>
                <w:lang w:eastAsia="en-US"/>
              </w:rPr>
            </w:pPr>
            <w:bookmarkStart w:name="_Hlk11307797" w:id="17"/>
            <w:r w:rsidRPr="005662F8">
              <w:rPr>
                <w:rFonts w:eastAsia="SimSun"/>
                <w:b/>
                <w:bCs/>
                <w:sz w:val="22"/>
                <w:szCs w:val="22"/>
                <w:lang w:eastAsia="en-US"/>
              </w:rPr>
              <w:t>Form</w:t>
            </w:r>
            <w:r w:rsidRPr="005662F8" w:rsidR="006A6456">
              <w:rPr>
                <w:rFonts w:eastAsia="SimSun"/>
                <w:b/>
                <w:bCs/>
                <w:sz w:val="22"/>
                <w:szCs w:val="22"/>
                <w:lang w:eastAsia="en-US"/>
              </w:rPr>
              <w:t xml:space="preserve"> Name</w:t>
            </w:r>
          </w:p>
        </w:tc>
        <w:tc>
          <w:tcPr>
            <w:tcW w:w="780" w:type="pct"/>
            <w:shd w:val="clear" w:color="auto" w:fill="auto"/>
            <w:vAlign w:val="center"/>
            <w:hideMark/>
          </w:tcPr>
          <w:p w:rsidRPr="005662F8" w:rsidR="006D7BC9" w:rsidP="00BE590D" w:rsidRDefault="009B6534" w14:paraId="13D3FE43" w14:textId="4482F3BF">
            <w:pPr>
              <w:spacing w:line="276" w:lineRule="auto"/>
              <w:jc w:val="center"/>
              <w:rPr>
                <w:rFonts w:eastAsia="SimSun"/>
                <w:b/>
                <w:bCs/>
                <w:sz w:val="22"/>
                <w:szCs w:val="22"/>
                <w:lang w:eastAsia="en-US"/>
              </w:rPr>
            </w:pPr>
            <w:r w:rsidRPr="005662F8">
              <w:rPr>
                <w:rFonts w:eastAsia="SimSun"/>
                <w:b/>
                <w:bCs/>
                <w:sz w:val="22"/>
                <w:szCs w:val="22"/>
                <w:lang w:eastAsia="en-US"/>
              </w:rPr>
              <w:t>Type</w:t>
            </w:r>
            <w:r w:rsidRPr="005662F8" w:rsidR="006D7BC9">
              <w:rPr>
                <w:rFonts w:eastAsia="SimSun"/>
                <w:b/>
                <w:bCs/>
                <w:sz w:val="22"/>
                <w:szCs w:val="22"/>
                <w:lang w:eastAsia="en-US"/>
              </w:rPr>
              <w:t xml:space="preserve"> of Respondent</w:t>
            </w:r>
          </w:p>
        </w:tc>
        <w:tc>
          <w:tcPr>
            <w:tcW w:w="877" w:type="pct"/>
            <w:shd w:val="clear" w:color="auto" w:fill="auto"/>
            <w:vAlign w:val="center"/>
            <w:hideMark/>
          </w:tcPr>
          <w:p w:rsidRPr="005662F8" w:rsidR="006D7BC9" w:rsidP="00BE590D" w:rsidRDefault="006D7BC9" w14:paraId="46CE1234" w14:textId="6B882C6D">
            <w:pPr>
              <w:spacing w:line="276" w:lineRule="auto"/>
              <w:jc w:val="center"/>
              <w:rPr>
                <w:rFonts w:eastAsia="SimSun"/>
                <w:b/>
                <w:bCs/>
                <w:sz w:val="22"/>
                <w:szCs w:val="22"/>
                <w:lang w:eastAsia="en-US"/>
              </w:rPr>
            </w:pPr>
            <w:r w:rsidRPr="005662F8">
              <w:rPr>
                <w:rFonts w:eastAsia="SimSun"/>
                <w:b/>
                <w:bCs/>
                <w:sz w:val="22"/>
                <w:szCs w:val="22"/>
                <w:lang w:eastAsia="en-US"/>
              </w:rPr>
              <w:t>Number of Respondents</w:t>
            </w:r>
            <w:r w:rsidRPr="005662F8" w:rsidR="00C64FAE">
              <w:rPr>
                <w:rFonts w:eastAsia="SimSun"/>
                <w:b/>
                <w:bCs/>
                <w:sz w:val="22"/>
                <w:szCs w:val="22"/>
                <w:lang w:eastAsia="en-US"/>
              </w:rPr>
              <w:t>*</w:t>
            </w:r>
          </w:p>
        </w:tc>
        <w:tc>
          <w:tcPr>
            <w:tcW w:w="779" w:type="pct"/>
            <w:shd w:val="clear" w:color="auto" w:fill="auto"/>
            <w:vAlign w:val="center"/>
            <w:hideMark/>
          </w:tcPr>
          <w:p w:rsidRPr="005662F8" w:rsidR="006D7BC9" w:rsidP="00BE590D" w:rsidRDefault="006D7BC9" w14:paraId="6A9D21C4" w14:textId="0BC2C423">
            <w:pPr>
              <w:spacing w:line="276" w:lineRule="auto"/>
              <w:jc w:val="center"/>
              <w:rPr>
                <w:rFonts w:eastAsia="SimSun"/>
                <w:b/>
                <w:bCs/>
                <w:sz w:val="22"/>
                <w:szCs w:val="22"/>
                <w:lang w:eastAsia="en-US"/>
              </w:rPr>
            </w:pPr>
            <w:r w:rsidRPr="005662F8">
              <w:rPr>
                <w:rFonts w:eastAsia="SimSun"/>
                <w:b/>
                <w:bCs/>
                <w:sz w:val="22"/>
                <w:szCs w:val="22"/>
                <w:lang w:eastAsia="en-US"/>
              </w:rPr>
              <w:t>Number of Responses Per Respondent</w:t>
            </w:r>
          </w:p>
        </w:tc>
        <w:tc>
          <w:tcPr>
            <w:tcW w:w="731" w:type="pct"/>
            <w:shd w:val="clear" w:color="auto" w:fill="auto"/>
            <w:vAlign w:val="center"/>
            <w:hideMark/>
          </w:tcPr>
          <w:p w:rsidRPr="005662F8" w:rsidR="006D7BC9" w:rsidP="00BE590D" w:rsidRDefault="009B6534" w14:paraId="292543FB" w14:textId="49EB357A">
            <w:pPr>
              <w:spacing w:line="276" w:lineRule="auto"/>
              <w:jc w:val="center"/>
              <w:rPr>
                <w:rFonts w:eastAsia="SimSun"/>
                <w:b/>
                <w:bCs/>
                <w:sz w:val="22"/>
                <w:szCs w:val="22"/>
                <w:lang w:eastAsia="en-US"/>
              </w:rPr>
            </w:pPr>
            <w:r w:rsidRPr="005662F8">
              <w:rPr>
                <w:rFonts w:eastAsia="SimSun"/>
                <w:b/>
                <w:bCs/>
                <w:sz w:val="22"/>
                <w:szCs w:val="22"/>
                <w:lang w:eastAsia="en-US"/>
              </w:rPr>
              <w:t xml:space="preserve">Average </w:t>
            </w:r>
            <w:r w:rsidRPr="005662F8" w:rsidR="006A6456">
              <w:rPr>
                <w:rFonts w:eastAsia="SimSun"/>
                <w:b/>
                <w:bCs/>
                <w:sz w:val="22"/>
                <w:szCs w:val="22"/>
                <w:lang w:eastAsia="en-US"/>
              </w:rPr>
              <w:t>Burde</w:t>
            </w:r>
            <w:r w:rsidRPr="005662F8" w:rsidR="00754B3A">
              <w:rPr>
                <w:rFonts w:eastAsia="SimSun"/>
                <w:b/>
                <w:bCs/>
                <w:sz w:val="22"/>
                <w:szCs w:val="22"/>
                <w:lang w:eastAsia="en-US"/>
              </w:rPr>
              <w:t>n</w:t>
            </w:r>
            <w:r w:rsidRPr="005662F8" w:rsidR="006A6456">
              <w:rPr>
                <w:rFonts w:eastAsia="SimSun"/>
                <w:b/>
                <w:bCs/>
                <w:sz w:val="22"/>
                <w:szCs w:val="22"/>
                <w:lang w:eastAsia="en-US"/>
              </w:rPr>
              <w:t xml:space="preserve"> </w:t>
            </w:r>
            <w:r w:rsidRPr="005662F8">
              <w:rPr>
                <w:rFonts w:eastAsia="SimSun"/>
                <w:b/>
                <w:bCs/>
                <w:sz w:val="22"/>
                <w:szCs w:val="22"/>
                <w:lang w:eastAsia="en-US"/>
              </w:rPr>
              <w:t>Per Response (in hours)</w:t>
            </w:r>
          </w:p>
        </w:tc>
        <w:tc>
          <w:tcPr>
            <w:tcW w:w="780" w:type="pct"/>
            <w:shd w:val="clear" w:color="auto" w:fill="auto"/>
            <w:vAlign w:val="center"/>
            <w:hideMark/>
          </w:tcPr>
          <w:p w:rsidRPr="005662F8" w:rsidR="006D7BC9" w:rsidP="00BE590D" w:rsidRDefault="006D7BC9" w14:paraId="15ADBD9E" w14:textId="5F6F5D17">
            <w:pPr>
              <w:spacing w:line="276" w:lineRule="auto"/>
              <w:jc w:val="center"/>
              <w:rPr>
                <w:rFonts w:eastAsia="SimSun"/>
                <w:b/>
                <w:bCs/>
                <w:sz w:val="22"/>
                <w:szCs w:val="22"/>
                <w:lang w:eastAsia="en-US"/>
              </w:rPr>
            </w:pPr>
            <w:r w:rsidRPr="005662F8">
              <w:rPr>
                <w:rFonts w:eastAsia="SimSun"/>
                <w:b/>
                <w:bCs/>
                <w:sz w:val="22"/>
                <w:szCs w:val="22"/>
                <w:lang w:eastAsia="en-US"/>
              </w:rPr>
              <w:t>Total Annual Burden Hours</w:t>
            </w:r>
          </w:p>
        </w:tc>
      </w:tr>
      <w:tr w:rsidRPr="005662F8" w:rsidR="00F05EF8" w:rsidTr="005662F8" w14:paraId="501F58F4" w14:textId="77777777">
        <w:trPr>
          <w:cantSplit/>
          <w:trHeight w:val="244"/>
        </w:trPr>
        <w:tc>
          <w:tcPr>
            <w:tcW w:w="1053" w:type="pct"/>
          </w:tcPr>
          <w:p w:rsidRPr="00BE590D" w:rsidR="006D7BC9" w:rsidP="00BE590D" w:rsidRDefault="006D7BC9" w14:paraId="6945ADC9" w14:textId="2634BE3C">
            <w:pPr>
              <w:spacing w:line="276" w:lineRule="auto"/>
              <w:rPr>
                <w:rFonts w:eastAsia="SimSun"/>
                <w:lang w:eastAsia="en-US"/>
              </w:rPr>
            </w:pPr>
            <w:r w:rsidRPr="00BE590D">
              <w:rPr>
                <w:rFonts w:eastAsia="SimSun"/>
                <w:lang w:eastAsia="en-US"/>
              </w:rPr>
              <w:t>Fellowship Application</w:t>
            </w:r>
          </w:p>
        </w:tc>
        <w:tc>
          <w:tcPr>
            <w:tcW w:w="780" w:type="pct"/>
            <w:shd w:val="clear" w:color="auto" w:fill="auto"/>
            <w:noWrap/>
            <w:vAlign w:val="center"/>
            <w:hideMark/>
          </w:tcPr>
          <w:p w:rsidRPr="00BE590D" w:rsidR="006D7BC9" w:rsidP="00BE590D" w:rsidRDefault="00D72E68" w14:paraId="3128DC0D" w14:textId="1FD829E0">
            <w:pPr>
              <w:spacing w:line="276" w:lineRule="auto"/>
              <w:jc w:val="center"/>
              <w:rPr>
                <w:rFonts w:eastAsia="SimSun"/>
                <w:lang w:eastAsia="en-US"/>
              </w:rPr>
            </w:pPr>
            <w:r w:rsidRPr="00BE590D">
              <w:rPr>
                <w:rFonts w:eastAsia="SimSun"/>
                <w:lang w:eastAsia="en-US"/>
              </w:rPr>
              <w:t>Individuals</w:t>
            </w:r>
          </w:p>
        </w:tc>
        <w:tc>
          <w:tcPr>
            <w:tcW w:w="877" w:type="pct"/>
            <w:shd w:val="clear" w:color="auto" w:fill="auto"/>
            <w:noWrap/>
            <w:vAlign w:val="center"/>
            <w:hideMark/>
          </w:tcPr>
          <w:p w:rsidRPr="00BE590D" w:rsidR="006D7BC9" w:rsidP="00BE590D" w:rsidRDefault="003B5AA2" w14:paraId="078EA502" w14:textId="6FE23A69">
            <w:pPr>
              <w:spacing w:line="276" w:lineRule="auto"/>
              <w:jc w:val="center"/>
              <w:rPr>
                <w:rFonts w:eastAsia="SimSun"/>
                <w:lang w:eastAsia="en-US"/>
              </w:rPr>
            </w:pPr>
            <w:r w:rsidRPr="00BE590D">
              <w:rPr>
                <w:rFonts w:eastAsia="SimSun"/>
                <w:lang w:eastAsia="en-US"/>
              </w:rPr>
              <w:t>116</w:t>
            </w:r>
          </w:p>
        </w:tc>
        <w:tc>
          <w:tcPr>
            <w:tcW w:w="779" w:type="pct"/>
            <w:shd w:val="clear" w:color="auto" w:fill="auto"/>
            <w:noWrap/>
            <w:vAlign w:val="center"/>
            <w:hideMark/>
          </w:tcPr>
          <w:p w:rsidRPr="00BE590D" w:rsidR="006D7BC9" w:rsidP="00BE590D" w:rsidRDefault="006D7BC9" w14:paraId="065CFFBE" w14:textId="77777777">
            <w:pPr>
              <w:spacing w:line="276" w:lineRule="auto"/>
              <w:jc w:val="center"/>
              <w:rPr>
                <w:rFonts w:eastAsia="SimSun"/>
                <w:lang w:eastAsia="en-US"/>
              </w:rPr>
            </w:pPr>
            <w:r w:rsidRPr="00BE590D">
              <w:rPr>
                <w:rFonts w:eastAsia="SimSun"/>
                <w:lang w:eastAsia="en-US"/>
              </w:rPr>
              <w:t>1</w:t>
            </w:r>
          </w:p>
        </w:tc>
        <w:tc>
          <w:tcPr>
            <w:tcW w:w="731" w:type="pct"/>
            <w:shd w:val="clear" w:color="auto" w:fill="auto"/>
            <w:vAlign w:val="center"/>
            <w:hideMark/>
          </w:tcPr>
          <w:p w:rsidRPr="00BE590D" w:rsidR="006D7BC9" w:rsidP="00BE590D" w:rsidRDefault="006D7BC9" w14:paraId="38CBD079" w14:textId="77777777">
            <w:pPr>
              <w:spacing w:line="276" w:lineRule="auto"/>
              <w:jc w:val="center"/>
              <w:rPr>
                <w:rFonts w:eastAsia="SimSun"/>
                <w:lang w:eastAsia="en-US"/>
              </w:rPr>
            </w:pPr>
            <w:r w:rsidRPr="00BE590D">
              <w:rPr>
                <w:rFonts w:eastAsia="SimSun"/>
                <w:lang w:eastAsia="en-US"/>
              </w:rPr>
              <w:t>1</w:t>
            </w:r>
          </w:p>
        </w:tc>
        <w:tc>
          <w:tcPr>
            <w:tcW w:w="780" w:type="pct"/>
            <w:shd w:val="clear" w:color="auto" w:fill="auto"/>
            <w:vAlign w:val="center"/>
            <w:hideMark/>
          </w:tcPr>
          <w:p w:rsidRPr="00BE590D" w:rsidR="006D7BC9" w:rsidP="00BE590D" w:rsidRDefault="003B5AA2" w14:paraId="7E09917D" w14:textId="54E7D337">
            <w:pPr>
              <w:spacing w:line="276" w:lineRule="auto"/>
              <w:jc w:val="center"/>
              <w:rPr>
                <w:rFonts w:eastAsia="SimSun"/>
                <w:lang w:eastAsia="en-US"/>
              </w:rPr>
            </w:pPr>
            <w:r w:rsidRPr="00BE590D">
              <w:rPr>
                <w:rFonts w:eastAsia="SimSun"/>
                <w:lang w:eastAsia="en-US"/>
              </w:rPr>
              <w:t>116</w:t>
            </w:r>
          </w:p>
        </w:tc>
      </w:tr>
      <w:tr w:rsidRPr="005662F8" w:rsidR="00F05EF8" w:rsidTr="005662F8" w14:paraId="65ECC543" w14:textId="77777777">
        <w:trPr>
          <w:cantSplit/>
          <w:trHeight w:val="244"/>
        </w:trPr>
        <w:tc>
          <w:tcPr>
            <w:tcW w:w="1053" w:type="pct"/>
          </w:tcPr>
          <w:p w:rsidRPr="00BE590D" w:rsidR="006D7BC9" w:rsidP="00BE590D" w:rsidRDefault="006D7BC9" w14:paraId="0565E5BD" w14:textId="75003C1F">
            <w:pPr>
              <w:spacing w:line="276" w:lineRule="auto"/>
              <w:rPr>
                <w:rFonts w:eastAsia="SimSun"/>
                <w:lang w:eastAsia="en-US"/>
              </w:rPr>
            </w:pPr>
            <w:r w:rsidRPr="00BE590D">
              <w:rPr>
                <w:rFonts w:eastAsia="SimSun"/>
                <w:lang w:eastAsia="en-US"/>
              </w:rPr>
              <w:t xml:space="preserve">Reference Recommendation Letters </w:t>
            </w:r>
          </w:p>
        </w:tc>
        <w:tc>
          <w:tcPr>
            <w:tcW w:w="780" w:type="pct"/>
            <w:shd w:val="clear" w:color="auto" w:fill="auto"/>
            <w:noWrap/>
            <w:vAlign w:val="center"/>
            <w:hideMark/>
          </w:tcPr>
          <w:p w:rsidRPr="00BE590D" w:rsidR="006D7BC9" w:rsidP="00BE590D" w:rsidRDefault="00D72E68" w14:paraId="312B4812" w14:textId="2A24FFD1">
            <w:pPr>
              <w:spacing w:line="276" w:lineRule="auto"/>
              <w:jc w:val="center"/>
              <w:rPr>
                <w:rFonts w:eastAsia="SimSun"/>
                <w:lang w:eastAsia="en-US"/>
              </w:rPr>
            </w:pPr>
            <w:r w:rsidRPr="00BE590D">
              <w:rPr>
                <w:rFonts w:eastAsia="SimSun"/>
                <w:lang w:eastAsia="en-US"/>
              </w:rPr>
              <w:t>Individuals</w:t>
            </w:r>
          </w:p>
        </w:tc>
        <w:tc>
          <w:tcPr>
            <w:tcW w:w="877" w:type="pct"/>
            <w:shd w:val="clear" w:color="auto" w:fill="auto"/>
            <w:noWrap/>
            <w:vAlign w:val="center"/>
            <w:hideMark/>
          </w:tcPr>
          <w:p w:rsidRPr="00BE590D" w:rsidR="006D7BC9" w:rsidP="00BE590D" w:rsidRDefault="003B5AA2" w14:paraId="6478AE28" w14:textId="5C9ED599">
            <w:pPr>
              <w:spacing w:line="276" w:lineRule="auto"/>
              <w:jc w:val="center"/>
              <w:rPr>
                <w:rFonts w:eastAsia="SimSun"/>
                <w:lang w:eastAsia="en-US"/>
              </w:rPr>
            </w:pPr>
            <w:r w:rsidRPr="00BE590D">
              <w:rPr>
                <w:rFonts w:eastAsia="SimSun"/>
                <w:lang w:eastAsia="en-US"/>
              </w:rPr>
              <w:t>464</w:t>
            </w:r>
          </w:p>
        </w:tc>
        <w:tc>
          <w:tcPr>
            <w:tcW w:w="779" w:type="pct"/>
            <w:shd w:val="clear" w:color="auto" w:fill="auto"/>
            <w:noWrap/>
            <w:vAlign w:val="center"/>
            <w:hideMark/>
          </w:tcPr>
          <w:p w:rsidRPr="00BE590D" w:rsidR="006D7BC9" w:rsidP="00BE590D" w:rsidRDefault="006D7BC9" w14:paraId="04BE29A6" w14:textId="77777777">
            <w:pPr>
              <w:spacing w:line="276" w:lineRule="auto"/>
              <w:jc w:val="center"/>
              <w:rPr>
                <w:rFonts w:eastAsia="SimSun"/>
                <w:lang w:eastAsia="en-US"/>
              </w:rPr>
            </w:pPr>
            <w:r w:rsidRPr="00BE590D">
              <w:rPr>
                <w:rFonts w:eastAsia="SimSun"/>
                <w:lang w:eastAsia="en-US"/>
              </w:rPr>
              <w:t>1</w:t>
            </w:r>
          </w:p>
        </w:tc>
        <w:tc>
          <w:tcPr>
            <w:tcW w:w="731" w:type="pct"/>
            <w:shd w:val="clear" w:color="auto" w:fill="auto"/>
            <w:vAlign w:val="center"/>
            <w:hideMark/>
          </w:tcPr>
          <w:p w:rsidRPr="00BE590D" w:rsidR="006D7BC9" w:rsidP="00BE590D" w:rsidRDefault="009B6534" w14:paraId="0E50751D" w14:textId="4DF3451E">
            <w:pPr>
              <w:spacing w:line="276" w:lineRule="auto"/>
              <w:jc w:val="center"/>
              <w:rPr>
                <w:rFonts w:eastAsia="SimSun"/>
                <w:lang w:eastAsia="en-US"/>
              </w:rPr>
            </w:pPr>
            <w:r w:rsidRPr="00BE590D">
              <w:rPr>
                <w:rFonts w:eastAsia="SimSun"/>
                <w:lang w:eastAsia="en-US"/>
              </w:rPr>
              <w:t>20/60</w:t>
            </w:r>
          </w:p>
        </w:tc>
        <w:tc>
          <w:tcPr>
            <w:tcW w:w="780" w:type="pct"/>
            <w:shd w:val="clear" w:color="auto" w:fill="auto"/>
            <w:vAlign w:val="center"/>
            <w:hideMark/>
          </w:tcPr>
          <w:p w:rsidRPr="00BE590D" w:rsidR="006D7BC9" w:rsidP="00BE590D" w:rsidRDefault="003B5AA2" w14:paraId="3FA988AA" w14:textId="547528A5">
            <w:pPr>
              <w:spacing w:line="276" w:lineRule="auto"/>
              <w:jc w:val="center"/>
              <w:rPr>
                <w:rFonts w:eastAsia="SimSun"/>
                <w:lang w:eastAsia="en-US"/>
              </w:rPr>
            </w:pPr>
            <w:r w:rsidRPr="00BE590D">
              <w:rPr>
                <w:rFonts w:eastAsia="SimSun"/>
                <w:lang w:eastAsia="en-US"/>
              </w:rPr>
              <w:t>155</w:t>
            </w:r>
          </w:p>
        </w:tc>
      </w:tr>
      <w:tr w:rsidRPr="005662F8" w:rsidR="00F05EF8" w:rsidTr="005662F8" w14:paraId="6196FD19" w14:textId="77777777">
        <w:trPr>
          <w:cantSplit/>
          <w:trHeight w:val="244"/>
        </w:trPr>
        <w:tc>
          <w:tcPr>
            <w:tcW w:w="1053" w:type="pct"/>
          </w:tcPr>
          <w:p w:rsidRPr="00BE590D" w:rsidR="00667CEE" w:rsidP="00BE590D" w:rsidRDefault="00667CEE" w14:paraId="12AAFE6D" w14:textId="250F5E96">
            <w:pPr>
              <w:spacing w:line="276" w:lineRule="auto"/>
              <w:rPr>
                <w:rFonts w:eastAsia="SimSun"/>
                <w:lang w:eastAsia="en-US"/>
              </w:rPr>
            </w:pPr>
            <w:r w:rsidRPr="00BE590D">
              <w:rPr>
                <w:rFonts w:eastAsia="SimSun"/>
                <w:lang w:eastAsia="en-US"/>
              </w:rPr>
              <w:t xml:space="preserve">Letters of Assurance </w:t>
            </w:r>
          </w:p>
        </w:tc>
        <w:tc>
          <w:tcPr>
            <w:tcW w:w="780" w:type="pct"/>
            <w:shd w:val="clear" w:color="auto" w:fill="auto"/>
            <w:noWrap/>
            <w:vAlign w:val="center"/>
          </w:tcPr>
          <w:p w:rsidRPr="00BE590D" w:rsidR="00667CEE" w:rsidP="00BE590D" w:rsidRDefault="00D72E68" w14:paraId="44EF5D16" w14:textId="14F0E09A">
            <w:pPr>
              <w:spacing w:line="276" w:lineRule="auto"/>
              <w:jc w:val="center"/>
              <w:rPr>
                <w:rFonts w:eastAsia="SimSun"/>
                <w:lang w:eastAsia="en-US"/>
              </w:rPr>
            </w:pPr>
            <w:r w:rsidRPr="00BE590D">
              <w:rPr>
                <w:rFonts w:eastAsia="SimSun"/>
                <w:lang w:eastAsia="en-US"/>
              </w:rPr>
              <w:t>Individuals</w:t>
            </w:r>
          </w:p>
        </w:tc>
        <w:tc>
          <w:tcPr>
            <w:tcW w:w="877" w:type="pct"/>
            <w:shd w:val="clear" w:color="auto" w:fill="auto"/>
            <w:noWrap/>
            <w:vAlign w:val="center"/>
          </w:tcPr>
          <w:p w:rsidRPr="00BE590D" w:rsidR="00BF3B60" w:rsidP="00BE590D" w:rsidRDefault="00C14B9D" w14:paraId="2DD2E564" w14:textId="3D63CDE5">
            <w:pPr>
              <w:spacing w:line="276" w:lineRule="auto"/>
              <w:jc w:val="center"/>
              <w:rPr>
                <w:rFonts w:eastAsia="SimSun"/>
                <w:lang w:eastAsia="en-US"/>
              </w:rPr>
            </w:pPr>
            <w:r w:rsidRPr="00BE590D">
              <w:rPr>
                <w:rFonts w:eastAsia="SimSun"/>
                <w:lang w:eastAsia="en-US"/>
              </w:rPr>
              <w:t>52</w:t>
            </w:r>
          </w:p>
        </w:tc>
        <w:tc>
          <w:tcPr>
            <w:tcW w:w="779" w:type="pct"/>
            <w:shd w:val="clear" w:color="auto" w:fill="auto"/>
            <w:noWrap/>
            <w:vAlign w:val="center"/>
          </w:tcPr>
          <w:p w:rsidRPr="00BE590D" w:rsidR="00667CEE" w:rsidP="00BE590D" w:rsidRDefault="00667CEE" w14:paraId="0EB70359" w14:textId="0A35794A">
            <w:pPr>
              <w:spacing w:line="276" w:lineRule="auto"/>
              <w:jc w:val="center"/>
              <w:rPr>
                <w:rFonts w:eastAsia="SimSun"/>
                <w:lang w:eastAsia="en-US"/>
              </w:rPr>
            </w:pPr>
            <w:r w:rsidRPr="00BE590D">
              <w:rPr>
                <w:rFonts w:eastAsia="SimSun"/>
                <w:lang w:eastAsia="en-US"/>
              </w:rPr>
              <w:t>1</w:t>
            </w:r>
          </w:p>
        </w:tc>
        <w:tc>
          <w:tcPr>
            <w:tcW w:w="731" w:type="pct"/>
            <w:shd w:val="clear" w:color="auto" w:fill="auto"/>
            <w:vAlign w:val="center"/>
          </w:tcPr>
          <w:p w:rsidRPr="00BE590D" w:rsidR="00667CEE" w:rsidP="00BE590D" w:rsidRDefault="00E81177" w14:paraId="1E0834E4" w14:textId="6241D41B">
            <w:pPr>
              <w:spacing w:line="276" w:lineRule="auto"/>
              <w:jc w:val="center"/>
              <w:rPr>
                <w:rFonts w:eastAsia="SimSun"/>
                <w:lang w:eastAsia="en-US"/>
              </w:rPr>
            </w:pPr>
            <w:r w:rsidRPr="00BE590D">
              <w:rPr>
                <w:rFonts w:eastAsia="SimSun"/>
                <w:lang w:eastAsia="en-US"/>
              </w:rPr>
              <w:t>20/60</w:t>
            </w:r>
          </w:p>
        </w:tc>
        <w:tc>
          <w:tcPr>
            <w:tcW w:w="780" w:type="pct"/>
            <w:shd w:val="clear" w:color="auto" w:fill="auto"/>
            <w:vAlign w:val="center"/>
          </w:tcPr>
          <w:p w:rsidRPr="00BE590D" w:rsidR="00667CEE" w:rsidP="00BE590D" w:rsidRDefault="00C14B9D" w14:paraId="3BE1D436" w14:textId="13658E56">
            <w:pPr>
              <w:spacing w:line="276" w:lineRule="auto"/>
              <w:jc w:val="center"/>
              <w:rPr>
                <w:rFonts w:eastAsia="SimSun"/>
                <w:lang w:eastAsia="en-US"/>
              </w:rPr>
            </w:pPr>
            <w:r w:rsidRPr="00BE590D">
              <w:rPr>
                <w:rFonts w:eastAsia="SimSun"/>
                <w:lang w:eastAsia="en-US"/>
              </w:rPr>
              <w:t>17</w:t>
            </w:r>
          </w:p>
        </w:tc>
      </w:tr>
      <w:tr w:rsidRPr="005662F8" w:rsidR="00DE6706" w:rsidTr="005662F8" w14:paraId="4CC530C9" w14:textId="77777777">
        <w:trPr>
          <w:cantSplit/>
          <w:trHeight w:val="244"/>
        </w:trPr>
        <w:tc>
          <w:tcPr>
            <w:tcW w:w="1833" w:type="pct"/>
            <w:gridSpan w:val="2"/>
          </w:tcPr>
          <w:p w:rsidRPr="00BE590D" w:rsidR="00DE6706" w:rsidP="00BE590D" w:rsidRDefault="00DE6706" w14:paraId="63865162" w14:textId="26E998F9">
            <w:pPr>
              <w:spacing w:line="276" w:lineRule="auto"/>
              <w:rPr>
                <w:rFonts w:eastAsia="SimSun"/>
                <w:b/>
                <w:lang w:eastAsia="en-US"/>
              </w:rPr>
            </w:pPr>
            <w:r w:rsidRPr="00BE590D">
              <w:rPr>
                <w:rFonts w:eastAsia="SimSun"/>
                <w:b/>
                <w:lang w:eastAsia="en-US"/>
              </w:rPr>
              <w:t>Total</w:t>
            </w:r>
            <w:r w:rsidR="00BE590D">
              <w:rPr>
                <w:rFonts w:eastAsia="SimSun"/>
                <w:b/>
                <w:lang w:eastAsia="en-US"/>
              </w:rPr>
              <w:t>s</w:t>
            </w:r>
          </w:p>
        </w:tc>
        <w:tc>
          <w:tcPr>
            <w:tcW w:w="877" w:type="pct"/>
            <w:shd w:val="clear" w:color="auto" w:fill="auto"/>
            <w:noWrap/>
            <w:vAlign w:val="center"/>
          </w:tcPr>
          <w:p w:rsidRPr="00BE590D" w:rsidR="00DE6706" w:rsidP="00BE590D" w:rsidRDefault="00191BEA" w14:paraId="32ECF565" w14:textId="72F16B13">
            <w:pPr>
              <w:spacing w:line="276" w:lineRule="auto"/>
              <w:jc w:val="center"/>
              <w:rPr>
                <w:rFonts w:eastAsia="SimSun"/>
                <w:b/>
                <w:lang w:eastAsia="en-US"/>
              </w:rPr>
            </w:pPr>
            <w:r w:rsidRPr="00BE590D">
              <w:rPr>
                <w:rFonts w:eastAsia="SimSun"/>
                <w:b/>
                <w:lang w:eastAsia="en-US"/>
              </w:rPr>
              <w:t xml:space="preserve"> </w:t>
            </w:r>
          </w:p>
        </w:tc>
        <w:tc>
          <w:tcPr>
            <w:tcW w:w="779" w:type="pct"/>
            <w:shd w:val="clear" w:color="auto" w:fill="auto"/>
            <w:noWrap/>
            <w:vAlign w:val="center"/>
          </w:tcPr>
          <w:p w:rsidRPr="00BE590D" w:rsidR="00DE6706" w:rsidP="00BE590D" w:rsidRDefault="00D72E68" w14:paraId="478EE088" w14:textId="538A9E75">
            <w:pPr>
              <w:spacing w:line="276" w:lineRule="auto"/>
              <w:jc w:val="center"/>
              <w:rPr>
                <w:rFonts w:eastAsia="SimSun"/>
                <w:b/>
                <w:lang w:eastAsia="en-US"/>
              </w:rPr>
            </w:pPr>
            <w:r w:rsidRPr="00BE590D">
              <w:rPr>
                <w:rFonts w:eastAsia="SimSun"/>
                <w:b/>
                <w:lang w:eastAsia="en-US"/>
              </w:rPr>
              <w:t>632</w:t>
            </w:r>
          </w:p>
        </w:tc>
        <w:tc>
          <w:tcPr>
            <w:tcW w:w="731" w:type="pct"/>
            <w:shd w:val="clear" w:color="auto" w:fill="auto"/>
            <w:vAlign w:val="center"/>
          </w:tcPr>
          <w:p w:rsidRPr="00BE590D" w:rsidR="00DE6706" w:rsidP="00BE590D" w:rsidRDefault="00DE6706" w14:paraId="4F48AE20" w14:textId="77777777">
            <w:pPr>
              <w:spacing w:line="276" w:lineRule="auto"/>
              <w:jc w:val="center"/>
              <w:rPr>
                <w:rFonts w:eastAsia="SimSun"/>
                <w:b/>
                <w:lang w:eastAsia="en-US"/>
              </w:rPr>
            </w:pPr>
          </w:p>
        </w:tc>
        <w:tc>
          <w:tcPr>
            <w:tcW w:w="780" w:type="pct"/>
            <w:shd w:val="clear" w:color="auto" w:fill="auto"/>
            <w:vAlign w:val="center"/>
          </w:tcPr>
          <w:p w:rsidRPr="00BE590D" w:rsidR="00DE6706" w:rsidP="00BE590D" w:rsidRDefault="003B5AA2" w14:paraId="324CF0F8" w14:textId="0DCC4594">
            <w:pPr>
              <w:spacing w:line="276" w:lineRule="auto"/>
              <w:jc w:val="center"/>
              <w:rPr>
                <w:rFonts w:eastAsia="SimSun"/>
                <w:b/>
                <w:lang w:eastAsia="en-US"/>
              </w:rPr>
            </w:pPr>
            <w:r w:rsidRPr="00BE590D">
              <w:rPr>
                <w:rFonts w:eastAsia="SimSun"/>
                <w:b/>
                <w:lang w:eastAsia="en-US"/>
              </w:rPr>
              <w:t>28</w:t>
            </w:r>
            <w:r w:rsidRPr="00BE590D" w:rsidR="009905F9">
              <w:rPr>
                <w:rFonts w:eastAsia="SimSun"/>
                <w:b/>
                <w:lang w:eastAsia="en-US"/>
              </w:rPr>
              <w:t>8</w:t>
            </w:r>
          </w:p>
        </w:tc>
      </w:tr>
      <w:bookmarkEnd w:id="17"/>
    </w:tbl>
    <w:p w:rsidR="005662F8" w:rsidP="00BE590D" w:rsidRDefault="005662F8" w14:paraId="59EDE0B2" w14:textId="77777777">
      <w:pPr>
        <w:spacing w:line="276" w:lineRule="auto"/>
        <w:rPr>
          <w:b/>
        </w:rPr>
      </w:pPr>
    </w:p>
    <w:p w:rsidRPr="005662F8" w:rsidR="0008711B" w:rsidP="00BE590D" w:rsidRDefault="00122D79" w14:paraId="5CBB9332" w14:textId="6ABC6EA7">
      <w:pPr>
        <w:spacing w:line="276" w:lineRule="auto"/>
        <w:jc w:val="center"/>
        <w:rPr>
          <w:b/>
        </w:rPr>
      </w:pPr>
      <w:r w:rsidRPr="005662F8">
        <w:rPr>
          <w:b/>
        </w:rPr>
        <w:t>Table A</w:t>
      </w:r>
      <w:r w:rsidRPr="005662F8" w:rsidR="00B7638C">
        <w:rPr>
          <w:b/>
        </w:rPr>
        <w:t>.</w:t>
      </w:r>
      <w:r w:rsidRPr="005662F8">
        <w:rPr>
          <w:b/>
        </w:rPr>
        <w:t>12</w:t>
      </w:r>
      <w:r w:rsidRPr="005662F8" w:rsidR="00B7638C">
        <w:rPr>
          <w:b/>
        </w:rPr>
        <w:t>.</w:t>
      </w:r>
      <w:r w:rsidRPr="005662F8">
        <w:rPr>
          <w:b/>
        </w:rPr>
        <w:t xml:space="preserve">2   </w:t>
      </w:r>
      <w:r w:rsidRPr="005662F8" w:rsidR="00D70017">
        <w:rPr>
          <w:b/>
        </w:rPr>
        <w:t xml:space="preserve">Annualized </w:t>
      </w:r>
      <w:r w:rsidRPr="005662F8">
        <w:rPr>
          <w:b/>
        </w:rPr>
        <w:t xml:space="preserve">Cost to </w:t>
      </w:r>
      <w:r w:rsidR="005662F8">
        <w:rPr>
          <w:b/>
        </w:rPr>
        <w:t xml:space="preserve">the </w:t>
      </w:r>
      <w:r w:rsidRPr="005662F8">
        <w:rPr>
          <w:b/>
        </w:rPr>
        <w:t>Respondents</w:t>
      </w:r>
    </w:p>
    <w:p w:rsidRPr="003B6D3D" w:rsidR="00264DEA" w:rsidP="00BE590D" w:rsidRDefault="00264DEA" w14:paraId="285FF5E8" w14:textId="77777777">
      <w:pPr>
        <w:spacing w:line="276" w:lineRule="auto"/>
        <w:jc w:val="center"/>
        <w:rPr>
          <w:highlight w:val="yellow"/>
        </w:rPr>
      </w:pPr>
    </w:p>
    <w:tbl>
      <w:tblP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7"/>
        <w:gridCol w:w="2362"/>
        <w:gridCol w:w="1760"/>
        <w:gridCol w:w="3056"/>
      </w:tblGrid>
      <w:tr w:rsidRPr="003B6D3D" w:rsidR="00F05EF8" w:rsidTr="00B7323E" w14:paraId="0F64DA0D" w14:textId="77777777">
        <w:trPr>
          <w:trHeight w:val="620"/>
          <w:jc w:val="center"/>
        </w:trPr>
        <w:tc>
          <w:tcPr>
            <w:tcW w:w="2087" w:type="dxa"/>
            <w:vAlign w:val="center"/>
          </w:tcPr>
          <w:p w:rsidRPr="005662F8" w:rsidR="00F05EF8" w:rsidP="00BE590D" w:rsidRDefault="00F05EF8" w14:paraId="6BBAB5FE" w14:textId="6895743E">
            <w:pPr>
              <w:spacing w:line="276" w:lineRule="auto"/>
              <w:jc w:val="center"/>
              <w:rPr>
                <w:rFonts w:eastAsia="SimSun"/>
                <w:b/>
                <w:lang w:eastAsia="en-US"/>
              </w:rPr>
            </w:pPr>
            <w:bookmarkStart w:name="_Toc230515990" w:id="18"/>
            <w:r w:rsidRPr="005662F8">
              <w:rPr>
                <w:rFonts w:eastAsia="SimSun"/>
                <w:b/>
                <w:lang w:eastAsia="en-US"/>
              </w:rPr>
              <w:t>Type of Respondent</w:t>
            </w:r>
          </w:p>
        </w:tc>
        <w:tc>
          <w:tcPr>
            <w:tcW w:w="2362" w:type="dxa"/>
            <w:vAlign w:val="center"/>
          </w:tcPr>
          <w:p w:rsidRPr="005662F8" w:rsidR="00F05EF8" w:rsidP="00BE590D" w:rsidRDefault="00F05EF8" w14:paraId="1C899970" w14:textId="1884BBFE">
            <w:pPr>
              <w:spacing w:line="276" w:lineRule="auto"/>
              <w:jc w:val="center"/>
              <w:rPr>
                <w:rFonts w:eastAsia="SimSun"/>
                <w:b/>
                <w:lang w:eastAsia="en-US"/>
              </w:rPr>
            </w:pPr>
            <w:r w:rsidRPr="005662F8">
              <w:rPr>
                <w:rFonts w:eastAsia="SimSun"/>
                <w:b/>
                <w:lang w:eastAsia="en-US"/>
              </w:rPr>
              <w:t>Total Annual Burden Hours</w:t>
            </w:r>
          </w:p>
        </w:tc>
        <w:tc>
          <w:tcPr>
            <w:tcW w:w="1760" w:type="dxa"/>
            <w:vAlign w:val="center"/>
          </w:tcPr>
          <w:p w:rsidRPr="005662F8" w:rsidR="00F05EF8" w:rsidP="00BE590D" w:rsidRDefault="00F05EF8" w14:paraId="44B40C7C" w14:textId="3CE41165">
            <w:pPr>
              <w:spacing w:line="276" w:lineRule="auto"/>
              <w:jc w:val="center"/>
              <w:rPr>
                <w:rFonts w:eastAsia="SimSun"/>
                <w:b/>
                <w:lang w:eastAsia="en-US"/>
              </w:rPr>
            </w:pPr>
            <w:r w:rsidRPr="005662F8">
              <w:rPr>
                <w:rFonts w:eastAsia="SimSun"/>
                <w:b/>
                <w:lang w:eastAsia="en-US"/>
              </w:rPr>
              <w:t>Hourly Wage Rate*</w:t>
            </w:r>
          </w:p>
        </w:tc>
        <w:tc>
          <w:tcPr>
            <w:tcW w:w="3056" w:type="dxa"/>
            <w:vAlign w:val="center"/>
          </w:tcPr>
          <w:p w:rsidRPr="005662F8" w:rsidR="00F05EF8" w:rsidP="00BE590D" w:rsidRDefault="00F05EF8" w14:paraId="4A4FBA7A" w14:textId="77777777">
            <w:pPr>
              <w:spacing w:line="276" w:lineRule="auto"/>
              <w:jc w:val="center"/>
              <w:rPr>
                <w:rFonts w:eastAsia="SimSun"/>
                <w:b/>
                <w:lang w:eastAsia="en-US"/>
              </w:rPr>
            </w:pPr>
            <w:r w:rsidRPr="005662F8">
              <w:rPr>
                <w:rFonts w:eastAsia="SimSun"/>
                <w:b/>
                <w:lang w:eastAsia="en-US"/>
              </w:rPr>
              <w:t>Respondent</w:t>
            </w:r>
          </w:p>
          <w:p w:rsidRPr="005662F8" w:rsidR="00F05EF8" w:rsidP="00BE590D" w:rsidRDefault="00F05EF8" w14:paraId="6FB1B475" w14:textId="77777777">
            <w:pPr>
              <w:spacing w:line="276" w:lineRule="auto"/>
              <w:jc w:val="center"/>
              <w:rPr>
                <w:rFonts w:eastAsia="SimSun"/>
                <w:b/>
                <w:lang w:eastAsia="en-US"/>
              </w:rPr>
            </w:pPr>
            <w:r w:rsidRPr="005662F8">
              <w:rPr>
                <w:rFonts w:eastAsia="SimSun"/>
                <w:b/>
                <w:lang w:eastAsia="en-US"/>
              </w:rPr>
              <w:t>Cost</w:t>
            </w:r>
          </w:p>
        </w:tc>
      </w:tr>
      <w:tr w:rsidRPr="003B6D3D" w:rsidR="008F0517" w:rsidTr="00BE590D" w14:paraId="0DADC1B7" w14:textId="77777777">
        <w:trPr>
          <w:trHeight w:val="593"/>
          <w:jc w:val="center"/>
        </w:trPr>
        <w:tc>
          <w:tcPr>
            <w:tcW w:w="2087" w:type="dxa"/>
            <w:vAlign w:val="center"/>
          </w:tcPr>
          <w:p w:rsidRPr="005662F8" w:rsidR="008F0517" w:rsidP="00BE590D" w:rsidRDefault="00D72E68" w14:paraId="09114966" w14:textId="5E805144">
            <w:pPr>
              <w:spacing w:line="276" w:lineRule="auto"/>
              <w:jc w:val="center"/>
              <w:rPr>
                <w:rFonts w:eastAsia="SimSun"/>
                <w:lang w:eastAsia="en-US"/>
              </w:rPr>
            </w:pPr>
            <w:r>
              <w:rPr>
                <w:rFonts w:eastAsia="SimSun"/>
                <w:lang w:eastAsia="en-US"/>
              </w:rPr>
              <w:t xml:space="preserve">Individuals - </w:t>
            </w:r>
            <w:r w:rsidRPr="005662F8" w:rsidR="008F0517">
              <w:rPr>
                <w:rFonts w:eastAsia="SimSun"/>
                <w:lang w:eastAsia="en-US"/>
              </w:rPr>
              <w:t>Student Applicants</w:t>
            </w:r>
          </w:p>
        </w:tc>
        <w:tc>
          <w:tcPr>
            <w:tcW w:w="2362" w:type="dxa"/>
            <w:vAlign w:val="center"/>
          </w:tcPr>
          <w:p w:rsidRPr="005662F8" w:rsidR="008F0517" w:rsidP="00BE590D" w:rsidRDefault="003B5AA2" w14:paraId="7C06B4B8" w14:textId="1CAFC8B2">
            <w:pPr>
              <w:spacing w:line="276" w:lineRule="auto"/>
              <w:jc w:val="center"/>
              <w:rPr>
                <w:rFonts w:eastAsia="SimSun"/>
                <w:lang w:eastAsia="en-US"/>
              </w:rPr>
            </w:pPr>
            <w:r>
              <w:rPr>
                <w:rFonts w:eastAsia="SimSun"/>
                <w:lang w:eastAsia="en-US"/>
              </w:rPr>
              <w:t>116</w:t>
            </w:r>
          </w:p>
        </w:tc>
        <w:tc>
          <w:tcPr>
            <w:tcW w:w="1760" w:type="dxa"/>
            <w:vAlign w:val="center"/>
          </w:tcPr>
          <w:p w:rsidRPr="005662F8" w:rsidR="008F0517" w:rsidP="00BE590D" w:rsidRDefault="008F0517" w14:paraId="35709F9B" w14:textId="1C438610">
            <w:pPr>
              <w:spacing w:line="276" w:lineRule="auto"/>
              <w:jc w:val="center"/>
              <w:rPr>
                <w:rFonts w:eastAsia="SimSun"/>
                <w:lang w:eastAsia="en-US"/>
              </w:rPr>
            </w:pPr>
            <w:r w:rsidRPr="005662F8">
              <w:rPr>
                <w:rFonts w:eastAsia="SimSun"/>
                <w:lang w:eastAsia="en-US"/>
              </w:rPr>
              <w:t>$</w:t>
            </w:r>
            <w:r w:rsidR="00D72E68">
              <w:rPr>
                <w:rFonts w:eastAsia="SimSun"/>
                <w:lang w:eastAsia="en-US"/>
              </w:rPr>
              <w:t>28.01</w:t>
            </w:r>
          </w:p>
        </w:tc>
        <w:tc>
          <w:tcPr>
            <w:tcW w:w="3056" w:type="dxa"/>
            <w:vAlign w:val="center"/>
          </w:tcPr>
          <w:p w:rsidRPr="005662F8" w:rsidR="008F0517" w:rsidP="00BE590D" w:rsidRDefault="008F0517" w14:paraId="3CA7D546" w14:textId="093609A3">
            <w:pPr>
              <w:spacing w:line="276" w:lineRule="auto"/>
              <w:jc w:val="center"/>
              <w:rPr>
                <w:rFonts w:eastAsia="SimSun"/>
                <w:lang w:eastAsia="en-US"/>
              </w:rPr>
            </w:pPr>
            <w:r w:rsidRPr="005662F8">
              <w:rPr>
                <w:rFonts w:eastAsia="SimSun"/>
                <w:lang w:eastAsia="en-US"/>
              </w:rPr>
              <w:t>$</w:t>
            </w:r>
            <w:r w:rsidR="00D72E68">
              <w:rPr>
                <w:rFonts w:eastAsia="SimSun"/>
                <w:lang w:eastAsia="en-US"/>
              </w:rPr>
              <w:t>3,249.16</w:t>
            </w:r>
          </w:p>
        </w:tc>
      </w:tr>
      <w:tr w:rsidRPr="003B6D3D" w:rsidR="002F1C87" w:rsidTr="00B7323E" w14:paraId="501E7E3A" w14:textId="77777777">
        <w:trPr>
          <w:jc w:val="center"/>
        </w:trPr>
        <w:tc>
          <w:tcPr>
            <w:tcW w:w="2087" w:type="dxa"/>
            <w:vAlign w:val="center"/>
          </w:tcPr>
          <w:p w:rsidRPr="005662F8" w:rsidR="002F1C87" w:rsidP="00BE590D" w:rsidRDefault="00D72E68" w14:paraId="74C64917" w14:textId="0A65D874">
            <w:pPr>
              <w:spacing w:line="276" w:lineRule="auto"/>
              <w:jc w:val="center"/>
              <w:rPr>
                <w:rFonts w:eastAsia="SimSun"/>
                <w:lang w:eastAsia="en-US"/>
              </w:rPr>
            </w:pPr>
            <w:r>
              <w:rPr>
                <w:rFonts w:eastAsia="SimSun"/>
                <w:sz w:val="22"/>
                <w:szCs w:val="22"/>
                <w:lang w:eastAsia="en-US"/>
              </w:rPr>
              <w:t>Individuals</w:t>
            </w:r>
            <w:r w:rsidRPr="005662F8" w:rsidR="002F1C87">
              <w:rPr>
                <w:rFonts w:eastAsia="SimSun"/>
                <w:sz w:val="22"/>
                <w:szCs w:val="22"/>
                <w:lang w:eastAsia="en-US"/>
              </w:rPr>
              <w:t xml:space="preserve"> </w:t>
            </w:r>
            <w:r>
              <w:rPr>
                <w:rFonts w:eastAsia="SimSun"/>
                <w:sz w:val="22"/>
                <w:szCs w:val="22"/>
                <w:lang w:eastAsia="en-US"/>
              </w:rPr>
              <w:t>–</w:t>
            </w:r>
            <w:r w:rsidRPr="005662F8" w:rsidR="002F1C87">
              <w:rPr>
                <w:rFonts w:eastAsia="SimSun"/>
                <w:sz w:val="22"/>
                <w:szCs w:val="22"/>
                <w:lang w:eastAsia="en-US"/>
              </w:rPr>
              <w:t xml:space="preserve"> Referee</w:t>
            </w:r>
            <w:r>
              <w:rPr>
                <w:rFonts w:eastAsia="SimSun"/>
                <w:sz w:val="22"/>
                <w:szCs w:val="22"/>
                <w:lang w:eastAsia="en-US"/>
              </w:rPr>
              <w:t xml:space="preserve"> &amp; Advisor</w:t>
            </w:r>
          </w:p>
        </w:tc>
        <w:tc>
          <w:tcPr>
            <w:tcW w:w="2362" w:type="dxa"/>
            <w:vAlign w:val="center"/>
          </w:tcPr>
          <w:p w:rsidRPr="005662F8" w:rsidR="002F1C87" w:rsidP="00BE590D" w:rsidRDefault="00D72E68" w14:paraId="1B27C2C0" w14:textId="581FEB1E">
            <w:pPr>
              <w:spacing w:line="276" w:lineRule="auto"/>
              <w:jc w:val="center"/>
              <w:rPr>
                <w:rFonts w:eastAsia="SimSun"/>
                <w:lang w:eastAsia="en-US"/>
              </w:rPr>
            </w:pPr>
            <w:r>
              <w:rPr>
                <w:rFonts w:eastAsia="SimSun"/>
                <w:lang w:eastAsia="en-US"/>
              </w:rPr>
              <w:t>172</w:t>
            </w:r>
          </w:p>
        </w:tc>
        <w:tc>
          <w:tcPr>
            <w:tcW w:w="1760" w:type="dxa"/>
            <w:vAlign w:val="center"/>
          </w:tcPr>
          <w:p w:rsidRPr="005662F8" w:rsidR="002F1C87" w:rsidP="00BE590D" w:rsidRDefault="002F1C87" w14:paraId="169582AD" w14:textId="34D802FE">
            <w:pPr>
              <w:spacing w:line="276" w:lineRule="auto"/>
              <w:jc w:val="center"/>
              <w:rPr>
                <w:rFonts w:eastAsia="SimSun"/>
                <w:lang w:eastAsia="en-US"/>
              </w:rPr>
            </w:pPr>
            <w:r w:rsidRPr="005662F8">
              <w:rPr>
                <w:rFonts w:eastAsia="SimSun"/>
                <w:lang w:eastAsia="en-US"/>
              </w:rPr>
              <w:t>$</w:t>
            </w:r>
            <w:r w:rsidR="00D72E68">
              <w:rPr>
                <w:rFonts w:eastAsia="SimSun"/>
                <w:lang w:eastAsia="en-US"/>
              </w:rPr>
              <w:t>47.32</w:t>
            </w:r>
          </w:p>
        </w:tc>
        <w:tc>
          <w:tcPr>
            <w:tcW w:w="3056" w:type="dxa"/>
            <w:vAlign w:val="center"/>
          </w:tcPr>
          <w:p w:rsidRPr="005662F8" w:rsidR="002F1C87" w:rsidP="00BE590D" w:rsidRDefault="002F1C87" w14:paraId="00C2E6D7" w14:textId="5011450E">
            <w:pPr>
              <w:spacing w:line="276" w:lineRule="auto"/>
              <w:jc w:val="center"/>
              <w:rPr>
                <w:rFonts w:eastAsia="SimSun"/>
                <w:lang w:eastAsia="en-US"/>
              </w:rPr>
            </w:pPr>
            <w:r w:rsidRPr="005662F8">
              <w:rPr>
                <w:rFonts w:eastAsia="SimSun"/>
                <w:lang w:eastAsia="en-US"/>
              </w:rPr>
              <w:t>$</w:t>
            </w:r>
            <w:r w:rsidR="00D72E68">
              <w:rPr>
                <w:rFonts w:eastAsia="SimSun"/>
                <w:lang w:eastAsia="en-US"/>
              </w:rPr>
              <w:t>8,139.04</w:t>
            </w:r>
          </w:p>
        </w:tc>
      </w:tr>
      <w:tr w:rsidRPr="003B6D3D" w:rsidR="008F0517" w:rsidTr="00B7323E" w14:paraId="34824564" w14:textId="77777777">
        <w:trPr>
          <w:trHeight w:val="323"/>
          <w:jc w:val="center"/>
        </w:trPr>
        <w:tc>
          <w:tcPr>
            <w:tcW w:w="2087" w:type="dxa"/>
          </w:tcPr>
          <w:p w:rsidRPr="005662F8" w:rsidR="008F0517" w:rsidP="00BE590D" w:rsidRDefault="008F0517" w14:paraId="636C502F" w14:textId="45136841">
            <w:pPr>
              <w:spacing w:line="276" w:lineRule="auto"/>
              <w:rPr>
                <w:rFonts w:eastAsia="SimSun"/>
                <w:b/>
                <w:lang w:eastAsia="en-US"/>
              </w:rPr>
            </w:pPr>
            <w:r w:rsidRPr="005662F8">
              <w:rPr>
                <w:rFonts w:eastAsia="SimSun"/>
                <w:b/>
                <w:lang w:eastAsia="en-US"/>
              </w:rPr>
              <w:t>Total</w:t>
            </w:r>
          </w:p>
        </w:tc>
        <w:tc>
          <w:tcPr>
            <w:tcW w:w="2362" w:type="dxa"/>
            <w:vAlign w:val="center"/>
          </w:tcPr>
          <w:p w:rsidRPr="005662F8" w:rsidR="008F0517" w:rsidP="00BE590D" w:rsidRDefault="00D72E68" w14:paraId="4D7E724E" w14:textId="223E4CF5">
            <w:pPr>
              <w:spacing w:line="276" w:lineRule="auto"/>
              <w:jc w:val="center"/>
              <w:rPr>
                <w:rFonts w:eastAsia="SimSun"/>
                <w:b/>
                <w:lang w:eastAsia="en-US"/>
              </w:rPr>
            </w:pPr>
            <w:r>
              <w:rPr>
                <w:rFonts w:eastAsia="SimSun"/>
                <w:b/>
                <w:lang w:eastAsia="en-US"/>
              </w:rPr>
              <w:t xml:space="preserve"> </w:t>
            </w:r>
          </w:p>
        </w:tc>
        <w:tc>
          <w:tcPr>
            <w:tcW w:w="1760" w:type="dxa"/>
            <w:vAlign w:val="bottom"/>
          </w:tcPr>
          <w:p w:rsidRPr="005662F8" w:rsidR="008F0517" w:rsidP="00BE590D" w:rsidRDefault="008F0517" w14:paraId="06F3E917" w14:textId="6A803EE1">
            <w:pPr>
              <w:spacing w:line="276" w:lineRule="auto"/>
              <w:jc w:val="center"/>
              <w:rPr>
                <w:rFonts w:eastAsia="SimSun"/>
                <w:b/>
                <w:lang w:eastAsia="en-US"/>
              </w:rPr>
            </w:pPr>
          </w:p>
        </w:tc>
        <w:tc>
          <w:tcPr>
            <w:tcW w:w="3056" w:type="dxa"/>
            <w:vAlign w:val="bottom"/>
          </w:tcPr>
          <w:p w:rsidRPr="005662F8" w:rsidR="008F0517" w:rsidP="00BE590D" w:rsidRDefault="003B5AA2" w14:paraId="5641C729" w14:textId="2068DA31">
            <w:pPr>
              <w:spacing w:line="276" w:lineRule="auto"/>
              <w:jc w:val="center"/>
              <w:rPr>
                <w:rFonts w:eastAsia="SimSun"/>
                <w:b/>
                <w:lang w:eastAsia="en-US"/>
              </w:rPr>
            </w:pPr>
            <w:r>
              <w:rPr>
                <w:rFonts w:eastAsia="SimSun"/>
                <w:b/>
                <w:lang w:eastAsia="en-US"/>
              </w:rPr>
              <w:t>$</w:t>
            </w:r>
            <w:r w:rsidRPr="003B5AA2">
              <w:rPr>
                <w:rFonts w:eastAsia="SimSun"/>
                <w:b/>
                <w:lang w:eastAsia="en-US"/>
              </w:rPr>
              <w:t>11,</w:t>
            </w:r>
            <w:r w:rsidR="00D72E68">
              <w:rPr>
                <w:rFonts w:eastAsia="SimSun"/>
                <w:b/>
                <w:lang w:eastAsia="en-US"/>
              </w:rPr>
              <w:t>388.20</w:t>
            </w:r>
          </w:p>
        </w:tc>
      </w:tr>
    </w:tbl>
    <w:p w:rsidRPr="00D72E68" w:rsidR="009C2FE5" w:rsidP="00BE590D" w:rsidRDefault="00062E8E" w14:paraId="73E03FD2" w14:textId="0DB6951A">
      <w:pPr>
        <w:autoSpaceDE w:val="0"/>
        <w:autoSpaceDN w:val="0"/>
        <w:adjustRightInd w:val="0"/>
        <w:spacing w:line="276" w:lineRule="auto"/>
        <w:outlineLvl w:val="0"/>
        <w:rPr>
          <w:sz w:val="22"/>
          <w:szCs w:val="22"/>
        </w:rPr>
      </w:pPr>
      <w:r w:rsidRPr="00D72E68">
        <w:rPr>
          <w:sz w:val="22"/>
          <w:szCs w:val="22"/>
        </w:rPr>
        <w:t xml:space="preserve">*The Mean Hourly Wage Rate was obtained from </w:t>
      </w:r>
      <w:r w:rsidRPr="00D72E68" w:rsidR="00C14B9D">
        <w:rPr>
          <w:sz w:val="22"/>
          <w:szCs w:val="22"/>
        </w:rPr>
        <w:t xml:space="preserve">the </w:t>
      </w:r>
      <w:r w:rsidRPr="00D72E68">
        <w:rPr>
          <w:sz w:val="22"/>
          <w:szCs w:val="22"/>
        </w:rPr>
        <w:t>Bureau of Labor Statistics</w:t>
      </w:r>
      <w:r w:rsidRPr="00D72E68" w:rsidR="00B7323E">
        <w:rPr>
          <w:sz w:val="22"/>
          <w:szCs w:val="22"/>
        </w:rPr>
        <w:t xml:space="preserve"> </w:t>
      </w:r>
      <w:r w:rsidRPr="00D72E68" w:rsidR="00C14B9D">
        <w:rPr>
          <w:sz w:val="22"/>
          <w:szCs w:val="22"/>
        </w:rPr>
        <w:t xml:space="preserve">for job code </w:t>
      </w:r>
      <w:r w:rsidRPr="00D72E68">
        <w:rPr>
          <w:sz w:val="22"/>
          <w:szCs w:val="22"/>
        </w:rPr>
        <w:t>“All-Occupations” 00-0000</w:t>
      </w:r>
      <w:r w:rsidRPr="00D72E68" w:rsidR="00B7323E">
        <w:rPr>
          <w:sz w:val="22"/>
          <w:szCs w:val="22"/>
        </w:rPr>
        <w:t xml:space="preserve"> </w:t>
      </w:r>
      <w:r w:rsidRPr="00D72E68" w:rsidR="00C14B9D">
        <w:rPr>
          <w:sz w:val="22"/>
          <w:szCs w:val="22"/>
        </w:rPr>
        <w:t xml:space="preserve">and job code </w:t>
      </w:r>
      <w:bookmarkStart w:name="_Hlk7097736" w:id="19"/>
      <w:r w:rsidRPr="00D72E68" w:rsidR="00C14B9D">
        <w:rPr>
          <w:sz w:val="22"/>
          <w:szCs w:val="22"/>
        </w:rPr>
        <w:t xml:space="preserve">“Life Sciences Teachers, Postsecondary” </w:t>
      </w:r>
      <w:r w:rsidRPr="00D72E68" w:rsidR="00D72E68">
        <w:rPr>
          <w:sz w:val="22"/>
          <w:szCs w:val="22"/>
        </w:rPr>
        <w:t>25</w:t>
      </w:r>
      <w:r w:rsidRPr="00D72E68" w:rsidR="00C14B9D">
        <w:rPr>
          <w:sz w:val="22"/>
          <w:szCs w:val="22"/>
        </w:rPr>
        <w:t>-</w:t>
      </w:r>
      <w:r w:rsidRPr="00D72E68" w:rsidR="00D72E68">
        <w:rPr>
          <w:sz w:val="22"/>
          <w:szCs w:val="22"/>
        </w:rPr>
        <w:t>1040</w:t>
      </w:r>
      <w:r w:rsidRPr="00D72E68" w:rsidR="00C14B9D">
        <w:rPr>
          <w:sz w:val="22"/>
          <w:szCs w:val="22"/>
        </w:rPr>
        <w:t>, 25-1040,</w:t>
      </w:r>
      <w:bookmarkEnd w:id="19"/>
      <w:r w:rsidRPr="00D72E68" w:rsidR="00C14B9D">
        <w:rPr>
          <w:sz w:val="22"/>
          <w:szCs w:val="22"/>
        </w:rPr>
        <w:t xml:space="preserve"> </w:t>
      </w:r>
      <w:hyperlink w:history="1" w:anchor="00-0000" r:id="rId14">
        <w:r w:rsidRPr="00D72E68" w:rsidR="00D72E68">
          <w:rPr>
            <w:rStyle w:val="Hyperlink"/>
            <w:sz w:val="22"/>
            <w:szCs w:val="22"/>
          </w:rPr>
          <w:t>https://www.bls.gov/oes/2021/May/oes_nat.htm#00-0000</w:t>
        </w:r>
      </w:hyperlink>
      <w:r w:rsidRPr="00D72E68" w:rsidR="00C14B9D">
        <w:rPr>
          <w:sz w:val="22"/>
          <w:szCs w:val="22"/>
        </w:rPr>
        <w:t>.</w:t>
      </w:r>
    </w:p>
    <w:p w:rsidRPr="003B6D3D" w:rsidR="00E60F72" w:rsidP="00BE590D" w:rsidRDefault="00E60F72" w14:paraId="7A401700" w14:textId="77777777">
      <w:pPr>
        <w:autoSpaceDE w:val="0"/>
        <w:autoSpaceDN w:val="0"/>
        <w:adjustRightInd w:val="0"/>
        <w:spacing w:line="276" w:lineRule="auto"/>
        <w:ind w:left="720" w:hanging="720"/>
        <w:outlineLvl w:val="0"/>
        <w:rPr>
          <w:b/>
        </w:rPr>
      </w:pPr>
    </w:p>
    <w:p w:rsidRPr="003B6D3D" w:rsidR="009D7BDE" w:rsidP="00BE590D" w:rsidRDefault="0008711B" w14:paraId="7CFD6082" w14:textId="68BEC95E">
      <w:pPr>
        <w:autoSpaceDE w:val="0"/>
        <w:autoSpaceDN w:val="0"/>
        <w:adjustRightInd w:val="0"/>
        <w:spacing w:line="276" w:lineRule="auto"/>
        <w:ind w:left="720" w:hanging="720"/>
        <w:outlineLvl w:val="0"/>
        <w:rPr>
          <w:b/>
        </w:rPr>
      </w:pPr>
      <w:r w:rsidRPr="003B6D3D">
        <w:rPr>
          <w:b/>
        </w:rPr>
        <w:t>A</w:t>
      </w:r>
      <w:r w:rsidRPr="003B6D3D" w:rsidR="00010D75">
        <w:rPr>
          <w:b/>
        </w:rPr>
        <w:t>.</w:t>
      </w:r>
      <w:r w:rsidRPr="003B6D3D">
        <w:rPr>
          <w:b/>
        </w:rPr>
        <w:t xml:space="preserve">13 </w:t>
      </w:r>
      <w:r w:rsidRPr="003B6D3D" w:rsidR="00125ADC">
        <w:rPr>
          <w:b/>
        </w:rPr>
        <w:tab/>
      </w:r>
      <w:r w:rsidRPr="003B6D3D">
        <w:rPr>
          <w:b/>
        </w:rPr>
        <w:t>Estimate of Other Total Annual Cost Burden to Respondents or Record Keepers</w:t>
      </w:r>
      <w:bookmarkEnd w:id="18"/>
    </w:p>
    <w:p w:rsidRPr="003B6D3D" w:rsidR="009D7BDE" w:rsidP="00BE590D" w:rsidRDefault="009D7BDE" w14:paraId="1F6C59EF" w14:textId="77777777">
      <w:pPr>
        <w:autoSpaceDE w:val="0"/>
        <w:autoSpaceDN w:val="0"/>
        <w:adjustRightInd w:val="0"/>
        <w:spacing w:line="276" w:lineRule="auto"/>
        <w:outlineLvl w:val="0"/>
        <w:rPr>
          <w:b/>
        </w:rPr>
      </w:pPr>
    </w:p>
    <w:p w:rsidRPr="00BE590D" w:rsidR="00D93E04" w:rsidP="00BE590D" w:rsidRDefault="0008711B" w14:paraId="629EC73E" w14:textId="512C5D00">
      <w:pPr>
        <w:autoSpaceDE w:val="0"/>
        <w:autoSpaceDN w:val="0"/>
        <w:adjustRightInd w:val="0"/>
        <w:spacing w:line="276" w:lineRule="auto"/>
      </w:pPr>
      <w:r w:rsidRPr="003B6D3D">
        <w:t xml:space="preserve">There are no </w:t>
      </w:r>
      <w:r w:rsidR="00C14B9D">
        <w:t>additional</w:t>
      </w:r>
      <w:r w:rsidRPr="003B6D3D">
        <w:t xml:space="preserve"> costs to report.</w:t>
      </w:r>
      <w:bookmarkStart w:name="_Toc230515991" w:id="20"/>
    </w:p>
    <w:p w:rsidRPr="003B6D3D" w:rsidR="000E0C83" w:rsidP="00BE590D" w:rsidRDefault="0008711B" w14:paraId="4AB31A95" w14:textId="6E879652">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14 </w:t>
      </w:r>
      <w:r w:rsidRPr="003B6D3D" w:rsidR="00125ADC">
        <w:rPr>
          <w:b/>
        </w:rPr>
        <w:tab/>
      </w:r>
      <w:r w:rsidRPr="003B6D3D">
        <w:rPr>
          <w:b/>
        </w:rPr>
        <w:t>Annualized Cost to the Federal Government</w:t>
      </w:r>
      <w:bookmarkEnd w:id="20"/>
    </w:p>
    <w:p w:rsidRPr="009477F2" w:rsidR="00E60F72" w:rsidP="00BE590D" w:rsidRDefault="00FE297C" w14:paraId="4171E8F5" w14:textId="1E418C24">
      <w:pPr>
        <w:autoSpaceDE w:val="0"/>
        <w:autoSpaceDN w:val="0"/>
        <w:adjustRightInd w:val="0"/>
        <w:spacing w:line="276" w:lineRule="auto"/>
      </w:pPr>
      <w:bookmarkStart w:name="_Toc230515992" w:id="21"/>
      <w:r w:rsidRPr="003B6D3D">
        <w:lastRenderedPageBreak/>
        <w:t xml:space="preserve">The annual cost to the Federal Government is estimated to be </w:t>
      </w:r>
      <w:r w:rsidR="002F6E32">
        <w:t>$</w:t>
      </w:r>
      <w:r w:rsidRPr="002F6E32" w:rsidR="002F6E32">
        <w:t>21,716.55</w:t>
      </w:r>
      <w:r w:rsidRPr="002F6E32" w:rsidDel="002F6E32" w:rsidR="002F6E32">
        <w:t xml:space="preserve"> </w:t>
      </w:r>
      <w:r w:rsidR="009477F2">
        <w:t>(Table A.14.1)</w:t>
      </w:r>
      <w:r w:rsidRPr="003B6D3D">
        <w:t xml:space="preserve">. </w:t>
      </w:r>
      <w:r w:rsidRPr="009477F2">
        <w:t xml:space="preserve">The federal personnel </w:t>
      </w:r>
      <w:proofErr w:type="gramStart"/>
      <w:r w:rsidR="00B7323E">
        <w:t>is</w:t>
      </w:r>
      <w:proofErr w:type="gramEnd"/>
      <w:r w:rsidRPr="009477F2">
        <w:t xml:space="preserve"> responsible for </w:t>
      </w:r>
      <w:r w:rsidRPr="009477F2" w:rsidR="00434FD1">
        <w:t xml:space="preserve">the review of </w:t>
      </w:r>
      <w:r w:rsidRPr="009477F2" w:rsidR="00D70B6F">
        <w:t>data collected via the application mechanisms</w:t>
      </w:r>
      <w:r w:rsidRPr="009477F2">
        <w:t xml:space="preserve">. The </w:t>
      </w:r>
      <w:r w:rsidR="00B7323E">
        <w:t>contractor’s</w:t>
      </w:r>
      <w:r w:rsidRPr="009477F2">
        <w:t xml:space="preserve"> tasks include </w:t>
      </w:r>
      <w:r w:rsidRPr="00B7323E" w:rsidR="00B7323E">
        <w:t>designing</w:t>
      </w:r>
      <w:r w:rsidR="00B7323E">
        <w:t xml:space="preserve">, implementing, and maintaining </w:t>
      </w:r>
      <w:r w:rsidRPr="009477F2" w:rsidR="00D70B6F">
        <w:t>active systems</w:t>
      </w:r>
      <w:r w:rsidRPr="009477F2" w:rsidR="00CD72EB">
        <w:t>.</w:t>
      </w:r>
    </w:p>
    <w:p w:rsidR="00BE590D" w:rsidP="00BE590D" w:rsidRDefault="00BE590D" w14:paraId="21B81BED" w14:textId="2DF8B38D">
      <w:pPr>
        <w:spacing w:line="276" w:lineRule="auto"/>
        <w:rPr>
          <w:b/>
        </w:rPr>
      </w:pPr>
    </w:p>
    <w:p w:rsidR="00992CDD" w:rsidP="00BE590D" w:rsidRDefault="00A252AF" w14:paraId="28D801A7" w14:textId="1757E34F">
      <w:pPr>
        <w:autoSpaceDE w:val="0"/>
        <w:autoSpaceDN w:val="0"/>
        <w:adjustRightInd w:val="0"/>
        <w:spacing w:line="276" w:lineRule="auto"/>
        <w:jc w:val="center"/>
        <w:rPr>
          <w:b/>
        </w:rPr>
      </w:pPr>
      <w:r w:rsidRPr="009477F2">
        <w:rPr>
          <w:b/>
        </w:rPr>
        <w:t xml:space="preserve">Table </w:t>
      </w:r>
      <w:r w:rsidRPr="009477F2" w:rsidR="00AE6148">
        <w:rPr>
          <w:b/>
        </w:rPr>
        <w:t>A</w:t>
      </w:r>
      <w:r w:rsidRPr="009477F2" w:rsidR="000E5894">
        <w:rPr>
          <w:b/>
        </w:rPr>
        <w:t>.</w:t>
      </w:r>
      <w:r w:rsidRPr="009477F2" w:rsidR="00AE6148">
        <w:rPr>
          <w:b/>
        </w:rPr>
        <w:t>14</w:t>
      </w:r>
      <w:r w:rsidRPr="009477F2" w:rsidR="000E5894">
        <w:rPr>
          <w:b/>
        </w:rPr>
        <w:t>.</w:t>
      </w:r>
      <w:r w:rsidRPr="009477F2" w:rsidR="00AE6148">
        <w:rPr>
          <w:b/>
        </w:rPr>
        <w:t xml:space="preserve">1. </w:t>
      </w:r>
      <w:r w:rsidRPr="009477F2" w:rsidR="00125ADC">
        <w:rPr>
          <w:b/>
        </w:rPr>
        <w:t xml:space="preserve">Annualized </w:t>
      </w:r>
      <w:r w:rsidRPr="009477F2" w:rsidR="00AE6148">
        <w:rPr>
          <w:b/>
        </w:rPr>
        <w:t>Cost to the Federal Government</w:t>
      </w:r>
    </w:p>
    <w:p w:rsidR="00191BEA" w:rsidP="00BE590D" w:rsidRDefault="00191BEA" w14:paraId="73CB18A1" w14:textId="517CC5E2">
      <w:pPr>
        <w:autoSpaceDE w:val="0"/>
        <w:autoSpaceDN w:val="0"/>
        <w:adjustRightInd w:val="0"/>
        <w:spacing w:line="276" w:lineRule="auto"/>
        <w:jc w:val="center"/>
        <w:rPr>
          <w:b/>
        </w:r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515"/>
        <w:gridCol w:w="1295"/>
        <w:gridCol w:w="1135"/>
        <w:gridCol w:w="1080"/>
        <w:gridCol w:w="1800"/>
        <w:gridCol w:w="1525"/>
      </w:tblGrid>
      <w:tr w:rsidRPr="00191BEA" w:rsidR="00191BEA" w:rsidTr="00BE590D" w14:paraId="62E97DFA" w14:textId="77777777">
        <w:trPr>
          <w:trHeight w:val="762"/>
          <w:jc w:val="center"/>
        </w:trPr>
        <w:tc>
          <w:tcPr>
            <w:tcW w:w="2515" w:type="dxa"/>
            <w:shd w:val="clear" w:color="auto" w:fill="auto"/>
            <w:noWrap/>
            <w:tcMar>
              <w:top w:w="0" w:type="dxa"/>
              <w:left w:w="108" w:type="dxa"/>
              <w:bottom w:w="0" w:type="dxa"/>
              <w:right w:w="108" w:type="dxa"/>
            </w:tcMar>
            <w:vAlign w:val="center"/>
            <w:hideMark/>
          </w:tcPr>
          <w:p w:rsidRPr="00BE590D" w:rsidR="00191BEA" w:rsidP="00BE590D" w:rsidRDefault="00191BEA" w14:paraId="695D44A8" w14:textId="77777777">
            <w:pPr>
              <w:spacing w:line="276" w:lineRule="auto"/>
              <w:jc w:val="center"/>
              <w:rPr>
                <w:rFonts w:eastAsia="Calibri"/>
                <w:b/>
                <w:bCs/>
                <w:color w:val="000000"/>
                <w:lang w:eastAsia="en-US"/>
              </w:rPr>
            </w:pPr>
            <w:r w:rsidRPr="00BE590D">
              <w:rPr>
                <w:rFonts w:eastAsia="Times New Roman"/>
                <w:b/>
                <w:bCs/>
                <w:color w:val="000000"/>
                <w:lang w:eastAsia="en-US"/>
              </w:rPr>
              <w:t>Cost Descriptions</w:t>
            </w:r>
          </w:p>
        </w:tc>
        <w:tc>
          <w:tcPr>
            <w:tcW w:w="1295" w:type="dxa"/>
            <w:shd w:val="clear" w:color="auto" w:fill="auto"/>
            <w:vAlign w:val="center"/>
          </w:tcPr>
          <w:p w:rsidRPr="00BE590D" w:rsidR="00191BEA" w:rsidP="00BE590D" w:rsidRDefault="00191BEA" w14:paraId="3A1FD339" w14:textId="77777777">
            <w:pPr>
              <w:spacing w:line="276" w:lineRule="auto"/>
              <w:jc w:val="center"/>
              <w:rPr>
                <w:rFonts w:eastAsia="Calibri"/>
                <w:b/>
                <w:bCs/>
                <w:color w:val="000000"/>
                <w:lang w:eastAsia="en-US"/>
              </w:rPr>
            </w:pPr>
            <w:r w:rsidRPr="00BE590D">
              <w:rPr>
                <w:rFonts w:eastAsia="Times New Roman"/>
                <w:b/>
                <w:bCs/>
                <w:color w:val="000000"/>
                <w:lang w:eastAsia="en-US"/>
              </w:rPr>
              <w:t>Grade/Step</w:t>
            </w:r>
          </w:p>
        </w:tc>
        <w:tc>
          <w:tcPr>
            <w:tcW w:w="1135" w:type="dxa"/>
            <w:shd w:val="clear" w:color="auto" w:fill="auto"/>
            <w:tcMar>
              <w:top w:w="0" w:type="dxa"/>
              <w:left w:w="108" w:type="dxa"/>
              <w:bottom w:w="0" w:type="dxa"/>
              <w:right w:w="108" w:type="dxa"/>
            </w:tcMar>
            <w:vAlign w:val="center"/>
            <w:hideMark/>
          </w:tcPr>
          <w:p w:rsidRPr="00BE590D" w:rsidR="00191BEA" w:rsidP="00BE590D" w:rsidRDefault="00191BEA" w14:paraId="71F704A6" w14:textId="77777777">
            <w:pPr>
              <w:spacing w:line="276" w:lineRule="auto"/>
              <w:jc w:val="center"/>
              <w:rPr>
                <w:rFonts w:eastAsia="Calibri"/>
                <w:b/>
                <w:bCs/>
                <w:lang w:eastAsia="en-US"/>
              </w:rPr>
            </w:pPr>
            <w:r w:rsidRPr="00BE590D">
              <w:rPr>
                <w:rFonts w:eastAsia="Times New Roman"/>
                <w:b/>
                <w:bCs/>
                <w:lang w:eastAsia="en-US"/>
              </w:rPr>
              <w:t>Salary**</w:t>
            </w:r>
          </w:p>
        </w:tc>
        <w:tc>
          <w:tcPr>
            <w:tcW w:w="1080" w:type="dxa"/>
            <w:shd w:val="clear" w:color="auto" w:fill="auto"/>
            <w:tcMar>
              <w:top w:w="0" w:type="dxa"/>
              <w:left w:w="108" w:type="dxa"/>
              <w:bottom w:w="0" w:type="dxa"/>
              <w:right w:w="108" w:type="dxa"/>
            </w:tcMar>
            <w:vAlign w:val="center"/>
            <w:hideMark/>
          </w:tcPr>
          <w:p w:rsidRPr="00BE590D" w:rsidR="00191BEA" w:rsidP="00BE590D" w:rsidRDefault="00191BEA" w14:paraId="2C7A576E" w14:textId="77777777">
            <w:pPr>
              <w:spacing w:line="276" w:lineRule="auto"/>
              <w:jc w:val="center"/>
              <w:rPr>
                <w:rFonts w:eastAsia="Calibri"/>
                <w:b/>
                <w:bCs/>
                <w:lang w:eastAsia="en-US"/>
              </w:rPr>
            </w:pPr>
            <w:r w:rsidRPr="00BE590D">
              <w:rPr>
                <w:rFonts w:eastAsia="Times New Roman"/>
                <w:b/>
                <w:bCs/>
                <w:lang w:eastAsia="en-US"/>
              </w:rPr>
              <w:t xml:space="preserve">% </w:t>
            </w:r>
            <w:proofErr w:type="gramStart"/>
            <w:r w:rsidRPr="00BE590D">
              <w:rPr>
                <w:rFonts w:eastAsia="Times New Roman"/>
                <w:b/>
                <w:bCs/>
                <w:lang w:eastAsia="en-US"/>
              </w:rPr>
              <w:t>of</w:t>
            </w:r>
            <w:proofErr w:type="gramEnd"/>
            <w:r w:rsidRPr="00BE590D">
              <w:rPr>
                <w:rFonts w:eastAsia="Times New Roman"/>
                <w:b/>
                <w:bCs/>
                <w:lang w:eastAsia="en-US"/>
              </w:rPr>
              <w:t xml:space="preserve"> Effort</w:t>
            </w:r>
          </w:p>
        </w:tc>
        <w:tc>
          <w:tcPr>
            <w:tcW w:w="1800" w:type="dxa"/>
            <w:shd w:val="clear" w:color="auto" w:fill="auto"/>
            <w:vAlign w:val="center"/>
          </w:tcPr>
          <w:p w:rsidRPr="00BE590D" w:rsidR="00191BEA" w:rsidP="00BE590D" w:rsidRDefault="00191BEA" w14:paraId="6C78EC01" w14:textId="77777777">
            <w:pPr>
              <w:spacing w:line="276" w:lineRule="auto"/>
              <w:jc w:val="center"/>
              <w:rPr>
                <w:rFonts w:eastAsia="Times New Roman"/>
                <w:b/>
                <w:bCs/>
                <w:lang w:eastAsia="en-US"/>
              </w:rPr>
            </w:pPr>
            <w:r w:rsidRPr="00BE590D">
              <w:rPr>
                <w:rFonts w:eastAsia="Times New Roman"/>
                <w:b/>
                <w:bCs/>
                <w:lang w:eastAsia="en-US"/>
              </w:rPr>
              <w:t>Fringe (if applicable)</w:t>
            </w:r>
          </w:p>
        </w:tc>
        <w:tc>
          <w:tcPr>
            <w:tcW w:w="1525" w:type="dxa"/>
            <w:shd w:val="clear" w:color="auto" w:fill="auto"/>
            <w:vAlign w:val="center"/>
          </w:tcPr>
          <w:p w:rsidRPr="00BE590D" w:rsidR="00191BEA" w:rsidP="00BE590D" w:rsidRDefault="00191BEA" w14:paraId="7602C26B" w14:textId="77777777">
            <w:pPr>
              <w:spacing w:line="276" w:lineRule="auto"/>
              <w:jc w:val="center"/>
              <w:rPr>
                <w:rFonts w:eastAsia="Times New Roman"/>
                <w:b/>
                <w:bCs/>
                <w:lang w:eastAsia="en-US"/>
              </w:rPr>
            </w:pPr>
            <w:r w:rsidRPr="00BE590D">
              <w:rPr>
                <w:rFonts w:eastAsia="Times New Roman"/>
                <w:b/>
                <w:bCs/>
                <w:lang w:eastAsia="en-US"/>
              </w:rPr>
              <w:t>Total Cost to Gov’t</w:t>
            </w:r>
          </w:p>
        </w:tc>
      </w:tr>
      <w:tr w:rsidRPr="00191BEA" w:rsidR="00191BEA" w:rsidTr="00BE590D" w14:paraId="25F59C5A" w14:textId="77777777">
        <w:trPr>
          <w:trHeight w:val="254"/>
          <w:jc w:val="center"/>
        </w:trPr>
        <w:tc>
          <w:tcPr>
            <w:tcW w:w="2515" w:type="dxa"/>
            <w:noWrap/>
            <w:tcMar>
              <w:top w:w="0" w:type="dxa"/>
              <w:left w:w="108" w:type="dxa"/>
              <w:bottom w:w="0" w:type="dxa"/>
              <w:right w:w="108" w:type="dxa"/>
            </w:tcMar>
            <w:vAlign w:val="bottom"/>
          </w:tcPr>
          <w:p w:rsidRPr="00BE590D" w:rsidR="00191BEA" w:rsidP="00BE590D" w:rsidRDefault="00191BEA" w14:paraId="3292CA72" w14:textId="77777777">
            <w:pPr>
              <w:spacing w:line="276" w:lineRule="auto"/>
              <w:rPr>
                <w:rFonts w:eastAsia="Calibri"/>
                <w:b/>
                <w:color w:val="000000"/>
                <w:highlight w:val="yellow"/>
                <w:lang w:eastAsia="en-US"/>
              </w:rPr>
            </w:pPr>
            <w:r w:rsidRPr="00BE590D">
              <w:rPr>
                <w:rFonts w:eastAsia="Calibri"/>
                <w:b/>
                <w:color w:val="000000"/>
                <w:lang w:eastAsia="en-US"/>
              </w:rPr>
              <w:t>Federal Oversight</w:t>
            </w:r>
          </w:p>
        </w:tc>
        <w:tc>
          <w:tcPr>
            <w:tcW w:w="1295" w:type="dxa"/>
          </w:tcPr>
          <w:p w:rsidRPr="00BE590D" w:rsidR="00191BEA" w:rsidP="00BE590D" w:rsidRDefault="00191BEA" w14:paraId="446D3D19" w14:textId="77777777">
            <w:pPr>
              <w:spacing w:line="276" w:lineRule="auto"/>
              <w:jc w:val="right"/>
              <w:rPr>
                <w:rFonts w:eastAsia="Calibri"/>
                <w:color w:val="000000"/>
                <w:highlight w:val="yellow"/>
                <w:lang w:eastAsia="en-US"/>
              </w:rPr>
            </w:pPr>
          </w:p>
        </w:tc>
        <w:tc>
          <w:tcPr>
            <w:tcW w:w="1135" w:type="dxa"/>
            <w:noWrap/>
            <w:tcMar>
              <w:top w:w="0" w:type="dxa"/>
              <w:left w:w="108" w:type="dxa"/>
              <w:bottom w:w="0" w:type="dxa"/>
              <w:right w:w="108" w:type="dxa"/>
            </w:tcMar>
            <w:vAlign w:val="bottom"/>
          </w:tcPr>
          <w:p w:rsidRPr="00BE590D" w:rsidR="00191BEA" w:rsidP="00BE590D" w:rsidRDefault="00191BEA" w14:paraId="2DCDBF13" w14:textId="77777777">
            <w:pPr>
              <w:spacing w:line="276" w:lineRule="auto"/>
              <w:rPr>
                <w:rFonts w:eastAsia="Times New Roman"/>
                <w:lang w:eastAsia="en-US"/>
              </w:rPr>
            </w:pPr>
          </w:p>
        </w:tc>
        <w:tc>
          <w:tcPr>
            <w:tcW w:w="1080" w:type="dxa"/>
            <w:noWrap/>
            <w:tcMar>
              <w:top w:w="0" w:type="dxa"/>
              <w:left w:w="108" w:type="dxa"/>
              <w:bottom w:w="0" w:type="dxa"/>
              <w:right w:w="108" w:type="dxa"/>
            </w:tcMar>
            <w:vAlign w:val="bottom"/>
          </w:tcPr>
          <w:p w:rsidRPr="00BE590D" w:rsidR="00191BEA" w:rsidP="00BE590D" w:rsidRDefault="00191BEA" w14:paraId="49281152" w14:textId="77777777">
            <w:pPr>
              <w:spacing w:line="276" w:lineRule="auto"/>
              <w:rPr>
                <w:rFonts w:eastAsia="Times New Roman"/>
                <w:lang w:eastAsia="en-US"/>
              </w:rPr>
            </w:pPr>
          </w:p>
        </w:tc>
        <w:tc>
          <w:tcPr>
            <w:tcW w:w="1800" w:type="dxa"/>
            <w:shd w:val="clear" w:color="auto" w:fill="BFBFBF" w:themeFill="background1" w:themeFillShade="BF"/>
          </w:tcPr>
          <w:p w:rsidRPr="00BE590D" w:rsidR="00191BEA" w:rsidP="00BE590D" w:rsidRDefault="00191BEA" w14:paraId="212D5354" w14:textId="77777777">
            <w:pPr>
              <w:spacing w:line="276" w:lineRule="auto"/>
              <w:rPr>
                <w:rFonts w:eastAsia="Times New Roman"/>
                <w:lang w:eastAsia="en-US"/>
              </w:rPr>
            </w:pPr>
          </w:p>
        </w:tc>
        <w:tc>
          <w:tcPr>
            <w:tcW w:w="1525" w:type="dxa"/>
          </w:tcPr>
          <w:p w:rsidRPr="00BE590D" w:rsidR="00191BEA" w:rsidP="00BE590D" w:rsidRDefault="00191BEA" w14:paraId="62E27D81" w14:textId="77777777">
            <w:pPr>
              <w:spacing w:line="276" w:lineRule="auto"/>
              <w:jc w:val="center"/>
              <w:rPr>
                <w:rFonts w:eastAsia="Times New Roman"/>
                <w:lang w:eastAsia="en-US"/>
              </w:rPr>
            </w:pPr>
          </w:p>
        </w:tc>
      </w:tr>
      <w:tr w:rsidRPr="00191BEA" w:rsidR="00191BEA" w:rsidTr="00BE590D" w14:paraId="1CB20C68" w14:textId="77777777">
        <w:trPr>
          <w:trHeight w:val="254"/>
          <w:jc w:val="center"/>
        </w:trPr>
        <w:tc>
          <w:tcPr>
            <w:tcW w:w="2515" w:type="dxa"/>
            <w:noWrap/>
            <w:tcMar>
              <w:top w:w="0" w:type="dxa"/>
              <w:left w:w="108" w:type="dxa"/>
              <w:bottom w:w="0" w:type="dxa"/>
              <w:right w:w="108" w:type="dxa"/>
            </w:tcMar>
            <w:vAlign w:val="bottom"/>
          </w:tcPr>
          <w:p w:rsidRPr="00BE590D" w:rsidR="00191BEA" w:rsidP="00BE590D" w:rsidRDefault="00191BEA" w14:paraId="5A7BDE0B" w14:textId="77777777">
            <w:pPr>
              <w:spacing w:line="276" w:lineRule="auto"/>
              <w:rPr>
                <w:rFonts w:eastAsia="Calibri"/>
                <w:lang w:eastAsia="en-US"/>
              </w:rPr>
            </w:pPr>
            <w:r w:rsidRPr="00BE590D">
              <w:rPr>
                <w:rFonts w:eastAsia="Calibri"/>
                <w:lang w:eastAsia="en-US"/>
              </w:rPr>
              <w:t xml:space="preserve">     Program Manager</w:t>
            </w:r>
          </w:p>
        </w:tc>
        <w:tc>
          <w:tcPr>
            <w:tcW w:w="1295" w:type="dxa"/>
          </w:tcPr>
          <w:p w:rsidRPr="00BE590D" w:rsidR="00191BEA" w:rsidP="00BE590D" w:rsidRDefault="00191BEA" w14:paraId="5D02326C" w14:textId="77777777">
            <w:pPr>
              <w:spacing w:line="276" w:lineRule="auto"/>
              <w:jc w:val="center"/>
              <w:rPr>
                <w:rFonts w:eastAsia="Calibri"/>
                <w:lang w:eastAsia="en-US"/>
              </w:rPr>
            </w:pPr>
            <w:r w:rsidRPr="00BE590D">
              <w:rPr>
                <w:rFonts w:eastAsia="Calibri"/>
                <w:lang w:eastAsia="en-US"/>
              </w:rPr>
              <w:t xml:space="preserve">15/7 </w:t>
            </w:r>
          </w:p>
        </w:tc>
        <w:tc>
          <w:tcPr>
            <w:tcW w:w="1135" w:type="dxa"/>
            <w:noWrap/>
            <w:tcMar>
              <w:top w:w="0" w:type="dxa"/>
              <w:left w:w="108" w:type="dxa"/>
              <w:bottom w:w="0" w:type="dxa"/>
              <w:right w:w="108" w:type="dxa"/>
            </w:tcMar>
            <w:vAlign w:val="bottom"/>
          </w:tcPr>
          <w:p w:rsidRPr="00BE590D" w:rsidR="00191BEA" w:rsidP="00BE590D" w:rsidRDefault="002F6E32" w14:paraId="38553EB0" w14:textId="140D0558">
            <w:pPr>
              <w:spacing w:line="276" w:lineRule="auto"/>
              <w:jc w:val="center"/>
              <w:rPr>
                <w:rFonts w:eastAsia="Calibri"/>
                <w:lang w:eastAsia="en-US"/>
              </w:rPr>
            </w:pPr>
            <w:r w:rsidRPr="00BE590D">
              <w:rPr>
                <w:rFonts w:eastAsia="Calibri"/>
              </w:rPr>
              <w:t>$176</w:t>
            </w:r>
            <w:r w:rsidR="00BE590D">
              <w:rPr>
                <w:rFonts w:eastAsia="Calibri"/>
              </w:rPr>
              <w:t>,</w:t>
            </w:r>
            <w:r w:rsidRPr="00BE590D">
              <w:rPr>
                <w:rFonts w:eastAsia="Calibri"/>
              </w:rPr>
              <w:t>300</w:t>
            </w:r>
          </w:p>
        </w:tc>
        <w:tc>
          <w:tcPr>
            <w:tcW w:w="1080" w:type="dxa"/>
            <w:noWrap/>
            <w:tcMar>
              <w:top w:w="0" w:type="dxa"/>
              <w:left w:w="108" w:type="dxa"/>
              <w:bottom w:w="0" w:type="dxa"/>
              <w:right w:w="108" w:type="dxa"/>
            </w:tcMar>
            <w:vAlign w:val="bottom"/>
          </w:tcPr>
          <w:p w:rsidRPr="00BE590D" w:rsidR="00191BEA" w:rsidP="00BE590D" w:rsidRDefault="00191BEA" w14:paraId="3952BD88" w14:textId="77777777">
            <w:pPr>
              <w:spacing w:line="276" w:lineRule="auto"/>
              <w:jc w:val="center"/>
              <w:rPr>
                <w:rFonts w:eastAsia="Calibri"/>
                <w:lang w:eastAsia="en-US"/>
              </w:rPr>
            </w:pPr>
            <w:r w:rsidRPr="00BE590D">
              <w:rPr>
                <w:rFonts w:eastAsia="Calibri"/>
                <w:lang w:eastAsia="en-US"/>
              </w:rPr>
              <w:t xml:space="preserve">3% </w:t>
            </w:r>
          </w:p>
        </w:tc>
        <w:tc>
          <w:tcPr>
            <w:tcW w:w="1800" w:type="dxa"/>
            <w:shd w:val="clear" w:color="auto" w:fill="BFBFBF" w:themeFill="background1" w:themeFillShade="BF"/>
          </w:tcPr>
          <w:p w:rsidRPr="00BE590D" w:rsidR="00191BEA" w:rsidP="00BE590D" w:rsidRDefault="00191BEA" w14:paraId="363DCAD8" w14:textId="77777777">
            <w:pPr>
              <w:spacing w:line="276" w:lineRule="auto"/>
              <w:rPr>
                <w:rFonts w:eastAsia="Times New Roman"/>
                <w:lang w:eastAsia="en-US"/>
              </w:rPr>
            </w:pPr>
          </w:p>
        </w:tc>
        <w:tc>
          <w:tcPr>
            <w:tcW w:w="1525" w:type="dxa"/>
          </w:tcPr>
          <w:p w:rsidRPr="00BE590D" w:rsidR="00191BEA" w:rsidP="00BE590D" w:rsidRDefault="002F6E32" w14:paraId="7B9BA266" w14:textId="027DF566">
            <w:pPr>
              <w:spacing w:line="276" w:lineRule="auto"/>
              <w:jc w:val="center"/>
              <w:rPr>
                <w:rFonts w:eastAsia="Times New Roman"/>
                <w:lang w:eastAsia="en-US"/>
              </w:rPr>
            </w:pPr>
            <w:r w:rsidRPr="00BE590D">
              <w:rPr>
                <w:rFonts w:eastAsia="Times New Roman"/>
                <w:lang w:eastAsia="en-US"/>
              </w:rPr>
              <w:t>$5,298.39</w:t>
            </w:r>
          </w:p>
        </w:tc>
      </w:tr>
      <w:tr w:rsidRPr="00191BEA" w:rsidR="00191BEA" w:rsidTr="00BE590D" w14:paraId="762C9951" w14:textId="77777777">
        <w:trPr>
          <w:trHeight w:val="254"/>
          <w:jc w:val="center"/>
        </w:trPr>
        <w:tc>
          <w:tcPr>
            <w:tcW w:w="2515" w:type="dxa"/>
            <w:noWrap/>
            <w:tcMar>
              <w:top w:w="0" w:type="dxa"/>
              <w:left w:w="108" w:type="dxa"/>
              <w:bottom w:w="0" w:type="dxa"/>
              <w:right w:w="108" w:type="dxa"/>
            </w:tcMar>
            <w:vAlign w:val="bottom"/>
          </w:tcPr>
          <w:p w:rsidRPr="00BE590D" w:rsidR="00191BEA" w:rsidP="00BE590D" w:rsidRDefault="00191BEA" w14:paraId="7592B43D" w14:textId="77777777">
            <w:pPr>
              <w:spacing w:line="276" w:lineRule="auto"/>
              <w:rPr>
                <w:rFonts w:eastAsia="Calibri"/>
                <w:lang w:eastAsia="en-US"/>
              </w:rPr>
            </w:pPr>
            <w:r w:rsidRPr="00BE590D">
              <w:rPr>
                <w:rFonts w:eastAsia="Calibri"/>
                <w:lang w:eastAsia="en-US"/>
              </w:rPr>
              <w:t xml:space="preserve">     Scientist</w:t>
            </w:r>
          </w:p>
        </w:tc>
        <w:tc>
          <w:tcPr>
            <w:tcW w:w="1295" w:type="dxa"/>
          </w:tcPr>
          <w:p w:rsidRPr="00BE590D" w:rsidR="00191BEA" w:rsidP="00BE590D" w:rsidRDefault="00191BEA" w14:paraId="18198CC9" w14:textId="77777777">
            <w:pPr>
              <w:spacing w:line="276" w:lineRule="auto"/>
              <w:jc w:val="center"/>
              <w:rPr>
                <w:rFonts w:eastAsia="Calibri"/>
                <w:lang w:eastAsia="en-US"/>
              </w:rPr>
            </w:pPr>
            <w:r w:rsidRPr="00BE590D">
              <w:rPr>
                <w:rFonts w:eastAsia="Calibri"/>
                <w:lang w:eastAsia="en-US"/>
              </w:rPr>
              <w:t xml:space="preserve">14/6 </w:t>
            </w:r>
          </w:p>
        </w:tc>
        <w:tc>
          <w:tcPr>
            <w:tcW w:w="1135" w:type="dxa"/>
            <w:noWrap/>
            <w:tcMar>
              <w:top w:w="0" w:type="dxa"/>
              <w:left w:w="108" w:type="dxa"/>
              <w:bottom w:w="0" w:type="dxa"/>
              <w:right w:w="108" w:type="dxa"/>
            </w:tcMar>
            <w:vAlign w:val="bottom"/>
          </w:tcPr>
          <w:p w:rsidRPr="00BE590D" w:rsidR="00191BEA" w:rsidP="00BE590D" w:rsidRDefault="002F6E32" w14:paraId="273AC1FA" w14:textId="5292AC80">
            <w:pPr>
              <w:spacing w:line="276" w:lineRule="auto"/>
              <w:jc w:val="center"/>
              <w:rPr>
                <w:rFonts w:eastAsia="Calibri"/>
                <w:lang w:eastAsia="en-US"/>
              </w:rPr>
            </w:pPr>
            <w:r w:rsidRPr="00BE590D">
              <w:rPr>
                <w:rFonts w:eastAsia="Calibri"/>
                <w:lang w:eastAsia="en-US"/>
              </w:rPr>
              <w:t>$147</w:t>
            </w:r>
            <w:r w:rsidR="00BE590D">
              <w:rPr>
                <w:rFonts w:eastAsia="Calibri"/>
                <w:lang w:eastAsia="en-US"/>
              </w:rPr>
              <w:t>,</w:t>
            </w:r>
            <w:r w:rsidRPr="00BE590D">
              <w:rPr>
                <w:rFonts w:eastAsia="Calibri"/>
                <w:lang w:eastAsia="en-US"/>
              </w:rPr>
              <w:t>272</w:t>
            </w:r>
          </w:p>
        </w:tc>
        <w:tc>
          <w:tcPr>
            <w:tcW w:w="1080" w:type="dxa"/>
            <w:noWrap/>
            <w:tcMar>
              <w:top w:w="0" w:type="dxa"/>
              <w:left w:w="108" w:type="dxa"/>
              <w:bottom w:w="0" w:type="dxa"/>
              <w:right w:w="108" w:type="dxa"/>
            </w:tcMar>
            <w:vAlign w:val="bottom"/>
          </w:tcPr>
          <w:p w:rsidRPr="00BE590D" w:rsidR="00191BEA" w:rsidP="00BE590D" w:rsidRDefault="00191BEA" w14:paraId="14306E30" w14:textId="77777777">
            <w:pPr>
              <w:spacing w:line="276" w:lineRule="auto"/>
              <w:jc w:val="center"/>
              <w:rPr>
                <w:rFonts w:eastAsia="Calibri"/>
                <w:lang w:eastAsia="en-US"/>
              </w:rPr>
            </w:pPr>
            <w:r w:rsidRPr="00BE590D">
              <w:rPr>
                <w:rFonts w:eastAsia="Calibri"/>
                <w:lang w:eastAsia="en-US"/>
              </w:rPr>
              <w:t xml:space="preserve">3% </w:t>
            </w:r>
          </w:p>
        </w:tc>
        <w:tc>
          <w:tcPr>
            <w:tcW w:w="1800" w:type="dxa"/>
            <w:shd w:val="clear" w:color="auto" w:fill="BFBFBF" w:themeFill="background1" w:themeFillShade="BF"/>
          </w:tcPr>
          <w:p w:rsidRPr="00BE590D" w:rsidR="00191BEA" w:rsidP="00BE590D" w:rsidRDefault="00191BEA" w14:paraId="20FFDD2A" w14:textId="77777777">
            <w:pPr>
              <w:spacing w:line="276" w:lineRule="auto"/>
              <w:rPr>
                <w:rFonts w:eastAsia="Times New Roman"/>
                <w:lang w:eastAsia="en-US"/>
              </w:rPr>
            </w:pPr>
          </w:p>
        </w:tc>
        <w:tc>
          <w:tcPr>
            <w:tcW w:w="1525" w:type="dxa"/>
          </w:tcPr>
          <w:p w:rsidRPr="00BE590D" w:rsidR="00191BEA" w:rsidP="00BE590D" w:rsidRDefault="002F6E32" w14:paraId="12D450CE" w14:textId="56B6FBE5">
            <w:pPr>
              <w:spacing w:line="276" w:lineRule="auto"/>
              <w:jc w:val="center"/>
              <w:rPr>
                <w:rFonts w:eastAsia="Times New Roman"/>
                <w:lang w:eastAsia="en-US"/>
              </w:rPr>
            </w:pPr>
            <w:r w:rsidRPr="00BE590D">
              <w:rPr>
                <w:rFonts w:eastAsia="Times New Roman"/>
                <w:lang w:eastAsia="en-US"/>
              </w:rPr>
              <w:t>$4,418.16</w:t>
            </w:r>
          </w:p>
        </w:tc>
      </w:tr>
      <w:tr w:rsidRPr="00191BEA" w:rsidR="00191BEA" w:rsidTr="00BE590D" w14:paraId="2D2ECD79" w14:textId="77777777">
        <w:trPr>
          <w:trHeight w:val="254"/>
          <w:jc w:val="center"/>
        </w:trPr>
        <w:tc>
          <w:tcPr>
            <w:tcW w:w="2515" w:type="dxa"/>
            <w:noWrap/>
            <w:tcMar>
              <w:top w:w="0" w:type="dxa"/>
              <w:left w:w="108" w:type="dxa"/>
              <w:bottom w:w="0" w:type="dxa"/>
              <w:right w:w="108" w:type="dxa"/>
            </w:tcMar>
            <w:vAlign w:val="bottom"/>
          </w:tcPr>
          <w:p w:rsidRPr="00BE590D" w:rsidR="00191BEA" w:rsidP="00BE590D" w:rsidRDefault="00191BEA" w14:paraId="2802B841" w14:textId="77777777">
            <w:pPr>
              <w:spacing w:line="276" w:lineRule="auto"/>
              <w:rPr>
                <w:rFonts w:eastAsia="Calibri"/>
                <w:b/>
                <w:lang w:eastAsia="en-US"/>
              </w:rPr>
            </w:pPr>
            <w:r w:rsidRPr="00BE590D">
              <w:rPr>
                <w:rFonts w:eastAsia="Calibri"/>
                <w:b/>
                <w:lang w:eastAsia="en-US"/>
              </w:rPr>
              <w:t>Contractor Cost</w:t>
            </w:r>
          </w:p>
        </w:tc>
        <w:tc>
          <w:tcPr>
            <w:tcW w:w="1295" w:type="dxa"/>
            <w:shd w:val="clear" w:color="auto" w:fill="BFBFBF" w:themeFill="background1" w:themeFillShade="BF"/>
          </w:tcPr>
          <w:p w:rsidRPr="00BE590D" w:rsidR="00191BEA" w:rsidP="00BE590D" w:rsidRDefault="00191BEA" w14:paraId="0B636AF6" w14:textId="77777777">
            <w:pPr>
              <w:spacing w:line="276" w:lineRule="auto"/>
              <w:rPr>
                <w:rFonts w:eastAsia="Calibri"/>
                <w:lang w:eastAsia="en-US"/>
              </w:rPr>
            </w:pPr>
          </w:p>
        </w:tc>
        <w:tc>
          <w:tcPr>
            <w:tcW w:w="1135" w:type="dxa"/>
            <w:noWrap/>
            <w:tcMar>
              <w:top w:w="0" w:type="dxa"/>
              <w:left w:w="108" w:type="dxa"/>
              <w:bottom w:w="0" w:type="dxa"/>
              <w:right w:w="108" w:type="dxa"/>
            </w:tcMar>
            <w:vAlign w:val="bottom"/>
          </w:tcPr>
          <w:p w:rsidRPr="00BE590D" w:rsidR="00191BEA" w:rsidP="00BE590D" w:rsidRDefault="00191BEA" w14:paraId="000B0E94" w14:textId="77777777">
            <w:pPr>
              <w:spacing w:line="276" w:lineRule="auto"/>
              <w:rPr>
                <w:rFonts w:eastAsia="Calibri"/>
                <w:lang w:eastAsia="en-US"/>
              </w:rPr>
            </w:pPr>
          </w:p>
        </w:tc>
        <w:tc>
          <w:tcPr>
            <w:tcW w:w="1080" w:type="dxa"/>
            <w:noWrap/>
            <w:tcMar>
              <w:top w:w="0" w:type="dxa"/>
              <w:left w:w="108" w:type="dxa"/>
              <w:bottom w:w="0" w:type="dxa"/>
              <w:right w:w="108" w:type="dxa"/>
            </w:tcMar>
            <w:vAlign w:val="bottom"/>
          </w:tcPr>
          <w:p w:rsidRPr="00BE590D" w:rsidR="00191BEA" w:rsidP="00BE590D" w:rsidRDefault="00191BEA" w14:paraId="433AE183" w14:textId="77777777">
            <w:pPr>
              <w:spacing w:line="276" w:lineRule="auto"/>
              <w:rPr>
                <w:rFonts w:eastAsia="Calibri"/>
                <w:lang w:eastAsia="en-US"/>
              </w:rPr>
            </w:pPr>
          </w:p>
        </w:tc>
        <w:tc>
          <w:tcPr>
            <w:tcW w:w="1800" w:type="dxa"/>
          </w:tcPr>
          <w:p w:rsidRPr="00BE590D" w:rsidR="00191BEA" w:rsidP="00BE590D" w:rsidRDefault="00191BEA" w14:paraId="44EA3CB4" w14:textId="77777777">
            <w:pPr>
              <w:spacing w:line="276" w:lineRule="auto"/>
              <w:rPr>
                <w:rFonts w:eastAsia="Times New Roman"/>
                <w:lang w:eastAsia="en-US"/>
              </w:rPr>
            </w:pPr>
          </w:p>
        </w:tc>
        <w:tc>
          <w:tcPr>
            <w:tcW w:w="1525" w:type="dxa"/>
          </w:tcPr>
          <w:p w:rsidRPr="00BE590D" w:rsidR="00191BEA" w:rsidP="00BE590D" w:rsidRDefault="00191BEA" w14:paraId="69278BE5" w14:textId="77777777">
            <w:pPr>
              <w:spacing w:line="276" w:lineRule="auto"/>
              <w:jc w:val="center"/>
              <w:rPr>
                <w:rFonts w:eastAsia="Times New Roman"/>
                <w:lang w:eastAsia="en-US"/>
              </w:rPr>
            </w:pPr>
            <w:r w:rsidRPr="00BE590D">
              <w:rPr>
                <w:rFonts w:eastAsia="Times New Roman"/>
                <w:lang w:eastAsia="en-US"/>
              </w:rPr>
              <w:t>$12,000</w:t>
            </w:r>
          </w:p>
        </w:tc>
      </w:tr>
      <w:tr w:rsidRPr="00191BEA" w:rsidR="00191BEA" w:rsidTr="00BE590D" w14:paraId="7E74C76D" w14:textId="77777777">
        <w:trPr>
          <w:trHeight w:val="254"/>
          <w:jc w:val="center"/>
        </w:trPr>
        <w:tc>
          <w:tcPr>
            <w:tcW w:w="2515" w:type="dxa"/>
            <w:noWrap/>
            <w:tcMar>
              <w:top w:w="0" w:type="dxa"/>
              <w:left w:w="108" w:type="dxa"/>
              <w:bottom w:w="0" w:type="dxa"/>
              <w:right w:w="108" w:type="dxa"/>
            </w:tcMar>
            <w:vAlign w:val="bottom"/>
          </w:tcPr>
          <w:p w:rsidRPr="00BE590D" w:rsidR="00191BEA" w:rsidP="00BE590D" w:rsidRDefault="00191BEA" w14:paraId="778D6967" w14:textId="77777777">
            <w:pPr>
              <w:spacing w:line="276" w:lineRule="auto"/>
              <w:rPr>
                <w:rFonts w:eastAsia="Calibri"/>
                <w:lang w:eastAsia="en-US"/>
              </w:rPr>
            </w:pPr>
            <w:r w:rsidRPr="00BE590D">
              <w:rPr>
                <w:rFonts w:eastAsia="Calibri"/>
                <w:lang w:eastAsia="en-US"/>
              </w:rPr>
              <w:t xml:space="preserve">Travel </w:t>
            </w:r>
          </w:p>
        </w:tc>
        <w:tc>
          <w:tcPr>
            <w:tcW w:w="1295" w:type="dxa"/>
            <w:shd w:val="clear" w:color="auto" w:fill="BFBFBF" w:themeFill="background1" w:themeFillShade="BF"/>
          </w:tcPr>
          <w:p w:rsidRPr="00BE590D" w:rsidR="00191BEA" w:rsidP="00BE590D" w:rsidRDefault="00191BEA" w14:paraId="07119B71" w14:textId="77777777">
            <w:pPr>
              <w:spacing w:line="276" w:lineRule="auto"/>
              <w:rPr>
                <w:rFonts w:eastAsia="Calibri"/>
                <w:lang w:eastAsia="en-US"/>
              </w:rPr>
            </w:pPr>
          </w:p>
        </w:tc>
        <w:tc>
          <w:tcPr>
            <w:tcW w:w="1135" w:type="dxa"/>
            <w:shd w:val="clear" w:color="auto" w:fill="BFBFBF" w:themeFill="background1" w:themeFillShade="BF"/>
            <w:noWrap/>
            <w:tcMar>
              <w:top w:w="0" w:type="dxa"/>
              <w:left w:w="108" w:type="dxa"/>
              <w:bottom w:w="0" w:type="dxa"/>
              <w:right w:w="108" w:type="dxa"/>
            </w:tcMar>
            <w:vAlign w:val="bottom"/>
          </w:tcPr>
          <w:p w:rsidRPr="00BE590D" w:rsidR="00191BEA" w:rsidP="00BE590D" w:rsidRDefault="00191BEA" w14:paraId="4984FDD1" w14:textId="77777777">
            <w:pPr>
              <w:spacing w:line="276" w:lineRule="auto"/>
              <w:rPr>
                <w:rFonts w:eastAsia="Calibri"/>
                <w:lang w:eastAsia="en-US"/>
              </w:rPr>
            </w:pPr>
          </w:p>
        </w:tc>
        <w:tc>
          <w:tcPr>
            <w:tcW w:w="1080" w:type="dxa"/>
            <w:shd w:val="clear" w:color="auto" w:fill="BFBFBF" w:themeFill="background1" w:themeFillShade="BF"/>
            <w:noWrap/>
            <w:tcMar>
              <w:top w:w="0" w:type="dxa"/>
              <w:left w:w="108" w:type="dxa"/>
              <w:bottom w:w="0" w:type="dxa"/>
              <w:right w:w="108" w:type="dxa"/>
            </w:tcMar>
            <w:vAlign w:val="bottom"/>
          </w:tcPr>
          <w:p w:rsidRPr="00BE590D" w:rsidR="00191BEA" w:rsidP="00BE590D" w:rsidRDefault="00191BEA" w14:paraId="0E0A0482" w14:textId="77777777">
            <w:pPr>
              <w:spacing w:line="276" w:lineRule="auto"/>
              <w:rPr>
                <w:rFonts w:eastAsia="Calibri"/>
                <w:lang w:eastAsia="en-US"/>
              </w:rPr>
            </w:pPr>
          </w:p>
        </w:tc>
        <w:tc>
          <w:tcPr>
            <w:tcW w:w="1800" w:type="dxa"/>
            <w:shd w:val="clear" w:color="auto" w:fill="BFBFBF" w:themeFill="background1" w:themeFillShade="BF"/>
          </w:tcPr>
          <w:p w:rsidRPr="00BE590D" w:rsidR="00191BEA" w:rsidP="00BE590D" w:rsidRDefault="00191BEA" w14:paraId="315BB0F1" w14:textId="77777777">
            <w:pPr>
              <w:spacing w:line="276" w:lineRule="auto"/>
              <w:rPr>
                <w:rFonts w:eastAsia="Times New Roman"/>
                <w:lang w:eastAsia="en-US"/>
              </w:rPr>
            </w:pPr>
          </w:p>
        </w:tc>
        <w:tc>
          <w:tcPr>
            <w:tcW w:w="1525" w:type="dxa"/>
          </w:tcPr>
          <w:p w:rsidRPr="00BE590D" w:rsidR="00191BEA" w:rsidP="00BE590D" w:rsidRDefault="00191BEA" w14:paraId="259FCC7E" w14:textId="77777777">
            <w:pPr>
              <w:spacing w:line="276" w:lineRule="auto"/>
              <w:jc w:val="center"/>
              <w:rPr>
                <w:rFonts w:eastAsia="Times New Roman"/>
                <w:lang w:eastAsia="en-US"/>
              </w:rPr>
            </w:pPr>
            <w:r w:rsidRPr="00BE590D">
              <w:rPr>
                <w:rFonts w:eastAsia="Times New Roman"/>
                <w:lang w:eastAsia="en-US"/>
              </w:rPr>
              <w:t xml:space="preserve">$0 </w:t>
            </w:r>
          </w:p>
        </w:tc>
      </w:tr>
      <w:tr w:rsidRPr="00191BEA" w:rsidR="00191BEA" w:rsidTr="00BE590D" w14:paraId="7721EEB4" w14:textId="77777777">
        <w:trPr>
          <w:trHeight w:val="254"/>
          <w:jc w:val="center"/>
        </w:trPr>
        <w:tc>
          <w:tcPr>
            <w:tcW w:w="2515" w:type="dxa"/>
            <w:noWrap/>
            <w:tcMar>
              <w:top w:w="0" w:type="dxa"/>
              <w:left w:w="108" w:type="dxa"/>
              <w:bottom w:w="0" w:type="dxa"/>
              <w:right w:w="108" w:type="dxa"/>
            </w:tcMar>
            <w:vAlign w:val="bottom"/>
          </w:tcPr>
          <w:p w:rsidRPr="00BE590D" w:rsidR="00191BEA" w:rsidP="00BE590D" w:rsidRDefault="00191BEA" w14:paraId="61138FA4" w14:textId="77777777">
            <w:pPr>
              <w:spacing w:line="276" w:lineRule="auto"/>
              <w:rPr>
                <w:rFonts w:eastAsia="Calibri"/>
                <w:color w:val="1F497D"/>
                <w:highlight w:val="yellow"/>
                <w:lang w:eastAsia="en-US"/>
              </w:rPr>
            </w:pPr>
            <w:r w:rsidRPr="00BE590D">
              <w:rPr>
                <w:rFonts w:eastAsia="Calibri"/>
                <w:color w:val="000000"/>
                <w:lang w:eastAsia="en-US"/>
              </w:rPr>
              <w:t>Other Cost</w:t>
            </w:r>
          </w:p>
        </w:tc>
        <w:tc>
          <w:tcPr>
            <w:tcW w:w="1295" w:type="dxa"/>
            <w:shd w:val="clear" w:color="auto" w:fill="BFBFBF" w:themeFill="background1" w:themeFillShade="BF"/>
          </w:tcPr>
          <w:p w:rsidRPr="00BE590D" w:rsidR="00191BEA" w:rsidP="00BE590D" w:rsidRDefault="00191BEA" w14:paraId="467A67E9" w14:textId="77777777">
            <w:pPr>
              <w:spacing w:line="276" w:lineRule="auto"/>
              <w:rPr>
                <w:rFonts w:eastAsia="Calibri"/>
                <w:color w:val="000000"/>
                <w:lang w:eastAsia="en-US"/>
              </w:rPr>
            </w:pPr>
          </w:p>
        </w:tc>
        <w:tc>
          <w:tcPr>
            <w:tcW w:w="1135" w:type="dxa"/>
            <w:shd w:val="clear" w:color="auto" w:fill="BFBFBF" w:themeFill="background1" w:themeFillShade="BF"/>
            <w:noWrap/>
            <w:tcMar>
              <w:top w:w="0" w:type="dxa"/>
              <w:left w:w="108" w:type="dxa"/>
              <w:bottom w:w="0" w:type="dxa"/>
              <w:right w:w="108" w:type="dxa"/>
            </w:tcMar>
            <w:vAlign w:val="bottom"/>
          </w:tcPr>
          <w:p w:rsidRPr="00BE590D" w:rsidR="00191BEA" w:rsidP="00BE590D" w:rsidRDefault="00191BEA" w14:paraId="60F12D9C" w14:textId="77777777">
            <w:pPr>
              <w:spacing w:line="276" w:lineRule="auto"/>
              <w:rPr>
                <w:rFonts w:eastAsia="Calibri"/>
                <w:lang w:eastAsia="en-US"/>
              </w:rPr>
            </w:pPr>
          </w:p>
        </w:tc>
        <w:tc>
          <w:tcPr>
            <w:tcW w:w="1080" w:type="dxa"/>
            <w:shd w:val="clear" w:color="auto" w:fill="BFBFBF" w:themeFill="background1" w:themeFillShade="BF"/>
            <w:noWrap/>
            <w:tcMar>
              <w:top w:w="0" w:type="dxa"/>
              <w:left w:w="108" w:type="dxa"/>
              <w:bottom w:w="0" w:type="dxa"/>
              <w:right w:w="108" w:type="dxa"/>
            </w:tcMar>
            <w:vAlign w:val="bottom"/>
          </w:tcPr>
          <w:p w:rsidRPr="00BE590D" w:rsidR="00191BEA" w:rsidP="00BE590D" w:rsidRDefault="00191BEA" w14:paraId="1F6F9CF4" w14:textId="77777777">
            <w:pPr>
              <w:spacing w:line="276" w:lineRule="auto"/>
              <w:rPr>
                <w:rFonts w:eastAsia="Calibri"/>
                <w:lang w:eastAsia="en-US"/>
              </w:rPr>
            </w:pPr>
          </w:p>
        </w:tc>
        <w:tc>
          <w:tcPr>
            <w:tcW w:w="1800" w:type="dxa"/>
            <w:shd w:val="clear" w:color="auto" w:fill="BFBFBF" w:themeFill="background1" w:themeFillShade="BF"/>
          </w:tcPr>
          <w:p w:rsidRPr="00BE590D" w:rsidR="00191BEA" w:rsidP="00BE590D" w:rsidRDefault="00191BEA" w14:paraId="17E509F8" w14:textId="77777777">
            <w:pPr>
              <w:spacing w:line="276" w:lineRule="auto"/>
              <w:rPr>
                <w:rFonts w:eastAsia="Calibri"/>
                <w:lang w:eastAsia="en-US"/>
              </w:rPr>
            </w:pPr>
          </w:p>
        </w:tc>
        <w:tc>
          <w:tcPr>
            <w:tcW w:w="1525" w:type="dxa"/>
          </w:tcPr>
          <w:p w:rsidRPr="00BE590D" w:rsidR="00191BEA" w:rsidP="00BE590D" w:rsidRDefault="00191BEA" w14:paraId="48BC33F4" w14:textId="77777777">
            <w:pPr>
              <w:spacing w:line="276" w:lineRule="auto"/>
              <w:jc w:val="center"/>
              <w:rPr>
                <w:rFonts w:eastAsia="Calibri"/>
                <w:lang w:eastAsia="en-US"/>
              </w:rPr>
            </w:pPr>
            <w:r w:rsidRPr="00BE590D">
              <w:rPr>
                <w:rFonts w:eastAsia="Calibri"/>
                <w:lang w:eastAsia="en-US"/>
              </w:rPr>
              <w:t xml:space="preserve"> $0</w:t>
            </w:r>
          </w:p>
        </w:tc>
      </w:tr>
      <w:tr w:rsidRPr="00191BEA" w:rsidR="00191BEA" w:rsidTr="00BE590D" w14:paraId="4EE6E6A6" w14:textId="77777777">
        <w:trPr>
          <w:trHeight w:val="254"/>
          <w:jc w:val="center"/>
        </w:trPr>
        <w:tc>
          <w:tcPr>
            <w:tcW w:w="2515" w:type="dxa"/>
            <w:noWrap/>
            <w:tcMar>
              <w:top w:w="0" w:type="dxa"/>
              <w:left w:w="108" w:type="dxa"/>
              <w:bottom w:w="0" w:type="dxa"/>
              <w:right w:w="108" w:type="dxa"/>
            </w:tcMar>
            <w:vAlign w:val="bottom"/>
            <w:hideMark/>
          </w:tcPr>
          <w:p w:rsidRPr="00BE590D" w:rsidR="00191BEA" w:rsidP="00BE590D" w:rsidRDefault="00191BEA" w14:paraId="5999343E" w14:textId="77777777">
            <w:pPr>
              <w:spacing w:line="276" w:lineRule="auto"/>
              <w:rPr>
                <w:rFonts w:eastAsia="Times New Roman"/>
                <w:b/>
                <w:lang w:eastAsia="en-US"/>
              </w:rPr>
            </w:pPr>
            <w:r w:rsidRPr="00BE590D">
              <w:rPr>
                <w:rFonts w:eastAsia="Times New Roman"/>
                <w:b/>
                <w:lang w:eastAsia="en-US"/>
              </w:rPr>
              <w:t>Total</w:t>
            </w:r>
          </w:p>
        </w:tc>
        <w:tc>
          <w:tcPr>
            <w:tcW w:w="1295" w:type="dxa"/>
          </w:tcPr>
          <w:p w:rsidRPr="00BE590D" w:rsidR="00191BEA" w:rsidP="00BE590D" w:rsidRDefault="00191BEA" w14:paraId="65761E8A" w14:textId="77777777">
            <w:pPr>
              <w:spacing w:line="276" w:lineRule="auto"/>
              <w:rPr>
                <w:rFonts w:eastAsia="Calibri"/>
                <w:lang w:eastAsia="en-US"/>
              </w:rPr>
            </w:pPr>
          </w:p>
        </w:tc>
        <w:tc>
          <w:tcPr>
            <w:tcW w:w="1135" w:type="dxa"/>
            <w:noWrap/>
            <w:tcMar>
              <w:top w:w="0" w:type="dxa"/>
              <w:left w:w="108" w:type="dxa"/>
              <w:bottom w:w="0" w:type="dxa"/>
              <w:right w:w="108" w:type="dxa"/>
            </w:tcMar>
            <w:vAlign w:val="bottom"/>
            <w:hideMark/>
          </w:tcPr>
          <w:p w:rsidRPr="00BE590D" w:rsidR="00191BEA" w:rsidP="00BE590D" w:rsidRDefault="00191BEA" w14:paraId="7F7E8EA3" w14:textId="77777777">
            <w:pPr>
              <w:spacing w:line="276" w:lineRule="auto"/>
              <w:rPr>
                <w:rFonts w:eastAsia="Times New Roman"/>
                <w:lang w:eastAsia="en-US"/>
              </w:rPr>
            </w:pPr>
          </w:p>
        </w:tc>
        <w:tc>
          <w:tcPr>
            <w:tcW w:w="1080" w:type="dxa"/>
            <w:noWrap/>
            <w:tcMar>
              <w:top w:w="0" w:type="dxa"/>
              <w:left w:w="108" w:type="dxa"/>
              <w:bottom w:w="0" w:type="dxa"/>
              <w:right w:w="108" w:type="dxa"/>
            </w:tcMar>
            <w:vAlign w:val="bottom"/>
            <w:hideMark/>
          </w:tcPr>
          <w:p w:rsidRPr="00BE590D" w:rsidR="00191BEA" w:rsidP="00BE590D" w:rsidRDefault="00191BEA" w14:paraId="353302BE" w14:textId="77777777">
            <w:pPr>
              <w:spacing w:line="276" w:lineRule="auto"/>
              <w:rPr>
                <w:rFonts w:eastAsia="Times New Roman"/>
                <w:lang w:eastAsia="en-US"/>
              </w:rPr>
            </w:pPr>
          </w:p>
        </w:tc>
        <w:tc>
          <w:tcPr>
            <w:tcW w:w="1800" w:type="dxa"/>
          </w:tcPr>
          <w:p w:rsidRPr="00BE590D" w:rsidR="00191BEA" w:rsidP="00BE590D" w:rsidRDefault="00191BEA" w14:paraId="00FD12DC" w14:textId="77777777">
            <w:pPr>
              <w:spacing w:line="276" w:lineRule="auto"/>
              <w:rPr>
                <w:rFonts w:eastAsia="Times New Roman"/>
                <w:lang w:eastAsia="en-US"/>
              </w:rPr>
            </w:pPr>
          </w:p>
        </w:tc>
        <w:tc>
          <w:tcPr>
            <w:tcW w:w="1525" w:type="dxa"/>
          </w:tcPr>
          <w:p w:rsidRPr="00BE590D" w:rsidR="00191BEA" w:rsidP="00BE590D" w:rsidRDefault="002F6E32" w14:paraId="07C9419D" w14:textId="6DA0D5AC">
            <w:pPr>
              <w:spacing w:line="276" w:lineRule="auto"/>
              <w:jc w:val="center"/>
              <w:rPr>
                <w:rFonts w:eastAsia="Times New Roman"/>
                <w:b/>
                <w:lang w:eastAsia="en-US"/>
              </w:rPr>
            </w:pPr>
            <w:r w:rsidRPr="00BE590D">
              <w:rPr>
                <w:rFonts w:eastAsia="Times New Roman"/>
                <w:b/>
                <w:lang w:eastAsia="en-US"/>
              </w:rPr>
              <w:t>$21,716.55</w:t>
            </w:r>
          </w:p>
        </w:tc>
      </w:tr>
    </w:tbl>
    <w:p w:rsidRPr="00BE590D" w:rsidR="000E5894" w:rsidP="00BE590D" w:rsidRDefault="002F71D4" w14:paraId="791581E4" w14:textId="100AC0C4">
      <w:pPr>
        <w:spacing w:line="276" w:lineRule="auto"/>
        <w:rPr>
          <w:rFonts w:eastAsiaTheme="minorEastAsia"/>
          <w:color w:val="002060"/>
          <w:sz w:val="22"/>
          <w:szCs w:val="22"/>
          <w:lang w:eastAsia="en-US"/>
        </w:rPr>
      </w:pPr>
      <w:r w:rsidRPr="003B6D3D">
        <w:t>*</w:t>
      </w:r>
      <w:r w:rsidR="00BE0730">
        <w:t>*</w:t>
      </w:r>
      <w:r w:rsidRPr="003B6D3D" w:rsidR="00D56B41">
        <w:t>T</w:t>
      </w:r>
      <w:r w:rsidRPr="003B6D3D">
        <w:t xml:space="preserve">he Salary in </w:t>
      </w:r>
      <w:r w:rsidRPr="003B6D3D" w:rsidR="00C56AA6">
        <w:t xml:space="preserve">the </w:t>
      </w:r>
      <w:r w:rsidRPr="003B6D3D">
        <w:t>table above is cited from</w:t>
      </w:r>
      <w:r w:rsidRPr="003B6D3D" w:rsidR="00C56AA6">
        <w:t>:</w:t>
      </w:r>
      <w:r w:rsidRPr="003B6D3D">
        <w:t xml:space="preserve"> </w:t>
      </w:r>
      <w:hyperlink w:history="1" r:id="rId15">
        <w:r w:rsidRPr="00BE189E" w:rsidR="00C4522C">
          <w:rPr>
            <w:rStyle w:val="Hyperlink"/>
            <w:rFonts w:eastAsiaTheme="minorEastAsia"/>
            <w:sz w:val="22"/>
            <w:szCs w:val="22"/>
            <w:lang w:eastAsia="en-US"/>
          </w:rPr>
          <w:t>https://www.opm.gov/policy-data-oversight/pay-leave/salaries-wages/salary-tables/22Tables/html/DCB.aspx</w:t>
        </w:r>
      </w:hyperlink>
      <w:r w:rsidRPr="003B6D3D" w:rsidR="00C56AA6">
        <w:rPr>
          <w:rFonts w:eastAsiaTheme="minorEastAsia"/>
          <w:color w:val="0000FF"/>
          <w:sz w:val="22"/>
          <w:szCs w:val="22"/>
          <w:u w:val="single"/>
          <w:lang w:eastAsia="en-US"/>
        </w:rPr>
        <w:t>.</w:t>
      </w:r>
    </w:p>
    <w:p w:rsidRPr="003B6D3D" w:rsidR="00DE6706" w:rsidP="00BE590D" w:rsidRDefault="00DE6706" w14:paraId="7424B297" w14:textId="77777777">
      <w:pPr>
        <w:autoSpaceDE w:val="0"/>
        <w:autoSpaceDN w:val="0"/>
        <w:adjustRightInd w:val="0"/>
        <w:spacing w:line="276" w:lineRule="auto"/>
        <w:outlineLvl w:val="0"/>
        <w:rPr>
          <w:rFonts w:eastAsiaTheme="minorEastAsia"/>
          <w:lang w:eastAsia="en-US"/>
        </w:rPr>
      </w:pPr>
    </w:p>
    <w:p w:rsidRPr="009477F2" w:rsidR="0008711B" w:rsidP="00BE590D" w:rsidRDefault="0008711B" w14:paraId="41FD8B9D" w14:textId="363B2A34">
      <w:pPr>
        <w:spacing w:line="276" w:lineRule="auto"/>
        <w:rPr>
          <w:rFonts w:eastAsiaTheme="minorEastAsia"/>
          <w:b/>
          <w:lang w:eastAsia="en-US"/>
        </w:rPr>
      </w:pPr>
      <w:r w:rsidRPr="009477F2">
        <w:rPr>
          <w:rFonts w:eastAsiaTheme="minorEastAsia"/>
          <w:b/>
          <w:lang w:eastAsia="en-US"/>
        </w:rPr>
        <w:t>A</w:t>
      </w:r>
      <w:r w:rsidRPr="009477F2" w:rsidR="00010D75">
        <w:rPr>
          <w:rFonts w:eastAsiaTheme="minorEastAsia"/>
          <w:b/>
          <w:lang w:eastAsia="en-US"/>
        </w:rPr>
        <w:t>.</w:t>
      </w:r>
      <w:r w:rsidRPr="009477F2">
        <w:rPr>
          <w:rFonts w:eastAsiaTheme="minorEastAsia"/>
          <w:b/>
          <w:lang w:eastAsia="en-US"/>
        </w:rPr>
        <w:t xml:space="preserve">15 </w:t>
      </w:r>
      <w:r w:rsidRPr="009477F2" w:rsidR="00125ADC">
        <w:rPr>
          <w:rFonts w:eastAsiaTheme="minorEastAsia"/>
          <w:b/>
          <w:lang w:eastAsia="en-US"/>
        </w:rPr>
        <w:tab/>
      </w:r>
      <w:r w:rsidRPr="009477F2">
        <w:rPr>
          <w:rFonts w:eastAsiaTheme="minorEastAsia"/>
          <w:b/>
          <w:lang w:eastAsia="en-US"/>
        </w:rPr>
        <w:t>Explanation for Program Changes or Adjustments</w:t>
      </w:r>
      <w:bookmarkEnd w:id="21"/>
    </w:p>
    <w:p w:rsidRPr="009477F2" w:rsidR="009477F2" w:rsidP="00BE590D" w:rsidRDefault="009477F2" w14:paraId="70998EB8" w14:textId="77777777">
      <w:pPr>
        <w:autoSpaceDE w:val="0"/>
        <w:autoSpaceDN w:val="0"/>
        <w:adjustRightInd w:val="0"/>
        <w:spacing w:line="276" w:lineRule="auto"/>
        <w:rPr>
          <w:rFonts w:eastAsiaTheme="minorEastAsia"/>
          <w:i/>
          <w:lang w:eastAsia="en-US"/>
        </w:rPr>
      </w:pPr>
      <w:bookmarkStart w:name="_Toc230515993" w:id="22"/>
    </w:p>
    <w:p w:rsidRPr="009477F2" w:rsidR="00D442AC" w:rsidP="00BE590D" w:rsidRDefault="009477F2" w14:paraId="47A6A10E" w14:textId="69FB813A">
      <w:pPr>
        <w:autoSpaceDE w:val="0"/>
        <w:autoSpaceDN w:val="0"/>
        <w:adjustRightInd w:val="0"/>
        <w:spacing w:line="276" w:lineRule="auto"/>
      </w:pPr>
      <w:r w:rsidRPr="009477F2">
        <w:rPr>
          <w:rFonts w:eastAsiaTheme="minorEastAsia"/>
          <w:lang w:eastAsia="en-US"/>
        </w:rPr>
        <w:t>N/A</w:t>
      </w:r>
    </w:p>
    <w:p w:rsidRPr="003B6D3D" w:rsidR="00D442AC" w:rsidP="00BE590D" w:rsidRDefault="00D442AC" w14:paraId="001BEF3A" w14:textId="77777777">
      <w:pPr>
        <w:autoSpaceDE w:val="0"/>
        <w:autoSpaceDN w:val="0"/>
        <w:adjustRightInd w:val="0"/>
        <w:spacing w:line="276" w:lineRule="auto"/>
      </w:pPr>
    </w:p>
    <w:p w:rsidRPr="003B6D3D" w:rsidR="0008711B" w:rsidP="00BE590D" w:rsidRDefault="0008711B" w14:paraId="56640781" w14:textId="7FB14DCC">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16 </w:t>
      </w:r>
      <w:r w:rsidRPr="003B6D3D" w:rsidR="00125ADC">
        <w:rPr>
          <w:b/>
        </w:rPr>
        <w:tab/>
      </w:r>
      <w:r w:rsidRPr="003B6D3D">
        <w:rPr>
          <w:b/>
        </w:rPr>
        <w:t>Plans for Tabulation and Publication and Project Time Schedule</w:t>
      </w:r>
      <w:bookmarkEnd w:id="22"/>
    </w:p>
    <w:p w:rsidR="009477F2" w:rsidP="00BE590D" w:rsidRDefault="00370ABA" w14:paraId="364F6B2E" w14:textId="2F141EDA">
      <w:pPr>
        <w:autoSpaceDE w:val="0"/>
        <w:autoSpaceDN w:val="0"/>
        <w:adjustRightInd w:val="0"/>
        <w:spacing w:line="276" w:lineRule="auto"/>
        <w:outlineLvl w:val="0"/>
      </w:pPr>
      <w:bookmarkStart w:name="_Toc230515994" w:id="23"/>
      <w:r w:rsidRPr="009477F2">
        <w:t xml:space="preserve">Applications will be used to determine the eligibility of applicants for CPFP programs.  The data from the application system will also be used for annual program assessments, reviews, and reports to NCI leadership.  It is anticipated that the data may be analyzed </w:t>
      </w:r>
      <w:r w:rsidRPr="00B7323E" w:rsidR="00B7323E">
        <w:t xml:space="preserve">better to understand the training needs of </w:t>
      </w:r>
      <w:r w:rsidR="00B7323E">
        <w:t>early-career</w:t>
      </w:r>
      <w:r w:rsidRPr="00B7323E" w:rsidR="00B7323E">
        <w:t xml:space="preserve"> scientists</w:t>
      </w:r>
      <w:r w:rsidRPr="009477F2">
        <w:t xml:space="preserve">. </w:t>
      </w:r>
      <w:r w:rsidR="006E2D98">
        <w:t xml:space="preserve"> </w:t>
      </w:r>
      <w:r w:rsidR="00B7323E">
        <w:t>The analysis</w:t>
      </w:r>
      <w:r w:rsidRPr="009477F2">
        <w:t xml:space="preserve"> will include </w:t>
      </w:r>
      <w:r w:rsidR="00B7323E">
        <w:t>de-identification</w:t>
      </w:r>
      <w:r w:rsidRPr="009477F2">
        <w:t xml:space="preserve"> of data, data cleaning, and a statistical method that is not yet determined.  If findings are relevant and advance the fields of postdoctoral and cancer prevention training, results may be published.</w:t>
      </w:r>
    </w:p>
    <w:p w:rsidRPr="003B6D3D" w:rsidR="009477F2" w:rsidP="00BE590D" w:rsidRDefault="009477F2" w14:paraId="7974AC0F" w14:textId="77777777">
      <w:pPr>
        <w:autoSpaceDE w:val="0"/>
        <w:autoSpaceDN w:val="0"/>
        <w:adjustRightInd w:val="0"/>
        <w:spacing w:line="276" w:lineRule="auto"/>
        <w:outlineLvl w:val="0"/>
      </w:pPr>
    </w:p>
    <w:p w:rsidRPr="00BE590D" w:rsidR="003F2656" w:rsidP="00BE590D" w:rsidRDefault="00B3645D" w14:paraId="142C313D" w14:textId="1A6FCAB7">
      <w:pPr>
        <w:autoSpaceDE w:val="0"/>
        <w:autoSpaceDN w:val="0"/>
        <w:adjustRightInd w:val="0"/>
        <w:spacing w:line="276" w:lineRule="auto"/>
        <w:jc w:val="center"/>
        <w:outlineLvl w:val="0"/>
        <w:rPr>
          <w:b/>
        </w:rPr>
      </w:pPr>
      <w:r w:rsidRPr="009477F2">
        <w:rPr>
          <w:b/>
        </w:rPr>
        <w:t xml:space="preserve">Table </w:t>
      </w:r>
      <w:r w:rsidRPr="009477F2" w:rsidR="00CD598D">
        <w:rPr>
          <w:b/>
        </w:rPr>
        <w:t>A</w:t>
      </w:r>
      <w:r w:rsidRPr="009477F2" w:rsidR="00A9651D">
        <w:rPr>
          <w:b/>
        </w:rPr>
        <w:t>.</w:t>
      </w:r>
      <w:r w:rsidRPr="009477F2" w:rsidR="00E50BA8">
        <w:rPr>
          <w:b/>
        </w:rPr>
        <w:t>16</w:t>
      </w:r>
      <w:r w:rsidRPr="009477F2" w:rsidR="00A9651D">
        <w:rPr>
          <w:b/>
        </w:rPr>
        <w:t>.</w:t>
      </w:r>
      <w:r w:rsidRPr="009477F2" w:rsidR="00CD598D">
        <w:rPr>
          <w:b/>
        </w:rPr>
        <w:t>1.</w:t>
      </w:r>
      <w:r w:rsidRPr="009477F2" w:rsidR="00F52D49">
        <w:rPr>
          <w:b/>
        </w:rPr>
        <w:t xml:space="preserve"> Project Time Schedule</w:t>
      </w:r>
    </w:p>
    <w:tbl>
      <w:tblPr>
        <w:tblW w:w="4957"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5573"/>
        <w:gridCol w:w="3697"/>
      </w:tblGrid>
      <w:tr w:rsidRPr="009477F2" w:rsidR="00F52D49" w:rsidTr="009477F2" w14:paraId="3A4E1850" w14:textId="77777777">
        <w:trPr>
          <w:cantSplit/>
          <w:trHeight w:val="300"/>
        </w:trPr>
        <w:tc>
          <w:tcPr>
            <w:tcW w:w="3006" w:type="pct"/>
            <w:shd w:val="clear" w:color="auto" w:fill="auto"/>
            <w:vAlign w:val="bottom"/>
          </w:tcPr>
          <w:p w:rsidRPr="009477F2" w:rsidR="00F52D49" w:rsidP="00BE590D" w:rsidRDefault="00F52D49" w14:paraId="08CF096C" w14:textId="77777777">
            <w:pPr>
              <w:spacing w:line="276" w:lineRule="auto"/>
              <w:jc w:val="center"/>
              <w:rPr>
                <w:rFonts w:eastAsia="SimSun"/>
                <w:lang w:eastAsia="en-US"/>
              </w:rPr>
            </w:pPr>
            <w:r w:rsidRPr="009477F2">
              <w:rPr>
                <w:rFonts w:eastAsia="SimSun"/>
                <w:lang w:eastAsia="en-US"/>
              </w:rPr>
              <w:t>Activity</w:t>
            </w:r>
          </w:p>
        </w:tc>
        <w:tc>
          <w:tcPr>
            <w:tcW w:w="1994" w:type="pct"/>
            <w:vAlign w:val="center"/>
          </w:tcPr>
          <w:p w:rsidRPr="009477F2" w:rsidR="00F52D49" w:rsidP="00BE590D" w:rsidRDefault="00F52D49" w14:paraId="09A92DC8" w14:textId="77777777">
            <w:pPr>
              <w:spacing w:line="276" w:lineRule="auto"/>
              <w:jc w:val="center"/>
              <w:rPr>
                <w:rFonts w:eastAsia="SimSun"/>
                <w:lang w:eastAsia="en-US"/>
              </w:rPr>
            </w:pPr>
            <w:r w:rsidRPr="009477F2">
              <w:rPr>
                <w:rFonts w:eastAsia="SimSun"/>
                <w:lang w:eastAsia="en-US"/>
              </w:rPr>
              <w:t>Months after OMB Approval</w:t>
            </w:r>
          </w:p>
        </w:tc>
      </w:tr>
      <w:tr w:rsidRPr="009477F2" w:rsidR="00F52D49" w:rsidTr="009477F2" w14:paraId="0D0C192D" w14:textId="77777777">
        <w:trPr>
          <w:cantSplit/>
          <w:trHeight w:val="300"/>
        </w:trPr>
        <w:tc>
          <w:tcPr>
            <w:tcW w:w="3006" w:type="pct"/>
            <w:shd w:val="clear" w:color="auto" w:fill="auto"/>
            <w:vAlign w:val="bottom"/>
          </w:tcPr>
          <w:p w:rsidRPr="009477F2" w:rsidR="00F52D49" w:rsidP="00BE590D" w:rsidRDefault="003652A0" w14:paraId="610799EA" w14:textId="7AA7D226">
            <w:pPr>
              <w:spacing w:line="276" w:lineRule="auto"/>
              <w:rPr>
                <w:rFonts w:eastAsia="SimSun"/>
                <w:lang w:eastAsia="en-US"/>
              </w:rPr>
            </w:pPr>
            <w:r w:rsidRPr="009477F2">
              <w:rPr>
                <w:rFonts w:eastAsia="SimSun"/>
                <w:lang w:eastAsia="en-US"/>
              </w:rPr>
              <w:t>Application system(s) accepting information</w:t>
            </w:r>
          </w:p>
        </w:tc>
        <w:tc>
          <w:tcPr>
            <w:tcW w:w="1994" w:type="pct"/>
            <w:vAlign w:val="center"/>
          </w:tcPr>
          <w:p w:rsidRPr="009477F2" w:rsidR="00F52D49" w:rsidP="00BE590D" w:rsidRDefault="00F52D49" w14:paraId="7BA89293" w14:textId="789FD946">
            <w:pPr>
              <w:spacing w:line="276" w:lineRule="auto"/>
              <w:jc w:val="center"/>
              <w:rPr>
                <w:rFonts w:eastAsia="SimSun"/>
                <w:lang w:eastAsia="en-US"/>
              </w:rPr>
            </w:pPr>
            <w:r w:rsidRPr="009477F2">
              <w:rPr>
                <w:rFonts w:eastAsia="SimSun"/>
                <w:lang w:eastAsia="en-US"/>
              </w:rPr>
              <w:t>Month</w:t>
            </w:r>
            <w:r w:rsidRPr="009477F2" w:rsidR="001D0366">
              <w:rPr>
                <w:rFonts w:eastAsia="SimSun"/>
                <w:lang w:eastAsia="en-US"/>
              </w:rPr>
              <w:t>s</w:t>
            </w:r>
            <w:r w:rsidRPr="009477F2">
              <w:rPr>
                <w:rFonts w:eastAsia="SimSun"/>
                <w:lang w:eastAsia="en-US"/>
              </w:rPr>
              <w:t xml:space="preserve"> 0 – </w:t>
            </w:r>
            <w:r w:rsidRPr="009477F2" w:rsidR="001D0366">
              <w:rPr>
                <w:rFonts w:eastAsia="SimSun"/>
                <w:lang w:eastAsia="en-US"/>
              </w:rPr>
              <w:t>10</w:t>
            </w:r>
            <w:r w:rsidRPr="009477F2">
              <w:rPr>
                <w:rFonts w:eastAsia="SimSun"/>
                <w:lang w:eastAsia="en-US"/>
              </w:rPr>
              <w:t xml:space="preserve"> </w:t>
            </w:r>
          </w:p>
        </w:tc>
      </w:tr>
      <w:tr w:rsidRPr="009477F2" w:rsidR="00F52D49" w:rsidTr="009477F2" w14:paraId="1907501C" w14:textId="77777777">
        <w:trPr>
          <w:cantSplit/>
          <w:trHeight w:val="300"/>
        </w:trPr>
        <w:tc>
          <w:tcPr>
            <w:tcW w:w="3006" w:type="pct"/>
            <w:shd w:val="clear" w:color="auto" w:fill="auto"/>
            <w:vAlign w:val="bottom"/>
          </w:tcPr>
          <w:p w:rsidRPr="009477F2" w:rsidR="00F52D49" w:rsidP="00BE590D" w:rsidRDefault="001D0366" w14:paraId="242E8BEC" w14:textId="25DF93B0">
            <w:pPr>
              <w:spacing w:line="276" w:lineRule="auto"/>
              <w:rPr>
                <w:rFonts w:eastAsia="SimSun"/>
                <w:lang w:eastAsia="en-US"/>
              </w:rPr>
            </w:pPr>
            <w:r w:rsidRPr="009477F2">
              <w:rPr>
                <w:rFonts w:eastAsia="SimSun"/>
                <w:lang w:eastAsia="en-US"/>
              </w:rPr>
              <w:t>Analysis of information received</w:t>
            </w:r>
          </w:p>
        </w:tc>
        <w:tc>
          <w:tcPr>
            <w:tcW w:w="1994" w:type="pct"/>
            <w:vAlign w:val="center"/>
          </w:tcPr>
          <w:p w:rsidRPr="009477F2" w:rsidR="00F52D49" w:rsidP="00BE590D" w:rsidRDefault="00F52D49" w14:paraId="28BA9588" w14:textId="275F5A5A">
            <w:pPr>
              <w:spacing w:line="276" w:lineRule="auto"/>
              <w:jc w:val="center"/>
              <w:rPr>
                <w:rFonts w:eastAsia="SimSun"/>
                <w:lang w:eastAsia="en-US"/>
              </w:rPr>
            </w:pPr>
            <w:r w:rsidRPr="009477F2">
              <w:rPr>
                <w:rFonts w:eastAsia="SimSun"/>
                <w:lang w:eastAsia="en-US"/>
              </w:rPr>
              <w:t>Month</w:t>
            </w:r>
            <w:r w:rsidRPr="009477F2" w:rsidR="001D0366">
              <w:rPr>
                <w:rFonts w:eastAsia="SimSun"/>
                <w:lang w:eastAsia="en-US"/>
              </w:rPr>
              <w:t>s</w:t>
            </w:r>
            <w:r w:rsidRPr="009477F2">
              <w:rPr>
                <w:rFonts w:eastAsia="SimSun"/>
                <w:lang w:eastAsia="en-US"/>
              </w:rPr>
              <w:t xml:space="preserve"> 4 </w:t>
            </w:r>
            <w:r w:rsidRPr="009477F2" w:rsidR="001D0366">
              <w:rPr>
                <w:rFonts w:eastAsia="SimSun"/>
                <w:lang w:eastAsia="en-US"/>
              </w:rPr>
              <w:t>- 10</w:t>
            </w:r>
          </w:p>
        </w:tc>
      </w:tr>
      <w:tr w:rsidRPr="003B6D3D" w:rsidR="00F52D49" w:rsidTr="009477F2" w14:paraId="561A813F" w14:textId="77777777">
        <w:trPr>
          <w:cantSplit/>
          <w:trHeight w:val="300"/>
        </w:trPr>
        <w:tc>
          <w:tcPr>
            <w:tcW w:w="3006" w:type="pct"/>
            <w:shd w:val="clear" w:color="auto" w:fill="auto"/>
            <w:vAlign w:val="bottom"/>
          </w:tcPr>
          <w:p w:rsidRPr="009477F2" w:rsidR="00F52D49" w:rsidP="00BE590D" w:rsidRDefault="00F52D49" w14:paraId="630BAD5A" w14:textId="77777777">
            <w:pPr>
              <w:spacing w:line="276" w:lineRule="auto"/>
              <w:rPr>
                <w:rFonts w:eastAsia="SimSun"/>
                <w:lang w:eastAsia="en-US"/>
              </w:rPr>
            </w:pPr>
            <w:r w:rsidRPr="009477F2">
              <w:rPr>
                <w:rFonts w:eastAsia="SimSun"/>
                <w:lang w:eastAsia="en-US"/>
              </w:rPr>
              <w:t>Summarize results</w:t>
            </w:r>
          </w:p>
        </w:tc>
        <w:tc>
          <w:tcPr>
            <w:tcW w:w="1994" w:type="pct"/>
            <w:vAlign w:val="center"/>
          </w:tcPr>
          <w:p w:rsidRPr="003B6D3D" w:rsidR="00F52D49" w:rsidP="00BE590D" w:rsidRDefault="00F52D49" w14:paraId="5206488F" w14:textId="35E6AD7E">
            <w:pPr>
              <w:spacing w:line="276" w:lineRule="auto"/>
              <w:jc w:val="center"/>
              <w:rPr>
                <w:rFonts w:eastAsia="SimSun"/>
                <w:lang w:eastAsia="en-US"/>
              </w:rPr>
            </w:pPr>
            <w:r w:rsidRPr="009477F2">
              <w:rPr>
                <w:rFonts w:eastAsia="SimSun"/>
                <w:lang w:eastAsia="en-US"/>
              </w:rPr>
              <w:t>Month</w:t>
            </w:r>
            <w:r w:rsidRPr="009477F2" w:rsidR="001D0366">
              <w:rPr>
                <w:rFonts w:eastAsia="SimSun"/>
                <w:lang w:eastAsia="en-US"/>
              </w:rPr>
              <w:t>s 11 - 12</w:t>
            </w:r>
          </w:p>
        </w:tc>
      </w:tr>
    </w:tbl>
    <w:p w:rsidRPr="003B6D3D" w:rsidR="003F2656" w:rsidP="00BE590D" w:rsidRDefault="003F2656" w14:paraId="38EBAFB6" w14:textId="77777777">
      <w:pPr>
        <w:autoSpaceDE w:val="0"/>
        <w:autoSpaceDN w:val="0"/>
        <w:adjustRightInd w:val="0"/>
        <w:spacing w:line="276" w:lineRule="auto"/>
        <w:outlineLvl w:val="0"/>
        <w:rPr>
          <w:b/>
        </w:rPr>
      </w:pPr>
    </w:p>
    <w:p w:rsidRPr="003B6D3D" w:rsidR="0008711B" w:rsidP="00BE590D" w:rsidRDefault="0008711B" w14:paraId="47FA39CA" w14:textId="0A3789F4">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17 </w:t>
      </w:r>
      <w:r w:rsidRPr="003B6D3D" w:rsidR="00125ADC">
        <w:rPr>
          <w:b/>
        </w:rPr>
        <w:tab/>
      </w:r>
      <w:r w:rsidRPr="003B6D3D">
        <w:rPr>
          <w:b/>
        </w:rPr>
        <w:t>Reason(s) Display of OMB Expiration Date Is Inappropriate</w:t>
      </w:r>
      <w:bookmarkEnd w:id="23"/>
    </w:p>
    <w:p w:rsidRPr="003B6D3D" w:rsidR="000852A2" w:rsidP="00BE590D" w:rsidRDefault="001D0837" w14:paraId="6587DD96" w14:textId="77777777">
      <w:pPr>
        <w:autoSpaceDE w:val="0"/>
        <w:autoSpaceDN w:val="0"/>
        <w:adjustRightInd w:val="0"/>
        <w:spacing w:line="276" w:lineRule="auto"/>
      </w:pPr>
      <w:r w:rsidRPr="003B6D3D">
        <w:t xml:space="preserve">There is no request for exemption from displaying the expiration date for OMB approval.  </w:t>
      </w:r>
      <w:bookmarkStart w:name="_Toc230515995" w:id="24"/>
    </w:p>
    <w:p w:rsidRPr="003B6D3D" w:rsidR="0008711B" w:rsidP="00BE590D" w:rsidRDefault="0008711B" w14:paraId="284CB037" w14:textId="77777777">
      <w:pPr>
        <w:autoSpaceDE w:val="0"/>
        <w:autoSpaceDN w:val="0"/>
        <w:adjustRightInd w:val="0"/>
        <w:spacing w:line="276" w:lineRule="auto"/>
        <w:outlineLvl w:val="0"/>
        <w:rPr>
          <w:b/>
          <w:highlight w:val="lightGray"/>
        </w:rPr>
      </w:pPr>
    </w:p>
    <w:p w:rsidRPr="003B6D3D" w:rsidR="0008711B" w:rsidP="00BE590D" w:rsidRDefault="0008711B" w14:paraId="2110F6F6" w14:textId="06DD4BF3">
      <w:pPr>
        <w:autoSpaceDE w:val="0"/>
        <w:autoSpaceDN w:val="0"/>
        <w:adjustRightInd w:val="0"/>
        <w:spacing w:line="276" w:lineRule="auto"/>
        <w:outlineLvl w:val="0"/>
        <w:rPr>
          <w:b/>
        </w:rPr>
      </w:pPr>
      <w:r w:rsidRPr="003B6D3D">
        <w:rPr>
          <w:b/>
        </w:rPr>
        <w:t>A</w:t>
      </w:r>
      <w:r w:rsidRPr="003B6D3D" w:rsidR="00010D75">
        <w:rPr>
          <w:b/>
        </w:rPr>
        <w:t>.</w:t>
      </w:r>
      <w:r w:rsidRPr="003B6D3D">
        <w:rPr>
          <w:b/>
        </w:rPr>
        <w:t xml:space="preserve">18 </w:t>
      </w:r>
      <w:r w:rsidRPr="003B6D3D" w:rsidR="00125ADC">
        <w:rPr>
          <w:b/>
        </w:rPr>
        <w:tab/>
      </w:r>
      <w:r w:rsidRPr="003B6D3D">
        <w:rPr>
          <w:b/>
        </w:rPr>
        <w:t>Exceptions to Certification for Paperwork Reduction Act Submissions</w:t>
      </w:r>
      <w:bookmarkEnd w:id="24"/>
    </w:p>
    <w:p w:rsidRPr="003B6D3D" w:rsidR="0071362D" w:rsidP="00BE590D" w:rsidRDefault="0008711B" w14:paraId="22DF1210" w14:textId="77777777">
      <w:pPr>
        <w:autoSpaceDE w:val="0"/>
        <w:autoSpaceDN w:val="0"/>
        <w:adjustRightInd w:val="0"/>
        <w:spacing w:line="276" w:lineRule="auto"/>
      </w:pPr>
      <w:r w:rsidRPr="003B6D3D">
        <w:t>There are no exceptions to the Certification for Paperwork Reduction Act Submissions.</w:t>
      </w:r>
    </w:p>
    <w:sectPr w:rsidRPr="003B6D3D" w:rsidR="0071362D" w:rsidSect="00BE590D">
      <w:pgSz w:w="12240" w:h="15840" w:code="1"/>
      <w:pgMar w:top="63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0EEE" w14:textId="77777777" w:rsidR="00EA77EC" w:rsidRDefault="00EA77EC">
      <w:r>
        <w:separator/>
      </w:r>
    </w:p>
  </w:endnote>
  <w:endnote w:type="continuationSeparator" w:id="0">
    <w:p w14:paraId="3C9DF385" w14:textId="77777777" w:rsidR="00EA77EC" w:rsidRDefault="00EA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1CD8" w14:textId="77777777" w:rsidR="00786438" w:rsidRDefault="00786438"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E32B6" w14:textId="77777777" w:rsidR="00786438" w:rsidRDefault="00786438">
    <w:pPr>
      <w:pStyle w:val="Footer"/>
    </w:pPr>
  </w:p>
  <w:p w14:paraId="37BA4229" w14:textId="77777777" w:rsidR="00786438" w:rsidRDefault="00786438"/>
  <w:p w14:paraId="6E10862A" w14:textId="77777777" w:rsidR="00786438" w:rsidRDefault="007864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046914"/>
      <w:docPartObj>
        <w:docPartGallery w:val="Page Numbers (Bottom of Page)"/>
        <w:docPartUnique/>
      </w:docPartObj>
    </w:sdtPr>
    <w:sdtEndPr>
      <w:rPr>
        <w:rFonts w:asciiTheme="minorHAnsi" w:hAnsiTheme="minorHAnsi" w:cstheme="minorHAnsi"/>
        <w:noProof/>
      </w:rPr>
    </w:sdtEndPr>
    <w:sdtContent>
      <w:p w14:paraId="4A557F3C" w14:textId="6CDC5125" w:rsidR="00F1726A" w:rsidRDefault="00F1726A">
        <w:pPr>
          <w:pStyle w:val="Footer"/>
          <w:jc w:val="center"/>
        </w:pPr>
        <w:r w:rsidRPr="00F1726A">
          <w:rPr>
            <w:rFonts w:asciiTheme="minorHAnsi" w:hAnsiTheme="minorHAnsi" w:cstheme="minorHAnsi"/>
          </w:rPr>
          <w:fldChar w:fldCharType="begin"/>
        </w:r>
        <w:r w:rsidRPr="00F1726A">
          <w:rPr>
            <w:rFonts w:asciiTheme="minorHAnsi" w:hAnsiTheme="minorHAnsi" w:cstheme="minorHAnsi"/>
          </w:rPr>
          <w:instrText xml:space="preserve"> PAGE   \* MERGEFORMAT </w:instrText>
        </w:r>
        <w:r w:rsidRPr="00F1726A">
          <w:rPr>
            <w:rFonts w:asciiTheme="minorHAnsi" w:hAnsiTheme="minorHAnsi" w:cstheme="minorHAnsi"/>
          </w:rPr>
          <w:fldChar w:fldCharType="separate"/>
        </w:r>
        <w:r w:rsidRPr="00F1726A">
          <w:rPr>
            <w:rFonts w:asciiTheme="minorHAnsi" w:hAnsiTheme="minorHAnsi" w:cstheme="minorHAnsi"/>
            <w:noProof/>
          </w:rPr>
          <w:t>2</w:t>
        </w:r>
        <w:r w:rsidRPr="00F1726A">
          <w:rPr>
            <w:rFonts w:asciiTheme="minorHAnsi" w:hAnsiTheme="minorHAnsi" w:cstheme="minorHAnsi"/>
            <w:noProof/>
          </w:rPr>
          <w:fldChar w:fldCharType="end"/>
        </w:r>
      </w:p>
    </w:sdtContent>
  </w:sdt>
  <w:p w14:paraId="50DF3916" w14:textId="77777777" w:rsidR="00786438" w:rsidRDefault="00786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7829" w14:textId="77777777" w:rsidR="00EA77EC" w:rsidRDefault="00EA77EC">
      <w:r>
        <w:separator/>
      </w:r>
    </w:p>
  </w:footnote>
  <w:footnote w:type="continuationSeparator" w:id="0">
    <w:p w14:paraId="1ADDA681" w14:textId="77777777" w:rsidR="00EA77EC" w:rsidRDefault="00EA7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E176" w14:textId="77777777" w:rsidR="00786438" w:rsidRDefault="00786438">
    <w:pPr>
      <w:pStyle w:val="Header"/>
    </w:pPr>
  </w:p>
  <w:p w14:paraId="1461F626" w14:textId="77777777" w:rsidR="00786438" w:rsidRDefault="00786438"/>
  <w:p w14:paraId="392B3C35" w14:textId="77777777" w:rsidR="00786438" w:rsidRDefault="007864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3225" w14:textId="77777777" w:rsidR="00786438" w:rsidRDefault="00786438"/>
  <w:p w14:paraId="2DE09DD2" w14:textId="77777777" w:rsidR="00786438" w:rsidRDefault="007864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05AA7"/>
    <w:multiLevelType w:val="hybridMultilevel"/>
    <w:tmpl w:val="E58CD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wMzExMbS0MDAyMDBX0lEKTi0uzszPAymwrAUA9PzXDiwAAAA="/>
  </w:docVars>
  <w:rsids>
    <w:rsidRoot w:val="00E01E2D"/>
    <w:rsid w:val="00000F41"/>
    <w:rsid w:val="00002F72"/>
    <w:rsid w:val="000030A2"/>
    <w:rsid w:val="0000421B"/>
    <w:rsid w:val="00004524"/>
    <w:rsid w:val="00010D75"/>
    <w:rsid w:val="0001158B"/>
    <w:rsid w:val="0001673C"/>
    <w:rsid w:val="00022D36"/>
    <w:rsid w:val="00025FAA"/>
    <w:rsid w:val="0003313E"/>
    <w:rsid w:val="00037638"/>
    <w:rsid w:val="0004110A"/>
    <w:rsid w:val="0005079C"/>
    <w:rsid w:val="00051662"/>
    <w:rsid w:val="00052637"/>
    <w:rsid w:val="00053C11"/>
    <w:rsid w:val="00055A4C"/>
    <w:rsid w:val="000566FF"/>
    <w:rsid w:val="00060975"/>
    <w:rsid w:val="00060A0B"/>
    <w:rsid w:val="0006133B"/>
    <w:rsid w:val="00062E8E"/>
    <w:rsid w:val="00066B27"/>
    <w:rsid w:val="00070799"/>
    <w:rsid w:val="00071B47"/>
    <w:rsid w:val="00071BDB"/>
    <w:rsid w:val="00075A76"/>
    <w:rsid w:val="00080106"/>
    <w:rsid w:val="000852A2"/>
    <w:rsid w:val="00085738"/>
    <w:rsid w:val="0008692D"/>
    <w:rsid w:val="0008711B"/>
    <w:rsid w:val="000873F3"/>
    <w:rsid w:val="0008755E"/>
    <w:rsid w:val="000A2025"/>
    <w:rsid w:val="000A35DB"/>
    <w:rsid w:val="000A5EC0"/>
    <w:rsid w:val="000B17DA"/>
    <w:rsid w:val="000B1C21"/>
    <w:rsid w:val="000B2154"/>
    <w:rsid w:val="000B4D0B"/>
    <w:rsid w:val="000C1E1F"/>
    <w:rsid w:val="000C3767"/>
    <w:rsid w:val="000C3CD0"/>
    <w:rsid w:val="000C4E98"/>
    <w:rsid w:val="000D33A6"/>
    <w:rsid w:val="000D5083"/>
    <w:rsid w:val="000D6216"/>
    <w:rsid w:val="000D6504"/>
    <w:rsid w:val="000D7AB8"/>
    <w:rsid w:val="000D7E23"/>
    <w:rsid w:val="000E0248"/>
    <w:rsid w:val="000E0C83"/>
    <w:rsid w:val="000E5894"/>
    <w:rsid w:val="000E6E88"/>
    <w:rsid w:val="000F0CBC"/>
    <w:rsid w:val="000F5D35"/>
    <w:rsid w:val="00101004"/>
    <w:rsid w:val="00101371"/>
    <w:rsid w:val="00101EEA"/>
    <w:rsid w:val="00102ED5"/>
    <w:rsid w:val="00103C16"/>
    <w:rsid w:val="0010581D"/>
    <w:rsid w:val="00114389"/>
    <w:rsid w:val="00120D52"/>
    <w:rsid w:val="00121026"/>
    <w:rsid w:val="0012191E"/>
    <w:rsid w:val="00122D79"/>
    <w:rsid w:val="0012515C"/>
    <w:rsid w:val="00125ADC"/>
    <w:rsid w:val="0012710C"/>
    <w:rsid w:val="001309F0"/>
    <w:rsid w:val="00131EA1"/>
    <w:rsid w:val="001338DD"/>
    <w:rsid w:val="00133C1B"/>
    <w:rsid w:val="001366E4"/>
    <w:rsid w:val="00145418"/>
    <w:rsid w:val="00147B5C"/>
    <w:rsid w:val="00147C21"/>
    <w:rsid w:val="00151E70"/>
    <w:rsid w:val="001524CD"/>
    <w:rsid w:val="00152919"/>
    <w:rsid w:val="001541AA"/>
    <w:rsid w:val="001543D8"/>
    <w:rsid w:val="00154DCA"/>
    <w:rsid w:val="00155719"/>
    <w:rsid w:val="001563B6"/>
    <w:rsid w:val="00156A4A"/>
    <w:rsid w:val="00156E4D"/>
    <w:rsid w:val="0016053B"/>
    <w:rsid w:val="001650C4"/>
    <w:rsid w:val="00166823"/>
    <w:rsid w:val="00170D1C"/>
    <w:rsid w:val="00171239"/>
    <w:rsid w:val="00172600"/>
    <w:rsid w:val="00175C6E"/>
    <w:rsid w:val="0017704B"/>
    <w:rsid w:val="00177FC8"/>
    <w:rsid w:val="001821B8"/>
    <w:rsid w:val="001835F7"/>
    <w:rsid w:val="0018431C"/>
    <w:rsid w:val="00184B8B"/>
    <w:rsid w:val="0018507F"/>
    <w:rsid w:val="00186380"/>
    <w:rsid w:val="00191BEA"/>
    <w:rsid w:val="001940E5"/>
    <w:rsid w:val="001A36DA"/>
    <w:rsid w:val="001A3997"/>
    <w:rsid w:val="001A65F6"/>
    <w:rsid w:val="001A714F"/>
    <w:rsid w:val="001A7AC9"/>
    <w:rsid w:val="001B050B"/>
    <w:rsid w:val="001B209D"/>
    <w:rsid w:val="001B36CA"/>
    <w:rsid w:val="001B70C6"/>
    <w:rsid w:val="001C2809"/>
    <w:rsid w:val="001C2A54"/>
    <w:rsid w:val="001C2E3F"/>
    <w:rsid w:val="001C68A1"/>
    <w:rsid w:val="001D0366"/>
    <w:rsid w:val="001D0837"/>
    <w:rsid w:val="001D112C"/>
    <w:rsid w:val="001D5517"/>
    <w:rsid w:val="001D6DDE"/>
    <w:rsid w:val="001D75D8"/>
    <w:rsid w:val="001E48AC"/>
    <w:rsid w:val="001E5B8B"/>
    <w:rsid w:val="001F0396"/>
    <w:rsid w:val="00200FCF"/>
    <w:rsid w:val="002021FF"/>
    <w:rsid w:val="002073B4"/>
    <w:rsid w:val="002075E7"/>
    <w:rsid w:val="002105BF"/>
    <w:rsid w:val="00210F18"/>
    <w:rsid w:val="00211729"/>
    <w:rsid w:val="002176FB"/>
    <w:rsid w:val="00220C30"/>
    <w:rsid w:val="002220B9"/>
    <w:rsid w:val="002226C5"/>
    <w:rsid w:val="00231D85"/>
    <w:rsid w:val="00236E34"/>
    <w:rsid w:val="00241F05"/>
    <w:rsid w:val="00245B84"/>
    <w:rsid w:val="00246704"/>
    <w:rsid w:val="002471E5"/>
    <w:rsid w:val="00251540"/>
    <w:rsid w:val="00253216"/>
    <w:rsid w:val="00253D15"/>
    <w:rsid w:val="0025644B"/>
    <w:rsid w:val="00264DEA"/>
    <w:rsid w:val="00265FEB"/>
    <w:rsid w:val="002709E8"/>
    <w:rsid w:val="00270C54"/>
    <w:rsid w:val="00273372"/>
    <w:rsid w:val="002735D9"/>
    <w:rsid w:val="00276395"/>
    <w:rsid w:val="002811F7"/>
    <w:rsid w:val="00284C47"/>
    <w:rsid w:val="0028634E"/>
    <w:rsid w:val="00294408"/>
    <w:rsid w:val="00296011"/>
    <w:rsid w:val="002A1AB6"/>
    <w:rsid w:val="002A1C36"/>
    <w:rsid w:val="002A3A50"/>
    <w:rsid w:val="002B7E11"/>
    <w:rsid w:val="002C15C1"/>
    <w:rsid w:val="002C49A0"/>
    <w:rsid w:val="002D1FB9"/>
    <w:rsid w:val="002D2817"/>
    <w:rsid w:val="002D7D01"/>
    <w:rsid w:val="002E49EB"/>
    <w:rsid w:val="002E61BC"/>
    <w:rsid w:val="002F1A71"/>
    <w:rsid w:val="002F1C87"/>
    <w:rsid w:val="002F40C2"/>
    <w:rsid w:val="002F4F13"/>
    <w:rsid w:val="002F6154"/>
    <w:rsid w:val="002F619B"/>
    <w:rsid w:val="002F6E32"/>
    <w:rsid w:val="002F71D4"/>
    <w:rsid w:val="002F75FB"/>
    <w:rsid w:val="003035AB"/>
    <w:rsid w:val="00303E05"/>
    <w:rsid w:val="00305408"/>
    <w:rsid w:val="003064BB"/>
    <w:rsid w:val="0031010B"/>
    <w:rsid w:val="00310DC9"/>
    <w:rsid w:val="003123A7"/>
    <w:rsid w:val="00312A75"/>
    <w:rsid w:val="00313799"/>
    <w:rsid w:val="00313EA0"/>
    <w:rsid w:val="00315CC4"/>
    <w:rsid w:val="0031729F"/>
    <w:rsid w:val="003203F6"/>
    <w:rsid w:val="00320B8D"/>
    <w:rsid w:val="003214BC"/>
    <w:rsid w:val="003223B7"/>
    <w:rsid w:val="00324332"/>
    <w:rsid w:val="00324C03"/>
    <w:rsid w:val="00326487"/>
    <w:rsid w:val="00333A5B"/>
    <w:rsid w:val="00341855"/>
    <w:rsid w:val="00342882"/>
    <w:rsid w:val="00343786"/>
    <w:rsid w:val="00347098"/>
    <w:rsid w:val="0035028B"/>
    <w:rsid w:val="003521B9"/>
    <w:rsid w:val="00353D5F"/>
    <w:rsid w:val="00353EB6"/>
    <w:rsid w:val="00354C19"/>
    <w:rsid w:val="0035511C"/>
    <w:rsid w:val="00356182"/>
    <w:rsid w:val="0036200C"/>
    <w:rsid w:val="00362FAC"/>
    <w:rsid w:val="00363635"/>
    <w:rsid w:val="003652A0"/>
    <w:rsid w:val="003667D3"/>
    <w:rsid w:val="00367876"/>
    <w:rsid w:val="00370986"/>
    <w:rsid w:val="00370ABA"/>
    <w:rsid w:val="00381A1B"/>
    <w:rsid w:val="00385E54"/>
    <w:rsid w:val="00390465"/>
    <w:rsid w:val="00390521"/>
    <w:rsid w:val="00390612"/>
    <w:rsid w:val="003935EB"/>
    <w:rsid w:val="00394985"/>
    <w:rsid w:val="003A4F3C"/>
    <w:rsid w:val="003A7058"/>
    <w:rsid w:val="003A7518"/>
    <w:rsid w:val="003B5AA2"/>
    <w:rsid w:val="003B6D3D"/>
    <w:rsid w:val="003B7158"/>
    <w:rsid w:val="003C3A7E"/>
    <w:rsid w:val="003C64C1"/>
    <w:rsid w:val="003C7D10"/>
    <w:rsid w:val="003D57B5"/>
    <w:rsid w:val="003D5B29"/>
    <w:rsid w:val="003E1E6E"/>
    <w:rsid w:val="003E7C6B"/>
    <w:rsid w:val="003E7D8E"/>
    <w:rsid w:val="003F0B33"/>
    <w:rsid w:val="003F2656"/>
    <w:rsid w:val="003F6A10"/>
    <w:rsid w:val="003F7A02"/>
    <w:rsid w:val="00402F86"/>
    <w:rsid w:val="0040615C"/>
    <w:rsid w:val="0041069A"/>
    <w:rsid w:val="00414642"/>
    <w:rsid w:val="00417A45"/>
    <w:rsid w:val="0042303C"/>
    <w:rsid w:val="004237B7"/>
    <w:rsid w:val="00424B15"/>
    <w:rsid w:val="0043110D"/>
    <w:rsid w:val="00433D98"/>
    <w:rsid w:val="00434FD1"/>
    <w:rsid w:val="0043556C"/>
    <w:rsid w:val="0043671E"/>
    <w:rsid w:val="004437DA"/>
    <w:rsid w:val="00447A81"/>
    <w:rsid w:val="004513D7"/>
    <w:rsid w:val="00451A5D"/>
    <w:rsid w:val="004521B6"/>
    <w:rsid w:val="00457CA4"/>
    <w:rsid w:val="00460072"/>
    <w:rsid w:val="00462F8F"/>
    <w:rsid w:val="0046478A"/>
    <w:rsid w:val="004649F0"/>
    <w:rsid w:val="004664D5"/>
    <w:rsid w:val="004755A3"/>
    <w:rsid w:val="00486092"/>
    <w:rsid w:val="00486DFB"/>
    <w:rsid w:val="004902C1"/>
    <w:rsid w:val="00491611"/>
    <w:rsid w:val="00492899"/>
    <w:rsid w:val="00496D76"/>
    <w:rsid w:val="004A72A7"/>
    <w:rsid w:val="004B01CB"/>
    <w:rsid w:val="004B24BD"/>
    <w:rsid w:val="004B27CE"/>
    <w:rsid w:val="004B28A3"/>
    <w:rsid w:val="004B3F5F"/>
    <w:rsid w:val="004B4CB4"/>
    <w:rsid w:val="004C35E0"/>
    <w:rsid w:val="004C3F9E"/>
    <w:rsid w:val="004C4126"/>
    <w:rsid w:val="004C71AF"/>
    <w:rsid w:val="004D130F"/>
    <w:rsid w:val="004D7082"/>
    <w:rsid w:val="004E0836"/>
    <w:rsid w:val="004E1031"/>
    <w:rsid w:val="004E4B7D"/>
    <w:rsid w:val="004E6430"/>
    <w:rsid w:val="004F1623"/>
    <w:rsid w:val="004F217B"/>
    <w:rsid w:val="004F23A0"/>
    <w:rsid w:val="004F5129"/>
    <w:rsid w:val="00500B29"/>
    <w:rsid w:val="005010D6"/>
    <w:rsid w:val="00501939"/>
    <w:rsid w:val="005030DD"/>
    <w:rsid w:val="00507671"/>
    <w:rsid w:val="00507860"/>
    <w:rsid w:val="00510051"/>
    <w:rsid w:val="00511A81"/>
    <w:rsid w:val="00512EF2"/>
    <w:rsid w:val="005145C2"/>
    <w:rsid w:val="0052157A"/>
    <w:rsid w:val="0052372A"/>
    <w:rsid w:val="00523DF2"/>
    <w:rsid w:val="005252B4"/>
    <w:rsid w:val="00530DF0"/>
    <w:rsid w:val="00530E72"/>
    <w:rsid w:val="00532B54"/>
    <w:rsid w:val="005408E0"/>
    <w:rsid w:val="00544F52"/>
    <w:rsid w:val="00545AC4"/>
    <w:rsid w:val="00547C7D"/>
    <w:rsid w:val="00547F1E"/>
    <w:rsid w:val="005515C9"/>
    <w:rsid w:val="005522AE"/>
    <w:rsid w:val="00553961"/>
    <w:rsid w:val="00556EA8"/>
    <w:rsid w:val="00557577"/>
    <w:rsid w:val="005662F8"/>
    <w:rsid w:val="00566469"/>
    <w:rsid w:val="0056682C"/>
    <w:rsid w:val="0057103A"/>
    <w:rsid w:val="00573E1A"/>
    <w:rsid w:val="00575D1D"/>
    <w:rsid w:val="005775CE"/>
    <w:rsid w:val="005777D3"/>
    <w:rsid w:val="005812FB"/>
    <w:rsid w:val="00581526"/>
    <w:rsid w:val="005828E5"/>
    <w:rsid w:val="00582D7D"/>
    <w:rsid w:val="00583276"/>
    <w:rsid w:val="0058611A"/>
    <w:rsid w:val="005868FD"/>
    <w:rsid w:val="00587DA6"/>
    <w:rsid w:val="005926D0"/>
    <w:rsid w:val="00594E57"/>
    <w:rsid w:val="005A1B1A"/>
    <w:rsid w:val="005A1E7D"/>
    <w:rsid w:val="005A5F3D"/>
    <w:rsid w:val="005A6655"/>
    <w:rsid w:val="005B154B"/>
    <w:rsid w:val="005B437B"/>
    <w:rsid w:val="005B734A"/>
    <w:rsid w:val="005C1C20"/>
    <w:rsid w:val="005D02F4"/>
    <w:rsid w:val="005D0D88"/>
    <w:rsid w:val="005D5F2A"/>
    <w:rsid w:val="005D5FF7"/>
    <w:rsid w:val="005E32B3"/>
    <w:rsid w:val="005E7083"/>
    <w:rsid w:val="005F237C"/>
    <w:rsid w:val="005F7B38"/>
    <w:rsid w:val="00605754"/>
    <w:rsid w:val="00605BD3"/>
    <w:rsid w:val="00606C58"/>
    <w:rsid w:val="00607D33"/>
    <w:rsid w:val="006105C9"/>
    <w:rsid w:val="00611A54"/>
    <w:rsid w:val="00613952"/>
    <w:rsid w:val="006153CA"/>
    <w:rsid w:val="0062468E"/>
    <w:rsid w:val="00631A5F"/>
    <w:rsid w:val="00632245"/>
    <w:rsid w:val="00632309"/>
    <w:rsid w:val="00636AA1"/>
    <w:rsid w:val="00637391"/>
    <w:rsid w:val="00643C2B"/>
    <w:rsid w:val="00645DEC"/>
    <w:rsid w:val="0064693D"/>
    <w:rsid w:val="00650831"/>
    <w:rsid w:val="00651035"/>
    <w:rsid w:val="00651601"/>
    <w:rsid w:val="00660B40"/>
    <w:rsid w:val="00661880"/>
    <w:rsid w:val="00663A5F"/>
    <w:rsid w:val="00665C6B"/>
    <w:rsid w:val="0066650B"/>
    <w:rsid w:val="00667A47"/>
    <w:rsid w:val="00667CEE"/>
    <w:rsid w:val="00671857"/>
    <w:rsid w:val="00672FC2"/>
    <w:rsid w:val="0068017F"/>
    <w:rsid w:val="00681274"/>
    <w:rsid w:val="00682E5F"/>
    <w:rsid w:val="00684FBB"/>
    <w:rsid w:val="00686A3E"/>
    <w:rsid w:val="006946A8"/>
    <w:rsid w:val="00696A8B"/>
    <w:rsid w:val="006A0101"/>
    <w:rsid w:val="006A135C"/>
    <w:rsid w:val="006A410A"/>
    <w:rsid w:val="006A4DA9"/>
    <w:rsid w:val="006A6456"/>
    <w:rsid w:val="006B0D16"/>
    <w:rsid w:val="006B2DFC"/>
    <w:rsid w:val="006B33D0"/>
    <w:rsid w:val="006B3AB3"/>
    <w:rsid w:val="006C52CC"/>
    <w:rsid w:val="006C65B4"/>
    <w:rsid w:val="006C7551"/>
    <w:rsid w:val="006C7F35"/>
    <w:rsid w:val="006D0621"/>
    <w:rsid w:val="006D359B"/>
    <w:rsid w:val="006D5472"/>
    <w:rsid w:val="006D7BA8"/>
    <w:rsid w:val="006D7BC9"/>
    <w:rsid w:val="006D7D28"/>
    <w:rsid w:val="006E2D98"/>
    <w:rsid w:val="006E5A9D"/>
    <w:rsid w:val="006F53C3"/>
    <w:rsid w:val="006F573B"/>
    <w:rsid w:val="006F5F87"/>
    <w:rsid w:val="006F62E1"/>
    <w:rsid w:val="006F7176"/>
    <w:rsid w:val="006F790E"/>
    <w:rsid w:val="00704E3B"/>
    <w:rsid w:val="0071362D"/>
    <w:rsid w:val="007143F1"/>
    <w:rsid w:val="0071578A"/>
    <w:rsid w:val="00715C45"/>
    <w:rsid w:val="00716253"/>
    <w:rsid w:val="00717D41"/>
    <w:rsid w:val="00724E01"/>
    <w:rsid w:val="007262B2"/>
    <w:rsid w:val="00730CAA"/>
    <w:rsid w:val="00732C3E"/>
    <w:rsid w:val="00747E98"/>
    <w:rsid w:val="0075274F"/>
    <w:rsid w:val="00754B3A"/>
    <w:rsid w:val="0076055D"/>
    <w:rsid w:val="007634B7"/>
    <w:rsid w:val="007663A4"/>
    <w:rsid w:val="007675B7"/>
    <w:rsid w:val="007708AD"/>
    <w:rsid w:val="00771D36"/>
    <w:rsid w:val="00771E15"/>
    <w:rsid w:val="007733C8"/>
    <w:rsid w:val="00780337"/>
    <w:rsid w:val="007853DC"/>
    <w:rsid w:val="00786438"/>
    <w:rsid w:val="00787099"/>
    <w:rsid w:val="00791AFF"/>
    <w:rsid w:val="0079412A"/>
    <w:rsid w:val="007A1DD9"/>
    <w:rsid w:val="007A30FA"/>
    <w:rsid w:val="007B3251"/>
    <w:rsid w:val="007C1ACC"/>
    <w:rsid w:val="007C31C4"/>
    <w:rsid w:val="007C573E"/>
    <w:rsid w:val="007C6C31"/>
    <w:rsid w:val="007C71F0"/>
    <w:rsid w:val="007C791B"/>
    <w:rsid w:val="007D0A52"/>
    <w:rsid w:val="007D51D2"/>
    <w:rsid w:val="007D6062"/>
    <w:rsid w:val="007D7C3F"/>
    <w:rsid w:val="007E033B"/>
    <w:rsid w:val="007E20F0"/>
    <w:rsid w:val="007E2332"/>
    <w:rsid w:val="007E5068"/>
    <w:rsid w:val="007F45A0"/>
    <w:rsid w:val="007F5F0F"/>
    <w:rsid w:val="00801DC6"/>
    <w:rsid w:val="00802E88"/>
    <w:rsid w:val="008126D1"/>
    <w:rsid w:val="00820CC6"/>
    <w:rsid w:val="00823CAF"/>
    <w:rsid w:val="00824432"/>
    <w:rsid w:val="0082598E"/>
    <w:rsid w:val="008267B0"/>
    <w:rsid w:val="00835364"/>
    <w:rsid w:val="0084062A"/>
    <w:rsid w:val="008416F3"/>
    <w:rsid w:val="00843FDE"/>
    <w:rsid w:val="00844B7A"/>
    <w:rsid w:val="00844E7C"/>
    <w:rsid w:val="00847075"/>
    <w:rsid w:val="0085335E"/>
    <w:rsid w:val="00866696"/>
    <w:rsid w:val="00867894"/>
    <w:rsid w:val="00871666"/>
    <w:rsid w:val="00885A16"/>
    <w:rsid w:val="008870FD"/>
    <w:rsid w:val="008872A9"/>
    <w:rsid w:val="00892219"/>
    <w:rsid w:val="00894C60"/>
    <w:rsid w:val="008A0724"/>
    <w:rsid w:val="008A07C1"/>
    <w:rsid w:val="008A4FCA"/>
    <w:rsid w:val="008A666B"/>
    <w:rsid w:val="008A74A1"/>
    <w:rsid w:val="008B2066"/>
    <w:rsid w:val="008C1BCE"/>
    <w:rsid w:val="008C2991"/>
    <w:rsid w:val="008C42AD"/>
    <w:rsid w:val="008C4912"/>
    <w:rsid w:val="008C516E"/>
    <w:rsid w:val="008C7711"/>
    <w:rsid w:val="008D0B63"/>
    <w:rsid w:val="008D46E0"/>
    <w:rsid w:val="008D7B12"/>
    <w:rsid w:val="008E1BCD"/>
    <w:rsid w:val="008E3B9B"/>
    <w:rsid w:val="008E4C20"/>
    <w:rsid w:val="008E6FEC"/>
    <w:rsid w:val="008F0517"/>
    <w:rsid w:val="008F2F05"/>
    <w:rsid w:val="009033F5"/>
    <w:rsid w:val="00903F09"/>
    <w:rsid w:val="00904D40"/>
    <w:rsid w:val="00906FF0"/>
    <w:rsid w:val="00907CE2"/>
    <w:rsid w:val="0091737B"/>
    <w:rsid w:val="009201F2"/>
    <w:rsid w:val="0092058B"/>
    <w:rsid w:val="00920E82"/>
    <w:rsid w:val="00921B37"/>
    <w:rsid w:val="0092523D"/>
    <w:rsid w:val="00927727"/>
    <w:rsid w:val="009312A6"/>
    <w:rsid w:val="00935AE1"/>
    <w:rsid w:val="009417A3"/>
    <w:rsid w:val="0094773D"/>
    <w:rsid w:val="009477F2"/>
    <w:rsid w:val="00950FB2"/>
    <w:rsid w:val="00964097"/>
    <w:rsid w:val="009714EA"/>
    <w:rsid w:val="00976508"/>
    <w:rsid w:val="00982FB9"/>
    <w:rsid w:val="00985308"/>
    <w:rsid w:val="009905F9"/>
    <w:rsid w:val="009906E8"/>
    <w:rsid w:val="00990BCF"/>
    <w:rsid w:val="00992CDD"/>
    <w:rsid w:val="0099776F"/>
    <w:rsid w:val="009B2811"/>
    <w:rsid w:val="009B5464"/>
    <w:rsid w:val="009B6534"/>
    <w:rsid w:val="009C2FE5"/>
    <w:rsid w:val="009D3A14"/>
    <w:rsid w:val="009D586F"/>
    <w:rsid w:val="009D6B8D"/>
    <w:rsid w:val="009D7BDE"/>
    <w:rsid w:val="009E0A54"/>
    <w:rsid w:val="009E3361"/>
    <w:rsid w:val="009E57FE"/>
    <w:rsid w:val="009E746B"/>
    <w:rsid w:val="009F1935"/>
    <w:rsid w:val="009F7C14"/>
    <w:rsid w:val="00A006AD"/>
    <w:rsid w:val="00A01F9E"/>
    <w:rsid w:val="00A0200A"/>
    <w:rsid w:val="00A02645"/>
    <w:rsid w:val="00A02EA3"/>
    <w:rsid w:val="00A03ECA"/>
    <w:rsid w:val="00A0425F"/>
    <w:rsid w:val="00A042C2"/>
    <w:rsid w:val="00A047DB"/>
    <w:rsid w:val="00A0645B"/>
    <w:rsid w:val="00A06EFA"/>
    <w:rsid w:val="00A10EA2"/>
    <w:rsid w:val="00A12401"/>
    <w:rsid w:val="00A13C8E"/>
    <w:rsid w:val="00A16BFF"/>
    <w:rsid w:val="00A22357"/>
    <w:rsid w:val="00A23C31"/>
    <w:rsid w:val="00A23D42"/>
    <w:rsid w:val="00A252AF"/>
    <w:rsid w:val="00A25A24"/>
    <w:rsid w:val="00A31DE2"/>
    <w:rsid w:val="00A3345F"/>
    <w:rsid w:val="00A357F6"/>
    <w:rsid w:val="00A41270"/>
    <w:rsid w:val="00A430A3"/>
    <w:rsid w:val="00A44C70"/>
    <w:rsid w:val="00A45BD7"/>
    <w:rsid w:val="00A46558"/>
    <w:rsid w:val="00A47EED"/>
    <w:rsid w:val="00A52353"/>
    <w:rsid w:val="00A532F6"/>
    <w:rsid w:val="00A53F86"/>
    <w:rsid w:val="00A5405B"/>
    <w:rsid w:val="00A547A2"/>
    <w:rsid w:val="00A6243F"/>
    <w:rsid w:val="00A667D3"/>
    <w:rsid w:val="00A66890"/>
    <w:rsid w:val="00A70975"/>
    <w:rsid w:val="00A70F4C"/>
    <w:rsid w:val="00A72A21"/>
    <w:rsid w:val="00A7747F"/>
    <w:rsid w:val="00A83F9B"/>
    <w:rsid w:val="00A8699C"/>
    <w:rsid w:val="00A90614"/>
    <w:rsid w:val="00A92FEF"/>
    <w:rsid w:val="00A9651D"/>
    <w:rsid w:val="00AA15BF"/>
    <w:rsid w:val="00AA18E0"/>
    <w:rsid w:val="00AA2068"/>
    <w:rsid w:val="00AA21E8"/>
    <w:rsid w:val="00AA322A"/>
    <w:rsid w:val="00AA40B2"/>
    <w:rsid w:val="00AA4116"/>
    <w:rsid w:val="00AA7258"/>
    <w:rsid w:val="00AB1D16"/>
    <w:rsid w:val="00AB3BE8"/>
    <w:rsid w:val="00AB3E01"/>
    <w:rsid w:val="00AC2DA5"/>
    <w:rsid w:val="00AC354E"/>
    <w:rsid w:val="00AD0048"/>
    <w:rsid w:val="00AD0C74"/>
    <w:rsid w:val="00AD276C"/>
    <w:rsid w:val="00AD2A0B"/>
    <w:rsid w:val="00AD4437"/>
    <w:rsid w:val="00AD55B8"/>
    <w:rsid w:val="00AD7B6D"/>
    <w:rsid w:val="00AE6148"/>
    <w:rsid w:val="00AE6729"/>
    <w:rsid w:val="00AF0096"/>
    <w:rsid w:val="00AF218F"/>
    <w:rsid w:val="00AF4534"/>
    <w:rsid w:val="00AF6589"/>
    <w:rsid w:val="00AF6715"/>
    <w:rsid w:val="00B02734"/>
    <w:rsid w:val="00B11280"/>
    <w:rsid w:val="00B12AD5"/>
    <w:rsid w:val="00B13422"/>
    <w:rsid w:val="00B16D7A"/>
    <w:rsid w:val="00B17554"/>
    <w:rsid w:val="00B17FF0"/>
    <w:rsid w:val="00B25233"/>
    <w:rsid w:val="00B26914"/>
    <w:rsid w:val="00B32F57"/>
    <w:rsid w:val="00B33ED2"/>
    <w:rsid w:val="00B34846"/>
    <w:rsid w:val="00B3645D"/>
    <w:rsid w:val="00B36C1D"/>
    <w:rsid w:val="00B415EB"/>
    <w:rsid w:val="00B43071"/>
    <w:rsid w:val="00B440FE"/>
    <w:rsid w:val="00B44B4F"/>
    <w:rsid w:val="00B51956"/>
    <w:rsid w:val="00B53BF2"/>
    <w:rsid w:val="00B556D8"/>
    <w:rsid w:val="00B56175"/>
    <w:rsid w:val="00B624D1"/>
    <w:rsid w:val="00B62EBA"/>
    <w:rsid w:val="00B64F89"/>
    <w:rsid w:val="00B65018"/>
    <w:rsid w:val="00B666FB"/>
    <w:rsid w:val="00B67FB9"/>
    <w:rsid w:val="00B7323E"/>
    <w:rsid w:val="00B7638C"/>
    <w:rsid w:val="00B773FB"/>
    <w:rsid w:val="00B81F23"/>
    <w:rsid w:val="00B83083"/>
    <w:rsid w:val="00B847B8"/>
    <w:rsid w:val="00B92B94"/>
    <w:rsid w:val="00B97509"/>
    <w:rsid w:val="00BA179B"/>
    <w:rsid w:val="00BA2ECB"/>
    <w:rsid w:val="00BA4442"/>
    <w:rsid w:val="00BA5CDF"/>
    <w:rsid w:val="00BA7245"/>
    <w:rsid w:val="00BB08A9"/>
    <w:rsid w:val="00BC04BB"/>
    <w:rsid w:val="00BC35AD"/>
    <w:rsid w:val="00BC368D"/>
    <w:rsid w:val="00BC5683"/>
    <w:rsid w:val="00BC6299"/>
    <w:rsid w:val="00BC6DFB"/>
    <w:rsid w:val="00BD2FFA"/>
    <w:rsid w:val="00BD3554"/>
    <w:rsid w:val="00BD4135"/>
    <w:rsid w:val="00BE04C4"/>
    <w:rsid w:val="00BE0730"/>
    <w:rsid w:val="00BE2B0E"/>
    <w:rsid w:val="00BE590D"/>
    <w:rsid w:val="00BE6735"/>
    <w:rsid w:val="00BF3B60"/>
    <w:rsid w:val="00BF467E"/>
    <w:rsid w:val="00BF5AF7"/>
    <w:rsid w:val="00BF64F2"/>
    <w:rsid w:val="00BF72E6"/>
    <w:rsid w:val="00BF74E8"/>
    <w:rsid w:val="00C019DF"/>
    <w:rsid w:val="00C03631"/>
    <w:rsid w:val="00C03CE8"/>
    <w:rsid w:val="00C0462A"/>
    <w:rsid w:val="00C079A6"/>
    <w:rsid w:val="00C14302"/>
    <w:rsid w:val="00C14B9D"/>
    <w:rsid w:val="00C24B4D"/>
    <w:rsid w:val="00C27FC1"/>
    <w:rsid w:val="00C3065A"/>
    <w:rsid w:val="00C3152B"/>
    <w:rsid w:val="00C325F3"/>
    <w:rsid w:val="00C33D47"/>
    <w:rsid w:val="00C34AA1"/>
    <w:rsid w:val="00C44DC3"/>
    <w:rsid w:val="00C4522C"/>
    <w:rsid w:val="00C4579A"/>
    <w:rsid w:val="00C4692C"/>
    <w:rsid w:val="00C46F82"/>
    <w:rsid w:val="00C5164D"/>
    <w:rsid w:val="00C549A4"/>
    <w:rsid w:val="00C56AA6"/>
    <w:rsid w:val="00C607CA"/>
    <w:rsid w:val="00C60ECA"/>
    <w:rsid w:val="00C6212A"/>
    <w:rsid w:val="00C62DBE"/>
    <w:rsid w:val="00C6331E"/>
    <w:rsid w:val="00C64FAE"/>
    <w:rsid w:val="00C6630D"/>
    <w:rsid w:val="00C664F7"/>
    <w:rsid w:val="00C70409"/>
    <w:rsid w:val="00C70710"/>
    <w:rsid w:val="00C75ABB"/>
    <w:rsid w:val="00C770F4"/>
    <w:rsid w:val="00C85547"/>
    <w:rsid w:val="00C85634"/>
    <w:rsid w:val="00C8627D"/>
    <w:rsid w:val="00C874D9"/>
    <w:rsid w:val="00C90019"/>
    <w:rsid w:val="00C943AF"/>
    <w:rsid w:val="00C9604D"/>
    <w:rsid w:val="00C97012"/>
    <w:rsid w:val="00CA01A4"/>
    <w:rsid w:val="00CA11E4"/>
    <w:rsid w:val="00CA3F99"/>
    <w:rsid w:val="00CA532A"/>
    <w:rsid w:val="00CA57E4"/>
    <w:rsid w:val="00CA68EF"/>
    <w:rsid w:val="00CB3EC7"/>
    <w:rsid w:val="00CB4BBB"/>
    <w:rsid w:val="00CC14B0"/>
    <w:rsid w:val="00CC3731"/>
    <w:rsid w:val="00CC4F38"/>
    <w:rsid w:val="00CD00DC"/>
    <w:rsid w:val="00CD2459"/>
    <w:rsid w:val="00CD2783"/>
    <w:rsid w:val="00CD4221"/>
    <w:rsid w:val="00CD598D"/>
    <w:rsid w:val="00CD6AEB"/>
    <w:rsid w:val="00CD6D79"/>
    <w:rsid w:val="00CD70F0"/>
    <w:rsid w:val="00CD72EB"/>
    <w:rsid w:val="00CE3712"/>
    <w:rsid w:val="00CF02A9"/>
    <w:rsid w:val="00D0442F"/>
    <w:rsid w:val="00D046EE"/>
    <w:rsid w:val="00D07068"/>
    <w:rsid w:val="00D07ACA"/>
    <w:rsid w:val="00D1139D"/>
    <w:rsid w:val="00D12C85"/>
    <w:rsid w:val="00D1390B"/>
    <w:rsid w:val="00D17D92"/>
    <w:rsid w:val="00D20252"/>
    <w:rsid w:val="00D20DD9"/>
    <w:rsid w:val="00D309AC"/>
    <w:rsid w:val="00D31508"/>
    <w:rsid w:val="00D345ED"/>
    <w:rsid w:val="00D429AE"/>
    <w:rsid w:val="00D442AC"/>
    <w:rsid w:val="00D46772"/>
    <w:rsid w:val="00D53147"/>
    <w:rsid w:val="00D53C16"/>
    <w:rsid w:val="00D56B41"/>
    <w:rsid w:val="00D618EB"/>
    <w:rsid w:val="00D6566E"/>
    <w:rsid w:val="00D66570"/>
    <w:rsid w:val="00D67242"/>
    <w:rsid w:val="00D67D3E"/>
    <w:rsid w:val="00D70017"/>
    <w:rsid w:val="00D7017D"/>
    <w:rsid w:val="00D70B6F"/>
    <w:rsid w:val="00D72E68"/>
    <w:rsid w:val="00D74381"/>
    <w:rsid w:val="00D76A38"/>
    <w:rsid w:val="00D7701F"/>
    <w:rsid w:val="00D77DB1"/>
    <w:rsid w:val="00D90A1F"/>
    <w:rsid w:val="00D90C4F"/>
    <w:rsid w:val="00D912D2"/>
    <w:rsid w:val="00D93E04"/>
    <w:rsid w:val="00D94683"/>
    <w:rsid w:val="00DA2867"/>
    <w:rsid w:val="00DA5EBF"/>
    <w:rsid w:val="00DA71C4"/>
    <w:rsid w:val="00DB109C"/>
    <w:rsid w:val="00DB2D74"/>
    <w:rsid w:val="00DB430F"/>
    <w:rsid w:val="00DB47F7"/>
    <w:rsid w:val="00DC1258"/>
    <w:rsid w:val="00DC3E72"/>
    <w:rsid w:val="00DC5A38"/>
    <w:rsid w:val="00DC6564"/>
    <w:rsid w:val="00DC6BBB"/>
    <w:rsid w:val="00DD1F41"/>
    <w:rsid w:val="00DD4DFF"/>
    <w:rsid w:val="00DD617B"/>
    <w:rsid w:val="00DE0563"/>
    <w:rsid w:val="00DE1B12"/>
    <w:rsid w:val="00DE3619"/>
    <w:rsid w:val="00DE4470"/>
    <w:rsid w:val="00DE6706"/>
    <w:rsid w:val="00DE67BB"/>
    <w:rsid w:val="00DE78E7"/>
    <w:rsid w:val="00DE7A58"/>
    <w:rsid w:val="00DF07A7"/>
    <w:rsid w:val="00DF16A5"/>
    <w:rsid w:val="00DF3F79"/>
    <w:rsid w:val="00DF4FA7"/>
    <w:rsid w:val="00DF7155"/>
    <w:rsid w:val="00DF7AF4"/>
    <w:rsid w:val="00E005C4"/>
    <w:rsid w:val="00E0190F"/>
    <w:rsid w:val="00E01E2D"/>
    <w:rsid w:val="00E033A4"/>
    <w:rsid w:val="00E03528"/>
    <w:rsid w:val="00E0495A"/>
    <w:rsid w:val="00E07019"/>
    <w:rsid w:val="00E10C24"/>
    <w:rsid w:val="00E11BA5"/>
    <w:rsid w:val="00E134E7"/>
    <w:rsid w:val="00E1423F"/>
    <w:rsid w:val="00E16999"/>
    <w:rsid w:val="00E16C39"/>
    <w:rsid w:val="00E20CE7"/>
    <w:rsid w:val="00E2147D"/>
    <w:rsid w:val="00E2218D"/>
    <w:rsid w:val="00E22F9A"/>
    <w:rsid w:val="00E2461C"/>
    <w:rsid w:val="00E262FD"/>
    <w:rsid w:val="00E30BDD"/>
    <w:rsid w:val="00E36811"/>
    <w:rsid w:val="00E37C42"/>
    <w:rsid w:val="00E45FF3"/>
    <w:rsid w:val="00E4747D"/>
    <w:rsid w:val="00E478F3"/>
    <w:rsid w:val="00E47A32"/>
    <w:rsid w:val="00E50BA8"/>
    <w:rsid w:val="00E50D34"/>
    <w:rsid w:val="00E52CF8"/>
    <w:rsid w:val="00E53D1E"/>
    <w:rsid w:val="00E54C07"/>
    <w:rsid w:val="00E60F72"/>
    <w:rsid w:val="00E63B24"/>
    <w:rsid w:val="00E664CB"/>
    <w:rsid w:val="00E72416"/>
    <w:rsid w:val="00E7310B"/>
    <w:rsid w:val="00E81177"/>
    <w:rsid w:val="00E81F2A"/>
    <w:rsid w:val="00E82053"/>
    <w:rsid w:val="00E83786"/>
    <w:rsid w:val="00E87113"/>
    <w:rsid w:val="00E9087F"/>
    <w:rsid w:val="00E92D2C"/>
    <w:rsid w:val="00EA11ED"/>
    <w:rsid w:val="00EA275F"/>
    <w:rsid w:val="00EA2A1F"/>
    <w:rsid w:val="00EA2C7B"/>
    <w:rsid w:val="00EA5CAC"/>
    <w:rsid w:val="00EA641B"/>
    <w:rsid w:val="00EA77EC"/>
    <w:rsid w:val="00EB0E6D"/>
    <w:rsid w:val="00EB0FFD"/>
    <w:rsid w:val="00EB1B6E"/>
    <w:rsid w:val="00EB27A4"/>
    <w:rsid w:val="00EB4042"/>
    <w:rsid w:val="00EB64D3"/>
    <w:rsid w:val="00EB6EAF"/>
    <w:rsid w:val="00EC0773"/>
    <w:rsid w:val="00EC0823"/>
    <w:rsid w:val="00EC1AA8"/>
    <w:rsid w:val="00EC22C1"/>
    <w:rsid w:val="00EC31E5"/>
    <w:rsid w:val="00EC66EE"/>
    <w:rsid w:val="00ED18F4"/>
    <w:rsid w:val="00EE266B"/>
    <w:rsid w:val="00EE520C"/>
    <w:rsid w:val="00EE5463"/>
    <w:rsid w:val="00EE6336"/>
    <w:rsid w:val="00EF2C2E"/>
    <w:rsid w:val="00EF2CF0"/>
    <w:rsid w:val="00EF3AED"/>
    <w:rsid w:val="00EF4885"/>
    <w:rsid w:val="00EF6846"/>
    <w:rsid w:val="00EF715F"/>
    <w:rsid w:val="00F02792"/>
    <w:rsid w:val="00F05EF8"/>
    <w:rsid w:val="00F107E4"/>
    <w:rsid w:val="00F132D3"/>
    <w:rsid w:val="00F1726A"/>
    <w:rsid w:val="00F22977"/>
    <w:rsid w:val="00F32CEE"/>
    <w:rsid w:val="00F40B35"/>
    <w:rsid w:val="00F476DD"/>
    <w:rsid w:val="00F52D49"/>
    <w:rsid w:val="00F53ABB"/>
    <w:rsid w:val="00F54B90"/>
    <w:rsid w:val="00F55780"/>
    <w:rsid w:val="00F62621"/>
    <w:rsid w:val="00F62F96"/>
    <w:rsid w:val="00F63A47"/>
    <w:rsid w:val="00F651CF"/>
    <w:rsid w:val="00F674ED"/>
    <w:rsid w:val="00F71E4E"/>
    <w:rsid w:val="00F73298"/>
    <w:rsid w:val="00F73B01"/>
    <w:rsid w:val="00F81B44"/>
    <w:rsid w:val="00F8500F"/>
    <w:rsid w:val="00F8602C"/>
    <w:rsid w:val="00F862B6"/>
    <w:rsid w:val="00F92112"/>
    <w:rsid w:val="00F93A99"/>
    <w:rsid w:val="00F9536F"/>
    <w:rsid w:val="00FA0E55"/>
    <w:rsid w:val="00FA3B8C"/>
    <w:rsid w:val="00FA4CB3"/>
    <w:rsid w:val="00FA6299"/>
    <w:rsid w:val="00FB7BBC"/>
    <w:rsid w:val="00FC19E4"/>
    <w:rsid w:val="00FC2F49"/>
    <w:rsid w:val="00FC63B9"/>
    <w:rsid w:val="00FC657D"/>
    <w:rsid w:val="00FC6D52"/>
    <w:rsid w:val="00FD5D38"/>
    <w:rsid w:val="00FE297C"/>
    <w:rsid w:val="00FE384C"/>
    <w:rsid w:val="00FE5AA1"/>
    <w:rsid w:val="00FE7E43"/>
    <w:rsid w:val="00FF1DD1"/>
    <w:rsid w:val="00FF2B14"/>
    <w:rsid w:val="00FF75EA"/>
    <w:rsid w:val="00FF7A37"/>
    <w:rsid w:val="00FF7C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C423E32"/>
  <w15:docId w15:val="{B9D6095E-A2C0-45AE-836D-83747E1E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uiPriority w:val="99"/>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 w:type="paragraph" w:styleId="ListParagraph">
    <w:name w:val="List Paragraph"/>
    <w:basedOn w:val="Normal"/>
    <w:qFormat/>
    <w:rsid w:val="00E83786"/>
    <w:pPr>
      <w:ind w:left="720"/>
      <w:contextualSpacing/>
    </w:pPr>
  </w:style>
  <w:style w:type="paragraph" w:styleId="BodyTextIndent">
    <w:name w:val="Body Text Indent"/>
    <w:basedOn w:val="Normal"/>
    <w:link w:val="BodyTextIndentChar"/>
    <w:semiHidden/>
    <w:unhideWhenUsed/>
    <w:rsid w:val="00771E15"/>
    <w:pPr>
      <w:spacing w:after="120"/>
      <w:ind w:left="360"/>
    </w:pPr>
  </w:style>
  <w:style w:type="character" w:customStyle="1" w:styleId="BodyTextIndentChar">
    <w:name w:val="Body Text Indent Char"/>
    <w:basedOn w:val="DefaultParagraphFont"/>
    <w:link w:val="BodyTextIndent"/>
    <w:semiHidden/>
    <w:rsid w:val="00771E15"/>
    <w:rPr>
      <w:sz w:val="24"/>
      <w:szCs w:val="24"/>
      <w:lang w:eastAsia="ja-JP"/>
    </w:rPr>
  </w:style>
  <w:style w:type="character" w:styleId="UnresolvedMention">
    <w:name w:val="Unresolved Mention"/>
    <w:basedOn w:val="DefaultParagraphFont"/>
    <w:uiPriority w:val="99"/>
    <w:semiHidden/>
    <w:unhideWhenUsed/>
    <w:rsid w:val="008A4FCA"/>
    <w:rPr>
      <w:color w:val="605E5C"/>
      <w:shd w:val="clear" w:color="auto" w:fill="E1DFDD"/>
    </w:rPr>
  </w:style>
  <w:style w:type="paragraph" w:customStyle="1" w:styleId="a">
    <w:name w:val="_"/>
    <w:rsid w:val="00631A5F"/>
    <w:pPr>
      <w:widowControl w:val="0"/>
      <w:snapToGrid w:val="0"/>
      <w:ind w:left="720"/>
    </w:pPr>
    <w:rPr>
      <w:rFonts w:eastAsia="Times New Roman"/>
      <w:sz w:val="24"/>
    </w:rPr>
  </w:style>
  <w:style w:type="paragraph" w:styleId="TOCHeading">
    <w:name w:val="TOC Heading"/>
    <w:basedOn w:val="Heading1"/>
    <w:next w:val="Normal"/>
    <w:uiPriority w:val="39"/>
    <w:unhideWhenUsed/>
    <w:qFormat/>
    <w:rsid w:val="00A44C70"/>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FooterChar">
    <w:name w:val="Footer Char"/>
    <w:basedOn w:val="DefaultParagraphFont"/>
    <w:link w:val="Footer"/>
    <w:uiPriority w:val="99"/>
    <w:rsid w:val="00F1726A"/>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6630">
      <w:bodyDiv w:val="1"/>
      <w:marLeft w:val="0"/>
      <w:marRight w:val="0"/>
      <w:marTop w:val="0"/>
      <w:marBottom w:val="0"/>
      <w:divBdr>
        <w:top w:val="none" w:sz="0" w:space="0" w:color="auto"/>
        <w:left w:val="none" w:sz="0" w:space="0" w:color="auto"/>
        <w:bottom w:val="none" w:sz="0" w:space="0" w:color="auto"/>
        <w:right w:val="none" w:sz="0" w:space="0" w:color="auto"/>
      </w:divBdr>
    </w:div>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21847715">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282854253">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75159215">
      <w:bodyDiv w:val="1"/>
      <w:marLeft w:val="0"/>
      <w:marRight w:val="0"/>
      <w:marTop w:val="0"/>
      <w:marBottom w:val="0"/>
      <w:divBdr>
        <w:top w:val="none" w:sz="0" w:space="0" w:color="auto"/>
        <w:left w:val="none" w:sz="0" w:space="0" w:color="auto"/>
        <w:bottom w:val="none" w:sz="0" w:space="0" w:color="auto"/>
        <w:right w:val="none" w:sz="0" w:space="0" w:color="auto"/>
      </w:divBdr>
      <w:divsChild>
        <w:div w:id="91085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32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601914665">
      <w:bodyDiv w:val="1"/>
      <w:marLeft w:val="0"/>
      <w:marRight w:val="0"/>
      <w:marTop w:val="0"/>
      <w:marBottom w:val="0"/>
      <w:divBdr>
        <w:top w:val="none" w:sz="0" w:space="0" w:color="auto"/>
        <w:left w:val="none" w:sz="0" w:space="0" w:color="auto"/>
        <w:bottom w:val="none" w:sz="0" w:space="0" w:color="auto"/>
        <w:right w:val="none" w:sz="0" w:space="0" w:color="auto"/>
      </w:divBdr>
    </w:div>
    <w:div w:id="1717390357">
      <w:bodyDiv w:val="1"/>
      <w:marLeft w:val="0"/>
      <w:marRight w:val="0"/>
      <w:marTop w:val="0"/>
      <w:marBottom w:val="0"/>
      <w:divBdr>
        <w:top w:val="none" w:sz="0" w:space="0" w:color="auto"/>
        <w:left w:val="none" w:sz="0" w:space="0" w:color="auto"/>
        <w:bottom w:val="none" w:sz="0" w:space="0" w:color="auto"/>
        <w:right w:val="none" w:sz="0" w:space="0" w:color="auto"/>
      </w:divBdr>
      <w:divsChild>
        <w:div w:id="793593827">
          <w:marLeft w:val="0"/>
          <w:marRight w:val="0"/>
          <w:marTop w:val="0"/>
          <w:marBottom w:val="0"/>
          <w:divBdr>
            <w:top w:val="none" w:sz="0" w:space="0" w:color="auto"/>
            <w:left w:val="none" w:sz="0" w:space="0" w:color="auto"/>
            <w:bottom w:val="none" w:sz="0" w:space="0" w:color="auto"/>
            <w:right w:val="none" w:sz="0" w:space="0" w:color="auto"/>
          </w:divBdr>
          <w:divsChild>
            <w:div w:id="1611399186">
              <w:marLeft w:val="0"/>
              <w:marRight w:val="0"/>
              <w:marTop w:val="0"/>
              <w:marBottom w:val="0"/>
              <w:divBdr>
                <w:top w:val="none" w:sz="0" w:space="0" w:color="auto"/>
                <w:left w:val="none" w:sz="0" w:space="0" w:color="auto"/>
                <w:bottom w:val="none" w:sz="0" w:space="0" w:color="auto"/>
                <w:right w:val="none" w:sz="0" w:space="0" w:color="auto"/>
              </w:divBdr>
              <w:divsChild>
                <w:div w:id="1327591678">
                  <w:marLeft w:val="0"/>
                  <w:marRight w:val="0"/>
                  <w:marTop w:val="0"/>
                  <w:marBottom w:val="0"/>
                  <w:divBdr>
                    <w:top w:val="none" w:sz="0" w:space="0" w:color="auto"/>
                    <w:left w:val="none" w:sz="0" w:space="0" w:color="auto"/>
                    <w:bottom w:val="none" w:sz="0" w:space="0" w:color="auto"/>
                    <w:right w:val="none" w:sz="0" w:space="0" w:color="auto"/>
                  </w:divBdr>
                  <w:divsChild>
                    <w:div w:id="494149172">
                      <w:marLeft w:val="0"/>
                      <w:marRight w:val="0"/>
                      <w:marTop w:val="0"/>
                      <w:marBottom w:val="0"/>
                      <w:divBdr>
                        <w:top w:val="none" w:sz="0" w:space="0" w:color="auto"/>
                        <w:left w:val="none" w:sz="0" w:space="0" w:color="auto"/>
                        <w:bottom w:val="none" w:sz="0" w:space="0" w:color="auto"/>
                        <w:right w:val="none" w:sz="0" w:space="0" w:color="auto"/>
                      </w:divBdr>
                      <w:divsChild>
                        <w:div w:id="453402350">
                          <w:marLeft w:val="0"/>
                          <w:marRight w:val="0"/>
                          <w:marTop w:val="0"/>
                          <w:marBottom w:val="0"/>
                          <w:divBdr>
                            <w:top w:val="none" w:sz="0" w:space="0" w:color="auto"/>
                            <w:left w:val="none" w:sz="0" w:space="0" w:color="auto"/>
                            <w:bottom w:val="none" w:sz="0" w:space="0" w:color="auto"/>
                            <w:right w:val="none" w:sz="0" w:space="0" w:color="auto"/>
                          </w:divBdr>
                          <w:divsChild>
                            <w:div w:id="1067649679">
                              <w:marLeft w:val="0"/>
                              <w:marRight w:val="0"/>
                              <w:marTop w:val="0"/>
                              <w:marBottom w:val="0"/>
                              <w:divBdr>
                                <w:top w:val="none" w:sz="0" w:space="0" w:color="auto"/>
                                <w:left w:val="none" w:sz="0" w:space="0" w:color="auto"/>
                                <w:bottom w:val="none" w:sz="0" w:space="0" w:color="auto"/>
                                <w:right w:val="none" w:sz="0" w:space="0" w:color="auto"/>
                              </w:divBdr>
                            </w:div>
                          </w:divsChild>
                        </w:div>
                        <w:div w:id="1713266455">
                          <w:marLeft w:val="0"/>
                          <w:marRight w:val="0"/>
                          <w:marTop w:val="0"/>
                          <w:marBottom w:val="0"/>
                          <w:divBdr>
                            <w:top w:val="none" w:sz="0" w:space="0" w:color="auto"/>
                            <w:left w:val="none" w:sz="0" w:space="0" w:color="auto"/>
                            <w:bottom w:val="none" w:sz="0" w:space="0" w:color="auto"/>
                            <w:right w:val="none" w:sz="0" w:space="0" w:color="auto"/>
                          </w:divBdr>
                          <w:divsChild>
                            <w:div w:id="1782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780">
                      <w:marLeft w:val="0"/>
                      <w:marRight w:val="0"/>
                      <w:marTop w:val="0"/>
                      <w:marBottom w:val="0"/>
                      <w:divBdr>
                        <w:top w:val="none" w:sz="0" w:space="0" w:color="auto"/>
                        <w:left w:val="none" w:sz="0" w:space="0" w:color="auto"/>
                        <w:bottom w:val="none" w:sz="0" w:space="0" w:color="auto"/>
                        <w:right w:val="none" w:sz="0" w:space="0" w:color="auto"/>
                      </w:divBdr>
                      <w:divsChild>
                        <w:div w:id="8487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048">
      <w:bodyDiv w:val="1"/>
      <w:marLeft w:val="0"/>
      <w:marRight w:val="0"/>
      <w:marTop w:val="0"/>
      <w:marBottom w:val="0"/>
      <w:divBdr>
        <w:top w:val="none" w:sz="0" w:space="0" w:color="auto"/>
        <w:left w:val="none" w:sz="0" w:space="0" w:color="auto"/>
        <w:bottom w:val="none" w:sz="0" w:space="0" w:color="auto"/>
        <w:right w:val="none" w:sz="0" w:space="0" w:color="auto"/>
      </w:divBdr>
    </w:div>
    <w:div w:id="1841919856">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2124306024">
      <w:bodyDiv w:val="1"/>
      <w:marLeft w:val="0"/>
      <w:marRight w:val="0"/>
      <w:marTop w:val="0"/>
      <w:marBottom w:val="0"/>
      <w:divBdr>
        <w:top w:val="none" w:sz="0" w:space="0" w:color="auto"/>
        <w:left w:val="none" w:sz="0" w:space="0" w:color="auto"/>
        <w:bottom w:val="none" w:sz="0" w:space="0" w:color="auto"/>
        <w:right w:val="none" w:sz="0" w:space="0" w:color="auto"/>
      </w:divBdr>
    </w:div>
    <w:div w:id="21292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signorello@nih.gov" TargetMode="External"/><Relationship Id="rId13" Type="http://schemas.openxmlformats.org/officeDocument/2006/relationships/hyperlink" Target="http://www.cpfp.cancer.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22Tables/html/DCB.asp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ls.gov/oes/2021/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3F7C3-98C6-48BC-A024-4A7E91FC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1581</Words>
  <Characters>10247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11805</CharactersWithSpaces>
  <SharedDoc>false</SharedDoc>
  <HLinks>
    <vt:vector size="6" baseType="variant">
      <vt:variant>
        <vt:i4>6619261</vt:i4>
      </vt:variant>
      <vt:variant>
        <vt:i4>9</vt:i4>
      </vt:variant>
      <vt:variant>
        <vt:i4>0</vt:i4>
      </vt:variant>
      <vt:variant>
        <vt:i4>5</vt:i4>
      </vt:variant>
      <vt:variant>
        <vt:lpwstr>http://www.dceg.cancer.gov/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Abdelmouti, Tawanda (NIH/OD) [E]</cp:lastModifiedBy>
  <cp:revision>2</cp:revision>
  <cp:lastPrinted>2019-04-11T17:16:00Z</cp:lastPrinted>
  <dcterms:created xsi:type="dcterms:W3CDTF">2022-07-18T21:49:00Z</dcterms:created>
  <dcterms:modified xsi:type="dcterms:W3CDTF">2022-07-18T21:49:00Z</dcterms:modified>
</cp:coreProperties>
</file>