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5BB0" w:rsidR="00E35DD1" w:rsidP="00225BB0" w:rsidRDefault="00225BB0" w14:paraId="30936535" w14:textId="2D747E8E">
      <w:pPr>
        <w:pStyle w:val="P1-StandPara"/>
        <w:tabs>
          <w:tab w:val="left" w:pos="720"/>
          <w:tab w:val="right" w:leader="dot" w:pos="9504"/>
        </w:tabs>
        <w:spacing w:before="120" w:after="120"/>
        <w:ind w:firstLine="0"/>
        <w:jc w:val="center"/>
        <w:rPr>
          <w:rFonts w:asciiTheme="minorHAnsi" w:hAnsiTheme="minorHAnsi" w:cstheme="minorHAnsi"/>
          <w:szCs w:val="22"/>
        </w:rPr>
      </w:pPr>
      <w:r w:rsidRPr="00225BB0">
        <w:rPr>
          <w:rFonts w:asciiTheme="minorHAnsi" w:hAnsiTheme="minorHAnsi" w:cstheme="minorHAnsi"/>
          <w:sz w:val="36"/>
          <w:szCs w:val="36"/>
        </w:rPr>
        <w:t>Mini Supporting Statement A</w:t>
      </w:r>
    </w:p>
    <w:p w:rsidR="0095737A" w:rsidP="00225BB0" w:rsidRDefault="00541501" w14:paraId="7754F87A" w14:textId="00C6E843">
      <w:pPr>
        <w:pStyle w:val="P1-StandPara"/>
        <w:tabs>
          <w:tab w:val="left" w:pos="720"/>
          <w:tab w:val="right" w:leader="dot" w:pos="9504"/>
        </w:tabs>
        <w:spacing w:before="120" w:after="120" w:line="276" w:lineRule="auto"/>
        <w:ind w:firstLine="0"/>
        <w:jc w:val="center"/>
        <w:rPr>
          <w:rFonts w:ascii="Calibri" w:hAnsi="Calibri"/>
          <w:sz w:val="32"/>
          <w:szCs w:val="32"/>
        </w:rPr>
      </w:pPr>
      <w:r>
        <w:rPr>
          <w:rFonts w:ascii="Calibri" w:hAnsi="Calibri"/>
          <w:sz w:val="32"/>
          <w:szCs w:val="32"/>
        </w:rPr>
        <w:t xml:space="preserve">Early Investigator </w:t>
      </w:r>
      <w:r w:rsidR="00B0682D">
        <w:rPr>
          <w:rFonts w:ascii="Calibri" w:hAnsi="Calibri"/>
          <w:sz w:val="32"/>
          <w:szCs w:val="32"/>
        </w:rPr>
        <w:t xml:space="preserve">Advancement </w:t>
      </w:r>
      <w:r>
        <w:rPr>
          <w:rFonts w:ascii="Calibri" w:hAnsi="Calibri"/>
          <w:sz w:val="32"/>
          <w:szCs w:val="32"/>
        </w:rPr>
        <w:t xml:space="preserve">Program (EIAP) </w:t>
      </w:r>
      <w:r w:rsidRPr="00974AC5" w:rsidR="00396A70">
        <w:rPr>
          <w:rFonts w:ascii="Calibri" w:hAnsi="Calibri"/>
          <w:sz w:val="32"/>
          <w:szCs w:val="32"/>
        </w:rPr>
        <w:t>Application</w:t>
      </w:r>
      <w:r w:rsidR="00A15A36">
        <w:rPr>
          <w:rFonts w:ascii="Calibri" w:hAnsi="Calibri"/>
          <w:sz w:val="32"/>
          <w:szCs w:val="32"/>
        </w:rPr>
        <w:t>s</w:t>
      </w:r>
      <w:r w:rsidRPr="00974AC5" w:rsidR="00396A70">
        <w:rPr>
          <w:rFonts w:ascii="Calibri" w:hAnsi="Calibri"/>
          <w:sz w:val="32"/>
          <w:szCs w:val="32"/>
        </w:rPr>
        <w:t xml:space="preserve"> </w:t>
      </w:r>
    </w:p>
    <w:p w:rsidR="00024899" w:rsidP="00225BB0" w:rsidRDefault="00974AC5" w14:paraId="56174CE4" w14:textId="1DE2BC96">
      <w:pPr>
        <w:pStyle w:val="P1-StandPara"/>
        <w:tabs>
          <w:tab w:val="left" w:pos="720"/>
          <w:tab w:val="right" w:leader="dot" w:pos="9504"/>
        </w:tabs>
        <w:spacing w:before="120" w:after="120" w:line="276" w:lineRule="auto"/>
        <w:ind w:firstLine="0"/>
        <w:jc w:val="center"/>
        <w:rPr>
          <w:rFonts w:ascii="Calibri" w:hAnsi="Calibri"/>
          <w:sz w:val="32"/>
          <w:szCs w:val="32"/>
        </w:rPr>
      </w:pPr>
      <w:r>
        <w:rPr>
          <w:rFonts w:ascii="Calibri" w:hAnsi="Calibri"/>
          <w:sz w:val="32"/>
          <w:szCs w:val="32"/>
        </w:rPr>
        <w:t>(</w:t>
      </w:r>
      <w:r w:rsidRPr="00974AC5" w:rsidR="00396A70">
        <w:rPr>
          <w:rFonts w:ascii="Calibri" w:hAnsi="Calibri"/>
          <w:sz w:val="32"/>
          <w:szCs w:val="32"/>
        </w:rPr>
        <w:t>N</w:t>
      </w:r>
      <w:r w:rsidR="0095737A">
        <w:rPr>
          <w:rFonts w:ascii="Calibri" w:hAnsi="Calibri"/>
          <w:sz w:val="32"/>
          <w:szCs w:val="32"/>
        </w:rPr>
        <w:t>ational Cancer Institute</w:t>
      </w:r>
      <w:r>
        <w:rPr>
          <w:rFonts w:ascii="Calibri" w:hAnsi="Calibri"/>
          <w:sz w:val="32"/>
          <w:szCs w:val="32"/>
        </w:rPr>
        <w:t>)</w:t>
      </w:r>
    </w:p>
    <w:p w:rsidR="00225BB0" w:rsidP="00225BB0" w:rsidRDefault="00225BB0" w14:paraId="1EB73DB0" w14:textId="77777777">
      <w:pPr>
        <w:jc w:val="center"/>
        <w:rPr>
          <w:sz w:val="28"/>
          <w:szCs w:val="28"/>
        </w:rPr>
      </w:pPr>
    </w:p>
    <w:p w:rsidRPr="0063454C" w:rsidR="00225BB0" w:rsidP="00225BB0" w:rsidRDefault="00937061" w14:paraId="34FFB0E4" w14:textId="248A6A7F">
      <w:pPr>
        <w:jc w:val="center"/>
        <w:rPr>
          <w:sz w:val="28"/>
          <w:szCs w:val="28"/>
        </w:rPr>
      </w:pPr>
      <w:r>
        <w:rPr>
          <w:sz w:val="28"/>
          <w:szCs w:val="28"/>
        </w:rPr>
        <w:t>Sub-study</w:t>
      </w:r>
      <w:r w:rsidRPr="0063454C" w:rsidR="00225BB0">
        <w:rPr>
          <w:sz w:val="28"/>
          <w:szCs w:val="28"/>
        </w:rPr>
        <w:t xml:space="preserve"> under,</w:t>
      </w:r>
    </w:p>
    <w:p w:rsidRPr="0063454C" w:rsidR="00225BB0" w:rsidP="00225BB0" w:rsidRDefault="00225BB0" w14:paraId="5031F770" w14:textId="77777777">
      <w:pPr>
        <w:jc w:val="center"/>
        <w:rPr>
          <w:sz w:val="28"/>
          <w:szCs w:val="28"/>
        </w:rPr>
      </w:pPr>
      <w:r w:rsidRPr="0063454C">
        <w:rPr>
          <w:sz w:val="28"/>
          <w:szCs w:val="28"/>
        </w:rPr>
        <w:t>“Generic Clearance for Application Information for</w:t>
      </w:r>
    </w:p>
    <w:p w:rsidRPr="0063454C" w:rsidR="00225BB0" w:rsidP="00225BB0" w:rsidRDefault="00225BB0" w14:paraId="27EE7102" w14:textId="77777777">
      <w:pPr>
        <w:jc w:val="center"/>
        <w:rPr>
          <w:sz w:val="28"/>
          <w:szCs w:val="28"/>
        </w:rPr>
      </w:pPr>
      <w:r w:rsidRPr="0063454C">
        <w:rPr>
          <w:sz w:val="28"/>
          <w:szCs w:val="28"/>
        </w:rPr>
        <w:t xml:space="preserve">Fellowship, Internships, Training Programs, and Specialty Positions </w:t>
      </w:r>
    </w:p>
    <w:p w:rsidR="00225BB0" w:rsidP="00225BB0" w:rsidRDefault="00225BB0" w14:paraId="01723418" w14:textId="77777777">
      <w:pPr>
        <w:jc w:val="center"/>
        <w:rPr>
          <w:sz w:val="28"/>
          <w:szCs w:val="28"/>
        </w:rPr>
      </w:pPr>
      <w:r w:rsidRPr="0063454C">
        <w:rPr>
          <w:sz w:val="28"/>
          <w:szCs w:val="28"/>
        </w:rPr>
        <w:t>(National Cancer Institute)”</w:t>
      </w:r>
    </w:p>
    <w:p w:rsidRPr="0063454C" w:rsidR="00225BB0" w:rsidP="00225BB0" w:rsidRDefault="00225BB0" w14:paraId="15453272" w14:textId="77777777">
      <w:pPr>
        <w:jc w:val="center"/>
        <w:rPr>
          <w:sz w:val="28"/>
          <w:szCs w:val="28"/>
        </w:rPr>
      </w:pPr>
    </w:p>
    <w:p w:rsidR="00225BB0" w:rsidP="00225BB0" w:rsidRDefault="00225BB0" w14:paraId="1AACFBF6" w14:textId="77777777">
      <w:pPr>
        <w:jc w:val="center"/>
        <w:rPr>
          <w:sz w:val="28"/>
          <w:szCs w:val="28"/>
        </w:rPr>
      </w:pPr>
      <w:r w:rsidRPr="00553A54">
        <w:rPr>
          <w:sz w:val="28"/>
          <w:szCs w:val="28"/>
        </w:rPr>
        <w:t xml:space="preserve">OMB# 0925-0761, </w:t>
      </w:r>
    </w:p>
    <w:p w:rsidRPr="00225BB0" w:rsidR="00225BB0" w:rsidP="00225BB0" w:rsidRDefault="00225BB0" w14:paraId="440EDECF" w14:textId="73ECECE1">
      <w:pPr>
        <w:jc w:val="center"/>
        <w:rPr>
          <w:sz w:val="28"/>
          <w:szCs w:val="28"/>
        </w:rPr>
      </w:pPr>
      <w:r w:rsidRPr="00553A54">
        <w:rPr>
          <w:sz w:val="28"/>
          <w:szCs w:val="28"/>
        </w:rPr>
        <w:t>Expiration Date:  7/31/202</w:t>
      </w:r>
      <w:r w:rsidR="00937061">
        <w:rPr>
          <w:sz w:val="28"/>
          <w:szCs w:val="28"/>
        </w:rPr>
        <w:t>5</w:t>
      </w:r>
    </w:p>
    <w:p w:rsidR="00225BB0" w:rsidP="00225BB0" w:rsidRDefault="00225BB0" w14:paraId="098680D9" w14:textId="77777777">
      <w:pPr>
        <w:jc w:val="center"/>
        <w:rPr>
          <w:rFonts w:cstheme="minorHAnsi"/>
          <w:sz w:val="28"/>
          <w:szCs w:val="28"/>
        </w:rPr>
      </w:pPr>
    </w:p>
    <w:p w:rsidRPr="00DC234F" w:rsidR="00225BB0" w:rsidP="00225BB0" w:rsidRDefault="00225BB0" w14:paraId="0809A98D" w14:textId="353A51F0">
      <w:pPr>
        <w:jc w:val="center"/>
        <w:rPr>
          <w:rFonts w:cstheme="minorHAnsi"/>
          <w:sz w:val="28"/>
          <w:szCs w:val="28"/>
        </w:rPr>
      </w:pPr>
      <w:r w:rsidRPr="00DC234F">
        <w:rPr>
          <w:rFonts w:cstheme="minorHAnsi"/>
          <w:sz w:val="28"/>
          <w:szCs w:val="28"/>
        </w:rPr>
        <w:t xml:space="preserve">Date: </w:t>
      </w:r>
      <w:r w:rsidR="00AD21AF">
        <w:rPr>
          <w:rFonts w:cstheme="minorHAnsi"/>
          <w:sz w:val="28"/>
          <w:szCs w:val="28"/>
        </w:rPr>
        <w:t xml:space="preserve"> </w:t>
      </w:r>
      <w:r w:rsidR="00937061">
        <w:rPr>
          <w:rFonts w:cstheme="minorHAnsi"/>
          <w:sz w:val="28"/>
          <w:szCs w:val="28"/>
        </w:rPr>
        <w:t>July 1</w:t>
      </w:r>
      <w:r w:rsidR="00BD3B86">
        <w:rPr>
          <w:rFonts w:cstheme="minorHAnsi"/>
          <w:sz w:val="28"/>
          <w:szCs w:val="28"/>
        </w:rPr>
        <w:t>9</w:t>
      </w:r>
      <w:r w:rsidR="00937061">
        <w:rPr>
          <w:rFonts w:cstheme="minorHAnsi"/>
          <w:sz w:val="28"/>
          <w:szCs w:val="28"/>
        </w:rPr>
        <w:t>, 2022</w:t>
      </w:r>
    </w:p>
    <w:p w:rsidR="00974AC5" w:rsidP="00BE76A7" w:rsidRDefault="00974AC5" w14:paraId="0394D2F0" w14:textId="5F7C520A">
      <w:pPr>
        <w:pStyle w:val="P1-StandPara"/>
        <w:tabs>
          <w:tab w:val="left" w:pos="720"/>
          <w:tab w:val="right" w:leader="dot" w:pos="9504"/>
        </w:tabs>
        <w:spacing w:before="120" w:after="120" w:line="240" w:lineRule="auto"/>
        <w:ind w:firstLine="0"/>
        <w:rPr>
          <w:rFonts w:ascii="Calibri" w:hAnsi="Calibri"/>
          <w:sz w:val="24"/>
          <w:szCs w:val="24"/>
        </w:rPr>
      </w:pPr>
    </w:p>
    <w:p w:rsidR="00225BB0" w:rsidP="00BE76A7" w:rsidRDefault="00225BB0" w14:paraId="3F6427D1" w14:textId="77777777">
      <w:pPr>
        <w:pStyle w:val="P1-StandPara"/>
        <w:tabs>
          <w:tab w:val="left" w:pos="720"/>
          <w:tab w:val="right" w:leader="dot" w:pos="9504"/>
        </w:tabs>
        <w:spacing w:before="120" w:after="120" w:line="240" w:lineRule="auto"/>
        <w:ind w:firstLine="0"/>
        <w:rPr>
          <w:rFonts w:ascii="Calibri" w:hAnsi="Calibri"/>
          <w:sz w:val="24"/>
          <w:szCs w:val="24"/>
        </w:rPr>
      </w:pPr>
    </w:p>
    <w:p w:rsidRPr="00236E27" w:rsidR="00225BB0" w:rsidP="00BE76A7" w:rsidRDefault="00225BB0" w14:paraId="31279C3A" w14:textId="77777777">
      <w:pPr>
        <w:pStyle w:val="P1-StandPara"/>
        <w:tabs>
          <w:tab w:val="left" w:pos="720"/>
          <w:tab w:val="right" w:leader="dot" w:pos="9504"/>
        </w:tabs>
        <w:spacing w:before="120" w:after="120" w:line="240" w:lineRule="auto"/>
        <w:ind w:firstLine="0"/>
        <w:rPr>
          <w:rFonts w:ascii="Calibri" w:hAnsi="Calibri"/>
          <w:sz w:val="24"/>
          <w:szCs w:val="24"/>
        </w:rPr>
      </w:pPr>
    </w:p>
    <w:p w:rsidRPr="00236E27" w:rsidR="00E35DD1" w:rsidP="00BE76A7" w:rsidRDefault="00BE76A7" w14:paraId="7921E4C9" w14:textId="2D49CEF2">
      <w:pPr>
        <w:pStyle w:val="P1-StandPara"/>
        <w:tabs>
          <w:tab w:val="left" w:pos="720"/>
          <w:tab w:val="right" w:leader="dot" w:pos="9504"/>
        </w:tabs>
        <w:spacing w:before="120" w:after="120" w:line="240" w:lineRule="auto"/>
        <w:ind w:firstLine="0"/>
        <w:rPr>
          <w:rFonts w:ascii="Calibri" w:hAnsi="Calibri"/>
          <w:sz w:val="24"/>
          <w:szCs w:val="24"/>
        </w:rPr>
      </w:pPr>
      <w:r w:rsidRPr="00236E27">
        <w:rPr>
          <w:rFonts w:ascii="Calibri" w:hAnsi="Calibri"/>
          <w:sz w:val="24"/>
          <w:szCs w:val="24"/>
        </w:rPr>
        <w:t>Federal Government Employee Address:</w:t>
      </w:r>
    </w:p>
    <w:p w:rsidRPr="00236E27" w:rsidR="00E35DD1" w:rsidP="00396A70" w:rsidRDefault="00E35DD1" w14:paraId="2452E417" w14:textId="76FB6C77">
      <w:pPr>
        <w:pStyle w:val="P1-StandPara"/>
        <w:tabs>
          <w:tab w:val="left" w:pos="720"/>
          <w:tab w:val="right" w:leader="dot" w:pos="9504"/>
        </w:tabs>
        <w:spacing w:before="120" w:after="120" w:line="240" w:lineRule="auto"/>
        <w:ind w:firstLine="0"/>
        <w:rPr>
          <w:rFonts w:ascii="Calibri" w:hAnsi="Calibri"/>
          <w:sz w:val="24"/>
          <w:szCs w:val="24"/>
        </w:rPr>
      </w:pPr>
      <w:r w:rsidRPr="00236E27">
        <w:rPr>
          <w:rFonts w:ascii="Calibri" w:hAnsi="Calibri"/>
          <w:sz w:val="24"/>
          <w:szCs w:val="24"/>
        </w:rPr>
        <w:t>Name:</w:t>
      </w:r>
      <w:r w:rsidRPr="00236E27" w:rsidR="00396A70">
        <w:rPr>
          <w:rFonts w:ascii="Calibri" w:hAnsi="Calibri"/>
          <w:sz w:val="24"/>
          <w:szCs w:val="24"/>
        </w:rPr>
        <w:t xml:space="preserve"> </w:t>
      </w:r>
      <w:r w:rsidR="00AD21AF">
        <w:rPr>
          <w:rFonts w:ascii="Calibri" w:hAnsi="Calibri"/>
          <w:sz w:val="24"/>
          <w:szCs w:val="24"/>
        </w:rPr>
        <w:t xml:space="preserve"> Samson Gebreab </w:t>
      </w:r>
    </w:p>
    <w:p w:rsidRPr="00937061" w:rsidR="00E35DD1" w:rsidP="00396A70" w:rsidRDefault="00E35DD1" w14:paraId="1B04FD95" w14:textId="77777777">
      <w:pPr>
        <w:pStyle w:val="P1-StandPara"/>
        <w:tabs>
          <w:tab w:val="left" w:pos="720"/>
          <w:tab w:val="right" w:leader="dot" w:pos="9504"/>
        </w:tabs>
        <w:spacing w:before="120" w:after="120" w:line="240" w:lineRule="auto"/>
        <w:ind w:firstLine="0"/>
        <w:rPr>
          <w:rFonts w:ascii="Calibri" w:hAnsi="Calibri"/>
          <w:sz w:val="24"/>
          <w:szCs w:val="24"/>
        </w:rPr>
      </w:pPr>
      <w:r w:rsidRPr="00236E27">
        <w:rPr>
          <w:rFonts w:ascii="Calibri" w:hAnsi="Calibri"/>
          <w:sz w:val="24"/>
          <w:szCs w:val="24"/>
        </w:rPr>
        <w:t>Address</w:t>
      </w:r>
      <w:r w:rsidRPr="00937061">
        <w:rPr>
          <w:rFonts w:ascii="Calibri" w:hAnsi="Calibri"/>
          <w:sz w:val="24"/>
          <w:szCs w:val="24"/>
        </w:rPr>
        <w:t>:</w:t>
      </w:r>
      <w:r w:rsidRPr="00937061" w:rsidR="00396A70">
        <w:rPr>
          <w:rFonts w:ascii="Calibri" w:hAnsi="Calibri"/>
          <w:sz w:val="24"/>
          <w:szCs w:val="24"/>
        </w:rPr>
        <w:t xml:space="preserve"> 9609 Medical Center Drive, MSC 9746 Rm 6W236, Rockville, MD 20892</w:t>
      </w:r>
    </w:p>
    <w:p w:rsidRPr="00937061" w:rsidR="00E35DD1" w:rsidP="00396A70" w:rsidRDefault="00E35DD1" w14:paraId="2980EB96" w14:textId="77777777">
      <w:pPr>
        <w:pStyle w:val="P1-StandPara"/>
        <w:tabs>
          <w:tab w:val="left" w:pos="720"/>
          <w:tab w:val="right" w:leader="dot" w:pos="9504"/>
        </w:tabs>
        <w:spacing w:before="120" w:after="120" w:line="240" w:lineRule="auto"/>
        <w:ind w:firstLine="0"/>
        <w:rPr>
          <w:rFonts w:ascii="Calibri" w:hAnsi="Calibri"/>
          <w:sz w:val="24"/>
          <w:szCs w:val="24"/>
        </w:rPr>
      </w:pPr>
      <w:r w:rsidRPr="00937061">
        <w:rPr>
          <w:rFonts w:ascii="Calibri" w:hAnsi="Calibri"/>
          <w:sz w:val="24"/>
          <w:szCs w:val="24"/>
        </w:rPr>
        <w:t>Telephone:</w:t>
      </w:r>
      <w:r w:rsidRPr="00937061" w:rsidR="00396A70">
        <w:rPr>
          <w:rFonts w:ascii="Calibri" w:hAnsi="Calibri"/>
          <w:sz w:val="24"/>
          <w:szCs w:val="24"/>
        </w:rPr>
        <w:t xml:space="preserve"> 240-276-6177</w:t>
      </w:r>
    </w:p>
    <w:p w:rsidRPr="00236E27" w:rsidR="00E35DD1" w:rsidP="00396A70" w:rsidRDefault="00E35DD1" w14:paraId="51DAA4A5" w14:textId="77777777">
      <w:pPr>
        <w:pStyle w:val="P1-StandPara"/>
        <w:tabs>
          <w:tab w:val="left" w:pos="720"/>
          <w:tab w:val="right" w:leader="dot" w:pos="9504"/>
        </w:tabs>
        <w:spacing w:before="120" w:after="120" w:line="240" w:lineRule="auto"/>
        <w:ind w:firstLine="0"/>
        <w:rPr>
          <w:rFonts w:ascii="Calibri" w:hAnsi="Calibri"/>
          <w:sz w:val="24"/>
          <w:szCs w:val="24"/>
        </w:rPr>
      </w:pPr>
      <w:r w:rsidRPr="00937061">
        <w:rPr>
          <w:rFonts w:ascii="Calibri" w:hAnsi="Calibri"/>
          <w:sz w:val="24"/>
          <w:szCs w:val="24"/>
        </w:rPr>
        <w:t>Fax:</w:t>
      </w:r>
      <w:r w:rsidRPr="00937061" w:rsidR="00396A70">
        <w:rPr>
          <w:rFonts w:ascii="Calibri" w:hAnsi="Calibri"/>
          <w:sz w:val="24"/>
          <w:szCs w:val="24"/>
        </w:rPr>
        <w:t xml:space="preserve"> 240-276-7862</w:t>
      </w:r>
    </w:p>
    <w:p w:rsidRPr="00236E27" w:rsidR="00E35DD1" w:rsidP="00396A70" w:rsidRDefault="00E35DD1" w14:paraId="4BEB2EE6" w14:textId="267D0CDD">
      <w:pPr>
        <w:pStyle w:val="P1-StandPara"/>
        <w:tabs>
          <w:tab w:val="left" w:pos="720"/>
          <w:tab w:val="right" w:leader="dot" w:pos="9504"/>
        </w:tabs>
        <w:spacing w:before="120" w:after="120" w:line="240" w:lineRule="auto"/>
        <w:ind w:firstLine="0"/>
        <w:rPr>
          <w:rFonts w:ascii="Calibri" w:hAnsi="Calibri"/>
          <w:sz w:val="24"/>
          <w:szCs w:val="24"/>
        </w:rPr>
      </w:pPr>
      <w:r w:rsidRPr="00236E27">
        <w:rPr>
          <w:rFonts w:ascii="Calibri" w:hAnsi="Calibri"/>
          <w:sz w:val="24"/>
          <w:szCs w:val="24"/>
        </w:rPr>
        <w:t>Email:</w:t>
      </w:r>
      <w:r w:rsidRPr="00236E27" w:rsidR="00396A70">
        <w:rPr>
          <w:rFonts w:ascii="Calibri" w:hAnsi="Calibri"/>
          <w:sz w:val="24"/>
          <w:szCs w:val="24"/>
        </w:rPr>
        <w:t xml:space="preserve"> </w:t>
      </w:r>
      <w:hyperlink w:history="1" r:id="rId8">
        <w:r w:rsidRPr="00331ED8" w:rsidR="00AD21AF">
          <w:rPr>
            <w:rStyle w:val="Hyperlink"/>
            <w:rFonts w:ascii="Calibri" w:hAnsi="Calibri"/>
            <w:sz w:val="24"/>
            <w:szCs w:val="24"/>
          </w:rPr>
          <w:t>samson.gebreab@nih.gov</w:t>
        </w:r>
      </w:hyperlink>
    </w:p>
    <w:p w:rsidRPr="00236E27" w:rsidR="006A45F9" w:rsidP="00BE76A7" w:rsidRDefault="006A45F9" w14:paraId="1873090B" w14:textId="77777777">
      <w:pPr>
        <w:pStyle w:val="P1-StandPara"/>
        <w:tabs>
          <w:tab w:val="left" w:pos="720"/>
          <w:tab w:val="right" w:leader="dot" w:pos="9504"/>
        </w:tabs>
        <w:spacing w:before="120" w:line="240" w:lineRule="auto"/>
        <w:ind w:firstLine="0"/>
        <w:rPr>
          <w:rFonts w:ascii="Calibri" w:hAnsi="Calibri"/>
          <w:sz w:val="24"/>
          <w:szCs w:val="24"/>
        </w:rPr>
      </w:pPr>
    </w:p>
    <w:p w:rsidR="00974AC5" w:rsidP="00BE76A7" w:rsidRDefault="00974AC5" w14:paraId="14745A85" w14:textId="0232A143">
      <w:pPr>
        <w:pStyle w:val="P1-StandPara"/>
        <w:tabs>
          <w:tab w:val="left" w:pos="720"/>
          <w:tab w:val="right" w:leader="dot" w:pos="9504"/>
        </w:tabs>
        <w:spacing w:before="120" w:line="240" w:lineRule="auto"/>
        <w:ind w:firstLine="0"/>
        <w:rPr>
          <w:rFonts w:ascii="Calibri" w:hAnsi="Calibri"/>
          <w:sz w:val="24"/>
          <w:szCs w:val="24"/>
        </w:rPr>
      </w:pPr>
    </w:p>
    <w:p w:rsidR="000E3964" w:rsidP="00BE76A7" w:rsidRDefault="000E3964" w14:paraId="6B61272F" w14:textId="0929177D">
      <w:pPr>
        <w:pStyle w:val="P1-StandPara"/>
        <w:tabs>
          <w:tab w:val="left" w:pos="720"/>
          <w:tab w:val="right" w:leader="dot" w:pos="9504"/>
        </w:tabs>
        <w:spacing w:before="120" w:line="240" w:lineRule="auto"/>
        <w:ind w:firstLine="0"/>
        <w:rPr>
          <w:rFonts w:ascii="Calibri" w:hAnsi="Calibri"/>
          <w:sz w:val="24"/>
          <w:szCs w:val="24"/>
        </w:rPr>
      </w:pPr>
    </w:p>
    <w:p w:rsidRPr="00236E27" w:rsidR="000E3964" w:rsidP="00BE76A7" w:rsidRDefault="000E3964" w14:paraId="0876BFB3" w14:textId="77777777">
      <w:pPr>
        <w:pStyle w:val="P1-StandPara"/>
        <w:tabs>
          <w:tab w:val="left" w:pos="720"/>
          <w:tab w:val="right" w:leader="dot" w:pos="9504"/>
        </w:tabs>
        <w:spacing w:before="120" w:line="240" w:lineRule="auto"/>
        <w:ind w:firstLine="0"/>
        <w:rPr>
          <w:rFonts w:ascii="Calibri" w:hAnsi="Calibri"/>
          <w:sz w:val="24"/>
          <w:szCs w:val="24"/>
        </w:rPr>
      </w:pPr>
    </w:p>
    <w:p w:rsidRPr="00236E27" w:rsidR="00396A70" w:rsidP="00225BB0" w:rsidRDefault="00396A70" w14:paraId="189C32AE" w14:textId="59DFB989">
      <w:pPr>
        <w:pStyle w:val="P1-StandPara"/>
        <w:tabs>
          <w:tab w:val="left" w:pos="720"/>
          <w:tab w:val="right" w:leader="dot" w:pos="9504"/>
        </w:tabs>
        <w:spacing w:before="120" w:after="120"/>
        <w:ind w:firstLine="0"/>
        <w:rPr>
          <w:b/>
          <w:sz w:val="24"/>
          <w:szCs w:val="24"/>
          <w:u w:val="single"/>
        </w:rPr>
      </w:pPr>
      <w:r w:rsidRPr="00236E27">
        <w:rPr>
          <w:rFonts w:ascii="Calibri" w:hAnsi="Calibri"/>
          <w:b/>
          <w:sz w:val="24"/>
          <w:szCs w:val="24"/>
          <w:u w:val="single"/>
        </w:rPr>
        <w:lastRenderedPageBreak/>
        <w:t>List of Attachments</w:t>
      </w:r>
    </w:p>
    <w:p w:rsidRPr="00236E27" w:rsidR="00241B6D" w:rsidP="000F78FC" w:rsidRDefault="00F60B93" w14:paraId="61EFF5CC" w14:textId="541EEAE7">
      <w:pPr>
        <w:spacing w:after="0" w:line="480" w:lineRule="auto"/>
        <w:rPr>
          <w:sz w:val="24"/>
          <w:szCs w:val="24"/>
        </w:rPr>
      </w:pPr>
      <w:r w:rsidRPr="00236E27">
        <w:rPr>
          <w:sz w:val="24"/>
          <w:szCs w:val="24"/>
        </w:rPr>
        <w:t xml:space="preserve">Attachment 1: </w:t>
      </w:r>
      <w:r w:rsidR="00541501">
        <w:rPr>
          <w:sz w:val="24"/>
          <w:szCs w:val="24"/>
        </w:rPr>
        <w:t>EIAP</w:t>
      </w:r>
      <w:r w:rsidRPr="00236E27" w:rsidR="006A3B1A">
        <w:rPr>
          <w:sz w:val="24"/>
          <w:szCs w:val="24"/>
        </w:rPr>
        <w:t xml:space="preserve"> </w:t>
      </w:r>
      <w:r w:rsidRPr="00236E27" w:rsidR="00C448E8">
        <w:rPr>
          <w:sz w:val="24"/>
          <w:szCs w:val="24"/>
        </w:rPr>
        <w:t>Application</w:t>
      </w:r>
    </w:p>
    <w:p w:rsidRPr="00236E27" w:rsidR="00241B6D" w:rsidP="000F78FC" w:rsidRDefault="00F60B93" w14:paraId="6E1C15A2" w14:textId="7F897192">
      <w:pPr>
        <w:spacing w:after="0" w:line="480" w:lineRule="auto"/>
        <w:rPr>
          <w:sz w:val="24"/>
          <w:szCs w:val="24"/>
        </w:rPr>
      </w:pPr>
      <w:r w:rsidRPr="00236E27">
        <w:rPr>
          <w:sz w:val="24"/>
          <w:szCs w:val="24"/>
        </w:rPr>
        <w:t xml:space="preserve">Attachment </w:t>
      </w:r>
      <w:r w:rsidR="00541501">
        <w:rPr>
          <w:sz w:val="24"/>
          <w:szCs w:val="24"/>
        </w:rPr>
        <w:t>2</w:t>
      </w:r>
      <w:r w:rsidRPr="00236E27" w:rsidR="00C448E8">
        <w:rPr>
          <w:sz w:val="24"/>
          <w:szCs w:val="24"/>
        </w:rPr>
        <w:t xml:space="preserve">: </w:t>
      </w:r>
      <w:r w:rsidRPr="00236E27" w:rsidR="006A3B1A">
        <w:rPr>
          <w:sz w:val="24"/>
          <w:szCs w:val="24"/>
        </w:rPr>
        <w:t xml:space="preserve">Request for </w:t>
      </w:r>
      <w:r w:rsidRPr="00236E27" w:rsidR="00C448E8">
        <w:rPr>
          <w:sz w:val="24"/>
          <w:szCs w:val="24"/>
        </w:rPr>
        <w:t>Reference Letter</w:t>
      </w:r>
    </w:p>
    <w:p w:rsidRPr="00594DCC" w:rsidR="009F6E99" w:rsidP="000F78FC" w:rsidRDefault="009F6E99" w14:paraId="7C047CDC" w14:textId="0F2B0A84">
      <w:pPr>
        <w:spacing w:after="0" w:line="480" w:lineRule="auto"/>
        <w:rPr>
          <w:sz w:val="24"/>
          <w:szCs w:val="24"/>
        </w:rPr>
      </w:pPr>
      <w:r w:rsidRPr="00594DCC">
        <w:rPr>
          <w:sz w:val="24"/>
          <w:szCs w:val="24"/>
        </w:rPr>
        <w:t xml:space="preserve">Attachment </w:t>
      </w:r>
      <w:r w:rsidRPr="00594DCC" w:rsidR="00541501">
        <w:rPr>
          <w:sz w:val="24"/>
          <w:szCs w:val="24"/>
        </w:rPr>
        <w:t>3</w:t>
      </w:r>
      <w:r w:rsidRPr="00594DCC">
        <w:rPr>
          <w:sz w:val="24"/>
          <w:szCs w:val="24"/>
        </w:rPr>
        <w:t>: Privacy Act Memo</w:t>
      </w:r>
    </w:p>
    <w:p w:rsidRPr="00225BB0" w:rsidR="00C95863" w:rsidP="00225BB0" w:rsidRDefault="00396A70" w14:paraId="7C23B1D5" w14:textId="76DDA0B9">
      <w:pPr>
        <w:spacing w:after="0" w:line="480" w:lineRule="auto"/>
        <w:rPr>
          <w:rFonts w:eastAsia="Times New Roman"/>
        </w:rPr>
      </w:pPr>
      <w:r>
        <w:br w:type="page"/>
      </w:r>
    </w:p>
    <w:p w:rsidR="000F3043" w:rsidP="003056AF" w:rsidRDefault="000F3043" w14:paraId="006A42C7" w14:textId="5E7D7361">
      <w:pPr>
        <w:pStyle w:val="Heading1"/>
      </w:pPr>
      <w:r w:rsidRPr="00AF1188">
        <w:lastRenderedPageBreak/>
        <w:t>A.1</w:t>
      </w:r>
      <w:r w:rsidRPr="00AF1188">
        <w:tab/>
      </w:r>
      <w:r w:rsidR="00937061">
        <w:t>Circumstance</w:t>
      </w:r>
      <w:r w:rsidRPr="00AF1188">
        <w:t xml:space="preserve"> Making the Collection of Information Necessary</w:t>
      </w:r>
    </w:p>
    <w:p w:rsidRPr="00AB05A1" w:rsidR="00AB05A1" w:rsidP="00AB05A1" w:rsidRDefault="00AB05A1" w14:paraId="0DC047E7" w14:textId="77777777"/>
    <w:p w:rsidRPr="00866851" w:rsidR="00E7722F" w:rsidP="00052C27" w:rsidRDefault="00E7722F" w14:paraId="2214CF7B" w14:textId="409736C7">
      <w:pPr>
        <w:spacing w:after="0"/>
        <w:rPr>
          <w:rFonts w:asciiTheme="minorHAnsi" w:hAnsiTheme="minorHAnsi" w:cstheme="minorHAnsi"/>
        </w:rPr>
      </w:pPr>
      <w:r w:rsidRPr="00866851">
        <w:rPr>
          <w:rFonts w:asciiTheme="minorHAnsi" w:hAnsiTheme="minorHAnsi" w:cstheme="minorHAnsi"/>
        </w:rPr>
        <w:t xml:space="preserve">The </w:t>
      </w:r>
      <w:r w:rsidR="004F18C4">
        <w:t>Early Investigator Assistance Program (EIAP)</w:t>
      </w:r>
      <w:r w:rsidRPr="00866851">
        <w:rPr>
          <w:rFonts w:asciiTheme="minorHAnsi" w:hAnsiTheme="minorHAnsi" w:cstheme="minorHAnsi"/>
        </w:rPr>
        <w:t xml:space="preserve"> fulfill</w:t>
      </w:r>
      <w:r w:rsidRPr="00866851" w:rsidR="007D30D8">
        <w:rPr>
          <w:rFonts w:asciiTheme="minorHAnsi" w:hAnsiTheme="minorHAnsi" w:cstheme="minorHAnsi"/>
        </w:rPr>
        <w:t>s</w:t>
      </w:r>
      <w:r w:rsidRPr="00866851">
        <w:rPr>
          <w:rFonts w:asciiTheme="minorHAnsi" w:hAnsiTheme="minorHAnsi" w:cstheme="minorHAnsi"/>
        </w:rPr>
        <w:t xml:space="preserve"> </w:t>
      </w:r>
      <w:r w:rsidR="00937061">
        <w:rPr>
          <w:rFonts w:asciiTheme="minorHAnsi" w:hAnsiTheme="minorHAnsi" w:cstheme="minorHAnsi"/>
        </w:rPr>
        <w:t xml:space="preserve">the </w:t>
      </w:r>
      <w:r w:rsidRPr="00866851">
        <w:rPr>
          <w:rFonts w:asciiTheme="minorHAnsi" w:hAnsiTheme="minorHAnsi" w:cstheme="minorHAnsi"/>
        </w:rPr>
        <w:t xml:space="preserve">requirements of the National Cancer Institute (NCI) training authority as established under Section 413 (b) (3) of the Public Health Service Act, 42 USC 285a-2 (b) (3), as amended pertaining to the NCI, which states that the </w:t>
      </w:r>
      <w:r w:rsidRPr="00866851" w:rsidR="00111C33">
        <w:rPr>
          <w:rFonts w:asciiTheme="minorHAnsi" w:hAnsiTheme="minorHAnsi" w:cstheme="minorHAnsi"/>
        </w:rPr>
        <w:t xml:space="preserve">NCI </w:t>
      </w:r>
      <w:r w:rsidRPr="00866851">
        <w:rPr>
          <w:rFonts w:asciiTheme="minorHAnsi" w:hAnsiTheme="minorHAnsi" w:cstheme="minorHAnsi"/>
        </w:rPr>
        <w:t>Director, in carrying out the National Cancer Program . . . shall . . . "support appropriate programs of education and training (including continuing education and laboratory and clinical research training)</w:t>
      </w:r>
      <w:r w:rsidR="00937061">
        <w:rPr>
          <w:rFonts w:asciiTheme="minorHAnsi" w:hAnsiTheme="minorHAnsi" w:cstheme="minorHAnsi"/>
        </w:rPr>
        <w:t>.”</w:t>
      </w:r>
      <w:r w:rsidRPr="00866851">
        <w:rPr>
          <w:rFonts w:asciiTheme="minorHAnsi" w:hAnsiTheme="minorHAnsi" w:cstheme="minorHAnsi"/>
        </w:rPr>
        <w:t xml:space="preserve"> </w:t>
      </w:r>
      <w:r w:rsidRPr="00866851" w:rsidR="007D30D8">
        <w:rPr>
          <w:rFonts w:asciiTheme="minorHAnsi" w:hAnsiTheme="minorHAnsi" w:cstheme="minorHAnsi"/>
        </w:rPr>
        <w:t>In addition, e</w:t>
      </w:r>
      <w:r w:rsidRPr="00866851">
        <w:rPr>
          <w:rFonts w:asciiTheme="minorHAnsi" w:hAnsiTheme="minorHAnsi" w:cstheme="minorHAnsi"/>
        </w:rPr>
        <w:t xml:space="preserve">nhancing </w:t>
      </w:r>
      <w:r w:rsidR="00937061">
        <w:rPr>
          <w:rFonts w:asciiTheme="minorHAnsi" w:hAnsiTheme="minorHAnsi" w:cstheme="minorHAnsi"/>
        </w:rPr>
        <w:t xml:space="preserve">the </w:t>
      </w:r>
      <w:r w:rsidRPr="00866851">
        <w:rPr>
          <w:rFonts w:asciiTheme="minorHAnsi" w:hAnsiTheme="minorHAnsi" w:cstheme="minorHAnsi"/>
        </w:rPr>
        <w:t xml:space="preserve">diversity of the </w:t>
      </w:r>
      <w:r w:rsidRPr="00866851" w:rsidR="007D30D8">
        <w:rPr>
          <w:rFonts w:asciiTheme="minorHAnsi" w:hAnsiTheme="minorHAnsi" w:cstheme="minorHAnsi"/>
        </w:rPr>
        <w:t xml:space="preserve">cancer research workforce in the nation, </w:t>
      </w:r>
      <w:r w:rsidR="00B0682D">
        <w:rPr>
          <w:rFonts w:asciiTheme="minorHAnsi" w:hAnsiTheme="minorHAnsi" w:cstheme="minorHAnsi"/>
        </w:rPr>
        <w:t>especially at the early investigator career level</w:t>
      </w:r>
      <w:r w:rsidRPr="00866851" w:rsidR="007D30D8">
        <w:rPr>
          <w:rFonts w:asciiTheme="minorHAnsi" w:hAnsiTheme="minorHAnsi" w:cstheme="minorHAnsi"/>
        </w:rPr>
        <w:t>,</w:t>
      </w:r>
      <w:r w:rsidRPr="00866851">
        <w:rPr>
          <w:rFonts w:asciiTheme="minorHAnsi" w:hAnsiTheme="minorHAnsi" w:cstheme="minorHAnsi"/>
        </w:rPr>
        <w:t xml:space="preserve"> is an NCI priority.</w:t>
      </w:r>
    </w:p>
    <w:p w:rsidRPr="00866851" w:rsidR="007D30D8" w:rsidP="00052C27" w:rsidRDefault="007D30D8" w14:paraId="1854ED4D" w14:textId="21D94495">
      <w:pPr>
        <w:spacing w:after="0"/>
        <w:rPr>
          <w:rFonts w:asciiTheme="minorHAnsi" w:hAnsiTheme="minorHAnsi" w:cstheme="minorHAnsi"/>
          <w:highlight w:val="yellow"/>
        </w:rPr>
      </w:pPr>
    </w:p>
    <w:p w:rsidRPr="00B0682D" w:rsidR="00B0682D" w:rsidP="00052C27" w:rsidRDefault="00B0682D" w14:paraId="3879F4CA" w14:textId="4185F680">
      <w:pPr>
        <w:spacing w:after="0"/>
        <w:rPr>
          <w:rFonts w:asciiTheme="minorHAnsi" w:hAnsiTheme="minorHAnsi" w:cstheme="minorHAnsi"/>
        </w:rPr>
      </w:pPr>
      <w:r w:rsidRPr="00B0682D">
        <w:rPr>
          <w:rFonts w:asciiTheme="minorHAnsi" w:hAnsiTheme="minorHAnsi" w:cstheme="minorHAnsi"/>
        </w:rPr>
        <w:t xml:space="preserve">The cancer research enterprise needs a continuous flow of talent through the research career pipeline to thrive. One critical juncture is the transition from junior investigator to independent investigator. This is arguably the most </w:t>
      </w:r>
      <w:r w:rsidR="00937061">
        <w:rPr>
          <w:rFonts w:asciiTheme="minorHAnsi" w:hAnsiTheme="minorHAnsi" w:cstheme="minorHAnsi"/>
        </w:rPr>
        <w:t>challenging</w:t>
      </w:r>
      <w:r w:rsidRPr="00B0682D">
        <w:rPr>
          <w:rFonts w:asciiTheme="minorHAnsi" w:hAnsiTheme="minorHAnsi" w:cstheme="minorHAnsi"/>
        </w:rPr>
        <w:t xml:space="preserve"> step, made more by the lack of consistent and structured support. While challenging for all, the obstacles in this critical transition can be particularly exacerbating for junior investigators from underrepresented populations. </w:t>
      </w:r>
    </w:p>
    <w:p w:rsidRPr="00B0682D" w:rsidR="00B0682D" w:rsidP="00052C27" w:rsidRDefault="00B0682D" w14:paraId="39B0B908" w14:textId="77777777">
      <w:pPr>
        <w:spacing w:after="0"/>
        <w:rPr>
          <w:rFonts w:asciiTheme="minorHAnsi" w:hAnsiTheme="minorHAnsi" w:cstheme="minorHAnsi"/>
        </w:rPr>
      </w:pPr>
    </w:p>
    <w:p w:rsidRPr="00B0682D" w:rsidR="00B0682D" w:rsidP="00052C27" w:rsidRDefault="00B0682D" w14:paraId="4BB744F8" w14:textId="2D5D01E2">
      <w:pPr>
        <w:spacing w:after="0"/>
        <w:rPr>
          <w:rFonts w:asciiTheme="minorHAnsi" w:hAnsiTheme="minorHAnsi" w:cstheme="minorHAnsi"/>
        </w:rPr>
      </w:pPr>
      <w:r w:rsidRPr="00B0682D">
        <w:rPr>
          <w:rFonts w:asciiTheme="minorHAnsi" w:hAnsiTheme="minorHAnsi" w:cstheme="minorHAnsi"/>
        </w:rPr>
        <w:t xml:space="preserve">An essential element of a successful transition to </w:t>
      </w:r>
      <w:r w:rsidR="00937061">
        <w:rPr>
          <w:rFonts w:asciiTheme="minorHAnsi" w:hAnsiTheme="minorHAnsi" w:cstheme="minorHAnsi"/>
        </w:rPr>
        <w:t xml:space="preserve">an </w:t>
      </w:r>
      <w:r w:rsidRPr="00B0682D">
        <w:rPr>
          <w:rFonts w:asciiTheme="minorHAnsi" w:hAnsiTheme="minorHAnsi" w:cstheme="minorHAnsi"/>
        </w:rPr>
        <w:t>independent investigator is a competitive R01 or R01-equivalent grant application. Currently</w:t>
      </w:r>
      <w:r w:rsidR="00937061">
        <w:rPr>
          <w:rFonts w:asciiTheme="minorHAnsi" w:hAnsiTheme="minorHAnsi" w:cstheme="minorHAnsi"/>
        </w:rPr>
        <w:t>,</w:t>
      </w:r>
      <w:r w:rsidRPr="00B0682D">
        <w:rPr>
          <w:rFonts w:asciiTheme="minorHAnsi" w:hAnsiTheme="minorHAnsi" w:cstheme="minorHAnsi"/>
        </w:rPr>
        <w:t xml:space="preserve"> a significant underrepresentation of diverse populations exists in the ranks of R01-equivalent scientists (</w:t>
      </w:r>
      <w:proofErr w:type="spellStart"/>
      <w:r w:rsidR="003024E0">
        <w:fldChar w:fldCharType="begin"/>
      </w:r>
      <w:r w:rsidR="003024E0">
        <w:instrText xml:space="preserve"> HYPERLINK "https://pubmed.ncbi.nlm.nih.gov/28596331/" </w:instrText>
      </w:r>
      <w:r w:rsidR="003024E0">
        <w:fldChar w:fldCharType="separate"/>
      </w:r>
      <w:r w:rsidRPr="00B0682D">
        <w:rPr>
          <w:rStyle w:val="Hyperlink"/>
          <w:rFonts w:asciiTheme="minorHAnsi" w:hAnsiTheme="minorHAnsi" w:cstheme="minorHAnsi"/>
        </w:rPr>
        <w:t>Guers</w:t>
      </w:r>
      <w:proofErr w:type="spellEnd"/>
      <w:r w:rsidRPr="00B0682D">
        <w:rPr>
          <w:rStyle w:val="Hyperlink"/>
          <w:rFonts w:asciiTheme="minorHAnsi" w:hAnsiTheme="minorHAnsi" w:cstheme="minorHAnsi"/>
        </w:rPr>
        <w:t xml:space="preserve"> et al.</w:t>
      </w:r>
      <w:r w:rsidR="00937061">
        <w:rPr>
          <w:rStyle w:val="Hyperlink"/>
          <w:rFonts w:asciiTheme="minorHAnsi" w:hAnsiTheme="minorHAnsi" w:cstheme="minorHAnsi"/>
        </w:rPr>
        <w:t>,</w:t>
      </w:r>
      <w:r w:rsidRPr="00B0682D">
        <w:rPr>
          <w:rStyle w:val="Hyperlink"/>
          <w:rFonts w:asciiTheme="minorHAnsi" w:hAnsiTheme="minorHAnsi" w:cstheme="minorHAnsi"/>
        </w:rPr>
        <w:t xml:space="preserve"> 2017</w:t>
      </w:r>
      <w:r w:rsidR="003024E0">
        <w:rPr>
          <w:rStyle w:val="Hyperlink"/>
          <w:rFonts w:asciiTheme="minorHAnsi" w:hAnsiTheme="minorHAnsi" w:cstheme="minorHAnsi"/>
        </w:rPr>
        <w:fldChar w:fldCharType="end"/>
      </w:r>
      <w:r w:rsidRPr="00B0682D">
        <w:rPr>
          <w:rFonts w:asciiTheme="minorHAnsi" w:hAnsiTheme="minorHAnsi" w:cstheme="minorHAnsi"/>
        </w:rPr>
        <w:t xml:space="preserve">, </w:t>
      </w:r>
      <w:hyperlink w:history="1" r:id="rId9">
        <w:proofErr w:type="spellStart"/>
        <w:r w:rsidRPr="00B0682D">
          <w:rPr>
            <w:rStyle w:val="Hyperlink"/>
            <w:rFonts w:asciiTheme="minorHAnsi" w:hAnsiTheme="minorHAnsi" w:cstheme="minorHAnsi"/>
          </w:rPr>
          <w:t>Valantine</w:t>
        </w:r>
        <w:proofErr w:type="spellEnd"/>
        <w:r w:rsidR="00937061">
          <w:rPr>
            <w:rStyle w:val="Hyperlink"/>
            <w:rFonts w:asciiTheme="minorHAnsi" w:hAnsiTheme="minorHAnsi" w:cstheme="minorHAnsi"/>
          </w:rPr>
          <w:t>,</w:t>
        </w:r>
        <w:r w:rsidRPr="00B0682D">
          <w:rPr>
            <w:rStyle w:val="Hyperlink"/>
            <w:rFonts w:asciiTheme="minorHAnsi" w:hAnsiTheme="minorHAnsi" w:cstheme="minorHAnsi"/>
          </w:rPr>
          <w:t xml:space="preserve"> 2016</w:t>
        </w:r>
      </w:hyperlink>
      <w:r w:rsidRPr="00B0682D">
        <w:rPr>
          <w:rFonts w:asciiTheme="minorHAnsi" w:hAnsiTheme="minorHAnsi" w:cstheme="minorHAnsi"/>
        </w:rPr>
        <w:t xml:space="preserve">, </w:t>
      </w:r>
      <w:hyperlink w:history="1" r:id="rId10">
        <w:r w:rsidRPr="00B0682D">
          <w:rPr>
            <w:rStyle w:val="Hyperlink"/>
            <w:rFonts w:asciiTheme="minorHAnsi" w:hAnsiTheme="minorHAnsi" w:cstheme="minorHAnsi"/>
          </w:rPr>
          <w:t>Ginther</w:t>
        </w:r>
        <w:r w:rsidR="00937061">
          <w:rPr>
            <w:rStyle w:val="Hyperlink"/>
            <w:rFonts w:asciiTheme="minorHAnsi" w:hAnsiTheme="minorHAnsi" w:cstheme="minorHAnsi"/>
          </w:rPr>
          <w:t>,</w:t>
        </w:r>
        <w:r w:rsidRPr="00B0682D">
          <w:rPr>
            <w:rStyle w:val="Hyperlink"/>
            <w:rFonts w:asciiTheme="minorHAnsi" w:hAnsiTheme="minorHAnsi" w:cstheme="minorHAnsi"/>
          </w:rPr>
          <w:t xml:space="preserve"> 2011</w:t>
        </w:r>
      </w:hyperlink>
      <w:r w:rsidRPr="00B0682D">
        <w:rPr>
          <w:rFonts w:asciiTheme="minorHAnsi" w:hAnsiTheme="minorHAnsi" w:cstheme="minorHAnsi"/>
        </w:rPr>
        <w:t xml:space="preserve">). Increasing the number of underrepresented R01-equivalent scientists will require an increase in applicants, increase </w:t>
      </w:r>
      <w:r w:rsidR="00937061">
        <w:rPr>
          <w:rFonts w:asciiTheme="minorHAnsi" w:hAnsiTheme="minorHAnsi" w:cstheme="minorHAnsi"/>
        </w:rPr>
        <w:t xml:space="preserve">the resubmission rate and enhance the </w:t>
      </w:r>
      <w:r w:rsidRPr="00B0682D">
        <w:rPr>
          <w:rFonts w:asciiTheme="minorHAnsi" w:hAnsiTheme="minorHAnsi" w:cstheme="minorHAnsi"/>
        </w:rPr>
        <w:t>competitiveness of submitted applications. While some institutions offer training opportunities that help potential applicants in professional development and grantsmanship, many do not. This variability in training can be especially detrimental for under-resourced institutions that often support under-served populations.</w:t>
      </w:r>
    </w:p>
    <w:p w:rsidRPr="00B0682D" w:rsidR="00B0682D" w:rsidP="00052C27" w:rsidRDefault="00B0682D" w14:paraId="50DDA87F" w14:textId="77777777">
      <w:pPr>
        <w:spacing w:after="0"/>
        <w:rPr>
          <w:rFonts w:asciiTheme="minorHAnsi" w:hAnsiTheme="minorHAnsi" w:cstheme="minorHAnsi"/>
        </w:rPr>
      </w:pPr>
    </w:p>
    <w:p w:rsidRPr="00866851" w:rsidR="00931C28" w:rsidP="00052C27" w:rsidRDefault="00B0682D" w14:paraId="0C957EBC" w14:textId="56E2F863">
      <w:pPr>
        <w:spacing w:after="0"/>
        <w:rPr>
          <w:rFonts w:asciiTheme="minorHAnsi" w:hAnsiTheme="minorHAnsi" w:cstheme="minorHAnsi"/>
          <w:highlight w:val="yellow"/>
        </w:rPr>
      </w:pPr>
      <w:r w:rsidRPr="00B0682D">
        <w:rPr>
          <w:rFonts w:asciiTheme="minorHAnsi" w:hAnsiTheme="minorHAnsi" w:cstheme="minorHAnsi"/>
        </w:rPr>
        <w:t xml:space="preserve">Gaining grant preparation skills is not the only </w:t>
      </w:r>
      <w:r w:rsidR="00937061">
        <w:rPr>
          <w:rFonts w:asciiTheme="minorHAnsi" w:hAnsiTheme="minorHAnsi" w:cstheme="minorHAnsi"/>
        </w:rPr>
        <w:t>essential</w:t>
      </w:r>
      <w:r w:rsidRPr="00B0682D">
        <w:rPr>
          <w:rFonts w:asciiTheme="minorHAnsi" w:hAnsiTheme="minorHAnsi" w:cstheme="minorHAnsi"/>
        </w:rPr>
        <w:t xml:space="preserve"> ingredient to research independence. Effective mentoring is critical to career advancement, yet underrepresented faculty often experience a lack of access to mentors (</w:t>
      </w:r>
      <w:proofErr w:type="spellStart"/>
      <w:r w:rsidR="003024E0">
        <w:fldChar w:fldCharType="begin"/>
      </w:r>
      <w:r w:rsidR="003024E0">
        <w:instrText xml:space="preserve"> HYPERLINK "https://journals.sagepub.com/doi/full/10.3102/0002831214563063" </w:instrText>
      </w:r>
      <w:r w:rsidR="003024E0">
        <w:fldChar w:fldCharType="separate"/>
      </w:r>
      <w:r w:rsidRPr="00B0682D">
        <w:rPr>
          <w:rStyle w:val="Hyperlink"/>
          <w:rFonts w:asciiTheme="minorHAnsi" w:hAnsiTheme="minorHAnsi" w:cstheme="minorHAnsi"/>
        </w:rPr>
        <w:t>Zambrana</w:t>
      </w:r>
      <w:proofErr w:type="spellEnd"/>
      <w:r w:rsidRPr="00B0682D">
        <w:rPr>
          <w:rStyle w:val="Hyperlink"/>
          <w:rFonts w:asciiTheme="minorHAnsi" w:hAnsiTheme="minorHAnsi" w:cstheme="minorHAnsi"/>
        </w:rPr>
        <w:t xml:space="preserve"> et al.</w:t>
      </w:r>
      <w:r w:rsidR="00937061">
        <w:rPr>
          <w:rStyle w:val="Hyperlink"/>
          <w:rFonts w:asciiTheme="minorHAnsi" w:hAnsiTheme="minorHAnsi" w:cstheme="minorHAnsi"/>
        </w:rPr>
        <w:t>,</w:t>
      </w:r>
      <w:r w:rsidRPr="00B0682D">
        <w:rPr>
          <w:rStyle w:val="Hyperlink"/>
          <w:rFonts w:asciiTheme="minorHAnsi" w:hAnsiTheme="minorHAnsi" w:cstheme="minorHAnsi"/>
        </w:rPr>
        <w:t xml:space="preserve"> 2015</w:t>
      </w:r>
      <w:r w:rsidR="003024E0">
        <w:rPr>
          <w:rStyle w:val="Hyperlink"/>
          <w:rFonts w:asciiTheme="minorHAnsi" w:hAnsiTheme="minorHAnsi" w:cstheme="minorHAnsi"/>
        </w:rPr>
        <w:fldChar w:fldCharType="end"/>
      </w:r>
      <w:r w:rsidRPr="00B0682D">
        <w:rPr>
          <w:rFonts w:asciiTheme="minorHAnsi" w:hAnsiTheme="minorHAnsi" w:cstheme="minorHAnsi"/>
        </w:rPr>
        <w:t xml:space="preserve">, </w:t>
      </w:r>
      <w:hyperlink w:history="1" r:id="rId11">
        <w:r w:rsidRPr="00B0682D">
          <w:rPr>
            <w:rStyle w:val="Hyperlink"/>
            <w:rFonts w:asciiTheme="minorHAnsi" w:hAnsiTheme="minorHAnsi" w:cstheme="minorHAnsi"/>
          </w:rPr>
          <w:t>Beech et al.</w:t>
        </w:r>
        <w:r w:rsidR="00937061">
          <w:rPr>
            <w:rStyle w:val="Hyperlink"/>
            <w:rFonts w:asciiTheme="minorHAnsi" w:hAnsiTheme="minorHAnsi" w:cstheme="minorHAnsi"/>
          </w:rPr>
          <w:t>,</w:t>
        </w:r>
        <w:r w:rsidRPr="00B0682D">
          <w:rPr>
            <w:rStyle w:val="Hyperlink"/>
            <w:rFonts w:asciiTheme="minorHAnsi" w:hAnsiTheme="minorHAnsi" w:cstheme="minorHAnsi"/>
          </w:rPr>
          <w:t xml:space="preserve"> 2013</w:t>
        </w:r>
      </w:hyperlink>
      <w:r w:rsidRPr="00B0682D">
        <w:rPr>
          <w:rFonts w:asciiTheme="minorHAnsi" w:hAnsiTheme="minorHAnsi" w:cstheme="minorHAnsi"/>
        </w:rPr>
        <w:t>). In addition, feelings of belonging and social connectedness are vital to underrepresented scientists (</w:t>
      </w:r>
      <w:hyperlink w:history="1" r:id="rId12">
        <w:r w:rsidRPr="00B0682D">
          <w:rPr>
            <w:rStyle w:val="Hyperlink"/>
            <w:rFonts w:asciiTheme="minorHAnsi" w:hAnsiTheme="minorHAnsi" w:cstheme="minorHAnsi"/>
          </w:rPr>
          <w:t>Fisher et al.</w:t>
        </w:r>
        <w:r w:rsidR="00937061">
          <w:rPr>
            <w:rStyle w:val="Hyperlink"/>
            <w:rFonts w:asciiTheme="minorHAnsi" w:hAnsiTheme="minorHAnsi" w:cstheme="minorHAnsi"/>
          </w:rPr>
          <w:t>,</w:t>
        </w:r>
        <w:r w:rsidRPr="00B0682D">
          <w:rPr>
            <w:rStyle w:val="Hyperlink"/>
            <w:rFonts w:asciiTheme="minorHAnsi" w:hAnsiTheme="minorHAnsi" w:cstheme="minorHAnsi"/>
          </w:rPr>
          <w:t xml:space="preserve"> 2019</w:t>
        </w:r>
      </w:hyperlink>
      <w:r w:rsidRPr="00B0682D">
        <w:rPr>
          <w:rFonts w:asciiTheme="minorHAnsi" w:hAnsiTheme="minorHAnsi" w:cstheme="minorHAnsi"/>
        </w:rPr>
        <w:t xml:space="preserve">, </w:t>
      </w:r>
      <w:hyperlink w:history="1" r:id="rId13">
        <w:r w:rsidRPr="00B0682D">
          <w:rPr>
            <w:rStyle w:val="Hyperlink"/>
            <w:rFonts w:asciiTheme="minorHAnsi" w:hAnsiTheme="minorHAnsi" w:cstheme="minorHAnsi"/>
          </w:rPr>
          <w:t>Walton et al., 2007</w:t>
        </w:r>
      </w:hyperlink>
      <w:r w:rsidRPr="00B0682D">
        <w:rPr>
          <w:rFonts w:asciiTheme="minorHAnsi" w:hAnsiTheme="minorHAnsi" w:cstheme="minorHAnsi"/>
        </w:rPr>
        <w:t>). Promoting the transition of underrepresented junior investigators to independent investigators needs a program that can integrate these mission-critical components through deliberate planning.</w:t>
      </w:r>
    </w:p>
    <w:p w:rsidRPr="00866851" w:rsidR="00731FF1" w:rsidP="00225BB0" w:rsidRDefault="00731FF1" w14:paraId="680FD2D8" w14:textId="77777777">
      <w:pPr>
        <w:spacing w:after="0"/>
        <w:rPr>
          <w:rFonts w:asciiTheme="minorHAnsi" w:hAnsiTheme="minorHAnsi" w:cstheme="minorHAnsi"/>
          <w:highlight w:val="yellow"/>
        </w:rPr>
      </w:pPr>
    </w:p>
    <w:p w:rsidRPr="00866851" w:rsidR="00931C28" w:rsidP="00225BB0" w:rsidRDefault="00FB3AD6" w14:paraId="24F5F5DD" w14:textId="0E393E63">
      <w:pPr>
        <w:spacing w:after="0"/>
        <w:rPr>
          <w:rFonts w:asciiTheme="minorHAnsi" w:hAnsiTheme="minorHAnsi" w:cstheme="minorHAnsi"/>
        </w:rPr>
      </w:pPr>
      <w:r>
        <w:rPr>
          <w:rFonts w:asciiTheme="minorHAnsi" w:hAnsiTheme="minorHAnsi" w:cstheme="minorHAnsi"/>
        </w:rPr>
        <w:t>With the support of the NCI Equity Council</w:t>
      </w:r>
      <w:r w:rsidRPr="00866851" w:rsidR="00B0159F">
        <w:rPr>
          <w:rFonts w:asciiTheme="minorHAnsi" w:hAnsiTheme="minorHAnsi" w:cstheme="minorHAnsi"/>
        </w:rPr>
        <w:t xml:space="preserve">, </w:t>
      </w:r>
      <w:r w:rsidR="004F18C4">
        <w:rPr>
          <w:rFonts w:asciiTheme="minorHAnsi" w:hAnsiTheme="minorHAnsi" w:cstheme="minorHAnsi"/>
        </w:rPr>
        <w:t>the Center to Reduce Cancer Health Disparities (</w:t>
      </w:r>
      <w:r w:rsidRPr="00866851" w:rsidR="00B0159F">
        <w:rPr>
          <w:rFonts w:asciiTheme="minorHAnsi" w:hAnsiTheme="minorHAnsi" w:cstheme="minorHAnsi"/>
        </w:rPr>
        <w:t>CRCHD</w:t>
      </w:r>
      <w:r w:rsidR="004F18C4">
        <w:rPr>
          <w:rFonts w:asciiTheme="minorHAnsi" w:hAnsiTheme="minorHAnsi" w:cstheme="minorHAnsi"/>
        </w:rPr>
        <w:t>)</w:t>
      </w:r>
      <w:r w:rsidRPr="00866851" w:rsidR="00B0159F">
        <w:rPr>
          <w:rFonts w:asciiTheme="minorHAnsi" w:hAnsiTheme="minorHAnsi" w:cstheme="minorHAnsi"/>
        </w:rPr>
        <w:t xml:space="preserve"> </w:t>
      </w:r>
      <w:r w:rsidRPr="00866851" w:rsidR="00866851">
        <w:rPr>
          <w:rFonts w:asciiTheme="minorHAnsi" w:hAnsiTheme="minorHAnsi" w:cstheme="minorHAnsi"/>
        </w:rPr>
        <w:t>is launching</w:t>
      </w:r>
      <w:r w:rsidRPr="00866851" w:rsidR="00B0159F">
        <w:rPr>
          <w:rFonts w:asciiTheme="minorHAnsi" w:hAnsiTheme="minorHAnsi" w:cstheme="minorHAnsi"/>
        </w:rPr>
        <w:t xml:space="preserve"> the </w:t>
      </w:r>
      <w:r w:rsidRPr="00866851" w:rsidR="00866851">
        <w:rPr>
          <w:rFonts w:asciiTheme="minorHAnsi" w:hAnsiTheme="minorHAnsi" w:cstheme="minorHAnsi"/>
        </w:rPr>
        <w:t xml:space="preserve">EIAP </w:t>
      </w:r>
      <w:r w:rsidRPr="00866851" w:rsidR="00F625AC">
        <w:rPr>
          <w:rFonts w:asciiTheme="minorHAnsi" w:hAnsiTheme="minorHAnsi" w:cstheme="minorHAnsi"/>
        </w:rPr>
        <w:t>to</w:t>
      </w:r>
      <w:r w:rsidR="00076094">
        <w:rPr>
          <w:rFonts w:asciiTheme="minorHAnsi" w:hAnsiTheme="minorHAnsi" w:cstheme="minorHAnsi"/>
        </w:rPr>
        <w:t xml:space="preserve"> facilitate </w:t>
      </w:r>
      <w:r w:rsidR="00937061">
        <w:rPr>
          <w:rFonts w:asciiTheme="minorHAnsi" w:hAnsiTheme="minorHAnsi" w:cstheme="minorHAnsi"/>
        </w:rPr>
        <w:t xml:space="preserve">the </w:t>
      </w:r>
      <w:r w:rsidR="00076094">
        <w:rPr>
          <w:rFonts w:asciiTheme="minorHAnsi" w:hAnsiTheme="minorHAnsi" w:cstheme="minorHAnsi"/>
        </w:rPr>
        <w:t>advancement of scientists</w:t>
      </w:r>
      <w:r>
        <w:rPr>
          <w:rFonts w:asciiTheme="minorHAnsi" w:hAnsiTheme="minorHAnsi" w:cstheme="minorHAnsi"/>
        </w:rPr>
        <w:t xml:space="preserve"> from diverse backgrounds</w:t>
      </w:r>
      <w:r w:rsidR="00076094">
        <w:rPr>
          <w:rFonts w:asciiTheme="minorHAnsi" w:hAnsiTheme="minorHAnsi" w:cstheme="minorHAnsi"/>
        </w:rPr>
        <w:t xml:space="preserve"> to independent investigators through</w:t>
      </w:r>
      <w:r w:rsidRPr="00866851" w:rsidR="00931C28">
        <w:rPr>
          <w:rFonts w:asciiTheme="minorHAnsi" w:hAnsiTheme="minorHAnsi" w:cstheme="minorHAnsi"/>
        </w:rPr>
        <w:t>:</w:t>
      </w:r>
    </w:p>
    <w:p w:rsidRPr="00497EA8" w:rsidR="00497EA8" w:rsidP="00497EA8" w:rsidRDefault="00497EA8" w14:paraId="2C16BD09" w14:textId="38CC1278">
      <w:pPr>
        <w:pStyle w:val="ListParagraph"/>
        <w:numPr>
          <w:ilvl w:val="0"/>
          <w:numId w:val="16"/>
        </w:numPr>
        <w:spacing w:after="0"/>
        <w:rPr>
          <w:rFonts w:asciiTheme="minorHAnsi" w:hAnsiTheme="minorHAnsi" w:cstheme="minorHAnsi"/>
        </w:rPr>
      </w:pPr>
      <w:r w:rsidRPr="00497EA8">
        <w:rPr>
          <w:rFonts w:asciiTheme="minorHAnsi" w:hAnsiTheme="minorHAnsi" w:cstheme="minorHAnsi"/>
        </w:rPr>
        <w:t>Educat</w:t>
      </w:r>
      <w:r w:rsidR="00076094">
        <w:rPr>
          <w:rFonts w:asciiTheme="minorHAnsi" w:hAnsiTheme="minorHAnsi" w:cstheme="minorHAnsi"/>
        </w:rPr>
        <w:t>ing</w:t>
      </w:r>
      <w:r w:rsidRPr="00497EA8">
        <w:rPr>
          <w:rFonts w:asciiTheme="minorHAnsi" w:hAnsiTheme="minorHAnsi" w:cstheme="minorHAnsi"/>
        </w:rPr>
        <w:t xml:space="preserve"> EIAP participants via monthly webinars</w:t>
      </w:r>
    </w:p>
    <w:p w:rsidRPr="00497EA8" w:rsidR="00497EA8" w:rsidP="00497EA8" w:rsidRDefault="00497EA8" w14:paraId="2FCA3DB8" w14:textId="20D1286A">
      <w:pPr>
        <w:pStyle w:val="ListParagraph"/>
        <w:numPr>
          <w:ilvl w:val="0"/>
          <w:numId w:val="16"/>
        </w:numPr>
        <w:spacing w:after="0"/>
        <w:rPr>
          <w:rFonts w:asciiTheme="minorHAnsi" w:hAnsiTheme="minorHAnsi" w:cstheme="minorHAnsi"/>
        </w:rPr>
      </w:pPr>
      <w:r w:rsidRPr="00497EA8">
        <w:rPr>
          <w:rFonts w:asciiTheme="minorHAnsi" w:hAnsiTheme="minorHAnsi" w:cstheme="minorHAnsi"/>
        </w:rPr>
        <w:t>Assist</w:t>
      </w:r>
      <w:r w:rsidR="00076094">
        <w:rPr>
          <w:rFonts w:asciiTheme="minorHAnsi" w:hAnsiTheme="minorHAnsi" w:cstheme="minorHAnsi"/>
        </w:rPr>
        <w:t>ing</w:t>
      </w:r>
      <w:r w:rsidRPr="00497EA8">
        <w:rPr>
          <w:rFonts w:asciiTheme="minorHAnsi" w:hAnsiTheme="minorHAnsi" w:cstheme="minorHAnsi"/>
        </w:rPr>
        <w:t xml:space="preserve"> EIAP participants </w:t>
      </w:r>
      <w:r w:rsidR="00937061">
        <w:rPr>
          <w:rFonts w:asciiTheme="minorHAnsi" w:hAnsiTheme="minorHAnsi" w:cstheme="minorHAnsi"/>
        </w:rPr>
        <w:t>in building</w:t>
      </w:r>
      <w:r w:rsidR="00FB3AD6">
        <w:rPr>
          <w:rFonts w:asciiTheme="minorHAnsi" w:hAnsiTheme="minorHAnsi" w:cstheme="minorHAnsi"/>
        </w:rPr>
        <w:t xml:space="preserve"> grant writing skills and </w:t>
      </w:r>
      <w:r w:rsidR="00937061">
        <w:rPr>
          <w:rFonts w:asciiTheme="minorHAnsi" w:hAnsiTheme="minorHAnsi" w:cstheme="minorHAnsi"/>
        </w:rPr>
        <w:t>producing</w:t>
      </w:r>
      <w:r w:rsidR="00FB3AD6">
        <w:rPr>
          <w:rFonts w:asciiTheme="minorHAnsi" w:hAnsiTheme="minorHAnsi" w:cstheme="minorHAnsi"/>
        </w:rPr>
        <w:t xml:space="preserve"> a grant application</w:t>
      </w:r>
    </w:p>
    <w:p w:rsidRPr="00497EA8" w:rsidR="00497EA8" w:rsidP="00497EA8" w:rsidRDefault="00497EA8" w14:paraId="4CA6CA20" w14:textId="44374FFA">
      <w:pPr>
        <w:pStyle w:val="ListParagraph"/>
        <w:numPr>
          <w:ilvl w:val="0"/>
          <w:numId w:val="16"/>
        </w:numPr>
        <w:spacing w:after="0"/>
        <w:rPr>
          <w:rFonts w:asciiTheme="minorHAnsi" w:hAnsiTheme="minorHAnsi" w:cstheme="minorHAnsi"/>
        </w:rPr>
      </w:pPr>
      <w:r w:rsidRPr="00497EA8">
        <w:rPr>
          <w:rFonts w:asciiTheme="minorHAnsi" w:hAnsiTheme="minorHAnsi" w:cstheme="minorHAnsi"/>
        </w:rPr>
        <w:t>Provid</w:t>
      </w:r>
      <w:r w:rsidR="00076094">
        <w:rPr>
          <w:rFonts w:asciiTheme="minorHAnsi" w:hAnsiTheme="minorHAnsi" w:cstheme="minorHAnsi"/>
        </w:rPr>
        <w:t>ing</w:t>
      </w:r>
      <w:r w:rsidRPr="00497EA8">
        <w:rPr>
          <w:rFonts w:asciiTheme="minorHAnsi" w:hAnsiTheme="minorHAnsi" w:cstheme="minorHAnsi"/>
        </w:rPr>
        <w:t xml:space="preserve"> mentors and a professional network to EIAP participants</w:t>
      </w:r>
    </w:p>
    <w:p w:rsidRPr="00497EA8" w:rsidR="00931C28" w:rsidP="00497EA8" w:rsidRDefault="00076094" w14:paraId="6644576A" w14:textId="55913F8F">
      <w:pPr>
        <w:pStyle w:val="ListParagraph"/>
        <w:numPr>
          <w:ilvl w:val="0"/>
          <w:numId w:val="16"/>
        </w:numPr>
        <w:spacing w:after="0"/>
        <w:rPr>
          <w:rFonts w:asciiTheme="minorHAnsi" w:hAnsiTheme="minorHAnsi" w:cstheme="minorHAnsi"/>
        </w:rPr>
      </w:pPr>
      <w:r w:rsidRPr="00497EA8">
        <w:rPr>
          <w:rFonts w:asciiTheme="minorHAnsi" w:hAnsiTheme="minorHAnsi" w:cstheme="minorHAnsi"/>
        </w:rPr>
        <w:t>Provid</w:t>
      </w:r>
      <w:r>
        <w:rPr>
          <w:rFonts w:asciiTheme="minorHAnsi" w:hAnsiTheme="minorHAnsi" w:cstheme="minorHAnsi"/>
        </w:rPr>
        <w:t>ing</w:t>
      </w:r>
      <w:r w:rsidRPr="00497EA8">
        <w:rPr>
          <w:rFonts w:asciiTheme="minorHAnsi" w:hAnsiTheme="minorHAnsi" w:cstheme="minorHAnsi"/>
        </w:rPr>
        <w:t xml:space="preserve"> </w:t>
      </w:r>
      <w:r w:rsidRPr="00497EA8" w:rsidR="00497EA8">
        <w:rPr>
          <w:rFonts w:asciiTheme="minorHAnsi" w:hAnsiTheme="minorHAnsi" w:cstheme="minorHAnsi"/>
        </w:rPr>
        <w:t>EIAP participants with a virtual hub with helpful information.</w:t>
      </w:r>
      <w:r w:rsidRPr="00497EA8" w:rsidR="00B0159F">
        <w:rPr>
          <w:rFonts w:asciiTheme="minorHAnsi" w:hAnsiTheme="minorHAnsi" w:cstheme="minorHAnsi"/>
        </w:rPr>
        <w:t xml:space="preserve"> </w:t>
      </w:r>
    </w:p>
    <w:p w:rsidRPr="00866851" w:rsidR="00B0159F" w:rsidP="00225BB0" w:rsidRDefault="00B0159F" w14:paraId="1B559DD7" w14:textId="77777777">
      <w:pPr>
        <w:spacing w:after="0"/>
        <w:rPr>
          <w:rFonts w:asciiTheme="minorHAnsi" w:hAnsiTheme="minorHAnsi" w:cstheme="minorHAnsi"/>
          <w:highlight w:val="yellow"/>
        </w:rPr>
      </w:pPr>
    </w:p>
    <w:p w:rsidRPr="00497EA8" w:rsidR="00B0159F" w:rsidP="00225BB0" w:rsidRDefault="00497EA8" w14:paraId="2728CBB7" w14:textId="6A3DB762">
      <w:pPr>
        <w:spacing w:after="0"/>
        <w:rPr>
          <w:rFonts w:asciiTheme="minorHAnsi" w:hAnsiTheme="minorHAnsi" w:cstheme="minorHAnsi"/>
        </w:rPr>
      </w:pPr>
      <w:r w:rsidRPr="00497EA8">
        <w:rPr>
          <w:rFonts w:asciiTheme="minorHAnsi" w:hAnsiTheme="minorHAnsi" w:cstheme="minorHAnsi"/>
        </w:rPr>
        <w:t xml:space="preserve">The EIAP will establish one cohort of </w:t>
      </w:r>
      <w:r w:rsidR="003024E0">
        <w:rPr>
          <w:rFonts w:asciiTheme="minorHAnsi" w:hAnsiTheme="minorHAnsi" w:cstheme="minorHAnsi"/>
        </w:rPr>
        <w:t>7</w:t>
      </w:r>
      <w:r w:rsidRPr="00497EA8">
        <w:rPr>
          <w:rFonts w:asciiTheme="minorHAnsi" w:hAnsiTheme="minorHAnsi" w:cstheme="minorHAnsi"/>
        </w:rPr>
        <w:t>0 participants each year. Outcomes for a successful participant will include:</w:t>
      </w:r>
    </w:p>
    <w:p w:rsidRPr="00497EA8" w:rsidR="00497EA8" w:rsidP="00497EA8" w:rsidRDefault="00497EA8" w14:paraId="03140428" w14:textId="0214EADB">
      <w:pPr>
        <w:pStyle w:val="ListParagraph"/>
        <w:numPr>
          <w:ilvl w:val="0"/>
          <w:numId w:val="17"/>
        </w:numPr>
        <w:spacing w:after="0"/>
        <w:rPr>
          <w:rFonts w:asciiTheme="minorHAnsi" w:hAnsiTheme="minorHAnsi" w:cstheme="minorHAnsi"/>
        </w:rPr>
      </w:pPr>
      <w:r w:rsidRPr="00497EA8">
        <w:rPr>
          <w:rFonts w:asciiTheme="minorHAnsi" w:hAnsiTheme="minorHAnsi" w:cstheme="minorHAnsi"/>
        </w:rPr>
        <w:t>Comple</w:t>
      </w:r>
      <w:r w:rsidR="00076094">
        <w:rPr>
          <w:rFonts w:asciiTheme="minorHAnsi" w:hAnsiTheme="minorHAnsi" w:cstheme="minorHAnsi"/>
        </w:rPr>
        <w:t>ting a</w:t>
      </w:r>
      <w:r w:rsidRPr="00497EA8">
        <w:rPr>
          <w:rFonts w:asciiTheme="minorHAnsi" w:hAnsiTheme="minorHAnsi" w:cstheme="minorHAnsi"/>
        </w:rPr>
        <w:t>n R01 grant proposal</w:t>
      </w:r>
    </w:p>
    <w:p w:rsidRPr="00497EA8" w:rsidR="00497EA8" w:rsidP="00497EA8" w:rsidRDefault="00076094" w14:paraId="4E566D04" w14:textId="5DAF7B2E">
      <w:pPr>
        <w:pStyle w:val="ListParagraph"/>
        <w:numPr>
          <w:ilvl w:val="0"/>
          <w:numId w:val="17"/>
        </w:numPr>
        <w:spacing w:after="0"/>
        <w:rPr>
          <w:rFonts w:asciiTheme="minorHAnsi" w:hAnsiTheme="minorHAnsi" w:cstheme="minorHAnsi"/>
        </w:rPr>
      </w:pPr>
      <w:r>
        <w:rPr>
          <w:rFonts w:asciiTheme="minorHAnsi" w:hAnsiTheme="minorHAnsi" w:cstheme="minorHAnsi"/>
        </w:rPr>
        <w:lastRenderedPageBreak/>
        <w:t>Becoming</w:t>
      </w:r>
      <w:r w:rsidRPr="00497EA8" w:rsidR="00497EA8">
        <w:rPr>
          <w:rFonts w:asciiTheme="minorHAnsi" w:hAnsiTheme="minorHAnsi" w:cstheme="minorHAnsi"/>
        </w:rPr>
        <w:t xml:space="preserve"> part of a group of peers with similar career goals</w:t>
      </w:r>
    </w:p>
    <w:p w:rsidRPr="00497EA8" w:rsidR="00497EA8" w:rsidP="00497EA8" w:rsidRDefault="00497EA8" w14:paraId="34668EF1" w14:textId="13083B0F">
      <w:pPr>
        <w:pStyle w:val="ListParagraph"/>
        <w:numPr>
          <w:ilvl w:val="0"/>
          <w:numId w:val="17"/>
        </w:numPr>
        <w:spacing w:after="0"/>
        <w:rPr>
          <w:rFonts w:asciiTheme="minorHAnsi" w:hAnsiTheme="minorHAnsi" w:cstheme="minorHAnsi"/>
        </w:rPr>
      </w:pPr>
      <w:r w:rsidRPr="00497EA8">
        <w:rPr>
          <w:rFonts w:asciiTheme="minorHAnsi" w:hAnsiTheme="minorHAnsi" w:cstheme="minorHAnsi"/>
        </w:rPr>
        <w:t>Engag</w:t>
      </w:r>
      <w:r w:rsidR="00076094">
        <w:rPr>
          <w:rFonts w:asciiTheme="minorHAnsi" w:hAnsiTheme="minorHAnsi" w:cstheme="minorHAnsi"/>
        </w:rPr>
        <w:t>ing</w:t>
      </w:r>
      <w:r w:rsidRPr="00497EA8">
        <w:rPr>
          <w:rFonts w:asciiTheme="minorHAnsi" w:hAnsiTheme="minorHAnsi" w:cstheme="minorHAnsi"/>
        </w:rPr>
        <w:t xml:space="preserve"> with mentors who are established</w:t>
      </w:r>
      <w:r w:rsidR="00937061">
        <w:rPr>
          <w:rFonts w:asciiTheme="minorHAnsi" w:hAnsiTheme="minorHAnsi" w:cstheme="minorHAnsi"/>
        </w:rPr>
        <w:t>,</w:t>
      </w:r>
      <w:r w:rsidRPr="00497EA8">
        <w:rPr>
          <w:rFonts w:asciiTheme="minorHAnsi" w:hAnsiTheme="minorHAnsi" w:cstheme="minorHAnsi"/>
        </w:rPr>
        <w:t xml:space="preserve"> investigators</w:t>
      </w:r>
    </w:p>
    <w:p w:rsidRPr="00497EA8" w:rsidR="00497EA8" w:rsidP="00497EA8" w:rsidRDefault="00076094" w14:paraId="36917456" w14:textId="16452897">
      <w:pPr>
        <w:pStyle w:val="ListParagraph"/>
        <w:numPr>
          <w:ilvl w:val="0"/>
          <w:numId w:val="17"/>
        </w:numPr>
        <w:spacing w:after="0"/>
        <w:rPr>
          <w:rFonts w:asciiTheme="minorHAnsi" w:hAnsiTheme="minorHAnsi" w:cstheme="minorHAnsi"/>
        </w:rPr>
      </w:pPr>
      <w:r>
        <w:rPr>
          <w:rFonts w:asciiTheme="minorHAnsi" w:hAnsiTheme="minorHAnsi" w:cstheme="minorHAnsi"/>
        </w:rPr>
        <w:t>Becoming</w:t>
      </w:r>
      <w:r w:rsidRPr="00497EA8">
        <w:rPr>
          <w:rFonts w:asciiTheme="minorHAnsi" w:hAnsiTheme="minorHAnsi" w:cstheme="minorHAnsi"/>
        </w:rPr>
        <w:t xml:space="preserve"> </w:t>
      </w:r>
      <w:r w:rsidRPr="00497EA8" w:rsidR="00497EA8">
        <w:rPr>
          <w:rFonts w:asciiTheme="minorHAnsi" w:hAnsiTheme="minorHAnsi" w:cstheme="minorHAnsi"/>
        </w:rPr>
        <w:t>familiar with job and funding opportunities</w:t>
      </w:r>
    </w:p>
    <w:p w:rsidRPr="00497EA8" w:rsidR="00497EA8" w:rsidP="00497EA8" w:rsidRDefault="00497EA8" w14:paraId="7E9F611C" w14:textId="7632DF07">
      <w:pPr>
        <w:pStyle w:val="ListParagraph"/>
        <w:numPr>
          <w:ilvl w:val="0"/>
          <w:numId w:val="17"/>
        </w:numPr>
        <w:spacing w:after="0"/>
        <w:rPr>
          <w:rFonts w:asciiTheme="minorHAnsi" w:hAnsiTheme="minorHAnsi" w:cstheme="minorHAnsi"/>
        </w:rPr>
      </w:pPr>
      <w:r w:rsidRPr="00497EA8">
        <w:rPr>
          <w:rFonts w:asciiTheme="minorHAnsi" w:hAnsiTheme="minorHAnsi" w:cstheme="minorHAnsi"/>
        </w:rPr>
        <w:t>Develop</w:t>
      </w:r>
      <w:r w:rsidR="00076094">
        <w:rPr>
          <w:rFonts w:asciiTheme="minorHAnsi" w:hAnsiTheme="minorHAnsi" w:cstheme="minorHAnsi"/>
        </w:rPr>
        <w:t>ing</w:t>
      </w:r>
      <w:r w:rsidRPr="00497EA8">
        <w:rPr>
          <w:rFonts w:asciiTheme="minorHAnsi" w:hAnsiTheme="minorHAnsi" w:cstheme="minorHAnsi"/>
        </w:rPr>
        <w:t xml:space="preserve"> professional and management skills critical to growing a research group.</w:t>
      </w:r>
    </w:p>
    <w:p w:rsidRPr="00866851" w:rsidR="00F625AC" w:rsidP="00225BB0" w:rsidRDefault="00F625AC" w14:paraId="5A4B1AED" w14:textId="16CDA2E8">
      <w:pPr>
        <w:spacing w:after="0"/>
        <w:rPr>
          <w:rFonts w:asciiTheme="minorHAnsi" w:hAnsiTheme="minorHAnsi" w:cstheme="minorHAnsi"/>
          <w:highlight w:val="yellow"/>
        </w:rPr>
      </w:pPr>
    </w:p>
    <w:p w:rsidRPr="00225BB0" w:rsidR="00E7722F" w:rsidP="00225BB0" w:rsidRDefault="00F625AC" w14:paraId="27B413BF" w14:textId="0A2A2F01">
      <w:pPr>
        <w:spacing w:after="0"/>
        <w:rPr>
          <w:rFonts w:asciiTheme="minorHAnsi" w:hAnsiTheme="minorHAnsi" w:cstheme="minorHAnsi"/>
        </w:rPr>
      </w:pPr>
      <w:r w:rsidRPr="00497EA8">
        <w:rPr>
          <w:rFonts w:asciiTheme="minorHAnsi" w:hAnsiTheme="minorHAnsi" w:cstheme="minorHAnsi"/>
        </w:rPr>
        <w:t xml:space="preserve">A successful </w:t>
      </w:r>
      <w:r w:rsidR="00497EA8">
        <w:rPr>
          <w:rFonts w:asciiTheme="minorHAnsi" w:hAnsiTheme="minorHAnsi" w:cstheme="minorHAnsi"/>
        </w:rPr>
        <w:t>EIAP candidate</w:t>
      </w:r>
      <w:r w:rsidRPr="00497EA8">
        <w:rPr>
          <w:rFonts w:asciiTheme="minorHAnsi" w:hAnsiTheme="minorHAnsi" w:cstheme="minorHAnsi"/>
        </w:rPr>
        <w:t xml:space="preserve"> </w:t>
      </w:r>
      <w:r w:rsidR="00497EA8">
        <w:rPr>
          <w:rFonts w:asciiTheme="minorHAnsi" w:hAnsiTheme="minorHAnsi" w:cstheme="minorHAnsi"/>
        </w:rPr>
        <w:t>holds an investigator-level position, is capable of obtaining an R01</w:t>
      </w:r>
      <w:r w:rsidR="00AF1188">
        <w:rPr>
          <w:rFonts w:asciiTheme="minorHAnsi" w:hAnsiTheme="minorHAnsi" w:cstheme="minorHAnsi"/>
        </w:rPr>
        <w:t>,</w:t>
      </w:r>
      <w:r w:rsidR="00497EA8">
        <w:rPr>
          <w:rFonts w:asciiTheme="minorHAnsi" w:hAnsiTheme="minorHAnsi" w:cstheme="minorHAnsi"/>
        </w:rPr>
        <w:t xml:space="preserve"> and can submit an R01 </w:t>
      </w:r>
      <w:r w:rsidR="00FB3AD6">
        <w:rPr>
          <w:rFonts w:asciiTheme="minorHAnsi" w:hAnsiTheme="minorHAnsi" w:cstheme="minorHAnsi"/>
        </w:rPr>
        <w:t>upon completion of the program</w:t>
      </w:r>
      <w:r w:rsidR="00497EA8">
        <w:rPr>
          <w:rFonts w:asciiTheme="minorHAnsi" w:hAnsiTheme="minorHAnsi" w:cstheme="minorHAnsi"/>
        </w:rPr>
        <w:t xml:space="preserve">. In addition, EIAP candidates should not have previously received an </w:t>
      </w:r>
      <w:r w:rsidR="00AF1188">
        <w:rPr>
          <w:rFonts w:asciiTheme="minorHAnsi" w:hAnsiTheme="minorHAnsi" w:cstheme="minorHAnsi"/>
        </w:rPr>
        <w:t xml:space="preserve">NIH </w:t>
      </w:r>
      <w:r w:rsidR="00497EA8">
        <w:rPr>
          <w:rFonts w:asciiTheme="minorHAnsi" w:hAnsiTheme="minorHAnsi" w:cstheme="minorHAnsi"/>
        </w:rPr>
        <w:t xml:space="preserve">R01 </w:t>
      </w:r>
      <w:r w:rsidR="00731FF1">
        <w:rPr>
          <w:rFonts w:asciiTheme="minorHAnsi" w:hAnsiTheme="minorHAnsi" w:cstheme="minorHAnsi"/>
        </w:rPr>
        <w:t>or equivalent grant</w:t>
      </w:r>
      <w:r w:rsidRPr="00497EA8" w:rsidR="00BB0B26">
        <w:rPr>
          <w:rFonts w:asciiTheme="minorHAnsi" w:hAnsiTheme="minorHAnsi" w:cstheme="minorHAnsi"/>
        </w:rPr>
        <w:t xml:space="preserve">. This collection of information is critical in assessing </w:t>
      </w:r>
      <w:r w:rsidR="00937061">
        <w:rPr>
          <w:rFonts w:asciiTheme="minorHAnsi" w:hAnsiTheme="minorHAnsi" w:cstheme="minorHAnsi"/>
        </w:rPr>
        <w:t xml:space="preserve">the </w:t>
      </w:r>
      <w:r w:rsidR="00FB3AD6">
        <w:rPr>
          <w:rFonts w:asciiTheme="minorHAnsi" w:hAnsiTheme="minorHAnsi" w:cstheme="minorHAnsi"/>
        </w:rPr>
        <w:t xml:space="preserve">eligibility and </w:t>
      </w:r>
      <w:r w:rsidRPr="00497EA8" w:rsidR="00BB0B26">
        <w:rPr>
          <w:rFonts w:asciiTheme="minorHAnsi" w:hAnsiTheme="minorHAnsi" w:cstheme="minorHAnsi"/>
        </w:rPr>
        <w:t xml:space="preserve">qualifications of applicants and helping in the recruitment and selection process of </w:t>
      </w:r>
      <w:r w:rsidRPr="00497EA8" w:rsidR="00497EA8">
        <w:rPr>
          <w:rFonts w:asciiTheme="minorHAnsi" w:hAnsiTheme="minorHAnsi" w:cstheme="minorHAnsi"/>
        </w:rPr>
        <w:t>EIAP participants</w:t>
      </w:r>
      <w:r w:rsidRPr="00497EA8" w:rsidR="00BB0B26">
        <w:rPr>
          <w:rFonts w:asciiTheme="minorHAnsi" w:hAnsiTheme="minorHAnsi" w:cstheme="minorHAnsi"/>
        </w:rPr>
        <w:t>.</w:t>
      </w:r>
      <w:r w:rsidRPr="00225BB0" w:rsidR="00BB0B26">
        <w:rPr>
          <w:rFonts w:asciiTheme="minorHAnsi" w:hAnsiTheme="minorHAnsi" w:cstheme="minorHAnsi"/>
        </w:rPr>
        <w:t xml:space="preserve"> </w:t>
      </w:r>
    </w:p>
    <w:p w:rsidRPr="00225BB0" w:rsidR="00BB0B26" w:rsidP="00225BB0" w:rsidRDefault="00BB0B26" w14:paraId="63BB8402" w14:textId="77777777">
      <w:pPr>
        <w:spacing w:after="0"/>
        <w:rPr>
          <w:rFonts w:asciiTheme="minorHAnsi" w:hAnsiTheme="minorHAnsi" w:cstheme="minorHAnsi"/>
        </w:rPr>
      </w:pPr>
    </w:p>
    <w:p w:rsidR="00BB0B26" w:rsidP="003056AF" w:rsidRDefault="000F3043" w14:paraId="2C144620" w14:textId="24931F78">
      <w:pPr>
        <w:pStyle w:val="Heading1"/>
      </w:pPr>
      <w:bookmarkStart w:name="_Toc443881743" w:id="0"/>
      <w:bookmarkStart w:name="_Toc451592232" w:id="1"/>
      <w:bookmarkStart w:name="_Toc5610273" w:id="2"/>
      <w:bookmarkStart w:name="_Toc99178779" w:id="3"/>
      <w:r w:rsidRPr="00225BB0">
        <w:t>A.2</w:t>
      </w:r>
      <w:r w:rsidR="00AF1188">
        <w:tab/>
      </w:r>
      <w:r w:rsidRPr="00225BB0">
        <w:t>Purpose and Use of the Information</w:t>
      </w:r>
      <w:bookmarkEnd w:id="0"/>
      <w:bookmarkEnd w:id="1"/>
      <w:bookmarkEnd w:id="2"/>
      <w:bookmarkEnd w:id="3"/>
      <w:r w:rsidRPr="00225BB0">
        <w:t xml:space="preserve"> Collection</w:t>
      </w:r>
    </w:p>
    <w:p w:rsidRPr="00AB05A1" w:rsidR="00AB05A1" w:rsidP="00AB05A1" w:rsidRDefault="00AB05A1" w14:paraId="3B2AFB10" w14:textId="77777777"/>
    <w:p w:rsidRPr="00225BB0" w:rsidR="007A447F" w:rsidP="00225BB0" w:rsidRDefault="008C4FD5" w14:paraId="041D07B9" w14:textId="77777777">
      <w:pPr>
        <w:autoSpaceDE w:val="0"/>
        <w:autoSpaceDN w:val="0"/>
        <w:adjustRightInd w:val="0"/>
        <w:spacing w:after="0"/>
        <w:rPr>
          <w:rFonts w:asciiTheme="minorHAnsi" w:hAnsiTheme="minorHAnsi" w:cstheme="minorHAnsi"/>
        </w:rPr>
      </w:pPr>
      <w:r w:rsidRPr="00225BB0">
        <w:rPr>
          <w:rFonts w:asciiTheme="minorHAnsi" w:hAnsiTheme="minorHAnsi" w:cstheme="minorHAnsi"/>
        </w:rPr>
        <w:t>The purpose of the proposed information collection activity is to</w:t>
      </w:r>
      <w:r w:rsidRPr="00225BB0" w:rsidR="007A447F">
        <w:rPr>
          <w:rFonts w:asciiTheme="minorHAnsi" w:hAnsiTheme="minorHAnsi" w:cstheme="minorHAnsi"/>
        </w:rPr>
        <w:t>:</w:t>
      </w:r>
    </w:p>
    <w:p w:rsidRPr="00225BB0" w:rsidR="007A447F" w:rsidP="00225BB0" w:rsidRDefault="007A447F" w14:paraId="3DD28079" w14:textId="38FDB14E">
      <w:pPr>
        <w:pStyle w:val="ListParagraph"/>
        <w:numPr>
          <w:ilvl w:val="0"/>
          <w:numId w:val="12"/>
        </w:numPr>
        <w:autoSpaceDE w:val="0"/>
        <w:autoSpaceDN w:val="0"/>
        <w:adjustRightInd w:val="0"/>
        <w:spacing w:after="0"/>
        <w:rPr>
          <w:rFonts w:asciiTheme="minorHAnsi" w:hAnsiTheme="minorHAnsi" w:cstheme="minorHAnsi"/>
        </w:rPr>
      </w:pPr>
      <w:r w:rsidRPr="00225BB0">
        <w:rPr>
          <w:rFonts w:asciiTheme="minorHAnsi" w:hAnsiTheme="minorHAnsi" w:cstheme="minorHAnsi"/>
        </w:rPr>
        <w:t>A</w:t>
      </w:r>
      <w:r w:rsidRPr="00225BB0" w:rsidR="008C4FD5">
        <w:rPr>
          <w:rFonts w:asciiTheme="minorHAnsi" w:hAnsiTheme="minorHAnsi" w:cstheme="minorHAnsi"/>
        </w:rPr>
        <w:t xml:space="preserve">ssure that prospective </w:t>
      </w:r>
      <w:r w:rsidR="00866851">
        <w:rPr>
          <w:rFonts w:asciiTheme="minorHAnsi" w:hAnsiTheme="minorHAnsi" w:cstheme="minorHAnsi"/>
        </w:rPr>
        <w:t>applicants to the EIAP</w:t>
      </w:r>
      <w:r w:rsidRPr="00225BB0" w:rsidR="008C4FD5">
        <w:rPr>
          <w:rFonts w:asciiTheme="minorHAnsi" w:hAnsiTheme="minorHAnsi" w:cstheme="minorHAnsi"/>
        </w:rPr>
        <w:t xml:space="preserve"> meet basic eligibility </w:t>
      </w:r>
      <w:r w:rsidRPr="00225BB0" w:rsidR="00225BB0">
        <w:rPr>
          <w:rFonts w:asciiTheme="minorHAnsi" w:hAnsiTheme="minorHAnsi" w:cstheme="minorHAnsi"/>
        </w:rPr>
        <w:t>requirements.</w:t>
      </w:r>
      <w:r w:rsidRPr="00225BB0" w:rsidR="008C4FD5">
        <w:rPr>
          <w:rFonts w:asciiTheme="minorHAnsi" w:hAnsiTheme="minorHAnsi" w:cstheme="minorHAnsi"/>
        </w:rPr>
        <w:t xml:space="preserve"> </w:t>
      </w:r>
    </w:p>
    <w:p w:rsidRPr="00225BB0" w:rsidR="007A447F" w:rsidP="00225BB0" w:rsidRDefault="007A447F" w14:paraId="5CE4E5F6" w14:textId="6BEE92D2">
      <w:pPr>
        <w:pStyle w:val="ListParagraph"/>
        <w:numPr>
          <w:ilvl w:val="0"/>
          <w:numId w:val="12"/>
        </w:numPr>
        <w:autoSpaceDE w:val="0"/>
        <w:autoSpaceDN w:val="0"/>
        <w:adjustRightInd w:val="0"/>
        <w:spacing w:after="0"/>
        <w:rPr>
          <w:rFonts w:asciiTheme="minorHAnsi" w:hAnsiTheme="minorHAnsi" w:cstheme="minorHAnsi"/>
        </w:rPr>
      </w:pPr>
      <w:r w:rsidRPr="00225BB0">
        <w:rPr>
          <w:rFonts w:asciiTheme="minorHAnsi" w:hAnsiTheme="minorHAnsi" w:cstheme="minorHAnsi"/>
        </w:rPr>
        <w:t>A</w:t>
      </w:r>
      <w:r w:rsidRPr="00225BB0" w:rsidR="008C4FD5">
        <w:rPr>
          <w:rFonts w:asciiTheme="minorHAnsi" w:hAnsiTheme="minorHAnsi" w:cstheme="minorHAnsi"/>
        </w:rPr>
        <w:t xml:space="preserve">ssess their potential </w:t>
      </w:r>
      <w:r w:rsidR="00497EA8">
        <w:rPr>
          <w:rFonts w:asciiTheme="minorHAnsi" w:hAnsiTheme="minorHAnsi" w:cstheme="minorHAnsi"/>
        </w:rPr>
        <w:t>to submit an R01 grant proposal</w:t>
      </w:r>
      <w:r w:rsidR="00FB3AD6">
        <w:rPr>
          <w:rFonts w:asciiTheme="minorHAnsi" w:hAnsiTheme="minorHAnsi" w:cstheme="minorHAnsi"/>
        </w:rPr>
        <w:t xml:space="preserve"> upon </w:t>
      </w:r>
      <w:r w:rsidR="00937061">
        <w:rPr>
          <w:rFonts w:asciiTheme="minorHAnsi" w:hAnsiTheme="minorHAnsi" w:cstheme="minorHAnsi"/>
        </w:rPr>
        <w:t>program completion</w:t>
      </w:r>
      <w:r w:rsidR="00FB3AD6">
        <w:rPr>
          <w:rFonts w:asciiTheme="minorHAnsi" w:hAnsiTheme="minorHAnsi" w:cstheme="minorHAnsi"/>
        </w:rPr>
        <w:t>.</w:t>
      </w:r>
    </w:p>
    <w:p w:rsidRPr="00225BB0" w:rsidR="007A447F" w:rsidP="00225BB0" w:rsidRDefault="007A447F" w14:paraId="3ED63CC1" w14:textId="4472257D">
      <w:pPr>
        <w:pStyle w:val="ListParagraph"/>
        <w:numPr>
          <w:ilvl w:val="0"/>
          <w:numId w:val="12"/>
        </w:numPr>
        <w:autoSpaceDE w:val="0"/>
        <w:autoSpaceDN w:val="0"/>
        <w:adjustRightInd w:val="0"/>
        <w:spacing w:after="0"/>
        <w:rPr>
          <w:rFonts w:asciiTheme="minorHAnsi" w:hAnsiTheme="minorHAnsi" w:cstheme="minorHAnsi"/>
        </w:rPr>
      </w:pPr>
      <w:r w:rsidRPr="00225BB0">
        <w:rPr>
          <w:rFonts w:asciiTheme="minorHAnsi" w:hAnsiTheme="minorHAnsi" w:cstheme="minorHAnsi"/>
        </w:rPr>
        <w:t>M</w:t>
      </w:r>
      <w:r w:rsidRPr="00225BB0" w:rsidR="008C4FD5">
        <w:rPr>
          <w:rFonts w:asciiTheme="minorHAnsi" w:hAnsiTheme="minorHAnsi" w:cstheme="minorHAnsi"/>
        </w:rPr>
        <w:t xml:space="preserve">ake decisions regarding which applicants will be </w:t>
      </w:r>
      <w:r w:rsidR="00FB3AD6">
        <w:rPr>
          <w:rFonts w:asciiTheme="minorHAnsi" w:hAnsiTheme="minorHAnsi" w:cstheme="minorHAnsi"/>
        </w:rPr>
        <w:t>selected</w:t>
      </w:r>
      <w:r w:rsidR="00866851">
        <w:rPr>
          <w:rFonts w:asciiTheme="minorHAnsi" w:hAnsiTheme="minorHAnsi" w:cstheme="minorHAnsi"/>
        </w:rPr>
        <w:t xml:space="preserve"> to</w:t>
      </w:r>
      <w:r w:rsidR="00FB3AD6">
        <w:rPr>
          <w:rFonts w:asciiTheme="minorHAnsi" w:hAnsiTheme="minorHAnsi" w:cstheme="minorHAnsi"/>
        </w:rPr>
        <w:t xml:space="preserve"> participate in</w:t>
      </w:r>
      <w:r w:rsidR="00866851">
        <w:rPr>
          <w:rFonts w:asciiTheme="minorHAnsi" w:hAnsiTheme="minorHAnsi" w:cstheme="minorHAnsi"/>
        </w:rPr>
        <w:t xml:space="preserve"> </w:t>
      </w:r>
      <w:r w:rsidRPr="00225BB0" w:rsidR="00BB0B26">
        <w:rPr>
          <w:rFonts w:asciiTheme="minorHAnsi" w:hAnsiTheme="minorHAnsi" w:cstheme="minorHAnsi"/>
        </w:rPr>
        <w:t xml:space="preserve">the </w:t>
      </w:r>
      <w:r w:rsidR="00866851">
        <w:rPr>
          <w:rFonts w:asciiTheme="minorHAnsi" w:hAnsiTheme="minorHAnsi" w:cstheme="minorHAnsi"/>
        </w:rPr>
        <w:t>EIAP</w:t>
      </w:r>
      <w:r w:rsidRPr="00225BB0" w:rsidR="008C4FD5">
        <w:rPr>
          <w:rFonts w:asciiTheme="minorHAnsi" w:hAnsiTheme="minorHAnsi" w:cstheme="minorHAnsi"/>
        </w:rPr>
        <w:t>.</w:t>
      </w:r>
    </w:p>
    <w:p w:rsidR="00AD59B9" w:rsidP="00225BB0" w:rsidRDefault="008C4FD5" w14:paraId="3C1A9615" w14:textId="61CE0201">
      <w:pPr>
        <w:autoSpaceDE w:val="0"/>
        <w:autoSpaceDN w:val="0"/>
        <w:adjustRightInd w:val="0"/>
        <w:spacing w:after="0"/>
        <w:rPr>
          <w:rFonts w:asciiTheme="minorHAnsi" w:hAnsiTheme="minorHAnsi" w:cstheme="minorHAnsi"/>
        </w:rPr>
      </w:pPr>
      <w:r w:rsidRPr="00225BB0">
        <w:rPr>
          <w:rFonts w:asciiTheme="minorHAnsi" w:hAnsiTheme="minorHAnsi" w:cstheme="minorHAnsi"/>
        </w:rPr>
        <w:t xml:space="preserve">In each case, completing the application is voluntary, but </w:t>
      </w:r>
      <w:r w:rsidR="00937061">
        <w:rPr>
          <w:rFonts w:asciiTheme="minorHAnsi" w:hAnsiTheme="minorHAnsi" w:cstheme="minorHAnsi"/>
        </w:rPr>
        <w:t>to</w:t>
      </w:r>
      <w:r w:rsidRPr="00225BB0">
        <w:rPr>
          <w:rFonts w:asciiTheme="minorHAnsi" w:hAnsiTheme="minorHAnsi" w:cstheme="minorHAnsi"/>
        </w:rPr>
        <w:t xml:space="preserve"> receive due consideration, the prospective </w:t>
      </w:r>
      <w:r w:rsidR="00866851">
        <w:rPr>
          <w:rFonts w:asciiTheme="minorHAnsi" w:hAnsiTheme="minorHAnsi" w:cstheme="minorHAnsi"/>
        </w:rPr>
        <w:t>awardee</w:t>
      </w:r>
      <w:r w:rsidRPr="00225BB0">
        <w:rPr>
          <w:rFonts w:asciiTheme="minorHAnsi" w:hAnsiTheme="minorHAnsi" w:cstheme="minorHAnsi"/>
        </w:rPr>
        <w:t xml:space="preserve"> is encouraged to complete all relevant fields. The information is for internal use to make decisions about prospective </w:t>
      </w:r>
      <w:r w:rsidR="00866851">
        <w:rPr>
          <w:rFonts w:asciiTheme="minorHAnsi" w:hAnsiTheme="minorHAnsi" w:cstheme="minorHAnsi"/>
        </w:rPr>
        <w:t>candidates</w:t>
      </w:r>
      <w:r w:rsidRPr="00225BB0">
        <w:rPr>
          <w:rFonts w:asciiTheme="minorHAnsi" w:hAnsiTheme="minorHAnsi" w:cstheme="minorHAnsi"/>
        </w:rPr>
        <w:t xml:space="preserve"> </w:t>
      </w:r>
      <w:r w:rsidRPr="00225BB0" w:rsidR="00AD59B9">
        <w:rPr>
          <w:rFonts w:asciiTheme="minorHAnsi" w:hAnsiTheme="minorHAnsi" w:cstheme="minorHAnsi"/>
        </w:rPr>
        <w:t>who</w:t>
      </w:r>
      <w:r w:rsidRPr="00225BB0">
        <w:rPr>
          <w:rFonts w:asciiTheme="minorHAnsi" w:hAnsiTheme="minorHAnsi" w:cstheme="minorHAnsi"/>
        </w:rPr>
        <w:t xml:space="preserve"> could benefit from the </w:t>
      </w:r>
      <w:r w:rsidR="00866851">
        <w:rPr>
          <w:rFonts w:asciiTheme="minorHAnsi" w:hAnsiTheme="minorHAnsi" w:cstheme="minorHAnsi"/>
        </w:rPr>
        <w:t>EIAP</w:t>
      </w:r>
      <w:r w:rsidRPr="00225BB0">
        <w:rPr>
          <w:rFonts w:asciiTheme="minorHAnsi" w:hAnsiTheme="minorHAnsi" w:cstheme="minorHAnsi"/>
        </w:rPr>
        <w:t xml:space="preserve"> </w:t>
      </w:r>
      <w:r w:rsidRPr="000E3964">
        <w:rPr>
          <w:rFonts w:asciiTheme="minorHAnsi" w:hAnsiTheme="minorHAnsi" w:cstheme="minorHAnsi"/>
        </w:rPr>
        <w:t>program.</w:t>
      </w:r>
      <w:r w:rsidRPr="000E3964" w:rsidR="00AA7506">
        <w:rPr>
          <w:rFonts w:asciiTheme="minorHAnsi" w:hAnsiTheme="minorHAnsi" w:cstheme="minorHAnsi"/>
        </w:rPr>
        <w:t xml:space="preserve"> The </w:t>
      </w:r>
      <w:r w:rsidRPr="000E3964" w:rsidR="00866851">
        <w:rPr>
          <w:rFonts w:asciiTheme="minorHAnsi" w:hAnsiTheme="minorHAnsi" w:cstheme="minorHAnsi"/>
        </w:rPr>
        <w:t xml:space="preserve">EIAP </w:t>
      </w:r>
      <w:r w:rsidRPr="000E3964" w:rsidR="00AA7506">
        <w:rPr>
          <w:rFonts w:asciiTheme="minorHAnsi" w:hAnsiTheme="minorHAnsi" w:cstheme="minorHAnsi"/>
        </w:rPr>
        <w:t xml:space="preserve">has been approved for funding by the NCI </w:t>
      </w:r>
      <w:r w:rsidRPr="000E3964" w:rsidR="00450940">
        <w:rPr>
          <w:rFonts w:asciiTheme="minorHAnsi" w:hAnsiTheme="minorHAnsi" w:cstheme="minorHAnsi"/>
        </w:rPr>
        <w:t>Equity Council.</w:t>
      </w:r>
      <w:r w:rsidRPr="00225BB0" w:rsidR="00AA7506">
        <w:rPr>
          <w:rFonts w:asciiTheme="minorHAnsi" w:hAnsiTheme="minorHAnsi" w:cstheme="minorHAnsi"/>
        </w:rPr>
        <w:t xml:space="preserve"> </w:t>
      </w:r>
    </w:p>
    <w:p w:rsidRPr="00225BB0" w:rsidR="00052C27" w:rsidP="00225BB0" w:rsidRDefault="00052C27" w14:paraId="7FA0CA52" w14:textId="77777777">
      <w:pPr>
        <w:autoSpaceDE w:val="0"/>
        <w:autoSpaceDN w:val="0"/>
        <w:adjustRightInd w:val="0"/>
        <w:spacing w:after="0"/>
        <w:rPr>
          <w:rFonts w:asciiTheme="minorHAnsi" w:hAnsiTheme="minorHAnsi" w:cstheme="minorHAnsi"/>
        </w:rPr>
      </w:pPr>
    </w:p>
    <w:p w:rsidRPr="00641F8D" w:rsidR="00641F8D" w:rsidP="003056AF" w:rsidRDefault="00FB3AD6" w14:paraId="1F404464" w14:textId="1C065802">
      <w:pPr>
        <w:autoSpaceDE w:val="0"/>
        <w:autoSpaceDN w:val="0"/>
        <w:adjustRightInd w:val="0"/>
        <w:spacing w:after="0"/>
        <w:rPr>
          <w:rFonts w:asciiTheme="minorHAnsi" w:hAnsiTheme="minorHAnsi" w:cstheme="minorHAnsi"/>
        </w:rPr>
      </w:pPr>
      <w:r>
        <w:rPr>
          <w:rFonts w:asciiTheme="minorHAnsi" w:hAnsiTheme="minorHAnsi" w:cstheme="minorHAnsi"/>
        </w:rPr>
        <w:t>Participants</w:t>
      </w:r>
      <w:r w:rsidRPr="00225BB0">
        <w:rPr>
          <w:rFonts w:asciiTheme="minorHAnsi" w:hAnsiTheme="minorHAnsi" w:cstheme="minorHAnsi"/>
        </w:rPr>
        <w:t xml:space="preserve"> </w:t>
      </w:r>
      <w:r w:rsidRPr="00225BB0" w:rsidR="008C4FD5">
        <w:rPr>
          <w:rFonts w:asciiTheme="minorHAnsi" w:hAnsiTheme="minorHAnsi" w:cstheme="minorHAnsi"/>
        </w:rPr>
        <w:t xml:space="preserve">in the </w:t>
      </w:r>
      <w:r w:rsidR="00641F8D">
        <w:rPr>
          <w:rFonts w:asciiTheme="minorHAnsi" w:hAnsiTheme="minorHAnsi" w:cstheme="minorHAnsi"/>
        </w:rPr>
        <w:t>EIAP</w:t>
      </w:r>
      <w:r w:rsidRPr="00225BB0" w:rsidR="008C4FD5">
        <w:rPr>
          <w:rFonts w:asciiTheme="minorHAnsi" w:hAnsiTheme="minorHAnsi" w:cstheme="minorHAnsi"/>
        </w:rPr>
        <w:t xml:space="preserve"> </w:t>
      </w:r>
      <w:r>
        <w:rPr>
          <w:rFonts w:asciiTheme="minorHAnsi" w:hAnsiTheme="minorHAnsi" w:cstheme="minorHAnsi"/>
        </w:rPr>
        <w:t>must be</w:t>
      </w:r>
      <w:r w:rsidRPr="00225BB0">
        <w:rPr>
          <w:rFonts w:asciiTheme="minorHAnsi" w:hAnsiTheme="minorHAnsi" w:cstheme="minorHAnsi"/>
        </w:rPr>
        <w:t xml:space="preserve"> </w:t>
      </w:r>
      <w:r w:rsidRPr="00AC7481" w:rsidR="008C4FD5">
        <w:rPr>
          <w:rFonts w:asciiTheme="minorHAnsi" w:hAnsiTheme="minorHAnsi" w:cstheme="minorHAnsi"/>
        </w:rPr>
        <w:t>U.S. citizens, non-citizen nationals</w:t>
      </w:r>
      <w:r w:rsidR="00AF1188">
        <w:rPr>
          <w:rFonts w:asciiTheme="minorHAnsi" w:hAnsiTheme="minorHAnsi" w:cstheme="minorHAnsi"/>
        </w:rPr>
        <w:t>,</w:t>
      </w:r>
      <w:r w:rsidRPr="00AC7481" w:rsidR="00AD59B9">
        <w:rPr>
          <w:rFonts w:asciiTheme="minorHAnsi" w:hAnsiTheme="minorHAnsi" w:cstheme="minorHAnsi"/>
        </w:rPr>
        <w:t xml:space="preserve"> or legal permanent residents</w:t>
      </w:r>
      <w:r w:rsidRPr="00AC7481" w:rsidR="008C4FD5">
        <w:rPr>
          <w:rFonts w:asciiTheme="minorHAnsi" w:hAnsiTheme="minorHAnsi" w:cstheme="minorHAnsi"/>
        </w:rPr>
        <w:t>.</w:t>
      </w:r>
      <w:r w:rsidRPr="00225BB0" w:rsidR="008C4FD5">
        <w:rPr>
          <w:rFonts w:asciiTheme="minorHAnsi" w:hAnsiTheme="minorHAnsi" w:cstheme="minorHAnsi"/>
        </w:rPr>
        <w:t xml:space="preserve"> </w:t>
      </w:r>
      <w:r w:rsidR="00641F8D">
        <w:rPr>
          <w:rFonts w:asciiTheme="minorHAnsi" w:hAnsiTheme="minorHAnsi" w:cstheme="minorHAnsi"/>
        </w:rPr>
        <w:t>The EIAP will include participants who are currently at an institution, hold an investigator-le</w:t>
      </w:r>
      <w:r w:rsidR="00AF1188">
        <w:rPr>
          <w:rFonts w:asciiTheme="minorHAnsi" w:hAnsiTheme="minorHAnsi" w:cstheme="minorHAnsi"/>
        </w:rPr>
        <w:t>v</w:t>
      </w:r>
      <w:r w:rsidR="00641F8D">
        <w:rPr>
          <w:rFonts w:asciiTheme="minorHAnsi" w:hAnsiTheme="minorHAnsi" w:cstheme="minorHAnsi"/>
        </w:rPr>
        <w:t xml:space="preserve">el position, are capable of obtaining an R01, can submit </w:t>
      </w:r>
      <w:r>
        <w:rPr>
          <w:rFonts w:asciiTheme="minorHAnsi" w:hAnsiTheme="minorHAnsi" w:cstheme="minorHAnsi"/>
        </w:rPr>
        <w:t xml:space="preserve">an </w:t>
      </w:r>
      <w:r w:rsidR="00641F8D">
        <w:rPr>
          <w:rFonts w:asciiTheme="minorHAnsi" w:hAnsiTheme="minorHAnsi" w:cstheme="minorHAnsi"/>
        </w:rPr>
        <w:t xml:space="preserve">R01 by </w:t>
      </w:r>
      <w:r>
        <w:rPr>
          <w:rFonts w:asciiTheme="minorHAnsi" w:hAnsiTheme="minorHAnsi" w:cstheme="minorHAnsi"/>
        </w:rPr>
        <w:t>the completion of the program</w:t>
      </w:r>
      <w:r w:rsidR="00641F8D">
        <w:rPr>
          <w:rFonts w:asciiTheme="minorHAnsi" w:hAnsiTheme="minorHAnsi" w:cstheme="minorHAnsi"/>
        </w:rPr>
        <w:t xml:space="preserve">, and have not previously received an </w:t>
      </w:r>
      <w:r w:rsidR="00AF1188">
        <w:rPr>
          <w:rFonts w:asciiTheme="minorHAnsi" w:hAnsiTheme="minorHAnsi" w:cstheme="minorHAnsi"/>
        </w:rPr>
        <w:t xml:space="preserve">NIH </w:t>
      </w:r>
      <w:r w:rsidR="00641F8D">
        <w:rPr>
          <w:rFonts w:asciiTheme="minorHAnsi" w:hAnsiTheme="minorHAnsi" w:cstheme="minorHAnsi"/>
        </w:rPr>
        <w:t>R01</w:t>
      </w:r>
      <w:r w:rsidR="00450940">
        <w:rPr>
          <w:rFonts w:asciiTheme="minorHAnsi" w:hAnsiTheme="minorHAnsi" w:cstheme="minorHAnsi"/>
        </w:rPr>
        <w:t xml:space="preserve"> or equivalent grant</w:t>
      </w:r>
      <w:r w:rsidR="00641F8D">
        <w:rPr>
          <w:rFonts w:asciiTheme="minorHAnsi" w:hAnsiTheme="minorHAnsi" w:cstheme="minorHAnsi"/>
        </w:rPr>
        <w:t xml:space="preserve">. </w:t>
      </w:r>
      <w:r w:rsidRPr="00641F8D" w:rsidR="00641F8D">
        <w:rPr>
          <w:rFonts w:asciiTheme="minorHAnsi" w:hAnsiTheme="minorHAnsi" w:cstheme="minorHAnsi"/>
        </w:rPr>
        <w:t xml:space="preserve">Individuals from groups identified in </w:t>
      </w:r>
      <w:r>
        <w:rPr>
          <w:rFonts w:asciiTheme="minorHAnsi" w:hAnsiTheme="minorHAnsi" w:cstheme="minorHAnsi"/>
        </w:rPr>
        <w:t xml:space="preserve">the Notice of </w:t>
      </w:r>
      <w:r w:rsidRPr="00641F8D" w:rsidR="00641F8D">
        <w:rPr>
          <w:rFonts w:asciiTheme="minorHAnsi" w:hAnsiTheme="minorHAnsi" w:cstheme="minorHAnsi"/>
        </w:rPr>
        <w:t>NIH’s Interest in Diversity (</w:t>
      </w:r>
      <w:hyperlink w:history="1" r:id="rId14">
        <w:r w:rsidRPr="00641F8D" w:rsidR="00641F8D">
          <w:rPr>
            <w:rStyle w:val="Hyperlink"/>
            <w:rFonts w:asciiTheme="minorHAnsi" w:hAnsiTheme="minorHAnsi" w:cstheme="minorHAnsi"/>
          </w:rPr>
          <w:t>NOT-OD-20-031</w:t>
        </w:r>
      </w:hyperlink>
      <w:r w:rsidRPr="00641F8D" w:rsidR="00641F8D">
        <w:rPr>
          <w:rFonts w:asciiTheme="minorHAnsi" w:hAnsiTheme="minorHAnsi" w:cstheme="minorHAnsi"/>
        </w:rPr>
        <w:t>) as underrepresented in the biomedical, clinical, behavioral, and social sciences are particularly encouraged to apply.</w:t>
      </w:r>
    </w:p>
    <w:p w:rsidRPr="00225BB0" w:rsidR="00AD59B9" w:rsidP="00225BB0" w:rsidRDefault="00AD59B9" w14:paraId="2832487B" w14:textId="62A42683">
      <w:pPr>
        <w:autoSpaceDE w:val="0"/>
        <w:autoSpaceDN w:val="0"/>
        <w:adjustRightInd w:val="0"/>
        <w:spacing w:after="0"/>
        <w:rPr>
          <w:rFonts w:asciiTheme="minorHAnsi" w:hAnsiTheme="minorHAnsi" w:cstheme="minorHAnsi"/>
        </w:rPr>
      </w:pPr>
    </w:p>
    <w:p w:rsidR="00A60C1E" w:rsidP="00225BB0" w:rsidRDefault="001D0ECB" w14:paraId="3D9A1768" w14:textId="1154E776">
      <w:pPr>
        <w:autoSpaceDE w:val="0"/>
        <w:autoSpaceDN w:val="0"/>
        <w:adjustRightInd w:val="0"/>
        <w:spacing w:after="0"/>
        <w:rPr>
          <w:rFonts w:asciiTheme="minorHAnsi" w:hAnsiTheme="minorHAnsi" w:cstheme="minorHAnsi"/>
        </w:rPr>
      </w:pPr>
      <w:r w:rsidRPr="00983978">
        <w:rPr>
          <w:rFonts w:asciiTheme="minorHAnsi" w:hAnsiTheme="minorHAnsi" w:cstheme="minorHAnsi"/>
        </w:rPr>
        <w:t>The EIAP application</w:t>
      </w:r>
      <w:r w:rsidRPr="00983978" w:rsidR="00983978">
        <w:rPr>
          <w:rFonts w:asciiTheme="minorHAnsi" w:hAnsiTheme="minorHAnsi" w:cstheme="minorHAnsi"/>
        </w:rPr>
        <w:t xml:space="preserve"> includes a cover letter with </w:t>
      </w:r>
      <w:r w:rsidR="00937061">
        <w:rPr>
          <w:rFonts w:asciiTheme="minorHAnsi" w:hAnsiTheme="minorHAnsi" w:cstheme="minorHAnsi"/>
        </w:rPr>
        <w:t xml:space="preserve">a </w:t>
      </w:r>
      <w:r w:rsidRPr="00983978" w:rsidR="00983978">
        <w:rPr>
          <w:rFonts w:asciiTheme="minorHAnsi" w:hAnsiTheme="minorHAnsi" w:cstheme="minorHAnsi"/>
        </w:rPr>
        <w:t>personal statement,</w:t>
      </w:r>
      <w:r w:rsidR="00B0758D">
        <w:rPr>
          <w:rFonts w:asciiTheme="minorHAnsi" w:hAnsiTheme="minorHAnsi" w:cstheme="minorHAnsi"/>
        </w:rPr>
        <w:t xml:space="preserve"> </w:t>
      </w:r>
      <w:r w:rsidR="00FB3AD6">
        <w:rPr>
          <w:rFonts w:asciiTheme="minorHAnsi" w:hAnsiTheme="minorHAnsi" w:cstheme="minorHAnsi"/>
        </w:rPr>
        <w:t xml:space="preserve">the applicant’s NIH </w:t>
      </w:r>
      <w:r w:rsidR="00937061">
        <w:rPr>
          <w:rFonts w:asciiTheme="minorHAnsi" w:hAnsiTheme="minorHAnsi" w:cstheme="minorHAnsi"/>
        </w:rPr>
        <w:t>bio-sketch</w:t>
      </w:r>
      <w:r w:rsidR="00B0758D">
        <w:rPr>
          <w:rFonts w:asciiTheme="minorHAnsi" w:hAnsiTheme="minorHAnsi" w:cstheme="minorHAnsi"/>
        </w:rPr>
        <w:t>,</w:t>
      </w:r>
      <w:r w:rsidRPr="00B0758D" w:rsidR="00B0758D">
        <w:rPr>
          <w:rFonts w:asciiTheme="minorHAnsi" w:hAnsiTheme="minorHAnsi" w:cstheme="minorHAnsi"/>
        </w:rPr>
        <w:t xml:space="preserve"> </w:t>
      </w:r>
      <w:r w:rsidRPr="00983978" w:rsidR="00B0758D">
        <w:rPr>
          <w:rFonts w:asciiTheme="minorHAnsi" w:hAnsiTheme="minorHAnsi" w:cstheme="minorHAnsi"/>
        </w:rPr>
        <w:t>a letter of support from the institution</w:t>
      </w:r>
      <w:r w:rsidR="00B0758D">
        <w:rPr>
          <w:rFonts w:asciiTheme="minorHAnsi" w:hAnsiTheme="minorHAnsi" w:cstheme="minorHAnsi"/>
        </w:rPr>
        <w:t>,</w:t>
      </w:r>
      <w:r w:rsidRPr="00983978" w:rsidR="00983978">
        <w:rPr>
          <w:rFonts w:asciiTheme="minorHAnsi" w:hAnsiTheme="minorHAnsi" w:cstheme="minorHAnsi"/>
        </w:rPr>
        <w:t xml:space="preserve"> a </w:t>
      </w:r>
      <w:r w:rsidR="00B0758D">
        <w:rPr>
          <w:rFonts w:asciiTheme="minorHAnsi" w:hAnsiTheme="minorHAnsi" w:cstheme="minorHAnsi"/>
        </w:rPr>
        <w:t>letter of support from a mentor</w:t>
      </w:r>
      <w:r w:rsidRPr="00983978" w:rsidR="00983978">
        <w:rPr>
          <w:rFonts w:asciiTheme="minorHAnsi" w:hAnsiTheme="minorHAnsi" w:cstheme="minorHAnsi"/>
        </w:rPr>
        <w:t xml:space="preserve"> at the applicant’s current institution, and </w:t>
      </w:r>
      <w:r w:rsidR="001E6294">
        <w:rPr>
          <w:rFonts w:asciiTheme="minorHAnsi" w:hAnsiTheme="minorHAnsi" w:cstheme="minorHAnsi"/>
        </w:rPr>
        <w:t xml:space="preserve">at least </w:t>
      </w:r>
      <w:r w:rsidR="00937061">
        <w:rPr>
          <w:rFonts w:asciiTheme="minorHAnsi" w:hAnsiTheme="minorHAnsi" w:cstheme="minorHAnsi"/>
        </w:rPr>
        <w:t>one</w:t>
      </w:r>
      <w:r w:rsidRPr="00983978" w:rsidR="00983978">
        <w:rPr>
          <w:rFonts w:asciiTheme="minorHAnsi" w:hAnsiTheme="minorHAnsi" w:cstheme="minorHAnsi"/>
        </w:rPr>
        <w:t xml:space="preserve"> letter of recommendation from any </w:t>
      </w:r>
      <w:r w:rsidR="001E6294">
        <w:rPr>
          <w:rFonts w:asciiTheme="minorHAnsi" w:hAnsiTheme="minorHAnsi" w:cstheme="minorHAnsi"/>
        </w:rPr>
        <w:t xml:space="preserve">current or previous research mentor or collaborator </w:t>
      </w:r>
      <w:r w:rsidRPr="00983978" w:rsidR="00983978">
        <w:rPr>
          <w:rFonts w:asciiTheme="minorHAnsi" w:hAnsiTheme="minorHAnsi" w:cstheme="minorHAnsi"/>
          <w:b/>
        </w:rPr>
        <w:t xml:space="preserve">(Attachment </w:t>
      </w:r>
      <w:r w:rsidR="003024E0">
        <w:rPr>
          <w:rFonts w:asciiTheme="minorHAnsi" w:hAnsiTheme="minorHAnsi" w:cstheme="minorHAnsi"/>
          <w:b/>
        </w:rPr>
        <w:t>2</w:t>
      </w:r>
      <w:r w:rsidRPr="00983978" w:rsidR="00983978">
        <w:rPr>
          <w:rFonts w:asciiTheme="minorHAnsi" w:hAnsiTheme="minorHAnsi" w:cstheme="minorHAnsi"/>
          <w:b/>
        </w:rPr>
        <w:t>)</w:t>
      </w:r>
      <w:r w:rsidRPr="00983978" w:rsidR="00983978">
        <w:rPr>
          <w:rFonts w:asciiTheme="minorHAnsi" w:hAnsiTheme="minorHAnsi" w:cstheme="minorHAnsi"/>
        </w:rPr>
        <w:t>.</w:t>
      </w:r>
    </w:p>
    <w:p w:rsidRPr="00225BB0" w:rsidR="00983978" w:rsidP="00225BB0" w:rsidRDefault="00983978" w14:paraId="2B74E3C8" w14:textId="77777777">
      <w:pPr>
        <w:autoSpaceDE w:val="0"/>
        <w:autoSpaceDN w:val="0"/>
        <w:adjustRightInd w:val="0"/>
        <w:spacing w:after="0"/>
        <w:rPr>
          <w:rFonts w:asciiTheme="minorHAnsi" w:hAnsiTheme="minorHAnsi" w:cstheme="minorHAnsi"/>
        </w:rPr>
      </w:pPr>
    </w:p>
    <w:p w:rsidRPr="00225BB0" w:rsidR="00A00CF8" w:rsidP="00225BB0" w:rsidRDefault="00A00CF8" w14:paraId="6DF59408" w14:textId="77777777">
      <w:pPr>
        <w:spacing w:after="0"/>
        <w:rPr>
          <w:rFonts w:asciiTheme="minorHAnsi" w:hAnsiTheme="minorHAnsi" w:cstheme="minorHAnsi"/>
          <w:b/>
          <w:color w:val="000000"/>
        </w:rPr>
      </w:pPr>
      <w:r w:rsidRPr="00225BB0">
        <w:rPr>
          <w:rFonts w:asciiTheme="minorHAnsi" w:hAnsiTheme="minorHAnsi" w:cstheme="minorHAnsi"/>
          <w:b/>
          <w:color w:val="000000"/>
        </w:rPr>
        <w:t>A.3     Use of Information Technology and Burden Reduction</w:t>
      </w:r>
    </w:p>
    <w:p w:rsidRPr="00225BB0" w:rsidR="000C5E58" w:rsidP="00225BB0" w:rsidRDefault="00983978" w14:paraId="294B2E60" w14:textId="673A96C9">
      <w:pPr>
        <w:spacing w:after="0"/>
        <w:rPr>
          <w:rFonts w:asciiTheme="minorHAnsi" w:hAnsiTheme="minorHAnsi" w:cstheme="minorHAnsi"/>
          <w:color w:val="000000"/>
        </w:rPr>
      </w:pPr>
      <w:r>
        <w:rPr>
          <w:rFonts w:asciiTheme="minorHAnsi" w:hAnsiTheme="minorHAnsi" w:cstheme="minorHAnsi"/>
          <w:color w:val="000000"/>
        </w:rPr>
        <w:t>A</w:t>
      </w:r>
      <w:r w:rsidRPr="00225BB0" w:rsidR="003B035E">
        <w:rPr>
          <w:rFonts w:asciiTheme="minorHAnsi" w:hAnsiTheme="minorHAnsi" w:cstheme="minorHAnsi"/>
          <w:color w:val="000000"/>
        </w:rPr>
        <w:t xml:space="preserve">pplicants for </w:t>
      </w:r>
      <w:r>
        <w:rPr>
          <w:rFonts w:asciiTheme="minorHAnsi" w:hAnsiTheme="minorHAnsi" w:cstheme="minorHAnsi"/>
          <w:color w:val="000000"/>
        </w:rPr>
        <w:t>EIAP</w:t>
      </w:r>
      <w:r w:rsidRPr="00225BB0" w:rsidR="003B035E">
        <w:rPr>
          <w:rFonts w:asciiTheme="minorHAnsi" w:hAnsiTheme="minorHAnsi" w:cstheme="minorHAnsi"/>
          <w:color w:val="000000"/>
        </w:rPr>
        <w:t xml:space="preserve"> must apply directly to </w:t>
      </w:r>
      <w:r w:rsidRPr="000E3964" w:rsidR="003B035E">
        <w:rPr>
          <w:rFonts w:asciiTheme="minorHAnsi" w:hAnsiTheme="minorHAnsi" w:cstheme="minorHAnsi"/>
          <w:color w:val="000000"/>
        </w:rPr>
        <w:t>CRCHD</w:t>
      </w:r>
      <w:r w:rsidRPr="000E3964" w:rsidR="00AB4E84">
        <w:rPr>
          <w:rFonts w:asciiTheme="minorHAnsi" w:hAnsiTheme="minorHAnsi" w:cstheme="minorHAnsi"/>
          <w:color w:val="000000"/>
        </w:rPr>
        <w:t xml:space="preserve"> </w:t>
      </w:r>
      <w:r w:rsidRPr="000E3964" w:rsidR="00AB4E84">
        <w:rPr>
          <w:rFonts w:asciiTheme="minorHAnsi" w:hAnsiTheme="minorHAnsi" w:cstheme="minorHAnsi"/>
          <w:b/>
          <w:color w:val="000000"/>
        </w:rPr>
        <w:t xml:space="preserve">(Attachments </w:t>
      </w:r>
      <w:r w:rsidRPr="000E3964" w:rsidR="00010F0D">
        <w:rPr>
          <w:rFonts w:asciiTheme="minorHAnsi" w:hAnsiTheme="minorHAnsi" w:cstheme="minorHAnsi"/>
          <w:b/>
          <w:color w:val="000000"/>
        </w:rPr>
        <w:t>1</w:t>
      </w:r>
      <w:r w:rsidRPr="000E3964" w:rsidR="00AB4E84">
        <w:rPr>
          <w:rFonts w:asciiTheme="minorHAnsi" w:hAnsiTheme="minorHAnsi" w:cstheme="minorHAnsi"/>
          <w:b/>
          <w:color w:val="000000"/>
        </w:rPr>
        <w:t xml:space="preserve"> and </w:t>
      </w:r>
      <w:r w:rsidRPr="000E3964" w:rsidR="00010F0D">
        <w:rPr>
          <w:rFonts w:asciiTheme="minorHAnsi" w:hAnsiTheme="minorHAnsi" w:cstheme="minorHAnsi"/>
          <w:b/>
          <w:color w:val="000000"/>
        </w:rPr>
        <w:t>2</w:t>
      </w:r>
      <w:r w:rsidRPr="000E3964" w:rsidR="00AB4E84">
        <w:rPr>
          <w:rFonts w:asciiTheme="minorHAnsi" w:hAnsiTheme="minorHAnsi" w:cstheme="minorHAnsi"/>
          <w:b/>
          <w:color w:val="000000"/>
        </w:rPr>
        <w:t>)</w:t>
      </w:r>
      <w:r w:rsidRPr="000E3964" w:rsidR="003B035E">
        <w:rPr>
          <w:rFonts w:asciiTheme="minorHAnsi" w:hAnsiTheme="minorHAnsi" w:cstheme="minorHAnsi"/>
          <w:color w:val="000000"/>
        </w:rPr>
        <w:t xml:space="preserve">. </w:t>
      </w:r>
      <w:r w:rsidRPr="000E3964">
        <w:rPr>
          <w:rFonts w:asciiTheme="minorHAnsi" w:hAnsiTheme="minorHAnsi" w:cstheme="minorHAnsi"/>
          <w:color w:val="000000"/>
        </w:rPr>
        <w:t>I</w:t>
      </w:r>
      <w:r w:rsidRPr="000E3964" w:rsidR="003B035E">
        <w:rPr>
          <w:rFonts w:asciiTheme="minorHAnsi" w:hAnsiTheme="minorHAnsi" w:cstheme="minorHAnsi"/>
          <w:color w:val="000000"/>
        </w:rPr>
        <w:t>nformation</w:t>
      </w:r>
      <w:r w:rsidRPr="00225BB0" w:rsidR="003B035E">
        <w:rPr>
          <w:rFonts w:asciiTheme="minorHAnsi" w:hAnsiTheme="minorHAnsi" w:cstheme="minorHAnsi"/>
          <w:color w:val="000000"/>
        </w:rPr>
        <w:t xml:space="preserve"> that comes </w:t>
      </w:r>
      <w:r w:rsidR="00937061">
        <w:rPr>
          <w:rFonts w:asciiTheme="minorHAnsi" w:hAnsiTheme="minorHAnsi" w:cstheme="minorHAnsi"/>
          <w:color w:val="000000"/>
        </w:rPr>
        <w:t>now</w:t>
      </w:r>
      <w:r w:rsidRPr="00225BB0" w:rsidR="003B035E">
        <w:rPr>
          <w:rFonts w:asciiTheme="minorHAnsi" w:hAnsiTheme="minorHAnsi" w:cstheme="minorHAnsi"/>
          <w:color w:val="000000"/>
        </w:rPr>
        <w:t xml:space="preserve"> to CRCHD will be collected by email submission. </w:t>
      </w:r>
      <w:r w:rsidR="00B55806">
        <w:rPr>
          <w:rFonts w:asciiTheme="minorHAnsi" w:hAnsiTheme="minorHAnsi" w:cstheme="minorHAnsi"/>
          <w:color w:val="000000"/>
        </w:rPr>
        <w:t>CRCHD is</w:t>
      </w:r>
      <w:r w:rsidRPr="00225BB0" w:rsidR="003B035E">
        <w:rPr>
          <w:rFonts w:asciiTheme="minorHAnsi" w:hAnsiTheme="minorHAnsi" w:cstheme="minorHAnsi"/>
          <w:color w:val="000000"/>
        </w:rPr>
        <w:t xml:space="preserve"> developing an electronic application system and expect</w:t>
      </w:r>
      <w:r w:rsidR="00B55806">
        <w:rPr>
          <w:rFonts w:asciiTheme="minorHAnsi" w:hAnsiTheme="minorHAnsi" w:cstheme="minorHAnsi"/>
          <w:color w:val="000000"/>
        </w:rPr>
        <w:t>s</w:t>
      </w:r>
      <w:r w:rsidRPr="00225BB0" w:rsidR="003B035E">
        <w:rPr>
          <w:rFonts w:asciiTheme="minorHAnsi" w:hAnsiTheme="minorHAnsi" w:cstheme="minorHAnsi"/>
          <w:color w:val="000000"/>
        </w:rPr>
        <w:t xml:space="preserve"> to launch</w:t>
      </w:r>
      <w:r w:rsidR="00B55806">
        <w:rPr>
          <w:rFonts w:asciiTheme="minorHAnsi" w:hAnsiTheme="minorHAnsi" w:cstheme="minorHAnsi"/>
          <w:color w:val="000000"/>
        </w:rPr>
        <w:t xml:space="preserve"> the application system</w:t>
      </w:r>
      <w:r w:rsidRPr="00225BB0" w:rsidR="003B035E">
        <w:rPr>
          <w:rFonts w:asciiTheme="minorHAnsi" w:hAnsiTheme="minorHAnsi" w:cstheme="minorHAnsi"/>
          <w:color w:val="000000"/>
        </w:rPr>
        <w:t xml:space="preserve"> </w:t>
      </w:r>
      <w:r w:rsidR="00937061">
        <w:rPr>
          <w:rFonts w:asciiTheme="minorHAnsi" w:hAnsiTheme="minorHAnsi" w:cstheme="minorHAnsi"/>
          <w:color w:val="000000"/>
        </w:rPr>
        <w:t>shortly</w:t>
      </w:r>
      <w:r w:rsidRPr="00225BB0" w:rsidR="003B035E">
        <w:rPr>
          <w:rFonts w:asciiTheme="minorHAnsi" w:hAnsiTheme="minorHAnsi" w:cstheme="minorHAnsi"/>
          <w:color w:val="000000"/>
        </w:rPr>
        <w:t>.</w:t>
      </w:r>
    </w:p>
    <w:p w:rsidRPr="00225BB0" w:rsidR="003B035E" w:rsidP="00225BB0" w:rsidRDefault="003B035E" w14:paraId="0E46B685" w14:textId="77777777">
      <w:pPr>
        <w:spacing w:after="0"/>
        <w:rPr>
          <w:rFonts w:asciiTheme="minorHAnsi" w:hAnsiTheme="minorHAnsi" w:cstheme="minorHAnsi"/>
          <w:color w:val="000000"/>
        </w:rPr>
      </w:pPr>
    </w:p>
    <w:p w:rsidRPr="00225BB0" w:rsidR="000C5E58" w:rsidP="00225BB0" w:rsidRDefault="000C5E58" w14:paraId="443EE6CD" w14:textId="562F5052">
      <w:pPr>
        <w:spacing w:after="0"/>
        <w:rPr>
          <w:rFonts w:asciiTheme="minorHAnsi" w:hAnsiTheme="minorHAnsi" w:cstheme="minorHAnsi"/>
          <w:color w:val="000000"/>
        </w:rPr>
      </w:pPr>
      <w:r w:rsidRPr="00D21897">
        <w:rPr>
          <w:rFonts w:asciiTheme="minorHAnsi" w:hAnsiTheme="minorHAnsi" w:cstheme="minorHAnsi"/>
          <w:color w:val="000000"/>
        </w:rPr>
        <w:t xml:space="preserve">The NCI Privacy Act Coordinator was </w:t>
      </w:r>
      <w:r w:rsidRPr="00D21897" w:rsidR="00594DCC">
        <w:rPr>
          <w:rFonts w:asciiTheme="minorHAnsi" w:hAnsiTheme="minorHAnsi" w:cstheme="minorHAnsi"/>
          <w:color w:val="000000"/>
        </w:rPr>
        <w:t>consulted and</w:t>
      </w:r>
      <w:r w:rsidRPr="00D21897">
        <w:rPr>
          <w:rFonts w:asciiTheme="minorHAnsi" w:hAnsiTheme="minorHAnsi" w:cstheme="minorHAnsi"/>
          <w:color w:val="000000"/>
        </w:rPr>
        <w:t xml:space="preserve"> determined that a Privacy Impact Assessment (PIA) is </w:t>
      </w:r>
      <w:r w:rsidR="00BD3B86">
        <w:rPr>
          <w:rFonts w:asciiTheme="minorHAnsi" w:hAnsiTheme="minorHAnsi" w:cstheme="minorHAnsi"/>
          <w:color w:val="000000"/>
        </w:rPr>
        <w:t xml:space="preserve">not </w:t>
      </w:r>
      <w:r w:rsidRPr="00D21897">
        <w:rPr>
          <w:rFonts w:asciiTheme="minorHAnsi" w:hAnsiTheme="minorHAnsi" w:cstheme="minorHAnsi"/>
          <w:color w:val="000000"/>
        </w:rPr>
        <w:t>needed</w:t>
      </w:r>
      <w:r w:rsidRPr="00D21897" w:rsidR="00B55806">
        <w:rPr>
          <w:rFonts w:asciiTheme="minorHAnsi" w:hAnsiTheme="minorHAnsi" w:cstheme="minorHAnsi"/>
          <w:color w:val="000000"/>
        </w:rPr>
        <w:t xml:space="preserve">. </w:t>
      </w:r>
    </w:p>
    <w:p w:rsidRPr="00225BB0" w:rsidR="00E92336" w:rsidP="00225BB0" w:rsidRDefault="00E92336" w14:paraId="0C98C09D" w14:textId="2EA2F12A">
      <w:pPr>
        <w:spacing w:after="0"/>
        <w:rPr>
          <w:rFonts w:asciiTheme="minorHAnsi" w:hAnsiTheme="minorHAnsi" w:cstheme="minorHAnsi"/>
          <w:color w:val="000000"/>
        </w:rPr>
      </w:pPr>
    </w:p>
    <w:p w:rsidRPr="00225BB0" w:rsidR="00E92336" w:rsidP="00225BB0" w:rsidRDefault="00E92336" w14:paraId="7F9ECEED" w14:textId="3248914E">
      <w:pPr>
        <w:autoSpaceDE w:val="0"/>
        <w:autoSpaceDN w:val="0"/>
        <w:adjustRightInd w:val="0"/>
        <w:spacing w:after="0"/>
        <w:rPr>
          <w:rFonts w:asciiTheme="minorHAnsi" w:hAnsiTheme="minorHAnsi" w:cstheme="minorHAnsi"/>
        </w:rPr>
      </w:pPr>
      <w:r w:rsidRPr="00225BB0">
        <w:rPr>
          <w:rFonts w:asciiTheme="minorHAnsi" w:hAnsiTheme="minorHAnsi" w:cstheme="minorHAnsi"/>
        </w:rPr>
        <w:t xml:space="preserve">Applicants voluntarily submit their information to CRCHD by email. Information collected is only made available through encrypted emails </w:t>
      </w:r>
      <w:r w:rsidRPr="00225BB0" w:rsidR="005A3792">
        <w:rPr>
          <w:rFonts w:asciiTheme="minorHAnsi" w:hAnsiTheme="minorHAnsi" w:cstheme="minorHAnsi"/>
        </w:rPr>
        <w:t xml:space="preserve">or folders with restricted access </w:t>
      </w:r>
      <w:r w:rsidRPr="00225BB0">
        <w:rPr>
          <w:rFonts w:asciiTheme="minorHAnsi" w:hAnsiTheme="minorHAnsi" w:cstheme="minorHAnsi"/>
        </w:rPr>
        <w:t xml:space="preserve">to NIH account holders who are NCI or </w:t>
      </w:r>
      <w:r w:rsidRPr="00225BB0">
        <w:rPr>
          <w:rFonts w:asciiTheme="minorHAnsi" w:hAnsiTheme="minorHAnsi" w:cstheme="minorHAnsi"/>
        </w:rPr>
        <w:lastRenderedPageBreak/>
        <w:t xml:space="preserve">NIH scientific and program officials who recommend or approve fellowship awards and to administrative, human resources, and financial officials who prepare </w:t>
      </w:r>
      <w:r w:rsidR="00937061">
        <w:rPr>
          <w:rFonts w:asciiTheme="minorHAnsi" w:hAnsiTheme="minorHAnsi" w:cstheme="minorHAnsi"/>
        </w:rPr>
        <w:t xml:space="preserve">the </w:t>
      </w:r>
      <w:r w:rsidRPr="00225BB0">
        <w:rPr>
          <w:rFonts w:asciiTheme="minorHAnsi" w:hAnsiTheme="minorHAnsi" w:cstheme="minorHAnsi"/>
        </w:rPr>
        <w:t xml:space="preserve">necessary documentation to arrange for stipend payments and to activate approved awards. These authorized individuals will access their emails </w:t>
      </w:r>
      <w:r w:rsidRPr="00225BB0" w:rsidR="005A3792">
        <w:rPr>
          <w:rFonts w:asciiTheme="minorHAnsi" w:hAnsiTheme="minorHAnsi" w:cstheme="minorHAnsi"/>
        </w:rPr>
        <w:t xml:space="preserve">or folders with restricted access </w:t>
      </w:r>
      <w:r w:rsidRPr="00225BB0">
        <w:rPr>
          <w:rFonts w:asciiTheme="minorHAnsi" w:hAnsiTheme="minorHAnsi" w:cstheme="minorHAnsi"/>
        </w:rPr>
        <w:t xml:space="preserve">through NIH credentials. Applications not selected for </w:t>
      </w:r>
      <w:r w:rsidR="00983978">
        <w:rPr>
          <w:rFonts w:asciiTheme="minorHAnsi" w:hAnsiTheme="minorHAnsi" w:cstheme="minorHAnsi"/>
        </w:rPr>
        <w:t>EIAP</w:t>
      </w:r>
      <w:r w:rsidRPr="00225BB0">
        <w:rPr>
          <w:rFonts w:asciiTheme="minorHAnsi" w:hAnsiTheme="minorHAnsi" w:cstheme="minorHAnsi"/>
        </w:rPr>
        <w:t xml:space="preserve"> support will be kept for three years; applications selected for </w:t>
      </w:r>
      <w:r w:rsidR="00983978">
        <w:rPr>
          <w:rFonts w:asciiTheme="minorHAnsi" w:hAnsiTheme="minorHAnsi" w:cstheme="minorHAnsi"/>
        </w:rPr>
        <w:t>EIAP</w:t>
      </w:r>
      <w:r w:rsidRPr="00225BB0">
        <w:rPr>
          <w:rFonts w:asciiTheme="minorHAnsi" w:hAnsiTheme="minorHAnsi" w:cstheme="minorHAnsi"/>
        </w:rPr>
        <w:t xml:space="preserve"> support will be </w:t>
      </w:r>
      <w:r w:rsidR="00937061">
        <w:rPr>
          <w:rFonts w:asciiTheme="minorHAnsi" w:hAnsiTheme="minorHAnsi" w:cstheme="minorHAnsi"/>
        </w:rPr>
        <w:t>held</w:t>
      </w:r>
      <w:r w:rsidRPr="00225BB0">
        <w:rPr>
          <w:rFonts w:asciiTheme="minorHAnsi" w:hAnsiTheme="minorHAnsi" w:cstheme="minorHAnsi"/>
        </w:rPr>
        <w:t xml:space="preserve"> for up to 15 years. </w:t>
      </w:r>
    </w:p>
    <w:p w:rsidRPr="00225BB0" w:rsidR="00E92336" w:rsidP="00225BB0" w:rsidRDefault="00E92336" w14:paraId="0A755090" w14:textId="77777777">
      <w:pPr>
        <w:autoSpaceDE w:val="0"/>
        <w:autoSpaceDN w:val="0"/>
        <w:adjustRightInd w:val="0"/>
        <w:spacing w:after="0"/>
        <w:rPr>
          <w:rFonts w:asciiTheme="minorHAnsi" w:hAnsiTheme="minorHAnsi" w:cstheme="minorHAnsi"/>
        </w:rPr>
      </w:pPr>
    </w:p>
    <w:p w:rsidRPr="00225BB0" w:rsidR="00E92336" w:rsidP="00225BB0" w:rsidRDefault="00E92336" w14:paraId="3C0AA669" w14:textId="24FB2F89">
      <w:pPr>
        <w:pStyle w:val="P1-StandPara"/>
        <w:spacing w:line="276" w:lineRule="auto"/>
        <w:ind w:firstLine="0"/>
        <w:rPr>
          <w:rFonts w:asciiTheme="minorHAnsi" w:hAnsiTheme="minorHAnsi" w:cstheme="minorHAnsi"/>
          <w:szCs w:val="22"/>
        </w:rPr>
      </w:pPr>
      <w:r w:rsidRPr="00225BB0">
        <w:rPr>
          <w:rFonts w:asciiTheme="minorHAnsi" w:hAnsiTheme="minorHAnsi" w:cstheme="minorHAnsi"/>
          <w:szCs w:val="22"/>
        </w:rPr>
        <w:t>The applications, including applicant data, are stored on government-issued desktop computers and information systems protected at all entry points by firewalls and intrusion detection devices.</w:t>
      </w:r>
    </w:p>
    <w:p w:rsidRPr="00225BB0" w:rsidR="00AA7506" w:rsidP="00225BB0" w:rsidRDefault="00AA7506" w14:paraId="4CA7DA1D" w14:textId="77777777">
      <w:pPr>
        <w:spacing w:after="0"/>
        <w:rPr>
          <w:rFonts w:asciiTheme="minorHAnsi" w:hAnsiTheme="minorHAnsi" w:cstheme="minorHAnsi"/>
          <w:color w:val="000000"/>
        </w:rPr>
      </w:pPr>
    </w:p>
    <w:p w:rsidRPr="00225BB0" w:rsidR="00685B30" w:rsidP="00225BB0" w:rsidRDefault="00685B30" w14:paraId="0FFA6142" w14:textId="77777777">
      <w:pPr>
        <w:pStyle w:val="Heading2"/>
        <w:tabs>
          <w:tab w:val="clear" w:pos="1152"/>
          <w:tab w:val="left" w:pos="720"/>
        </w:tabs>
        <w:spacing w:after="0" w:line="276" w:lineRule="auto"/>
        <w:ind w:left="0" w:firstLine="0"/>
        <w:rPr>
          <w:rFonts w:asciiTheme="minorHAnsi" w:hAnsiTheme="minorHAnsi" w:cstheme="minorHAnsi"/>
          <w:szCs w:val="22"/>
        </w:rPr>
      </w:pPr>
      <w:bookmarkStart w:name="_Toc443881745" w:id="4"/>
      <w:bookmarkStart w:name="_Toc451592234" w:id="5"/>
      <w:bookmarkStart w:name="_Toc5610275" w:id="6"/>
      <w:bookmarkStart w:name="_Toc99178781" w:id="7"/>
      <w:r w:rsidRPr="00225BB0">
        <w:rPr>
          <w:rFonts w:asciiTheme="minorHAnsi" w:hAnsiTheme="minorHAnsi" w:cstheme="minorHAnsi"/>
          <w:szCs w:val="22"/>
        </w:rPr>
        <w:t>A.4</w:t>
      </w:r>
      <w:r w:rsidRPr="00225BB0">
        <w:rPr>
          <w:rFonts w:asciiTheme="minorHAnsi" w:hAnsiTheme="minorHAnsi" w:cstheme="minorHAnsi"/>
          <w:szCs w:val="22"/>
        </w:rPr>
        <w:tab/>
        <w:t>Efforts to Identify Duplication and Use of Similar Information</w:t>
      </w:r>
      <w:bookmarkEnd w:id="4"/>
      <w:bookmarkEnd w:id="5"/>
      <w:bookmarkEnd w:id="6"/>
      <w:bookmarkEnd w:id="7"/>
    </w:p>
    <w:p w:rsidRPr="00052C27" w:rsidR="00AB2D89" w:rsidP="00225BB0" w:rsidRDefault="00C7762B" w14:paraId="4E44704C" w14:textId="52721116">
      <w:pPr>
        <w:pStyle w:val="NormalWeb"/>
        <w:spacing w:before="0" w:beforeAutospacing="0" w:after="0" w:afterAutospacing="0" w:line="276" w:lineRule="auto"/>
        <w:rPr>
          <w:rFonts w:asciiTheme="minorHAnsi" w:hAnsiTheme="minorHAnsi" w:cstheme="minorHAnsi"/>
          <w:sz w:val="22"/>
          <w:szCs w:val="22"/>
        </w:rPr>
      </w:pPr>
      <w:r w:rsidRPr="00052C27">
        <w:rPr>
          <w:rFonts w:asciiTheme="minorHAnsi" w:hAnsiTheme="minorHAnsi" w:cstheme="minorHAnsi"/>
          <w:sz w:val="22"/>
          <w:szCs w:val="22"/>
        </w:rPr>
        <w:t xml:space="preserve">The </w:t>
      </w:r>
      <w:r w:rsidRPr="00052C27" w:rsidR="003B035E">
        <w:rPr>
          <w:rFonts w:asciiTheme="minorHAnsi" w:hAnsiTheme="minorHAnsi" w:cstheme="minorHAnsi"/>
          <w:sz w:val="22"/>
          <w:szCs w:val="22"/>
        </w:rPr>
        <w:t xml:space="preserve">primary purpose of the </w:t>
      </w:r>
      <w:r w:rsidRPr="00052C27" w:rsidR="00BA1ABA">
        <w:rPr>
          <w:rFonts w:asciiTheme="minorHAnsi" w:hAnsiTheme="minorHAnsi" w:cstheme="minorHAnsi"/>
          <w:sz w:val="22"/>
          <w:szCs w:val="22"/>
        </w:rPr>
        <w:t>EIAP</w:t>
      </w:r>
      <w:r w:rsidRPr="00052C27" w:rsidR="003B035E">
        <w:rPr>
          <w:rFonts w:asciiTheme="minorHAnsi" w:hAnsiTheme="minorHAnsi" w:cstheme="minorHAnsi"/>
          <w:sz w:val="22"/>
          <w:szCs w:val="22"/>
        </w:rPr>
        <w:t xml:space="preserve"> is to </w:t>
      </w:r>
      <w:r w:rsidRPr="00052C27">
        <w:rPr>
          <w:rFonts w:asciiTheme="minorHAnsi" w:hAnsiTheme="minorHAnsi" w:cstheme="minorHAnsi"/>
          <w:sz w:val="22"/>
          <w:szCs w:val="22"/>
        </w:rPr>
        <w:t xml:space="preserve">promote the transition of junior investigators to independent investigators while furthering NCI’s commitment to diversity. The EIAP will help enhance professional skills, guide </w:t>
      </w:r>
      <w:r w:rsidR="00937061">
        <w:rPr>
          <w:rFonts w:asciiTheme="minorHAnsi" w:hAnsiTheme="minorHAnsi" w:cstheme="minorHAnsi"/>
          <w:sz w:val="22"/>
          <w:szCs w:val="22"/>
        </w:rPr>
        <w:t xml:space="preserve">the </w:t>
      </w:r>
      <w:r w:rsidRPr="00052C27">
        <w:rPr>
          <w:rFonts w:asciiTheme="minorHAnsi" w:hAnsiTheme="minorHAnsi" w:cstheme="minorHAnsi"/>
          <w:sz w:val="22"/>
          <w:szCs w:val="22"/>
        </w:rPr>
        <w:t xml:space="preserve">construction of </w:t>
      </w:r>
      <w:r w:rsidR="00937061">
        <w:rPr>
          <w:rFonts w:asciiTheme="minorHAnsi" w:hAnsiTheme="minorHAnsi" w:cstheme="minorHAnsi"/>
          <w:sz w:val="22"/>
          <w:szCs w:val="22"/>
        </w:rPr>
        <w:t>an</w:t>
      </w:r>
      <w:r w:rsidRPr="00052C27">
        <w:rPr>
          <w:rFonts w:asciiTheme="minorHAnsi" w:hAnsiTheme="minorHAnsi" w:cstheme="minorHAnsi"/>
          <w:sz w:val="22"/>
          <w:szCs w:val="22"/>
        </w:rPr>
        <w:t xml:space="preserve"> R01 grant application, provide a </w:t>
      </w:r>
      <w:proofErr w:type="gramStart"/>
      <w:r w:rsidRPr="00052C27">
        <w:rPr>
          <w:rFonts w:asciiTheme="minorHAnsi" w:hAnsiTheme="minorHAnsi" w:cstheme="minorHAnsi"/>
          <w:sz w:val="22"/>
          <w:szCs w:val="22"/>
        </w:rPr>
        <w:t>mentoring</w:t>
      </w:r>
      <w:proofErr w:type="gramEnd"/>
      <w:r w:rsidRPr="00052C27">
        <w:rPr>
          <w:rFonts w:asciiTheme="minorHAnsi" w:hAnsiTheme="minorHAnsi" w:cstheme="minorHAnsi"/>
          <w:sz w:val="22"/>
          <w:szCs w:val="22"/>
        </w:rPr>
        <w:t xml:space="preserve"> and peer network and build a diverse community of emerging independent investigators</w:t>
      </w:r>
      <w:r w:rsidRPr="00052C27" w:rsidR="00134D83">
        <w:rPr>
          <w:rFonts w:asciiTheme="minorHAnsi" w:hAnsiTheme="minorHAnsi" w:cstheme="minorHAnsi"/>
          <w:sz w:val="22"/>
          <w:szCs w:val="22"/>
        </w:rPr>
        <w:t xml:space="preserve">. </w:t>
      </w:r>
    </w:p>
    <w:p w:rsidRPr="00BA1ABA" w:rsidR="00AB2D89" w:rsidP="00225BB0" w:rsidRDefault="00AB2D89" w14:paraId="1720FE0C" w14:textId="77777777">
      <w:pPr>
        <w:pStyle w:val="NormalWeb"/>
        <w:spacing w:before="0" w:beforeAutospacing="0" w:after="0" w:afterAutospacing="0" w:line="276" w:lineRule="auto"/>
        <w:rPr>
          <w:rFonts w:asciiTheme="minorHAnsi" w:hAnsiTheme="minorHAnsi" w:cstheme="minorHAnsi"/>
          <w:sz w:val="22"/>
          <w:szCs w:val="22"/>
          <w:highlight w:val="yellow"/>
        </w:rPr>
      </w:pPr>
    </w:p>
    <w:p w:rsidRPr="00225BB0" w:rsidR="00FB6795" w:rsidP="00225BB0" w:rsidRDefault="00C7762B" w14:paraId="4AAC2C94" w14:textId="3A3B7BF9">
      <w:pPr>
        <w:pStyle w:val="NormalWeb"/>
        <w:spacing w:before="0" w:beforeAutospacing="0" w:after="0" w:afterAutospacing="0" w:line="276" w:lineRule="auto"/>
        <w:rPr>
          <w:rFonts w:asciiTheme="minorHAnsi" w:hAnsiTheme="minorHAnsi" w:cstheme="minorHAnsi"/>
          <w:sz w:val="22"/>
          <w:szCs w:val="22"/>
        </w:rPr>
      </w:pPr>
      <w:r w:rsidRPr="00052C27">
        <w:rPr>
          <w:rFonts w:asciiTheme="minorHAnsi" w:hAnsiTheme="minorHAnsi" w:cstheme="minorHAnsi"/>
          <w:sz w:val="22"/>
          <w:szCs w:val="22"/>
        </w:rPr>
        <w:t xml:space="preserve">While there are webinar series and professional development activities offered by NIH to the extramural communities, there is currently no other program at NCI or NIH like the EIAP. </w:t>
      </w:r>
      <w:r w:rsidR="00937061">
        <w:rPr>
          <w:rFonts w:asciiTheme="minorHAnsi" w:hAnsiTheme="minorHAnsi" w:cstheme="minorHAnsi"/>
          <w:sz w:val="22"/>
          <w:szCs w:val="22"/>
        </w:rPr>
        <w:t>No existing application system</w:t>
      </w:r>
      <w:r w:rsidRPr="00052C27">
        <w:rPr>
          <w:rFonts w:asciiTheme="minorHAnsi" w:hAnsiTheme="minorHAnsi" w:cstheme="minorHAnsi"/>
          <w:sz w:val="22"/>
          <w:szCs w:val="22"/>
        </w:rPr>
        <w:t xml:space="preserve"> is </w:t>
      </w:r>
      <w:r w:rsidRPr="00052C27" w:rsidR="00C65C39">
        <w:rPr>
          <w:rFonts w:asciiTheme="minorHAnsi" w:hAnsiTheme="minorHAnsi" w:cstheme="minorHAnsi"/>
          <w:sz w:val="22"/>
          <w:szCs w:val="22"/>
        </w:rPr>
        <w:t xml:space="preserve">ideally situated to help identify </w:t>
      </w:r>
      <w:r w:rsidRPr="00052C27">
        <w:rPr>
          <w:rFonts w:asciiTheme="minorHAnsi" w:hAnsiTheme="minorHAnsi" w:cstheme="minorHAnsi"/>
          <w:sz w:val="22"/>
          <w:szCs w:val="22"/>
        </w:rPr>
        <w:t xml:space="preserve">junior investigators in cancer research </w:t>
      </w:r>
      <w:r w:rsidRPr="00052C27" w:rsidR="00C65C39">
        <w:rPr>
          <w:rFonts w:asciiTheme="minorHAnsi" w:hAnsiTheme="minorHAnsi" w:cstheme="minorHAnsi"/>
          <w:sz w:val="22"/>
          <w:szCs w:val="22"/>
        </w:rPr>
        <w:t xml:space="preserve">from diverse backgrounds </w:t>
      </w:r>
      <w:r w:rsidRPr="00052C27">
        <w:rPr>
          <w:rFonts w:asciiTheme="minorHAnsi" w:hAnsiTheme="minorHAnsi" w:cstheme="minorHAnsi"/>
          <w:sz w:val="22"/>
          <w:szCs w:val="22"/>
        </w:rPr>
        <w:t>who</w:t>
      </w:r>
      <w:r w:rsidRPr="00052C27" w:rsidR="00C65C39">
        <w:rPr>
          <w:rFonts w:asciiTheme="minorHAnsi" w:hAnsiTheme="minorHAnsi" w:cstheme="minorHAnsi"/>
          <w:sz w:val="22"/>
          <w:szCs w:val="22"/>
        </w:rPr>
        <w:t xml:space="preserve"> </w:t>
      </w:r>
      <w:r w:rsidRPr="00052C27" w:rsidR="001E6294">
        <w:rPr>
          <w:rFonts w:asciiTheme="minorHAnsi" w:hAnsiTheme="minorHAnsi" w:cstheme="minorHAnsi"/>
          <w:sz w:val="22"/>
          <w:szCs w:val="22"/>
        </w:rPr>
        <w:t>are ready and qualified to apply for an R01</w:t>
      </w:r>
      <w:r w:rsidRPr="00052C27" w:rsidR="00C65C39">
        <w:rPr>
          <w:rFonts w:asciiTheme="minorHAnsi" w:hAnsiTheme="minorHAnsi" w:cstheme="minorHAnsi"/>
          <w:sz w:val="22"/>
          <w:szCs w:val="22"/>
        </w:rPr>
        <w:t xml:space="preserve">. </w:t>
      </w:r>
    </w:p>
    <w:p w:rsidRPr="00225BB0" w:rsidR="00FB6795" w:rsidP="00225BB0" w:rsidRDefault="00FB6795" w14:paraId="52A45ACC" w14:textId="77777777">
      <w:pPr>
        <w:spacing w:after="0"/>
        <w:rPr>
          <w:rFonts w:asciiTheme="minorHAnsi" w:hAnsiTheme="minorHAnsi" w:cstheme="minorHAnsi"/>
        </w:rPr>
      </w:pPr>
    </w:p>
    <w:p w:rsidRPr="00225BB0" w:rsidR="00FB6795" w:rsidP="00225BB0" w:rsidRDefault="00685B30" w14:paraId="757E1BDC" w14:textId="39B6D2D3">
      <w:pPr>
        <w:pStyle w:val="Heading2"/>
        <w:spacing w:after="0" w:line="276" w:lineRule="auto"/>
        <w:ind w:left="720" w:hanging="720"/>
        <w:rPr>
          <w:rFonts w:asciiTheme="minorHAnsi" w:hAnsiTheme="minorHAnsi" w:cstheme="minorHAnsi"/>
          <w:szCs w:val="22"/>
        </w:rPr>
      </w:pPr>
      <w:bookmarkStart w:name="_Toc443881746" w:id="8"/>
      <w:bookmarkStart w:name="_Toc451592235" w:id="9"/>
      <w:bookmarkStart w:name="_Toc5610276" w:id="10"/>
      <w:bookmarkStart w:name="_Toc99178782" w:id="11"/>
      <w:r w:rsidRPr="00225BB0">
        <w:rPr>
          <w:rFonts w:asciiTheme="minorHAnsi" w:hAnsiTheme="minorHAnsi" w:cstheme="minorHAnsi"/>
          <w:szCs w:val="22"/>
        </w:rPr>
        <w:t>A.5</w:t>
      </w:r>
      <w:r w:rsidRPr="00225BB0">
        <w:rPr>
          <w:rFonts w:asciiTheme="minorHAnsi" w:hAnsiTheme="minorHAnsi" w:cstheme="minorHAnsi"/>
          <w:szCs w:val="22"/>
        </w:rPr>
        <w:tab/>
        <w:t>Impact on Small Businesses or Other Small Entities</w:t>
      </w:r>
      <w:bookmarkEnd w:id="8"/>
      <w:bookmarkEnd w:id="9"/>
      <w:bookmarkEnd w:id="10"/>
      <w:bookmarkEnd w:id="11"/>
      <w:r w:rsidR="00BF403E">
        <w:rPr>
          <w:rFonts w:asciiTheme="minorHAnsi" w:hAnsiTheme="minorHAnsi" w:cstheme="minorHAnsi"/>
          <w:szCs w:val="22"/>
        </w:rPr>
        <w:t xml:space="preserve"> </w:t>
      </w:r>
    </w:p>
    <w:p w:rsidRPr="00225BB0" w:rsidR="00FB6795" w:rsidP="00225BB0" w:rsidRDefault="00FB6795" w14:paraId="01FFC4E1" w14:textId="43211524">
      <w:pPr>
        <w:pStyle w:val="P1-StandPara"/>
        <w:spacing w:line="276" w:lineRule="auto"/>
        <w:ind w:firstLine="0"/>
        <w:rPr>
          <w:rFonts w:asciiTheme="minorHAnsi" w:hAnsiTheme="minorHAnsi" w:cstheme="minorHAnsi"/>
          <w:szCs w:val="22"/>
        </w:rPr>
      </w:pPr>
      <w:r w:rsidRPr="00225BB0">
        <w:rPr>
          <w:rFonts w:asciiTheme="minorHAnsi" w:hAnsiTheme="minorHAnsi" w:cstheme="minorHAnsi"/>
          <w:szCs w:val="22"/>
        </w:rPr>
        <w:t xml:space="preserve">No small businesses or other small entities will be </w:t>
      </w:r>
      <w:r w:rsidRPr="00225BB0" w:rsidR="00CE16B5">
        <w:rPr>
          <w:rFonts w:asciiTheme="minorHAnsi" w:hAnsiTheme="minorHAnsi" w:cstheme="minorHAnsi"/>
          <w:szCs w:val="22"/>
        </w:rPr>
        <w:t>impacted</w:t>
      </w:r>
      <w:r w:rsidRPr="00225BB0">
        <w:rPr>
          <w:rFonts w:asciiTheme="minorHAnsi" w:hAnsiTheme="minorHAnsi" w:cstheme="minorHAnsi"/>
          <w:szCs w:val="22"/>
        </w:rPr>
        <w:t>.</w:t>
      </w:r>
    </w:p>
    <w:p w:rsidRPr="00225BB0" w:rsidR="00FB6795" w:rsidP="00225BB0" w:rsidRDefault="00FB6795" w14:paraId="024CFC28" w14:textId="77777777">
      <w:pPr>
        <w:pStyle w:val="P1-StandPara"/>
        <w:spacing w:line="276" w:lineRule="auto"/>
        <w:ind w:firstLine="0"/>
        <w:rPr>
          <w:rFonts w:asciiTheme="minorHAnsi" w:hAnsiTheme="minorHAnsi" w:cstheme="minorHAnsi"/>
          <w:szCs w:val="22"/>
        </w:rPr>
      </w:pPr>
    </w:p>
    <w:p w:rsidRPr="00225BB0" w:rsidR="00685B30" w:rsidP="00225BB0" w:rsidRDefault="00685B30" w14:paraId="20060EE2" w14:textId="77777777">
      <w:pPr>
        <w:pStyle w:val="Heading2"/>
        <w:spacing w:after="0" w:line="276" w:lineRule="auto"/>
        <w:ind w:left="720" w:hanging="720"/>
        <w:rPr>
          <w:rFonts w:asciiTheme="minorHAnsi" w:hAnsiTheme="minorHAnsi" w:cstheme="minorHAnsi"/>
          <w:szCs w:val="22"/>
        </w:rPr>
      </w:pPr>
      <w:bookmarkStart w:name="_Toc443881747" w:id="12"/>
      <w:bookmarkStart w:name="_Toc451592236" w:id="13"/>
      <w:bookmarkStart w:name="_Toc5610277" w:id="14"/>
      <w:bookmarkStart w:name="_Toc99178783" w:id="15"/>
      <w:r w:rsidRPr="00225BB0">
        <w:rPr>
          <w:rFonts w:asciiTheme="minorHAnsi" w:hAnsiTheme="minorHAnsi" w:cstheme="minorHAnsi"/>
          <w:szCs w:val="22"/>
        </w:rPr>
        <w:t>A.6</w:t>
      </w:r>
      <w:r w:rsidRPr="00225BB0">
        <w:rPr>
          <w:rFonts w:asciiTheme="minorHAnsi" w:hAnsiTheme="minorHAnsi" w:cstheme="minorHAnsi"/>
          <w:szCs w:val="22"/>
        </w:rPr>
        <w:tab/>
        <w:t>Consequences of Collecting the Information Less Frequently</w:t>
      </w:r>
      <w:bookmarkEnd w:id="12"/>
      <w:bookmarkEnd w:id="13"/>
      <w:bookmarkEnd w:id="14"/>
      <w:bookmarkEnd w:id="15"/>
    </w:p>
    <w:p w:rsidRPr="00225BB0" w:rsidR="00FB6795" w:rsidP="00225BB0" w:rsidRDefault="00FB6795" w14:paraId="66A8FDCA" w14:textId="5CE4F8BE">
      <w:pPr>
        <w:pStyle w:val="P1-StandPara"/>
        <w:spacing w:line="276" w:lineRule="auto"/>
        <w:ind w:firstLine="0"/>
        <w:rPr>
          <w:rFonts w:asciiTheme="minorHAnsi" w:hAnsiTheme="minorHAnsi" w:cstheme="minorHAnsi"/>
          <w:szCs w:val="22"/>
        </w:rPr>
      </w:pPr>
      <w:bookmarkStart w:name="_Toc443881748" w:id="16"/>
      <w:bookmarkStart w:name="_Toc451592237" w:id="17"/>
      <w:bookmarkStart w:name="_Toc5610278" w:id="18"/>
      <w:bookmarkStart w:name="_Toc99178784" w:id="19"/>
      <w:r w:rsidRPr="00225BB0">
        <w:rPr>
          <w:rFonts w:asciiTheme="minorHAnsi" w:hAnsiTheme="minorHAnsi" w:cstheme="minorHAnsi"/>
          <w:szCs w:val="22"/>
        </w:rPr>
        <w:t xml:space="preserve">Without approval to collect applications specific to the program’s needs, the </w:t>
      </w:r>
      <w:r w:rsidR="00BA1ABA">
        <w:rPr>
          <w:rFonts w:asciiTheme="minorHAnsi" w:hAnsiTheme="minorHAnsi" w:cstheme="minorHAnsi"/>
          <w:szCs w:val="22"/>
        </w:rPr>
        <w:t>EIAP</w:t>
      </w:r>
      <w:r w:rsidRPr="00225BB0">
        <w:rPr>
          <w:rFonts w:asciiTheme="minorHAnsi" w:hAnsiTheme="minorHAnsi" w:cstheme="minorHAnsi"/>
          <w:szCs w:val="22"/>
        </w:rPr>
        <w:t xml:space="preserve"> would be compromised</w:t>
      </w:r>
      <w:r w:rsidRPr="00225BB0" w:rsidR="00A27F45">
        <w:rPr>
          <w:rFonts w:asciiTheme="minorHAnsi" w:hAnsiTheme="minorHAnsi" w:cstheme="minorHAnsi"/>
          <w:szCs w:val="22"/>
        </w:rPr>
        <w:t xml:space="preserve"> in </w:t>
      </w:r>
      <w:r w:rsidRPr="00225BB0" w:rsidR="00122B86">
        <w:rPr>
          <w:rFonts w:asciiTheme="minorHAnsi" w:hAnsiTheme="minorHAnsi" w:cstheme="minorHAnsi"/>
          <w:szCs w:val="22"/>
        </w:rPr>
        <w:t>its</w:t>
      </w:r>
      <w:r w:rsidRPr="00225BB0" w:rsidR="00A27F45">
        <w:rPr>
          <w:rFonts w:asciiTheme="minorHAnsi" w:hAnsiTheme="minorHAnsi" w:cstheme="minorHAnsi"/>
          <w:szCs w:val="22"/>
        </w:rPr>
        <w:t xml:space="preserve"> ability to identify</w:t>
      </w:r>
      <w:r w:rsidRPr="00225BB0">
        <w:rPr>
          <w:rFonts w:asciiTheme="minorHAnsi" w:hAnsiTheme="minorHAnsi" w:cstheme="minorHAnsi"/>
          <w:szCs w:val="22"/>
        </w:rPr>
        <w:t xml:space="preserve"> highly qualified </w:t>
      </w:r>
      <w:r w:rsidR="00BA1ABA">
        <w:rPr>
          <w:rFonts w:asciiTheme="minorHAnsi" w:hAnsiTheme="minorHAnsi" w:cstheme="minorHAnsi"/>
          <w:szCs w:val="22"/>
        </w:rPr>
        <w:t>applicants</w:t>
      </w:r>
      <w:r w:rsidRPr="00225BB0">
        <w:rPr>
          <w:rFonts w:asciiTheme="minorHAnsi" w:hAnsiTheme="minorHAnsi" w:cstheme="minorHAnsi"/>
          <w:szCs w:val="22"/>
        </w:rPr>
        <w:t>.</w:t>
      </w:r>
    </w:p>
    <w:p w:rsidRPr="00225BB0" w:rsidR="00A27F45" w:rsidP="00225BB0" w:rsidRDefault="00A27F45" w14:paraId="47F6967D" w14:textId="77777777">
      <w:pPr>
        <w:pStyle w:val="P1-StandPara"/>
        <w:spacing w:line="276" w:lineRule="auto"/>
        <w:ind w:firstLine="0"/>
        <w:rPr>
          <w:rFonts w:asciiTheme="minorHAnsi" w:hAnsiTheme="minorHAnsi" w:cstheme="minorHAnsi"/>
          <w:szCs w:val="22"/>
        </w:rPr>
      </w:pPr>
    </w:p>
    <w:p w:rsidRPr="00225BB0" w:rsidR="00685B30" w:rsidP="00225BB0" w:rsidRDefault="00E67B10" w14:paraId="750F1A66" w14:textId="35C2A9EA">
      <w:pPr>
        <w:pStyle w:val="Heading2"/>
        <w:tabs>
          <w:tab w:val="clear" w:pos="1152"/>
          <w:tab w:val="left" w:pos="720"/>
        </w:tabs>
        <w:spacing w:after="0" w:line="276" w:lineRule="auto"/>
        <w:ind w:left="0" w:firstLine="0"/>
        <w:rPr>
          <w:rFonts w:asciiTheme="minorHAnsi" w:hAnsiTheme="minorHAnsi" w:cstheme="minorHAnsi"/>
          <w:szCs w:val="22"/>
        </w:rPr>
      </w:pPr>
      <w:r w:rsidRPr="00225BB0">
        <w:rPr>
          <w:rFonts w:asciiTheme="minorHAnsi" w:hAnsiTheme="minorHAnsi" w:cstheme="minorHAnsi"/>
          <w:szCs w:val="22"/>
        </w:rPr>
        <w:t>A.7</w:t>
      </w:r>
      <w:r w:rsidRPr="00225BB0">
        <w:rPr>
          <w:rFonts w:asciiTheme="minorHAnsi" w:hAnsiTheme="minorHAnsi" w:cstheme="minorHAnsi"/>
          <w:szCs w:val="22"/>
        </w:rPr>
        <w:tab/>
      </w:r>
      <w:r w:rsidRPr="00225BB0" w:rsidR="00685B30">
        <w:rPr>
          <w:rFonts w:asciiTheme="minorHAnsi" w:hAnsiTheme="minorHAnsi" w:cstheme="minorHAnsi"/>
          <w:szCs w:val="22"/>
        </w:rPr>
        <w:t>Special Circumstances Relating to the Guidelines of 5 CFR 1320.5</w:t>
      </w:r>
      <w:bookmarkEnd w:id="16"/>
      <w:bookmarkEnd w:id="17"/>
      <w:bookmarkEnd w:id="18"/>
      <w:bookmarkEnd w:id="19"/>
      <w:r w:rsidR="00BF403E">
        <w:rPr>
          <w:rFonts w:asciiTheme="minorHAnsi" w:hAnsiTheme="minorHAnsi" w:cstheme="minorHAnsi"/>
          <w:szCs w:val="22"/>
        </w:rPr>
        <w:t xml:space="preserve"> </w:t>
      </w:r>
    </w:p>
    <w:p w:rsidRPr="00225BB0" w:rsidR="00FE41F9" w:rsidP="00225BB0" w:rsidRDefault="00FE41F9" w14:paraId="269F3F85" w14:textId="5727780C">
      <w:pPr>
        <w:autoSpaceDE w:val="0"/>
        <w:autoSpaceDN w:val="0"/>
        <w:adjustRightInd w:val="0"/>
        <w:spacing w:after="0"/>
        <w:rPr>
          <w:rFonts w:asciiTheme="minorHAnsi" w:hAnsiTheme="minorHAnsi" w:cstheme="minorHAnsi"/>
        </w:rPr>
      </w:pPr>
      <w:r w:rsidRPr="00225BB0">
        <w:rPr>
          <w:rFonts w:asciiTheme="minorHAnsi" w:hAnsiTheme="minorHAnsi" w:cstheme="minorHAnsi"/>
        </w:rPr>
        <w:t>There are no special circumstances</w:t>
      </w:r>
      <w:r w:rsidRPr="00225BB0" w:rsidR="00CE16B5">
        <w:rPr>
          <w:rFonts w:asciiTheme="minorHAnsi" w:hAnsiTheme="minorHAnsi" w:cstheme="minorHAnsi"/>
        </w:rPr>
        <w:t xml:space="preserve"> for this information collection request relating to guidelines of 5 CFR 1320.5</w:t>
      </w:r>
      <w:r w:rsidRPr="00225BB0">
        <w:rPr>
          <w:rFonts w:asciiTheme="minorHAnsi" w:hAnsiTheme="minorHAnsi" w:cstheme="minorHAnsi"/>
        </w:rPr>
        <w:t>.</w:t>
      </w:r>
    </w:p>
    <w:p w:rsidRPr="00225BB0" w:rsidR="00685B30" w:rsidP="00225BB0" w:rsidRDefault="00685B30" w14:paraId="110A10E2" w14:textId="37371FE0">
      <w:pPr>
        <w:pStyle w:val="P1-StandPara"/>
        <w:spacing w:line="276" w:lineRule="auto"/>
        <w:ind w:firstLine="0"/>
        <w:rPr>
          <w:rFonts w:asciiTheme="minorHAnsi" w:hAnsiTheme="minorHAnsi" w:cstheme="minorHAnsi"/>
          <w:szCs w:val="22"/>
        </w:rPr>
      </w:pPr>
    </w:p>
    <w:p w:rsidRPr="00225BB0" w:rsidR="00225BB0" w:rsidP="00225BB0" w:rsidRDefault="00225BB0" w14:paraId="29E6782D" w14:textId="77777777">
      <w:pPr>
        <w:autoSpaceDE w:val="0"/>
        <w:autoSpaceDN w:val="0"/>
        <w:adjustRightInd w:val="0"/>
        <w:spacing w:after="0"/>
        <w:outlineLvl w:val="0"/>
        <w:rPr>
          <w:rFonts w:eastAsia="Times New Roman" w:asciiTheme="minorHAnsi" w:hAnsiTheme="minorHAnsi" w:cstheme="minorHAnsi"/>
          <w:b/>
        </w:rPr>
      </w:pPr>
      <w:r w:rsidRPr="00225BB0">
        <w:rPr>
          <w:rFonts w:eastAsia="Times New Roman" w:asciiTheme="minorHAnsi" w:hAnsiTheme="minorHAnsi" w:cstheme="minorHAnsi"/>
          <w:b/>
        </w:rPr>
        <w:t>A.8 Comments in Response to the Federal Register Notice and Efforts to Consult Outside Agency</w:t>
      </w:r>
    </w:p>
    <w:p w:rsidRPr="00225BB0" w:rsidR="00225BB0" w:rsidP="00225BB0" w:rsidRDefault="00225BB0" w14:paraId="099D283F" w14:textId="77777777">
      <w:pPr>
        <w:autoSpaceDE w:val="0"/>
        <w:autoSpaceDN w:val="0"/>
        <w:adjustRightInd w:val="0"/>
        <w:spacing w:after="0"/>
        <w:outlineLvl w:val="0"/>
        <w:rPr>
          <w:rFonts w:eastAsia="Times New Roman" w:asciiTheme="minorHAnsi" w:hAnsiTheme="minorHAnsi" w:cstheme="minorHAnsi"/>
          <w:bCs/>
        </w:rPr>
      </w:pPr>
      <w:r w:rsidRPr="00225BB0">
        <w:rPr>
          <w:rFonts w:eastAsia="Times New Roman" w:asciiTheme="minorHAnsi" w:hAnsiTheme="minorHAnsi" w:cstheme="minorHAnsi"/>
          <w:bCs/>
        </w:rPr>
        <w:t>N/A</w:t>
      </w:r>
    </w:p>
    <w:p w:rsidRPr="00225BB0" w:rsidR="005B6B06" w:rsidP="00225BB0" w:rsidRDefault="005B6B06" w14:paraId="0660773D" w14:textId="77777777">
      <w:pPr>
        <w:autoSpaceDE w:val="0"/>
        <w:autoSpaceDN w:val="0"/>
        <w:adjustRightInd w:val="0"/>
        <w:spacing w:after="0"/>
        <w:outlineLvl w:val="0"/>
        <w:rPr>
          <w:rFonts w:asciiTheme="minorHAnsi" w:hAnsiTheme="minorHAnsi" w:cstheme="minorHAnsi"/>
        </w:rPr>
      </w:pPr>
    </w:p>
    <w:p w:rsidRPr="00225BB0" w:rsidR="00685B30" w:rsidP="00225BB0" w:rsidRDefault="00685B30" w14:paraId="1483D8C1" w14:textId="77777777">
      <w:pPr>
        <w:pStyle w:val="P1-StandPara"/>
        <w:spacing w:line="276" w:lineRule="auto"/>
        <w:ind w:firstLine="0"/>
        <w:rPr>
          <w:rFonts w:asciiTheme="minorHAnsi" w:hAnsiTheme="minorHAnsi" w:cstheme="minorHAnsi"/>
          <w:b/>
          <w:szCs w:val="22"/>
        </w:rPr>
      </w:pPr>
      <w:r w:rsidRPr="00225BB0">
        <w:rPr>
          <w:rFonts w:asciiTheme="minorHAnsi" w:hAnsiTheme="minorHAnsi" w:cstheme="minorHAnsi"/>
          <w:b/>
          <w:szCs w:val="22"/>
        </w:rPr>
        <w:t>A.9</w:t>
      </w:r>
      <w:r w:rsidRPr="00225BB0">
        <w:rPr>
          <w:rFonts w:asciiTheme="minorHAnsi" w:hAnsiTheme="minorHAnsi" w:cstheme="minorHAnsi"/>
          <w:b/>
          <w:szCs w:val="22"/>
        </w:rPr>
        <w:tab/>
        <w:t>Explanation of Any Payment of Gift to Respondents</w:t>
      </w:r>
    </w:p>
    <w:p w:rsidRPr="00225BB0" w:rsidR="000551A9" w:rsidP="00225BB0" w:rsidRDefault="005577DE" w14:paraId="272F7C21" w14:textId="20355B33">
      <w:pPr>
        <w:pStyle w:val="P1-StandPara"/>
        <w:spacing w:line="276" w:lineRule="auto"/>
        <w:ind w:firstLine="0"/>
        <w:rPr>
          <w:rFonts w:asciiTheme="minorHAnsi" w:hAnsiTheme="minorHAnsi" w:cstheme="minorHAnsi"/>
          <w:szCs w:val="22"/>
        </w:rPr>
      </w:pPr>
      <w:r w:rsidRPr="00225BB0">
        <w:rPr>
          <w:rFonts w:asciiTheme="minorHAnsi" w:hAnsiTheme="minorHAnsi" w:cstheme="minorHAnsi"/>
          <w:szCs w:val="22"/>
        </w:rPr>
        <w:t>Neither payments nor gifts will be provided to respondents who complete the application.</w:t>
      </w:r>
    </w:p>
    <w:p w:rsidRPr="00225BB0" w:rsidR="005577DE" w:rsidP="00225BB0" w:rsidRDefault="005577DE" w14:paraId="1C44F89C" w14:textId="77777777">
      <w:pPr>
        <w:pStyle w:val="P1-StandPara"/>
        <w:spacing w:line="276" w:lineRule="auto"/>
        <w:ind w:firstLine="0"/>
        <w:rPr>
          <w:rFonts w:asciiTheme="minorHAnsi" w:hAnsiTheme="minorHAnsi" w:cstheme="minorHAnsi"/>
          <w:b/>
          <w:szCs w:val="22"/>
        </w:rPr>
      </w:pPr>
    </w:p>
    <w:p w:rsidRPr="00225BB0" w:rsidR="0036208F" w:rsidP="00225BB0" w:rsidRDefault="00685B30" w14:paraId="15773757" w14:textId="661E6332">
      <w:pPr>
        <w:pStyle w:val="P1-StandPara"/>
        <w:spacing w:line="276" w:lineRule="auto"/>
        <w:ind w:firstLine="0"/>
        <w:rPr>
          <w:rFonts w:asciiTheme="minorHAnsi" w:hAnsiTheme="minorHAnsi" w:cstheme="minorHAnsi"/>
          <w:b/>
          <w:szCs w:val="22"/>
        </w:rPr>
      </w:pPr>
      <w:r w:rsidRPr="00225BB0">
        <w:rPr>
          <w:rFonts w:asciiTheme="minorHAnsi" w:hAnsiTheme="minorHAnsi" w:cstheme="minorHAnsi"/>
          <w:b/>
          <w:szCs w:val="22"/>
        </w:rPr>
        <w:t>A.10</w:t>
      </w:r>
      <w:r w:rsidRPr="00225BB0">
        <w:rPr>
          <w:rFonts w:asciiTheme="minorHAnsi" w:hAnsiTheme="minorHAnsi" w:cstheme="minorHAnsi"/>
          <w:b/>
          <w:szCs w:val="22"/>
        </w:rPr>
        <w:tab/>
        <w:t>Assurance of Confiden</w:t>
      </w:r>
      <w:r w:rsidRPr="00225BB0" w:rsidR="00AA604C">
        <w:rPr>
          <w:rFonts w:asciiTheme="minorHAnsi" w:hAnsiTheme="minorHAnsi" w:cstheme="minorHAnsi"/>
          <w:b/>
          <w:szCs w:val="22"/>
        </w:rPr>
        <w:t>tiality Provided to Respondents</w:t>
      </w:r>
      <w:r w:rsidRPr="00225BB0" w:rsidR="00C54848">
        <w:rPr>
          <w:rFonts w:asciiTheme="minorHAnsi" w:hAnsiTheme="minorHAnsi" w:cstheme="minorHAnsi"/>
          <w:b/>
          <w:szCs w:val="22"/>
        </w:rPr>
        <w:t xml:space="preserve"> </w:t>
      </w:r>
    </w:p>
    <w:p w:rsidRPr="00225BB0" w:rsidR="004B5A1D" w:rsidP="00225BB0" w:rsidRDefault="000319F9" w14:paraId="31111C4B" w14:textId="77508B9F">
      <w:pPr>
        <w:pStyle w:val="P1-StandPara"/>
        <w:spacing w:line="276" w:lineRule="auto"/>
        <w:ind w:firstLine="0"/>
        <w:rPr>
          <w:rFonts w:asciiTheme="minorHAnsi" w:hAnsiTheme="minorHAnsi" w:cstheme="minorHAnsi"/>
          <w:szCs w:val="22"/>
        </w:rPr>
      </w:pPr>
      <w:r w:rsidRPr="00225BB0">
        <w:rPr>
          <w:rFonts w:asciiTheme="minorHAnsi" w:hAnsiTheme="minorHAnsi" w:cstheme="minorHAnsi"/>
          <w:szCs w:val="22"/>
        </w:rPr>
        <w:t>There is no assurance of confidentiality provided to the applicants</w:t>
      </w:r>
      <w:r w:rsidR="00937061">
        <w:rPr>
          <w:rFonts w:asciiTheme="minorHAnsi" w:hAnsiTheme="minorHAnsi" w:cstheme="minorHAnsi"/>
          <w:szCs w:val="22"/>
        </w:rPr>
        <w:t>. However,</w:t>
      </w:r>
      <w:r w:rsidRPr="00225BB0">
        <w:rPr>
          <w:rFonts w:asciiTheme="minorHAnsi" w:hAnsiTheme="minorHAnsi" w:cstheme="minorHAnsi"/>
          <w:szCs w:val="22"/>
        </w:rPr>
        <w:t xml:space="preserve"> their information will be kept private to the extent provided by law.</w:t>
      </w:r>
    </w:p>
    <w:p w:rsidRPr="00225BB0" w:rsidR="004B5A1D" w:rsidP="00225BB0" w:rsidRDefault="004B5A1D" w14:paraId="11F3B910" w14:textId="77777777">
      <w:pPr>
        <w:pStyle w:val="P1-StandPara"/>
        <w:spacing w:line="276" w:lineRule="auto"/>
        <w:ind w:firstLine="0"/>
        <w:rPr>
          <w:rFonts w:asciiTheme="minorHAnsi" w:hAnsiTheme="minorHAnsi" w:cstheme="minorHAnsi"/>
          <w:szCs w:val="22"/>
        </w:rPr>
      </w:pPr>
    </w:p>
    <w:p w:rsidR="00CC0716" w:rsidP="00225BB0" w:rsidRDefault="00996AD2" w14:paraId="063DE401" w14:textId="37C86FB5">
      <w:pPr>
        <w:pStyle w:val="P1-StandPara"/>
        <w:spacing w:line="276" w:lineRule="auto"/>
        <w:ind w:firstLine="0"/>
        <w:rPr>
          <w:rFonts w:asciiTheme="minorHAnsi" w:hAnsiTheme="minorHAnsi" w:cstheme="minorHAnsi"/>
          <w:szCs w:val="22"/>
        </w:rPr>
      </w:pPr>
      <w:r w:rsidRPr="00225BB0">
        <w:rPr>
          <w:rFonts w:asciiTheme="minorHAnsi" w:hAnsiTheme="minorHAnsi" w:cstheme="minorHAnsi"/>
          <w:szCs w:val="22"/>
        </w:rPr>
        <w:t xml:space="preserve">The NIH Privacy Act Officer was </w:t>
      </w:r>
      <w:r w:rsidRPr="00225BB0" w:rsidR="005A7D42">
        <w:rPr>
          <w:rFonts w:asciiTheme="minorHAnsi" w:hAnsiTheme="minorHAnsi" w:cstheme="minorHAnsi"/>
          <w:szCs w:val="22"/>
        </w:rPr>
        <w:t>consulted</w:t>
      </w:r>
      <w:r w:rsidRPr="00225BB0">
        <w:rPr>
          <w:rFonts w:asciiTheme="minorHAnsi" w:hAnsiTheme="minorHAnsi" w:cstheme="minorHAnsi"/>
          <w:szCs w:val="22"/>
        </w:rPr>
        <w:t xml:space="preserve"> and determined t</w:t>
      </w:r>
      <w:r w:rsidRPr="00225BB0" w:rsidR="000319F9">
        <w:rPr>
          <w:rFonts w:asciiTheme="minorHAnsi" w:hAnsiTheme="minorHAnsi" w:cstheme="minorHAnsi"/>
          <w:szCs w:val="22"/>
        </w:rPr>
        <w:t xml:space="preserve">he information collected is covered by the NIH Privacy Act Systems of </w:t>
      </w:r>
      <w:r w:rsidRPr="00225BB0" w:rsidR="00CC0716">
        <w:rPr>
          <w:rFonts w:asciiTheme="minorHAnsi" w:hAnsiTheme="minorHAnsi" w:cstheme="minorHAnsi"/>
          <w:szCs w:val="22"/>
        </w:rPr>
        <w:t>Records Notice (SORN) is #</w:t>
      </w:r>
      <w:r w:rsidRPr="00225BB0" w:rsidR="00CC0716">
        <w:rPr>
          <w:rFonts w:asciiTheme="minorHAnsi" w:hAnsiTheme="minorHAnsi" w:cstheme="minorHAnsi"/>
          <w:bCs/>
          <w:szCs w:val="22"/>
        </w:rPr>
        <w:t>09–25–0014,</w:t>
      </w:r>
      <w:r w:rsidRPr="00225BB0" w:rsidR="00CC0716">
        <w:rPr>
          <w:rFonts w:asciiTheme="minorHAnsi" w:hAnsiTheme="minorHAnsi" w:cstheme="minorHAnsi"/>
          <w:szCs w:val="22"/>
        </w:rPr>
        <w:t xml:space="preserve"> “Clinical Research; Student Records, HHS/PHS/NIH/OD/OIR/OE” </w:t>
      </w:r>
      <w:r w:rsidRPr="00225BB0" w:rsidR="000319F9">
        <w:rPr>
          <w:rFonts w:asciiTheme="minorHAnsi" w:hAnsiTheme="minorHAnsi" w:cstheme="minorHAnsi"/>
          <w:b/>
          <w:szCs w:val="22"/>
        </w:rPr>
        <w:t xml:space="preserve">(Attachment </w:t>
      </w:r>
      <w:r w:rsidR="00D34F82">
        <w:rPr>
          <w:rFonts w:asciiTheme="minorHAnsi" w:hAnsiTheme="minorHAnsi" w:cstheme="minorHAnsi"/>
          <w:b/>
          <w:szCs w:val="22"/>
        </w:rPr>
        <w:t>3</w:t>
      </w:r>
      <w:r w:rsidRPr="00225BB0" w:rsidR="000319F9">
        <w:rPr>
          <w:rFonts w:asciiTheme="minorHAnsi" w:hAnsiTheme="minorHAnsi" w:cstheme="minorHAnsi"/>
          <w:szCs w:val="22"/>
        </w:rPr>
        <w:t>)</w:t>
      </w:r>
      <w:r w:rsidRPr="00225BB0">
        <w:rPr>
          <w:rFonts w:asciiTheme="minorHAnsi" w:hAnsiTheme="minorHAnsi" w:cstheme="minorHAnsi"/>
          <w:szCs w:val="22"/>
        </w:rPr>
        <w:t>.</w:t>
      </w:r>
      <w:r w:rsidRPr="00225BB0" w:rsidR="000319F9">
        <w:rPr>
          <w:rFonts w:asciiTheme="minorHAnsi" w:hAnsiTheme="minorHAnsi" w:cstheme="minorHAnsi"/>
          <w:szCs w:val="22"/>
        </w:rPr>
        <w:t xml:space="preserve">  </w:t>
      </w:r>
    </w:p>
    <w:p w:rsidR="00594DCC" w:rsidP="00225BB0" w:rsidRDefault="00594DCC" w14:paraId="1F72404F" w14:textId="7D19CA19">
      <w:pPr>
        <w:pStyle w:val="P1-StandPara"/>
        <w:spacing w:line="276" w:lineRule="auto"/>
        <w:ind w:firstLine="0"/>
        <w:rPr>
          <w:rFonts w:asciiTheme="minorHAnsi" w:hAnsiTheme="minorHAnsi" w:cstheme="minorHAnsi"/>
          <w:szCs w:val="22"/>
        </w:rPr>
      </w:pPr>
    </w:p>
    <w:p w:rsidRPr="00225BB0" w:rsidR="00594DCC" w:rsidP="00225BB0" w:rsidRDefault="00594DCC" w14:paraId="616B1226" w14:textId="77777777">
      <w:pPr>
        <w:pStyle w:val="P1-StandPara"/>
        <w:spacing w:line="276" w:lineRule="auto"/>
        <w:ind w:firstLine="0"/>
        <w:rPr>
          <w:rFonts w:asciiTheme="minorHAnsi" w:hAnsiTheme="minorHAnsi" w:cstheme="minorHAnsi"/>
          <w:szCs w:val="22"/>
        </w:rPr>
      </w:pPr>
    </w:p>
    <w:p w:rsidR="00DC0514" w:rsidP="00225BB0" w:rsidRDefault="00DC0514" w14:paraId="19BCC599" w14:textId="77777777">
      <w:pPr>
        <w:pStyle w:val="P1-StandPara"/>
        <w:spacing w:line="276" w:lineRule="auto"/>
        <w:ind w:firstLine="0"/>
        <w:rPr>
          <w:rFonts w:asciiTheme="minorHAnsi" w:hAnsiTheme="minorHAnsi" w:cstheme="minorHAnsi"/>
          <w:b/>
          <w:szCs w:val="22"/>
        </w:rPr>
      </w:pPr>
    </w:p>
    <w:p w:rsidRPr="00225BB0" w:rsidR="00685B30" w:rsidP="00225BB0" w:rsidRDefault="00685B30" w14:paraId="01F4C9A1" w14:textId="77777777">
      <w:pPr>
        <w:pStyle w:val="P1-StandPara"/>
        <w:spacing w:line="276" w:lineRule="auto"/>
        <w:ind w:firstLine="0"/>
        <w:rPr>
          <w:rFonts w:asciiTheme="minorHAnsi" w:hAnsiTheme="minorHAnsi" w:cstheme="minorHAnsi"/>
          <w:b/>
          <w:szCs w:val="22"/>
        </w:rPr>
      </w:pPr>
      <w:r w:rsidRPr="00225BB0">
        <w:rPr>
          <w:rFonts w:asciiTheme="minorHAnsi" w:hAnsiTheme="minorHAnsi" w:cstheme="minorHAnsi"/>
          <w:b/>
          <w:szCs w:val="22"/>
        </w:rPr>
        <w:t>A.11</w:t>
      </w:r>
      <w:r w:rsidRPr="00225BB0">
        <w:rPr>
          <w:rFonts w:asciiTheme="minorHAnsi" w:hAnsiTheme="minorHAnsi" w:cstheme="minorHAnsi"/>
          <w:b/>
          <w:szCs w:val="22"/>
        </w:rPr>
        <w:tab/>
        <w:t>Justification for Sensitive Questions</w:t>
      </w:r>
    </w:p>
    <w:p w:rsidRPr="00225BB0" w:rsidR="00CC0716" w:rsidP="00225BB0" w:rsidRDefault="00C54848" w14:paraId="0AB80BDF" w14:textId="29B26DD5">
      <w:pPr>
        <w:pStyle w:val="P1-StandPara"/>
        <w:spacing w:line="276" w:lineRule="auto"/>
        <w:ind w:firstLine="0"/>
        <w:rPr>
          <w:rFonts w:asciiTheme="minorHAnsi" w:hAnsiTheme="minorHAnsi" w:cstheme="minorHAnsi"/>
          <w:szCs w:val="22"/>
        </w:rPr>
      </w:pPr>
      <w:r w:rsidRPr="00225BB0">
        <w:rPr>
          <w:rFonts w:asciiTheme="minorHAnsi" w:hAnsiTheme="minorHAnsi" w:cstheme="minorHAnsi"/>
          <w:szCs w:val="22"/>
        </w:rPr>
        <w:t xml:space="preserve">The </w:t>
      </w:r>
      <w:r w:rsidR="00424628">
        <w:rPr>
          <w:rFonts w:asciiTheme="minorHAnsi" w:hAnsiTheme="minorHAnsi" w:cstheme="minorHAnsi"/>
          <w:szCs w:val="22"/>
        </w:rPr>
        <w:t>EIAP</w:t>
      </w:r>
      <w:r w:rsidRPr="00225BB0">
        <w:rPr>
          <w:rFonts w:asciiTheme="minorHAnsi" w:hAnsiTheme="minorHAnsi" w:cstheme="minorHAnsi"/>
          <w:szCs w:val="22"/>
        </w:rPr>
        <w:t xml:space="preserve"> application </w:t>
      </w:r>
      <w:r w:rsidRPr="00225BB0" w:rsidR="00CC0716">
        <w:rPr>
          <w:rFonts w:asciiTheme="minorHAnsi" w:hAnsiTheme="minorHAnsi" w:cstheme="minorHAnsi"/>
          <w:szCs w:val="22"/>
        </w:rPr>
        <w:t xml:space="preserve">will collect </w:t>
      </w:r>
      <w:r w:rsidRPr="00225BB0" w:rsidR="00A27F45">
        <w:rPr>
          <w:rFonts w:asciiTheme="minorHAnsi" w:hAnsiTheme="minorHAnsi" w:cstheme="minorHAnsi"/>
          <w:szCs w:val="22"/>
        </w:rPr>
        <w:t xml:space="preserve">information on </w:t>
      </w:r>
      <w:r w:rsidRPr="00225BB0" w:rsidR="00CC0716">
        <w:rPr>
          <w:rFonts w:asciiTheme="minorHAnsi" w:hAnsiTheme="minorHAnsi" w:cstheme="minorHAnsi"/>
          <w:szCs w:val="22"/>
        </w:rPr>
        <w:t xml:space="preserve">race, ethnicity, gender, disability, and socioeconomic status. This will help </w:t>
      </w:r>
      <w:r w:rsidR="00F265EA">
        <w:rPr>
          <w:rFonts w:asciiTheme="minorHAnsi" w:hAnsiTheme="minorHAnsi" w:cstheme="minorHAnsi"/>
          <w:szCs w:val="22"/>
        </w:rPr>
        <w:t>CRCHD staff</w:t>
      </w:r>
      <w:r w:rsidRPr="00225BB0" w:rsidR="00F265EA">
        <w:rPr>
          <w:rFonts w:asciiTheme="minorHAnsi" w:hAnsiTheme="minorHAnsi" w:cstheme="minorHAnsi"/>
          <w:szCs w:val="22"/>
        </w:rPr>
        <w:t xml:space="preserve"> </w:t>
      </w:r>
      <w:r w:rsidRPr="00225BB0" w:rsidR="00CC0716">
        <w:rPr>
          <w:rFonts w:asciiTheme="minorHAnsi" w:hAnsiTheme="minorHAnsi" w:cstheme="minorHAnsi"/>
          <w:szCs w:val="22"/>
        </w:rPr>
        <w:t>assess the effectiveness of</w:t>
      </w:r>
      <w:r w:rsidRPr="00225BB0">
        <w:rPr>
          <w:rFonts w:asciiTheme="minorHAnsi" w:hAnsiTheme="minorHAnsi" w:cstheme="minorHAnsi"/>
          <w:szCs w:val="22"/>
        </w:rPr>
        <w:t xml:space="preserve"> the </w:t>
      </w:r>
      <w:r w:rsidR="00424628">
        <w:rPr>
          <w:rFonts w:asciiTheme="minorHAnsi" w:hAnsiTheme="minorHAnsi" w:cstheme="minorHAnsi"/>
          <w:szCs w:val="22"/>
        </w:rPr>
        <w:t>EIAP</w:t>
      </w:r>
      <w:r w:rsidRPr="00225BB0">
        <w:rPr>
          <w:rFonts w:asciiTheme="minorHAnsi" w:hAnsiTheme="minorHAnsi" w:cstheme="minorHAnsi"/>
          <w:szCs w:val="22"/>
        </w:rPr>
        <w:t xml:space="preserve"> in reaching its </w:t>
      </w:r>
      <w:r w:rsidRPr="00225BB0" w:rsidR="00DB7F4C">
        <w:rPr>
          <w:rFonts w:asciiTheme="minorHAnsi" w:hAnsiTheme="minorHAnsi" w:cstheme="minorHAnsi"/>
          <w:szCs w:val="22"/>
        </w:rPr>
        <w:t xml:space="preserve">primary </w:t>
      </w:r>
      <w:r w:rsidRPr="00225BB0" w:rsidR="00CC0716">
        <w:rPr>
          <w:rFonts w:asciiTheme="minorHAnsi" w:hAnsiTheme="minorHAnsi" w:cstheme="minorHAnsi"/>
          <w:szCs w:val="22"/>
        </w:rPr>
        <w:t xml:space="preserve">goal of </w:t>
      </w:r>
      <w:r w:rsidR="00C30BDD">
        <w:rPr>
          <w:rFonts w:asciiTheme="minorHAnsi" w:hAnsiTheme="minorHAnsi" w:cstheme="minorHAnsi"/>
          <w:szCs w:val="22"/>
        </w:rPr>
        <w:t>advancing underrepresented scientists to independent investigators.</w:t>
      </w:r>
      <w:r w:rsidRPr="00225BB0" w:rsidR="00CC0716">
        <w:rPr>
          <w:rFonts w:asciiTheme="minorHAnsi" w:hAnsiTheme="minorHAnsi" w:cstheme="minorHAnsi"/>
          <w:szCs w:val="22"/>
        </w:rPr>
        <w:t xml:space="preserve"> </w:t>
      </w:r>
      <w:r w:rsidRPr="00225BB0" w:rsidR="00CC0716">
        <w:rPr>
          <w:rFonts w:asciiTheme="minorHAnsi" w:hAnsiTheme="minorHAnsi" w:cstheme="minorHAnsi"/>
          <w:bCs/>
          <w:szCs w:val="22"/>
        </w:rPr>
        <w:t xml:space="preserve">This information will be used solely to </w:t>
      </w:r>
      <w:r w:rsidRPr="00225BB0" w:rsidR="00A27F45">
        <w:rPr>
          <w:rFonts w:asciiTheme="minorHAnsi" w:hAnsiTheme="minorHAnsi" w:cstheme="minorHAnsi"/>
          <w:bCs/>
          <w:szCs w:val="22"/>
        </w:rPr>
        <w:t xml:space="preserve">help evaluate outcomes of the </w:t>
      </w:r>
      <w:r w:rsidR="00C30BDD">
        <w:rPr>
          <w:rFonts w:asciiTheme="minorHAnsi" w:hAnsiTheme="minorHAnsi" w:cstheme="minorHAnsi"/>
          <w:bCs/>
          <w:szCs w:val="22"/>
        </w:rPr>
        <w:t>EIAP</w:t>
      </w:r>
      <w:r w:rsidRPr="00225BB0" w:rsidR="00A27F45">
        <w:rPr>
          <w:rFonts w:asciiTheme="minorHAnsi" w:hAnsiTheme="minorHAnsi" w:cstheme="minorHAnsi"/>
          <w:bCs/>
          <w:szCs w:val="22"/>
        </w:rPr>
        <w:t xml:space="preserve"> </w:t>
      </w:r>
      <w:r w:rsidRPr="00225BB0" w:rsidR="00AA7506">
        <w:rPr>
          <w:rFonts w:asciiTheme="minorHAnsi" w:hAnsiTheme="minorHAnsi" w:cstheme="minorHAnsi"/>
          <w:bCs/>
          <w:szCs w:val="22"/>
        </w:rPr>
        <w:t>and identify gaps to be addressed</w:t>
      </w:r>
      <w:r w:rsidRPr="00225BB0" w:rsidR="00A27F45">
        <w:rPr>
          <w:rFonts w:asciiTheme="minorHAnsi" w:hAnsiTheme="minorHAnsi" w:cstheme="minorHAnsi"/>
          <w:bCs/>
          <w:szCs w:val="22"/>
        </w:rPr>
        <w:t xml:space="preserve">. </w:t>
      </w:r>
    </w:p>
    <w:p w:rsidR="00225BB0" w:rsidP="00225BB0" w:rsidRDefault="00225BB0" w14:paraId="63C64F5A" w14:textId="77777777">
      <w:pPr>
        <w:spacing w:after="0"/>
        <w:rPr>
          <w:rFonts w:eastAsia="Times New Roman" w:asciiTheme="minorHAnsi" w:hAnsiTheme="minorHAnsi" w:cstheme="minorHAnsi"/>
          <w:b/>
        </w:rPr>
      </w:pPr>
    </w:p>
    <w:p w:rsidRPr="00225BB0" w:rsidR="00F40CE3" w:rsidP="00225BB0" w:rsidRDefault="00F40CE3" w14:paraId="1365364E" w14:textId="3C6402A5">
      <w:pPr>
        <w:spacing w:after="0"/>
        <w:rPr>
          <w:rFonts w:eastAsia="Times New Roman" w:asciiTheme="minorHAnsi" w:hAnsiTheme="minorHAnsi" w:cstheme="minorHAnsi"/>
          <w:b/>
        </w:rPr>
      </w:pPr>
      <w:r w:rsidRPr="00225BB0">
        <w:rPr>
          <w:rFonts w:eastAsia="Times New Roman" w:asciiTheme="minorHAnsi" w:hAnsiTheme="minorHAnsi" w:cstheme="minorHAnsi"/>
          <w:b/>
        </w:rPr>
        <w:t>A.12</w:t>
      </w:r>
      <w:r w:rsidRPr="00225BB0">
        <w:rPr>
          <w:rFonts w:eastAsia="Times New Roman" w:asciiTheme="minorHAnsi" w:hAnsiTheme="minorHAnsi" w:cstheme="minorHAnsi"/>
          <w:b/>
        </w:rPr>
        <w:tab/>
        <w:t>Estimates of Hour Burden Including Annualized Hourly Costs</w:t>
      </w:r>
    </w:p>
    <w:p w:rsidRPr="00225BB0" w:rsidR="00225BB0" w:rsidP="00225BB0" w:rsidRDefault="0016469E" w14:paraId="57A49ED7" w14:textId="58F2A1EF">
      <w:pPr>
        <w:pStyle w:val="P1-StandPara"/>
        <w:tabs>
          <w:tab w:val="left" w:pos="720"/>
          <w:tab w:val="right" w:leader="dot" w:pos="9504"/>
        </w:tabs>
        <w:spacing w:line="276" w:lineRule="auto"/>
        <w:ind w:firstLine="0"/>
        <w:rPr>
          <w:rFonts w:asciiTheme="minorHAnsi" w:hAnsiTheme="minorHAnsi" w:cstheme="minorHAnsi"/>
        </w:rPr>
      </w:pPr>
      <w:r w:rsidRPr="00225BB0">
        <w:rPr>
          <w:rFonts w:asciiTheme="minorHAnsi" w:hAnsiTheme="minorHAnsi" w:cstheme="minorHAnsi"/>
          <w:szCs w:val="22"/>
        </w:rPr>
        <w:t xml:space="preserve">The </w:t>
      </w:r>
      <w:r w:rsidR="00C30BDD">
        <w:rPr>
          <w:rFonts w:asciiTheme="minorHAnsi" w:hAnsiTheme="minorHAnsi" w:cstheme="minorHAnsi"/>
          <w:szCs w:val="22"/>
        </w:rPr>
        <w:t>EIAP</w:t>
      </w:r>
      <w:r w:rsidRPr="00225BB0">
        <w:rPr>
          <w:rFonts w:asciiTheme="minorHAnsi" w:hAnsiTheme="minorHAnsi" w:cstheme="minorHAnsi"/>
          <w:szCs w:val="22"/>
        </w:rPr>
        <w:t xml:space="preserve"> plans to collect application and reference letter</w:t>
      </w:r>
      <w:r w:rsidR="00F265EA">
        <w:rPr>
          <w:rFonts w:asciiTheme="minorHAnsi" w:hAnsiTheme="minorHAnsi" w:cstheme="minorHAnsi"/>
          <w:szCs w:val="22"/>
        </w:rPr>
        <w:t>s</w:t>
      </w:r>
      <w:r w:rsidRPr="00225BB0">
        <w:rPr>
          <w:rFonts w:asciiTheme="minorHAnsi" w:hAnsiTheme="minorHAnsi" w:cstheme="minorHAnsi"/>
          <w:szCs w:val="22"/>
        </w:rPr>
        <w:t xml:space="preserve"> to help evaluate the merits of candidates and their potential match for the </w:t>
      </w:r>
      <w:r w:rsidR="00C30BDD">
        <w:rPr>
          <w:rFonts w:asciiTheme="minorHAnsi" w:hAnsiTheme="minorHAnsi" w:cstheme="minorHAnsi"/>
          <w:szCs w:val="22"/>
        </w:rPr>
        <w:t>EIAP</w:t>
      </w:r>
      <w:r w:rsidRPr="00225BB0">
        <w:rPr>
          <w:rFonts w:asciiTheme="minorHAnsi" w:hAnsiTheme="minorHAnsi" w:cstheme="minorHAnsi"/>
          <w:szCs w:val="22"/>
        </w:rPr>
        <w:t xml:space="preserve">. The </w:t>
      </w:r>
      <w:r w:rsidR="00C30BDD">
        <w:rPr>
          <w:rFonts w:asciiTheme="minorHAnsi" w:hAnsiTheme="minorHAnsi" w:cstheme="minorHAnsi"/>
          <w:szCs w:val="22"/>
        </w:rPr>
        <w:t>EIAP</w:t>
      </w:r>
      <w:r w:rsidRPr="00225BB0">
        <w:rPr>
          <w:rFonts w:asciiTheme="minorHAnsi" w:hAnsiTheme="minorHAnsi" w:cstheme="minorHAnsi"/>
          <w:szCs w:val="22"/>
        </w:rPr>
        <w:t xml:space="preserve"> anticipates </w:t>
      </w:r>
      <w:r w:rsidRPr="00225BB0" w:rsidR="00F826B7">
        <w:rPr>
          <w:rFonts w:asciiTheme="minorHAnsi" w:hAnsiTheme="minorHAnsi" w:cstheme="minorHAnsi"/>
          <w:szCs w:val="22"/>
        </w:rPr>
        <w:t>receiving</w:t>
      </w:r>
      <w:r w:rsidRPr="00225BB0">
        <w:rPr>
          <w:rFonts w:asciiTheme="minorHAnsi" w:hAnsiTheme="minorHAnsi" w:cstheme="minorHAnsi"/>
          <w:szCs w:val="22"/>
        </w:rPr>
        <w:t xml:space="preserve"> </w:t>
      </w:r>
      <w:r w:rsidR="00BF403E">
        <w:rPr>
          <w:rFonts w:asciiTheme="minorHAnsi" w:hAnsiTheme="minorHAnsi" w:cstheme="minorHAnsi"/>
          <w:szCs w:val="22"/>
        </w:rPr>
        <w:t>70</w:t>
      </w:r>
      <w:r w:rsidRPr="00225BB0">
        <w:rPr>
          <w:rFonts w:asciiTheme="minorHAnsi" w:hAnsiTheme="minorHAnsi" w:cstheme="minorHAnsi"/>
          <w:szCs w:val="22"/>
        </w:rPr>
        <w:t xml:space="preserve"> applications per year </w:t>
      </w:r>
      <w:r w:rsidR="00C30BDD">
        <w:rPr>
          <w:rFonts w:asciiTheme="minorHAnsi" w:hAnsiTheme="minorHAnsi" w:cstheme="minorHAnsi"/>
          <w:szCs w:val="22"/>
        </w:rPr>
        <w:t xml:space="preserve">from </w:t>
      </w:r>
      <w:r w:rsidR="00937061">
        <w:rPr>
          <w:rFonts w:asciiTheme="minorHAnsi" w:hAnsiTheme="minorHAnsi" w:cstheme="minorHAnsi"/>
          <w:szCs w:val="22"/>
        </w:rPr>
        <w:t>early-career</w:t>
      </w:r>
      <w:r w:rsidR="00C30BDD">
        <w:rPr>
          <w:rFonts w:asciiTheme="minorHAnsi" w:hAnsiTheme="minorHAnsi" w:cstheme="minorHAnsi"/>
          <w:szCs w:val="22"/>
        </w:rPr>
        <w:t xml:space="preserve"> scientists</w:t>
      </w:r>
      <w:r w:rsidRPr="00225BB0">
        <w:rPr>
          <w:rFonts w:asciiTheme="minorHAnsi" w:hAnsiTheme="minorHAnsi" w:cstheme="minorHAnsi"/>
          <w:szCs w:val="22"/>
        </w:rPr>
        <w:t xml:space="preserve">. The </w:t>
      </w:r>
      <w:r w:rsidR="00F265EA">
        <w:rPr>
          <w:rFonts w:asciiTheme="minorHAnsi" w:hAnsiTheme="minorHAnsi" w:cstheme="minorHAnsi"/>
          <w:szCs w:val="22"/>
        </w:rPr>
        <w:t>P</w:t>
      </w:r>
      <w:r w:rsidRPr="00225BB0" w:rsidR="00F265EA">
        <w:rPr>
          <w:rFonts w:asciiTheme="minorHAnsi" w:hAnsiTheme="minorHAnsi" w:cstheme="minorHAnsi"/>
          <w:szCs w:val="22"/>
        </w:rPr>
        <w:t xml:space="preserve">rogram </w:t>
      </w:r>
      <w:r w:rsidRPr="00225BB0">
        <w:rPr>
          <w:rFonts w:asciiTheme="minorHAnsi" w:hAnsiTheme="minorHAnsi" w:cstheme="minorHAnsi"/>
          <w:szCs w:val="22"/>
        </w:rPr>
        <w:t xml:space="preserve">expects to receive </w:t>
      </w:r>
      <w:r w:rsidR="00937061">
        <w:rPr>
          <w:rFonts w:asciiTheme="minorHAnsi" w:hAnsiTheme="minorHAnsi" w:cstheme="minorHAnsi"/>
          <w:szCs w:val="22"/>
        </w:rPr>
        <w:t>two additional</w:t>
      </w:r>
      <w:r w:rsidR="00D21897">
        <w:rPr>
          <w:rFonts w:asciiTheme="minorHAnsi" w:hAnsiTheme="minorHAnsi" w:cstheme="minorHAnsi"/>
          <w:szCs w:val="22"/>
        </w:rPr>
        <w:t xml:space="preserve"> </w:t>
      </w:r>
      <w:r w:rsidRPr="00225BB0">
        <w:rPr>
          <w:rFonts w:asciiTheme="minorHAnsi" w:hAnsiTheme="minorHAnsi" w:cstheme="minorHAnsi"/>
          <w:szCs w:val="22"/>
        </w:rPr>
        <w:t xml:space="preserve">reference letters to support the candidates. </w:t>
      </w:r>
      <w:r w:rsidRPr="00225BB0" w:rsidR="007E6B4C">
        <w:rPr>
          <w:rFonts w:asciiTheme="minorHAnsi" w:hAnsiTheme="minorHAnsi" w:cstheme="minorHAnsi"/>
          <w:szCs w:val="22"/>
        </w:rPr>
        <w:t xml:space="preserve">The annual </w:t>
      </w:r>
      <w:r w:rsidR="00937061">
        <w:rPr>
          <w:rFonts w:asciiTheme="minorHAnsi" w:hAnsiTheme="minorHAnsi" w:cstheme="minorHAnsi"/>
          <w:szCs w:val="22"/>
        </w:rPr>
        <w:t>burden estimate</w:t>
      </w:r>
      <w:r w:rsidRPr="00225BB0" w:rsidR="007E6B4C">
        <w:rPr>
          <w:rFonts w:asciiTheme="minorHAnsi" w:hAnsiTheme="minorHAnsi" w:cstheme="minorHAnsi"/>
          <w:szCs w:val="22"/>
        </w:rPr>
        <w:t xml:space="preserve"> is expected to be </w:t>
      </w:r>
      <w:r w:rsidR="006B69E2">
        <w:rPr>
          <w:rFonts w:asciiTheme="minorHAnsi" w:hAnsiTheme="minorHAnsi" w:cstheme="minorHAnsi"/>
          <w:szCs w:val="22"/>
        </w:rPr>
        <w:t>280</w:t>
      </w:r>
      <w:r w:rsidRPr="00225BB0" w:rsidR="007E6B4C">
        <w:rPr>
          <w:rFonts w:asciiTheme="minorHAnsi" w:hAnsiTheme="minorHAnsi" w:cstheme="minorHAnsi"/>
          <w:szCs w:val="22"/>
        </w:rPr>
        <w:t xml:space="preserve"> hours for </w:t>
      </w:r>
      <w:r w:rsidR="006B69E2">
        <w:rPr>
          <w:rFonts w:asciiTheme="minorHAnsi" w:hAnsiTheme="minorHAnsi" w:cstheme="minorHAnsi"/>
          <w:szCs w:val="22"/>
        </w:rPr>
        <w:t>210</w:t>
      </w:r>
      <w:r w:rsidRPr="00225BB0">
        <w:rPr>
          <w:rFonts w:asciiTheme="minorHAnsi" w:hAnsiTheme="minorHAnsi" w:cstheme="minorHAnsi"/>
          <w:szCs w:val="22"/>
        </w:rPr>
        <w:t xml:space="preserve"> individuals</w:t>
      </w:r>
      <w:r w:rsidRPr="00225BB0" w:rsidR="007E6B4C">
        <w:rPr>
          <w:rFonts w:asciiTheme="minorHAnsi" w:hAnsiTheme="minorHAnsi" w:cstheme="minorHAnsi"/>
          <w:szCs w:val="22"/>
        </w:rPr>
        <w:t xml:space="preserve"> (Table A.12-1). </w:t>
      </w:r>
      <w:r w:rsidRPr="00225BB0" w:rsidR="00225BB0">
        <w:rPr>
          <w:rFonts w:asciiTheme="minorHAnsi" w:hAnsiTheme="minorHAnsi" w:cstheme="minorHAnsi"/>
        </w:rPr>
        <w:t>The annual respondent costs are $</w:t>
      </w:r>
      <w:r w:rsidR="006B69E2">
        <w:rPr>
          <w:rFonts w:asciiTheme="minorHAnsi" w:hAnsiTheme="minorHAnsi" w:cstheme="minorHAnsi"/>
        </w:rPr>
        <w:t>13,</w:t>
      </w:r>
      <w:r w:rsidR="00937061">
        <w:rPr>
          <w:rFonts w:asciiTheme="minorHAnsi" w:hAnsiTheme="minorHAnsi" w:cstheme="minorHAnsi"/>
        </w:rPr>
        <w:t>843.20</w:t>
      </w:r>
      <w:r w:rsidRPr="00225BB0" w:rsidR="00225BB0">
        <w:rPr>
          <w:rFonts w:asciiTheme="minorHAnsi" w:hAnsiTheme="minorHAnsi" w:cstheme="minorHAnsi"/>
        </w:rPr>
        <w:t xml:space="preserve"> (Table A.12-2</w:t>
      </w:r>
      <w:r w:rsidR="006B69E2">
        <w:rPr>
          <w:rFonts w:asciiTheme="minorHAnsi" w:hAnsiTheme="minorHAnsi" w:cstheme="minorHAnsi"/>
        </w:rPr>
        <w:t>)</w:t>
      </w:r>
      <w:r w:rsidRPr="00225BB0" w:rsidR="00225BB0">
        <w:rPr>
          <w:rFonts w:asciiTheme="minorHAnsi" w:hAnsiTheme="minorHAnsi" w:cstheme="minorHAnsi"/>
        </w:rPr>
        <w:t>.</w:t>
      </w:r>
    </w:p>
    <w:p w:rsidR="00266ED2" w:rsidP="00225BB0" w:rsidRDefault="00266ED2" w14:paraId="752C51C3" w14:textId="616E8894">
      <w:pPr>
        <w:pStyle w:val="P1-StandPara"/>
        <w:tabs>
          <w:tab w:val="left" w:pos="720"/>
          <w:tab w:val="right" w:leader="dot" w:pos="9504"/>
        </w:tabs>
        <w:spacing w:line="276" w:lineRule="auto"/>
        <w:ind w:firstLine="0"/>
        <w:rPr>
          <w:rFonts w:asciiTheme="minorHAnsi" w:hAnsiTheme="minorHAnsi" w:cstheme="minorHAnsi"/>
          <w:szCs w:val="22"/>
        </w:rPr>
      </w:pPr>
    </w:p>
    <w:p w:rsidR="009810A0" w:rsidP="003B3D62" w:rsidRDefault="009810A0" w14:paraId="431513CC" w14:textId="5352A97B">
      <w:pPr>
        <w:spacing w:after="20"/>
        <w:rPr>
          <w:rFonts w:asciiTheme="minorHAnsi" w:hAnsiTheme="minorHAnsi" w:cstheme="minorHAnsi"/>
          <w:b/>
          <w:bCs/>
        </w:rPr>
      </w:pPr>
      <w:r w:rsidRPr="00225BB0">
        <w:rPr>
          <w:rFonts w:asciiTheme="minorHAnsi" w:hAnsiTheme="minorHAnsi" w:cstheme="minorHAnsi"/>
          <w:b/>
          <w:bCs/>
        </w:rPr>
        <w:t>A.12-1 Estimate</w:t>
      </w:r>
      <w:r w:rsidRPr="00225BB0" w:rsidR="004D6F39">
        <w:rPr>
          <w:rFonts w:asciiTheme="minorHAnsi" w:hAnsiTheme="minorHAnsi" w:cstheme="minorHAnsi"/>
          <w:b/>
          <w:bCs/>
        </w:rPr>
        <w:t>d Annualized Burden Hours</w:t>
      </w:r>
    </w:p>
    <w:p w:rsidRPr="00225BB0" w:rsidR="00225BB0" w:rsidP="00225BB0" w:rsidRDefault="00225BB0" w14:paraId="44232CA7" w14:textId="77777777">
      <w:pPr>
        <w:spacing w:after="20"/>
        <w:jc w:val="center"/>
        <w:rPr>
          <w:rFonts w:asciiTheme="minorHAnsi" w:hAnsiTheme="minorHAnsi" w:cstheme="minorHAnsi"/>
          <w:b/>
          <w:bCs/>
        </w:rPr>
      </w:pPr>
    </w:p>
    <w:tbl>
      <w:tblPr>
        <w:tblW w:w="9900" w:type="dxa"/>
        <w:jc w:val="center"/>
        <w:tblLayout w:type="fixed"/>
        <w:tblCellMar>
          <w:left w:w="100" w:type="dxa"/>
          <w:right w:w="100" w:type="dxa"/>
        </w:tblCellMar>
        <w:tblLook w:val="0000" w:firstRow="0" w:lastRow="0" w:firstColumn="0" w:lastColumn="0" w:noHBand="0" w:noVBand="0"/>
      </w:tblPr>
      <w:tblGrid>
        <w:gridCol w:w="1702"/>
        <w:gridCol w:w="1980"/>
        <w:gridCol w:w="1440"/>
        <w:gridCol w:w="1530"/>
        <w:gridCol w:w="1710"/>
        <w:gridCol w:w="1538"/>
      </w:tblGrid>
      <w:tr w:rsidRPr="00225BB0" w:rsidR="001F5A51" w:rsidTr="00E62B8C" w14:paraId="7298F856" w14:textId="77777777">
        <w:trPr>
          <w:cantSplit/>
          <w:trHeight w:val="372"/>
          <w:jc w:val="center"/>
        </w:trPr>
        <w:tc>
          <w:tcPr>
            <w:tcW w:w="1702" w:type="dxa"/>
            <w:tcBorders>
              <w:top w:val="single" w:color="auto" w:sz="6" w:space="0"/>
              <w:left w:val="single" w:color="auto" w:sz="6" w:space="0"/>
            </w:tcBorders>
            <w:vAlign w:val="center"/>
          </w:tcPr>
          <w:p w:rsidRPr="003B3D62" w:rsidR="009810A0" w:rsidP="00225BB0" w:rsidRDefault="009810A0" w14:paraId="1AA552F3" w14:textId="4213823A">
            <w:pPr>
              <w:spacing w:after="0"/>
              <w:ind w:left="-6"/>
              <w:jc w:val="center"/>
              <w:rPr>
                <w:rFonts w:asciiTheme="minorHAnsi" w:hAnsiTheme="minorHAnsi" w:cstheme="minorHAnsi"/>
                <w:b/>
                <w:bCs/>
              </w:rPr>
            </w:pPr>
            <w:r w:rsidRPr="003B3D62">
              <w:rPr>
                <w:rFonts w:asciiTheme="minorHAnsi" w:hAnsiTheme="minorHAnsi" w:cstheme="minorHAnsi"/>
                <w:b/>
                <w:bCs/>
              </w:rPr>
              <w:t>Form Name</w:t>
            </w:r>
          </w:p>
        </w:tc>
        <w:tc>
          <w:tcPr>
            <w:tcW w:w="1980" w:type="dxa"/>
            <w:tcBorders>
              <w:top w:val="single" w:color="auto" w:sz="6" w:space="0"/>
              <w:left w:val="single" w:color="auto" w:sz="6" w:space="0"/>
            </w:tcBorders>
            <w:vAlign w:val="center"/>
          </w:tcPr>
          <w:p w:rsidRPr="003B3D62" w:rsidR="009810A0" w:rsidP="00225BB0" w:rsidRDefault="00225BB0" w14:paraId="536C05F3" w14:textId="4E35E190">
            <w:pPr>
              <w:spacing w:after="0"/>
              <w:jc w:val="center"/>
              <w:rPr>
                <w:rFonts w:asciiTheme="minorHAnsi" w:hAnsiTheme="minorHAnsi" w:cstheme="minorHAnsi"/>
                <w:b/>
                <w:bCs/>
              </w:rPr>
            </w:pPr>
            <w:r w:rsidRPr="003B3D62">
              <w:rPr>
                <w:rFonts w:asciiTheme="minorHAnsi" w:hAnsiTheme="minorHAnsi" w:cstheme="minorHAnsi"/>
                <w:b/>
                <w:bCs/>
              </w:rPr>
              <w:t>Category</w:t>
            </w:r>
            <w:r w:rsidRPr="003B3D62" w:rsidR="009810A0">
              <w:rPr>
                <w:rFonts w:asciiTheme="minorHAnsi" w:hAnsiTheme="minorHAnsi" w:cstheme="minorHAnsi"/>
                <w:b/>
                <w:bCs/>
              </w:rPr>
              <w:t xml:space="preserve"> of Respondent</w:t>
            </w:r>
          </w:p>
        </w:tc>
        <w:tc>
          <w:tcPr>
            <w:tcW w:w="1440" w:type="dxa"/>
            <w:tcBorders>
              <w:top w:val="single" w:color="auto" w:sz="6" w:space="0"/>
              <w:left w:val="single" w:color="auto" w:sz="6" w:space="0"/>
            </w:tcBorders>
            <w:vAlign w:val="center"/>
          </w:tcPr>
          <w:p w:rsidRPr="003B3D62" w:rsidR="009810A0" w:rsidP="00225BB0" w:rsidRDefault="009810A0" w14:paraId="722D14AA" w14:textId="77777777">
            <w:pPr>
              <w:spacing w:after="0"/>
              <w:jc w:val="center"/>
              <w:rPr>
                <w:rFonts w:asciiTheme="minorHAnsi" w:hAnsiTheme="minorHAnsi" w:cstheme="minorHAnsi"/>
                <w:b/>
                <w:bCs/>
              </w:rPr>
            </w:pPr>
            <w:r w:rsidRPr="003B3D62">
              <w:rPr>
                <w:rFonts w:asciiTheme="minorHAnsi" w:hAnsiTheme="minorHAnsi" w:cstheme="minorHAnsi"/>
                <w:b/>
                <w:bCs/>
              </w:rPr>
              <w:t>Number of Respondents</w:t>
            </w:r>
          </w:p>
        </w:tc>
        <w:tc>
          <w:tcPr>
            <w:tcW w:w="1530" w:type="dxa"/>
            <w:tcBorders>
              <w:top w:val="single" w:color="auto" w:sz="6" w:space="0"/>
              <w:left w:val="single" w:color="auto" w:sz="6" w:space="0"/>
            </w:tcBorders>
            <w:vAlign w:val="center"/>
          </w:tcPr>
          <w:p w:rsidRPr="003B3D62" w:rsidR="009810A0" w:rsidP="00225BB0" w:rsidRDefault="009810A0" w14:paraId="467EB259" w14:textId="77777777">
            <w:pPr>
              <w:spacing w:after="0"/>
              <w:jc w:val="center"/>
              <w:rPr>
                <w:rFonts w:asciiTheme="minorHAnsi" w:hAnsiTheme="minorHAnsi" w:cstheme="minorHAnsi"/>
                <w:b/>
                <w:bCs/>
              </w:rPr>
            </w:pPr>
            <w:r w:rsidRPr="003B3D62">
              <w:rPr>
                <w:rFonts w:asciiTheme="minorHAnsi" w:hAnsiTheme="minorHAnsi" w:cstheme="minorHAnsi"/>
                <w:b/>
                <w:bCs/>
              </w:rPr>
              <w:t>Number of Responses per Respondent</w:t>
            </w:r>
          </w:p>
        </w:tc>
        <w:tc>
          <w:tcPr>
            <w:tcW w:w="1710" w:type="dxa"/>
            <w:tcBorders>
              <w:top w:val="single" w:color="auto" w:sz="6" w:space="0"/>
              <w:left w:val="single" w:color="auto" w:sz="6" w:space="0"/>
            </w:tcBorders>
            <w:vAlign w:val="center"/>
          </w:tcPr>
          <w:p w:rsidRPr="003B3D62" w:rsidR="009810A0" w:rsidP="00225BB0" w:rsidRDefault="009810A0" w14:paraId="058CCC17" w14:textId="3A913944">
            <w:pPr>
              <w:spacing w:after="0"/>
              <w:jc w:val="center"/>
              <w:rPr>
                <w:rFonts w:asciiTheme="minorHAnsi" w:hAnsiTheme="minorHAnsi" w:cstheme="minorHAnsi"/>
                <w:b/>
                <w:bCs/>
              </w:rPr>
            </w:pPr>
            <w:r w:rsidRPr="003B3D62">
              <w:rPr>
                <w:rFonts w:asciiTheme="minorHAnsi" w:hAnsiTheme="minorHAnsi" w:cstheme="minorHAnsi"/>
                <w:b/>
                <w:bCs/>
              </w:rPr>
              <w:t xml:space="preserve">Average </w:t>
            </w:r>
            <w:r w:rsidRPr="003B3D62" w:rsidR="001F5A51">
              <w:rPr>
                <w:rFonts w:asciiTheme="minorHAnsi" w:hAnsiTheme="minorHAnsi" w:cstheme="minorHAnsi"/>
                <w:b/>
                <w:bCs/>
              </w:rPr>
              <w:t>Time</w:t>
            </w:r>
            <w:r w:rsidRPr="003B3D62">
              <w:rPr>
                <w:rFonts w:asciiTheme="minorHAnsi" w:hAnsiTheme="minorHAnsi" w:cstheme="minorHAnsi"/>
                <w:b/>
                <w:bCs/>
              </w:rPr>
              <w:t xml:space="preserve"> Per Response</w:t>
            </w:r>
          </w:p>
          <w:p w:rsidRPr="003B3D62" w:rsidR="009810A0" w:rsidP="00225BB0" w:rsidRDefault="009810A0" w14:paraId="057E33F9" w14:textId="68CA4756">
            <w:pPr>
              <w:spacing w:after="0"/>
              <w:jc w:val="center"/>
              <w:rPr>
                <w:rFonts w:asciiTheme="minorHAnsi" w:hAnsiTheme="minorHAnsi" w:cstheme="minorHAnsi"/>
                <w:b/>
                <w:bCs/>
              </w:rPr>
            </w:pPr>
            <w:r w:rsidRPr="003B3D62">
              <w:rPr>
                <w:rFonts w:asciiTheme="minorHAnsi" w:hAnsiTheme="minorHAnsi" w:cstheme="minorHAnsi"/>
                <w:b/>
                <w:bCs/>
              </w:rPr>
              <w:t>(in hours)</w:t>
            </w:r>
          </w:p>
        </w:tc>
        <w:tc>
          <w:tcPr>
            <w:tcW w:w="1538" w:type="dxa"/>
            <w:tcBorders>
              <w:top w:val="single" w:color="auto" w:sz="6" w:space="0"/>
              <w:left w:val="single" w:color="auto" w:sz="6" w:space="0"/>
              <w:right w:val="single" w:color="auto" w:sz="6" w:space="0"/>
            </w:tcBorders>
            <w:vAlign w:val="center"/>
          </w:tcPr>
          <w:p w:rsidRPr="003B3D62" w:rsidR="009810A0" w:rsidP="00225BB0" w:rsidRDefault="009810A0" w14:paraId="559C91FA" w14:textId="22F6F5F6">
            <w:pPr>
              <w:spacing w:after="0"/>
              <w:jc w:val="center"/>
              <w:rPr>
                <w:rFonts w:asciiTheme="minorHAnsi" w:hAnsiTheme="minorHAnsi" w:cstheme="minorHAnsi"/>
                <w:b/>
                <w:bCs/>
              </w:rPr>
            </w:pPr>
            <w:r w:rsidRPr="003B3D62">
              <w:rPr>
                <w:rFonts w:asciiTheme="minorHAnsi" w:hAnsiTheme="minorHAnsi" w:cstheme="minorHAnsi"/>
                <w:b/>
                <w:bCs/>
              </w:rPr>
              <w:t>Total Burden Hour</w:t>
            </w:r>
          </w:p>
        </w:tc>
      </w:tr>
      <w:tr w:rsidRPr="00225BB0" w:rsidR="001F5A51" w:rsidTr="00E62B8C" w14:paraId="59F24801" w14:textId="77777777">
        <w:trPr>
          <w:cantSplit/>
          <w:trHeight w:val="372"/>
          <w:jc w:val="center"/>
        </w:trPr>
        <w:tc>
          <w:tcPr>
            <w:tcW w:w="1702" w:type="dxa"/>
            <w:tcBorders>
              <w:top w:val="single" w:color="auto" w:sz="6" w:space="0"/>
              <w:left w:val="single" w:color="auto" w:sz="6" w:space="0"/>
            </w:tcBorders>
            <w:vAlign w:val="center"/>
          </w:tcPr>
          <w:p w:rsidRPr="00225BB0" w:rsidR="009810A0" w:rsidP="00225BB0" w:rsidRDefault="00866851" w14:paraId="717BF73F" w14:textId="4FA119D1">
            <w:pPr>
              <w:spacing w:after="0"/>
              <w:rPr>
                <w:rFonts w:asciiTheme="minorHAnsi" w:hAnsiTheme="minorHAnsi" w:cstheme="minorHAnsi"/>
              </w:rPr>
            </w:pPr>
            <w:r>
              <w:rPr>
                <w:rFonts w:asciiTheme="minorHAnsi" w:hAnsiTheme="minorHAnsi" w:cstheme="minorHAnsi"/>
              </w:rPr>
              <w:t>EIAP</w:t>
            </w:r>
            <w:r w:rsidRPr="00225BB0" w:rsidR="001002A4">
              <w:rPr>
                <w:rFonts w:asciiTheme="minorHAnsi" w:hAnsiTheme="minorHAnsi" w:cstheme="minorHAnsi"/>
              </w:rPr>
              <w:t xml:space="preserve"> Application</w:t>
            </w:r>
          </w:p>
        </w:tc>
        <w:tc>
          <w:tcPr>
            <w:tcW w:w="1980" w:type="dxa"/>
            <w:tcBorders>
              <w:top w:val="single" w:color="auto" w:sz="6" w:space="0"/>
              <w:left w:val="single" w:color="auto" w:sz="6" w:space="0"/>
            </w:tcBorders>
            <w:vAlign w:val="center"/>
          </w:tcPr>
          <w:p w:rsidRPr="00225BB0" w:rsidR="009810A0" w:rsidP="00225BB0" w:rsidRDefault="00594DCC" w14:paraId="3BC91D67" w14:textId="2CE5BDA6">
            <w:pPr>
              <w:spacing w:after="0"/>
              <w:rPr>
                <w:rFonts w:asciiTheme="minorHAnsi" w:hAnsiTheme="minorHAnsi" w:cstheme="minorHAnsi"/>
              </w:rPr>
            </w:pPr>
            <w:r>
              <w:rPr>
                <w:rFonts w:asciiTheme="minorHAnsi" w:hAnsiTheme="minorHAnsi" w:cstheme="minorHAnsi"/>
                <w:bCs/>
              </w:rPr>
              <w:t xml:space="preserve">Individuals </w:t>
            </w:r>
            <w:r w:rsidR="00D21897">
              <w:rPr>
                <w:rFonts w:asciiTheme="minorHAnsi" w:hAnsiTheme="minorHAnsi" w:cstheme="minorHAnsi"/>
                <w:bCs/>
              </w:rPr>
              <w:t>-</w:t>
            </w:r>
            <w:r w:rsidR="00FE3A4F">
              <w:rPr>
                <w:rFonts w:asciiTheme="minorHAnsi" w:hAnsiTheme="minorHAnsi" w:cstheme="minorHAnsi"/>
                <w:bCs/>
              </w:rPr>
              <w:t>Applicant</w:t>
            </w:r>
            <w:r w:rsidRPr="00225BB0" w:rsidR="004B5617">
              <w:rPr>
                <w:rFonts w:asciiTheme="minorHAnsi" w:hAnsiTheme="minorHAnsi" w:cstheme="minorHAnsi"/>
                <w:bCs/>
              </w:rPr>
              <w:t xml:space="preserve"> </w:t>
            </w:r>
          </w:p>
        </w:tc>
        <w:tc>
          <w:tcPr>
            <w:tcW w:w="1440" w:type="dxa"/>
            <w:tcBorders>
              <w:top w:val="single" w:color="auto" w:sz="6" w:space="0"/>
              <w:left w:val="single" w:color="auto" w:sz="6" w:space="0"/>
            </w:tcBorders>
            <w:vAlign w:val="center"/>
          </w:tcPr>
          <w:p w:rsidRPr="002234F1" w:rsidR="009810A0" w:rsidP="00225BB0" w:rsidRDefault="00B55427" w14:paraId="2D79D974" w14:textId="58DD7623">
            <w:pPr>
              <w:spacing w:after="0"/>
              <w:jc w:val="center"/>
              <w:rPr>
                <w:rFonts w:asciiTheme="minorHAnsi" w:hAnsiTheme="minorHAnsi" w:cstheme="minorHAnsi"/>
              </w:rPr>
            </w:pPr>
            <w:r w:rsidRPr="002234F1">
              <w:rPr>
                <w:rFonts w:asciiTheme="minorHAnsi" w:hAnsiTheme="minorHAnsi" w:cstheme="minorHAnsi"/>
              </w:rPr>
              <w:t>70</w:t>
            </w:r>
          </w:p>
        </w:tc>
        <w:tc>
          <w:tcPr>
            <w:tcW w:w="1530" w:type="dxa"/>
            <w:tcBorders>
              <w:top w:val="single" w:color="auto" w:sz="6" w:space="0"/>
              <w:left w:val="single" w:color="auto" w:sz="6" w:space="0"/>
            </w:tcBorders>
            <w:vAlign w:val="center"/>
          </w:tcPr>
          <w:p w:rsidRPr="002234F1" w:rsidR="009810A0" w:rsidP="00225BB0" w:rsidRDefault="00EA1140" w14:paraId="3697F33C" w14:textId="154D2DD8">
            <w:pPr>
              <w:spacing w:after="0"/>
              <w:jc w:val="center"/>
              <w:rPr>
                <w:rFonts w:asciiTheme="minorHAnsi" w:hAnsiTheme="minorHAnsi" w:cstheme="minorHAnsi"/>
              </w:rPr>
            </w:pPr>
            <w:r w:rsidRPr="002234F1">
              <w:rPr>
                <w:rFonts w:asciiTheme="minorHAnsi" w:hAnsiTheme="minorHAnsi" w:cstheme="minorHAnsi"/>
              </w:rPr>
              <w:t>1</w:t>
            </w:r>
          </w:p>
        </w:tc>
        <w:tc>
          <w:tcPr>
            <w:tcW w:w="1710" w:type="dxa"/>
            <w:tcBorders>
              <w:top w:val="single" w:color="auto" w:sz="6" w:space="0"/>
              <w:left w:val="single" w:color="auto" w:sz="6" w:space="0"/>
            </w:tcBorders>
            <w:vAlign w:val="center"/>
          </w:tcPr>
          <w:p w:rsidRPr="002234F1" w:rsidR="009810A0" w:rsidP="00225BB0" w:rsidRDefault="00B55427" w14:paraId="7E5B1232" w14:textId="348622A0">
            <w:pPr>
              <w:spacing w:after="0"/>
              <w:jc w:val="center"/>
              <w:rPr>
                <w:rFonts w:asciiTheme="minorHAnsi" w:hAnsiTheme="minorHAnsi" w:cstheme="minorHAnsi"/>
              </w:rPr>
            </w:pPr>
            <w:r w:rsidRPr="002234F1">
              <w:rPr>
                <w:rFonts w:asciiTheme="minorHAnsi" w:hAnsiTheme="minorHAnsi" w:cstheme="minorHAnsi"/>
              </w:rPr>
              <w:t>3</w:t>
            </w:r>
          </w:p>
        </w:tc>
        <w:tc>
          <w:tcPr>
            <w:tcW w:w="1538" w:type="dxa"/>
            <w:tcBorders>
              <w:top w:val="single" w:color="auto" w:sz="6" w:space="0"/>
              <w:left w:val="single" w:color="auto" w:sz="6" w:space="0"/>
              <w:right w:val="single" w:color="auto" w:sz="6" w:space="0"/>
            </w:tcBorders>
            <w:vAlign w:val="center"/>
          </w:tcPr>
          <w:p w:rsidRPr="002234F1" w:rsidR="009810A0" w:rsidP="00225BB0" w:rsidRDefault="00EA1140" w14:paraId="06D5FA5C" w14:textId="2DC49865">
            <w:pPr>
              <w:spacing w:after="0"/>
              <w:jc w:val="center"/>
              <w:rPr>
                <w:rFonts w:asciiTheme="minorHAnsi" w:hAnsiTheme="minorHAnsi" w:cstheme="minorHAnsi"/>
              </w:rPr>
            </w:pPr>
            <w:r w:rsidRPr="002234F1">
              <w:rPr>
                <w:rFonts w:asciiTheme="minorHAnsi" w:hAnsiTheme="minorHAnsi" w:cstheme="minorHAnsi"/>
              </w:rPr>
              <w:t>210</w:t>
            </w:r>
          </w:p>
        </w:tc>
      </w:tr>
      <w:tr w:rsidRPr="00225BB0" w:rsidR="001F5A51" w:rsidTr="00E62B8C" w14:paraId="05ABB725" w14:textId="77777777">
        <w:trPr>
          <w:cantSplit/>
          <w:trHeight w:val="615"/>
          <w:jc w:val="center"/>
        </w:trPr>
        <w:tc>
          <w:tcPr>
            <w:tcW w:w="1702" w:type="dxa"/>
            <w:tcBorders>
              <w:top w:val="single" w:color="auto" w:sz="6" w:space="0"/>
              <w:left w:val="single" w:color="auto" w:sz="6" w:space="0"/>
              <w:bottom w:val="single" w:color="auto" w:sz="6" w:space="0"/>
            </w:tcBorders>
            <w:vAlign w:val="center"/>
          </w:tcPr>
          <w:p w:rsidRPr="00225BB0" w:rsidR="003201F7" w:rsidP="00225BB0" w:rsidRDefault="00AA7506" w14:paraId="7353E57F" w14:textId="27E7CD1C">
            <w:pPr>
              <w:spacing w:after="0"/>
              <w:rPr>
                <w:rFonts w:asciiTheme="minorHAnsi" w:hAnsiTheme="minorHAnsi" w:cstheme="minorHAnsi"/>
              </w:rPr>
            </w:pPr>
            <w:r w:rsidRPr="00225BB0">
              <w:rPr>
                <w:rFonts w:asciiTheme="minorHAnsi" w:hAnsiTheme="minorHAnsi" w:cstheme="minorHAnsi"/>
              </w:rPr>
              <w:t>Reference Letter</w:t>
            </w:r>
          </w:p>
        </w:tc>
        <w:tc>
          <w:tcPr>
            <w:tcW w:w="1980" w:type="dxa"/>
            <w:tcBorders>
              <w:top w:val="single" w:color="auto" w:sz="6" w:space="0"/>
              <w:left w:val="single" w:color="auto" w:sz="6" w:space="0"/>
              <w:bottom w:val="single" w:color="auto" w:sz="6" w:space="0"/>
            </w:tcBorders>
            <w:vAlign w:val="center"/>
          </w:tcPr>
          <w:p w:rsidRPr="00225BB0" w:rsidR="003201F7" w:rsidP="00225BB0" w:rsidRDefault="00594DCC" w14:paraId="74981F30" w14:textId="04A95BCE">
            <w:pPr>
              <w:spacing w:after="0"/>
              <w:rPr>
                <w:rFonts w:asciiTheme="minorHAnsi" w:hAnsiTheme="minorHAnsi" w:cstheme="minorHAnsi"/>
              </w:rPr>
            </w:pPr>
            <w:r>
              <w:rPr>
                <w:rFonts w:asciiTheme="minorHAnsi" w:hAnsiTheme="minorHAnsi" w:cstheme="minorHAnsi"/>
              </w:rPr>
              <w:t xml:space="preserve">Individuals  </w:t>
            </w:r>
            <w:r w:rsidR="00D21897">
              <w:rPr>
                <w:rFonts w:asciiTheme="minorHAnsi" w:hAnsiTheme="minorHAnsi" w:cstheme="minorHAnsi"/>
              </w:rPr>
              <w:t>-</w:t>
            </w:r>
            <w:r>
              <w:rPr>
                <w:rFonts w:asciiTheme="minorHAnsi" w:hAnsiTheme="minorHAnsi" w:cstheme="minorHAnsi"/>
              </w:rPr>
              <w:t xml:space="preserve">          </w:t>
            </w:r>
            <w:r w:rsidRPr="00225BB0" w:rsidR="0016469E">
              <w:rPr>
                <w:rFonts w:asciiTheme="minorHAnsi" w:hAnsiTheme="minorHAnsi" w:cstheme="minorHAnsi"/>
              </w:rPr>
              <w:t>PIs, Professors, and Supervisors</w:t>
            </w:r>
          </w:p>
        </w:tc>
        <w:tc>
          <w:tcPr>
            <w:tcW w:w="1440" w:type="dxa"/>
            <w:tcBorders>
              <w:top w:val="single" w:color="auto" w:sz="6" w:space="0"/>
              <w:left w:val="single" w:color="auto" w:sz="6" w:space="0"/>
              <w:bottom w:val="single" w:color="auto" w:sz="6" w:space="0"/>
            </w:tcBorders>
            <w:vAlign w:val="center"/>
          </w:tcPr>
          <w:p w:rsidRPr="002234F1" w:rsidR="003201F7" w:rsidP="00225BB0" w:rsidRDefault="00DC0514" w14:paraId="0AF15D91" w14:textId="16B475F4">
            <w:pPr>
              <w:spacing w:after="0"/>
              <w:jc w:val="center"/>
              <w:rPr>
                <w:rFonts w:asciiTheme="minorHAnsi" w:hAnsiTheme="minorHAnsi" w:cstheme="minorHAnsi"/>
              </w:rPr>
            </w:pPr>
            <w:r w:rsidRPr="002234F1">
              <w:rPr>
                <w:rFonts w:asciiTheme="minorHAnsi" w:hAnsiTheme="minorHAnsi" w:cstheme="minorHAnsi"/>
              </w:rPr>
              <w:t>140</w:t>
            </w:r>
          </w:p>
        </w:tc>
        <w:tc>
          <w:tcPr>
            <w:tcW w:w="1530" w:type="dxa"/>
            <w:tcBorders>
              <w:top w:val="single" w:color="auto" w:sz="6" w:space="0"/>
              <w:left w:val="single" w:color="auto" w:sz="6" w:space="0"/>
              <w:bottom w:val="single" w:color="auto" w:sz="6" w:space="0"/>
            </w:tcBorders>
            <w:vAlign w:val="center"/>
          </w:tcPr>
          <w:p w:rsidRPr="002234F1" w:rsidR="003201F7" w:rsidP="00225BB0" w:rsidRDefault="00EA1140" w14:paraId="689F3128" w14:textId="168CFBFD">
            <w:pPr>
              <w:spacing w:after="0"/>
              <w:jc w:val="center"/>
              <w:rPr>
                <w:rFonts w:asciiTheme="minorHAnsi" w:hAnsiTheme="minorHAnsi" w:cstheme="minorHAnsi"/>
              </w:rPr>
            </w:pPr>
            <w:r w:rsidRPr="002234F1">
              <w:rPr>
                <w:rFonts w:asciiTheme="minorHAnsi" w:hAnsiTheme="minorHAnsi" w:cstheme="minorHAnsi"/>
              </w:rPr>
              <w:t>1</w:t>
            </w:r>
          </w:p>
        </w:tc>
        <w:tc>
          <w:tcPr>
            <w:tcW w:w="1710" w:type="dxa"/>
            <w:tcBorders>
              <w:top w:val="single" w:color="auto" w:sz="6" w:space="0"/>
              <w:left w:val="single" w:color="auto" w:sz="6" w:space="0"/>
              <w:bottom w:val="single" w:color="auto" w:sz="6" w:space="0"/>
            </w:tcBorders>
            <w:vAlign w:val="center"/>
          </w:tcPr>
          <w:p w:rsidRPr="002234F1" w:rsidR="003201F7" w:rsidP="00225BB0" w:rsidRDefault="003201F7" w14:paraId="3E2DAF30" w14:textId="1CC303AA">
            <w:pPr>
              <w:spacing w:after="0"/>
              <w:jc w:val="center"/>
              <w:rPr>
                <w:rFonts w:asciiTheme="minorHAnsi" w:hAnsiTheme="minorHAnsi" w:cstheme="minorHAnsi"/>
              </w:rPr>
            </w:pPr>
            <w:r w:rsidRPr="002234F1">
              <w:rPr>
                <w:rFonts w:asciiTheme="minorHAnsi" w:hAnsiTheme="minorHAnsi" w:cstheme="minorHAnsi"/>
              </w:rPr>
              <w:t>30/60</w:t>
            </w:r>
          </w:p>
        </w:tc>
        <w:tc>
          <w:tcPr>
            <w:tcW w:w="1538" w:type="dxa"/>
            <w:tcBorders>
              <w:top w:val="single" w:color="auto" w:sz="6" w:space="0"/>
              <w:left w:val="single" w:color="auto" w:sz="6" w:space="0"/>
              <w:bottom w:val="single" w:color="auto" w:sz="6" w:space="0"/>
              <w:right w:val="single" w:color="auto" w:sz="6" w:space="0"/>
            </w:tcBorders>
            <w:vAlign w:val="center"/>
          </w:tcPr>
          <w:p w:rsidRPr="002234F1" w:rsidR="003201F7" w:rsidP="00225BB0" w:rsidRDefault="00DC0514" w14:paraId="79A68E3D" w14:textId="3A140B79">
            <w:pPr>
              <w:spacing w:after="0"/>
              <w:jc w:val="center"/>
              <w:rPr>
                <w:rFonts w:asciiTheme="minorHAnsi" w:hAnsiTheme="minorHAnsi" w:cstheme="minorHAnsi"/>
              </w:rPr>
            </w:pPr>
            <w:r w:rsidRPr="002234F1">
              <w:rPr>
                <w:rFonts w:asciiTheme="minorHAnsi" w:hAnsiTheme="minorHAnsi" w:cstheme="minorHAnsi"/>
              </w:rPr>
              <w:t>70</w:t>
            </w:r>
          </w:p>
        </w:tc>
      </w:tr>
      <w:tr w:rsidRPr="00225BB0" w:rsidR="003B022C" w:rsidTr="00E62B8C" w14:paraId="50877332" w14:textId="77777777">
        <w:trPr>
          <w:cantSplit/>
          <w:trHeight w:val="525"/>
          <w:jc w:val="center"/>
        </w:trPr>
        <w:tc>
          <w:tcPr>
            <w:tcW w:w="1702" w:type="dxa"/>
            <w:tcBorders>
              <w:top w:val="single" w:color="auto" w:sz="6" w:space="0"/>
              <w:left w:val="single" w:color="auto" w:sz="6" w:space="0"/>
              <w:bottom w:val="single" w:color="auto" w:sz="4" w:space="0"/>
            </w:tcBorders>
            <w:vAlign w:val="center"/>
          </w:tcPr>
          <w:p w:rsidRPr="00225BB0" w:rsidR="003B022C" w:rsidP="00225BB0" w:rsidRDefault="003B022C" w14:paraId="3108C1FB" w14:textId="5E8C9E42">
            <w:pPr>
              <w:spacing w:after="0"/>
              <w:jc w:val="center"/>
              <w:rPr>
                <w:rFonts w:asciiTheme="minorHAnsi" w:hAnsiTheme="minorHAnsi" w:cstheme="minorHAnsi"/>
                <w:b/>
                <w:bCs/>
              </w:rPr>
            </w:pPr>
            <w:r w:rsidRPr="00225BB0">
              <w:rPr>
                <w:rFonts w:asciiTheme="minorHAnsi" w:hAnsiTheme="minorHAnsi" w:cstheme="minorHAnsi"/>
                <w:b/>
                <w:bCs/>
              </w:rPr>
              <w:t>Total</w:t>
            </w:r>
            <w:r w:rsidR="003B3D62">
              <w:rPr>
                <w:rFonts w:asciiTheme="minorHAnsi" w:hAnsiTheme="minorHAnsi" w:cstheme="minorHAnsi"/>
                <w:b/>
                <w:bCs/>
              </w:rPr>
              <w:t>s</w:t>
            </w:r>
          </w:p>
        </w:tc>
        <w:tc>
          <w:tcPr>
            <w:tcW w:w="1980" w:type="dxa"/>
            <w:tcBorders>
              <w:top w:val="single" w:color="auto" w:sz="6" w:space="0"/>
              <w:left w:val="single" w:color="auto" w:sz="6" w:space="0"/>
              <w:bottom w:val="single" w:color="auto" w:sz="4" w:space="0"/>
            </w:tcBorders>
            <w:vAlign w:val="center"/>
          </w:tcPr>
          <w:p w:rsidRPr="00225BB0" w:rsidR="003B022C" w:rsidP="00225BB0" w:rsidRDefault="003B022C" w14:paraId="38069107" w14:textId="77777777">
            <w:pPr>
              <w:spacing w:after="0"/>
              <w:jc w:val="center"/>
              <w:rPr>
                <w:rFonts w:asciiTheme="minorHAnsi" w:hAnsiTheme="minorHAnsi" w:cstheme="minorHAnsi"/>
                <w:b/>
                <w:bCs/>
              </w:rPr>
            </w:pPr>
          </w:p>
        </w:tc>
        <w:tc>
          <w:tcPr>
            <w:tcW w:w="1440" w:type="dxa"/>
            <w:tcBorders>
              <w:top w:val="single" w:color="auto" w:sz="6" w:space="0"/>
              <w:left w:val="single" w:color="auto" w:sz="6" w:space="0"/>
              <w:bottom w:val="single" w:color="auto" w:sz="4" w:space="0"/>
            </w:tcBorders>
            <w:vAlign w:val="center"/>
          </w:tcPr>
          <w:p w:rsidRPr="002234F1" w:rsidR="003B022C" w:rsidP="00225BB0" w:rsidRDefault="003B022C" w14:paraId="6EF68106" w14:textId="42629C0E">
            <w:pPr>
              <w:spacing w:after="0"/>
              <w:jc w:val="center"/>
              <w:rPr>
                <w:rFonts w:asciiTheme="minorHAnsi" w:hAnsiTheme="minorHAnsi" w:cstheme="minorHAnsi"/>
                <w:b/>
                <w:bCs/>
              </w:rPr>
            </w:pPr>
          </w:p>
        </w:tc>
        <w:tc>
          <w:tcPr>
            <w:tcW w:w="1530" w:type="dxa"/>
            <w:tcBorders>
              <w:top w:val="single" w:color="auto" w:sz="6" w:space="0"/>
              <w:left w:val="single" w:color="auto" w:sz="6" w:space="0"/>
              <w:bottom w:val="single" w:color="auto" w:sz="4" w:space="0"/>
            </w:tcBorders>
            <w:vAlign w:val="center"/>
          </w:tcPr>
          <w:p w:rsidRPr="002234F1" w:rsidR="003B022C" w:rsidP="00225BB0" w:rsidRDefault="00EA1140" w14:paraId="01C0A7F6" w14:textId="77102B86">
            <w:pPr>
              <w:spacing w:after="0"/>
              <w:jc w:val="center"/>
              <w:rPr>
                <w:rFonts w:asciiTheme="minorHAnsi" w:hAnsiTheme="minorHAnsi" w:cstheme="minorHAnsi"/>
                <w:b/>
                <w:bCs/>
              </w:rPr>
            </w:pPr>
            <w:r w:rsidRPr="002234F1">
              <w:rPr>
                <w:rFonts w:asciiTheme="minorHAnsi" w:hAnsiTheme="minorHAnsi" w:cstheme="minorHAnsi"/>
                <w:b/>
                <w:bCs/>
              </w:rPr>
              <w:t>210</w:t>
            </w:r>
          </w:p>
        </w:tc>
        <w:tc>
          <w:tcPr>
            <w:tcW w:w="1710" w:type="dxa"/>
            <w:tcBorders>
              <w:top w:val="single" w:color="auto" w:sz="6" w:space="0"/>
              <w:left w:val="single" w:color="auto" w:sz="6" w:space="0"/>
              <w:bottom w:val="single" w:color="auto" w:sz="4" w:space="0"/>
            </w:tcBorders>
            <w:vAlign w:val="center"/>
          </w:tcPr>
          <w:p w:rsidRPr="002234F1" w:rsidR="003B022C" w:rsidP="00225BB0" w:rsidRDefault="003B022C" w14:paraId="56F847AE" w14:textId="77777777">
            <w:pPr>
              <w:spacing w:after="0"/>
              <w:jc w:val="center"/>
              <w:rPr>
                <w:rFonts w:asciiTheme="minorHAnsi" w:hAnsiTheme="minorHAnsi" w:cstheme="minorHAnsi"/>
                <w:b/>
                <w:bCs/>
              </w:rPr>
            </w:pPr>
          </w:p>
        </w:tc>
        <w:tc>
          <w:tcPr>
            <w:tcW w:w="1538" w:type="dxa"/>
            <w:tcBorders>
              <w:top w:val="single" w:color="auto" w:sz="6" w:space="0"/>
              <w:left w:val="single" w:color="auto" w:sz="6" w:space="0"/>
              <w:bottom w:val="single" w:color="auto" w:sz="4" w:space="0"/>
              <w:right w:val="single" w:color="auto" w:sz="6" w:space="0"/>
            </w:tcBorders>
            <w:vAlign w:val="center"/>
          </w:tcPr>
          <w:p w:rsidRPr="002234F1" w:rsidR="003B022C" w:rsidP="00225BB0" w:rsidRDefault="00B27637" w14:paraId="0DE2CAB6" w14:textId="023DE027">
            <w:pPr>
              <w:spacing w:after="0"/>
              <w:jc w:val="center"/>
              <w:rPr>
                <w:rFonts w:asciiTheme="minorHAnsi" w:hAnsiTheme="minorHAnsi" w:cstheme="minorHAnsi"/>
                <w:b/>
                <w:bCs/>
              </w:rPr>
            </w:pPr>
            <w:r w:rsidRPr="002234F1">
              <w:rPr>
                <w:rFonts w:asciiTheme="minorHAnsi" w:hAnsiTheme="minorHAnsi" w:cstheme="minorHAnsi"/>
                <w:b/>
                <w:bCs/>
              </w:rPr>
              <w:t>280</w:t>
            </w:r>
          </w:p>
        </w:tc>
      </w:tr>
    </w:tbl>
    <w:p w:rsidR="00225BB0" w:rsidP="00225BB0" w:rsidRDefault="00225BB0" w14:paraId="12BAFFF9" w14:textId="77777777">
      <w:pPr>
        <w:spacing w:after="0"/>
        <w:jc w:val="center"/>
        <w:rPr>
          <w:rFonts w:asciiTheme="minorHAnsi" w:hAnsiTheme="minorHAnsi" w:cstheme="minorHAnsi"/>
          <w:b/>
          <w:bCs/>
        </w:rPr>
      </w:pPr>
    </w:p>
    <w:p w:rsidR="009A69D6" w:rsidP="00225BB0" w:rsidRDefault="009A69D6" w14:paraId="4113DD0C" w14:textId="09BF80C0">
      <w:pPr>
        <w:spacing w:after="0"/>
        <w:jc w:val="center"/>
        <w:rPr>
          <w:rFonts w:asciiTheme="minorHAnsi" w:hAnsiTheme="minorHAnsi" w:cstheme="minorHAnsi"/>
          <w:b/>
          <w:bCs/>
        </w:rPr>
      </w:pPr>
      <w:r w:rsidRPr="00225BB0">
        <w:rPr>
          <w:rFonts w:asciiTheme="minorHAnsi" w:hAnsiTheme="minorHAnsi" w:cstheme="minorHAnsi"/>
          <w:b/>
          <w:bCs/>
        </w:rPr>
        <w:t>A.12-2 Annualized Cost to the Respondents</w:t>
      </w:r>
    </w:p>
    <w:p w:rsidRPr="00225BB0" w:rsidR="00225BB0" w:rsidP="00225BB0" w:rsidRDefault="00225BB0" w14:paraId="45142B33" w14:textId="77777777">
      <w:pPr>
        <w:spacing w:after="0"/>
        <w:jc w:val="center"/>
        <w:rPr>
          <w:rFonts w:asciiTheme="minorHAnsi" w:hAnsiTheme="minorHAnsi" w:cstheme="minorHAnsi"/>
          <w:b/>
          <w:bCs/>
        </w:rPr>
      </w:pPr>
    </w:p>
    <w:tbl>
      <w:tblPr>
        <w:tblW w:w="9810" w:type="dxa"/>
        <w:tblInd w:w="-8" w:type="dxa"/>
        <w:tblLayout w:type="fixed"/>
        <w:tblCellMar>
          <w:left w:w="100" w:type="dxa"/>
          <w:right w:w="100" w:type="dxa"/>
        </w:tblCellMar>
        <w:tblLook w:val="0000" w:firstRow="0" w:lastRow="0" w:firstColumn="0" w:lastColumn="0" w:noHBand="0" w:noVBand="0"/>
      </w:tblPr>
      <w:tblGrid>
        <w:gridCol w:w="3240"/>
        <w:gridCol w:w="1530"/>
        <w:gridCol w:w="1980"/>
        <w:gridCol w:w="3060"/>
      </w:tblGrid>
      <w:tr w:rsidRPr="00225BB0" w:rsidR="00976305" w:rsidTr="003B3D62" w14:paraId="3F749051" w14:textId="77777777">
        <w:trPr>
          <w:cantSplit/>
          <w:trHeight w:val="372"/>
        </w:trPr>
        <w:tc>
          <w:tcPr>
            <w:tcW w:w="3240" w:type="dxa"/>
            <w:tcBorders>
              <w:top w:val="single" w:color="auto" w:sz="6" w:space="0"/>
              <w:left w:val="single" w:color="auto" w:sz="6" w:space="0"/>
            </w:tcBorders>
            <w:vAlign w:val="center"/>
          </w:tcPr>
          <w:p w:rsidRPr="003B3D62" w:rsidR="00976305" w:rsidP="00225BB0" w:rsidRDefault="00225BB0" w14:paraId="4167ADBA" w14:textId="7B26170A">
            <w:pPr>
              <w:spacing w:after="0"/>
              <w:jc w:val="center"/>
              <w:rPr>
                <w:rFonts w:asciiTheme="minorHAnsi" w:hAnsiTheme="minorHAnsi" w:cstheme="minorHAnsi"/>
                <w:b/>
                <w:bCs/>
              </w:rPr>
            </w:pPr>
            <w:r w:rsidRPr="003B3D62">
              <w:rPr>
                <w:rFonts w:asciiTheme="minorHAnsi" w:hAnsiTheme="minorHAnsi" w:cstheme="minorHAnsi"/>
                <w:b/>
                <w:bCs/>
              </w:rPr>
              <w:t>Category</w:t>
            </w:r>
            <w:r w:rsidRPr="003B3D62" w:rsidR="00976305">
              <w:rPr>
                <w:rFonts w:asciiTheme="minorHAnsi" w:hAnsiTheme="minorHAnsi" w:cstheme="minorHAnsi"/>
                <w:b/>
                <w:bCs/>
              </w:rPr>
              <w:t xml:space="preserve"> of Respondent</w:t>
            </w:r>
          </w:p>
        </w:tc>
        <w:tc>
          <w:tcPr>
            <w:tcW w:w="1530" w:type="dxa"/>
            <w:tcBorders>
              <w:top w:val="single" w:color="auto" w:sz="6" w:space="0"/>
              <w:left w:val="single" w:color="auto" w:sz="6" w:space="0"/>
            </w:tcBorders>
            <w:vAlign w:val="center"/>
          </w:tcPr>
          <w:p w:rsidRPr="003B3D62" w:rsidR="00976305" w:rsidP="00225BB0" w:rsidRDefault="00976305" w14:paraId="7B0AC87F" w14:textId="041B3618">
            <w:pPr>
              <w:spacing w:after="0"/>
              <w:jc w:val="center"/>
              <w:rPr>
                <w:rFonts w:asciiTheme="minorHAnsi" w:hAnsiTheme="minorHAnsi" w:cstheme="minorHAnsi"/>
                <w:b/>
                <w:bCs/>
              </w:rPr>
            </w:pPr>
            <w:r w:rsidRPr="003B3D62">
              <w:rPr>
                <w:rFonts w:asciiTheme="minorHAnsi" w:hAnsiTheme="minorHAnsi" w:cstheme="minorHAnsi"/>
                <w:b/>
                <w:bCs/>
              </w:rPr>
              <w:t>Total Burden Hours</w:t>
            </w:r>
          </w:p>
        </w:tc>
        <w:tc>
          <w:tcPr>
            <w:tcW w:w="1980" w:type="dxa"/>
            <w:tcBorders>
              <w:top w:val="single" w:color="auto" w:sz="6" w:space="0"/>
              <w:left w:val="single" w:color="auto" w:sz="6" w:space="0"/>
              <w:right w:val="single" w:color="auto" w:sz="4" w:space="0"/>
            </w:tcBorders>
            <w:vAlign w:val="center"/>
          </w:tcPr>
          <w:p w:rsidRPr="003B3D62" w:rsidR="00976305" w:rsidP="00225BB0" w:rsidRDefault="00976305" w14:paraId="3C0B111C" w14:textId="77777777">
            <w:pPr>
              <w:spacing w:after="0"/>
              <w:jc w:val="center"/>
              <w:rPr>
                <w:rFonts w:asciiTheme="minorHAnsi" w:hAnsiTheme="minorHAnsi" w:cstheme="minorHAnsi"/>
                <w:b/>
                <w:bCs/>
              </w:rPr>
            </w:pPr>
            <w:r w:rsidRPr="003B3D62">
              <w:rPr>
                <w:rFonts w:asciiTheme="minorHAnsi" w:hAnsiTheme="minorHAnsi" w:cstheme="minorHAnsi"/>
                <w:b/>
                <w:bCs/>
              </w:rPr>
              <w:t xml:space="preserve">Hourly Respondent </w:t>
            </w:r>
          </w:p>
          <w:p w:rsidRPr="003B3D62" w:rsidR="00976305" w:rsidP="00225BB0" w:rsidRDefault="00976305" w14:paraId="0A1FB771" w14:textId="0F9C23A9">
            <w:pPr>
              <w:spacing w:after="0"/>
              <w:jc w:val="center"/>
              <w:rPr>
                <w:rFonts w:asciiTheme="minorHAnsi" w:hAnsiTheme="minorHAnsi" w:cstheme="minorHAnsi"/>
                <w:b/>
                <w:bCs/>
              </w:rPr>
            </w:pPr>
            <w:r w:rsidRPr="003B3D62">
              <w:rPr>
                <w:rFonts w:asciiTheme="minorHAnsi" w:hAnsiTheme="minorHAnsi" w:cstheme="minorHAnsi"/>
                <w:b/>
                <w:bCs/>
              </w:rPr>
              <w:t>Wage Rate*</w:t>
            </w:r>
          </w:p>
        </w:tc>
        <w:tc>
          <w:tcPr>
            <w:tcW w:w="3060" w:type="dxa"/>
            <w:tcBorders>
              <w:top w:val="single" w:color="auto" w:sz="4" w:space="0"/>
              <w:left w:val="single" w:color="auto" w:sz="4" w:space="0"/>
              <w:bottom w:val="single" w:color="auto" w:sz="4" w:space="0"/>
              <w:right w:val="single" w:color="auto" w:sz="4" w:space="0"/>
            </w:tcBorders>
            <w:vAlign w:val="center"/>
          </w:tcPr>
          <w:p w:rsidRPr="003B3D62" w:rsidR="00976305" w:rsidP="00225BB0" w:rsidRDefault="00976305" w14:paraId="7DCD1E1F" w14:textId="7410BE9E">
            <w:pPr>
              <w:spacing w:after="0"/>
              <w:jc w:val="center"/>
              <w:rPr>
                <w:rFonts w:asciiTheme="minorHAnsi" w:hAnsiTheme="minorHAnsi" w:cstheme="minorHAnsi"/>
                <w:b/>
                <w:bCs/>
              </w:rPr>
            </w:pPr>
            <w:r w:rsidRPr="003B3D62">
              <w:rPr>
                <w:rFonts w:asciiTheme="minorHAnsi" w:hAnsiTheme="minorHAnsi" w:cstheme="minorHAnsi"/>
                <w:b/>
                <w:bCs/>
              </w:rPr>
              <w:t>Respondent Cost</w:t>
            </w:r>
          </w:p>
        </w:tc>
      </w:tr>
      <w:tr w:rsidRPr="00225BB0" w:rsidR="00FE3A4F" w:rsidTr="00225BB0" w14:paraId="7E2AC180" w14:textId="77777777">
        <w:trPr>
          <w:cantSplit/>
          <w:trHeight w:val="372"/>
        </w:trPr>
        <w:tc>
          <w:tcPr>
            <w:tcW w:w="3240" w:type="dxa"/>
            <w:tcBorders>
              <w:top w:val="single" w:color="auto" w:sz="6" w:space="0"/>
              <w:left w:val="single" w:color="auto" w:sz="6" w:space="0"/>
              <w:bottom w:val="single" w:color="auto" w:sz="6" w:space="0"/>
            </w:tcBorders>
          </w:tcPr>
          <w:p w:rsidR="00FE3A4F" w:rsidP="00225BB0" w:rsidRDefault="00EA1140" w14:paraId="1C2A4242" w14:textId="6E09E124">
            <w:pPr>
              <w:spacing w:after="0"/>
              <w:rPr>
                <w:rFonts w:asciiTheme="minorHAnsi" w:hAnsiTheme="minorHAnsi" w:cstheme="minorHAnsi"/>
              </w:rPr>
            </w:pPr>
            <w:r>
              <w:rPr>
                <w:rFonts w:asciiTheme="minorHAnsi" w:hAnsiTheme="minorHAnsi" w:cstheme="minorHAnsi"/>
              </w:rPr>
              <w:t xml:space="preserve">Individuals </w:t>
            </w:r>
          </w:p>
        </w:tc>
        <w:tc>
          <w:tcPr>
            <w:tcW w:w="1530" w:type="dxa"/>
            <w:tcBorders>
              <w:top w:val="single" w:color="auto" w:sz="6" w:space="0"/>
              <w:left w:val="single" w:color="auto" w:sz="6" w:space="0"/>
              <w:bottom w:val="single" w:color="auto" w:sz="6" w:space="0"/>
            </w:tcBorders>
            <w:vAlign w:val="center"/>
          </w:tcPr>
          <w:p w:rsidRPr="002234F1" w:rsidR="00FE3A4F" w:rsidP="00225BB0" w:rsidRDefault="00EA1140" w14:paraId="1C3CA2B0" w14:textId="13BD3985">
            <w:pPr>
              <w:spacing w:after="0"/>
              <w:jc w:val="center"/>
              <w:rPr>
                <w:rFonts w:asciiTheme="minorHAnsi" w:hAnsiTheme="minorHAnsi" w:cstheme="minorHAnsi"/>
              </w:rPr>
            </w:pPr>
            <w:r w:rsidRPr="002234F1">
              <w:rPr>
                <w:rFonts w:asciiTheme="minorHAnsi" w:hAnsiTheme="minorHAnsi" w:cstheme="minorHAnsi"/>
              </w:rPr>
              <w:t>280</w:t>
            </w:r>
          </w:p>
        </w:tc>
        <w:tc>
          <w:tcPr>
            <w:tcW w:w="1980" w:type="dxa"/>
            <w:tcBorders>
              <w:top w:val="single" w:color="auto" w:sz="6" w:space="0"/>
              <w:left w:val="single" w:color="auto" w:sz="6" w:space="0"/>
              <w:bottom w:val="single" w:color="auto" w:sz="6" w:space="0"/>
              <w:right w:val="single" w:color="auto" w:sz="4" w:space="0"/>
            </w:tcBorders>
            <w:vAlign w:val="center"/>
          </w:tcPr>
          <w:p w:rsidRPr="002234F1" w:rsidR="00FE3A4F" w:rsidP="00EA1140" w:rsidRDefault="00B27637" w14:paraId="5D3A0311" w14:textId="43215150">
            <w:pPr>
              <w:spacing w:after="0"/>
              <w:jc w:val="center"/>
              <w:rPr>
                <w:rFonts w:asciiTheme="minorHAnsi" w:hAnsiTheme="minorHAnsi" w:cstheme="minorHAnsi"/>
              </w:rPr>
            </w:pPr>
            <w:r w:rsidRPr="002234F1">
              <w:rPr>
                <w:rFonts w:asciiTheme="minorHAnsi" w:hAnsiTheme="minorHAnsi" w:cstheme="minorHAnsi"/>
              </w:rPr>
              <w:t>$</w:t>
            </w:r>
            <w:r w:rsidR="00937061">
              <w:rPr>
                <w:rFonts w:asciiTheme="minorHAnsi" w:hAnsiTheme="minorHAnsi" w:cstheme="minorHAnsi"/>
              </w:rPr>
              <w:t>49.44</w:t>
            </w:r>
          </w:p>
        </w:tc>
        <w:tc>
          <w:tcPr>
            <w:tcW w:w="3060" w:type="dxa"/>
            <w:tcBorders>
              <w:top w:val="single" w:color="auto" w:sz="4" w:space="0"/>
              <w:left w:val="single" w:color="auto" w:sz="4" w:space="0"/>
              <w:bottom w:val="single" w:color="auto" w:sz="4" w:space="0"/>
              <w:right w:val="single" w:color="auto" w:sz="4" w:space="0"/>
            </w:tcBorders>
            <w:vAlign w:val="center"/>
          </w:tcPr>
          <w:p w:rsidRPr="002234F1" w:rsidR="00FE3A4F" w:rsidP="003056AF" w:rsidRDefault="00EA1140" w14:paraId="159487CF" w14:textId="6F99CE5F">
            <w:pPr>
              <w:spacing w:after="0"/>
              <w:jc w:val="center"/>
              <w:rPr>
                <w:rFonts w:asciiTheme="minorHAnsi" w:hAnsiTheme="minorHAnsi" w:cstheme="minorHAnsi"/>
              </w:rPr>
            </w:pPr>
            <w:r w:rsidRPr="002234F1">
              <w:rPr>
                <w:rFonts w:asciiTheme="minorHAnsi" w:hAnsiTheme="minorHAnsi" w:cstheme="minorHAnsi"/>
              </w:rPr>
              <w:t>$13,</w:t>
            </w:r>
            <w:r w:rsidR="00937061">
              <w:rPr>
                <w:rFonts w:asciiTheme="minorHAnsi" w:hAnsiTheme="minorHAnsi" w:cstheme="minorHAnsi"/>
              </w:rPr>
              <w:t>843.20</w:t>
            </w:r>
          </w:p>
        </w:tc>
      </w:tr>
      <w:tr w:rsidRPr="00225BB0" w:rsidR="00976305" w:rsidTr="00225BB0" w14:paraId="0ABFB6F8" w14:textId="77777777">
        <w:trPr>
          <w:cantSplit/>
          <w:trHeight w:val="372"/>
        </w:trPr>
        <w:tc>
          <w:tcPr>
            <w:tcW w:w="3240" w:type="dxa"/>
            <w:tcBorders>
              <w:top w:val="single" w:color="auto" w:sz="6" w:space="0"/>
              <w:left w:val="single" w:color="auto" w:sz="6" w:space="0"/>
              <w:bottom w:val="single" w:color="auto" w:sz="4" w:space="0"/>
            </w:tcBorders>
            <w:vAlign w:val="center"/>
          </w:tcPr>
          <w:p w:rsidRPr="003B3D62" w:rsidR="00976305" w:rsidP="003B3D62" w:rsidRDefault="00976305" w14:paraId="5B4B1654" w14:textId="46E51CBF">
            <w:pPr>
              <w:spacing w:after="0"/>
              <w:rPr>
                <w:rFonts w:asciiTheme="minorHAnsi" w:hAnsiTheme="minorHAnsi" w:cstheme="minorHAnsi"/>
                <w:b/>
                <w:bCs/>
              </w:rPr>
            </w:pPr>
            <w:r w:rsidRPr="003B3D62">
              <w:rPr>
                <w:rFonts w:asciiTheme="minorHAnsi" w:hAnsiTheme="minorHAnsi" w:cstheme="minorHAnsi"/>
                <w:b/>
                <w:bCs/>
              </w:rPr>
              <w:t>Total</w:t>
            </w:r>
            <w:r w:rsidR="003B3D62">
              <w:rPr>
                <w:rFonts w:asciiTheme="minorHAnsi" w:hAnsiTheme="minorHAnsi" w:cstheme="minorHAnsi"/>
                <w:b/>
                <w:bCs/>
              </w:rPr>
              <w:t>s</w:t>
            </w:r>
          </w:p>
        </w:tc>
        <w:tc>
          <w:tcPr>
            <w:tcW w:w="1530" w:type="dxa"/>
            <w:tcBorders>
              <w:top w:val="single" w:color="auto" w:sz="6" w:space="0"/>
              <w:left w:val="single" w:color="auto" w:sz="6" w:space="0"/>
              <w:bottom w:val="single" w:color="auto" w:sz="4" w:space="0"/>
            </w:tcBorders>
            <w:vAlign w:val="center"/>
          </w:tcPr>
          <w:p w:rsidRPr="002234F1" w:rsidR="00976305" w:rsidP="00225BB0" w:rsidRDefault="00976305" w14:paraId="6AA471CD" w14:textId="4EF75ACC">
            <w:pPr>
              <w:spacing w:after="0"/>
              <w:jc w:val="center"/>
              <w:rPr>
                <w:rFonts w:asciiTheme="minorHAnsi" w:hAnsiTheme="minorHAnsi" w:cstheme="minorHAnsi"/>
                <w:b/>
                <w:bCs/>
              </w:rPr>
            </w:pPr>
          </w:p>
        </w:tc>
        <w:tc>
          <w:tcPr>
            <w:tcW w:w="1980" w:type="dxa"/>
            <w:tcBorders>
              <w:top w:val="single" w:color="auto" w:sz="6" w:space="0"/>
              <w:left w:val="single" w:color="auto" w:sz="6" w:space="0"/>
              <w:bottom w:val="single" w:color="auto" w:sz="4" w:space="0"/>
              <w:right w:val="single" w:color="auto" w:sz="4" w:space="0"/>
            </w:tcBorders>
            <w:vAlign w:val="center"/>
          </w:tcPr>
          <w:p w:rsidRPr="002234F1" w:rsidR="00976305" w:rsidP="00225BB0" w:rsidRDefault="00976305" w14:paraId="49D3F51C" w14:textId="77777777">
            <w:pPr>
              <w:spacing w:after="0"/>
              <w:jc w:val="center"/>
              <w:rPr>
                <w:rFonts w:asciiTheme="minorHAnsi" w:hAnsiTheme="minorHAnsi" w:cstheme="minorHAnsi"/>
                <w:b/>
                <w:bCs/>
              </w:rPr>
            </w:pPr>
          </w:p>
        </w:tc>
        <w:tc>
          <w:tcPr>
            <w:tcW w:w="3060" w:type="dxa"/>
            <w:tcBorders>
              <w:top w:val="single" w:color="auto" w:sz="4" w:space="0"/>
              <w:left w:val="single" w:color="auto" w:sz="4" w:space="0"/>
              <w:bottom w:val="single" w:color="auto" w:sz="4" w:space="0"/>
              <w:right w:val="single" w:color="auto" w:sz="4" w:space="0"/>
            </w:tcBorders>
            <w:vAlign w:val="center"/>
          </w:tcPr>
          <w:p w:rsidRPr="002234F1" w:rsidR="00976305" w:rsidP="006B69E2" w:rsidRDefault="00976305" w14:paraId="636F1F11" w14:textId="3D4A1B8D">
            <w:pPr>
              <w:spacing w:after="0"/>
              <w:jc w:val="center"/>
              <w:rPr>
                <w:rFonts w:asciiTheme="minorHAnsi" w:hAnsiTheme="minorHAnsi" w:cstheme="minorHAnsi"/>
                <w:b/>
                <w:bCs/>
              </w:rPr>
            </w:pPr>
            <w:r w:rsidRPr="002234F1">
              <w:rPr>
                <w:rFonts w:asciiTheme="minorHAnsi" w:hAnsiTheme="minorHAnsi" w:cstheme="minorHAnsi"/>
                <w:b/>
                <w:bCs/>
              </w:rPr>
              <w:t>$</w:t>
            </w:r>
            <w:r w:rsidRPr="002234F1" w:rsidR="006B69E2">
              <w:rPr>
                <w:rFonts w:asciiTheme="minorHAnsi" w:hAnsiTheme="minorHAnsi" w:cstheme="minorHAnsi"/>
                <w:b/>
                <w:bCs/>
              </w:rPr>
              <w:t>13,</w:t>
            </w:r>
            <w:r w:rsidR="00937061">
              <w:rPr>
                <w:rFonts w:asciiTheme="minorHAnsi" w:hAnsiTheme="minorHAnsi" w:cstheme="minorHAnsi"/>
                <w:b/>
                <w:bCs/>
              </w:rPr>
              <w:t>843.20</w:t>
            </w:r>
          </w:p>
        </w:tc>
      </w:tr>
    </w:tbl>
    <w:p w:rsidRPr="00B27637" w:rsidR="00B27637" w:rsidP="00B27637" w:rsidRDefault="00B27637" w14:paraId="6C7E77FD" w14:textId="6F3B2138">
      <w:pPr>
        <w:spacing w:after="0" w:line="240" w:lineRule="auto"/>
        <w:rPr>
          <w:rFonts w:asciiTheme="minorHAnsi" w:hAnsiTheme="minorHAnsi" w:cstheme="minorHAnsi"/>
          <w:sz w:val="18"/>
          <w:szCs w:val="18"/>
        </w:rPr>
      </w:pPr>
      <w:r w:rsidRPr="00B27637">
        <w:rPr>
          <w:rFonts w:asciiTheme="minorHAnsi" w:hAnsiTheme="minorHAnsi" w:cstheme="minorHAnsi"/>
          <w:sz w:val="18"/>
          <w:szCs w:val="18"/>
        </w:rPr>
        <w:t xml:space="preserve">*The hourly wage rate for the PIs, professors and supervisors </w:t>
      </w:r>
      <w:r w:rsidR="00937061">
        <w:rPr>
          <w:rFonts w:asciiTheme="minorHAnsi" w:hAnsiTheme="minorHAnsi" w:cstheme="minorHAnsi"/>
          <w:sz w:val="18"/>
          <w:szCs w:val="18"/>
        </w:rPr>
        <w:t>was</w:t>
      </w:r>
      <w:r w:rsidRPr="00B27637">
        <w:rPr>
          <w:rFonts w:asciiTheme="minorHAnsi" w:hAnsiTheme="minorHAnsi" w:cstheme="minorHAnsi"/>
          <w:sz w:val="18"/>
          <w:szCs w:val="18"/>
        </w:rPr>
        <w:t xml:space="preserve"> calculated using the BLS wage rate for Medical Scientists (19-1040), </w:t>
      </w:r>
      <w:hyperlink w:history="1" w:anchor="19-1040" r:id="rId15">
        <w:r w:rsidRPr="00CB7BA5" w:rsidR="00937061">
          <w:rPr>
            <w:rStyle w:val="Hyperlink"/>
            <w:rFonts w:asciiTheme="minorHAnsi" w:hAnsiTheme="minorHAnsi" w:cstheme="minorHAnsi"/>
            <w:bCs/>
            <w:sz w:val="18"/>
            <w:szCs w:val="18"/>
          </w:rPr>
          <w:t>https://www.bls.gov/oes/2021/May/oes_nat.htm#19-1040</w:t>
        </w:r>
      </w:hyperlink>
      <w:r w:rsidRPr="00B27637">
        <w:rPr>
          <w:rFonts w:asciiTheme="minorHAnsi" w:hAnsiTheme="minorHAnsi" w:cstheme="minorHAnsi"/>
          <w:sz w:val="18"/>
          <w:szCs w:val="18"/>
        </w:rPr>
        <w:t>.</w:t>
      </w:r>
    </w:p>
    <w:p w:rsidR="003B3D62" w:rsidRDefault="003B3D62" w14:paraId="3FEB8380" w14:textId="76CAD367">
      <w:pPr>
        <w:spacing w:after="0" w:line="240" w:lineRule="auto"/>
        <w:rPr>
          <w:rFonts w:asciiTheme="minorHAnsi" w:hAnsiTheme="minorHAnsi" w:cstheme="minorHAnsi"/>
          <w:b/>
        </w:rPr>
      </w:pPr>
    </w:p>
    <w:p w:rsidRPr="00225BB0" w:rsidR="00FF72FC" w:rsidP="00225BB0" w:rsidRDefault="00FF72FC" w14:paraId="5959FADE" w14:textId="267A6117">
      <w:pPr>
        <w:spacing w:after="0"/>
        <w:rPr>
          <w:rFonts w:asciiTheme="minorHAnsi" w:hAnsiTheme="minorHAnsi" w:cstheme="minorHAnsi"/>
          <w:b/>
        </w:rPr>
      </w:pPr>
      <w:r w:rsidRPr="00225BB0">
        <w:rPr>
          <w:rFonts w:asciiTheme="minorHAnsi" w:hAnsiTheme="minorHAnsi" w:cstheme="minorHAnsi"/>
          <w:b/>
        </w:rPr>
        <w:t>A.13</w:t>
      </w:r>
      <w:r w:rsidRPr="00225BB0">
        <w:rPr>
          <w:rFonts w:asciiTheme="minorHAnsi" w:hAnsiTheme="minorHAnsi" w:cstheme="minorHAnsi"/>
          <w:b/>
        </w:rPr>
        <w:tab/>
        <w:t>Estimate of Other Total Annual Cost Burden to Respondents or Record Keepers</w:t>
      </w:r>
    </w:p>
    <w:p w:rsidRPr="00225BB0" w:rsidR="00206918" w:rsidP="00225BB0" w:rsidRDefault="00206918" w14:paraId="381A56F8" w14:textId="54304A19">
      <w:pPr>
        <w:spacing w:after="0"/>
        <w:rPr>
          <w:rFonts w:asciiTheme="minorHAnsi" w:hAnsiTheme="minorHAnsi" w:cstheme="minorHAnsi"/>
        </w:rPr>
      </w:pPr>
      <w:r w:rsidRPr="00225BB0">
        <w:rPr>
          <w:rFonts w:asciiTheme="minorHAnsi" w:hAnsiTheme="minorHAnsi" w:cstheme="minorHAnsi"/>
        </w:rPr>
        <w:t xml:space="preserve">There </w:t>
      </w:r>
      <w:proofErr w:type="gramStart"/>
      <w:r w:rsidRPr="00225BB0">
        <w:rPr>
          <w:rFonts w:asciiTheme="minorHAnsi" w:hAnsiTheme="minorHAnsi" w:cstheme="minorHAnsi"/>
        </w:rPr>
        <w:t>are</w:t>
      </w:r>
      <w:proofErr w:type="gramEnd"/>
      <w:r w:rsidRPr="00225BB0">
        <w:rPr>
          <w:rFonts w:asciiTheme="minorHAnsi" w:hAnsiTheme="minorHAnsi" w:cstheme="minorHAnsi"/>
        </w:rPr>
        <w:t xml:space="preserve"> no capital</w:t>
      </w:r>
      <w:r w:rsidR="00937061">
        <w:rPr>
          <w:rFonts w:asciiTheme="minorHAnsi" w:hAnsiTheme="minorHAnsi" w:cstheme="minorHAnsi"/>
        </w:rPr>
        <w:t>, operating</w:t>
      </w:r>
      <w:r w:rsidRPr="00225BB0">
        <w:rPr>
          <w:rFonts w:asciiTheme="minorHAnsi" w:hAnsiTheme="minorHAnsi" w:cstheme="minorHAnsi"/>
        </w:rPr>
        <w:t>, or maintenance costs to report.</w:t>
      </w:r>
    </w:p>
    <w:p w:rsidR="00052C27" w:rsidP="00225BB0" w:rsidRDefault="00052C27" w14:paraId="6CB6A9AD" w14:textId="77777777">
      <w:pPr>
        <w:spacing w:after="0"/>
        <w:rPr>
          <w:rFonts w:asciiTheme="minorHAnsi" w:hAnsiTheme="minorHAnsi" w:cstheme="minorHAnsi"/>
        </w:rPr>
      </w:pPr>
    </w:p>
    <w:p w:rsidRPr="00225BB0" w:rsidR="00C849EB" w:rsidP="00C849EB" w:rsidRDefault="00C849EB" w14:paraId="0E7B88E0" w14:textId="77777777">
      <w:pPr>
        <w:spacing w:after="0"/>
        <w:rPr>
          <w:rFonts w:asciiTheme="minorHAnsi" w:hAnsiTheme="minorHAnsi" w:cstheme="minorHAnsi"/>
        </w:rPr>
      </w:pPr>
      <w:r w:rsidRPr="00225BB0">
        <w:rPr>
          <w:rFonts w:asciiTheme="minorHAnsi" w:hAnsiTheme="minorHAnsi" w:cstheme="minorHAnsi"/>
          <w:b/>
        </w:rPr>
        <w:t>A.14</w:t>
      </w:r>
      <w:r w:rsidRPr="00225BB0">
        <w:rPr>
          <w:rFonts w:asciiTheme="minorHAnsi" w:hAnsiTheme="minorHAnsi" w:cstheme="minorHAnsi"/>
          <w:b/>
        </w:rPr>
        <w:tab/>
        <w:t xml:space="preserve">Annualized Cost to the Federal Government  </w:t>
      </w:r>
    </w:p>
    <w:p w:rsidRPr="00D21897" w:rsidR="00594DCC" w:rsidP="00D21897" w:rsidRDefault="00D21897" w14:paraId="0F9D7024" w14:textId="66074CC7">
      <w:pPr>
        <w:spacing w:after="0"/>
        <w:rPr>
          <w:rFonts w:asciiTheme="minorHAnsi" w:hAnsiTheme="minorHAnsi" w:cstheme="minorHAnsi"/>
        </w:rPr>
      </w:pPr>
      <w:r w:rsidRPr="00D21897">
        <w:rPr>
          <w:rFonts w:asciiTheme="minorHAnsi" w:hAnsiTheme="minorHAnsi" w:cstheme="minorHAnsi"/>
        </w:rPr>
        <w:t>The annualized cost to the Federal Government for the proposed data collection effort is estimated to be approximately $</w:t>
      </w:r>
      <w:r w:rsidR="00AD21AF">
        <w:rPr>
          <w:rFonts w:asciiTheme="minorHAnsi" w:hAnsiTheme="minorHAnsi" w:cstheme="minorHAnsi"/>
        </w:rPr>
        <w:t>36,682.30</w:t>
      </w:r>
      <w:r w:rsidRPr="00D21897">
        <w:rPr>
          <w:rFonts w:asciiTheme="minorHAnsi" w:hAnsiTheme="minorHAnsi" w:cstheme="minorHAnsi"/>
        </w:rPr>
        <w:t xml:space="preserve"> (Table A.14-1). This includes the responses to potential </w:t>
      </w:r>
      <w:r w:rsidR="00937061">
        <w:rPr>
          <w:rFonts w:asciiTheme="minorHAnsi" w:hAnsiTheme="minorHAnsi" w:cstheme="minorHAnsi"/>
        </w:rPr>
        <w:t>candidates’</w:t>
      </w:r>
      <w:r w:rsidRPr="00D21897">
        <w:rPr>
          <w:rFonts w:asciiTheme="minorHAnsi" w:hAnsiTheme="minorHAnsi" w:cstheme="minorHAnsi"/>
        </w:rPr>
        <w:t xml:space="preserve"> requests for </w:t>
      </w:r>
      <w:r w:rsidRPr="00D21897">
        <w:rPr>
          <w:rFonts w:asciiTheme="minorHAnsi" w:hAnsiTheme="minorHAnsi" w:cstheme="minorHAnsi"/>
        </w:rPr>
        <w:lastRenderedPageBreak/>
        <w:t>reference letters, tracking the applications, the evaluation and analysis of completion of the applications, and monitoring the overall process.  The Federal oversight amounts to $</w:t>
      </w:r>
      <w:r w:rsidR="000E5AC1">
        <w:rPr>
          <w:rFonts w:asciiTheme="minorHAnsi" w:hAnsiTheme="minorHAnsi" w:cstheme="minorHAnsi"/>
        </w:rPr>
        <w:t>10,682.30</w:t>
      </w:r>
      <w:r w:rsidR="00937061">
        <w:rPr>
          <w:rFonts w:asciiTheme="minorHAnsi" w:hAnsiTheme="minorHAnsi" w:cstheme="minorHAnsi"/>
        </w:rPr>
        <w:t>,</w:t>
      </w:r>
      <w:r w:rsidRPr="00D21897">
        <w:rPr>
          <w:rFonts w:asciiTheme="minorHAnsi" w:hAnsiTheme="minorHAnsi" w:cstheme="minorHAnsi"/>
        </w:rPr>
        <w:t xml:space="preserve"> and the contractor costs are $26,000.</w:t>
      </w:r>
      <w:r>
        <w:rPr>
          <w:rFonts w:asciiTheme="minorHAnsi" w:hAnsiTheme="minorHAnsi" w:cstheme="minorHAnsi"/>
        </w:rPr>
        <w:t>00.</w:t>
      </w:r>
    </w:p>
    <w:p w:rsidRPr="003B3D62" w:rsidR="00C849EB" w:rsidP="00C849EB" w:rsidRDefault="00C849EB" w14:paraId="1897FE39" w14:textId="6FA1072E">
      <w:pPr>
        <w:spacing w:after="0"/>
        <w:jc w:val="center"/>
        <w:rPr>
          <w:rFonts w:asciiTheme="minorHAnsi" w:hAnsiTheme="minorHAnsi" w:cstheme="minorHAnsi"/>
          <w:b/>
          <w:bCs/>
        </w:rPr>
      </w:pPr>
      <w:r w:rsidRPr="003B3D62">
        <w:rPr>
          <w:rFonts w:asciiTheme="minorHAnsi" w:hAnsiTheme="minorHAnsi" w:cstheme="minorHAnsi"/>
          <w:b/>
          <w:bCs/>
        </w:rPr>
        <w:t>A.14-1 Annualized Cost to the Federal Government</w:t>
      </w:r>
    </w:p>
    <w:p w:rsidRPr="00225BB0" w:rsidR="00C849EB" w:rsidP="00C849EB" w:rsidRDefault="00C849EB" w14:paraId="1A008DDA" w14:textId="77777777">
      <w:pPr>
        <w:spacing w:after="0"/>
        <w:rPr>
          <w:rFonts w:asciiTheme="minorHAnsi" w:hAnsiTheme="minorHAnsi" w:cstheme="minorHAnsi"/>
        </w:rPr>
      </w:pPr>
    </w:p>
    <w:tbl>
      <w:tblPr>
        <w:tblW w:w="9540" w:type="dxa"/>
        <w:tblInd w:w="-10" w:type="dxa"/>
        <w:tblCellMar>
          <w:left w:w="0" w:type="dxa"/>
          <w:right w:w="0" w:type="dxa"/>
        </w:tblCellMar>
        <w:tblLook w:val="04A0" w:firstRow="1" w:lastRow="0" w:firstColumn="1" w:lastColumn="0" w:noHBand="0" w:noVBand="1"/>
      </w:tblPr>
      <w:tblGrid>
        <w:gridCol w:w="2278"/>
        <w:gridCol w:w="1213"/>
        <w:gridCol w:w="1260"/>
        <w:gridCol w:w="1363"/>
        <w:gridCol w:w="1356"/>
        <w:gridCol w:w="2070"/>
      </w:tblGrid>
      <w:tr w:rsidRPr="00225BB0" w:rsidR="00C849EB" w:rsidTr="00CA2604" w14:paraId="1252C3CC" w14:textId="77777777">
        <w:trPr>
          <w:trHeight w:val="619"/>
        </w:trPr>
        <w:tc>
          <w:tcPr>
            <w:tcW w:w="227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225BB0" w:rsidR="00C849EB" w:rsidP="00CA2604" w:rsidRDefault="00C849EB" w14:paraId="224EA011" w14:textId="77777777">
            <w:pPr>
              <w:spacing w:after="0"/>
              <w:jc w:val="center"/>
              <w:rPr>
                <w:rFonts w:asciiTheme="minorHAnsi" w:hAnsiTheme="minorHAnsi" w:cstheme="minorHAnsi"/>
                <w:b/>
                <w:bCs/>
                <w:color w:val="000000"/>
              </w:rPr>
            </w:pPr>
            <w:r w:rsidRPr="00225BB0">
              <w:rPr>
                <w:rFonts w:asciiTheme="minorHAnsi" w:hAnsiTheme="minorHAnsi" w:cstheme="minorHAnsi"/>
                <w:b/>
                <w:bCs/>
                <w:color w:val="000000"/>
              </w:rPr>
              <w:t>Staff</w:t>
            </w:r>
          </w:p>
        </w:tc>
        <w:tc>
          <w:tcPr>
            <w:tcW w:w="1213" w:type="dxa"/>
            <w:tcBorders>
              <w:top w:val="single" w:color="auto" w:sz="8" w:space="0"/>
              <w:left w:val="nil"/>
              <w:bottom w:val="single" w:color="auto" w:sz="8" w:space="0"/>
              <w:right w:val="single" w:color="auto" w:sz="8" w:space="0"/>
            </w:tcBorders>
            <w:shd w:val="clear" w:color="auto" w:fill="auto"/>
            <w:vAlign w:val="center"/>
          </w:tcPr>
          <w:p w:rsidRPr="00225BB0" w:rsidR="00C849EB" w:rsidP="00CA2604" w:rsidRDefault="00C849EB" w14:paraId="3D5F64AC" w14:textId="77777777">
            <w:pPr>
              <w:spacing w:after="0"/>
              <w:jc w:val="center"/>
              <w:rPr>
                <w:rFonts w:asciiTheme="minorHAnsi" w:hAnsiTheme="minorHAnsi" w:cstheme="minorHAnsi"/>
                <w:b/>
                <w:bCs/>
                <w:color w:val="000000"/>
              </w:rPr>
            </w:pPr>
            <w:r w:rsidRPr="00225BB0">
              <w:rPr>
                <w:rFonts w:asciiTheme="minorHAnsi" w:hAnsiTheme="minorHAnsi" w:cstheme="minorHAnsi"/>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225BB0" w:rsidR="00C849EB" w:rsidP="00CA2604" w:rsidRDefault="00C849EB" w14:paraId="0FA5F2AE" w14:textId="77777777">
            <w:pPr>
              <w:spacing w:after="0"/>
              <w:jc w:val="center"/>
              <w:rPr>
                <w:rFonts w:asciiTheme="minorHAnsi" w:hAnsiTheme="minorHAnsi" w:cstheme="minorHAnsi"/>
                <w:b/>
                <w:bCs/>
              </w:rPr>
            </w:pPr>
            <w:r w:rsidRPr="00225BB0">
              <w:rPr>
                <w:rFonts w:asciiTheme="minorHAnsi" w:hAnsiTheme="minorHAnsi" w:cstheme="minorHAnsi"/>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225BB0" w:rsidR="00C849EB" w:rsidP="00CA2604" w:rsidRDefault="00C849EB" w14:paraId="6C5BA8AB" w14:textId="77777777">
            <w:pPr>
              <w:spacing w:after="0"/>
              <w:jc w:val="center"/>
              <w:rPr>
                <w:rFonts w:asciiTheme="minorHAnsi" w:hAnsiTheme="minorHAnsi" w:cstheme="minorHAnsi"/>
                <w:b/>
                <w:bCs/>
              </w:rPr>
            </w:pPr>
            <w:r w:rsidRPr="00225BB0">
              <w:rPr>
                <w:rFonts w:asciiTheme="minorHAnsi" w:hAnsiTheme="minorHAnsi" w:cstheme="minorHAnsi"/>
                <w:b/>
                <w:bCs/>
              </w:rPr>
              <w:t>% of Effort</w:t>
            </w:r>
          </w:p>
        </w:tc>
        <w:tc>
          <w:tcPr>
            <w:tcW w:w="1356" w:type="dxa"/>
            <w:tcBorders>
              <w:top w:val="single" w:color="auto" w:sz="8" w:space="0"/>
              <w:left w:val="nil"/>
              <w:bottom w:val="single" w:color="auto" w:sz="8" w:space="0"/>
              <w:right w:val="single" w:color="auto" w:sz="8" w:space="0"/>
            </w:tcBorders>
            <w:shd w:val="clear" w:color="auto" w:fill="auto"/>
            <w:vAlign w:val="center"/>
          </w:tcPr>
          <w:p w:rsidRPr="00225BB0" w:rsidR="00C849EB" w:rsidP="00CA2604" w:rsidRDefault="00C849EB" w14:paraId="13628F73" w14:textId="77777777">
            <w:pPr>
              <w:spacing w:after="0"/>
              <w:jc w:val="center"/>
              <w:rPr>
                <w:rFonts w:asciiTheme="minorHAnsi" w:hAnsiTheme="minorHAnsi" w:cstheme="minorHAnsi"/>
                <w:b/>
                <w:bCs/>
              </w:rPr>
            </w:pPr>
            <w:r w:rsidRPr="00225BB0">
              <w:rPr>
                <w:rFonts w:asciiTheme="minorHAnsi" w:hAnsiTheme="minorHAnsi" w:cstheme="minorHAnsi"/>
                <w:b/>
                <w:bCs/>
              </w:rPr>
              <w:t xml:space="preserve">Fringe </w:t>
            </w:r>
          </w:p>
          <w:p w:rsidRPr="00225BB0" w:rsidR="00C849EB" w:rsidP="00CA2604" w:rsidRDefault="00C849EB" w14:paraId="4725F4D6" w14:textId="77777777">
            <w:pPr>
              <w:spacing w:after="0"/>
              <w:jc w:val="center"/>
              <w:rPr>
                <w:rFonts w:asciiTheme="minorHAnsi" w:hAnsiTheme="minorHAnsi" w:cstheme="minorHAnsi"/>
                <w:b/>
                <w:bCs/>
              </w:rPr>
            </w:pPr>
            <w:r w:rsidRPr="00225BB0">
              <w:rPr>
                <w:rFonts w:asciiTheme="minorHAnsi" w:hAnsiTheme="minorHAnsi" w:cstheme="minorHAnsi"/>
                <w:b/>
                <w:bCs/>
              </w:rPr>
              <w:t>(if applicable)</w:t>
            </w:r>
          </w:p>
        </w:tc>
        <w:tc>
          <w:tcPr>
            <w:tcW w:w="2070" w:type="dxa"/>
            <w:tcBorders>
              <w:top w:val="single" w:color="auto" w:sz="8" w:space="0"/>
              <w:left w:val="nil"/>
              <w:bottom w:val="single" w:color="auto" w:sz="8" w:space="0"/>
              <w:right w:val="single" w:color="auto" w:sz="8" w:space="0"/>
            </w:tcBorders>
            <w:shd w:val="clear" w:color="auto" w:fill="auto"/>
            <w:vAlign w:val="center"/>
          </w:tcPr>
          <w:p w:rsidRPr="00225BB0" w:rsidR="00C849EB" w:rsidP="00CA2604" w:rsidRDefault="00C849EB" w14:paraId="162E8937" w14:textId="77777777">
            <w:pPr>
              <w:spacing w:after="0"/>
              <w:jc w:val="center"/>
              <w:rPr>
                <w:rFonts w:asciiTheme="minorHAnsi" w:hAnsiTheme="minorHAnsi" w:cstheme="minorHAnsi"/>
                <w:b/>
                <w:bCs/>
              </w:rPr>
            </w:pPr>
            <w:r w:rsidRPr="00225BB0">
              <w:rPr>
                <w:rFonts w:asciiTheme="minorHAnsi" w:hAnsiTheme="minorHAnsi" w:cstheme="minorHAnsi"/>
                <w:b/>
                <w:bCs/>
              </w:rPr>
              <w:t>Total Cost to Gov’t</w:t>
            </w:r>
          </w:p>
        </w:tc>
      </w:tr>
      <w:tr w:rsidRPr="00225BB0" w:rsidR="00C849EB" w:rsidTr="00CA2604" w14:paraId="77B6C613" w14:textId="77777777">
        <w:trPr>
          <w:trHeight w:val="300"/>
        </w:trPr>
        <w:tc>
          <w:tcPr>
            <w:tcW w:w="22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25BB0" w:rsidR="00C849EB" w:rsidP="00CA2604" w:rsidRDefault="00C849EB" w14:paraId="0C2E2129" w14:textId="77777777">
            <w:pPr>
              <w:spacing w:after="0"/>
              <w:rPr>
                <w:rFonts w:asciiTheme="minorHAnsi" w:hAnsiTheme="minorHAnsi" w:cstheme="minorHAnsi"/>
                <w:b/>
                <w:color w:val="000000"/>
                <w:highlight w:val="yellow"/>
              </w:rPr>
            </w:pPr>
            <w:r w:rsidRPr="00225BB0">
              <w:rPr>
                <w:rFonts w:asciiTheme="minorHAnsi" w:hAnsiTheme="minorHAnsi" w:cstheme="minorHAnsi"/>
                <w:b/>
                <w:color w:val="000000"/>
              </w:rPr>
              <w:t>Federal Oversight</w:t>
            </w:r>
          </w:p>
        </w:tc>
        <w:tc>
          <w:tcPr>
            <w:tcW w:w="1213" w:type="dxa"/>
            <w:tcBorders>
              <w:top w:val="nil"/>
              <w:left w:val="nil"/>
              <w:bottom w:val="single" w:color="auto" w:sz="8" w:space="0"/>
              <w:right w:val="single" w:color="auto" w:sz="8" w:space="0"/>
            </w:tcBorders>
          </w:tcPr>
          <w:p w:rsidRPr="00866851" w:rsidR="00C849EB" w:rsidP="00CA2604" w:rsidRDefault="00C849EB" w14:paraId="60BAD046" w14:textId="77777777">
            <w:pPr>
              <w:spacing w:after="0"/>
              <w:jc w:val="right"/>
              <w:rPr>
                <w:rFonts w:asciiTheme="minorHAnsi" w:hAnsiTheme="minorHAnsi" w:cstheme="minorHAnsi"/>
                <w:color w:val="000000"/>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66851" w:rsidR="00C849EB" w:rsidP="00CA2604" w:rsidRDefault="00C849EB" w14:paraId="79D4F7F9" w14:textId="77777777">
            <w:pPr>
              <w:spacing w:after="0"/>
              <w:rPr>
                <w:rFonts w:asciiTheme="minorHAnsi" w:hAnsiTheme="minorHAnsi" w:cstheme="minorHAnsi"/>
                <w:highlight w:val="yellow"/>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66851" w:rsidR="00C849EB" w:rsidP="00CA2604" w:rsidRDefault="00C849EB" w14:paraId="7A3A16E5" w14:textId="77777777">
            <w:pPr>
              <w:spacing w:after="0"/>
              <w:rPr>
                <w:rFonts w:asciiTheme="minorHAnsi" w:hAnsiTheme="minorHAnsi" w:cstheme="minorHAnsi"/>
                <w:highlight w:val="yellow"/>
              </w:rPr>
            </w:pPr>
          </w:p>
        </w:tc>
        <w:tc>
          <w:tcPr>
            <w:tcW w:w="1356" w:type="dxa"/>
            <w:tcBorders>
              <w:top w:val="nil"/>
              <w:left w:val="nil"/>
              <w:bottom w:val="single" w:color="auto" w:sz="8" w:space="0"/>
              <w:right w:val="single" w:color="auto" w:sz="8" w:space="0"/>
            </w:tcBorders>
            <w:shd w:val="clear" w:color="auto" w:fill="BFBFBF"/>
          </w:tcPr>
          <w:p w:rsidRPr="00866851" w:rsidR="00C849EB" w:rsidP="00CA2604" w:rsidRDefault="00C849EB" w14:paraId="218D50BF" w14:textId="77777777">
            <w:pPr>
              <w:spacing w:after="0"/>
              <w:rPr>
                <w:rFonts w:asciiTheme="minorHAnsi" w:hAnsiTheme="minorHAnsi" w:cstheme="minorHAnsi"/>
                <w:highlight w:val="yellow"/>
              </w:rPr>
            </w:pPr>
          </w:p>
        </w:tc>
        <w:tc>
          <w:tcPr>
            <w:tcW w:w="2070" w:type="dxa"/>
            <w:tcBorders>
              <w:top w:val="nil"/>
              <w:left w:val="nil"/>
              <w:bottom w:val="single" w:color="auto" w:sz="8" w:space="0"/>
              <w:right w:val="single" w:color="auto" w:sz="8" w:space="0"/>
            </w:tcBorders>
          </w:tcPr>
          <w:p w:rsidRPr="00866851" w:rsidR="00C849EB" w:rsidP="00CA2604" w:rsidRDefault="00C849EB" w14:paraId="455F651C" w14:textId="77777777">
            <w:pPr>
              <w:spacing w:after="0"/>
              <w:rPr>
                <w:rFonts w:asciiTheme="minorHAnsi" w:hAnsiTheme="minorHAnsi" w:cstheme="minorHAnsi"/>
                <w:highlight w:val="yellow"/>
              </w:rPr>
            </w:pPr>
          </w:p>
        </w:tc>
      </w:tr>
      <w:tr w:rsidRPr="000E3964" w:rsidR="00C849EB" w:rsidTr="00CA2604" w14:paraId="446FA48D" w14:textId="77777777">
        <w:trPr>
          <w:trHeight w:val="300"/>
        </w:trPr>
        <w:tc>
          <w:tcPr>
            <w:tcW w:w="22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3964" w:rsidR="00C849EB" w:rsidP="00CA2604" w:rsidRDefault="00C849EB" w14:paraId="39D9BE1D" w14:textId="77777777">
            <w:pPr>
              <w:spacing w:after="0"/>
              <w:rPr>
                <w:rFonts w:asciiTheme="minorHAnsi" w:hAnsiTheme="minorHAnsi" w:cstheme="minorHAnsi"/>
              </w:rPr>
            </w:pPr>
            <w:r w:rsidRPr="000E3964">
              <w:rPr>
                <w:rFonts w:asciiTheme="minorHAnsi" w:hAnsiTheme="minorHAnsi" w:cstheme="minorHAnsi"/>
              </w:rPr>
              <w:t>HSA</w:t>
            </w:r>
          </w:p>
        </w:tc>
        <w:tc>
          <w:tcPr>
            <w:tcW w:w="1213" w:type="dxa"/>
            <w:tcBorders>
              <w:top w:val="nil"/>
              <w:left w:val="nil"/>
              <w:bottom w:val="single" w:color="auto" w:sz="8" w:space="0"/>
              <w:right w:val="single" w:color="auto" w:sz="8" w:space="0"/>
            </w:tcBorders>
          </w:tcPr>
          <w:p w:rsidRPr="000E3964" w:rsidR="00C849EB" w:rsidP="00CA2604" w:rsidRDefault="00C849EB" w14:paraId="715F3812" w14:textId="77777777">
            <w:pPr>
              <w:spacing w:after="0"/>
              <w:jc w:val="center"/>
              <w:rPr>
                <w:rFonts w:asciiTheme="minorHAnsi" w:hAnsiTheme="minorHAnsi" w:cstheme="minorHAnsi"/>
              </w:rPr>
            </w:pPr>
            <w:r w:rsidRPr="000E3964">
              <w:rPr>
                <w:rFonts w:asciiTheme="minorHAnsi" w:hAnsiTheme="minorHAnsi" w:cstheme="minorHAnsi"/>
              </w:rPr>
              <w:t>13-1</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3964" w:rsidR="00C849EB" w:rsidP="00CA2604" w:rsidRDefault="00C849EB" w14:paraId="6CF70D10" w14:textId="4BB9A87A">
            <w:pPr>
              <w:spacing w:after="0"/>
              <w:jc w:val="center"/>
              <w:rPr>
                <w:rFonts w:asciiTheme="minorHAnsi" w:hAnsiTheme="minorHAnsi" w:cstheme="minorHAnsi"/>
              </w:rPr>
            </w:pPr>
            <w:r w:rsidRPr="000E3964">
              <w:rPr>
                <w:rFonts w:asciiTheme="minorHAnsi" w:hAnsiTheme="minorHAnsi" w:cstheme="minorHAnsi"/>
              </w:rPr>
              <w:t>$</w:t>
            </w:r>
            <w:r w:rsidR="00AD21AF">
              <w:rPr>
                <w:rFonts w:asciiTheme="minorHAnsi" w:hAnsiTheme="minorHAnsi" w:cstheme="minorHAnsi"/>
              </w:rPr>
              <w:t xml:space="preserve"> 106,823 </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3964" w:rsidR="00C849EB" w:rsidP="00CA2604" w:rsidRDefault="00C849EB" w14:paraId="5CBD08D6" w14:textId="77777777">
            <w:pPr>
              <w:spacing w:after="0"/>
              <w:jc w:val="center"/>
              <w:rPr>
                <w:rFonts w:asciiTheme="minorHAnsi" w:hAnsiTheme="minorHAnsi" w:cstheme="minorHAnsi"/>
              </w:rPr>
            </w:pPr>
            <w:r w:rsidRPr="000E3964">
              <w:rPr>
                <w:rFonts w:asciiTheme="minorHAnsi" w:hAnsiTheme="minorHAnsi" w:cstheme="minorHAnsi"/>
              </w:rPr>
              <w:t>10%</w:t>
            </w:r>
          </w:p>
        </w:tc>
        <w:tc>
          <w:tcPr>
            <w:tcW w:w="1356" w:type="dxa"/>
            <w:tcBorders>
              <w:top w:val="nil"/>
              <w:left w:val="nil"/>
              <w:bottom w:val="single" w:color="auto" w:sz="8" w:space="0"/>
              <w:right w:val="single" w:color="auto" w:sz="8" w:space="0"/>
            </w:tcBorders>
            <w:shd w:val="clear" w:color="auto" w:fill="BFBFBF"/>
          </w:tcPr>
          <w:p w:rsidRPr="000E3964" w:rsidR="00C849EB" w:rsidP="00CA2604" w:rsidRDefault="00C849EB" w14:paraId="5B08D47B" w14:textId="77777777">
            <w:pPr>
              <w:spacing w:after="0"/>
              <w:jc w:val="center"/>
              <w:rPr>
                <w:rFonts w:asciiTheme="minorHAnsi" w:hAnsiTheme="minorHAnsi" w:cstheme="minorHAnsi"/>
              </w:rPr>
            </w:pPr>
          </w:p>
        </w:tc>
        <w:tc>
          <w:tcPr>
            <w:tcW w:w="2070" w:type="dxa"/>
            <w:tcBorders>
              <w:top w:val="nil"/>
              <w:left w:val="nil"/>
              <w:bottom w:val="single" w:color="auto" w:sz="8" w:space="0"/>
              <w:right w:val="single" w:color="auto" w:sz="8" w:space="0"/>
            </w:tcBorders>
          </w:tcPr>
          <w:p w:rsidRPr="000E3964" w:rsidR="00C849EB" w:rsidP="00CA2604" w:rsidRDefault="00C849EB" w14:paraId="7CCC4B3F" w14:textId="2C812883">
            <w:pPr>
              <w:spacing w:after="0"/>
              <w:jc w:val="center"/>
              <w:rPr>
                <w:rFonts w:asciiTheme="minorHAnsi" w:hAnsiTheme="minorHAnsi" w:cstheme="minorHAnsi"/>
              </w:rPr>
            </w:pPr>
            <w:r w:rsidRPr="000E3964">
              <w:rPr>
                <w:rFonts w:asciiTheme="minorHAnsi" w:hAnsiTheme="minorHAnsi" w:cstheme="minorHAnsi"/>
              </w:rPr>
              <w:t>$</w:t>
            </w:r>
            <w:r w:rsidR="00AD21AF">
              <w:rPr>
                <w:rFonts w:asciiTheme="minorHAnsi" w:hAnsiTheme="minorHAnsi" w:cstheme="minorHAnsi"/>
              </w:rPr>
              <w:t xml:space="preserve"> 10,682.30</w:t>
            </w:r>
          </w:p>
        </w:tc>
      </w:tr>
      <w:tr w:rsidRPr="000E3964" w:rsidR="00C849EB" w:rsidTr="00CA2604" w14:paraId="7C977249" w14:textId="77777777">
        <w:trPr>
          <w:trHeight w:val="300"/>
        </w:trPr>
        <w:tc>
          <w:tcPr>
            <w:tcW w:w="22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3964" w:rsidR="00C849EB" w:rsidP="00CA2604" w:rsidRDefault="00C849EB" w14:paraId="0A088806" w14:textId="77777777">
            <w:pPr>
              <w:spacing w:after="0"/>
              <w:rPr>
                <w:rFonts w:asciiTheme="minorHAnsi" w:hAnsiTheme="minorHAnsi" w:cstheme="minorHAnsi"/>
                <w:b/>
              </w:rPr>
            </w:pPr>
            <w:r w:rsidRPr="000E3964">
              <w:rPr>
                <w:rFonts w:asciiTheme="minorHAnsi" w:hAnsiTheme="minorHAnsi" w:cstheme="minorHAnsi"/>
                <w:b/>
              </w:rPr>
              <w:t>Contractor Cost</w:t>
            </w:r>
          </w:p>
        </w:tc>
        <w:tc>
          <w:tcPr>
            <w:tcW w:w="1213" w:type="dxa"/>
            <w:tcBorders>
              <w:top w:val="nil"/>
              <w:left w:val="nil"/>
              <w:bottom w:val="single" w:color="auto" w:sz="8" w:space="0"/>
              <w:right w:val="single" w:color="auto" w:sz="8" w:space="0"/>
            </w:tcBorders>
            <w:shd w:val="clear" w:color="auto" w:fill="BFBFBF"/>
          </w:tcPr>
          <w:p w:rsidRPr="000E3964" w:rsidR="00C849EB" w:rsidP="00CA2604" w:rsidRDefault="00C849EB" w14:paraId="0456F6A5" w14:textId="77777777">
            <w:pPr>
              <w:spacing w:after="0"/>
              <w:rPr>
                <w:rFonts w:asciiTheme="minorHAnsi" w:hAnsiTheme="minorHAns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3964" w:rsidR="00C849EB" w:rsidP="00CA2604" w:rsidRDefault="00C849EB" w14:paraId="1740CEB8" w14:textId="77777777">
            <w:pPr>
              <w:spacing w:after="0"/>
              <w:rPr>
                <w:rFonts w:asciiTheme="minorHAnsi" w:hAnsiTheme="minorHAnsi" w:cstheme="minorHAns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0E3964" w:rsidR="00C849EB" w:rsidP="00CA2604" w:rsidRDefault="00C849EB" w14:paraId="2C4713DB" w14:textId="77777777">
            <w:pPr>
              <w:spacing w:after="0"/>
              <w:rPr>
                <w:rFonts w:asciiTheme="minorHAnsi" w:hAnsiTheme="minorHAnsi" w:cstheme="minorHAnsi"/>
              </w:rPr>
            </w:pPr>
          </w:p>
        </w:tc>
        <w:tc>
          <w:tcPr>
            <w:tcW w:w="1356" w:type="dxa"/>
            <w:tcBorders>
              <w:top w:val="nil"/>
              <w:left w:val="nil"/>
              <w:bottom w:val="single" w:color="auto" w:sz="8" w:space="0"/>
              <w:right w:val="single" w:color="auto" w:sz="8" w:space="0"/>
            </w:tcBorders>
          </w:tcPr>
          <w:p w:rsidRPr="000E3964" w:rsidR="00C849EB" w:rsidP="00CA2604" w:rsidRDefault="00C849EB" w14:paraId="3DD17613" w14:textId="77777777">
            <w:pPr>
              <w:spacing w:after="0"/>
              <w:rPr>
                <w:rFonts w:asciiTheme="minorHAnsi" w:hAnsiTheme="minorHAnsi" w:cstheme="minorHAnsi"/>
              </w:rPr>
            </w:pPr>
          </w:p>
        </w:tc>
        <w:tc>
          <w:tcPr>
            <w:tcW w:w="2070" w:type="dxa"/>
            <w:tcBorders>
              <w:top w:val="nil"/>
              <w:left w:val="nil"/>
              <w:bottom w:val="single" w:color="auto" w:sz="8" w:space="0"/>
              <w:right w:val="single" w:color="auto" w:sz="8" w:space="0"/>
            </w:tcBorders>
          </w:tcPr>
          <w:p w:rsidRPr="000E3964" w:rsidR="00C849EB" w:rsidP="00CA2604" w:rsidRDefault="00C849EB" w14:paraId="27AB959D" w14:textId="77777777">
            <w:pPr>
              <w:spacing w:after="0"/>
              <w:jc w:val="center"/>
              <w:rPr>
                <w:rFonts w:asciiTheme="minorHAnsi" w:hAnsiTheme="minorHAnsi" w:cstheme="minorHAnsi"/>
              </w:rPr>
            </w:pPr>
            <w:r w:rsidRPr="000E3964">
              <w:rPr>
                <w:rFonts w:asciiTheme="minorHAnsi" w:hAnsiTheme="minorHAnsi" w:cstheme="minorHAnsi"/>
              </w:rPr>
              <w:t>$26,000.00</w:t>
            </w:r>
          </w:p>
        </w:tc>
      </w:tr>
      <w:tr w:rsidRPr="000E3964" w:rsidR="00C849EB" w:rsidTr="00CA2604" w14:paraId="39A9E1C2" w14:textId="77777777">
        <w:trPr>
          <w:trHeight w:val="300"/>
        </w:trPr>
        <w:tc>
          <w:tcPr>
            <w:tcW w:w="22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3964" w:rsidR="00C849EB" w:rsidP="00CA2604" w:rsidRDefault="00C849EB" w14:paraId="59085AF2" w14:textId="77777777">
            <w:pPr>
              <w:spacing w:after="0"/>
              <w:rPr>
                <w:rFonts w:asciiTheme="minorHAnsi" w:hAnsiTheme="minorHAnsi" w:cstheme="minorHAnsi"/>
              </w:rPr>
            </w:pPr>
            <w:r w:rsidRPr="000E3964">
              <w:rPr>
                <w:rFonts w:asciiTheme="minorHAnsi" w:hAnsiTheme="minorHAnsi" w:cstheme="minorHAnsi"/>
              </w:rPr>
              <w:t>Travel</w:t>
            </w:r>
          </w:p>
        </w:tc>
        <w:tc>
          <w:tcPr>
            <w:tcW w:w="1213" w:type="dxa"/>
            <w:tcBorders>
              <w:top w:val="nil"/>
              <w:left w:val="nil"/>
              <w:bottom w:val="single" w:color="auto" w:sz="8" w:space="0"/>
              <w:right w:val="single" w:color="auto" w:sz="8" w:space="0"/>
            </w:tcBorders>
            <w:shd w:val="clear" w:color="auto" w:fill="BFBFBF"/>
          </w:tcPr>
          <w:p w:rsidRPr="000E3964" w:rsidR="00C849EB" w:rsidP="00CA2604" w:rsidRDefault="00C849EB" w14:paraId="3095DCA4" w14:textId="77777777">
            <w:pPr>
              <w:spacing w:after="0"/>
              <w:rPr>
                <w:rFonts w:asciiTheme="minorHAnsi" w:hAnsiTheme="minorHAnsi" w:cstheme="minorHAnsi"/>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E3964" w:rsidR="00C849EB" w:rsidP="00CA2604" w:rsidRDefault="00C849EB" w14:paraId="003E5A8C" w14:textId="77777777">
            <w:pPr>
              <w:spacing w:after="0"/>
              <w:rPr>
                <w:rFonts w:asciiTheme="minorHAnsi" w:hAnsiTheme="minorHAnsi" w:cstheme="minorHAnsi"/>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E3964" w:rsidR="00C849EB" w:rsidP="00CA2604" w:rsidRDefault="00C849EB" w14:paraId="73244D9A" w14:textId="77777777">
            <w:pPr>
              <w:spacing w:after="0"/>
              <w:rPr>
                <w:rFonts w:asciiTheme="minorHAnsi" w:hAnsiTheme="minorHAnsi" w:cstheme="minorHAnsi"/>
              </w:rPr>
            </w:pPr>
          </w:p>
        </w:tc>
        <w:tc>
          <w:tcPr>
            <w:tcW w:w="1356" w:type="dxa"/>
            <w:tcBorders>
              <w:top w:val="nil"/>
              <w:left w:val="nil"/>
              <w:bottom w:val="single" w:color="auto" w:sz="8" w:space="0"/>
              <w:right w:val="single" w:color="auto" w:sz="8" w:space="0"/>
            </w:tcBorders>
            <w:shd w:val="clear" w:color="auto" w:fill="BFBFBF"/>
          </w:tcPr>
          <w:p w:rsidRPr="000E3964" w:rsidR="00C849EB" w:rsidP="00CA2604" w:rsidRDefault="00C849EB" w14:paraId="52C1F53F" w14:textId="77777777">
            <w:pPr>
              <w:spacing w:after="0"/>
              <w:rPr>
                <w:rFonts w:asciiTheme="minorHAnsi" w:hAnsiTheme="minorHAnsi" w:cstheme="minorHAnsi"/>
              </w:rPr>
            </w:pPr>
          </w:p>
        </w:tc>
        <w:tc>
          <w:tcPr>
            <w:tcW w:w="2070" w:type="dxa"/>
            <w:tcBorders>
              <w:top w:val="nil"/>
              <w:left w:val="nil"/>
              <w:bottom w:val="single" w:color="auto" w:sz="8" w:space="0"/>
              <w:right w:val="single" w:color="auto" w:sz="8" w:space="0"/>
            </w:tcBorders>
          </w:tcPr>
          <w:p w:rsidRPr="000E3964" w:rsidR="00C849EB" w:rsidP="00CA2604" w:rsidRDefault="00C849EB" w14:paraId="75EA541D" w14:textId="77777777">
            <w:pPr>
              <w:spacing w:after="0"/>
              <w:jc w:val="center"/>
              <w:rPr>
                <w:rFonts w:asciiTheme="minorHAnsi" w:hAnsiTheme="minorHAnsi" w:cstheme="minorHAnsi"/>
              </w:rPr>
            </w:pPr>
            <w:r w:rsidRPr="000E3964">
              <w:rPr>
                <w:rFonts w:asciiTheme="minorHAnsi" w:hAnsiTheme="minorHAnsi" w:cstheme="minorHAnsi"/>
              </w:rPr>
              <w:t>$0</w:t>
            </w:r>
          </w:p>
        </w:tc>
      </w:tr>
      <w:tr w:rsidRPr="000E3964" w:rsidR="00C849EB" w:rsidTr="00CA2604" w14:paraId="3EC43DF1" w14:textId="77777777">
        <w:trPr>
          <w:trHeight w:val="300"/>
        </w:trPr>
        <w:tc>
          <w:tcPr>
            <w:tcW w:w="22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0E3964" w:rsidR="00C849EB" w:rsidP="00CA2604" w:rsidRDefault="00C849EB" w14:paraId="4546A7D1" w14:textId="77777777">
            <w:pPr>
              <w:spacing w:after="0"/>
              <w:rPr>
                <w:rFonts w:asciiTheme="minorHAnsi" w:hAnsiTheme="minorHAnsi" w:cstheme="minorHAnsi"/>
                <w:color w:val="1F497D"/>
              </w:rPr>
            </w:pPr>
            <w:r w:rsidRPr="000E3964">
              <w:rPr>
                <w:rFonts w:asciiTheme="minorHAnsi" w:hAnsiTheme="minorHAnsi" w:cstheme="minorHAnsi"/>
              </w:rPr>
              <w:t>Other Cost</w:t>
            </w:r>
          </w:p>
        </w:tc>
        <w:tc>
          <w:tcPr>
            <w:tcW w:w="1213" w:type="dxa"/>
            <w:tcBorders>
              <w:top w:val="nil"/>
              <w:left w:val="nil"/>
              <w:bottom w:val="single" w:color="auto" w:sz="8" w:space="0"/>
              <w:right w:val="single" w:color="auto" w:sz="8" w:space="0"/>
            </w:tcBorders>
            <w:shd w:val="clear" w:color="auto" w:fill="BFBFBF"/>
          </w:tcPr>
          <w:p w:rsidRPr="000E3964" w:rsidR="00C849EB" w:rsidP="00CA2604" w:rsidRDefault="00C849EB" w14:paraId="42A0DCAF" w14:textId="77777777">
            <w:pPr>
              <w:spacing w:after="0"/>
              <w:rPr>
                <w:rFonts w:asciiTheme="minorHAnsi" w:hAnsiTheme="minorHAnsi" w:cstheme="minorHAnsi"/>
                <w:color w:val="000000"/>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E3964" w:rsidR="00C849EB" w:rsidP="00CA2604" w:rsidRDefault="00C849EB" w14:paraId="303F04A9" w14:textId="77777777">
            <w:pPr>
              <w:spacing w:after="0"/>
              <w:rPr>
                <w:rFonts w:asciiTheme="minorHAnsi" w:hAnsiTheme="minorHAnsi" w:cstheme="minorHAnsi"/>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0E3964" w:rsidR="00C849EB" w:rsidP="00CA2604" w:rsidRDefault="00C849EB" w14:paraId="7CA28E20" w14:textId="77777777">
            <w:pPr>
              <w:spacing w:after="0"/>
              <w:rPr>
                <w:rFonts w:asciiTheme="minorHAnsi" w:hAnsiTheme="minorHAnsi" w:cstheme="minorHAnsi"/>
              </w:rPr>
            </w:pPr>
          </w:p>
        </w:tc>
        <w:tc>
          <w:tcPr>
            <w:tcW w:w="1356" w:type="dxa"/>
            <w:tcBorders>
              <w:top w:val="nil"/>
              <w:left w:val="nil"/>
              <w:bottom w:val="single" w:color="auto" w:sz="8" w:space="0"/>
              <w:right w:val="single" w:color="auto" w:sz="8" w:space="0"/>
            </w:tcBorders>
            <w:shd w:val="clear" w:color="auto" w:fill="BFBFBF"/>
          </w:tcPr>
          <w:p w:rsidRPr="000E3964" w:rsidR="00C849EB" w:rsidP="00CA2604" w:rsidRDefault="00C849EB" w14:paraId="03334D73" w14:textId="77777777">
            <w:pPr>
              <w:spacing w:after="0"/>
              <w:rPr>
                <w:rFonts w:asciiTheme="minorHAnsi" w:hAnsiTheme="minorHAnsi" w:cstheme="minorHAnsi"/>
              </w:rPr>
            </w:pPr>
          </w:p>
        </w:tc>
        <w:tc>
          <w:tcPr>
            <w:tcW w:w="2070" w:type="dxa"/>
            <w:tcBorders>
              <w:top w:val="nil"/>
              <w:left w:val="nil"/>
              <w:bottom w:val="single" w:color="auto" w:sz="8" w:space="0"/>
              <w:right w:val="single" w:color="auto" w:sz="8" w:space="0"/>
            </w:tcBorders>
          </w:tcPr>
          <w:p w:rsidRPr="000E3964" w:rsidR="00C849EB" w:rsidP="00CA2604" w:rsidRDefault="00C849EB" w14:paraId="622EF6F0" w14:textId="77777777">
            <w:pPr>
              <w:spacing w:after="0"/>
              <w:jc w:val="center"/>
              <w:rPr>
                <w:rFonts w:asciiTheme="minorHAnsi" w:hAnsiTheme="minorHAnsi" w:cstheme="minorHAnsi"/>
              </w:rPr>
            </w:pPr>
            <w:r w:rsidRPr="000E3964">
              <w:rPr>
                <w:rFonts w:asciiTheme="minorHAnsi" w:hAnsiTheme="minorHAnsi" w:cstheme="minorHAnsi"/>
              </w:rPr>
              <w:t>$0</w:t>
            </w:r>
          </w:p>
        </w:tc>
      </w:tr>
      <w:tr w:rsidRPr="000E3964" w:rsidR="00C849EB" w:rsidTr="00CA2604" w14:paraId="201D0D19" w14:textId="77777777">
        <w:trPr>
          <w:trHeight w:val="300"/>
        </w:trPr>
        <w:tc>
          <w:tcPr>
            <w:tcW w:w="22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0E3964" w:rsidR="00C849EB" w:rsidP="00CA2604" w:rsidRDefault="00C849EB" w14:paraId="09890E7C" w14:textId="77777777">
            <w:pPr>
              <w:spacing w:after="0"/>
              <w:rPr>
                <w:rFonts w:asciiTheme="minorHAnsi" w:hAnsiTheme="minorHAnsi" w:cstheme="minorHAnsi"/>
              </w:rPr>
            </w:pPr>
            <w:r w:rsidRPr="000E3964">
              <w:rPr>
                <w:rFonts w:asciiTheme="minorHAnsi" w:hAnsiTheme="minorHAnsi" w:cstheme="minorHAnsi"/>
              </w:rPr>
              <w:t>Total</w:t>
            </w:r>
          </w:p>
        </w:tc>
        <w:tc>
          <w:tcPr>
            <w:tcW w:w="1213" w:type="dxa"/>
            <w:tcBorders>
              <w:top w:val="nil"/>
              <w:left w:val="nil"/>
              <w:bottom w:val="single" w:color="auto" w:sz="8" w:space="0"/>
              <w:right w:val="single" w:color="auto" w:sz="8" w:space="0"/>
            </w:tcBorders>
          </w:tcPr>
          <w:p w:rsidRPr="000E3964" w:rsidR="00C849EB" w:rsidP="00CA2604" w:rsidRDefault="00C849EB" w14:paraId="69FD6CE8" w14:textId="77777777">
            <w:pPr>
              <w:spacing w:after="0"/>
              <w:rPr>
                <w:rFonts w:asciiTheme="minorHAnsi" w:hAnsiTheme="minorHAnsi" w:cstheme="minorHAns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0E3964" w:rsidR="00C849EB" w:rsidP="00CA2604" w:rsidRDefault="00C849EB" w14:paraId="3A47F386" w14:textId="77777777">
            <w:pPr>
              <w:spacing w:after="0"/>
              <w:rPr>
                <w:rFonts w:asciiTheme="minorHAnsi" w:hAnsiTheme="minorHAnsi" w:cstheme="minorHAns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0E3964" w:rsidR="00C849EB" w:rsidP="00CA2604" w:rsidRDefault="00C849EB" w14:paraId="75561D17" w14:textId="77777777">
            <w:pPr>
              <w:spacing w:after="0"/>
              <w:rPr>
                <w:rFonts w:asciiTheme="minorHAnsi" w:hAnsiTheme="minorHAnsi" w:cstheme="minorHAnsi"/>
              </w:rPr>
            </w:pPr>
          </w:p>
        </w:tc>
        <w:tc>
          <w:tcPr>
            <w:tcW w:w="1356" w:type="dxa"/>
            <w:tcBorders>
              <w:top w:val="nil"/>
              <w:left w:val="nil"/>
              <w:bottom w:val="single" w:color="auto" w:sz="8" w:space="0"/>
              <w:right w:val="single" w:color="auto" w:sz="8" w:space="0"/>
            </w:tcBorders>
          </w:tcPr>
          <w:p w:rsidRPr="000E3964" w:rsidR="00C849EB" w:rsidP="00CA2604" w:rsidRDefault="00C849EB" w14:paraId="03A6EB27" w14:textId="77777777">
            <w:pPr>
              <w:spacing w:after="0"/>
              <w:rPr>
                <w:rFonts w:asciiTheme="minorHAnsi" w:hAnsiTheme="minorHAnsi" w:cstheme="minorHAnsi"/>
              </w:rPr>
            </w:pPr>
          </w:p>
        </w:tc>
        <w:tc>
          <w:tcPr>
            <w:tcW w:w="2070" w:type="dxa"/>
            <w:tcBorders>
              <w:top w:val="nil"/>
              <w:left w:val="nil"/>
              <w:bottom w:val="single" w:color="auto" w:sz="8" w:space="0"/>
              <w:right w:val="single" w:color="auto" w:sz="8" w:space="0"/>
            </w:tcBorders>
          </w:tcPr>
          <w:p w:rsidRPr="000E3964" w:rsidR="00C849EB" w:rsidP="00CA2604" w:rsidRDefault="00C849EB" w14:paraId="3597EAF2" w14:textId="71FBFB69">
            <w:pPr>
              <w:spacing w:after="0"/>
              <w:jc w:val="center"/>
              <w:rPr>
                <w:rFonts w:asciiTheme="minorHAnsi" w:hAnsiTheme="minorHAnsi" w:cstheme="minorHAnsi"/>
              </w:rPr>
            </w:pPr>
            <w:r w:rsidRPr="000E3964">
              <w:rPr>
                <w:rFonts w:asciiTheme="minorHAnsi" w:hAnsiTheme="minorHAnsi" w:cstheme="minorHAnsi"/>
              </w:rPr>
              <w:t>$</w:t>
            </w:r>
            <w:r w:rsidR="00AD21AF">
              <w:rPr>
                <w:rFonts w:asciiTheme="minorHAnsi" w:hAnsiTheme="minorHAnsi" w:cstheme="minorHAnsi"/>
              </w:rPr>
              <w:t xml:space="preserve"> 36,682.30</w:t>
            </w:r>
          </w:p>
        </w:tc>
      </w:tr>
    </w:tbl>
    <w:p w:rsidRPr="003B3D62" w:rsidR="003B3D62" w:rsidP="003B3D62" w:rsidRDefault="00C849EB" w14:paraId="4C9C87C0" w14:textId="6AE8D278">
      <w:pPr>
        <w:spacing w:after="0"/>
        <w:rPr>
          <w:rFonts w:asciiTheme="minorHAnsi" w:hAnsiTheme="minorHAnsi" w:cstheme="minorHAnsi"/>
          <w:bCs/>
          <w:color w:val="000000"/>
          <w:u w:val="single"/>
        </w:rPr>
      </w:pPr>
      <w:r w:rsidRPr="000E3964">
        <w:rPr>
          <w:rFonts w:asciiTheme="minorHAnsi" w:hAnsiTheme="minorHAnsi" w:cstheme="minorHAnsi"/>
          <w:bCs/>
          <w:color w:val="000000"/>
        </w:rPr>
        <w:t xml:space="preserve">**The salary in the table above is cited from </w:t>
      </w:r>
      <w:hyperlink w:history="1" r:id="rId16">
        <w:r w:rsidRPr="00AD21AF" w:rsidR="00AD21AF">
          <w:rPr>
            <w:rStyle w:val="Hyperlink"/>
            <w:rFonts w:asciiTheme="minorHAnsi" w:hAnsiTheme="minorHAnsi" w:cstheme="minorHAnsi"/>
            <w:bCs/>
          </w:rPr>
          <w:t>https://www.opm.gov/policy-data-oversight/pay-leave/salaries-wages/salary-tables/</w:t>
        </w:r>
        <w:r w:rsidRPr="00331ED8" w:rsidR="00AD21AF">
          <w:rPr>
            <w:rStyle w:val="Hyperlink"/>
            <w:rFonts w:asciiTheme="minorHAnsi" w:hAnsiTheme="minorHAnsi" w:cstheme="minorHAnsi"/>
            <w:bCs/>
          </w:rPr>
          <w:t>22Tables/html/D</w:t>
        </w:r>
        <w:r w:rsidRPr="00AD21AF" w:rsidR="00AD21AF">
          <w:rPr>
            <w:rStyle w:val="Hyperlink"/>
            <w:rFonts w:asciiTheme="minorHAnsi" w:hAnsiTheme="minorHAnsi" w:cstheme="minorHAnsi"/>
            <w:bCs/>
          </w:rPr>
          <w:t>CB.aspx</w:t>
        </w:r>
      </w:hyperlink>
      <w:r w:rsidRPr="003B3D62" w:rsidR="003B3D62">
        <w:rPr>
          <w:rFonts w:asciiTheme="minorHAnsi" w:hAnsiTheme="minorHAnsi" w:cstheme="minorHAnsi"/>
          <w:color w:val="000000"/>
        </w:rPr>
        <w:t xml:space="preserve">  </w:t>
      </w:r>
    </w:p>
    <w:p w:rsidRPr="00225BB0" w:rsidR="00FF72FC" w:rsidP="00225BB0" w:rsidRDefault="009C35FE" w14:paraId="073FAE72" w14:textId="481D5245">
      <w:pPr>
        <w:spacing w:after="0"/>
        <w:rPr>
          <w:rFonts w:asciiTheme="minorHAnsi" w:hAnsiTheme="minorHAnsi" w:cstheme="minorHAnsi"/>
          <w:b/>
          <w:color w:val="000000"/>
        </w:rPr>
      </w:pPr>
      <w:r w:rsidRPr="00225BB0">
        <w:rPr>
          <w:rFonts w:asciiTheme="minorHAnsi" w:hAnsiTheme="minorHAnsi" w:cstheme="minorHAnsi"/>
          <w:b/>
          <w:color w:val="000000"/>
        </w:rPr>
        <w:br/>
      </w:r>
      <w:r w:rsidRPr="00225BB0" w:rsidR="00FF72FC">
        <w:rPr>
          <w:rFonts w:asciiTheme="minorHAnsi" w:hAnsiTheme="minorHAnsi" w:cstheme="minorHAnsi"/>
          <w:b/>
          <w:color w:val="000000"/>
        </w:rPr>
        <w:t>A.15</w:t>
      </w:r>
      <w:r w:rsidRPr="00225BB0" w:rsidR="00FF72FC">
        <w:rPr>
          <w:rFonts w:asciiTheme="minorHAnsi" w:hAnsiTheme="minorHAnsi" w:cstheme="minorHAnsi"/>
          <w:b/>
          <w:color w:val="000000"/>
        </w:rPr>
        <w:tab/>
        <w:t>Explanation for Program Changes or Adjustments</w:t>
      </w:r>
    </w:p>
    <w:p w:rsidRPr="00225BB0" w:rsidR="00F52557" w:rsidP="00225BB0" w:rsidRDefault="003B3D62" w14:paraId="10889443" w14:textId="7E1FF181">
      <w:pPr>
        <w:pStyle w:val="Heading2"/>
        <w:tabs>
          <w:tab w:val="clear" w:pos="1152"/>
          <w:tab w:val="left" w:pos="720"/>
        </w:tabs>
        <w:spacing w:after="0" w:line="276" w:lineRule="auto"/>
        <w:ind w:left="0" w:firstLine="0"/>
        <w:rPr>
          <w:rFonts w:asciiTheme="minorHAnsi" w:hAnsiTheme="minorHAnsi" w:cstheme="minorHAnsi"/>
          <w:szCs w:val="22"/>
        </w:rPr>
      </w:pPr>
      <w:bookmarkStart w:name="_Toc443881759" w:id="20"/>
      <w:bookmarkStart w:name="_Toc451592246" w:id="21"/>
      <w:bookmarkStart w:name="_Toc5610287" w:id="22"/>
      <w:bookmarkStart w:name="_Toc99178793" w:id="23"/>
      <w:r w:rsidRPr="003B3D62">
        <w:rPr>
          <w:rFonts w:eastAsia="Calibri" w:asciiTheme="minorHAnsi" w:hAnsiTheme="minorHAnsi" w:cstheme="minorHAnsi"/>
          <w:b w:val="0"/>
          <w:color w:val="000000"/>
          <w:szCs w:val="22"/>
        </w:rPr>
        <w:t xml:space="preserve">This is a </w:t>
      </w:r>
      <w:r w:rsidRPr="003B3D62" w:rsidR="00346360">
        <w:rPr>
          <w:rFonts w:eastAsia="Calibri" w:asciiTheme="minorHAnsi" w:hAnsiTheme="minorHAnsi" w:cstheme="minorHAnsi"/>
          <w:b w:val="0"/>
          <w:color w:val="000000"/>
          <w:szCs w:val="22"/>
        </w:rPr>
        <w:t>mini–Supporting</w:t>
      </w:r>
      <w:r w:rsidRPr="003B3D62">
        <w:rPr>
          <w:rFonts w:eastAsia="Calibri" w:asciiTheme="minorHAnsi" w:hAnsiTheme="minorHAnsi" w:cstheme="minorHAnsi"/>
          <w:b w:val="0"/>
          <w:color w:val="000000"/>
          <w:szCs w:val="22"/>
        </w:rPr>
        <w:t xml:space="preserve"> Statement for a generic information collection.</w:t>
      </w:r>
    </w:p>
    <w:p w:rsidR="00225BB0" w:rsidRDefault="00225BB0" w14:paraId="7928FBE7" w14:textId="4ACD7F3A">
      <w:pPr>
        <w:spacing w:after="0" w:line="240" w:lineRule="auto"/>
        <w:rPr>
          <w:rFonts w:asciiTheme="minorHAnsi" w:hAnsiTheme="minorHAnsi" w:cstheme="minorHAnsi"/>
          <w:b/>
          <w:color w:val="000000"/>
        </w:rPr>
      </w:pPr>
    </w:p>
    <w:p w:rsidRPr="00225BB0" w:rsidR="00FF72FC" w:rsidP="00225BB0" w:rsidRDefault="00FF72FC" w14:paraId="62AC9598" w14:textId="170AD358">
      <w:pPr>
        <w:spacing w:after="0"/>
        <w:rPr>
          <w:rFonts w:asciiTheme="minorHAnsi" w:hAnsiTheme="minorHAnsi" w:cstheme="minorHAnsi"/>
          <w:color w:val="000000"/>
        </w:rPr>
      </w:pPr>
      <w:r w:rsidRPr="00225BB0">
        <w:rPr>
          <w:rFonts w:asciiTheme="minorHAnsi" w:hAnsiTheme="minorHAnsi" w:cstheme="minorHAnsi"/>
          <w:b/>
          <w:color w:val="000000"/>
        </w:rPr>
        <w:t>A.16</w:t>
      </w:r>
      <w:r w:rsidRPr="00225BB0">
        <w:rPr>
          <w:rFonts w:asciiTheme="minorHAnsi" w:hAnsiTheme="minorHAnsi" w:cstheme="minorHAnsi"/>
          <w:b/>
          <w:color w:val="000000"/>
        </w:rPr>
        <w:tab/>
        <w:t>Plans for Tabulation and Publication and Project Time Schedule</w:t>
      </w:r>
      <w:bookmarkEnd w:id="20"/>
      <w:bookmarkEnd w:id="21"/>
      <w:bookmarkEnd w:id="22"/>
      <w:bookmarkEnd w:id="23"/>
    </w:p>
    <w:p w:rsidR="00C05041" w:rsidP="00225BB0" w:rsidRDefault="00A85FAC" w14:paraId="2510E281" w14:textId="742AE189">
      <w:pPr>
        <w:spacing w:after="0"/>
        <w:rPr>
          <w:rFonts w:asciiTheme="minorHAnsi" w:hAnsiTheme="minorHAnsi" w:cstheme="minorHAnsi"/>
        </w:rPr>
      </w:pPr>
      <w:r w:rsidRPr="00225BB0">
        <w:rPr>
          <w:rFonts w:asciiTheme="minorHAnsi" w:hAnsiTheme="minorHAnsi" w:cstheme="minorHAnsi"/>
        </w:rPr>
        <w:t xml:space="preserve">There are no plans for </w:t>
      </w:r>
      <w:r w:rsidRPr="00225BB0" w:rsidR="009C35FE">
        <w:rPr>
          <w:rFonts w:asciiTheme="minorHAnsi" w:hAnsiTheme="minorHAnsi" w:cstheme="minorHAnsi"/>
        </w:rPr>
        <w:t xml:space="preserve">tabulation or publication </w:t>
      </w:r>
      <w:r w:rsidRPr="00225BB0">
        <w:rPr>
          <w:rFonts w:asciiTheme="minorHAnsi" w:hAnsiTheme="minorHAnsi" w:cstheme="minorHAnsi"/>
        </w:rPr>
        <w:t>since this is a</w:t>
      </w:r>
      <w:r w:rsidRPr="00225BB0" w:rsidR="009C35FE">
        <w:rPr>
          <w:rFonts w:asciiTheme="minorHAnsi" w:hAnsiTheme="minorHAnsi" w:cstheme="minorHAnsi"/>
        </w:rPr>
        <w:t xml:space="preserve"> request for </w:t>
      </w:r>
      <w:r w:rsidRPr="00225BB0">
        <w:rPr>
          <w:rFonts w:asciiTheme="minorHAnsi" w:hAnsiTheme="minorHAnsi" w:cstheme="minorHAnsi"/>
        </w:rPr>
        <w:t>application</w:t>
      </w:r>
      <w:r w:rsidRPr="00225BB0" w:rsidR="009C35FE">
        <w:rPr>
          <w:rFonts w:asciiTheme="minorHAnsi" w:hAnsiTheme="minorHAnsi" w:cstheme="minorHAnsi"/>
        </w:rPr>
        <w:t>s</w:t>
      </w:r>
      <w:r w:rsidRPr="00225BB0">
        <w:rPr>
          <w:rFonts w:asciiTheme="minorHAnsi" w:hAnsiTheme="minorHAnsi" w:cstheme="minorHAnsi"/>
        </w:rPr>
        <w:t>. The applications will be used for annual program assessments and reviews</w:t>
      </w:r>
      <w:r w:rsidRPr="00937061" w:rsidR="00937061">
        <w:rPr>
          <w:rFonts w:asciiTheme="minorHAnsi" w:hAnsiTheme="minorHAnsi" w:cstheme="minorHAnsi"/>
        </w:rPr>
        <w:t xml:space="preserve"> and to assess an applicant's appropriateness</w:t>
      </w:r>
      <w:r w:rsidRPr="00225BB0">
        <w:rPr>
          <w:rFonts w:asciiTheme="minorHAnsi" w:hAnsiTheme="minorHAnsi" w:cstheme="minorHAnsi"/>
        </w:rPr>
        <w:t xml:space="preserve"> for the </w:t>
      </w:r>
      <w:r w:rsidR="00C30BDD">
        <w:rPr>
          <w:rFonts w:asciiTheme="minorHAnsi" w:hAnsiTheme="minorHAnsi" w:cstheme="minorHAnsi"/>
        </w:rPr>
        <w:t>EIAP</w:t>
      </w:r>
      <w:r w:rsidRPr="00225BB0">
        <w:rPr>
          <w:rFonts w:asciiTheme="minorHAnsi" w:hAnsiTheme="minorHAnsi" w:cstheme="minorHAnsi"/>
        </w:rPr>
        <w:t>.</w:t>
      </w:r>
    </w:p>
    <w:p w:rsidRPr="00225BB0" w:rsidR="00225BB0" w:rsidP="00225BB0" w:rsidRDefault="00225BB0" w14:paraId="0FF98C56" w14:textId="77777777">
      <w:pPr>
        <w:spacing w:after="0"/>
        <w:rPr>
          <w:rFonts w:asciiTheme="minorHAnsi" w:hAnsiTheme="minorHAnsi" w:cstheme="minorHAnsi"/>
        </w:rPr>
      </w:pPr>
    </w:p>
    <w:p w:rsidRPr="000E3964" w:rsidR="006610B1" w:rsidP="00225BB0" w:rsidRDefault="006610B1" w14:paraId="1D0D9777" w14:textId="27776C15">
      <w:pPr>
        <w:spacing w:after="0"/>
        <w:rPr>
          <w:rFonts w:asciiTheme="minorHAnsi" w:hAnsiTheme="minorHAnsi" w:cstheme="minorHAnsi"/>
        </w:rPr>
      </w:pPr>
      <w:r w:rsidRPr="00225BB0">
        <w:rPr>
          <w:rFonts w:asciiTheme="minorHAnsi" w:hAnsiTheme="minorHAnsi" w:cstheme="minorHAnsi"/>
        </w:rPr>
        <w:t xml:space="preserve">The application </w:t>
      </w:r>
      <w:r w:rsidRPr="000E3964">
        <w:rPr>
          <w:rFonts w:asciiTheme="minorHAnsi" w:hAnsiTheme="minorHAnsi" w:cstheme="minorHAnsi"/>
        </w:rPr>
        <w:t xml:space="preserve">period will open upon receiving OMB clearance and remain open for </w:t>
      </w:r>
      <w:r w:rsidR="00937061">
        <w:rPr>
          <w:rFonts w:asciiTheme="minorHAnsi" w:hAnsiTheme="minorHAnsi" w:cstheme="minorHAnsi"/>
        </w:rPr>
        <w:t>one</w:t>
      </w:r>
      <w:r w:rsidRPr="000E3964">
        <w:rPr>
          <w:rFonts w:asciiTheme="minorHAnsi" w:hAnsiTheme="minorHAnsi" w:cstheme="minorHAnsi"/>
        </w:rPr>
        <w:t xml:space="preserve"> month. </w:t>
      </w:r>
      <w:r w:rsidR="00937061">
        <w:rPr>
          <w:rFonts w:asciiTheme="minorHAnsi" w:hAnsiTheme="minorHAnsi" w:cstheme="minorHAnsi"/>
        </w:rPr>
        <w:t>The future</w:t>
      </w:r>
      <w:r w:rsidRPr="000E3964">
        <w:rPr>
          <w:rFonts w:asciiTheme="minorHAnsi" w:hAnsiTheme="minorHAnsi" w:cstheme="minorHAnsi"/>
        </w:rPr>
        <w:t xml:space="preserve"> year application period will be October </w:t>
      </w:r>
      <w:r w:rsidRPr="000E3964" w:rsidR="009C35FE">
        <w:rPr>
          <w:rFonts w:asciiTheme="minorHAnsi" w:hAnsiTheme="minorHAnsi" w:cstheme="minorHAnsi"/>
        </w:rPr>
        <w:t>through</w:t>
      </w:r>
      <w:r w:rsidRPr="000E3964">
        <w:rPr>
          <w:rFonts w:asciiTheme="minorHAnsi" w:hAnsiTheme="minorHAnsi" w:cstheme="minorHAnsi"/>
        </w:rPr>
        <w:t xml:space="preserve"> </w:t>
      </w:r>
      <w:r w:rsidRPr="000E3964" w:rsidR="00C739CC">
        <w:rPr>
          <w:rFonts w:asciiTheme="minorHAnsi" w:hAnsiTheme="minorHAnsi" w:cstheme="minorHAnsi"/>
        </w:rPr>
        <w:t>November</w:t>
      </w:r>
      <w:r w:rsidRPr="000E3964" w:rsidR="00F40CE3">
        <w:rPr>
          <w:rFonts w:asciiTheme="minorHAnsi" w:hAnsiTheme="minorHAnsi" w:cstheme="minorHAnsi"/>
        </w:rPr>
        <w:t xml:space="preserve"> (Table A.16-1)</w:t>
      </w:r>
      <w:r w:rsidRPr="000E3964">
        <w:rPr>
          <w:rFonts w:asciiTheme="minorHAnsi" w:hAnsiTheme="minorHAnsi" w:cstheme="minorHAnsi"/>
        </w:rPr>
        <w:t xml:space="preserve">. </w:t>
      </w:r>
    </w:p>
    <w:p w:rsidRPr="000E3964" w:rsidR="009442AB" w:rsidP="00225BB0" w:rsidRDefault="009442AB" w14:paraId="30281AC5" w14:textId="76333924">
      <w:pPr>
        <w:spacing w:after="0"/>
        <w:rPr>
          <w:rFonts w:asciiTheme="minorHAnsi" w:hAnsiTheme="minorHAnsi" w:cstheme="minorHAnsi"/>
          <w:b/>
        </w:rPr>
      </w:pPr>
    </w:p>
    <w:p w:rsidRPr="000E3964" w:rsidR="00A85FAC" w:rsidP="00225BB0" w:rsidRDefault="00A85FAC" w14:paraId="6AF1FC5F" w14:textId="523E03E4">
      <w:pPr>
        <w:jc w:val="center"/>
        <w:rPr>
          <w:rFonts w:asciiTheme="minorHAnsi" w:hAnsiTheme="minorHAnsi" w:cstheme="minorHAnsi"/>
          <w:b/>
          <w:bCs/>
        </w:rPr>
      </w:pPr>
      <w:r w:rsidRPr="000E3964">
        <w:rPr>
          <w:rFonts w:asciiTheme="minorHAnsi" w:hAnsiTheme="minorHAnsi" w:cstheme="minorHAnsi"/>
          <w:b/>
          <w:bCs/>
        </w:rPr>
        <w:t>Table A</w:t>
      </w:r>
      <w:r w:rsidRPr="000E3964" w:rsidR="00F40CE3">
        <w:rPr>
          <w:rFonts w:asciiTheme="minorHAnsi" w:hAnsiTheme="minorHAnsi" w:cstheme="minorHAnsi"/>
          <w:b/>
          <w:bCs/>
        </w:rPr>
        <w:t>.</w:t>
      </w:r>
      <w:r w:rsidRPr="000E3964">
        <w:rPr>
          <w:rFonts w:asciiTheme="minorHAnsi" w:hAnsiTheme="minorHAnsi" w:cstheme="minorHAnsi"/>
          <w:b/>
          <w:bCs/>
        </w:rPr>
        <w:t>16-1. Project Time Schedule: Application Opening and Closing Dates</w:t>
      </w:r>
    </w:p>
    <w:tbl>
      <w:tblPr>
        <w:tblW w:w="494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4135"/>
        <w:gridCol w:w="2790"/>
        <w:gridCol w:w="2611"/>
      </w:tblGrid>
      <w:tr w:rsidRPr="000E3964" w:rsidR="00A85FAC" w:rsidTr="003B3D62" w14:paraId="77AB0C32" w14:textId="77777777">
        <w:trPr>
          <w:cantSplit/>
          <w:trHeight w:val="629"/>
        </w:trPr>
        <w:tc>
          <w:tcPr>
            <w:tcW w:w="2168" w:type="pct"/>
            <w:shd w:val="clear" w:color="auto" w:fill="auto"/>
            <w:vAlign w:val="center"/>
          </w:tcPr>
          <w:p w:rsidRPr="000E3964" w:rsidR="00A85FAC" w:rsidP="00225BB0" w:rsidRDefault="00A85FAC" w14:paraId="606BA665" w14:textId="77777777">
            <w:pPr>
              <w:spacing w:after="0"/>
              <w:rPr>
                <w:rFonts w:asciiTheme="minorHAnsi" w:hAnsiTheme="minorHAnsi" w:cstheme="minorHAnsi"/>
                <w:b/>
              </w:rPr>
            </w:pPr>
            <w:r w:rsidRPr="000E3964">
              <w:rPr>
                <w:rFonts w:asciiTheme="minorHAnsi" w:hAnsiTheme="minorHAnsi" w:cstheme="minorHAnsi"/>
                <w:b/>
              </w:rPr>
              <w:t>Training Program</w:t>
            </w:r>
          </w:p>
        </w:tc>
        <w:tc>
          <w:tcPr>
            <w:tcW w:w="1463" w:type="pct"/>
            <w:vAlign w:val="center"/>
          </w:tcPr>
          <w:p w:rsidRPr="000E3964" w:rsidR="00A85FAC" w:rsidP="00225BB0" w:rsidRDefault="00A85FAC" w14:paraId="1CDB6176" w14:textId="77777777">
            <w:pPr>
              <w:spacing w:after="0"/>
              <w:rPr>
                <w:rFonts w:asciiTheme="minorHAnsi" w:hAnsiTheme="minorHAnsi" w:cstheme="minorHAnsi"/>
                <w:b/>
              </w:rPr>
            </w:pPr>
            <w:r w:rsidRPr="000E3964">
              <w:rPr>
                <w:rFonts w:asciiTheme="minorHAnsi" w:hAnsiTheme="minorHAnsi" w:cstheme="minorHAnsi"/>
                <w:b/>
              </w:rPr>
              <w:t>Application Opening Date</w:t>
            </w:r>
          </w:p>
        </w:tc>
        <w:tc>
          <w:tcPr>
            <w:tcW w:w="1369" w:type="pct"/>
            <w:vAlign w:val="center"/>
          </w:tcPr>
          <w:p w:rsidRPr="000E3964" w:rsidR="00A85FAC" w:rsidP="00225BB0" w:rsidRDefault="00A85FAC" w14:paraId="2736AD82" w14:textId="77777777">
            <w:pPr>
              <w:spacing w:after="0"/>
              <w:rPr>
                <w:rFonts w:asciiTheme="minorHAnsi" w:hAnsiTheme="minorHAnsi" w:cstheme="minorHAnsi"/>
                <w:b/>
              </w:rPr>
            </w:pPr>
            <w:r w:rsidRPr="000E3964">
              <w:rPr>
                <w:rFonts w:asciiTheme="minorHAnsi" w:hAnsiTheme="minorHAnsi" w:cstheme="minorHAnsi"/>
                <w:b/>
              </w:rPr>
              <w:t>Application Closing Date</w:t>
            </w:r>
          </w:p>
        </w:tc>
      </w:tr>
      <w:tr w:rsidRPr="000E3964" w:rsidR="00A85FAC" w:rsidTr="000F78FC" w14:paraId="3DD13271" w14:textId="77777777">
        <w:trPr>
          <w:cantSplit/>
          <w:trHeight w:val="300"/>
        </w:trPr>
        <w:tc>
          <w:tcPr>
            <w:tcW w:w="2168" w:type="pct"/>
            <w:shd w:val="clear" w:color="auto" w:fill="auto"/>
            <w:vAlign w:val="bottom"/>
          </w:tcPr>
          <w:p w:rsidRPr="000E3964" w:rsidR="00A85FAC" w:rsidP="00C30BDD" w:rsidRDefault="00C30BDD" w14:paraId="77FFCE4D" w14:textId="32F5A89C">
            <w:pPr>
              <w:spacing w:after="0"/>
              <w:rPr>
                <w:rFonts w:asciiTheme="minorHAnsi" w:hAnsiTheme="minorHAnsi" w:cstheme="minorHAnsi"/>
              </w:rPr>
            </w:pPr>
            <w:r w:rsidRPr="000E3964">
              <w:rPr>
                <w:rFonts w:asciiTheme="minorHAnsi" w:hAnsiTheme="minorHAnsi" w:cstheme="minorHAnsi"/>
              </w:rPr>
              <w:t>EIAP</w:t>
            </w:r>
            <w:r w:rsidRPr="000E3964" w:rsidR="006610B1">
              <w:rPr>
                <w:rFonts w:asciiTheme="minorHAnsi" w:hAnsiTheme="minorHAnsi" w:cstheme="minorHAnsi"/>
              </w:rPr>
              <w:t xml:space="preserve"> </w:t>
            </w:r>
            <w:r w:rsidRPr="000E3964">
              <w:rPr>
                <w:rFonts w:asciiTheme="minorHAnsi" w:hAnsiTheme="minorHAnsi" w:cstheme="minorHAnsi"/>
              </w:rPr>
              <w:t>2021</w:t>
            </w:r>
          </w:p>
        </w:tc>
        <w:tc>
          <w:tcPr>
            <w:tcW w:w="1463" w:type="pct"/>
            <w:vAlign w:val="center"/>
          </w:tcPr>
          <w:p w:rsidRPr="000E3964" w:rsidR="00A85FAC" w:rsidP="00225BB0" w:rsidRDefault="006610B1" w14:paraId="2B9A4ECB" w14:textId="1A080DCB">
            <w:pPr>
              <w:spacing w:after="0"/>
              <w:rPr>
                <w:rFonts w:asciiTheme="minorHAnsi" w:hAnsiTheme="minorHAnsi" w:cstheme="minorHAnsi"/>
              </w:rPr>
            </w:pPr>
            <w:r w:rsidRPr="000E3964">
              <w:rPr>
                <w:rFonts w:asciiTheme="minorHAnsi" w:hAnsiTheme="minorHAnsi" w:cstheme="minorHAnsi"/>
              </w:rPr>
              <w:t>Upon receiving clearance</w:t>
            </w:r>
          </w:p>
        </w:tc>
        <w:tc>
          <w:tcPr>
            <w:tcW w:w="1369" w:type="pct"/>
            <w:vAlign w:val="center"/>
          </w:tcPr>
          <w:p w:rsidRPr="000E3964" w:rsidR="00A85FAC" w:rsidP="00225BB0" w:rsidRDefault="00937061" w14:paraId="59CD8E19" w14:textId="63C1DE28">
            <w:pPr>
              <w:spacing w:after="0"/>
              <w:rPr>
                <w:rFonts w:asciiTheme="minorHAnsi" w:hAnsiTheme="minorHAnsi" w:cstheme="minorHAnsi"/>
              </w:rPr>
            </w:pPr>
            <w:r>
              <w:rPr>
                <w:rFonts w:asciiTheme="minorHAnsi" w:hAnsiTheme="minorHAnsi" w:cstheme="minorHAnsi"/>
              </w:rPr>
              <w:t>One</w:t>
            </w:r>
            <w:r w:rsidRPr="000E3964" w:rsidR="006610B1">
              <w:rPr>
                <w:rFonts w:asciiTheme="minorHAnsi" w:hAnsiTheme="minorHAnsi" w:cstheme="minorHAnsi"/>
              </w:rPr>
              <w:t xml:space="preserve"> </w:t>
            </w:r>
            <w:r>
              <w:rPr>
                <w:rFonts w:asciiTheme="minorHAnsi" w:hAnsiTheme="minorHAnsi" w:cstheme="minorHAnsi"/>
              </w:rPr>
              <w:t>month</w:t>
            </w:r>
            <w:r w:rsidRPr="000E3964" w:rsidR="006610B1">
              <w:rPr>
                <w:rFonts w:asciiTheme="minorHAnsi" w:hAnsiTheme="minorHAnsi" w:cstheme="minorHAnsi"/>
              </w:rPr>
              <w:t xml:space="preserve"> after opening</w:t>
            </w:r>
          </w:p>
        </w:tc>
      </w:tr>
      <w:tr w:rsidRPr="00225BB0" w:rsidR="00A85FAC" w:rsidTr="000F78FC" w14:paraId="6D041BB6" w14:textId="77777777">
        <w:trPr>
          <w:cantSplit/>
          <w:trHeight w:val="300"/>
        </w:trPr>
        <w:tc>
          <w:tcPr>
            <w:tcW w:w="2168" w:type="pct"/>
            <w:shd w:val="clear" w:color="auto" w:fill="auto"/>
            <w:vAlign w:val="bottom"/>
          </w:tcPr>
          <w:p w:rsidRPr="000E3964" w:rsidR="00A85FAC" w:rsidP="00C30BDD" w:rsidRDefault="00C30BDD" w14:paraId="1D88FF55" w14:textId="725300F4">
            <w:pPr>
              <w:spacing w:after="0"/>
              <w:rPr>
                <w:rFonts w:asciiTheme="minorHAnsi" w:hAnsiTheme="minorHAnsi" w:cstheme="minorHAnsi"/>
              </w:rPr>
            </w:pPr>
            <w:r w:rsidRPr="000E3964">
              <w:rPr>
                <w:rFonts w:asciiTheme="minorHAnsi" w:hAnsiTheme="minorHAnsi" w:cstheme="minorHAnsi"/>
              </w:rPr>
              <w:t xml:space="preserve">EIAP 2022 </w:t>
            </w:r>
            <w:r w:rsidRPr="000E3964" w:rsidR="001C61B4">
              <w:rPr>
                <w:rFonts w:asciiTheme="minorHAnsi" w:hAnsiTheme="minorHAnsi" w:cstheme="minorHAnsi"/>
              </w:rPr>
              <w:t>and following years</w:t>
            </w:r>
          </w:p>
        </w:tc>
        <w:tc>
          <w:tcPr>
            <w:tcW w:w="1463" w:type="pct"/>
            <w:vAlign w:val="center"/>
          </w:tcPr>
          <w:p w:rsidRPr="000E3964" w:rsidR="00A85FAC" w:rsidP="00225BB0" w:rsidRDefault="001C61B4" w14:paraId="2BB81109" w14:textId="634C566A">
            <w:pPr>
              <w:spacing w:after="0"/>
              <w:rPr>
                <w:rFonts w:asciiTheme="minorHAnsi" w:hAnsiTheme="minorHAnsi" w:cstheme="minorHAnsi"/>
              </w:rPr>
            </w:pPr>
            <w:r w:rsidRPr="000E3964">
              <w:rPr>
                <w:rFonts w:asciiTheme="minorHAnsi" w:hAnsiTheme="minorHAnsi" w:cstheme="minorHAnsi"/>
              </w:rPr>
              <w:t>October</w:t>
            </w:r>
          </w:p>
        </w:tc>
        <w:tc>
          <w:tcPr>
            <w:tcW w:w="1369" w:type="pct"/>
            <w:vAlign w:val="center"/>
          </w:tcPr>
          <w:p w:rsidRPr="000E3964" w:rsidR="00A85FAC" w:rsidP="00225BB0" w:rsidRDefault="00C739CC" w14:paraId="4F723FBD" w14:textId="597085AD">
            <w:pPr>
              <w:spacing w:after="0"/>
              <w:rPr>
                <w:rFonts w:asciiTheme="minorHAnsi" w:hAnsiTheme="minorHAnsi" w:cstheme="minorHAnsi"/>
              </w:rPr>
            </w:pPr>
            <w:r w:rsidRPr="000E3964">
              <w:rPr>
                <w:rFonts w:asciiTheme="minorHAnsi" w:hAnsiTheme="minorHAnsi" w:cstheme="minorHAnsi"/>
              </w:rPr>
              <w:t>November</w:t>
            </w:r>
          </w:p>
        </w:tc>
      </w:tr>
    </w:tbl>
    <w:p w:rsidRPr="00225BB0" w:rsidR="00A85FAC" w:rsidP="00225BB0" w:rsidRDefault="00A85FAC" w14:paraId="719137EC" w14:textId="68B41850">
      <w:pPr>
        <w:rPr>
          <w:rFonts w:asciiTheme="minorHAnsi" w:hAnsiTheme="minorHAnsi" w:cstheme="minorHAnsi"/>
        </w:rPr>
      </w:pPr>
    </w:p>
    <w:p w:rsidRPr="00225BB0" w:rsidR="00FF72FC" w:rsidP="00225BB0" w:rsidRDefault="00FF72FC" w14:paraId="2C59DB67" w14:textId="77777777">
      <w:pPr>
        <w:spacing w:after="0"/>
        <w:rPr>
          <w:rFonts w:asciiTheme="minorHAnsi" w:hAnsiTheme="minorHAnsi" w:cstheme="minorHAnsi"/>
          <w:b/>
        </w:rPr>
      </w:pPr>
      <w:r w:rsidRPr="00225BB0">
        <w:rPr>
          <w:rFonts w:asciiTheme="minorHAnsi" w:hAnsiTheme="minorHAnsi" w:cstheme="minorHAnsi"/>
          <w:b/>
        </w:rPr>
        <w:t>A.17</w:t>
      </w:r>
      <w:r w:rsidRPr="00225BB0">
        <w:rPr>
          <w:rFonts w:asciiTheme="minorHAnsi" w:hAnsiTheme="minorHAnsi" w:cstheme="minorHAnsi"/>
          <w:b/>
        </w:rPr>
        <w:tab/>
        <w:t>Reason(s) Display of OMB Expiration Date is Inappropriate</w:t>
      </w:r>
    </w:p>
    <w:p w:rsidRPr="00225BB0" w:rsidR="00A85FAC" w:rsidP="00225BB0" w:rsidRDefault="00A85FAC" w14:paraId="56E8F2CF" w14:textId="6148D386">
      <w:pPr>
        <w:spacing w:after="0"/>
        <w:rPr>
          <w:rFonts w:asciiTheme="minorHAnsi" w:hAnsiTheme="minorHAnsi" w:cstheme="minorHAnsi"/>
        </w:rPr>
      </w:pPr>
      <w:r w:rsidRPr="00225BB0">
        <w:rPr>
          <w:rFonts w:asciiTheme="minorHAnsi" w:hAnsiTheme="minorHAnsi" w:cstheme="minorHAnsi"/>
        </w:rPr>
        <w:t xml:space="preserve">There is no request for exemption from displaying the expiration date </w:t>
      </w:r>
      <w:r w:rsidR="00F265EA">
        <w:rPr>
          <w:rFonts w:asciiTheme="minorHAnsi" w:hAnsiTheme="minorHAnsi" w:cstheme="minorHAnsi"/>
        </w:rPr>
        <w:t>of</w:t>
      </w:r>
      <w:r w:rsidRPr="00225BB0" w:rsidR="00F265EA">
        <w:rPr>
          <w:rFonts w:asciiTheme="minorHAnsi" w:hAnsiTheme="minorHAnsi" w:cstheme="minorHAnsi"/>
        </w:rPr>
        <w:t xml:space="preserve"> </w:t>
      </w:r>
      <w:r w:rsidRPr="00225BB0">
        <w:rPr>
          <w:rFonts w:asciiTheme="minorHAnsi" w:hAnsiTheme="minorHAnsi" w:cstheme="minorHAnsi"/>
        </w:rPr>
        <w:t>OMB approval.</w:t>
      </w:r>
    </w:p>
    <w:p w:rsidRPr="00225BB0" w:rsidR="004A2CD6" w:rsidP="00225BB0" w:rsidRDefault="004A2CD6" w14:paraId="3AE7FCA7" w14:textId="77777777">
      <w:pPr>
        <w:spacing w:after="0"/>
        <w:rPr>
          <w:rFonts w:asciiTheme="minorHAnsi" w:hAnsiTheme="minorHAnsi" w:cstheme="minorHAnsi"/>
          <w:b/>
        </w:rPr>
      </w:pPr>
    </w:p>
    <w:p w:rsidRPr="00225BB0" w:rsidR="00FF72FC" w:rsidP="00225BB0" w:rsidRDefault="00FF72FC" w14:paraId="33EB1F1C" w14:textId="4239B52B">
      <w:pPr>
        <w:spacing w:after="0"/>
        <w:rPr>
          <w:rFonts w:asciiTheme="minorHAnsi" w:hAnsiTheme="minorHAnsi" w:cstheme="minorHAnsi"/>
          <w:b/>
        </w:rPr>
      </w:pPr>
      <w:r w:rsidRPr="00225BB0">
        <w:rPr>
          <w:rFonts w:asciiTheme="minorHAnsi" w:hAnsiTheme="minorHAnsi" w:cstheme="minorHAnsi"/>
          <w:b/>
        </w:rPr>
        <w:t>A.18</w:t>
      </w:r>
      <w:r w:rsidRPr="00225BB0">
        <w:rPr>
          <w:rFonts w:asciiTheme="minorHAnsi" w:hAnsiTheme="minorHAnsi" w:cstheme="minorHAnsi"/>
          <w:b/>
        </w:rPr>
        <w:tab/>
        <w:t>Exceptions to Certification for Paperwork Reduction Act Submissions</w:t>
      </w:r>
    </w:p>
    <w:p w:rsidRPr="00A85FAC" w:rsidR="00A85FAC" w:rsidP="00225BB0" w:rsidRDefault="00A85FAC" w14:paraId="6FF1EDEB" w14:textId="77777777">
      <w:pPr>
        <w:spacing w:after="0"/>
        <w:rPr>
          <w:color w:val="000000"/>
        </w:rPr>
      </w:pPr>
      <w:r w:rsidRPr="00225BB0">
        <w:rPr>
          <w:rFonts w:asciiTheme="minorHAnsi" w:hAnsiTheme="minorHAnsi" w:cstheme="minorHAnsi"/>
          <w:color w:val="000000"/>
        </w:rPr>
        <w:t>There are no exceptions to the Certificatio</w:t>
      </w:r>
      <w:r w:rsidRPr="00A85FAC">
        <w:rPr>
          <w:color w:val="000000"/>
        </w:rPr>
        <w:t>n for Paperwork Reduction Act Submissions.</w:t>
      </w:r>
    </w:p>
    <w:sectPr w:rsidRPr="00A85FAC" w:rsidR="00A85FAC" w:rsidSect="003B3D62">
      <w:headerReference w:type="even" r:id="rId17"/>
      <w:headerReference w:type="default" r:id="rId18"/>
      <w:footerReference w:type="even" r:id="rId19"/>
      <w:footerReference w:type="default" r:id="rId20"/>
      <w:headerReference w:type="first" r:id="rId21"/>
      <w:footerReference w:type="first" r:id="rId22"/>
      <w:pgSz w:w="12240" w:h="15840"/>
      <w:pgMar w:top="990"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4CCE" w14:textId="77777777" w:rsidR="00EB79F7" w:rsidRDefault="00EB79F7">
      <w:pPr>
        <w:spacing w:after="0" w:line="240" w:lineRule="auto"/>
      </w:pPr>
      <w:r>
        <w:separator/>
      </w:r>
    </w:p>
  </w:endnote>
  <w:endnote w:type="continuationSeparator" w:id="0">
    <w:p w14:paraId="51BC81A1" w14:textId="77777777" w:rsidR="00EB79F7" w:rsidRDefault="00EB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FA39" w14:textId="77777777" w:rsidR="00D34F82" w:rsidRDefault="00D34F82"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5020BE" w14:textId="77777777" w:rsidR="00D34F82" w:rsidRDefault="00D34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5E9D" w14:textId="366F25CA" w:rsidR="00D34F82" w:rsidRDefault="00D34F82"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49EB">
      <w:rPr>
        <w:rStyle w:val="PageNumber"/>
        <w:noProof/>
      </w:rPr>
      <w:t>6</w:t>
    </w:r>
    <w:r>
      <w:rPr>
        <w:rStyle w:val="PageNumber"/>
      </w:rPr>
      <w:fldChar w:fldCharType="end"/>
    </w:r>
  </w:p>
  <w:p w14:paraId="79008154" w14:textId="77777777" w:rsidR="00D34F82" w:rsidRDefault="00D34F82" w:rsidP="009667B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C3EE" w14:textId="77777777" w:rsidR="00D34F82" w:rsidRDefault="00D3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B79E" w14:textId="77777777" w:rsidR="00EB79F7" w:rsidRDefault="00EB79F7">
      <w:pPr>
        <w:spacing w:after="0" w:line="240" w:lineRule="auto"/>
      </w:pPr>
      <w:r>
        <w:separator/>
      </w:r>
    </w:p>
  </w:footnote>
  <w:footnote w:type="continuationSeparator" w:id="0">
    <w:p w14:paraId="5E211CB1" w14:textId="77777777" w:rsidR="00EB79F7" w:rsidRDefault="00EB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367A" w14:textId="0237351D" w:rsidR="00D34F82" w:rsidRDefault="00D34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B77D" w14:textId="1AFD4AFE" w:rsidR="00D34F82" w:rsidRDefault="00D34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BE9D" w14:textId="26681696" w:rsidR="00D34F82" w:rsidRDefault="00D34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4507"/>
    <w:multiLevelType w:val="hybridMultilevel"/>
    <w:tmpl w:val="B7BE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876E3"/>
    <w:multiLevelType w:val="hybridMultilevel"/>
    <w:tmpl w:val="01A8090A"/>
    <w:lvl w:ilvl="0" w:tplc="971A4D3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D590CD5"/>
    <w:multiLevelType w:val="hybridMultilevel"/>
    <w:tmpl w:val="F470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51A8A"/>
    <w:multiLevelType w:val="hybridMultilevel"/>
    <w:tmpl w:val="282EBAEE"/>
    <w:lvl w:ilvl="0" w:tplc="5426A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F66FF"/>
    <w:multiLevelType w:val="hybridMultilevel"/>
    <w:tmpl w:val="FF16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BD5AF8"/>
    <w:multiLevelType w:val="hybridMultilevel"/>
    <w:tmpl w:val="45F89F0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abstractNumId w:val="15"/>
  </w:num>
  <w:num w:numId="2">
    <w:abstractNumId w:val="6"/>
  </w:num>
  <w:num w:numId="3">
    <w:abstractNumId w:val="13"/>
  </w:num>
  <w:num w:numId="4">
    <w:abstractNumId w:val="2"/>
  </w:num>
  <w:num w:numId="5">
    <w:abstractNumId w:val="8"/>
  </w:num>
  <w:num w:numId="6">
    <w:abstractNumId w:val="7"/>
  </w:num>
  <w:num w:numId="7">
    <w:abstractNumId w:val="10"/>
  </w:num>
  <w:num w:numId="8">
    <w:abstractNumId w:val="12"/>
  </w:num>
  <w:num w:numId="9">
    <w:abstractNumId w:val="11"/>
  </w:num>
  <w:num w:numId="10">
    <w:abstractNumId w:val="14"/>
  </w:num>
  <w:num w:numId="11">
    <w:abstractNumId w:val="4"/>
  </w:num>
  <w:num w:numId="12">
    <w:abstractNumId w:val="16"/>
  </w:num>
  <w:num w:numId="13">
    <w:abstractNumId w:val="0"/>
  </w:num>
  <w:num w:numId="14">
    <w:abstractNumId w:val="1"/>
  </w:num>
  <w:num w:numId="15">
    <w:abstractNumId w:val="3"/>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tDQzMLQwNza3NLEwNTNT0lEKTi0uzszPAykwqgUATAndWSwAAAA="/>
  </w:docVars>
  <w:rsids>
    <w:rsidRoot w:val="000F3043"/>
    <w:rsid w:val="00010F0D"/>
    <w:rsid w:val="00012A23"/>
    <w:rsid w:val="00024899"/>
    <w:rsid w:val="000319F9"/>
    <w:rsid w:val="00051406"/>
    <w:rsid w:val="00052C27"/>
    <w:rsid w:val="000551A9"/>
    <w:rsid w:val="00076094"/>
    <w:rsid w:val="00086A0D"/>
    <w:rsid w:val="000B3929"/>
    <w:rsid w:val="000B3961"/>
    <w:rsid w:val="000C4A4A"/>
    <w:rsid w:val="000C5E58"/>
    <w:rsid w:val="000E1C4C"/>
    <w:rsid w:val="000E3964"/>
    <w:rsid w:val="000E5AC1"/>
    <w:rsid w:val="000F3043"/>
    <w:rsid w:val="000F78D3"/>
    <w:rsid w:val="000F78FC"/>
    <w:rsid w:val="001002A4"/>
    <w:rsid w:val="001110E2"/>
    <w:rsid w:val="00111C33"/>
    <w:rsid w:val="001134FD"/>
    <w:rsid w:val="00122B86"/>
    <w:rsid w:val="0013115B"/>
    <w:rsid w:val="00134D83"/>
    <w:rsid w:val="0016469E"/>
    <w:rsid w:val="00170EC9"/>
    <w:rsid w:val="00190919"/>
    <w:rsid w:val="001A1982"/>
    <w:rsid w:val="001C61B4"/>
    <w:rsid w:val="001C66C9"/>
    <w:rsid w:val="001D0ECB"/>
    <w:rsid w:val="001E1D3C"/>
    <w:rsid w:val="001E6294"/>
    <w:rsid w:val="001F5A51"/>
    <w:rsid w:val="00206918"/>
    <w:rsid w:val="002234F1"/>
    <w:rsid w:val="00225BB0"/>
    <w:rsid w:val="00236E27"/>
    <w:rsid w:val="00241B6D"/>
    <w:rsid w:val="00245089"/>
    <w:rsid w:val="00254548"/>
    <w:rsid w:val="00254868"/>
    <w:rsid w:val="00255F7C"/>
    <w:rsid w:val="00257327"/>
    <w:rsid w:val="00266ED2"/>
    <w:rsid w:val="002670CD"/>
    <w:rsid w:val="002A044E"/>
    <w:rsid w:val="002A0D8E"/>
    <w:rsid w:val="002B410A"/>
    <w:rsid w:val="002D2F48"/>
    <w:rsid w:val="002F2543"/>
    <w:rsid w:val="002F3406"/>
    <w:rsid w:val="002F4317"/>
    <w:rsid w:val="003024E0"/>
    <w:rsid w:val="0030270C"/>
    <w:rsid w:val="003056AF"/>
    <w:rsid w:val="00312856"/>
    <w:rsid w:val="003201F7"/>
    <w:rsid w:val="00322320"/>
    <w:rsid w:val="003328E2"/>
    <w:rsid w:val="00346360"/>
    <w:rsid w:val="00350B9E"/>
    <w:rsid w:val="0036208F"/>
    <w:rsid w:val="003969DF"/>
    <w:rsid w:val="00396A70"/>
    <w:rsid w:val="003B022C"/>
    <w:rsid w:val="003B035E"/>
    <w:rsid w:val="003B3D62"/>
    <w:rsid w:val="003B7206"/>
    <w:rsid w:val="003E33A2"/>
    <w:rsid w:val="003E5C04"/>
    <w:rsid w:val="0041425F"/>
    <w:rsid w:val="0042003F"/>
    <w:rsid w:val="00421D25"/>
    <w:rsid w:val="00424628"/>
    <w:rsid w:val="00427EA7"/>
    <w:rsid w:val="0045044D"/>
    <w:rsid w:val="004508D9"/>
    <w:rsid w:val="00450940"/>
    <w:rsid w:val="004528F9"/>
    <w:rsid w:val="004716CF"/>
    <w:rsid w:val="00482AFA"/>
    <w:rsid w:val="00497B81"/>
    <w:rsid w:val="00497EA8"/>
    <w:rsid w:val="004A2CD6"/>
    <w:rsid w:val="004A69C0"/>
    <w:rsid w:val="004B5617"/>
    <w:rsid w:val="004B5A1D"/>
    <w:rsid w:val="004B71E8"/>
    <w:rsid w:val="004D437D"/>
    <w:rsid w:val="004D6F39"/>
    <w:rsid w:val="004E0A4E"/>
    <w:rsid w:val="004F18C4"/>
    <w:rsid w:val="004F33A8"/>
    <w:rsid w:val="005150E7"/>
    <w:rsid w:val="005178F4"/>
    <w:rsid w:val="00526930"/>
    <w:rsid w:val="005410EA"/>
    <w:rsid w:val="00541501"/>
    <w:rsid w:val="00541840"/>
    <w:rsid w:val="005577DE"/>
    <w:rsid w:val="00564D1F"/>
    <w:rsid w:val="00567FD6"/>
    <w:rsid w:val="0058578D"/>
    <w:rsid w:val="00594DCC"/>
    <w:rsid w:val="005A3792"/>
    <w:rsid w:val="005A7D42"/>
    <w:rsid w:val="005B6B06"/>
    <w:rsid w:val="005C7439"/>
    <w:rsid w:val="005F153C"/>
    <w:rsid w:val="005F4A54"/>
    <w:rsid w:val="005F5C79"/>
    <w:rsid w:val="00607319"/>
    <w:rsid w:val="006246A2"/>
    <w:rsid w:val="00641F8D"/>
    <w:rsid w:val="00643B2D"/>
    <w:rsid w:val="00643D2B"/>
    <w:rsid w:val="00645F6A"/>
    <w:rsid w:val="006610B1"/>
    <w:rsid w:val="00664E96"/>
    <w:rsid w:val="006760FD"/>
    <w:rsid w:val="00682593"/>
    <w:rsid w:val="006825BB"/>
    <w:rsid w:val="0068431C"/>
    <w:rsid w:val="00685B30"/>
    <w:rsid w:val="006864BF"/>
    <w:rsid w:val="006A3B1A"/>
    <w:rsid w:val="006A45F9"/>
    <w:rsid w:val="006B69E2"/>
    <w:rsid w:val="006D5E26"/>
    <w:rsid w:val="006F4701"/>
    <w:rsid w:val="007063F8"/>
    <w:rsid w:val="00707653"/>
    <w:rsid w:val="00717158"/>
    <w:rsid w:val="00731FF1"/>
    <w:rsid w:val="00743786"/>
    <w:rsid w:val="00767C53"/>
    <w:rsid w:val="00771447"/>
    <w:rsid w:val="00793C08"/>
    <w:rsid w:val="007A3949"/>
    <w:rsid w:val="007A447F"/>
    <w:rsid w:val="007B71FE"/>
    <w:rsid w:val="007D11BF"/>
    <w:rsid w:val="007D30D8"/>
    <w:rsid w:val="007E0F97"/>
    <w:rsid w:val="007E3883"/>
    <w:rsid w:val="007E6B4C"/>
    <w:rsid w:val="007E6F9C"/>
    <w:rsid w:val="00805CD8"/>
    <w:rsid w:val="0080779B"/>
    <w:rsid w:val="00812580"/>
    <w:rsid w:val="008245F4"/>
    <w:rsid w:val="00824D7E"/>
    <w:rsid w:val="008359FA"/>
    <w:rsid w:val="0086248B"/>
    <w:rsid w:val="00866851"/>
    <w:rsid w:val="008942E9"/>
    <w:rsid w:val="00894FF4"/>
    <w:rsid w:val="008A23F9"/>
    <w:rsid w:val="008A25B3"/>
    <w:rsid w:val="008A2FFB"/>
    <w:rsid w:val="008B28CE"/>
    <w:rsid w:val="008C4FD5"/>
    <w:rsid w:val="008D2770"/>
    <w:rsid w:val="00923F1B"/>
    <w:rsid w:val="00926AF5"/>
    <w:rsid w:val="00931C28"/>
    <w:rsid w:val="00937061"/>
    <w:rsid w:val="00937F87"/>
    <w:rsid w:val="00940C8C"/>
    <w:rsid w:val="00941822"/>
    <w:rsid w:val="009442AB"/>
    <w:rsid w:val="0095737A"/>
    <w:rsid w:val="00960163"/>
    <w:rsid w:val="009667B2"/>
    <w:rsid w:val="00974AC5"/>
    <w:rsid w:val="00976305"/>
    <w:rsid w:val="009810A0"/>
    <w:rsid w:val="00983978"/>
    <w:rsid w:val="0098418D"/>
    <w:rsid w:val="00987A37"/>
    <w:rsid w:val="00996AD2"/>
    <w:rsid w:val="009A69D6"/>
    <w:rsid w:val="009B033F"/>
    <w:rsid w:val="009B0E8D"/>
    <w:rsid w:val="009C35FE"/>
    <w:rsid w:val="009C3E9D"/>
    <w:rsid w:val="009F6E99"/>
    <w:rsid w:val="00A00CF8"/>
    <w:rsid w:val="00A15A36"/>
    <w:rsid w:val="00A15E7C"/>
    <w:rsid w:val="00A27F45"/>
    <w:rsid w:val="00A47AD8"/>
    <w:rsid w:val="00A60C1E"/>
    <w:rsid w:val="00A73F06"/>
    <w:rsid w:val="00A85FAC"/>
    <w:rsid w:val="00A86220"/>
    <w:rsid w:val="00AA013F"/>
    <w:rsid w:val="00AA39E7"/>
    <w:rsid w:val="00AA604C"/>
    <w:rsid w:val="00AA7506"/>
    <w:rsid w:val="00AB04A0"/>
    <w:rsid w:val="00AB05A1"/>
    <w:rsid w:val="00AB2D89"/>
    <w:rsid w:val="00AB4E84"/>
    <w:rsid w:val="00AB5D88"/>
    <w:rsid w:val="00AC5E11"/>
    <w:rsid w:val="00AC7481"/>
    <w:rsid w:val="00AD21AF"/>
    <w:rsid w:val="00AD59B9"/>
    <w:rsid w:val="00AF1188"/>
    <w:rsid w:val="00AF34B3"/>
    <w:rsid w:val="00B00EB3"/>
    <w:rsid w:val="00B0159F"/>
    <w:rsid w:val="00B0197E"/>
    <w:rsid w:val="00B03736"/>
    <w:rsid w:val="00B0682D"/>
    <w:rsid w:val="00B0758D"/>
    <w:rsid w:val="00B27637"/>
    <w:rsid w:val="00B30B0B"/>
    <w:rsid w:val="00B341C3"/>
    <w:rsid w:val="00B55427"/>
    <w:rsid w:val="00B55806"/>
    <w:rsid w:val="00B61623"/>
    <w:rsid w:val="00B70CFD"/>
    <w:rsid w:val="00B77BE4"/>
    <w:rsid w:val="00BA1ABA"/>
    <w:rsid w:val="00BB0B26"/>
    <w:rsid w:val="00BB1CA1"/>
    <w:rsid w:val="00BB5BCC"/>
    <w:rsid w:val="00BC3D56"/>
    <w:rsid w:val="00BC4DB2"/>
    <w:rsid w:val="00BD28CA"/>
    <w:rsid w:val="00BD2A3F"/>
    <w:rsid w:val="00BD3B86"/>
    <w:rsid w:val="00BE5EFA"/>
    <w:rsid w:val="00BE76A7"/>
    <w:rsid w:val="00BF0C39"/>
    <w:rsid w:val="00BF403E"/>
    <w:rsid w:val="00BF491C"/>
    <w:rsid w:val="00BF49F1"/>
    <w:rsid w:val="00C05041"/>
    <w:rsid w:val="00C13971"/>
    <w:rsid w:val="00C30BDD"/>
    <w:rsid w:val="00C36E14"/>
    <w:rsid w:val="00C37E21"/>
    <w:rsid w:val="00C448E8"/>
    <w:rsid w:val="00C536BE"/>
    <w:rsid w:val="00C54848"/>
    <w:rsid w:val="00C65C39"/>
    <w:rsid w:val="00C67B05"/>
    <w:rsid w:val="00C739CC"/>
    <w:rsid w:val="00C7762B"/>
    <w:rsid w:val="00C8332E"/>
    <w:rsid w:val="00C849EB"/>
    <w:rsid w:val="00C92BF8"/>
    <w:rsid w:val="00C95863"/>
    <w:rsid w:val="00CA440F"/>
    <w:rsid w:val="00CB0B1D"/>
    <w:rsid w:val="00CB398B"/>
    <w:rsid w:val="00CC0716"/>
    <w:rsid w:val="00CC5566"/>
    <w:rsid w:val="00CE16B5"/>
    <w:rsid w:val="00CF32D6"/>
    <w:rsid w:val="00D21897"/>
    <w:rsid w:val="00D233BF"/>
    <w:rsid w:val="00D30E2F"/>
    <w:rsid w:val="00D34BE5"/>
    <w:rsid w:val="00D34F82"/>
    <w:rsid w:val="00D7280E"/>
    <w:rsid w:val="00D77212"/>
    <w:rsid w:val="00D81EE6"/>
    <w:rsid w:val="00DA38C6"/>
    <w:rsid w:val="00DB1217"/>
    <w:rsid w:val="00DB1B1F"/>
    <w:rsid w:val="00DB7E78"/>
    <w:rsid w:val="00DB7F4C"/>
    <w:rsid w:val="00DC0514"/>
    <w:rsid w:val="00DE5570"/>
    <w:rsid w:val="00DF45C7"/>
    <w:rsid w:val="00E03967"/>
    <w:rsid w:val="00E07BB3"/>
    <w:rsid w:val="00E150BC"/>
    <w:rsid w:val="00E22C2E"/>
    <w:rsid w:val="00E23A77"/>
    <w:rsid w:val="00E23CFA"/>
    <w:rsid w:val="00E26338"/>
    <w:rsid w:val="00E3243A"/>
    <w:rsid w:val="00E35DD1"/>
    <w:rsid w:val="00E43E39"/>
    <w:rsid w:val="00E56374"/>
    <w:rsid w:val="00E5795A"/>
    <w:rsid w:val="00E62B8C"/>
    <w:rsid w:val="00E65DCC"/>
    <w:rsid w:val="00E67B10"/>
    <w:rsid w:val="00E72390"/>
    <w:rsid w:val="00E7722F"/>
    <w:rsid w:val="00E8579A"/>
    <w:rsid w:val="00E92336"/>
    <w:rsid w:val="00EA1140"/>
    <w:rsid w:val="00EB79F7"/>
    <w:rsid w:val="00EE245F"/>
    <w:rsid w:val="00EF7F62"/>
    <w:rsid w:val="00F04013"/>
    <w:rsid w:val="00F069DB"/>
    <w:rsid w:val="00F14A4A"/>
    <w:rsid w:val="00F25DC7"/>
    <w:rsid w:val="00F265EA"/>
    <w:rsid w:val="00F30C59"/>
    <w:rsid w:val="00F33485"/>
    <w:rsid w:val="00F37247"/>
    <w:rsid w:val="00F40CE3"/>
    <w:rsid w:val="00F52557"/>
    <w:rsid w:val="00F60B93"/>
    <w:rsid w:val="00F60D2B"/>
    <w:rsid w:val="00F625AC"/>
    <w:rsid w:val="00F63ECC"/>
    <w:rsid w:val="00F64546"/>
    <w:rsid w:val="00F661B1"/>
    <w:rsid w:val="00F72474"/>
    <w:rsid w:val="00F72F57"/>
    <w:rsid w:val="00F806D8"/>
    <w:rsid w:val="00F826B7"/>
    <w:rsid w:val="00F906CC"/>
    <w:rsid w:val="00F916A4"/>
    <w:rsid w:val="00FA16ED"/>
    <w:rsid w:val="00FB346E"/>
    <w:rsid w:val="00FB3AD6"/>
    <w:rsid w:val="00FB6795"/>
    <w:rsid w:val="00FC27A7"/>
    <w:rsid w:val="00FC39C3"/>
    <w:rsid w:val="00FC631C"/>
    <w:rsid w:val="00FD76A2"/>
    <w:rsid w:val="00FE3A4F"/>
    <w:rsid w:val="00FE41F9"/>
    <w:rsid w:val="00FE6EA5"/>
    <w:rsid w:val="00FF4AFE"/>
    <w:rsid w:val="00FF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1884A45"/>
  <w15:docId w15:val="{2859BE71-F3BA-4704-9039-0863823A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A7"/>
    <w:pPr>
      <w:spacing w:after="200" w:line="276" w:lineRule="auto"/>
    </w:pPr>
    <w:rPr>
      <w:sz w:val="22"/>
      <w:szCs w:val="22"/>
    </w:rPr>
  </w:style>
  <w:style w:type="paragraph" w:styleId="Heading1">
    <w:name w:val="heading 1"/>
    <w:basedOn w:val="P1-StandPara"/>
    <w:next w:val="Normal"/>
    <w:link w:val="Heading1Char"/>
    <w:uiPriority w:val="9"/>
    <w:qFormat/>
    <w:rsid w:val="00AF1188"/>
    <w:pPr>
      <w:tabs>
        <w:tab w:val="left" w:pos="720"/>
        <w:tab w:val="right" w:leader="dot" w:pos="9504"/>
      </w:tabs>
      <w:spacing w:line="276" w:lineRule="auto"/>
      <w:ind w:firstLine="0"/>
      <w:outlineLvl w:val="0"/>
    </w:pPr>
    <w:rPr>
      <w:rFonts w:asciiTheme="minorHAnsi" w:hAnsiTheme="minorHAnsi" w:cstheme="minorHAnsi"/>
      <w:b/>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paragraph" w:styleId="Heading3">
    <w:name w:val="heading 3"/>
    <w:basedOn w:val="Normal"/>
    <w:next w:val="Normal"/>
    <w:link w:val="Heading3Char"/>
    <w:uiPriority w:val="9"/>
    <w:semiHidden/>
    <w:unhideWhenUsed/>
    <w:qFormat/>
    <w:rsid w:val="004B56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6795"/>
    <w:pPr>
      <w:spacing w:before="100" w:beforeAutospacing="1" w:after="100" w:afterAutospacing="1" w:line="240" w:lineRule="auto"/>
    </w:pPr>
    <w:rPr>
      <w:rFonts w:ascii="Times New Roman" w:eastAsia="MS Mincho" w:hAnsi="Times New Roman"/>
      <w:sz w:val="24"/>
      <w:szCs w:val="24"/>
      <w:lang w:eastAsia="ja-JP"/>
    </w:rPr>
  </w:style>
  <w:style w:type="character" w:styleId="CommentReference">
    <w:name w:val="annotation reference"/>
    <w:basedOn w:val="DefaultParagraphFont"/>
    <w:uiPriority w:val="99"/>
    <w:semiHidden/>
    <w:unhideWhenUsed/>
    <w:rsid w:val="00F37247"/>
    <w:rPr>
      <w:sz w:val="18"/>
      <w:szCs w:val="18"/>
    </w:rPr>
  </w:style>
  <w:style w:type="paragraph" w:styleId="CommentText">
    <w:name w:val="annotation text"/>
    <w:basedOn w:val="Normal"/>
    <w:link w:val="CommentTextChar"/>
    <w:uiPriority w:val="99"/>
    <w:semiHidden/>
    <w:unhideWhenUsed/>
    <w:rsid w:val="00F37247"/>
    <w:pPr>
      <w:spacing w:line="240" w:lineRule="auto"/>
    </w:pPr>
    <w:rPr>
      <w:sz w:val="24"/>
      <w:szCs w:val="24"/>
    </w:rPr>
  </w:style>
  <w:style w:type="character" w:customStyle="1" w:styleId="CommentTextChar">
    <w:name w:val="Comment Text Char"/>
    <w:basedOn w:val="DefaultParagraphFont"/>
    <w:link w:val="CommentText"/>
    <w:uiPriority w:val="99"/>
    <w:semiHidden/>
    <w:rsid w:val="00F37247"/>
    <w:rPr>
      <w:sz w:val="24"/>
      <w:szCs w:val="24"/>
    </w:rPr>
  </w:style>
  <w:style w:type="paragraph" w:styleId="CommentSubject">
    <w:name w:val="annotation subject"/>
    <w:basedOn w:val="CommentText"/>
    <w:next w:val="CommentText"/>
    <w:link w:val="CommentSubjectChar"/>
    <w:uiPriority w:val="99"/>
    <w:semiHidden/>
    <w:unhideWhenUsed/>
    <w:rsid w:val="00F37247"/>
    <w:rPr>
      <w:b/>
      <w:bCs/>
      <w:sz w:val="20"/>
      <w:szCs w:val="20"/>
    </w:rPr>
  </w:style>
  <w:style w:type="character" w:customStyle="1" w:styleId="CommentSubjectChar">
    <w:name w:val="Comment Subject Char"/>
    <w:basedOn w:val="CommentTextChar"/>
    <w:link w:val="CommentSubject"/>
    <w:uiPriority w:val="99"/>
    <w:semiHidden/>
    <w:rsid w:val="00F37247"/>
    <w:rPr>
      <w:b/>
      <w:bCs/>
      <w:sz w:val="24"/>
      <w:szCs w:val="24"/>
    </w:rPr>
  </w:style>
  <w:style w:type="character" w:customStyle="1" w:styleId="Heading3Char">
    <w:name w:val="Heading 3 Char"/>
    <w:basedOn w:val="DefaultParagraphFont"/>
    <w:link w:val="Heading3"/>
    <w:uiPriority w:val="9"/>
    <w:semiHidden/>
    <w:rsid w:val="004B561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931C28"/>
    <w:rPr>
      <w:color w:val="800080" w:themeColor="followedHyperlink"/>
      <w:u w:val="single"/>
    </w:rPr>
  </w:style>
  <w:style w:type="character" w:customStyle="1" w:styleId="UnresolvedMention1">
    <w:name w:val="Unresolved Mention1"/>
    <w:basedOn w:val="DefaultParagraphFont"/>
    <w:uiPriority w:val="99"/>
    <w:rsid w:val="00F826B7"/>
    <w:rPr>
      <w:color w:val="605E5C"/>
      <w:shd w:val="clear" w:color="auto" w:fill="E1DFDD"/>
    </w:rPr>
  </w:style>
  <w:style w:type="paragraph" w:styleId="Header">
    <w:name w:val="header"/>
    <w:basedOn w:val="Normal"/>
    <w:link w:val="HeaderChar"/>
    <w:uiPriority w:val="99"/>
    <w:unhideWhenUsed/>
    <w:rsid w:val="00427E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7EA7"/>
    <w:rPr>
      <w:sz w:val="22"/>
      <w:szCs w:val="22"/>
    </w:rPr>
  </w:style>
  <w:style w:type="character" w:customStyle="1" w:styleId="Heading1Char">
    <w:name w:val="Heading 1 Char"/>
    <w:basedOn w:val="DefaultParagraphFont"/>
    <w:link w:val="Heading1"/>
    <w:uiPriority w:val="9"/>
    <w:rsid w:val="00AF1188"/>
    <w:rPr>
      <w:rFonts w:asciiTheme="minorHAnsi" w:eastAsia="Times New Roman" w:hAnsiTheme="minorHAnsi" w:cstheme="minorHAnsi"/>
      <w:b/>
      <w:sz w:val="22"/>
      <w:szCs w:val="22"/>
    </w:rPr>
  </w:style>
  <w:style w:type="paragraph" w:styleId="FootnoteText">
    <w:name w:val="footnote text"/>
    <w:basedOn w:val="Normal"/>
    <w:link w:val="FootnoteTextChar"/>
    <w:uiPriority w:val="99"/>
    <w:unhideWhenUsed/>
    <w:rsid w:val="00BD28CA"/>
    <w:pPr>
      <w:spacing w:after="0" w:line="240" w:lineRule="auto"/>
    </w:pPr>
    <w:rPr>
      <w:sz w:val="24"/>
      <w:szCs w:val="24"/>
    </w:rPr>
  </w:style>
  <w:style w:type="character" w:customStyle="1" w:styleId="FootnoteTextChar">
    <w:name w:val="Footnote Text Char"/>
    <w:basedOn w:val="DefaultParagraphFont"/>
    <w:link w:val="FootnoteText"/>
    <w:uiPriority w:val="99"/>
    <w:rsid w:val="00BD28CA"/>
    <w:rPr>
      <w:sz w:val="24"/>
      <w:szCs w:val="24"/>
    </w:rPr>
  </w:style>
  <w:style w:type="character" w:styleId="FootnoteReference">
    <w:name w:val="footnote reference"/>
    <w:basedOn w:val="DefaultParagraphFont"/>
    <w:uiPriority w:val="99"/>
    <w:unhideWhenUsed/>
    <w:rsid w:val="00BD28CA"/>
    <w:rPr>
      <w:vertAlign w:val="superscript"/>
    </w:rPr>
  </w:style>
  <w:style w:type="character" w:styleId="UnresolvedMention">
    <w:name w:val="Unresolved Mention"/>
    <w:basedOn w:val="DefaultParagraphFont"/>
    <w:uiPriority w:val="99"/>
    <w:semiHidden/>
    <w:unhideWhenUsed/>
    <w:rsid w:val="00AD2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386">
      <w:bodyDiv w:val="1"/>
      <w:marLeft w:val="0"/>
      <w:marRight w:val="0"/>
      <w:marTop w:val="0"/>
      <w:marBottom w:val="0"/>
      <w:divBdr>
        <w:top w:val="none" w:sz="0" w:space="0" w:color="auto"/>
        <w:left w:val="none" w:sz="0" w:space="0" w:color="auto"/>
        <w:bottom w:val="none" w:sz="0" w:space="0" w:color="auto"/>
        <w:right w:val="none" w:sz="0" w:space="0" w:color="auto"/>
      </w:divBdr>
    </w:div>
    <w:div w:id="33967836">
      <w:bodyDiv w:val="1"/>
      <w:marLeft w:val="0"/>
      <w:marRight w:val="0"/>
      <w:marTop w:val="0"/>
      <w:marBottom w:val="0"/>
      <w:divBdr>
        <w:top w:val="none" w:sz="0" w:space="0" w:color="auto"/>
        <w:left w:val="none" w:sz="0" w:space="0" w:color="auto"/>
        <w:bottom w:val="none" w:sz="0" w:space="0" w:color="auto"/>
        <w:right w:val="none" w:sz="0" w:space="0" w:color="auto"/>
      </w:divBdr>
    </w:div>
    <w:div w:id="206722487">
      <w:bodyDiv w:val="1"/>
      <w:marLeft w:val="0"/>
      <w:marRight w:val="0"/>
      <w:marTop w:val="0"/>
      <w:marBottom w:val="0"/>
      <w:divBdr>
        <w:top w:val="none" w:sz="0" w:space="0" w:color="auto"/>
        <w:left w:val="none" w:sz="0" w:space="0" w:color="auto"/>
        <w:bottom w:val="none" w:sz="0" w:space="0" w:color="auto"/>
        <w:right w:val="none" w:sz="0" w:space="0" w:color="auto"/>
      </w:divBdr>
    </w:div>
    <w:div w:id="713386511">
      <w:bodyDiv w:val="1"/>
      <w:marLeft w:val="0"/>
      <w:marRight w:val="0"/>
      <w:marTop w:val="0"/>
      <w:marBottom w:val="0"/>
      <w:divBdr>
        <w:top w:val="none" w:sz="0" w:space="0" w:color="auto"/>
        <w:left w:val="none" w:sz="0" w:space="0" w:color="auto"/>
        <w:bottom w:val="none" w:sz="0" w:space="0" w:color="auto"/>
        <w:right w:val="none" w:sz="0" w:space="0" w:color="auto"/>
      </w:divBdr>
    </w:div>
    <w:div w:id="751777456">
      <w:bodyDiv w:val="1"/>
      <w:marLeft w:val="0"/>
      <w:marRight w:val="0"/>
      <w:marTop w:val="0"/>
      <w:marBottom w:val="0"/>
      <w:divBdr>
        <w:top w:val="none" w:sz="0" w:space="0" w:color="auto"/>
        <w:left w:val="none" w:sz="0" w:space="0" w:color="auto"/>
        <w:bottom w:val="none" w:sz="0" w:space="0" w:color="auto"/>
        <w:right w:val="none" w:sz="0" w:space="0" w:color="auto"/>
      </w:divBdr>
    </w:div>
    <w:div w:id="893390751">
      <w:bodyDiv w:val="1"/>
      <w:marLeft w:val="0"/>
      <w:marRight w:val="0"/>
      <w:marTop w:val="0"/>
      <w:marBottom w:val="0"/>
      <w:divBdr>
        <w:top w:val="none" w:sz="0" w:space="0" w:color="auto"/>
        <w:left w:val="none" w:sz="0" w:space="0" w:color="auto"/>
        <w:bottom w:val="none" w:sz="0" w:space="0" w:color="auto"/>
        <w:right w:val="none" w:sz="0" w:space="0" w:color="auto"/>
      </w:divBdr>
    </w:div>
    <w:div w:id="1041587977">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307398538">
      <w:bodyDiv w:val="1"/>
      <w:marLeft w:val="0"/>
      <w:marRight w:val="0"/>
      <w:marTop w:val="0"/>
      <w:marBottom w:val="0"/>
      <w:divBdr>
        <w:top w:val="none" w:sz="0" w:space="0" w:color="auto"/>
        <w:left w:val="none" w:sz="0" w:space="0" w:color="auto"/>
        <w:bottom w:val="none" w:sz="0" w:space="0" w:color="auto"/>
        <w:right w:val="none" w:sz="0" w:space="0" w:color="auto"/>
      </w:divBdr>
    </w:div>
    <w:div w:id="1424300878">
      <w:bodyDiv w:val="1"/>
      <w:marLeft w:val="0"/>
      <w:marRight w:val="0"/>
      <w:marTop w:val="0"/>
      <w:marBottom w:val="0"/>
      <w:divBdr>
        <w:top w:val="none" w:sz="0" w:space="0" w:color="auto"/>
        <w:left w:val="none" w:sz="0" w:space="0" w:color="auto"/>
        <w:bottom w:val="none" w:sz="0" w:space="0" w:color="auto"/>
        <w:right w:val="none" w:sz="0" w:space="0" w:color="auto"/>
      </w:divBdr>
    </w:div>
    <w:div w:id="1433084972">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493257615">
      <w:bodyDiv w:val="1"/>
      <w:marLeft w:val="0"/>
      <w:marRight w:val="0"/>
      <w:marTop w:val="0"/>
      <w:marBottom w:val="0"/>
      <w:divBdr>
        <w:top w:val="none" w:sz="0" w:space="0" w:color="auto"/>
        <w:left w:val="none" w:sz="0" w:space="0" w:color="auto"/>
        <w:bottom w:val="none" w:sz="0" w:space="0" w:color="auto"/>
        <w:right w:val="none" w:sz="0" w:space="0" w:color="auto"/>
      </w:divBdr>
    </w:div>
    <w:div w:id="1642272506">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 w:id="1816530534">
      <w:bodyDiv w:val="1"/>
      <w:marLeft w:val="0"/>
      <w:marRight w:val="0"/>
      <w:marTop w:val="0"/>
      <w:marBottom w:val="0"/>
      <w:divBdr>
        <w:top w:val="none" w:sz="0" w:space="0" w:color="auto"/>
        <w:left w:val="none" w:sz="0" w:space="0" w:color="auto"/>
        <w:bottom w:val="none" w:sz="0" w:space="0" w:color="auto"/>
        <w:right w:val="none" w:sz="0" w:space="0" w:color="auto"/>
      </w:divBdr>
    </w:div>
    <w:div w:id="2089182486">
      <w:bodyDiv w:val="1"/>
      <w:marLeft w:val="0"/>
      <w:marRight w:val="0"/>
      <w:marTop w:val="0"/>
      <w:marBottom w:val="0"/>
      <w:divBdr>
        <w:top w:val="none" w:sz="0" w:space="0" w:color="auto"/>
        <w:left w:val="none" w:sz="0" w:space="0" w:color="auto"/>
        <w:bottom w:val="none" w:sz="0" w:space="0" w:color="auto"/>
        <w:right w:val="none" w:sz="0" w:space="0" w:color="auto"/>
      </w:divBdr>
    </w:div>
    <w:div w:id="2101098866">
      <w:bodyDiv w:val="1"/>
      <w:marLeft w:val="0"/>
      <w:marRight w:val="0"/>
      <w:marTop w:val="0"/>
      <w:marBottom w:val="0"/>
      <w:divBdr>
        <w:top w:val="none" w:sz="0" w:space="0" w:color="auto"/>
        <w:left w:val="none" w:sz="0" w:space="0" w:color="auto"/>
        <w:bottom w:val="none" w:sz="0" w:space="0" w:color="auto"/>
        <w:right w:val="none" w:sz="0" w:space="0" w:color="auto"/>
      </w:divBdr>
    </w:div>
    <w:div w:id="21184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son.gebreab@nih.gov" TargetMode="External"/><Relationship Id="rId13" Type="http://schemas.openxmlformats.org/officeDocument/2006/relationships/hyperlink" Target="https://pubmed.ncbi.nlm.nih.gov/1720154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ncbi.nlm.nih.gov/pmc/articles/PMC632641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22Tables/html/DCB.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34259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ls.gov/oes/2021/May/oes_nat.htm" TargetMode="External"/><Relationship Id="rId23" Type="http://schemas.openxmlformats.org/officeDocument/2006/relationships/fontTable" Target="fontTable.xml"/><Relationship Id="rId10" Type="http://schemas.openxmlformats.org/officeDocument/2006/relationships/hyperlink" Target="https://science.sciencemag.org/content/333/6045/1015.lo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ciencedirect.com/science/article/pii/S0022202X16325015?via%3Dihub" TargetMode="External"/><Relationship Id="rId14" Type="http://schemas.openxmlformats.org/officeDocument/2006/relationships/hyperlink" Target="https://grants.nih.gov/grants/guide/notice-files/NOT-OD-20-031.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14368</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2</cp:revision>
  <cp:lastPrinted>2018-06-20T17:51:00Z</cp:lastPrinted>
  <dcterms:created xsi:type="dcterms:W3CDTF">2022-07-19T17:39:00Z</dcterms:created>
  <dcterms:modified xsi:type="dcterms:W3CDTF">2022-07-19T17:39:00Z</dcterms:modified>
</cp:coreProperties>
</file>