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6F01" w:rsidR="00193582" w:rsidP="00636F01" w:rsidRDefault="008F1EB4" w14:paraId="74CFA7CF" w14:textId="77777777">
      <w:pPr>
        <w:jc w:val="center"/>
        <w:rPr>
          <w:sz w:val="24"/>
        </w:rPr>
      </w:pPr>
      <w:r w:rsidRPr="00636F01">
        <w:rPr>
          <w:sz w:val="24"/>
        </w:rPr>
        <w:t xml:space="preserve">Supporting Statement </w:t>
      </w:r>
      <w:r w:rsidR="00906C15">
        <w:rPr>
          <w:sz w:val="24"/>
        </w:rPr>
        <w:t>Part A</w:t>
      </w:r>
    </w:p>
    <w:p w:rsidRPr="00636F01" w:rsidR="00193582" w:rsidP="00636F01" w:rsidRDefault="008F1EB4" w14:paraId="5D659A4C" w14:textId="77777777">
      <w:pPr>
        <w:jc w:val="center"/>
        <w:rPr>
          <w:sz w:val="24"/>
        </w:rPr>
      </w:pPr>
      <w:r w:rsidRPr="00636F01">
        <w:rPr>
          <w:sz w:val="24"/>
        </w:rPr>
        <w:t>Submissions</w:t>
      </w:r>
      <w:r w:rsidRPr="00636F01" w:rsidR="00193582">
        <w:rPr>
          <w:sz w:val="24"/>
        </w:rPr>
        <w:t xml:space="preserve"> of 1135 Waiver Request Automated Process </w:t>
      </w:r>
      <w:r w:rsidR="00906C15">
        <w:rPr>
          <w:sz w:val="24"/>
        </w:rPr>
        <w:t>(</w:t>
      </w:r>
      <w:r w:rsidRPr="00636F01" w:rsidR="00193582">
        <w:rPr>
          <w:sz w:val="24"/>
        </w:rPr>
        <w:t>CMS-10752</w:t>
      </w:r>
      <w:r w:rsidR="00906C15">
        <w:rPr>
          <w:sz w:val="24"/>
        </w:rPr>
        <w:t>)</w:t>
      </w:r>
    </w:p>
    <w:p w:rsidR="008F1EB4" w:rsidRDefault="008F1EB4" w14:paraId="1DDD3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A9D13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14:paraId="06EEB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3AAF" w:rsidP="00630B10" w:rsidRDefault="00643AAF" w14:paraId="0F5A95F0" w14:textId="77777777">
      <w:pPr>
        <w:rPr>
          <w:sz w:val="24"/>
        </w:rPr>
      </w:pPr>
      <w:r>
        <w:rPr>
          <w:sz w:val="24"/>
        </w:rPr>
        <w:t xml:space="preserve">This is a revision </w:t>
      </w:r>
      <w:r w:rsidR="00CC6830">
        <w:rPr>
          <w:sz w:val="24"/>
        </w:rPr>
        <w:t xml:space="preserve">of </w:t>
      </w:r>
      <w:r>
        <w:rPr>
          <w:sz w:val="24"/>
        </w:rPr>
        <w:t xml:space="preserve">an Emergency </w:t>
      </w:r>
      <w:r w:rsidR="00042AFB">
        <w:rPr>
          <w:sz w:val="24"/>
        </w:rPr>
        <w:t xml:space="preserve">information collection </w:t>
      </w:r>
      <w:r>
        <w:rPr>
          <w:sz w:val="24"/>
        </w:rPr>
        <w:t>request</w:t>
      </w:r>
      <w:r w:rsidR="00023E38">
        <w:rPr>
          <w:sz w:val="24"/>
        </w:rPr>
        <w:t xml:space="preserve"> </w:t>
      </w:r>
      <w:r w:rsidRPr="00920A50" w:rsidR="00023E38">
        <w:rPr>
          <w:sz w:val="24"/>
        </w:rPr>
        <w:t>approved under OMB control number of 0938-1384</w:t>
      </w:r>
      <w:r w:rsidRPr="00920A50" w:rsidR="00384AE0">
        <w:rPr>
          <w:sz w:val="24"/>
        </w:rPr>
        <w:t xml:space="preserve"> on October 15, 2020</w:t>
      </w:r>
      <w:r w:rsidRPr="00920A50">
        <w:rPr>
          <w:sz w:val="24"/>
        </w:rPr>
        <w:t>.</w:t>
      </w:r>
      <w:r w:rsidR="00030CCD">
        <w:rPr>
          <w:sz w:val="24"/>
        </w:rPr>
        <w:t xml:space="preserve">  </w:t>
      </w:r>
    </w:p>
    <w:p w:rsidR="00643AAF" w:rsidP="00630B10" w:rsidRDefault="00643AAF" w14:paraId="2136CEF6" w14:textId="77777777">
      <w:pPr>
        <w:rPr>
          <w:sz w:val="24"/>
        </w:rPr>
      </w:pPr>
    </w:p>
    <w:p w:rsidR="00630B10" w:rsidP="00630B10" w:rsidRDefault="00630B10" w14:paraId="4EAE84BD" w14:textId="77777777">
      <w:pPr>
        <w:rPr>
          <w:sz w:val="24"/>
        </w:rPr>
      </w:pPr>
      <w:r w:rsidRPr="00BB0BDD">
        <w:rPr>
          <w:sz w:val="24"/>
        </w:rPr>
        <w:t xml:space="preserve">Waivers under Section 1135 of the Social Security Act (the Act) and certain flexibilities allow the CMS to relax certain requirements, known as the Conditions of Participation (CoPs) or Conditions of Coverage to promote the health and safety of </w:t>
      </w:r>
      <w:r>
        <w:rPr>
          <w:sz w:val="24"/>
        </w:rPr>
        <w:t>beneficiaries.</w:t>
      </w:r>
      <w:r w:rsidRPr="00BB0BDD">
        <w:rPr>
          <w:sz w:val="24"/>
        </w:rPr>
        <w:t xml:space="preserve"> Under Section 1135 of the Act, the Secretary may temporarily waive or modify certain Medicare, Medicaid, and </w:t>
      </w:r>
      <w:r w:rsidRPr="002966A3" w:rsidR="00062C0E">
        <w:rPr>
          <w:sz w:val="24"/>
        </w:rPr>
        <w:t>Children’s Health Insurance Program (</w:t>
      </w:r>
      <w:r w:rsidRPr="002966A3">
        <w:rPr>
          <w:sz w:val="24"/>
        </w:rPr>
        <w:t>CHIP</w:t>
      </w:r>
      <w:r w:rsidRPr="002966A3" w:rsidR="00062C0E">
        <w:rPr>
          <w:sz w:val="24"/>
        </w:rPr>
        <w:t>)</w:t>
      </w:r>
      <w:r w:rsidRPr="00BB0BDD">
        <w:rPr>
          <w:sz w:val="24"/>
        </w:rPr>
        <w:t xml:space="preserve"> requirements to ensure that sufficient health care services are available to meet the needs of individuals enrolled in Social Security Act programs in the emergency area and time periods</w:t>
      </w:r>
      <w:r>
        <w:rPr>
          <w:sz w:val="24"/>
        </w:rPr>
        <w:t>.</w:t>
      </w:r>
      <w:r w:rsidRPr="00BB0BDD">
        <w:rPr>
          <w:sz w:val="24"/>
        </w:rPr>
        <w:t xml:space="preserve"> </w:t>
      </w:r>
      <w:r>
        <w:rPr>
          <w:sz w:val="24"/>
        </w:rPr>
        <w:t>These waivers ensure that providers</w:t>
      </w:r>
      <w:r w:rsidRPr="00BB0BDD">
        <w:rPr>
          <w:sz w:val="24"/>
        </w:rPr>
        <w:t xml:space="preserve"> who provide such services in good faith can be reimbursed and exempted from sanctions. </w:t>
      </w:r>
    </w:p>
    <w:p w:rsidR="00BF43C2" w:rsidP="00630B10" w:rsidRDefault="00BF43C2" w14:paraId="18272A8B" w14:textId="77777777">
      <w:pPr>
        <w:rPr>
          <w:sz w:val="24"/>
        </w:rPr>
      </w:pPr>
    </w:p>
    <w:p w:rsidRPr="00BB0BDD" w:rsidR="00600D16" w:rsidP="008C250E" w:rsidRDefault="00156D90" w14:paraId="3197CE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During emergencies, such as the current COVID-19 </w:t>
      </w:r>
      <w:r w:rsidRPr="00BB0BDD" w:rsidR="00193582">
        <w:rPr>
          <w:sz w:val="24"/>
        </w:rPr>
        <w:t>public health emergency (PHE)</w:t>
      </w:r>
      <w:r w:rsidRPr="00BB0BDD">
        <w:rPr>
          <w:sz w:val="24"/>
        </w:rPr>
        <w:t xml:space="preserve">, CMS must be able to apply program waivers and flexibilities under section 1135 of the Social Security Act, in a timely manner to respond quickly to unfolding events. </w:t>
      </w:r>
      <w:r w:rsidR="00E71A88">
        <w:rPr>
          <w:sz w:val="24"/>
        </w:rPr>
        <w:t>In</w:t>
      </w:r>
      <w:r w:rsidRPr="00BB0BDD">
        <w:rPr>
          <w:sz w:val="24"/>
        </w:rPr>
        <w:t xml:space="preserve"> a disaster or emergency, waivers and flexibilities assist health care providers/suppliers </w:t>
      </w:r>
      <w:r w:rsidR="00E71A88">
        <w:rPr>
          <w:sz w:val="24"/>
        </w:rPr>
        <w:t>in providing</w:t>
      </w:r>
      <w:r w:rsidRPr="00BB0BDD">
        <w:rPr>
          <w:sz w:val="24"/>
        </w:rPr>
        <w:t xml:space="preserve"> timely healthcare and services to people who have been affected and enable</w:t>
      </w:r>
      <w:r w:rsidR="00E71A88">
        <w:rPr>
          <w:sz w:val="24"/>
        </w:rPr>
        <w:t>s</w:t>
      </w:r>
      <w:r w:rsidRPr="00BB0BDD">
        <w:rPr>
          <w:sz w:val="24"/>
        </w:rPr>
        <w:t xml:space="preserve"> states, Federal districts, and U.S. territories to ensure Medicare and/or Medicaid beneficiaries have continued access to care. During disasters and emergencies, it is not uncommon to</w:t>
      </w:r>
      <w:r w:rsidRPr="00BB0BDD" w:rsidR="00193582">
        <w:rPr>
          <w:sz w:val="24"/>
        </w:rPr>
        <w:t xml:space="preserve"> </w:t>
      </w:r>
      <w:r w:rsidRPr="00BB0BDD">
        <w:rPr>
          <w:sz w:val="24"/>
        </w:rPr>
        <w:t xml:space="preserve">evacuate </w:t>
      </w:r>
      <w:r w:rsidRPr="00BB0BDD" w:rsidR="00193582">
        <w:rPr>
          <w:sz w:val="24"/>
        </w:rPr>
        <w:t xml:space="preserve">Medicare-participating </w:t>
      </w:r>
      <w:r w:rsidRPr="00BB0BDD">
        <w:rPr>
          <w:sz w:val="24"/>
        </w:rPr>
        <w:t>facilities and relocate patients</w:t>
      </w:r>
      <w:r w:rsidRPr="00BB0BDD" w:rsidR="00193582">
        <w:rPr>
          <w:sz w:val="24"/>
        </w:rPr>
        <w:t>/residents</w:t>
      </w:r>
      <w:r w:rsidRPr="00BB0BDD">
        <w:rPr>
          <w:sz w:val="24"/>
        </w:rPr>
        <w:t xml:space="preserve"> to other provider settings or across state lines, especially, during hurricane and tornado events. </w:t>
      </w:r>
      <w:r w:rsidRPr="00BB0BDD" w:rsidR="00630B10">
        <w:rPr>
          <w:sz w:val="24"/>
        </w:rPr>
        <w:t>CMS must collect relevant information for which a provider is requesting a waiver or flexibility to make proper decisions about approving or denying such requests. Collection of this data aids in the prevention of gaps in access to care and services before, during, and after an emergency.</w:t>
      </w:r>
      <w:r w:rsidR="00B44FD9">
        <w:rPr>
          <w:sz w:val="24"/>
        </w:rPr>
        <w:t xml:space="preserve"> CMS must also respond to inquiries related to a PHE from providers and beneficiaries. CMS is not collecting information from these inquiries; we are merely responding to them.</w:t>
      </w:r>
    </w:p>
    <w:p w:rsidR="007B71BC" w:rsidP="002966A3" w:rsidRDefault="007B71BC" w14:paraId="27E6FE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7B71BC" w:rsidP="00C23572" w:rsidRDefault="007B71BC" w14:paraId="63C6D9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Prior to this request, CMS did not have a standard process or </w:t>
      </w:r>
      <w:r w:rsidR="00BE3801">
        <w:rPr>
          <w:sz w:val="24"/>
        </w:rPr>
        <w:t>OMB approval</w:t>
      </w:r>
      <w:r w:rsidRPr="00BB0BDD">
        <w:rPr>
          <w:sz w:val="24"/>
        </w:rPr>
        <w:t xml:space="preserve"> for providers/suppliers impacted to </w:t>
      </w:r>
      <w:r w:rsidR="00BF43C2">
        <w:rPr>
          <w:sz w:val="24"/>
        </w:rPr>
        <w:t xml:space="preserve">submit </w:t>
      </w:r>
      <w:r w:rsidRPr="00BB0BDD">
        <w:rPr>
          <w:sz w:val="24"/>
        </w:rPr>
        <w:t>1135 waiver</w:t>
      </w:r>
      <w:r w:rsidRPr="002966A3" w:rsidR="00BF43C2">
        <w:rPr>
          <w:sz w:val="24"/>
        </w:rPr>
        <w:t>/</w:t>
      </w:r>
      <w:r w:rsidRPr="002966A3">
        <w:rPr>
          <w:sz w:val="24"/>
        </w:rPr>
        <w:t>flexibilit</w:t>
      </w:r>
      <w:r w:rsidRPr="002966A3" w:rsidR="00BF43C2">
        <w:rPr>
          <w:sz w:val="24"/>
        </w:rPr>
        <w:t>y</w:t>
      </w:r>
      <w:r w:rsidRPr="002966A3" w:rsidR="001C3552">
        <w:rPr>
          <w:sz w:val="24"/>
        </w:rPr>
        <w:t xml:space="preserve"> </w:t>
      </w:r>
      <w:r w:rsidRPr="002966A3" w:rsidR="00BF43C2">
        <w:rPr>
          <w:sz w:val="24"/>
        </w:rPr>
        <w:t xml:space="preserve">requests </w:t>
      </w:r>
      <w:r w:rsidRPr="002966A3" w:rsidR="001C3552">
        <w:rPr>
          <w:sz w:val="24"/>
        </w:rPr>
        <w:t>or</w:t>
      </w:r>
      <w:r w:rsidR="001C3552">
        <w:rPr>
          <w:sz w:val="24"/>
        </w:rPr>
        <w:t xml:space="preserve"> inquiries</w:t>
      </w:r>
      <w:r w:rsidRPr="00BB0BDD">
        <w:rPr>
          <w:sz w:val="24"/>
        </w:rPr>
        <w:t xml:space="preserve">, as these were generally seen on a smaller scale (natural disasters) prior to the COVID-19 public health emergency. CMS has provided general guidance to Medicare-participating facilities which can be viewed at </w:t>
      </w:r>
      <w:hyperlink w:history="1" r:id="rId8">
        <w:r w:rsidRPr="001B0E3D" w:rsidR="00FD1BCE">
          <w:rPr>
            <w:rStyle w:val="Hyperlink"/>
            <w:sz w:val="24"/>
          </w:rPr>
          <w:t>https://www.cms.gov/Medicare/Provider-Enrollment-and-Certification/SurveyCertEmergPrep/1135-Waivers</w:t>
        </w:r>
      </w:hyperlink>
      <w:r w:rsidR="00FD1BCE">
        <w:rPr>
          <w:sz w:val="24"/>
        </w:rPr>
        <w:t xml:space="preserve"> </w:t>
      </w:r>
      <w:r w:rsidRPr="00A97AF4">
        <w:rPr>
          <w:sz w:val="24"/>
        </w:rPr>
        <w:t xml:space="preserve">. The requests </w:t>
      </w:r>
      <w:r w:rsidR="001C3552">
        <w:rPr>
          <w:sz w:val="24"/>
        </w:rPr>
        <w:t xml:space="preserve">and inquiries </w:t>
      </w:r>
      <w:r w:rsidRPr="00A97AF4">
        <w:rPr>
          <w:sz w:val="24"/>
        </w:rPr>
        <w:t>would be sent directly</w:t>
      </w:r>
      <w:r w:rsidR="00250694">
        <w:rPr>
          <w:sz w:val="24"/>
        </w:rPr>
        <w:t xml:space="preserve">, </w:t>
      </w:r>
      <w:r w:rsidRPr="002966A3" w:rsidR="00250694">
        <w:rPr>
          <w:sz w:val="24"/>
        </w:rPr>
        <w:t>via e-mail,</w:t>
      </w:r>
      <w:r w:rsidRPr="00A97AF4">
        <w:rPr>
          <w:sz w:val="24"/>
        </w:rPr>
        <w:t xml:space="preserve"> </w:t>
      </w:r>
      <w:r w:rsidRPr="00C23572">
        <w:rPr>
          <w:sz w:val="24"/>
        </w:rPr>
        <w:t xml:space="preserve">to the </w:t>
      </w:r>
      <w:r w:rsidRPr="002966A3" w:rsidR="00BF43C2">
        <w:rPr>
          <w:sz w:val="24"/>
        </w:rPr>
        <w:t>Survey Operations Group in each</w:t>
      </w:r>
      <w:r w:rsidR="00BF43C2">
        <w:rPr>
          <w:sz w:val="24"/>
        </w:rPr>
        <w:t xml:space="preserve"> </w:t>
      </w:r>
      <w:r w:rsidRPr="00C23572">
        <w:rPr>
          <w:sz w:val="24"/>
        </w:rPr>
        <w:t xml:space="preserve">CMS </w:t>
      </w:r>
      <w:r w:rsidRPr="002966A3" w:rsidR="00BF43C2">
        <w:rPr>
          <w:sz w:val="24"/>
        </w:rPr>
        <w:t>Location</w:t>
      </w:r>
      <w:r w:rsidR="00BF43C2">
        <w:rPr>
          <w:sz w:val="24"/>
        </w:rPr>
        <w:t xml:space="preserve"> </w:t>
      </w:r>
      <w:r w:rsidRPr="00C23572">
        <w:rPr>
          <w:sz w:val="24"/>
        </w:rPr>
        <w:t xml:space="preserve">(previously known as CMS Regional Offices) and the </w:t>
      </w:r>
      <w:r w:rsidRPr="002966A3" w:rsidR="00250694">
        <w:rPr>
          <w:sz w:val="24"/>
        </w:rPr>
        <w:t>entity</w:t>
      </w:r>
      <w:r w:rsidRPr="00C23572" w:rsidR="00250694">
        <w:rPr>
          <w:sz w:val="24"/>
        </w:rPr>
        <w:t xml:space="preserve"> </w:t>
      </w:r>
      <w:r w:rsidRPr="00C23572">
        <w:rPr>
          <w:sz w:val="24"/>
        </w:rPr>
        <w:t xml:space="preserve">would </w:t>
      </w:r>
      <w:r w:rsidRPr="002966A3" w:rsidR="00250694">
        <w:rPr>
          <w:sz w:val="24"/>
        </w:rPr>
        <w:t>provide a brief summary</w:t>
      </w:r>
      <w:r w:rsidR="00250694">
        <w:rPr>
          <w:sz w:val="24"/>
        </w:rPr>
        <w:t xml:space="preserve"> </w:t>
      </w:r>
      <w:r w:rsidRPr="00250694" w:rsidR="008158F5">
        <w:rPr>
          <w:sz w:val="24"/>
        </w:rPr>
        <w:t xml:space="preserve">to </w:t>
      </w:r>
      <w:r w:rsidRPr="00250694">
        <w:rPr>
          <w:sz w:val="24"/>
        </w:rPr>
        <w:t>CMS for a waiver</w:t>
      </w:r>
      <w:r w:rsidRPr="002966A3" w:rsidR="00250694">
        <w:rPr>
          <w:sz w:val="24"/>
        </w:rPr>
        <w:t>/flexibility request</w:t>
      </w:r>
      <w:r w:rsidRPr="00250694" w:rsidR="001C3552">
        <w:rPr>
          <w:sz w:val="24"/>
        </w:rPr>
        <w:t xml:space="preserve"> </w:t>
      </w:r>
      <w:r w:rsidRPr="00250694" w:rsidR="00B44FD9">
        <w:rPr>
          <w:sz w:val="24"/>
        </w:rPr>
        <w:t>or an answer to an inquiry.</w:t>
      </w:r>
      <w:r w:rsidRPr="00C23572">
        <w:rPr>
          <w:sz w:val="24"/>
        </w:rPr>
        <w:t xml:space="preserve"> </w:t>
      </w:r>
    </w:p>
    <w:p w:rsidRPr="00BB0BDD" w:rsidR="00600D16" w:rsidP="007B71BC" w:rsidRDefault="00600D16" w14:paraId="5E8A12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B71BC" w:rsidR="007B71BC" w:rsidP="00C23572" w:rsidRDefault="008158F5" w14:paraId="71FA1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BB0BDD" w:rsidR="007B71BC">
        <w:rPr>
          <w:sz w:val="24"/>
        </w:rPr>
        <w:t>he collection of the information surrounding 1135 Waiver requests</w:t>
      </w:r>
      <w:r w:rsidRPr="002966A3" w:rsidR="00671600">
        <w:rPr>
          <w:sz w:val="24"/>
        </w:rPr>
        <w:t>/inquiries</w:t>
      </w:r>
      <w:r w:rsidRPr="00BB0BDD" w:rsidR="007B71BC">
        <w:rPr>
          <w:sz w:val="24"/>
        </w:rPr>
        <w:t xml:space="preserve"> </w:t>
      </w:r>
      <w:r w:rsidR="008C250E">
        <w:rPr>
          <w:sz w:val="24"/>
        </w:rPr>
        <w:t>is</w:t>
      </w:r>
      <w:r w:rsidRPr="00BB0BDD" w:rsidR="008C250E">
        <w:rPr>
          <w:sz w:val="24"/>
        </w:rPr>
        <w:t xml:space="preserve"> </w:t>
      </w:r>
      <w:r w:rsidRPr="00BB0BDD" w:rsidR="007B71BC">
        <w:rPr>
          <w:sz w:val="24"/>
        </w:rPr>
        <w:t xml:space="preserve">based on a case-by-case basis and not regularly scheduled (e.g. quarterly, annually, by all providers/suppliers). The collection of information only occurs when </w:t>
      </w:r>
      <w:r w:rsidRPr="002966A3" w:rsidR="00610ABF">
        <w:rPr>
          <w:sz w:val="24"/>
        </w:rPr>
        <w:t>the healthcare entity</w:t>
      </w:r>
      <w:r w:rsidRPr="00BB0BDD" w:rsidR="007B71BC">
        <w:rPr>
          <w:sz w:val="24"/>
        </w:rPr>
        <w:t xml:space="preserve">, impacted by an emergency, </w:t>
      </w:r>
      <w:r w:rsidR="002966A3">
        <w:rPr>
          <w:sz w:val="24"/>
        </w:rPr>
        <w:t>is</w:t>
      </w:r>
      <w:r w:rsidRPr="00BB0BDD" w:rsidR="002966A3">
        <w:rPr>
          <w:sz w:val="24"/>
        </w:rPr>
        <w:t xml:space="preserve"> </w:t>
      </w:r>
      <w:r w:rsidRPr="00A97AF4" w:rsidR="007B71BC">
        <w:rPr>
          <w:sz w:val="24"/>
        </w:rPr>
        <w:t xml:space="preserve">requesting </w:t>
      </w:r>
      <w:r w:rsidR="00610ABF">
        <w:rPr>
          <w:sz w:val="24"/>
        </w:rPr>
        <w:t>or inquiring about waivers/</w:t>
      </w:r>
      <w:r w:rsidRPr="00A97AF4" w:rsidR="007B71BC">
        <w:rPr>
          <w:sz w:val="24"/>
        </w:rPr>
        <w:t xml:space="preserve">flexibilities under Section 1135 of the Act. The collection of information is also dependent on provider </w:t>
      </w:r>
      <w:r w:rsidRPr="00A97AF4" w:rsidR="00FD1BCE">
        <w:rPr>
          <w:sz w:val="24"/>
        </w:rPr>
        <w:t>types;</w:t>
      </w:r>
      <w:r w:rsidRPr="00A97AF4" w:rsidR="007B71BC">
        <w:rPr>
          <w:sz w:val="24"/>
        </w:rPr>
        <w:t xml:space="preserve"> </w:t>
      </w:r>
      <w:r w:rsidRPr="00A97AF4" w:rsidR="00895DFE">
        <w:rPr>
          <w:sz w:val="24"/>
        </w:rPr>
        <w:t>therefore,</w:t>
      </w:r>
      <w:r w:rsidRPr="00A97AF4" w:rsidR="007B71BC">
        <w:rPr>
          <w:sz w:val="24"/>
        </w:rPr>
        <w:t xml:space="preserve"> it is not a</w:t>
      </w:r>
      <w:r w:rsidRPr="007B71BC" w:rsidR="007B71BC">
        <w:rPr>
          <w:sz w:val="24"/>
        </w:rPr>
        <w:t xml:space="preserve"> collection for all Medicare-</w:t>
      </w:r>
      <w:r w:rsidRPr="007B71BC" w:rsidR="007B71BC">
        <w:rPr>
          <w:sz w:val="24"/>
        </w:rPr>
        <w:lastRenderedPageBreak/>
        <w:t>participating facilities.</w:t>
      </w:r>
    </w:p>
    <w:p w:rsidRPr="007B71BC" w:rsidR="007B71BC" w:rsidP="007B71BC" w:rsidRDefault="007B71BC" w14:paraId="2169C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P="00C23572" w:rsidRDefault="007B71BC" w14:paraId="7261DB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71BC">
        <w:rPr>
          <w:sz w:val="24"/>
        </w:rPr>
        <w:t xml:space="preserve">We are now developing a </w:t>
      </w:r>
      <w:r w:rsidR="00895DFE">
        <w:rPr>
          <w:sz w:val="24"/>
        </w:rPr>
        <w:t>streamlined, automated</w:t>
      </w:r>
      <w:r w:rsidRPr="007B71BC" w:rsidR="00895DFE">
        <w:rPr>
          <w:sz w:val="24"/>
        </w:rPr>
        <w:t xml:space="preserve"> </w:t>
      </w:r>
      <w:r w:rsidRPr="007B71BC">
        <w:rPr>
          <w:sz w:val="24"/>
        </w:rPr>
        <w:t>process to standardize the 1135 waiver requests</w:t>
      </w:r>
      <w:r w:rsidR="001C3552">
        <w:rPr>
          <w:sz w:val="24"/>
        </w:rPr>
        <w:t xml:space="preserve"> and inquiries</w:t>
      </w:r>
      <w:r w:rsidRPr="007B71BC">
        <w:rPr>
          <w:sz w:val="24"/>
        </w:rPr>
        <w:t xml:space="preserve"> submitted based on lessons learned during COVID-19 PHE, primarily based on the volume of requests to ensure timely response to facility needs. </w:t>
      </w:r>
    </w:p>
    <w:p w:rsidR="001B2405" w:rsidP="00C23572" w:rsidRDefault="001B2405" w14:paraId="2F355D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22FB" w:rsidP="00C23572" w:rsidRDefault="006A1C9C" w14:paraId="2D58A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031F">
        <w:rPr>
          <w:sz w:val="24"/>
        </w:rPr>
        <w:t xml:space="preserve">Furthermore, </w:t>
      </w:r>
      <w:r w:rsidRPr="0047031F" w:rsidR="00DB4CF3">
        <w:rPr>
          <w:sz w:val="24"/>
        </w:rPr>
        <w:t>the</w:t>
      </w:r>
      <w:r w:rsidR="00DB4CF3">
        <w:rPr>
          <w:sz w:val="24"/>
        </w:rPr>
        <w:t xml:space="preserve"> normal operations of a healthcare provider are disrupted by emergencies or disasters</w:t>
      </w:r>
      <w:r>
        <w:rPr>
          <w:sz w:val="24"/>
        </w:rPr>
        <w:t xml:space="preserve"> </w:t>
      </w:r>
      <w:r w:rsidRPr="0047031F">
        <w:rPr>
          <w:sz w:val="24"/>
        </w:rPr>
        <w:t>occasionally</w:t>
      </w:r>
      <w:r w:rsidRPr="0047031F" w:rsidR="00DB4CF3">
        <w:rPr>
          <w:sz w:val="24"/>
        </w:rPr>
        <w:t>.</w:t>
      </w:r>
      <w:r w:rsidR="00DB4CF3">
        <w:rPr>
          <w:sz w:val="24"/>
        </w:rPr>
        <w:t xml:space="preserve"> When this occurs, State Survey Agencies </w:t>
      </w:r>
      <w:r w:rsidR="007677FE">
        <w:rPr>
          <w:sz w:val="24"/>
        </w:rPr>
        <w:t xml:space="preserve">(SA) </w:t>
      </w:r>
      <w:r w:rsidR="00DB4CF3">
        <w:rPr>
          <w:sz w:val="24"/>
        </w:rPr>
        <w:t xml:space="preserve">deliver </w:t>
      </w:r>
      <w:r w:rsidRPr="00DB4CF3" w:rsidR="00DB4CF3">
        <w:rPr>
          <w:sz w:val="24"/>
        </w:rPr>
        <w:t>a</w:t>
      </w:r>
      <w:r w:rsidR="00DB4CF3">
        <w:rPr>
          <w:sz w:val="24"/>
        </w:rPr>
        <w:t xml:space="preserve"> </w:t>
      </w:r>
      <w:r w:rsidRPr="00DB4CF3" w:rsidR="00DB4CF3">
        <w:rPr>
          <w:sz w:val="24"/>
        </w:rPr>
        <w:t>provider</w:t>
      </w:r>
      <w:r w:rsidR="00C73096">
        <w:rPr>
          <w:sz w:val="24"/>
        </w:rPr>
        <w:t>/beneficiary</w:t>
      </w:r>
      <w:r w:rsidRPr="00DB4CF3" w:rsidR="00DB4CF3">
        <w:rPr>
          <w:sz w:val="24"/>
        </w:rPr>
        <w:t xml:space="preserve"> tracking report regarding the current status of all </w:t>
      </w:r>
      <w:r w:rsidR="007677FE">
        <w:rPr>
          <w:sz w:val="24"/>
        </w:rPr>
        <w:t xml:space="preserve">affected </w:t>
      </w:r>
      <w:r w:rsidRPr="00DB4CF3" w:rsidR="00DB4CF3">
        <w:rPr>
          <w:sz w:val="24"/>
        </w:rPr>
        <w:t xml:space="preserve">healthcare providers </w:t>
      </w:r>
      <w:r w:rsidR="007677FE">
        <w:rPr>
          <w:sz w:val="24"/>
        </w:rPr>
        <w:t>and their beneficiaries</w:t>
      </w:r>
      <w:r w:rsidRPr="00DB4CF3" w:rsidR="00DB4CF3">
        <w:rPr>
          <w:sz w:val="24"/>
        </w:rPr>
        <w:t>.</w:t>
      </w:r>
      <w:r w:rsidR="00DB4CF3">
        <w:rPr>
          <w:sz w:val="24"/>
        </w:rPr>
        <w:t xml:space="preserve"> This report includes demographic information about the provider, their operational status, </w:t>
      </w:r>
      <w:r w:rsidR="007677FE">
        <w:rPr>
          <w:sz w:val="24"/>
        </w:rPr>
        <w:t xml:space="preserve">beneficiary status, </w:t>
      </w:r>
      <w:r w:rsidR="00DB4CF3">
        <w:rPr>
          <w:sz w:val="24"/>
        </w:rPr>
        <w:t>and planned resumption of normal operations.</w:t>
      </w:r>
      <w:r w:rsidRPr="006E0DBC" w:rsidR="006E0DBC">
        <w:t xml:space="preserve"> </w:t>
      </w:r>
      <w:r w:rsidRPr="006E0DBC" w:rsidR="006E0DBC">
        <w:rPr>
          <w:sz w:val="24"/>
        </w:rPr>
        <w:t>This information is provided whether or not a PHE has been declared.</w:t>
      </w:r>
    </w:p>
    <w:p w:rsidR="00643AAF" w:rsidP="00C23572" w:rsidRDefault="00643AAF" w14:paraId="3CBBC6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4CF3" w:rsidP="00C23572" w:rsidRDefault="00DB4CF3" w14:paraId="0AABC1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are now developing a streamlined, automated process to standardize submission of this information directly by the provider </w:t>
      </w:r>
      <w:r w:rsidR="007677FE">
        <w:rPr>
          <w:sz w:val="24"/>
        </w:rPr>
        <w:t xml:space="preserve">during emergencies </w:t>
      </w:r>
      <w:r>
        <w:rPr>
          <w:sz w:val="24"/>
        </w:rPr>
        <w:t xml:space="preserve">and eliminating the need for </w:t>
      </w:r>
      <w:r w:rsidR="00F10AD0">
        <w:rPr>
          <w:sz w:val="24"/>
        </w:rPr>
        <w:t>SA</w:t>
      </w:r>
      <w:r>
        <w:rPr>
          <w:sz w:val="24"/>
        </w:rPr>
        <w:t xml:space="preserve"> to provide it.</w:t>
      </w:r>
      <w:r w:rsidR="00916998">
        <w:rPr>
          <w:sz w:val="24"/>
        </w:rPr>
        <w:t xml:space="preserve"> It will consist of a public facing web form</w:t>
      </w:r>
      <w:r w:rsidR="00023E38">
        <w:rPr>
          <w:sz w:val="24"/>
        </w:rPr>
        <w:t xml:space="preserve">, </w:t>
      </w:r>
      <w:r w:rsidRPr="00920A50" w:rsidR="00023E38">
        <w:rPr>
          <w:sz w:val="24"/>
        </w:rPr>
        <w:t>Healthcare Facility Status Workflow</w:t>
      </w:r>
      <w:r w:rsidR="00916998">
        <w:rPr>
          <w:sz w:val="24"/>
        </w:rPr>
        <w:t>.</w:t>
      </w:r>
    </w:p>
    <w:p w:rsidR="0085077A" w:rsidP="00C23572" w:rsidRDefault="0085077A" w14:paraId="7A2BB8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5077A" w:rsidR="0085077A" w:rsidP="00C23572" w:rsidRDefault="0085077A" w14:paraId="7A492E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85077A">
        <w:rPr>
          <w:sz w:val="24"/>
          <w:u w:val="single"/>
        </w:rPr>
        <w:t>Violation Remediation</w:t>
      </w:r>
    </w:p>
    <w:p w:rsidR="0085077A" w:rsidP="00C23572" w:rsidRDefault="0085077A" w14:paraId="64903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3793" w:rsidR="00F23793" w:rsidP="00066E54" w:rsidRDefault="00F23793" w14:paraId="0C7B2BE0" w14:textId="77777777">
      <w:pPr>
        <w:rPr>
          <w:sz w:val="24"/>
        </w:rPr>
      </w:pPr>
      <w:r w:rsidRPr="00F23793">
        <w:rPr>
          <w:sz w:val="24"/>
        </w:rPr>
        <w:t xml:space="preserve">Acute Hospital Care at Home is a waiver initiative established by CMS on </w:t>
      </w:r>
      <w:r w:rsidR="006E6E72">
        <w:rPr>
          <w:sz w:val="24"/>
        </w:rPr>
        <w:t>November 23, 2020</w:t>
      </w:r>
      <w:r w:rsidRPr="00F23793">
        <w:rPr>
          <w:sz w:val="24"/>
        </w:rPr>
        <w:t> in response to the unprecedented strain on hospital capacity due to the severe national increase in coronavirus disease 2019 (COVID-19) witnessed. This waiver, which is granted at the individual hospital/CMS Certification Number (CCN) level, waives </w:t>
      </w:r>
      <w:r w:rsidRPr="00F23793">
        <w:rPr>
          <w:b/>
          <w:bCs/>
          <w:sz w:val="24"/>
        </w:rPr>
        <w:t>§482.23(b) </w:t>
      </w:r>
      <w:r w:rsidRPr="00F23793">
        <w:rPr>
          <w:sz w:val="24"/>
        </w:rPr>
        <w:t>and</w:t>
      </w:r>
      <w:r w:rsidRPr="00F23793">
        <w:rPr>
          <w:b/>
          <w:bCs/>
          <w:sz w:val="24"/>
        </w:rPr>
        <w:t> (b)(1)</w:t>
      </w:r>
      <w:r w:rsidRPr="00F23793">
        <w:rPr>
          <w:sz w:val="24"/>
        </w:rPr>
        <w:t> of the Hospital Conditions of Participation (CoPs) which require nursing services to be provided on premises 24 hours a day, 7 days a week and the immediate availability of a registered nurse for care of any patient. In exchange for this flexibility, hospitals will utilize models of at-home hospital care that have seen prior success in several leading hospital institutions and networks. This care and its results have been reported in leading academic journals, including a major study funded by a Healthcare Innovation Award from the Center for Medicare and Medicaid Innovation (CMMI). This extensive research has shown that quality and safety are at least as high as that received by similar patients admitted to traditional brick and mortar hospitals.</w:t>
      </w:r>
    </w:p>
    <w:p w:rsidR="00F23793" w:rsidP="00F23793" w:rsidRDefault="00F23793" w14:paraId="6C4ED816" w14:textId="77777777">
      <w:pPr>
        <w:rPr>
          <w:sz w:val="24"/>
        </w:rPr>
      </w:pPr>
    </w:p>
    <w:p w:rsidRPr="00F23793" w:rsidR="00F23793" w:rsidP="00F23793" w:rsidRDefault="00F23793" w14:paraId="27C4A82C" w14:textId="77777777">
      <w:pPr>
        <w:rPr>
          <w:sz w:val="24"/>
        </w:rPr>
      </w:pPr>
      <w:r w:rsidRPr="00F23793">
        <w:rPr>
          <w:sz w:val="24"/>
        </w:rPr>
        <w:t>This program clearly differentiates the delivery of acute hospital care at home from traditional home health services. Home health care provides important skilled nursing and other services, Acute Hospital Care at Home is for beneficiaries who require acute inpatient admission to a hospital and who require at least daily rounding by a physician and medical team monitoring their care needs on an ongoing basis. A minimum of two in-person visits will occur daily by either registered nurses or mobile integrated health paramedics, based on the patient’s nursing plan and hospital policies. Hospitals may only treat patients with this waiver if they are admitted from their Emergency Department or if they are transferred from inpatient hospital beds. There is no payment change, and hospitals are not permitted to bill Medicare or its beneficiaries for any costs outside of a typical inpatient admission.</w:t>
      </w:r>
    </w:p>
    <w:p w:rsidR="00F23793" w:rsidP="00F23793" w:rsidRDefault="00F23793" w14:paraId="3E747447" w14:textId="77777777">
      <w:pPr>
        <w:rPr>
          <w:sz w:val="24"/>
        </w:rPr>
      </w:pPr>
    </w:p>
    <w:p w:rsidR="0085077A" w:rsidP="0085077A" w:rsidRDefault="0085077A" w14:paraId="149DAEE6" w14:textId="77777777">
      <w:pPr>
        <w:rPr>
          <w:sz w:val="24"/>
        </w:rPr>
      </w:pPr>
      <w:r w:rsidRPr="0085077A">
        <w:rPr>
          <w:sz w:val="24"/>
        </w:rPr>
        <w:t xml:space="preserve">CMS is seeking to obtain OMB approval for information that was collected prior to OMB approval. The expedited forms were filled out by the initial 8 hospitals (in 6 health systems) and manually entered into the CMS system prior to the online portal going live at the launch of the </w:t>
      </w:r>
      <w:r w:rsidRPr="0085077A">
        <w:rPr>
          <w:sz w:val="24"/>
        </w:rPr>
        <w:lastRenderedPageBreak/>
        <w:t xml:space="preserve">waiver. Other than those 8 experienced hospitals, all approved hospitals have submitted this information via an online portal at </w:t>
      </w:r>
      <w:r w:rsidRPr="00B2628C" w:rsidR="006E6E72">
        <w:rPr>
          <w:sz w:val="24"/>
        </w:rPr>
        <w:t>(</w:t>
      </w:r>
      <w:hyperlink w:history="1" r:id="rId9">
        <w:r w:rsidRPr="00B2628C" w:rsidR="006E6E72">
          <w:rPr>
            <w:rStyle w:val="Hyperlink"/>
            <w:sz w:val="24"/>
          </w:rPr>
          <w:t>https://qualitynet.cms.gov/acute-hospital-care-at-home</w:t>
        </w:r>
      </w:hyperlink>
      <w:r w:rsidRPr="00B2628C" w:rsidR="006E6E72">
        <w:rPr>
          <w:sz w:val="24"/>
        </w:rPr>
        <w:t>)</w:t>
      </w:r>
      <w:r w:rsidR="006E6E72">
        <w:rPr>
          <w:sz w:val="24"/>
        </w:rPr>
        <w:t xml:space="preserve"> </w:t>
      </w:r>
      <w:r w:rsidRPr="0085077A">
        <w:rPr>
          <w:sz w:val="24"/>
        </w:rPr>
        <w:t>the previously mentioned website. To date, 105 hospitals individual hospitals/CCNs have submitted waiver requests and 97 of these hospitals have been approved. In addition to the initial 8 hospitals, 27 hospitals have completed the online expedited waiver request and 61 hospitals have completed the online detailed waiver request.  </w:t>
      </w:r>
    </w:p>
    <w:p w:rsidR="00F23793" w:rsidP="0085077A" w:rsidRDefault="00F23793" w14:paraId="004B5EA3" w14:textId="77777777">
      <w:pPr>
        <w:rPr>
          <w:sz w:val="24"/>
        </w:rPr>
      </w:pPr>
    </w:p>
    <w:p w:rsidR="0085077A" w:rsidP="00B2628C" w:rsidRDefault="00F23793" w14:paraId="667A45B7" w14:textId="77777777">
      <w:pPr>
        <w:rPr>
          <w:sz w:val="24"/>
        </w:rPr>
      </w:pPr>
      <w:r w:rsidRPr="00B2628C">
        <w:rPr>
          <w:sz w:val="24"/>
        </w:rPr>
        <w:t xml:space="preserve">When a hospital submits a waiver request, it completes one of two online forms found on the waiver landing page, depending on its level of experience with this type of care. Experienced hospitals, defined as treating at least 25 patients with acute hospital care at home previously, have an expedited submission that is based on </w:t>
      </w:r>
      <w:r w:rsidRPr="00B2628C" w:rsidR="00B2628C">
        <w:rPr>
          <w:sz w:val="24"/>
        </w:rPr>
        <w:t xml:space="preserve">a series of attestations, seen </w:t>
      </w:r>
      <w:r w:rsidR="00B2628C">
        <w:rPr>
          <w:sz w:val="24"/>
        </w:rPr>
        <w:t xml:space="preserve">in the screenshot attachment.  </w:t>
      </w:r>
    </w:p>
    <w:p w:rsidRPr="005022FB" w:rsidR="005022FB" w:rsidP="005022FB" w:rsidRDefault="005022FB" w14:paraId="7BD167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B8268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4F5B9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21DDB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D1BCE" w14:paraId="51D22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ab/>
      </w:r>
      <w:r w:rsidRPr="00FA2758" w:rsidR="008F1EB4">
        <w:rPr>
          <w:sz w:val="24"/>
          <w:u w:val="single"/>
        </w:rPr>
        <w:t>Need and Legal Basis</w:t>
      </w:r>
    </w:p>
    <w:p w:rsidR="008F1EB4" w:rsidRDefault="008F1EB4" w14:paraId="05BC8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156D90" w:rsidP="00C23572" w:rsidRDefault="00156D90" w14:paraId="2C2EF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When the President declares a disaster or emergency under the Stafford Act or National Emergencies Act and the HHS Secretary declares a public health emergency under Section 319 of the Public Health Service Act, the Secretary is authorized to temporarily waive or modify certain Medicare, Medicaid, CHIP and Health Insurance Portability and Accountability Act (HIPAA) requirements. Waiving such requirements </w:t>
      </w:r>
      <w:r w:rsidRPr="00C23572">
        <w:rPr>
          <w:sz w:val="24"/>
        </w:rPr>
        <w:t xml:space="preserve">ensures that sufficient health care </w:t>
      </w:r>
      <w:r w:rsidRPr="00C23572" w:rsidR="00636F01">
        <w:rPr>
          <w:sz w:val="24"/>
        </w:rPr>
        <w:t>s</w:t>
      </w:r>
      <w:r w:rsidRPr="00C23572">
        <w:rPr>
          <w:sz w:val="24"/>
        </w:rPr>
        <w:t>ervices are available to meet the needs of individuals enrolled in Social Security Act programs in the emergency area and time periods, and to reimburse and exempt from sanctions providers who provide such services in good faith</w:t>
      </w:r>
      <w:r w:rsidRPr="00BB0BDD">
        <w:rPr>
          <w:sz w:val="24"/>
        </w:rPr>
        <w:t xml:space="preserve">. </w:t>
      </w:r>
      <w:r w:rsidRPr="00BB0BDD">
        <w:rPr>
          <w:sz w:val="24"/>
        </w:rPr>
        <w:br/>
      </w:r>
    </w:p>
    <w:p w:rsidR="00600D16" w:rsidP="00C23572" w:rsidRDefault="00FA2758" w14:paraId="21F804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The statutory authorities that allow for the implementation of waivers and flexibilities are Section 1812(f) of the Social Security Act, Section 1135 of the Social Security Act, and Section 319 of the Public Health Service Act. Prior to </w:t>
      </w:r>
      <w:r w:rsidRPr="00C23572" w:rsidR="00600D16">
        <w:rPr>
          <w:sz w:val="24"/>
        </w:rPr>
        <w:t xml:space="preserve">the </w:t>
      </w:r>
      <w:r w:rsidRPr="00BB0BDD">
        <w:rPr>
          <w:sz w:val="24"/>
        </w:rPr>
        <w:t>COVID-19</w:t>
      </w:r>
      <w:r w:rsidRPr="00C23572" w:rsidR="00600D16">
        <w:rPr>
          <w:sz w:val="24"/>
        </w:rPr>
        <w:t xml:space="preserve"> PHE</w:t>
      </w:r>
      <w:r w:rsidRPr="00BB0BDD">
        <w:rPr>
          <w:sz w:val="24"/>
        </w:rPr>
        <w:t xml:space="preserve">, CMS Central and Regional offices executed manual processes using Excel spreadsheets, </w:t>
      </w:r>
      <w:r w:rsidRPr="00BB0BDD" w:rsidR="008F2E1A">
        <w:rPr>
          <w:sz w:val="24"/>
        </w:rPr>
        <w:t xml:space="preserve">Access databases, </w:t>
      </w:r>
      <w:r w:rsidRPr="00BB0BDD">
        <w:rPr>
          <w:sz w:val="24"/>
        </w:rPr>
        <w:t>Word documents and Outlook email to monitor, track, respond and report on the volume and specifics of request</w:t>
      </w:r>
      <w:r w:rsidRPr="002966A3" w:rsidR="00062C0E">
        <w:rPr>
          <w:sz w:val="24"/>
        </w:rPr>
        <w:t>s and inquiries</w:t>
      </w:r>
      <w:r w:rsidRPr="00BB0BDD">
        <w:rPr>
          <w:sz w:val="24"/>
        </w:rPr>
        <w:t xml:space="preserve">. However, </w:t>
      </w:r>
      <w:r w:rsidRPr="00C23572" w:rsidR="00600D16">
        <w:rPr>
          <w:sz w:val="24"/>
        </w:rPr>
        <w:t xml:space="preserve">the </w:t>
      </w:r>
      <w:r w:rsidRPr="00BB0BDD">
        <w:rPr>
          <w:sz w:val="24"/>
        </w:rPr>
        <w:t xml:space="preserve">COVID-19 </w:t>
      </w:r>
      <w:r w:rsidRPr="00C23572" w:rsidR="00600D16">
        <w:rPr>
          <w:sz w:val="24"/>
        </w:rPr>
        <w:t xml:space="preserve">PHE </w:t>
      </w:r>
      <w:r w:rsidRPr="00BB0BDD">
        <w:rPr>
          <w:sz w:val="24"/>
        </w:rPr>
        <w:t>presented a new challenge as Medicare and Medicaid providers</w:t>
      </w:r>
      <w:r w:rsidRPr="00BB0BDD" w:rsidR="008F2E1A">
        <w:rPr>
          <w:sz w:val="24"/>
        </w:rPr>
        <w:t>/suppliers</w:t>
      </w:r>
      <w:r w:rsidRPr="00BB0BDD">
        <w:rPr>
          <w:sz w:val="24"/>
        </w:rPr>
        <w:t xml:space="preserve"> have continue</w:t>
      </w:r>
      <w:r w:rsidRPr="00BB0BDD" w:rsidR="008F2E1A">
        <w:rPr>
          <w:sz w:val="24"/>
        </w:rPr>
        <w:t>d</w:t>
      </w:r>
      <w:r w:rsidRPr="00BB0BDD">
        <w:rPr>
          <w:sz w:val="24"/>
        </w:rPr>
        <w:t xml:space="preserve"> to be impacted on a 24-hour basis </w:t>
      </w:r>
      <w:bookmarkStart w:name="_Hlk51663942" w:id="0"/>
      <w:r w:rsidRPr="00C23572" w:rsidR="00600D16">
        <w:rPr>
          <w:sz w:val="24"/>
        </w:rPr>
        <w:t>throughout the duration of the PHE</w:t>
      </w:r>
      <w:r w:rsidRPr="00BB0BDD">
        <w:rPr>
          <w:sz w:val="24"/>
        </w:rPr>
        <w:t xml:space="preserve">. </w:t>
      </w:r>
      <w:r w:rsidRPr="00C23572" w:rsidR="00600D16">
        <w:rPr>
          <w:sz w:val="24"/>
        </w:rPr>
        <w:t xml:space="preserve">While the </w:t>
      </w:r>
      <w:r w:rsidRPr="00BB0BDD" w:rsidR="008F2E1A">
        <w:rPr>
          <w:sz w:val="24"/>
        </w:rPr>
        <w:t xml:space="preserve">COVID-19 </w:t>
      </w:r>
      <w:r w:rsidRPr="00C23572" w:rsidR="00600D16">
        <w:rPr>
          <w:sz w:val="24"/>
        </w:rPr>
        <w:t xml:space="preserve">PHE highlighted challenges due to the volume, CMS acknowledges that a streamlined process will assist in all public health emergencies, such as during </w:t>
      </w:r>
      <w:r w:rsidRPr="00BB0BDD" w:rsidR="008F2E1A">
        <w:rPr>
          <w:sz w:val="24"/>
        </w:rPr>
        <w:t xml:space="preserve">hurricanes, wildfires, tornados, active shooters, </w:t>
      </w:r>
      <w:r w:rsidRPr="00C23572" w:rsidR="00600D16">
        <w:rPr>
          <w:sz w:val="24"/>
        </w:rPr>
        <w:t>and other emergencies seen even throughout the existing COVID-19 PHE</w:t>
      </w:r>
      <w:r w:rsidRPr="00BB0BDD" w:rsidR="008F2E1A">
        <w:rPr>
          <w:sz w:val="24"/>
        </w:rPr>
        <w:t xml:space="preserve">. </w:t>
      </w:r>
    </w:p>
    <w:p w:rsidRPr="00C23572" w:rsidR="008158F5" w:rsidP="00C23572" w:rsidRDefault="008158F5" w14:paraId="42BF402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0"/>
    <w:p w:rsidR="008158F5" w:rsidP="008158F5" w:rsidRDefault="008158F5" w14:paraId="3E0D20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5E39">
        <w:rPr>
          <w:sz w:val="24"/>
        </w:rPr>
        <w:t>The magnitude and continued volume of 1135 requests</w:t>
      </w:r>
      <w:r w:rsidR="00062C0E">
        <w:rPr>
          <w:sz w:val="24"/>
        </w:rPr>
        <w:t xml:space="preserve"> </w:t>
      </w:r>
      <w:r w:rsidRPr="002966A3" w:rsidR="00062C0E">
        <w:rPr>
          <w:sz w:val="24"/>
        </w:rPr>
        <w:t>and inquiries</w:t>
      </w:r>
      <w:r w:rsidRPr="00975E39">
        <w:rPr>
          <w:sz w:val="24"/>
        </w:rPr>
        <w:t xml:space="preserve"> by </w:t>
      </w:r>
      <w:r w:rsidRPr="002966A3" w:rsidR="00062C0E">
        <w:rPr>
          <w:sz w:val="24"/>
        </w:rPr>
        <w:t>CMS</w:t>
      </w:r>
      <w:r w:rsidRPr="00975E39">
        <w:rPr>
          <w:sz w:val="24"/>
        </w:rPr>
        <w:t>-participating providers and suppliers is ongoing to date. The influx of COVID-19 related 1135 submissions, now compiled with wildfire and hurricane requests, has expedited the need for a long-term information technology (IT) solution to support the incoming requests</w:t>
      </w:r>
      <w:r w:rsidRPr="002966A3" w:rsidR="00062C0E">
        <w:rPr>
          <w:sz w:val="24"/>
        </w:rPr>
        <w:t>/inquiries</w:t>
      </w:r>
      <w:r w:rsidRPr="00975E39">
        <w:rPr>
          <w:sz w:val="24"/>
        </w:rPr>
        <w:t xml:space="preserve">, maintain a repository for tracking purposes, improve data quality and automate the process, where possible, to improve program efficiencies and CMS/HHS responsiveness. </w:t>
      </w:r>
    </w:p>
    <w:p w:rsidR="00F10AD0" w:rsidP="008158F5" w:rsidRDefault="00F10AD0" w14:paraId="18A618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0AD0" w:rsidP="008158F5" w:rsidRDefault="00A96929" w14:paraId="36F6E8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96929">
        <w:rPr>
          <w:sz w:val="24"/>
        </w:rPr>
        <w:lastRenderedPageBreak/>
        <w:t>During disasters and emergencies, it is not uncommon to evacuate provider Medicare-participating facilities and relocate patients/residents to other provider settings or across state lines, especially during hurricane and tornado events.</w:t>
      </w:r>
      <w:r w:rsidR="00C73096">
        <w:rPr>
          <w:sz w:val="24"/>
        </w:rPr>
        <w:t xml:space="preserve"> </w:t>
      </w:r>
      <w:r w:rsidR="00F10AD0">
        <w:rPr>
          <w:sz w:val="24"/>
        </w:rPr>
        <w:t>When healthcare providers cannot operate normally, CMS must understand how and where they are operating.  Providers coordinate with their SAs to provide this information to CMS</w:t>
      </w:r>
      <w:r w:rsidR="007677FE">
        <w:rPr>
          <w:sz w:val="24"/>
        </w:rPr>
        <w:t xml:space="preserve">, and each State determines the format and media in which the information is provided. This results in the need for CMS to </w:t>
      </w:r>
      <w:r w:rsidR="00C73096">
        <w:rPr>
          <w:sz w:val="24"/>
        </w:rPr>
        <w:t>gather and organize</w:t>
      </w:r>
      <w:r>
        <w:rPr>
          <w:sz w:val="24"/>
        </w:rPr>
        <w:t xml:space="preserve"> the information, standardize the format and media, and deliver it </w:t>
      </w:r>
      <w:r w:rsidR="00D30ED8">
        <w:rPr>
          <w:sz w:val="24"/>
        </w:rPr>
        <w:t>to t</w:t>
      </w:r>
      <w:r>
        <w:rPr>
          <w:sz w:val="24"/>
        </w:rPr>
        <w:t>he Office of the Administrator</w:t>
      </w:r>
      <w:r w:rsidR="006E0DBC">
        <w:rPr>
          <w:sz w:val="24"/>
        </w:rPr>
        <w:t xml:space="preserve">. </w:t>
      </w:r>
      <w:r>
        <w:rPr>
          <w:sz w:val="24"/>
        </w:rPr>
        <w:t xml:space="preserve">This is time consuming and delays CMS’ ability to meet the needs </w:t>
      </w:r>
      <w:r w:rsidR="00C73096">
        <w:rPr>
          <w:sz w:val="24"/>
        </w:rPr>
        <w:t>communicated</w:t>
      </w:r>
      <w:r>
        <w:rPr>
          <w:sz w:val="24"/>
        </w:rPr>
        <w:t xml:space="preserve"> in the report. </w:t>
      </w:r>
    </w:p>
    <w:p w:rsidR="00F10AD0" w:rsidP="008158F5" w:rsidRDefault="00F10AD0" w14:paraId="394413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75E39" w:rsidR="00F10AD0" w:rsidP="008158F5" w:rsidRDefault="00F10AD0" w14:paraId="03AF20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Standardizing reporting of operational status information</w:t>
      </w:r>
      <w:r w:rsidR="00A96929">
        <w:rPr>
          <w:sz w:val="24"/>
        </w:rPr>
        <w:t xml:space="preserve"> improves efficiency</w:t>
      </w:r>
      <w:r w:rsidR="00C73096">
        <w:rPr>
          <w:sz w:val="24"/>
        </w:rPr>
        <w:t xml:space="preserve"> and </w:t>
      </w:r>
      <w:r w:rsidR="00A96929">
        <w:rPr>
          <w:sz w:val="24"/>
        </w:rPr>
        <w:t xml:space="preserve">accelerates CMS’ response to the </w:t>
      </w:r>
      <w:r w:rsidRPr="00C73096" w:rsidR="00A96929">
        <w:rPr>
          <w:sz w:val="24"/>
        </w:rPr>
        <w:t>identified</w:t>
      </w:r>
      <w:r w:rsidR="00A96929">
        <w:rPr>
          <w:sz w:val="24"/>
        </w:rPr>
        <w:t xml:space="preserve"> needs of providers and beneficiarie</w:t>
      </w:r>
      <w:r w:rsidR="00C73096">
        <w:rPr>
          <w:sz w:val="24"/>
        </w:rPr>
        <w:t>s</w:t>
      </w:r>
      <w:r w:rsidR="006E0DBC">
        <w:rPr>
          <w:sz w:val="24"/>
        </w:rPr>
        <w:t xml:space="preserve"> and prevents gaps in access to care.</w:t>
      </w:r>
    </w:p>
    <w:p w:rsidRPr="00BB0BDD" w:rsidR="00FA2758" w:rsidRDefault="00FA2758" w14:paraId="707DC5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B0BDD" w:rsidR="008F1EB4" w:rsidRDefault="008F1EB4" w14:paraId="24186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BB0BDD">
        <w:rPr>
          <w:sz w:val="24"/>
          <w:u w:val="single"/>
        </w:rPr>
        <w:t>Information Users</w:t>
      </w:r>
    </w:p>
    <w:p w:rsidRPr="00BB0BDD" w:rsidR="008F1EB4" w:rsidRDefault="008F1EB4" w14:paraId="57B51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2758" w:rsidP="00C23572" w:rsidRDefault="00FA2758" w14:paraId="5A71D7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This information will be used by CMS to receive, triage</w:t>
      </w:r>
      <w:r w:rsidRPr="00BB0BDD" w:rsidR="00C40E5A">
        <w:rPr>
          <w:sz w:val="24"/>
        </w:rPr>
        <w:t>,</w:t>
      </w:r>
      <w:r w:rsidRPr="00BB0BDD">
        <w:rPr>
          <w:sz w:val="24"/>
        </w:rPr>
        <w:t xml:space="preserve"> respond to</w:t>
      </w:r>
      <w:r w:rsidRPr="00BB0BDD" w:rsidR="00C40E5A">
        <w:rPr>
          <w:sz w:val="24"/>
        </w:rPr>
        <w:t xml:space="preserve"> and report on</w:t>
      </w:r>
      <w:r w:rsidRPr="00BB0BDD">
        <w:rPr>
          <w:sz w:val="24"/>
        </w:rPr>
        <w:t xml:space="preserve"> requests and/or </w:t>
      </w:r>
      <w:r w:rsidRPr="002966A3" w:rsidR="00062C0E">
        <w:rPr>
          <w:sz w:val="24"/>
        </w:rPr>
        <w:t>inquiries</w:t>
      </w:r>
      <w:r w:rsidRPr="00BB0BDD" w:rsidR="00062C0E">
        <w:rPr>
          <w:sz w:val="24"/>
        </w:rPr>
        <w:t xml:space="preserve"> </w:t>
      </w:r>
      <w:r w:rsidRPr="00BB0BDD" w:rsidR="00C65A20">
        <w:rPr>
          <w:sz w:val="24"/>
        </w:rPr>
        <w:t>for Medicare, Medicaid</w:t>
      </w:r>
      <w:r w:rsidRPr="00BB0BDD" w:rsidR="00B85319">
        <w:rPr>
          <w:sz w:val="24"/>
        </w:rPr>
        <w:t>,</w:t>
      </w:r>
      <w:r w:rsidRPr="00BB0BDD" w:rsidR="00C65A20">
        <w:rPr>
          <w:sz w:val="24"/>
        </w:rPr>
        <w:t xml:space="preserve"> </w:t>
      </w:r>
      <w:r w:rsidRPr="00BB0BDD" w:rsidR="00B85319">
        <w:rPr>
          <w:sz w:val="24"/>
        </w:rPr>
        <w:t xml:space="preserve">and </w:t>
      </w:r>
      <w:r w:rsidRPr="00BB0BDD" w:rsidR="00C65A20">
        <w:rPr>
          <w:sz w:val="24"/>
        </w:rPr>
        <w:t xml:space="preserve">CHIP </w:t>
      </w:r>
      <w:r w:rsidRPr="00BB0BDD" w:rsidR="00B85319">
        <w:rPr>
          <w:sz w:val="24"/>
        </w:rPr>
        <w:t>beneficiaries.</w:t>
      </w:r>
      <w:r w:rsidRPr="00BB0BDD">
        <w:rPr>
          <w:sz w:val="24"/>
        </w:rPr>
        <w:t xml:space="preserve"> </w:t>
      </w:r>
      <w:r w:rsidRPr="00BB0BDD" w:rsidR="00156D90">
        <w:rPr>
          <w:sz w:val="24"/>
        </w:rPr>
        <w:t xml:space="preserve">This information will be used to make decisions about approving or denying waiver and flexibility </w:t>
      </w:r>
      <w:r w:rsidRPr="00BB0BDD" w:rsidR="001F15A5">
        <w:rPr>
          <w:sz w:val="24"/>
        </w:rPr>
        <w:t>requests and</w:t>
      </w:r>
      <w:r w:rsidRPr="00BB0BDD" w:rsidR="00156D90">
        <w:rPr>
          <w:sz w:val="24"/>
        </w:rPr>
        <w:t xml:space="preserve"> may be used to identify trends that inform CMS Conditions for Coverage or Conditions for </w:t>
      </w:r>
      <w:r w:rsidRPr="00BB0BDD" w:rsidR="001F15A5">
        <w:rPr>
          <w:sz w:val="24"/>
        </w:rPr>
        <w:t>Participation</w:t>
      </w:r>
      <w:r w:rsidRPr="00BB0BDD" w:rsidR="00156D90">
        <w:rPr>
          <w:sz w:val="24"/>
        </w:rPr>
        <w:t xml:space="preserve"> policies</w:t>
      </w:r>
      <w:r w:rsidRPr="00C23572" w:rsidR="000F6ADB">
        <w:rPr>
          <w:sz w:val="24"/>
        </w:rPr>
        <w:t xml:space="preserve"> during public health emergencies, when declared by the President and the HHS Secretary.</w:t>
      </w:r>
    </w:p>
    <w:p w:rsidR="006E0DBC" w:rsidP="00C23572" w:rsidRDefault="006E0DBC" w14:paraId="5C7386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6E0DBC" w:rsidP="00C23572" w:rsidRDefault="006E0DBC" w14:paraId="5701FC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Operational status information will be used to assist providers in delivering critical care to </w:t>
      </w:r>
      <w:r w:rsidRPr="006E0DBC">
        <w:rPr>
          <w:sz w:val="24"/>
        </w:rPr>
        <w:t xml:space="preserve">beneficiaries </w:t>
      </w:r>
      <w:r>
        <w:rPr>
          <w:sz w:val="24"/>
        </w:rPr>
        <w:t>during emergencies.</w:t>
      </w:r>
    </w:p>
    <w:p w:rsidRPr="00BB0BDD" w:rsidR="008F1EB4" w:rsidRDefault="008F1EB4" w14:paraId="024F0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8F1EB4" w:rsidRDefault="008F1EB4" w14:paraId="2C68B3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B0BDD">
        <w:rPr>
          <w:sz w:val="24"/>
        </w:rPr>
        <w:t>3.</w:t>
      </w:r>
      <w:r w:rsidRPr="00BB0BDD">
        <w:rPr>
          <w:sz w:val="24"/>
        </w:rPr>
        <w:tab/>
      </w:r>
      <w:r w:rsidRPr="00BB0BDD">
        <w:rPr>
          <w:sz w:val="24"/>
          <w:u w:val="single"/>
        </w:rPr>
        <w:t>Use of Information Technology</w:t>
      </w:r>
    </w:p>
    <w:p w:rsidRPr="00BB0BDD" w:rsidR="008F1EB4" w:rsidRDefault="008F1EB4" w14:paraId="47CA0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P="00C23572" w:rsidRDefault="00C65A20" w14:paraId="2DA742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This information will be collected electronically </w:t>
      </w:r>
      <w:r w:rsidRPr="00BB0BDD" w:rsidR="00FD1BCE">
        <w:rPr>
          <w:sz w:val="24"/>
        </w:rPr>
        <w:t>using</w:t>
      </w:r>
      <w:r w:rsidRPr="00BB0BDD">
        <w:rPr>
          <w:sz w:val="24"/>
        </w:rPr>
        <w:t xml:space="preserve"> public-facing web form</w:t>
      </w:r>
      <w:r w:rsidR="002569E8">
        <w:rPr>
          <w:sz w:val="24"/>
        </w:rPr>
        <w:t>s</w:t>
      </w:r>
      <w:r w:rsidR="00906C15">
        <w:rPr>
          <w:sz w:val="24"/>
        </w:rPr>
        <w:t>.</w:t>
      </w:r>
      <w:r w:rsidR="008158F5">
        <w:rPr>
          <w:sz w:val="24"/>
        </w:rPr>
        <w:t xml:space="preserve"> </w:t>
      </w:r>
      <w:r w:rsidRPr="00C23572" w:rsidR="000F6ADB">
        <w:rPr>
          <w:sz w:val="24"/>
        </w:rPr>
        <w:t xml:space="preserve">This process would include the requesting Medicare-participating provider/supplier or association or State/local government </w:t>
      </w:r>
      <w:r w:rsidR="002965E0">
        <w:rPr>
          <w:sz w:val="24"/>
        </w:rPr>
        <w:t xml:space="preserve">submitting </w:t>
      </w:r>
      <w:r w:rsidRPr="00C23572" w:rsidR="000F6ADB">
        <w:rPr>
          <w:sz w:val="24"/>
        </w:rPr>
        <w:t>on behalf of a provider/supplier</w:t>
      </w:r>
      <w:r w:rsidR="002965E0">
        <w:rPr>
          <w:sz w:val="24"/>
        </w:rPr>
        <w:t xml:space="preserve">. </w:t>
      </w:r>
      <w:r w:rsidRPr="00C23572" w:rsidR="000F6ADB">
        <w:rPr>
          <w:sz w:val="24"/>
        </w:rPr>
        <w:t xml:space="preserve"> </w:t>
      </w:r>
    </w:p>
    <w:p w:rsidRPr="00975E39" w:rsidR="00975E39" w:rsidP="00975E39" w:rsidRDefault="00975E39" w14:paraId="04A9CC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75E39" w:rsidP="00975E39" w:rsidRDefault="00975E39" w14:paraId="012432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5E39">
        <w:rPr>
          <w:sz w:val="24"/>
        </w:rPr>
        <w:t>CMS is proposing the creation of a public facing web form to support nationwide submission of 1135 waiver</w:t>
      </w:r>
      <w:r w:rsidR="00906752">
        <w:rPr>
          <w:sz w:val="24"/>
        </w:rPr>
        <w:t xml:space="preserve"> </w:t>
      </w:r>
      <w:r w:rsidRPr="002966A3" w:rsidR="00906752">
        <w:rPr>
          <w:sz w:val="24"/>
        </w:rPr>
        <w:t>request</w:t>
      </w:r>
      <w:r w:rsidRPr="002966A3">
        <w:rPr>
          <w:sz w:val="24"/>
        </w:rPr>
        <w:t>s</w:t>
      </w:r>
      <w:r w:rsidRPr="002966A3" w:rsidR="00906752">
        <w:rPr>
          <w:sz w:val="24"/>
        </w:rPr>
        <w:t xml:space="preserve"> and inquiries</w:t>
      </w:r>
      <w:r w:rsidRPr="00975E39">
        <w:rPr>
          <w:sz w:val="24"/>
        </w:rPr>
        <w:t xml:space="preserve"> by collecting required information from impacted Medicare/Medicaid providers, Healthcare Associations, Governors and States. </w:t>
      </w:r>
      <w:r w:rsidR="008158F5">
        <w:rPr>
          <w:sz w:val="24"/>
        </w:rPr>
        <w:t>Thus,</w:t>
      </w:r>
      <w:r w:rsidRPr="00975E39">
        <w:rPr>
          <w:sz w:val="24"/>
        </w:rPr>
        <w:t xml:space="preserve"> creation of a standard and automated 1135 process by utilizing a publicly accessible web form will enable </w:t>
      </w:r>
      <w:r w:rsidR="00AE7DE1">
        <w:rPr>
          <w:sz w:val="24"/>
        </w:rPr>
        <w:t xml:space="preserve">standardized, </w:t>
      </w:r>
      <w:r w:rsidRPr="00975E39">
        <w:rPr>
          <w:sz w:val="24"/>
        </w:rPr>
        <w:t xml:space="preserve">user-friendly submission </w:t>
      </w:r>
      <w:r w:rsidR="00AE7DE1">
        <w:rPr>
          <w:sz w:val="24"/>
        </w:rPr>
        <w:t xml:space="preserve">by requesters </w:t>
      </w:r>
      <w:r w:rsidRPr="00975E39">
        <w:rPr>
          <w:sz w:val="24"/>
        </w:rPr>
        <w:t xml:space="preserve">and more efficient processing for all impacted components within CMS. </w:t>
      </w:r>
    </w:p>
    <w:p w:rsidR="002569E8" w:rsidP="00975E39" w:rsidRDefault="002569E8" w14:paraId="64C126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75E39" w:rsidR="002569E8" w:rsidP="00975E39" w:rsidRDefault="002569E8" w14:paraId="60DD96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569E8">
        <w:rPr>
          <w:sz w:val="24"/>
        </w:rPr>
        <w:t xml:space="preserve">CMS is </w:t>
      </w:r>
      <w:r w:rsidR="006E0DBC">
        <w:rPr>
          <w:sz w:val="24"/>
        </w:rPr>
        <w:t xml:space="preserve">also </w:t>
      </w:r>
      <w:r w:rsidRPr="002569E8">
        <w:rPr>
          <w:sz w:val="24"/>
        </w:rPr>
        <w:t xml:space="preserve">proposing the creation of a </w:t>
      </w:r>
      <w:r>
        <w:rPr>
          <w:sz w:val="24"/>
        </w:rPr>
        <w:t xml:space="preserve">second </w:t>
      </w:r>
      <w:r w:rsidRPr="002569E8">
        <w:rPr>
          <w:sz w:val="24"/>
        </w:rPr>
        <w:t xml:space="preserve">public facing web form to support nationwide </w:t>
      </w:r>
      <w:r>
        <w:rPr>
          <w:sz w:val="24"/>
        </w:rPr>
        <w:t xml:space="preserve">reporting about the operational status of healthcare </w:t>
      </w:r>
      <w:r w:rsidR="00F10AD0">
        <w:rPr>
          <w:sz w:val="24"/>
        </w:rPr>
        <w:t>providers</w:t>
      </w:r>
      <w:r w:rsidR="006E0DBC">
        <w:rPr>
          <w:sz w:val="24"/>
        </w:rPr>
        <w:t xml:space="preserve"> and their beneficiaries</w:t>
      </w:r>
      <w:r>
        <w:rPr>
          <w:sz w:val="24"/>
        </w:rPr>
        <w:t xml:space="preserve"> impacted by emergencies and disasters. C</w:t>
      </w:r>
      <w:r w:rsidRPr="002569E8">
        <w:rPr>
          <w:sz w:val="24"/>
        </w:rPr>
        <w:t xml:space="preserve">reation of standard and automated </w:t>
      </w:r>
      <w:r>
        <w:rPr>
          <w:sz w:val="24"/>
        </w:rPr>
        <w:t>healthcare facility status</w:t>
      </w:r>
      <w:r w:rsidRPr="002569E8">
        <w:rPr>
          <w:sz w:val="24"/>
        </w:rPr>
        <w:t xml:space="preserve"> </w:t>
      </w:r>
      <w:r>
        <w:rPr>
          <w:sz w:val="24"/>
        </w:rPr>
        <w:t xml:space="preserve">reporting </w:t>
      </w:r>
      <w:r w:rsidRPr="002569E8">
        <w:rPr>
          <w:sz w:val="24"/>
        </w:rPr>
        <w:t xml:space="preserve">by utilizing a publicly accessible web form will enable standardized, user-friendly submission by </w:t>
      </w:r>
      <w:r w:rsidR="00F10AD0">
        <w:rPr>
          <w:sz w:val="24"/>
        </w:rPr>
        <w:t>providers</w:t>
      </w:r>
      <w:r w:rsidRPr="002569E8">
        <w:rPr>
          <w:sz w:val="24"/>
        </w:rPr>
        <w:t xml:space="preserve"> and more efficient processing for all impacted components within CMS.</w:t>
      </w:r>
      <w:r w:rsidRPr="00652AF1" w:rsidR="00652AF1">
        <w:rPr>
          <w:sz w:val="24"/>
        </w:rPr>
        <w:t xml:space="preserve"> </w:t>
      </w:r>
      <w:r w:rsidR="00652AF1">
        <w:rPr>
          <w:sz w:val="24"/>
        </w:rPr>
        <w:t>Standardized c</w:t>
      </w:r>
      <w:r w:rsidRPr="00652AF1" w:rsidR="00652AF1">
        <w:rPr>
          <w:sz w:val="24"/>
        </w:rPr>
        <w:t xml:space="preserve">ollection of this data </w:t>
      </w:r>
      <w:r w:rsidR="00652AF1">
        <w:rPr>
          <w:sz w:val="24"/>
        </w:rPr>
        <w:t>helps CMS</w:t>
      </w:r>
      <w:r w:rsidRPr="00652AF1" w:rsidR="00652AF1">
        <w:rPr>
          <w:sz w:val="24"/>
        </w:rPr>
        <w:t xml:space="preserve"> </w:t>
      </w:r>
      <w:r w:rsidR="00652AF1">
        <w:rPr>
          <w:sz w:val="24"/>
        </w:rPr>
        <w:t xml:space="preserve">to </w:t>
      </w:r>
      <w:r w:rsidRPr="00652AF1" w:rsidR="00652AF1">
        <w:rPr>
          <w:sz w:val="24"/>
        </w:rPr>
        <w:t>prevent gaps in access to care and services during</w:t>
      </w:r>
      <w:r w:rsidR="00652AF1">
        <w:rPr>
          <w:sz w:val="24"/>
        </w:rPr>
        <w:t xml:space="preserve"> </w:t>
      </w:r>
      <w:r w:rsidRPr="00652AF1" w:rsidR="00652AF1">
        <w:rPr>
          <w:sz w:val="24"/>
        </w:rPr>
        <w:t>and after an emergency.</w:t>
      </w:r>
    </w:p>
    <w:p w:rsidR="000F6ADB" w:rsidRDefault="000F6ADB" w14:paraId="2FE9EA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032FF" w:rsidRDefault="007032FF" w14:paraId="3BC981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032FF" w:rsidRDefault="007032FF" w14:paraId="3C86B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23572" w:rsidR="007032FF" w:rsidRDefault="007032FF" w14:paraId="185F9E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B0BDD" w:rsidR="008F1EB4" w:rsidRDefault="008F1EB4" w14:paraId="2740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8F1EB4" w:rsidRDefault="008F1EB4" w14:paraId="00C314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B0BDD">
        <w:rPr>
          <w:sz w:val="24"/>
        </w:rPr>
        <w:t>4.</w:t>
      </w:r>
      <w:r w:rsidRPr="00BB0BDD">
        <w:rPr>
          <w:sz w:val="24"/>
        </w:rPr>
        <w:tab/>
      </w:r>
      <w:r w:rsidRPr="00BB0BDD">
        <w:rPr>
          <w:sz w:val="24"/>
          <w:u w:val="single"/>
        </w:rPr>
        <w:t>Duplication of Efforts</w:t>
      </w:r>
    </w:p>
    <w:p w:rsidRPr="00BB0BDD" w:rsidR="008F1EB4" w:rsidRDefault="008F1EB4" w14:paraId="57080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8F1EB4" w:rsidRDefault="00C65A20" w14:paraId="69622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B0BDD">
        <w:rPr>
          <w:sz w:val="24"/>
        </w:rPr>
        <w:t>This information collection does not duplicate any other effort and the information cannot be obtained from any other source.</w:t>
      </w:r>
    </w:p>
    <w:p w:rsidR="008F1EB4" w:rsidRDefault="008F1EB4" w14:paraId="75282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B16C0F" w:rsidRDefault="00B16C0F" w14:paraId="20654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8F1EB4" w:rsidRDefault="008F1EB4" w14:paraId="6935D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5.</w:t>
      </w:r>
      <w:r w:rsidRPr="00C23572">
        <w:rPr>
          <w:sz w:val="24"/>
        </w:rPr>
        <w:tab/>
      </w:r>
      <w:r w:rsidRPr="00C23572">
        <w:rPr>
          <w:sz w:val="24"/>
          <w:u w:val="single"/>
        </w:rPr>
        <w:t>Small Businesses</w:t>
      </w:r>
    </w:p>
    <w:p w:rsidRPr="00C23572" w:rsidR="008F1EB4" w:rsidRDefault="008F1EB4" w14:paraId="509DE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Default="000F6ADB" w14:paraId="54EA51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 xml:space="preserve">These requirements do affect small </w:t>
      </w:r>
      <w:r w:rsidRPr="00C23572" w:rsidR="005E103A">
        <w:rPr>
          <w:sz w:val="24"/>
        </w:rPr>
        <w:t>businesses;</w:t>
      </w:r>
      <w:r w:rsidRPr="00C23572">
        <w:rPr>
          <w:sz w:val="24"/>
        </w:rPr>
        <w:t xml:space="preserve"> however, the information collection is only collected if requested </w:t>
      </w:r>
      <w:r w:rsidRPr="00C23572" w:rsidR="00DD546B">
        <w:rPr>
          <w:sz w:val="24"/>
        </w:rPr>
        <w:t xml:space="preserve">during an emergency event, which has been declared a public health emergency by the President and HHS Secretary </w:t>
      </w:r>
      <w:r w:rsidR="00906C15">
        <w:rPr>
          <w:sz w:val="24"/>
        </w:rPr>
        <w:t>and</w:t>
      </w:r>
      <w:r w:rsidRPr="00C23572" w:rsidR="00906C15">
        <w:rPr>
          <w:sz w:val="24"/>
        </w:rPr>
        <w:t xml:space="preserve"> </w:t>
      </w:r>
      <w:r w:rsidRPr="00C23572" w:rsidR="00DD546B">
        <w:rPr>
          <w:sz w:val="24"/>
        </w:rPr>
        <w:t xml:space="preserve">if an 1135 Waiver </w:t>
      </w:r>
      <w:r w:rsidRPr="002966A3" w:rsidR="00906752">
        <w:rPr>
          <w:sz w:val="24"/>
        </w:rPr>
        <w:t>request or inquiry</w:t>
      </w:r>
      <w:r w:rsidR="00906752">
        <w:rPr>
          <w:sz w:val="24"/>
        </w:rPr>
        <w:t xml:space="preserve"> </w:t>
      </w:r>
      <w:r w:rsidRPr="00C23572" w:rsidR="00DD546B">
        <w:rPr>
          <w:sz w:val="24"/>
        </w:rPr>
        <w:t xml:space="preserve">is </w:t>
      </w:r>
      <w:r w:rsidRPr="002966A3" w:rsidR="00906752">
        <w:rPr>
          <w:sz w:val="24"/>
        </w:rPr>
        <w:t>submitted</w:t>
      </w:r>
      <w:r w:rsidRPr="00C23572" w:rsidR="00906752">
        <w:rPr>
          <w:sz w:val="24"/>
        </w:rPr>
        <w:t xml:space="preserve"> </w:t>
      </w:r>
      <w:r w:rsidRPr="00C23572" w:rsidR="00DD546B">
        <w:rPr>
          <w:sz w:val="24"/>
        </w:rPr>
        <w:t>by the Medicare-participating provider, or on behalf of a provider</w:t>
      </w:r>
      <w:r w:rsidRPr="00C23572">
        <w:rPr>
          <w:sz w:val="24"/>
        </w:rPr>
        <w:t xml:space="preserve">. </w:t>
      </w:r>
      <w:r w:rsidR="00076372">
        <w:rPr>
          <w:sz w:val="24"/>
        </w:rPr>
        <w:t xml:space="preserve">Additionally, operational status information is only necessary if a healthcare provider is or anticipates being unable to function normally. </w:t>
      </w:r>
      <w:r w:rsidRPr="00C23572">
        <w:rPr>
          <w:sz w:val="24"/>
        </w:rPr>
        <w:t>These paperwork requirements are minimal and are necessary to meet the documentation and disclosure requirements of the law.</w:t>
      </w:r>
      <w:r w:rsidR="00076372">
        <w:rPr>
          <w:sz w:val="24"/>
        </w:rPr>
        <w:t xml:space="preserve"> </w:t>
      </w:r>
    </w:p>
    <w:p w:rsidRPr="00C23572" w:rsidR="00906752" w:rsidRDefault="00906752" w14:paraId="3C465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B0BDD" w:rsidR="005D01AF" w:rsidRDefault="005D01AF" w14:paraId="717CB7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B0BDD">
        <w:rPr>
          <w:sz w:val="24"/>
        </w:rPr>
        <w:t>Offering an automated process minimizes the burden on small businesses by:</w:t>
      </w:r>
    </w:p>
    <w:p w:rsidRPr="00BB0BDD" w:rsidR="0093471B" w:rsidP="00C23572" w:rsidRDefault="0093471B" w14:paraId="588A8A30"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1854478" w:id="1"/>
      <w:r w:rsidRPr="00BB0BDD">
        <w:rPr>
          <w:sz w:val="24"/>
        </w:rPr>
        <w:t>Standardiz</w:t>
      </w:r>
      <w:r w:rsidRPr="00BB0BDD" w:rsidR="00B07467">
        <w:rPr>
          <w:sz w:val="24"/>
        </w:rPr>
        <w:t>ing</w:t>
      </w:r>
      <w:r w:rsidRPr="00BB0BDD">
        <w:rPr>
          <w:sz w:val="24"/>
        </w:rPr>
        <w:t xml:space="preserve"> the process so providers don’t have to </w:t>
      </w:r>
      <w:r w:rsidR="002569E8">
        <w:rPr>
          <w:sz w:val="24"/>
        </w:rPr>
        <w:t>design</w:t>
      </w:r>
      <w:r w:rsidRPr="00BB0BDD">
        <w:rPr>
          <w:sz w:val="24"/>
        </w:rPr>
        <w:t xml:space="preserve"> their own form</w:t>
      </w:r>
    </w:p>
    <w:p w:rsidRPr="002966A3" w:rsidR="00906752" w:rsidP="00C23572" w:rsidRDefault="00906752" w14:paraId="55E43093"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966A3">
        <w:rPr>
          <w:sz w:val="24"/>
        </w:rPr>
        <w:t xml:space="preserve">Decreasing the amount of time required by providers to submit their </w:t>
      </w:r>
      <w:r w:rsidRPr="002966A3" w:rsidR="00F5757D">
        <w:rPr>
          <w:sz w:val="24"/>
        </w:rPr>
        <w:t>requests</w:t>
      </w:r>
      <w:r w:rsidR="00F5757D">
        <w:rPr>
          <w:sz w:val="24"/>
        </w:rPr>
        <w:t>,</w:t>
      </w:r>
      <w:r w:rsidRPr="002966A3" w:rsidR="00F5757D">
        <w:rPr>
          <w:sz w:val="24"/>
        </w:rPr>
        <w:t xml:space="preserve"> </w:t>
      </w:r>
      <w:r w:rsidR="00F5757D">
        <w:rPr>
          <w:sz w:val="24"/>
        </w:rPr>
        <w:t xml:space="preserve"> </w:t>
      </w:r>
      <w:r w:rsidRPr="002966A3">
        <w:rPr>
          <w:sz w:val="24"/>
        </w:rPr>
        <w:t>inquiries</w:t>
      </w:r>
      <w:r w:rsidR="002569E8">
        <w:rPr>
          <w:sz w:val="24"/>
        </w:rPr>
        <w:t>, or operational status</w:t>
      </w:r>
      <w:r w:rsidRPr="002966A3">
        <w:rPr>
          <w:sz w:val="24"/>
        </w:rPr>
        <w:t xml:space="preserve"> to CMS</w:t>
      </w:r>
    </w:p>
    <w:p w:rsidRPr="00BB0BDD" w:rsidR="0093471B" w:rsidP="00C23572" w:rsidRDefault="0093471B" w14:paraId="2E2848C7"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Eliminat</w:t>
      </w:r>
      <w:r w:rsidRPr="00BB0BDD" w:rsidR="00B07467">
        <w:rPr>
          <w:sz w:val="24"/>
        </w:rPr>
        <w:t>ing</w:t>
      </w:r>
      <w:r w:rsidRPr="00BB0BDD">
        <w:rPr>
          <w:sz w:val="24"/>
        </w:rPr>
        <w:t xml:space="preserve"> fragmented responses by CMS</w:t>
      </w:r>
    </w:p>
    <w:p w:rsidR="00C23572" w:rsidP="00C23572" w:rsidRDefault="0093471B" w14:paraId="5A7CB7CF"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Improv</w:t>
      </w:r>
      <w:r w:rsidRPr="00BB0BDD" w:rsidR="00B07467">
        <w:rPr>
          <w:sz w:val="24"/>
        </w:rPr>
        <w:t xml:space="preserve">ing the </w:t>
      </w:r>
      <w:r w:rsidRPr="00BB0BDD">
        <w:rPr>
          <w:sz w:val="24"/>
        </w:rPr>
        <w:t xml:space="preserve">timeliness of responses to </w:t>
      </w:r>
      <w:r w:rsidR="00076372">
        <w:rPr>
          <w:sz w:val="24"/>
        </w:rPr>
        <w:t>healthcare entities</w:t>
      </w:r>
    </w:p>
    <w:p w:rsidRPr="00C23572" w:rsidR="0093471B" w:rsidP="00C23572" w:rsidRDefault="00B07467" w14:paraId="7DA45EE8"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Ensuring nationwide </w:t>
      </w:r>
      <w:r w:rsidRPr="00C23572" w:rsidR="0093471B">
        <w:rPr>
          <w:sz w:val="24"/>
        </w:rPr>
        <w:t>consistency among impacted components</w:t>
      </w:r>
    </w:p>
    <w:p w:rsidR="00C23572" w:rsidP="00C23572" w:rsidRDefault="0093471B" w14:paraId="25D9DAE7"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Reduc</w:t>
      </w:r>
      <w:r w:rsidRPr="00BB0BDD" w:rsidR="00B07467">
        <w:rPr>
          <w:sz w:val="24"/>
        </w:rPr>
        <w:t>ing</w:t>
      </w:r>
      <w:r w:rsidRPr="00BB0BDD">
        <w:rPr>
          <w:sz w:val="24"/>
        </w:rPr>
        <w:t xml:space="preserve"> the need for CMS to request additional information, so providers do not </w:t>
      </w:r>
      <w:r w:rsidR="00C23572">
        <w:rPr>
          <w:sz w:val="24"/>
        </w:rPr>
        <w:t xml:space="preserve">       </w:t>
      </w:r>
      <w:r w:rsidRPr="00BB0BDD">
        <w:rPr>
          <w:sz w:val="24"/>
        </w:rPr>
        <w:t xml:space="preserve">have to resubmit </w:t>
      </w:r>
      <w:r w:rsidR="00076372">
        <w:rPr>
          <w:sz w:val="24"/>
        </w:rPr>
        <w:t>information</w:t>
      </w:r>
    </w:p>
    <w:p w:rsidR="008F1EB4" w:rsidP="00C23572" w:rsidRDefault="0093471B" w14:paraId="31AF83B2"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100% of this information will be used electronically</w:t>
      </w:r>
    </w:p>
    <w:bookmarkEnd w:id="1"/>
    <w:p w:rsidRPr="00C23572" w:rsidR="00E55440" w:rsidP="00E55440" w:rsidRDefault="00E55440" w14:paraId="355C0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C23572" w:rsidR="008F1EB4" w:rsidRDefault="008F1EB4" w14:paraId="2718EF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6.</w:t>
      </w:r>
      <w:r w:rsidRPr="00C23572">
        <w:rPr>
          <w:sz w:val="24"/>
        </w:rPr>
        <w:tab/>
      </w:r>
      <w:r w:rsidRPr="00C23572">
        <w:rPr>
          <w:sz w:val="24"/>
          <w:u w:val="single"/>
        </w:rPr>
        <w:t>Less Frequent Collection</w:t>
      </w:r>
    </w:p>
    <w:p w:rsidRPr="00C23572" w:rsidR="008F1EB4" w:rsidRDefault="008F1EB4" w14:paraId="02B1F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C65A20" w:rsidRDefault="00D050CA" w14:paraId="001F94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 xml:space="preserve">There is no schedule of collection; these waiver requests </w:t>
      </w:r>
      <w:r w:rsidRPr="002966A3" w:rsidR="00906752">
        <w:rPr>
          <w:sz w:val="24"/>
        </w:rPr>
        <w:t>and inquiries</w:t>
      </w:r>
      <w:r w:rsidR="00906752">
        <w:rPr>
          <w:sz w:val="24"/>
        </w:rPr>
        <w:t xml:space="preserve"> </w:t>
      </w:r>
      <w:r w:rsidRPr="00C23572">
        <w:rPr>
          <w:sz w:val="24"/>
        </w:rPr>
        <w:t xml:space="preserve">are submitted as needed when there is a natural or man-made disaster or emergency that impacts access to care for Medicare/Medicaid/CHIP beneficiaries. </w:t>
      </w:r>
      <w:r w:rsidR="002569E8">
        <w:rPr>
          <w:sz w:val="24"/>
        </w:rPr>
        <w:t xml:space="preserve">Healthcare </w:t>
      </w:r>
      <w:r w:rsidR="00520BDB">
        <w:rPr>
          <w:sz w:val="24"/>
        </w:rPr>
        <w:t>provider</w:t>
      </w:r>
      <w:r w:rsidR="002569E8">
        <w:rPr>
          <w:sz w:val="24"/>
        </w:rPr>
        <w:t xml:space="preserve"> status is reported only when a facility is not in </w:t>
      </w:r>
      <w:r w:rsidR="00520BDB">
        <w:rPr>
          <w:sz w:val="24"/>
        </w:rPr>
        <w:t xml:space="preserve">or anticipates not being in </w:t>
      </w:r>
      <w:r w:rsidR="002569E8">
        <w:rPr>
          <w:sz w:val="24"/>
        </w:rPr>
        <w:t xml:space="preserve">a normal operational status. </w:t>
      </w:r>
    </w:p>
    <w:p w:rsidRPr="00C23572" w:rsidR="008F1EB4" w:rsidRDefault="008F1EB4" w14:paraId="5695D1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8F1EB4" w:rsidRDefault="008F1EB4" w14:paraId="4C850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7.</w:t>
      </w:r>
      <w:r w:rsidRPr="00C23572">
        <w:rPr>
          <w:sz w:val="24"/>
        </w:rPr>
        <w:tab/>
      </w:r>
      <w:r w:rsidRPr="00C23572">
        <w:rPr>
          <w:sz w:val="24"/>
          <w:u w:val="single"/>
        </w:rPr>
        <w:t>Special Circumstances</w:t>
      </w:r>
    </w:p>
    <w:p w:rsidRPr="00C23572" w:rsidR="008F1EB4" w:rsidRDefault="008F1EB4" w14:paraId="26131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C65A20" w:rsidRDefault="00D050CA" w14:paraId="451BB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There are no special circumstances.</w:t>
      </w:r>
    </w:p>
    <w:p w:rsidRPr="00C23572" w:rsidR="008F1EB4" w:rsidRDefault="008F1EB4" w14:paraId="525C4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8F1EB4" w:rsidRDefault="008F1EB4" w14:paraId="39B05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8.</w:t>
      </w:r>
      <w:r w:rsidRPr="00C23572">
        <w:rPr>
          <w:sz w:val="24"/>
        </w:rPr>
        <w:tab/>
      </w:r>
      <w:r w:rsidRPr="00C23572">
        <w:rPr>
          <w:sz w:val="24"/>
          <w:u w:val="single"/>
        </w:rPr>
        <w:t>Federal Register/Outside Consultation</w:t>
      </w:r>
    </w:p>
    <w:p w:rsidR="00751BCC" w:rsidP="00751BCC" w:rsidRDefault="00751BCC" w14:paraId="3CB0357F" w14:textId="77777777">
      <w:pPr>
        <w:ind w:left="432"/>
        <w:rPr>
          <w:sz w:val="24"/>
        </w:rPr>
      </w:pPr>
    </w:p>
    <w:p w:rsidR="00440DC6" w:rsidP="00751BCC" w:rsidRDefault="00916998" w14:paraId="4F012A9E" w14:textId="4F144CF8">
      <w:pPr>
        <w:ind w:left="432"/>
        <w:rPr>
          <w:sz w:val="24"/>
        </w:rPr>
      </w:pPr>
      <w:r>
        <w:rPr>
          <w:sz w:val="24"/>
        </w:rPr>
        <w:t xml:space="preserve">The 60-day Federal Register notice published on </w:t>
      </w:r>
      <w:r w:rsidR="005B0268">
        <w:rPr>
          <w:sz w:val="24"/>
        </w:rPr>
        <w:t>October 21, 2020 (</w:t>
      </w:r>
      <w:r w:rsidR="00440DC6">
        <w:rPr>
          <w:sz w:val="24"/>
        </w:rPr>
        <w:t xml:space="preserve">85 FR 66990). </w:t>
      </w:r>
    </w:p>
    <w:p w:rsidRPr="00904A47" w:rsidR="00904A47" w:rsidP="00904A47" w:rsidRDefault="00397A66" w14:paraId="6C9CDAB3" w14:textId="77777777">
      <w:pPr>
        <w:ind w:left="432"/>
        <w:rPr>
          <w:sz w:val="24"/>
        </w:rPr>
      </w:pPr>
      <w:r>
        <w:rPr>
          <w:sz w:val="24"/>
        </w:rPr>
        <w:t>Two comments were recei</w:t>
      </w:r>
      <w:r w:rsidR="00375118">
        <w:rPr>
          <w:sz w:val="24"/>
        </w:rPr>
        <w:t>ved from a hospital association.</w:t>
      </w:r>
      <w:r w:rsidR="006C37B5">
        <w:rPr>
          <w:sz w:val="24"/>
        </w:rPr>
        <w:t xml:space="preserve"> One comment requested that we further clarify on the </w:t>
      </w:r>
      <w:r w:rsidRPr="00F72B00" w:rsidR="00F72B00">
        <w:rPr>
          <w:sz w:val="24"/>
        </w:rPr>
        <w:t>automated 1135 waiver request</w:t>
      </w:r>
      <w:r w:rsidR="00AC5642">
        <w:rPr>
          <w:sz w:val="24"/>
        </w:rPr>
        <w:t xml:space="preserve"> web form that </w:t>
      </w:r>
      <w:r w:rsidRPr="00904A47" w:rsidR="00904A47">
        <w:rPr>
          <w:sz w:val="24"/>
        </w:rPr>
        <w:t>health</w:t>
      </w:r>
    </w:p>
    <w:p w:rsidRPr="004B649C" w:rsidR="004B649C" w:rsidP="004B649C" w:rsidRDefault="00904A47" w14:paraId="741E5955" w14:textId="5314F8B2">
      <w:pPr>
        <w:ind w:left="432"/>
        <w:rPr>
          <w:sz w:val="24"/>
        </w:rPr>
      </w:pPr>
      <w:r w:rsidRPr="00904A47">
        <w:rPr>
          <w:sz w:val="24"/>
        </w:rPr>
        <w:lastRenderedPageBreak/>
        <w:t>systems can submit one request form for multiple facilities by allowing for the submission of multiple</w:t>
      </w:r>
      <w:r>
        <w:rPr>
          <w:sz w:val="24"/>
        </w:rPr>
        <w:t xml:space="preserve"> </w:t>
      </w:r>
      <w:r w:rsidRPr="00904A47">
        <w:rPr>
          <w:sz w:val="24"/>
        </w:rPr>
        <w:t>organization identification numbers – such as multiple CMS Certification numbers (CCNs) – for each</w:t>
      </w:r>
      <w:r>
        <w:rPr>
          <w:sz w:val="24"/>
        </w:rPr>
        <w:t xml:space="preserve"> </w:t>
      </w:r>
      <w:r w:rsidRPr="00904A47">
        <w:rPr>
          <w:sz w:val="24"/>
        </w:rPr>
        <w:t>impacted facility in their system.</w:t>
      </w:r>
      <w:r>
        <w:rPr>
          <w:sz w:val="24"/>
        </w:rPr>
        <w:t xml:space="preserve"> While this functionality is present and available on the web form, we agr</w:t>
      </w:r>
      <w:r w:rsidR="00C83D41">
        <w:rPr>
          <w:sz w:val="24"/>
        </w:rPr>
        <w:t>e</w:t>
      </w:r>
      <w:r>
        <w:rPr>
          <w:sz w:val="24"/>
        </w:rPr>
        <w:t xml:space="preserve">e that further </w:t>
      </w:r>
      <w:r w:rsidR="00BC147A">
        <w:rPr>
          <w:sz w:val="24"/>
        </w:rPr>
        <w:t>clarification</w:t>
      </w:r>
      <w:r>
        <w:rPr>
          <w:sz w:val="24"/>
        </w:rPr>
        <w:t xml:space="preserve"> </w:t>
      </w:r>
      <w:r w:rsidR="00C83D41">
        <w:rPr>
          <w:sz w:val="24"/>
        </w:rPr>
        <w:t xml:space="preserve">is </w:t>
      </w:r>
      <w:r w:rsidR="00BC147A">
        <w:rPr>
          <w:sz w:val="24"/>
        </w:rPr>
        <w:t>worthwhile.</w:t>
      </w:r>
      <w:r w:rsidR="00A055A0">
        <w:rPr>
          <w:sz w:val="24"/>
        </w:rPr>
        <w:t xml:space="preserve"> We added additional </w:t>
      </w:r>
      <w:r w:rsidR="006173D9">
        <w:rPr>
          <w:sz w:val="24"/>
        </w:rPr>
        <w:t xml:space="preserve">help text in support of this comment. The second comment </w:t>
      </w:r>
      <w:r w:rsidRPr="004B649C" w:rsidR="004B649C">
        <w:rPr>
          <w:sz w:val="24"/>
        </w:rPr>
        <w:t>urge</w:t>
      </w:r>
      <w:r w:rsidR="004B649C">
        <w:rPr>
          <w:sz w:val="24"/>
        </w:rPr>
        <w:t>d</w:t>
      </w:r>
      <w:r w:rsidRPr="004B649C" w:rsidR="004B649C">
        <w:rPr>
          <w:sz w:val="24"/>
        </w:rPr>
        <w:t xml:space="preserve"> CMS to ensure</w:t>
      </w:r>
    </w:p>
    <w:p w:rsidR="00397A66" w:rsidP="004B649C" w:rsidRDefault="004B649C" w14:paraId="56F0DF03" w14:textId="21A24E2A">
      <w:pPr>
        <w:ind w:left="432"/>
        <w:rPr>
          <w:sz w:val="24"/>
        </w:rPr>
      </w:pPr>
      <w:r w:rsidRPr="004B649C">
        <w:rPr>
          <w:sz w:val="24"/>
        </w:rPr>
        <w:t>that hospitals are not responding to multiple data requests during disasters or emergencies.</w:t>
      </w:r>
      <w:r w:rsidRPr="006A5E4A" w:rsidR="006A5E4A">
        <w:t xml:space="preserve"> </w:t>
      </w:r>
      <w:r w:rsidRPr="006A5E4A" w:rsidR="006A5E4A">
        <w:rPr>
          <w:sz w:val="24"/>
        </w:rPr>
        <w:t>We appreciate the commenter’s concern regarding potentially duplicative data reporting requirements. CMS has a responsibility to monitor and ensure adequate access to medical and health resources during a local emergency. Each State obtains this data differently, requiring CMS to collate and normalize. Standardized submission of this information directly by the provider during emergencies allows CMS to respond more quickly and effectively when providers need it most.  We urge providers to submit this data using the webform, but we do not require it.</w:t>
      </w:r>
    </w:p>
    <w:p w:rsidR="00751BCC" w:rsidP="00751BCC" w:rsidRDefault="00751BCC" w14:paraId="7ACCD54C" w14:textId="77777777">
      <w:pPr>
        <w:ind w:left="432"/>
        <w:rPr>
          <w:sz w:val="24"/>
        </w:rPr>
      </w:pPr>
    </w:p>
    <w:p w:rsidR="005B0268" w:rsidP="00440DC6" w:rsidRDefault="00440DC6" w14:paraId="1F1FC603" w14:textId="4CA39FB6">
      <w:pPr>
        <w:ind w:firstLine="432"/>
        <w:rPr>
          <w:sz w:val="24"/>
        </w:rPr>
      </w:pPr>
      <w:r>
        <w:rPr>
          <w:sz w:val="24"/>
        </w:rPr>
        <w:t xml:space="preserve">The 30-day Federal Register notice published on </w:t>
      </w:r>
      <w:r w:rsidR="00066E54">
        <w:rPr>
          <w:sz w:val="24"/>
        </w:rPr>
        <w:t xml:space="preserve">February </w:t>
      </w:r>
      <w:r w:rsidR="00517AC2">
        <w:rPr>
          <w:sz w:val="24"/>
        </w:rPr>
        <w:t>19</w:t>
      </w:r>
      <w:r w:rsidR="00066E54">
        <w:rPr>
          <w:sz w:val="24"/>
        </w:rPr>
        <w:t>, 2021 (86 FR</w:t>
      </w:r>
      <w:r w:rsidR="005414DF">
        <w:rPr>
          <w:sz w:val="24"/>
        </w:rPr>
        <w:t xml:space="preserve"> 10282</w:t>
      </w:r>
      <w:bookmarkStart w:name="_GoBack" w:id="2"/>
      <w:bookmarkEnd w:id="2"/>
      <w:r w:rsidR="00066E54">
        <w:rPr>
          <w:sz w:val="24"/>
        </w:rPr>
        <w:t>).</w:t>
      </w:r>
    </w:p>
    <w:p w:rsidR="00066E54" w:rsidP="00440DC6" w:rsidRDefault="00066E54" w14:paraId="20FC2F3E" w14:textId="77777777">
      <w:pPr>
        <w:ind w:firstLine="432"/>
        <w:rPr>
          <w:sz w:val="24"/>
        </w:rPr>
      </w:pPr>
    </w:p>
    <w:p w:rsidRPr="004C060F" w:rsidR="00906C04" w:rsidRDefault="00906C04" w14:paraId="05AD22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C060F">
        <w:rPr>
          <w:sz w:val="24"/>
        </w:rPr>
        <w:t xml:space="preserve">CMS consulted with </w:t>
      </w:r>
      <w:r w:rsidRPr="004C060F" w:rsidR="000C668A">
        <w:rPr>
          <w:sz w:val="24"/>
        </w:rPr>
        <w:t xml:space="preserve">representatives from </w:t>
      </w:r>
      <w:r w:rsidRPr="004C060F" w:rsidR="0074773A">
        <w:rPr>
          <w:sz w:val="24"/>
        </w:rPr>
        <w:t xml:space="preserve">the Florida and California State Survey </w:t>
      </w:r>
      <w:r w:rsidRPr="004C060F" w:rsidR="00AE7DE1">
        <w:rPr>
          <w:sz w:val="24"/>
        </w:rPr>
        <w:t>Agencies to</w:t>
      </w:r>
      <w:r w:rsidRPr="004C060F" w:rsidR="0074773A">
        <w:rPr>
          <w:sz w:val="24"/>
        </w:rPr>
        <w:t xml:space="preserve"> solicit</w:t>
      </w:r>
      <w:r w:rsidRPr="004C060F">
        <w:rPr>
          <w:sz w:val="24"/>
        </w:rPr>
        <w:t xml:space="preserve"> feedback on the data elements to be collected on the draft </w:t>
      </w:r>
      <w:r w:rsidRPr="004C060F" w:rsidR="00520BDB">
        <w:rPr>
          <w:sz w:val="24"/>
        </w:rPr>
        <w:t xml:space="preserve">1135 waiver request </w:t>
      </w:r>
      <w:r w:rsidRPr="004C060F">
        <w:rPr>
          <w:sz w:val="24"/>
        </w:rPr>
        <w:t xml:space="preserve">web form and related instructions. These </w:t>
      </w:r>
      <w:r w:rsidRPr="004C060F" w:rsidR="000C668A">
        <w:rPr>
          <w:sz w:val="24"/>
        </w:rPr>
        <w:t>users</w:t>
      </w:r>
      <w:r w:rsidRPr="004C060F">
        <w:rPr>
          <w:sz w:val="24"/>
        </w:rPr>
        <w:t xml:space="preserve"> are heavily impacted by public health emergencies such as hurricanes and wildfires and submit substantially more waiver requests than other states</w:t>
      </w:r>
      <w:r w:rsidRPr="004C060F" w:rsidR="002E5824">
        <w:rPr>
          <w:sz w:val="24"/>
        </w:rPr>
        <w:t xml:space="preserve"> </w:t>
      </w:r>
      <w:r w:rsidRPr="004C060F" w:rsidR="002E5824">
        <w:rPr>
          <w:sz w:val="24"/>
          <w:u w:val="single"/>
        </w:rPr>
        <w:t>annually</w:t>
      </w:r>
      <w:r w:rsidRPr="004C060F">
        <w:rPr>
          <w:sz w:val="24"/>
        </w:rPr>
        <w:t xml:space="preserve">. </w:t>
      </w:r>
      <w:r w:rsidRPr="004C060F" w:rsidR="005E103A">
        <w:rPr>
          <w:sz w:val="24"/>
        </w:rPr>
        <w:t>CMS also conducted user acceptance testing, resulting in enhancements to the public-facing web form that streamline the submission process</w:t>
      </w:r>
      <w:r w:rsidRPr="004C060F" w:rsidR="002C04C1">
        <w:rPr>
          <w:sz w:val="24"/>
        </w:rPr>
        <w:t xml:space="preserve"> and </w:t>
      </w:r>
      <w:r w:rsidRPr="004C060F" w:rsidR="005E103A">
        <w:rPr>
          <w:sz w:val="24"/>
        </w:rPr>
        <w:t>improve the flow and readability of the web form</w:t>
      </w:r>
      <w:r w:rsidRPr="004C060F" w:rsidR="002C04C1">
        <w:rPr>
          <w:sz w:val="24"/>
        </w:rPr>
        <w:t>. These enhancements make the automated process easier to use for healthcare providers.</w:t>
      </w:r>
    </w:p>
    <w:p w:rsidRPr="00C23572" w:rsidR="008F1EB4" w:rsidRDefault="00C65A20" w14:paraId="5E0A00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      </w:t>
      </w:r>
    </w:p>
    <w:p w:rsidR="008F1EB4" w:rsidRDefault="008F1EB4" w14:paraId="40CD7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24B2EF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Default="00A73DA8" w14:paraId="7F9885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 or gifts to respondents. </w:t>
      </w:r>
    </w:p>
    <w:p w:rsidR="008F1EB4" w:rsidRDefault="008F1EB4" w14:paraId="19571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C4315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sidRPr="00C23572">
        <w:rPr>
          <w:sz w:val="24"/>
          <w:u w:val="single"/>
        </w:rPr>
        <w:t>Confidentiality</w:t>
      </w:r>
    </w:p>
    <w:p w:rsidRPr="00C23572" w:rsidR="00B16C0F" w:rsidRDefault="00B16C0F" w14:paraId="74897B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23572" w:rsidR="002965E0" w:rsidP="0060720C" w:rsidRDefault="0060720C" w14:paraId="59543A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Personally identifiable information, including social security numbers (SSN), is not being collected on</w:t>
      </w:r>
      <w:r w:rsidR="0047031F">
        <w:rPr>
          <w:sz w:val="24"/>
        </w:rPr>
        <w:t xml:space="preserve"> </w:t>
      </w:r>
      <w:r w:rsidR="00520BDB">
        <w:rPr>
          <w:sz w:val="24"/>
        </w:rPr>
        <w:t>these</w:t>
      </w:r>
      <w:r>
        <w:rPr>
          <w:sz w:val="24"/>
        </w:rPr>
        <w:t xml:space="preserve"> web form</w:t>
      </w:r>
      <w:r w:rsidR="00520BDB">
        <w:rPr>
          <w:sz w:val="24"/>
        </w:rPr>
        <w:t>s</w:t>
      </w:r>
      <w:r>
        <w:rPr>
          <w:sz w:val="24"/>
        </w:rPr>
        <w:t>. Information is being collected electronically in the Service Now system and is covered by that system’s Privacy Impact Assessment (PIA)</w:t>
      </w:r>
      <w:r w:rsidR="00632325">
        <w:rPr>
          <w:sz w:val="24"/>
        </w:rPr>
        <w:t>,</w:t>
      </w:r>
      <w:r w:rsidRPr="00632325" w:rsidR="00632325">
        <w:t xml:space="preserve"> </w:t>
      </w:r>
      <w:r w:rsidRPr="00632325" w:rsidR="00632325">
        <w:rPr>
          <w:sz w:val="24"/>
        </w:rPr>
        <w:t>updates for which are expected to be completed by October 23, 2020</w:t>
      </w:r>
      <w:r>
        <w:rPr>
          <w:sz w:val="24"/>
        </w:rPr>
        <w:t>. Information will be stored electronically in the Service Now system</w:t>
      </w:r>
      <w:r w:rsidR="00A7782A">
        <w:rPr>
          <w:sz w:val="24"/>
        </w:rPr>
        <w:t>.</w:t>
      </w:r>
      <w:r w:rsidRPr="002966A3" w:rsidR="002966A3">
        <w:t xml:space="preserve"> </w:t>
      </w:r>
      <w:r w:rsidRPr="002966A3" w:rsidR="002966A3">
        <w:rPr>
          <w:sz w:val="24"/>
        </w:rPr>
        <w:t xml:space="preserve">PII/PHI, should it be submitted, will be identified by a CMS triage agent and will follow the current CMS processes and procedures for reporting PII incidents. This includes opening a </w:t>
      </w:r>
      <w:r w:rsidR="002966A3">
        <w:rPr>
          <w:sz w:val="24"/>
        </w:rPr>
        <w:t>s</w:t>
      </w:r>
      <w:r w:rsidRPr="002966A3" w:rsidR="002966A3">
        <w:rPr>
          <w:sz w:val="24"/>
        </w:rPr>
        <w:t xml:space="preserve">ecurity incident, investigation, and remediation. </w:t>
      </w:r>
      <w:r w:rsidR="002966A3">
        <w:rPr>
          <w:sz w:val="24"/>
        </w:rPr>
        <w:t xml:space="preserve"> </w:t>
      </w:r>
      <w:r w:rsidRPr="003D7E06" w:rsidR="003D7E06">
        <w:rPr>
          <w:sz w:val="24"/>
        </w:rPr>
        <w:t>Data collected via the automated process will be retained for seven years, as approved by the National Archives and Records Administration Records Schedule DM-0440-2015-0008. The data will reside in the ServiceNow system.</w:t>
      </w:r>
      <w:r>
        <w:rPr>
          <w:sz w:val="24"/>
        </w:rPr>
        <w:t xml:space="preserve"> </w:t>
      </w:r>
      <w:r w:rsidRPr="00A7782A" w:rsidR="00A7782A">
        <w:rPr>
          <w:sz w:val="24"/>
        </w:rPr>
        <w:t>The confidentiality, integrity, and availability of information being processed is protected by a wide variety of organizational, process, and technical controls to ensure professionalism and trustworthiness.  Such safeguards include communication protocols, software to facilitate incident analysis and mitigation practices as well as other incident analysis resources</w:t>
      </w:r>
      <w:r w:rsidR="00A7782A">
        <w:rPr>
          <w:sz w:val="24"/>
        </w:rPr>
        <w:t>.</w:t>
      </w:r>
      <w:r w:rsidR="002966A3">
        <w:rPr>
          <w:sz w:val="24"/>
        </w:rPr>
        <w:t xml:space="preserve"> </w:t>
      </w:r>
    </w:p>
    <w:p w:rsidRPr="00C23572" w:rsidR="008F1EB4" w:rsidRDefault="008F1EB4" w14:paraId="0F5973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5BB4B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2D4C15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5E32E8" w:rsidP="001E4EE4" w:rsidRDefault="005E32E8" w14:paraId="5ADF3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 xml:space="preserve">There are no questions of a sensitive nature.  </w:t>
      </w:r>
    </w:p>
    <w:p w:rsidR="008F1EB4" w:rsidRDefault="008F1EB4" w14:paraId="41202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AD95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0751A4">
        <w:rPr>
          <w:sz w:val="24"/>
          <w:u w:val="single"/>
        </w:rPr>
        <w:t>Burden Estimates (Hours &amp; Wages)</w:t>
      </w:r>
    </w:p>
    <w:p w:rsidR="008F1EB4" w:rsidRDefault="008F1EB4" w14:paraId="4F8A9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690F37" w:rsidP="00B16C0F" w:rsidRDefault="00690F37" w14:paraId="1216AC3B" w14:textId="77777777">
      <w:pPr>
        <w:ind w:firstLine="432"/>
        <w:rPr>
          <w:rFonts w:eastAsia="Calibri"/>
          <w:sz w:val="24"/>
        </w:rPr>
      </w:pPr>
      <w:r w:rsidRPr="00C23572">
        <w:rPr>
          <w:rFonts w:eastAsia="Calibri"/>
          <w:sz w:val="24"/>
        </w:rPr>
        <w:t>Wage Estimates</w:t>
      </w:r>
    </w:p>
    <w:p w:rsidRPr="00C23572" w:rsidR="00690F37" w:rsidP="00690F37" w:rsidRDefault="00690F37" w14:paraId="0ADA0BC9" w14:textId="77777777">
      <w:pPr>
        <w:rPr>
          <w:rFonts w:eastAsia="Calibri"/>
          <w:sz w:val="24"/>
        </w:rPr>
      </w:pPr>
    </w:p>
    <w:p w:rsidRPr="00C23572" w:rsidR="00690F37" w:rsidP="00690F37" w:rsidRDefault="00690F37" w14:paraId="6A02C1E8" w14:textId="77777777">
      <w:pPr>
        <w:rPr>
          <w:rFonts w:eastAsia="Calibri"/>
          <w:sz w:val="24"/>
        </w:rPr>
      </w:pPr>
      <w:r w:rsidRPr="00C23572">
        <w:rPr>
          <w:rFonts w:eastAsia="Calibri"/>
          <w:sz w:val="24"/>
        </w:rPr>
        <w:t>To derive average costs, we used data from the U.S. Bureau of Labor Statistics’  2019 National Occupational Employment and Wage Estimates for all salary estimates (</w:t>
      </w:r>
      <w:hyperlink w:history="1" r:id="rId10">
        <w:r w:rsidRPr="001B0E3D" w:rsidR="00E55440">
          <w:rPr>
            <w:rStyle w:val="Hyperlink"/>
            <w:rFonts w:eastAsia="Calibri"/>
            <w:sz w:val="24"/>
          </w:rPr>
          <w:t>http://www.bls.gov/oes/current/oes_nat.htm</w:t>
        </w:r>
      </w:hyperlink>
      <w:r w:rsidR="00E55440">
        <w:rPr>
          <w:rFonts w:eastAsia="Calibri"/>
          <w:sz w:val="24"/>
        </w:rPr>
        <w:t xml:space="preserve"> </w:t>
      </w:r>
      <w:r w:rsidRPr="00C23572">
        <w:rPr>
          <w:rFonts w:eastAsia="Calibri"/>
          <w:sz w:val="24"/>
        </w:rPr>
        <w:t xml:space="preserve">). In this regard, the following table presents the mean hourly wage, the cost of fringe benefits and overhead (calculated at 100 percent of salary), and the adjusted hourly wage. </w:t>
      </w:r>
    </w:p>
    <w:p w:rsidRPr="00690F37" w:rsidR="00690F37" w:rsidP="00690F37" w:rsidRDefault="00690F37" w14:paraId="06D5E1B6" w14:textId="77777777">
      <w:pPr>
        <w:rPr>
          <w:rFonts w:eastAsia="Calibri"/>
        </w:rPr>
      </w:pPr>
    </w:p>
    <w:p w:rsidRPr="00C23572" w:rsidR="00690F37" w:rsidP="00690F37" w:rsidRDefault="00690F37" w14:paraId="5640C354" w14:textId="77777777">
      <w:pPr>
        <w:rPr>
          <w:rFonts w:eastAsia="Calibri"/>
          <w:sz w:val="24"/>
        </w:rPr>
      </w:pPr>
      <w:r w:rsidRPr="00C23572">
        <w:rPr>
          <w:rFonts w:eastAsia="Calibri"/>
          <w:sz w:val="24"/>
        </w:rPr>
        <w:t>Table 1: National Occupational Employment and Wage Estimates</w:t>
      </w:r>
    </w:p>
    <w:tbl>
      <w:tblPr>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3"/>
        <w:gridCol w:w="1980"/>
        <w:gridCol w:w="1452"/>
        <w:gridCol w:w="2042"/>
        <w:gridCol w:w="1608"/>
      </w:tblGrid>
      <w:tr w:rsidRPr="00C23572" w:rsidR="00690F37" w:rsidTr="00690F37" w14:paraId="653FF758" w14:textId="77777777">
        <w:tc>
          <w:tcPr>
            <w:tcW w:w="2173" w:type="dxa"/>
            <w:shd w:val="clear" w:color="auto" w:fill="auto"/>
            <w:hideMark/>
          </w:tcPr>
          <w:p w:rsidRPr="00C23572" w:rsidR="00690F37" w:rsidP="00690F37" w:rsidRDefault="00690F37" w14:paraId="0D9260E9" w14:textId="77777777">
            <w:pPr>
              <w:rPr>
                <w:sz w:val="24"/>
              </w:rPr>
            </w:pPr>
            <w:r w:rsidRPr="00C23572">
              <w:rPr>
                <w:sz w:val="24"/>
              </w:rPr>
              <w:t>Occupation title</w:t>
            </w:r>
          </w:p>
        </w:tc>
        <w:tc>
          <w:tcPr>
            <w:tcW w:w="1980" w:type="dxa"/>
            <w:shd w:val="clear" w:color="auto" w:fill="auto"/>
            <w:hideMark/>
          </w:tcPr>
          <w:p w:rsidRPr="00C23572" w:rsidR="00690F37" w:rsidP="00690F37" w:rsidRDefault="00690F37" w14:paraId="439C73A1" w14:textId="77777777">
            <w:pPr>
              <w:rPr>
                <w:sz w:val="24"/>
              </w:rPr>
            </w:pPr>
            <w:r w:rsidRPr="00C23572">
              <w:rPr>
                <w:sz w:val="24"/>
              </w:rPr>
              <w:t>Occupation code</w:t>
            </w:r>
          </w:p>
        </w:tc>
        <w:tc>
          <w:tcPr>
            <w:tcW w:w="1452" w:type="dxa"/>
            <w:shd w:val="clear" w:color="auto" w:fill="auto"/>
            <w:hideMark/>
          </w:tcPr>
          <w:p w:rsidRPr="00C23572" w:rsidR="00690F37" w:rsidP="00690F37" w:rsidRDefault="00690F37" w14:paraId="640CCF0A" w14:textId="77777777">
            <w:pPr>
              <w:rPr>
                <w:sz w:val="24"/>
              </w:rPr>
            </w:pPr>
            <w:r w:rsidRPr="00C23572">
              <w:rPr>
                <w:sz w:val="24"/>
              </w:rPr>
              <w:t>Mean hourly wage ($/hr)</w:t>
            </w:r>
          </w:p>
        </w:tc>
        <w:tc>
          <w:tcPr>
            <w:tcW w:w="2042" w:type="dxa"/>
            <w:shd w:val="clear" w:color="auto" w:fill="auto"/>
            <w:hideMark/>
          </w:tcPr>
          <w:p w:rsidRPr="00C23572" w:rsidR="00690F37" w:rsidP="00690F37" w:rsidRDefault="00690F37" w14:paraId="5A6F8D85" w14:textId="77777777">
            <w:pPr>
              <w:rPr>
                <w:sz w:val="24"/>
              </w:rPr>
            </w:pPr>
            <w:r w:rsidRPr="00C23572">
              <w:rPr>
                <w:sz w:val="24"/>
              </w:rPr>
              <w:t>Fringe benefits and overhead ($/hr)</w:t>
            </w:r>
          </w:p>
        </w:tc>
        <w:tc>
          <w:tcPr>
            <w:tcW w:w="1608" w:type="dxa"/>
            <w:shd w:val="clear" w:color="auto" w:fill="auto"/>
            <w:hideMark/>
          </w:tcPr>
          <w:p w:rsidRPr="00C23572" w:rsidR="00690F37" w:rsidP="00690F37" w:rsidRDefault="00690F37" w14:paraId="04950DD2" w14:textId="77777777">
            <w:pPr>
              <w:rPr>
                <w:sz w:val="24"/>
              </w:rPr>
            </w:pPr>
            <w:r w:rsidRPr="00C23572">
              <w:rPr>
                <w:sz w:val="24"/>
              </w:rPr>
              <w:t>Adjusted hourly wage ($/hr)</w:t>
            </w:r>
          </w:p>
        </w:tc>
      </w:tr>
      <w:tr w:rsidRPr="00C23572" w:rsidR="00690F37" w:rsidTr="00690F37" w14:paraId="3EDDC5B1" w14:textId="77777777">
        <w:tc>
          <w:tcPr>
            <w:tcW w:w="2173" w:type="dxa"/>
            <w:shd w:val="clear" w:color="auto" w:fill="auto"/>
          </w:tcPr>
          <w:p w:rsidRPr="00C23572" w:rsidR="00690F37" w:rsidP="00690F37" w:rsidRDefault="00F466C9" w14:paraId="6200E4CD" w14:textId="77777777">
            <w:pPr>
              <w:rPr>
                <w:sz w:val="24"/>
              </w:rPr>
            </w:pPr>
            <w:r w:rsidRPr="00C23572">
              <w:rPr>
                <w:sz w:val="24"/>
              </w:rPr>
              <w:t>Blended Occupations</w:t>
            </w:r>
            <w:r w:rsidR="00AC550B">
              <w:rPr>
                <w:sz w:val="24"/>
              </w:rPr>
              <w:t xml:space="preserve"> – Waiver Requests</w:t>
            </w:r>
          </w:p>
        </w:tc>
        <w:tc>
          <w:tcPr>
            <w:tcW w:w="1980" w:type="dxa"/>
            <w:shd w:val="clear" w:color="auto" w:fill="auto"/>
          </w:tcPr>
          <w:p w:rsidRPr="00C23572" w:rsidR="00690F37" w:rsidP="00690F37" w:rsidRDefault="00B16C0F" w14:paraId="575673A6" w14:textId="77777777">
            <w:pPr>
              <w:rPr>
                <w:sz w:val="24"/>
              </w:rPr>
            </w:pPr>
            <w:r>
              <w:rPr>
                <w:sz w:val="24"/>
              </w:rPr>
              <w:t xml:space="preserve">See </w:t>
            </w:r>
            <w:r w:rsidR="00FE1E34">
              <w:rPr>
                <w:sz w:val="24"/>
              </w:rPr>
              <w:t xml:space="preserve">Table 2 </w:t>
            </w:r>
            <w:r>
              <w:rPr>
                <w:sz w:val="24"/>
              </w:rPr>
              <w:t>below</w:t>
            </w:r>
          </w:p>
        </w:tc>
        <w:tc>
          <w:tcPr>
            <w:tcW w:w="1452" w:type="dxa"/>
            <w:shd w:val="clear" w:color="auto" w:fill="auto"/>
          </w:tcPr>
          <w:p w:rsidRPr="00C23572" w:rsidR="00690F37" w:rsidP="00690F37" w:rsidRDefault="003639DB" w14:paraId="2A9F85B7" w14:textId="77777777">
            <w:pPr>
              <w:rPr>
                <w:sz w:val="24"/>
              </w:rPr>
            </w:pPr>
            <w:r w:rsidRPr="00C23572">
              <w:rPr>
                <w:sz w:val="24"/>
              </w:rPr>
              <w:t>54.81</w:t>
            </w:r>
          </w:p>
        </w:tc>
        <w:tc>
          <w:tcPr>
            <w:tcW w:w="2042" w:type="dxa"/>
            <w:shd w:val="clear" w:color="auto" w:fill="auto"/>
          </w:tcPr>
          <w:p w:rsidRPr="00C23572" w:rsidR="00690F37" w:rsidP="00690F37" w:rsidRDefault="003639DB" w14:paraId="44D99239" w14:textId="77777777">
            <w:pPr>
              <w:rPr>
                <w:sz w:val="24"/>
              </w:rPr>
            </w:pPr>
            <w:r w:rsidRPr="00C23572">
              <w:rPr>
                <w:sz w:val="24"/>
              </w:rPr>
              <w:t>54.81</w:t>
            </w:r>
          </w:p>
        </w:tc>
        <w:tc>
          <w:tcPr>
            <w:tcW w:w="1608" w:type="dxa"/>
            <w:shd w:val="clear" w:color="auto" w:fill="auto"/>
          </w:tcPr>
          <w:p w:rsidRPr="00C23572" w:rsidR="00690F37" w:rsidP="00690F37" w:rsidRDefault="003639DB" w14:paraId="69CB7F41" w14:textId="77777777">
            <w:pPr>
              <w:rPr>
                <w:sz w:val="24"/>
              </w:rPr>
            </w:pPr>
            <w:r w:rsidRPr="00C23572">
              <w:rPr>
                <w:sz w:val="24"/>
              </w:rPr>
              <w:t>109.62</w:t>
            </w:r>
          </w:p>
        </w:tc>
      </w:tr>
      <w:tr w:rsidRPr="00C23572" w:rsidR="00AC550B" w:rsidTr="00690F37" w14:paraId="636514BE" w14:textId="77777777">
        <w:tc>
          <w:tcPr>
            <w:tcW w:w="2173" w:type="dxa"/>
            <w:shd w:val="clear" w:color="auto" w:fill="auto"/>
          </w:tcPr>
          <w:p w:rsidRPr="00C23572" w:rsidR="00AC550B" w:rsidP="00690F37" w:rsidRDefault="00AC550B" w14:paraId="5CF5F26A" w14:textId="77777777">
            <w:pPr>
              <w:rPr>
                <w:sz w:val="24"/>
              </w:rPr>
            </w:pPr>
            <w:r>
              <w:rPr>
                <w:sz w:val="24"/>
              </w:rPr>
              <w:t>Blended Occupations - Inquiries</w:t>
            </w:r>
          </w:p>
        </w:tc>
        <w:tc>
          <w:tcPr>
            <w:tcW w:w="1980" w:type="dxa"/>
            <w:shd w:val="clear" w:color="auto" w:fill="auto"/>
          </w:tcPr>
          <w:p w:rsidR="00AC550B" w:rsidP="00690F37" w:rsidRDefault="00AC550B" w14:paraId="6261A18D" w14:textId="77777777">
            <w:pPr>
              <w:rPr>
                <w:sz w:val="24"/>
              </w:rPr>
            </w:pPr>
            <w:r>
              <w:rPr>
                <w:sz w:val="24"/>
              </w:rPr>
              <w:t xml:space="preserve">See </w:t>
            </w:r>
            <w:r w:rsidR="00FE1E34">
              <w:rPr>
                <w:sz w:val="24"/>
              </w:rPr>
              <w:t xml:space="preserve">Table 3 </w:t>
            </w:r>
            <w:r>
              <w:rPr>
                <w:sz w:val="24"/>
              </w:rPr>
              <w:t>below</w:t>
            </w:r>
          </w:p>
        </w:tc>
        <w:tc>
          <w:tcPr>
            <w:tcW w:w="1452" w:type="dxa"/>
            <w:shd w:val="clear" w:color="auto" w:fill="auto"/>
          </w:tcPr>
          <w:p w:rsidRPr="00C23572" w:rsidR="00AC550B" w:rsidP="00690F37" w:rsidRDefault="00AC550B" w14:paraId="567F7E48" w14:textId="77777777">
            <w:pPr>
              <w:rPr>
                <w:sz w:val="24"/>
              </w:rPr>
            </w:pPr>
            <w:r>
              <w:rPr>
                <w:sz w:val="24"/>
              </w:rPr>
              <w:t>51.56</w:t>
            </w:r>
          </w:p>
        </w:tc>
        <w:tc>
          <w:tcPr>
            <w:tcW w:w="2042" w:type="dxa"/>
            <w:shd w:val="clear" w:color="auto" w:fill="auto"/>
          </w:tcPr>
          <w:p w:rsidRPr="00C23572" w:rsidR="00AC550B" w:rsidP="00690F37" w:rsidRDefault="00AC550B" w14:paraId="741C64BF" w14:textId="77777777">
            <w:pPr>
              <w:rPr>
                <w:sz w:val="24"/>
              </w:rPr>
            </w:pPr>
            <w:r>
              <w:rPr>
                <w:sz w:val="24"/>
              </w:rPr>
              <w:t>51.56</w:t>
            </w:r>
          </w:p>
        </w:tc>
        <w:tc>
          <w:tcPr>
            <w:tcW w:w="1608" w:type="dxa"/>
            <w:shd w:val="clear" w:color="auto" w:fill="auto"/>
          </w:tcPr>
          <w:p w:rsidRPr="00C23572" w:rsidR="00AC550B" w:rsidP="00690F37" w:rsidRDefault="00AC550B" w14:paraId="0051F65E" w14:textId="77777777">
            <w:pPr>
              <w:rPr>
                <w:sz w:val="24"/>
              </w:rPr>
            </w:pPr>
            <w:r>
              <w:rPr>
                <w:sz w:val="24"/>
              </w:rPr>
              <w:t>103.12</w:t>
            </w:r>
          </w:p>
        </w:tc>
      </w:tr>
      <w:tr w:rsidRPr="00C23572" w:rsidR="00FE1E34" w:rsidTr="00690F37" w14:paraId="773A46F1" w14:textId="77777777">
        <w:tc>
          <w:tcPr>
            <w:tcW w:w="2173" w:type="dxa"/>
            <w:shd w:val="clear" w:color="auto" w:fill="auto"/>
          </w:tcPr>
          <w:p w:rsidR="00FE1E34" w:rsidP="00690F37" w:rsidRDefault="00FE1E34" w14:paraId="37D99764" w14:textId="77777777">
            <w:pPr>
              <w:rPr>
                <w:sz w:val="24"/>
              </w:rPr>
            </w:pPr>
            <w:r>
              <w:rPr>
                <w:sz w:val="24"/>
              </w:rPr>
              <w:t>Blended Occupations – Operational Status</w:t>
            </w:r>
          </w:p>
        </w:tc>
        <w:tc>
          <w:tcPr>
            <w:tcW w:w="1980" w:type="dxa"/>
            <w:shd w:val="clear" w:color="auto" w:fill="auto"/>
          </w:tcPr>
          <w:p w:rsidR="00FE1E34" w:rsidP="00690F37" w:rsidRDefault="00FE1E34" w14:paraId="31919B70" w14:textId="77777777">
            <w:pPr>
              <w:rPr>
                <w:sz w:val="24"/>
              </w:rPr>
            </w:pPr>
            <w:r>
              <w:rPr>
                <w:sz w:val="24"/>
              </w:rPr>
              <w:t>See Table 4 below</w:t>
            </w:r>
          </w:p>
        </w:tc>
        <w:tc>
          <w:tcPr>
            <w:tcW w:w="1452" w:type="dxa"/>
            <w:shd w:val="clear" w:color="auto" w:fill="auto"/>
          </w:tcPr>
          <w:p w:rsidR="00FE1E34" w:rsidP="00690F37" w:rsidRDefault="004311BB" w14:paraId="3A04F5CC" w14:textId="77777777">
            <w:pPr>
              <w:rPr>
                <w:sz w:val="24"/>
              </w:rPr>
            </w:pPr>
            <w:r>
              <w:rPr>
                <w:sz w:val="24"/>
              </w:rPr>
              <w:t>37.73</w:t>
            </w:r>
          </w:p>
        </w:tc>
        <w:tc>
          <w:tcPr>
            <w:tcW w:w="2042" w:type="dxa"/>
            <w:shd w:val="clear" w:color="auto" w:fill="auto"/>
          </w:tcPr>
          <w:p w:rsidR="00FE1E34" w:rsidP="00690F37" w:rsidRDefault="004311BB" w14:paraId="6B567257" w14:textId="77777777">
            <w:pPr>
              <w:rPr>
                <w:sz w:val="24"/>
              </w:rPr>
            </w:pPr>
            <w:r>
              <w:rPr>
                <w:sz w:val="24"/>
              </w:rPr>
              <w:t>37.73</w:t>
            </w:r>
          </w:p>
        </w:tc>
        <w:tc>
          <w:tcPr>
            <w:tcW w:w="1608" w:type="dxa"/>
            <w:shd w:val="clear" w:color="auto" w:fill="auto"/>
          </w:tcPr>
          <w:p w:rsidR="00FE1E34" w:rsidP="00690F37" w:rsidRDefault="004311BB" w14:paraId="6E6D6EA3" w14:textId="77777777">
            <w:pPr>
              <w:rPr>
                <w:sz w:val="24"/>
              </w:rPr>
            </w:pPr>
            <w:r>
              <w:rPr>
                <w:sz w:val="24"/>
              </w:rPr>
              <w:t>75.46</w:t>
            </w:r>
          </w:p>
        </w:tc>
      </w:tr>
    </w:tbl>
    <w:p w:rsidRPr="00690F37" w:rsidR="00690F37" w:rsidP="00690F37" w:rsidRDefault="00690F37" w14:paraId="11C082C4" w14:textId="77777777">
      <w:pPr>
        <w:rPr>
          <w:rFonts w:eastAsia="Calibri"/>
        </w:rPr>
      </w:pPr>
    </w:p>
    <w:p w:rsidRPr="00C23572" w:rsidR="00690F37" w:rsidP="00690F37" w:rsidRDefault="00690F37" w14:paraId="21654C62" w14:textId="77777777">
      <w:pPr>
        <w:rPr>
          <w:rFonts w:eastAsia="Calibri"/>
          <w:sz w:val="24"/>
        </w:rPr>
      </w:pPr>
      <w:r w:rsidRPr="00C23572">
        <w:rPr>
          <w:rFonts w:eastAsia="Calibri"/>
          <w:sz w:val="24"/>
        </w:rPr>
        <w:t>As indicated, 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C23572" w:rsidR="00690F37" w:rsidRDefault="00690F37" w14:paraId="463001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90F37" w:rsidP="00C23572" w:rsidRDefault="00690F37" w14:paraId="3AB28F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In calendar year 2020 to date, CMS has received over 3,000 individual 1135 Waiver Requests. We anticipate that </w:t>
      </w:r>
      <w:r w:rsidR="00E92674">
        <w:rPr>
          <w:sz w:val="24"/>
        </w:rPr>
        <w:t xml:space="preserve">it would </w:t>
      </w:r>
      <w:r w:rsidRPr="00C23572">
        <w:rPr>
          <w:sz w:val="24"/>
        </w:rPr>
        <w:t>generally</w:t>
      </w:r>
      <w:r w:rsidR="00E92674">
        <w:rPr>
          <w:sz w:val="24"/>
        </w:rPr>
        <w:t xml:space="preserve"> take </w:t>
      </w:r>
      <w:r w:rsidR="00AB51BD">
        <w:rPr>
          <w:sz w:val="24"/>
        </w:rPr>
        <w:t>45</w:t>
      </w:r>
      <w:r w:rsidR="00AE7DE1">
        <w:rPr>
          <w:sz w:val="24"/>
        </w:rPr>
        <w:t xml:space="preserve"> </w:t>
      </w:r>
      <w:r w:rsidR="00E92674">
        <w:rPr>
          <w:sz w:val="24"/>
        </w:rPr>
        <w:t xml:space="preserve">minutes </w:t>
      </w:r>
      <w:r w:rsidR="001576F4">
        <w:rPr>
          <w:sz w:val="24"/>
        </w:rPr>
        <w:t>per entity</w:t>
      </w:r>
      <w:r w:rsidRPr="00C23572" w:rsidR="001576F4">
        <w:rPr>
          <w:sz w:val="24"/>
        </w:rPr>
        <w:t xml:space="preserve"> </w:t>
      </w:r>
      <w:r w:rsidR="00E92674">
        <w:rPr>
          <w:sz w:val="24"/>
        </w:rPr>
        <w:t xml:space="preserve">to </w:t>
      </w:r>
      <w:r w:rsidRPr="00C23572">
        <w:rPr>
          <w:sz w:val="24"/>
        </w:rPr>
        <w:t xml:space="preserve">submit the </w:t>
      </w:r>
      <w:r w:rsidR="00E611D5">
        <w:rPr>
          <w:sz w:val="24"/>
        </w:rPr>
        <w:t>w</w:t>
      </w:r>
      <w:r w:rsidRPr="00C23572" w:rsidR="00E611D5">
        <w:rPr>
          <w:sz w:val="24"/>
        </w:rPr>
        <w:t xml:space="preserve">aiver </w:t>
      </w:r>
      <w:r w:rsidRPr="00C23572">
        <w:rPr>
          <w:sz w:val="24"/>
        </w:rPr>
        <w:t>request to CMS</w:t>
      </w:r>
      <w:r w:rsidR="00E611D5">
        <w:rPr>
          <w:sz w:val="24"/>
        </w:rPr>
        <w:t>.</w:t>
      </w:r>
      <w:r w:rsidRPr="00C23572">
        <w:rPr>
          <w:sz w:val="24"/>
        </w:rPr>
        <w:t xml:space="preserve"> </w:t>
      </w:r>
      <w:r w:rsidR="00E611D5">
        <w:rPr>
          <w:sz w:val="24"/>
        </w:rPr>
        <w:t xml:space="preserve"> It would also take 15 minutes to consult with the</w:t>
      </w:r>
      <w:r w:rsidR="002E5824">
        <w:rPr>
          <w:sz w:val="24"/>
        </w:rPr>
        <w:t xml:space="preserve"> </w:t>
      </w:r>
      <w:r w:rsidRPr="00C23572">
        <w:rPr>
          <w:sz w:val="24"/>
        </w:rPr>
        <w:t>provider/</w:t>
      </w:r>
      <w:r w:rsidRPr="00C23572" w:rsidR="00C23572">
        <w:rPr>
          <w:sz w:val="24"/>
        </w:rPr>
        <w:t>supplier’s</w:t>
      </w:r>
      <w:r w:rsidRPr="00C23572">
        <w:rPr>
          <w:sz w:val="24"/>
        </w:rPr>
        <w:t xml:space="preserve"> administrator, CEO or other top executive. </w:t>
      </w:r>
      <w:r w:rsidR="00E611D5">
        <w:rPr>
          <w:sz w:val="24"/>
        </w:rPr>
        <w:t xml:space="preserve">This would be a total of </w:t>
      </w:r>
      <w:r w:rsidR="00AB51BD">
        <w:rPr>
          <w:sz w:val="24"/>
        </w:rPr>
        <w:t>60</w:t>
      </w:r>
      <w:r w:rsidR="00AE7DE1">
        <w:rPr>
          <w:sz w:val="24"/>
        </w:rPr>
        <w:t xml:space="preserve"> </w:t>
      </w:r>
      <w:r w:rsidR="00E611D5">
        <w:rPr>
          <w:sz w:val="24"/>
        </w:rPr>
        <w:t xml:space="preserve">minutes.  The total burden hours would be </w:t>
      </w:r>
      <w:r w:rsidR="00AB51BD">
        <w:rPr>
          <w:sz w:val="24"/>
        </w:rPr>
        <w:t>3,000</w:t>
      </w:r>
      <w:r w:rsidR="002E5824">
        <w:rPr>
          <w:sz w:val="24"/>
        </w:rPr>
        <w:t xml:space="preserve"> </w:t>
      </w:r>
      <w:r w:rsidR="00E611D5">
        <w:rPr>
          <w:sz w:val="24"/>
        </w:rPr>
        <w:t>(</w:t>
      </w:r>
      <w:r w:rsidR="00AB51BD">
        <w:rPr>
          <w:sz w:val="24"/>
        </w:rPr>
        <w:t>1</w:t>
      </w:r>
      <w:r w:rsidR="00E611D5">
        <w:rPr>
          <w:sz w:val="24"/>
        </w:rPr>
        <w:t xml:space="preserve"> hour</w:t>
      </w:r>
      <w:r w:rsidR="00975E39">
        <w:rPr>
          <w:sz w:val="24"/>
        </w:rPr>
        <w:t xml:space="preserve"> </w:t>
      </w:r>
      <w:r w:rsidR="00E611D5">
        <w:rPr>
          <w:sz w:val="24"/>
        </w:rPr>
        <w:t>X 3,000 waivers).</w:t>
      </w:r>
    </w:p>
    <w:p w:rsidR="00E611D5" w:rsidP="00C23572" w:rsidRDefault="00E611D5" w14:paraId="6F486A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1D5" w:rsidP="00C23572" w:rsidRDefault="00E611D5" w14:paraId="481E8D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total cost would be $</w:t>
      </w:r>
      <w:r w:rsidR="00AB51BD">
        <w:rPr>
          <w:sz w:val="24"/>
        </w:rPr>
        <w:t>328,860</w:t>
      </w:r>
      <w:r>
        <w:rPr>
          <w:sz w:val="24"/>
        </w:rPr>
        <w:t xml:space="preserve"> (</w:t>
      </w:r>
      <w:r w:rsidR="00AB51BD">
        <w:rPr>
          <w:sz w:val="24"/>
        </w:rPr>
        <w:t>3,000</w:t>
      </w:r>
      <w:r>
        <w:rPr>
          <w:sz w:val="24"/>
        </w:rPr>
        <w:t xml:space="preserve"> hours X 109.62)</w:t>
      </w:r>
    </w:p>
    <w:p w:rsidRPr="00C23572" w:rsidR="00E611D5" w:rsidP="00C23572" w:rsidRDefault="00E611D5" w14:paraId="571EAE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F15E13" w:rsidRDefault="00F15E13" w14:paraId="4F1AC4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466C9" w:rsidRDefault="00F466C9" w14:paraId="50F0DF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tbl>
      <w:tblPr>
        <w:tblW w:w="7440" w:type="dxa"/>
        <w:tblInd w:w="108" w:type="dxa"/>
        <w:tblLook w:val="04A0" w:firstRow="1" w:lastRow="0" w:firstColumn="1" w:lastColumn="0" w:noHBand="0" w:noVBand="1"/>
      </w:tblPr>
      <w:tblGrid>
        <w:gridCol w:w="3560"/>
        <w:gridCol w:w="1700"/>
        <w:gridCol w:w="996"/>
        <w:gridCol w:w="1220"/>
      </w:tblGrid>
      <w:tr w:rsidRPr="00F466C9" w:rsidR="00F466C9" w:rsidTr="00F466C9" w14:paraId="12343301" w14:textId="77777777">
        <w:trPr>
          <w:trHeight w:val="765"/>
        </w:trPr>
        <w:tc>
          <w:tcPr>
            <w:tcW w:w="3560" w:type="dxa"/>
            <w:tcBorders>
              <w:top w:val="nil"/>
              <w:left w:val="nil"/>
              <w:bottom w:val="nil"/>
              <w:right w:val="nil"/>
            </w:tcBorders>
            <w:shd w:val="clear" w:color="auto" w:fill="auto"/>
            <w:noWrap/>
            <w:vAlign w:val="bottom"/>
            <w:hideMark/>
          </w:tcPr>
          <w:p w:rsidRPr="00E55440" w:rsidR="00F466C9" w:rsidP="00F466C9" w:rsidRDefault="00FE1E34" w14:paraId="43C986DE" w14:textId="77777777">
            <w:pPr>
              <w:widowControl/>
              <w:autoSpaceDE/>
              <w:autoSpaceDN/>
              <w:adjustRightInd/>
              <w:rPr>
                <w:b/>
                <w:bCs/>
                <w:color w:val="000000"/>
                <w:sz w:val="24"/>
              </w:rPr>
            </w:pPr>
            <w:bookmarkStart w:name="_Hlk53212911" w:id="3"/>
            <w:r>
              <w:rPr>
                <w:b/>
                <w:bCs/>
                <w:color w:val="000000"/>
                <w:sz w:val="24"/>
              </w:rPr>
              <w:t xml:space="preserve">Table 2: </w:t>
            </w:r>
            <w:r w:rsidRPr="00E55440" w:rsidR="00E55440">
              <w:rPr>
                <w:b/>
                <w:bCs/>
                <w:color w:val="000000"/>
                <w:sz w:val="24"/>
              </w:rPr>
              <w:t>Blended Occupations</w:t>
            </w:r>
          </w:p>
        </w:tc>
        <w:tc>
          <w:tcPr>
            <w:tcW w:w="1700" w:type="dxa"/>
            <w:tcBorders>
              <w:top w:val="nil"/>
              <w:left w:val="nil"/>
              <w:bottom w:val="nil"/>
              <w:right w:val="nil"/>
            </w:tcBorders>
            <w:shd w:val="clear" w:color="auto" w:fill="auto"/>
            <w:vAlign w:val="bottom"/>
            <w:hideMark/>
          </w:tcPr>
          <w:p w:rsidRPr="00E55440" w:rsidR="00F466C9" w:rsidP="00F466C9" w:rsidRDefault="00F466C9" w14:paraId="2547BB1B" w14:textId="77777777">
            <w:pPr>
              <w:widowControl/>
              <w:autoSpaceDE/>
              <w:autoSpaceDN/>
              <w:adjustRightInd/>
              <w:rPr>
                <w:b/>
                <w:bCs/>
                <w:color w:val="000000"/>
                <w:sz w:val="24"/>
              </w:rPr>
            </w:pPr>
            <w:r w:rsidRPr="00E55440">
              <w:rPr>
                <w:b/>
                <w:bCs/>
                <w:color w:val="000000"/>
                <w:sz w:val="24"/>
              </w:rPr>
              <w:t>BLS Occupation Code</w:t>
            </w:r>
          </w:p>
        </w:tc>
        <w:tc>
          <w:tcPr>
            <w:tcW w:w="960" w:type="dxa"/>
            <w:tcBorders>
              <w:top w:val="single" w:color="000000" w:sz="4" w:space="0"/>
              <w:left w:val="single" w:color="000000" w:sz="4" w:space="0"/>
              <w:bottom w:val="nil"/>
              <w:right w:val="single" w:color="000000" w:sz="4" w:space="0"/>
            </w:tcBorders>
            <w:shd w:val="clear" w:color="000000" w:fill="FFFFFF"/>
            <w:vAlign w:val="center"/>
            <w:hideMark/>
          </w:tcPr>
          <w:p w:rsidRPr="00E55440" w:rsidR="00F466C9" w:rsidP="00F466C9" w:rsidRDefault="00F466C9" w14:paraId="4BE1C716" w14:textId="77777777">
            <w:pPr>
              <w:widowControl/>
              <w:autoSpaceDE/>
              <w:autoSpaceDN/>
              <w:adjustRightInd/>
              <w:jc w:val="center"/>
              <w:rPr>
                <w:b/>
                <w:bCs/>
                <w:color w:val="000000"/>
                <w:sz w:val="24"/>
              </w:rPr>
            </w:pPr>
            <w:r w:rsidRPr="00E55440">
              <w:rPr>
                <w:b/>
                <w:bCs/>
                <w:color w:val="000000"/>
                <w:sz w:val="24"/>
              </w:rPr>
              <w:t>Mean hourly wage</w:t>
            </w:r>
          </w:p>
        </w:tc>
        <w:tc>
          <w:tcPr>
            <w:tcW w:w="1220" w:type="dxa"/>
            <w:tcBorders>
              <w:top w:val="single" w:color="000000" w:sz="4" w:space="0"/>
              <w:left w:val="nil"/>
              <w:bottom w:val="nil"/>
              <w:right w:val="single" w:color="auto" w:sz="4" w:space="0"/>
            </w:tcBorders>
            <w:shd w:val="clear" w:color="000000" w:fill="FFFFFF"/>
            <w:vAlign w:val="center"/>
            <w:hideMark/>
          </w:tcPr>
          <w:p w:rsidRPr="00E55440" w:rsidR="00F466C9" w:rsidP="00F466C9" w:rsidRDefault="00F466C9" w14:paraId="2F9F6D63" w14:textId="77777777">
            <w:pPr>
              <w:widowControl/>
              <w:autoSpaceDE/>
              <w:autoSpaceDN/>
              <w:adjustRightInd/>
              <w:jc w:val="center"/>
              <w:rPr>
                <w:b/>
                <w:bCs/>
                <w:color w:val="000000"/>
                <w:sz w:val="24"/>
              </w:rPr>
            </w:pPr>
            <w:r w:rsidRPr="00E55440">
              <w:rPr>
                <w:b/>
                <w:bCs/>
                <w:color w:val="000000"/>
                <w:sz w:val="24"/>
              </w:rPr>
              <w:t>Fringe Benefits</w:t>
            </w:r>
          </w:p>
        </w:tc>
      </w:tr>
      <w:tr w:rsidRPr="00F466C9" w:rsidR="00F466C9" w:rsidTr="00F466C9" w14:paraId="778D69DF"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77955E23" w14:textId="77777777">
            <w:pPr>
              <w:widowControl/>
              <w:autoSpaceDE/>
              <w:autoSpaceDN/>
              <w:adjustRightInd/>
              <w:rPr>
                <w:sz w:val="24"/>
              </w:rPr>
            </w:pPr>
            <w:r w:rsidRPr="00E55440">
              <w:rPr>
                <w:sz w:val="24"/>
              </w:rPr>
              <w:lastRenderedPageBreak/>
              <w:t>Nursing Home Administrator</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E55440" w:rsidR="00F466C9" w:rsidP="00F466C9" w:rsidRDefault="00F466C9" w14:paraId="38496E6F" w14:textId="77777777">
            <w:pPr>
              <w:widowControl/>
              <w:autoSpaceDE/>
              <w:autoSpaceDN/>
              <w:adjustRightInd/>
              <w:rPr>
                <w:color w:val="000000"/>
                <w:sz w:val="24"/>
              </w:rPr>
            </w:pPr>
            <w:r w:rsidRPr="00E55440">
              <w:rPr>
                <w:color w:val="000000"/>
                <w:sz w:val="24"/>
              </w:rPr>
              <w:t>43-1011</w:t>
            </w:r>
          </w:p>
        </w:tc>
        <w:tc>
          <w:tcPr>
            <w:tcW w:w="960" w:type="dxa"/>
            <w:tcBorders>
              <w:top w:val="single" w:color="000000" w:sz="4" w:space="0"/>
              <w:left w:val="nil"/>
              <w:bottom w:val="single" w:color="000000" w:sz="4" w:space="0"/>
              <w:right w:val="single" w:color="000000" w:sz="4" w:space="0"/>
            </w:tcBorders>
            <w:shd w:val="clear" w:color="000000" w:fill="FFFFFF"/>
            <w:vAlign w:val="center"/>
            <w:hideMark/>
          </w:tcPr>
          <w:p w:rsidRPr="00E55440" w:rsidR="00F466C9" w:rsidP="00F466C9" w:rsidRDefault="00F466C9" w14:paraId="741E6CC4" w14:textId="77777777">
            <w:pPr>
              <w:widowControl/>
              <w:autoSpaceDE/>
              <w:autoSpaceDN/>
              <w:adjustRightInd/>
              <w:jc w:val="center"/>
              <w:rPr>
                <w:color w:val="000000"/>
                <w:sz w:val="24"/>
              </w:rPr>
            </w:pPr>
            <w:r w:rsidRPr="00E55440">
              <w:rPr>
                <w:color w:val="000000"/>
                <w:sz w:val="24"/>
              </w:rPr>
              <w:t xml:space="preserve">$28.91 </w:t>
            </w:r>
          </w:p>
        </w:tc>
        <w:tc>
          <w:tcPr>
            <w:tcW w:w="1220" w:type="dxa"/>
            <w:tcBorders>
              <w:top w:val="single" w:color="000000" w:sz="4" w:space="0"/>
              <w:left w:val="nil"/>
              <w:bottom w:val="single" w:color="000000" w:sz="4" w:space="0"/>
              <w:right w:val="single" w:color="auto" w:sz="4" w:space="0"/>
            </w:tcBorders>
            <w:shd w:val="clear" w:color="000000" w:fill="FFFFFF"/>
            <w:vAlign w:val="center"/>
            <w:hideMark/>
          </w:tcPr>
          <w:p w:rsidRPr="00E55440" w:rsidR="00F466C9" w:rsidP="00F466C9" w:rsidRDefault="00F466C9" w14:paraId="4E3F903E" w14:textId="77777777">
            <w:pPr>
              <w:widowControl/>
              <w:autoSpaceDE/>
              <w:autoSpaceDN/>
              <w:adjustRightInd/>
              <w:jc w:val="center"/>
              <w:rPr>
                <w:color w:val="000000"/>
                <w:sz w:val="24"/>
              </w:rPr>
            </w:pPr>
            <w:r w:rsidRPr="00E55440">
              <w:rPr>
                <w:color w:val="000000"/>
                <w:sz w:val="24"/>
              </w:rPr>
              <w:t xml:space="preserve">$28.91 </w:t>
            </w:r>
          </w:p>
        </w:tc>
      </w:tr>
      <w:tr w:rsidRPr="00F466C9" w:rsidR="00F466C9" w:rsidTr="00F466C9" w14:paraId="0FACC45A"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07237791" w14:textId="77777777">
            <w:pPr>
              <w:widowControl/>
              <w:autoSpaceDE/>
              <w:autoSpaceDN/>
              <w:adjustRightInd/>
              <w:rPr>
                <w:sz w:val="24"/>
              </w:rPr>
            </w:pPr>
            <w:r w:rsidRPr="00E55440">
              <w:rPr>
                <w:sz w:val="24"/>
              </w:rPr>
              <w:t>General Physician</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76AEAA59" w14:textId="77777777">
            <w:pPr>
              <w:widowControl/>
              <w:autoSpaceDE/>
              <w:autoSpaceDN/>
              <w:adjustRightInd/>
              <w:rPr>
                <w:color w:val="000000"/>
                <w:sz w:val="24"/>
              </w:rPr>
            </w:pPr>
            <w:r w:rsidRPr="00E55440">
              <w:rPr>
                <w:color w:val="000000"/>
                <w:sz w:val="24"/>
              </w:rPr>
              <w:t>29-1216</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14:paraId="25CA0CC6" w14:textId="77777777">
            <w:pPr>
              <w:widowControl/>
              <w:autoSpaceDE/>
              <w:autoSpaceDN/>
              <w:adjustRightInd/>
              <w:jc w:val="center"/>
              <w:rPr>
                <w:color w:val="000000"/>
                <w:sz w:val="24"/>
              </w:rPr>
            </w:pPr>
            <w:r w:rsidRPr="00E55440">
              <w:rPr>
                <w:color w:val="000000"/>
                <w:sz w:val="24"/>
              </w:rPr>
              <w:t xml:space="preserve">$96.85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14:paraId="5358C5E5" w14:textId="77777777">
            <w:pPr>
              <w:widowControl/>
              <w:autoSpaceDE/>
              <w:autoSpaceDN/>
              <w:adjustRightInd/>
              <w:jc w:val="center"/>
              <w:rPr>
                <w:color w:val="000000"/>
                <w:sz w:val="24"/>
              </w:rPr>
            </w:pPr>
            <w:r w:rsidRPr="00E55440">
              <w:rPr>
                <w:color w:val="000000"/>
                <w:sz w:val="24"/>
              </w:rPr>
              <w:t xml:space="preserve">$96.85 </w:t>
            </w:r>
          </w:p>
        </w:tc>
      </w:tr>
      <w:tr w:rsidRPr="00F466C9" w:rsidR="00F466C9" w:rsidTr="00F466C9" w14:paraId="7425CAE5"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71F56238" w14:textId="77777777">
            <w:pPr>
              <w:widowControl/>
              <w:autoSpaceDE/>
              <w:autoSpaceDN/>
              <w:adjustRightInd/>
              <w:rPr>
                <w:sz w:val="24"/>
              </w:rPr>
            </w:pPr>
            <w:r w:rsidRPr="00E55440">
              <w:rPr>
                <w:sz w:val="24"/>
              </w:rPr>
              <w:t>Hospital 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6DC60104" w14:textId="77777777">
            <w:pPr>
              <w:widowControl/>
              <w:autoSpaceDE/>
              <w:autoSpaceDN/>
              <w:adjustRightInd/>
              <w:rPr>
                <w:color w:val="000000"/>
                <w:sz w:val="24"/>
              </w:rPr>
            </w:pPr>
            <w:r w:rsidRPr="00E55440">
              <w:rPr>
                <w:color w:val="000000"/>
                <w:sz w:val="24"/>
              </w:rPr>
              <w:t>11*9111</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14:paraId="6021EE43" w14:textId="77777777">
            <w:pPr>
              <w:widowControl/>
              <w:autoSpaceDE/>
              <w:autoSpaceDN/>
              <w:adjustRightInd/>
              <w:jc w:val="center"/>
              <w:rPr>
                <w:color w:val="000000"/>
                <w:sz w:val="24"/>
              </w:rPr>
            </w:pPr>
            <w:r w:rsidRPr="00E55440">
              <w:rPr>
                <w:color w:val="000000"/>
                <w:sz w:val="24"/>
              </w:rPr>
              <w:t xml:space="preserve">$55.37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14:paraId="10BE6B44" w14:textId="77777777">
            <w:pPr>
              <w:widowControl/>
              <w:autoSpaceDE/>
              <w:autoSpaceDN/>
              <w:adjustRightInd/>
              <w:jc w:val="center"/>
              <w:rPr>
                <w:color w:val="000000"/>
                <w:sz w:val="24"/>
              </w:rPr>
            </w:pPr>
            <w:r w:rsidRPr="00E55440">
              <w:rPr>
                <w:color w:val="000000"/>
                <w:sz w:val="24"/>
              </w:rPr>
              <w:t xml:space="preserve">$55.37 </w:t>
            </w:r>
          </w:p>
        </w:tc>
      </w:tr>
      <w:tr w:rsidRPr="00F466C9" w:rsidR="00F466C9" w:rsidTr="00F466C9" w14:paraId="1B5CAA3C"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68E5A00F" w14:textId="77777777">
            <w:pPr>
              <w:widowControl/>
              <w:autoSpaceDE/>
              <w:autoSpaceDN/>
              <w:adjustRightInd/>
              <w:rPr>
                <w:sz w:val="24"/>
              </w:rPr>
            </w:pPr>
            <w:r w:rsidRPr="00E55440">
              <w:rPr>
                <w:sz w:val="24"/>
              </w:rPr>
              <w:t>CEO</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4C3A5CCE" w14:textId="77777777">
            <w:pPr>
              <w:widowControl/>
              <w:autoSpaceDE/>
              <w:autoSpaceDN/>
              <w:adjustRightInd/>
              <w:rPr>
                <w:color w:val="000000"/>
                <w:sz w:val="24"/>
              </w:rPr>
            </w:pPr>
            <w:r w:rsidRPr="00E55440">
              <w:rPr>
                <w:color w:val="000000"/>
                <w:sz w:val="24"/>
              </w:rPr>
              <w:t>11-1011</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14:paraId="76072040" w14:textId="77777777">
            <w:pPr>
              <w:widowControl/>
              <w:autoSpaceDE/>
              <w:autoSpaceDN/>
              <w:adjustRightInd/>
              <w:jc w:val="center"/>
              <w:rPr>
                <w:color w:val="000000"/>
                <w:sz w:val="24"/>
              </w:rPr>
            </w:pPr>
            <w:r w:rsidRPr="00E55440">
              <w:rPr>
                <w:color w:val="000000"/>
                <w:sz w:val="24"/>
              </w:rPr>
              <w:t xml:space="preserve">$93.20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14:paraId="0A6D3A27" w14:textId="77777777">
            <w:pPr>
              <w:widowControl/>
              <w:autoSpaceDE/>
              <w:autoSpaceDN/>
              <w:adjustRightInd/>
              <w:jc w:val="center"/>
              <w:rPr>
                <w:color w:val="000000"/>
                <w:sz w:val="24"/>
              </w:rPr>
            </w:pPr>
            <w:r w:rsidRPr="00E55440">
              <w:rPr>
                <w:color w:val="000000"/>
                <w:sz w:val="24"/>
              </w:rPr>
              <w:t xml:space="preserve">$93.20 </w:t>
            </w:r>
          </w:p>
        </w:tc>
      </w:tr>
      <w:tr w:rsidRPr="00F466C9" w:rsidR="00F466C9" w:rsidTr="00F466C9" w14:paraId="4420FB0A"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4CFB7EE3" w14:textId="77777777">
            <w:pPr>
              <w:widowControl/>
              <w:autoSpaceDE/>
              <w:autoSpaceDN/>
              <w:adjustRightInd/>
              <w:rPr>
                <w:sz w:val="24"/>
              </w:rPr>
            </w:pPr>
            <w:r w:rsidRPr="00E55440">
              <w:rPr>
                <w:sz w:val="24"/>
              </w:rPr>
              <w:t>Rehabilitation Therapist</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673FA20E" w14:textId="77777777">
            <w:pPr>
              <w:widowControl/>
              <w:autoSpaceDE/>
              <w:autoSpaceDN/>
              <w:adjustRightInd/>
              <w:rPr>
                <w:color w:val="000000"/>
                <w:sz w:val="24"/>
              </w:rPr>
            </w:pPr>
            <w:r w:rsidRPr="00E55440">
              <w:rPr>
                <w:color w:val="000000"/>
                <w:sz w:val="24"/>
              </w:rPr>
              <w:t>21-1015</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14:paraId="0F38D9E4" w14:textId="77777777">
            <w:pPr>
              <w:widowControl/>
              <w:autoSpaceDE/>
              <w:autoSpaceDN/>
              <w:adjustRightInd/>
              <w:jc w:val="center"/>
              <w:rPr>
                <w:color w:val="000000"/>
                <w:sz w:val="24"/>
              </w:rPr>
            </w:pPr>
            <w:r w:rsidRPr="00E55440">
              <w:rPr>
                <w:color w:val="000000"/>
                <w:sz w:val="24"/>
              </w:rPr>
              <w:t xml:space="preserve">$19.31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14:paraId="130BBB66" w14:textId="77777777">
            <w:pPr>
              <w:widowControl/>
              <w:autoSpaceDE/>
              <w:autoSpaceDN/>
              <w:adjustRightInd/>
              <w:jc w:val="center"/>
              <w:rPr>
                <w:color w:val="000000"/>
                <w:sz w:val="24"/>
              </w:rPr>
            </w:pPr>
            <w:r w:rsidRPr="00E55440">
              <w:rPr>
                <w:color w:val="000000"/>
                <w:sz w:val="24"/>
              </w:rPr>
              <w:t xml:space="preserve">$19.31 </w:t>
            </w:r>
          </w:p>
        </w:tc>
      </w:tr>
      <w:tr w:rsidRPr="00F466C9" w:rsidR="00F466C9" w:rsidTr="00F466C9" w14:paraId="45EDFB8B"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404B974F" w14:textId="77777777">
            <w:pPr>
              <w:widowControl/>
              <w:autoSpaceDE/>
              <w:autoSpaceDN/>
              <w:adjustRightInd/>
              <w:rPr>
                <w:sz w:val="24"/>
              </w:rPr>
            </w:pPr>
            <w:r w:rsidRPr="00E55440">
              <w:rPr>
                <w:sz w:val="24"/>
              </w:rPr>
              <w:t>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2EF88206" w14:textId="77777777">
            <w:pPr>
              <w:widowControl/>
              <w:autoSpaceDE/>
              <w:autoSpaceDN/>
              <w:adjustRightInd/>
              <w:rPr>
                <w:color w:val="000000"/>
                <w:sz w:val="24"/>
              </w:rPr>
            </w:pPr>
            <w:r w:rsidRPr="00E55440">
              <w:rPr>
                <w:color w:val="000000"/>
                <w:sz w:val="24"/>
              </w:rPr>
              <w:t>43-1011</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14:paraId="0EA0EF3B" w14:textId="77777777">
            <w:pPr>
              <w:widowControl/>
              <w:autoSpaceDE/>
              <w:autoSpaceDN/>
              <w:adjustRightInd/>
              <w:jc w:val="center"/>
              <w:rPr>
                <w:color w:val="000000"/>
                <w:sz w:val="24"/>
              </w:rPr>
            </w:pPr>
            <w:r w:rsidRPr="00E55440">
              <w:rPr>
                <w:color w:val="000000"/>
                <w:sz w:val="24"/>
              </w:rPr>
              <w:t xml:space="preserve">$28.91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14:paraId="4F06761C" w14:textId="77777777">
            <w:pPr>
              <w:widowControl/>
              <w:autoSpaceDE/>
              <w:autoSpaceDN/>
              <w:adjustRightInd/>
              <w:jc w:val="center"/>
              <w:rPr>
                <w:color w:val="000000"/>
                <w:sz w:val="24"/>
              </w:rPr>
            </w:pPr>
            <w:r w:rsidRPr="00E55440">
              <w:rPr>
                <w:color w:val="000000"/>
                <w:sz w:val="24"/>
              </w:rPr>
              <w:t xml:space="preserve">$28.91 </w:t>
            </w:r>
          </w:p>
        </w:tc>
      </w:tr>
      <w:tr w:rsidRPr="00F466C9" w:rsidR="00F466C9" w:rsidTr="00F466C9" w14:paraId="50FAF5E3"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55D7E880" w14:textId="77777777">
            <w:pPr>
              <w:widowControl/>
              <w:autoSpaceDE/>
              <w:autoSpaceDN/>
              <w:adjustRightInd/>
              <w:rPr>
                <w:sz w:val="24"/>
              </w:rPr>
            </w:pPr>
            <w:r w:rsidRPr="00E55440">
              <w:rPr>
                <w:sz w:val="24"/>
              </w:rPr>
              <w:t>State Agency Director</w:t>
            </w:r>
          </w:p>
        </w:tc>
        <w:tc>
          <w:tcPr>
            <w:tcW w:w="1700" w:type="dxa"/>
            <w:tcBorders>
              <w:top w:val="nil"/>
              <w:left w:val="nil"/>
              <w:bottom w:val="single" w:color="auto" w:sz="4" w:space="0"/>
              <w:right w:val="single" w:color="auto" w:sz="4" w:space="0"/>
            </w:tcBorders>
            <w:shd w:val="clear" w:color="auto" w:fill="auto"/>
            <w:vAlign w:val="center"/>
            <w:hideMark/>
          </w:tcPr>
          <w:p w:rsidRPr="00E55440" w:rsidR="00F466C9" w:rsidP="00F466C9" w:rsidRDefault="00F466C9" w14:paraId="56FF4AA5" w14:textId="77777777">
            <w:pPr>
              <w:widowControl/>
              <w:autoSpaceDE/>
              <w:autoSpaceDN/>
              <w:adjustRightInd/>
              <w:rPr>
                <w:sz w:val="24"/>
              </w:rPr>
            </w:pPr>
            <w:r w:rsidRPr="00E55440">
              <w:rPr>
                <w:sz w:val="24"/>
              </w:rPr>
              <w:t>11-1000</w:t>
            </w:r>
          </w:p>
        </w:tc>
        <w:tc>
          <w:tcPr>
            <w:tcW w:w="960" w:type="dxa"/>
            <w:tcBorders>
              <w:top w:val="nil"/>
              <w:left w:val="nil"/>
              <w:bottom w:val="nil"/>
              <w:right w:val="single" w:color="000000" w:sz="4" w:space="0"/>
            </w:tcBorders>
            <w:shd w:val="clear" w:color="000000" w:fill="FFFFFF"/>
            <w:vAlign w:val="center"/>
            <w:hideMark/>
          </w:tcPr>
          <w:p w:rsidRPr="00E55440" w:rsidR="00F466C9" w:rsidP="00F466C9" w:rsidRDefault="00F466C9" w14:paraId="1ADF751C" w14:textId="77777777">
            <w:pPr>
              <w:widowControl/>
              <w:autoSpaceDE/>
              <w:autoSpaceDN/>
              <w:adjustRightInd/>
              <w:jc w:val="center"/>
              <w:rPr>
                <w:color w:val="000000"/>
                <w:sz w:val="24"/>
              </w:rPr>
            </w:pPr>
            <w:r w:rsidRPr="00E55440">
              <w:rPr>
                <w:color w:val="000000"/>
                <w:sz w:val="24"/>
              </w:rPr>
              <w:t xml:space="preserve">$61.09 </w:t>
            </w:r>
          </w:p>
        </w:tc>
        <w:tc>
          <w:tcPr>
            <w:tcW w:w="1220" w:type="dxa"/>
            <w:tcBorders>
              <w:top w:val="nil"/>
              <w:left w:val="nil"/>
              <w:bottom w:val="nil"/>
              <w:right w:val="single" w:color="auto" w:sz="4" w:space="0"/>
            </w:tcBorders>
            <w:shd w:val="clear" w:color="000000" w:fill="FFFFFF"/>
            <w:vAlign w:val="center"/>
            <w:hideMark/>
          </w:tcPr>
          <w:p w:rsidRPr="00E55440" w:rsidR="00F466C9" w:rsidP="00F466C9" w:rsidRDefault="00F466C9" w14:paraId="099C6C7F" w14:textId="77777777">
            <w:pPr>
              <w:widowControl/>
              <w:autoSpaceDE/>
              <w:autoSpaceDN/>
              <w:adjustRightInd/>
              <w:jc w:val="center"/>
              <w:rPr>
                <w:color w:val="000000"/>
                <w:sz w:val="24"/>
              </w:rPr>
            </w:pPr>
            <w:r w:rsidRPr="00E55440">
              <w:rPr>
                <w:color w:val="000000"/>
                <w:sz w:val="24"/>
              </w:rPr>
              <w:t xml:space="preserve">$61.09 </w:t>
            </w:r>
          </w:p>
        </w:tc>
      </w:tr>
      <w:tr w:rsidRPr="00F466C9" w:rsidR="00F466C9" w:rsidTr="00F466C9" w14:paraId="4C107A81"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46B7F6AE" w14:textId="77777777">
            <w:pPr>
              <w:widowControl/>
              <w:autoSpaceDE/>
              <w:autoSpaceDN/>
              <w:adjustRightInd/>
              <w:rPr>
                <w:sz w:val="24"/>
              </w:rPr>
            </w:pPr>
            <w:r w:rsidRPr="00E55440">
              <w:rPr>
                <w:sz w:val="24"/>
              </w:rPr>
              <w:t>Total Mean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F466C9" w:rsidP="00F466C9" w:rsidRDefault="00F466C9" w14:paraId="1A7F5CA9" w14:textId="77777777">
            <w:pPr>
              <w:widowControl/>
              <w:autoSpaceDE/>
              <w:autoSpaceDN/>
              <w:adjustRightInd/>
              <w:rPr>
                <w:sz w:val="24"/>
              </w:rPr>
            </w:pPr>
            <w:r w:rsidRPr="00E55440">
              <w:rPr>
                <w:sz w:val="24"/>
              </w:rPr>
              <w:t> </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E55440" w:rsidR="00F466C9" w:rsidP="00F466C9" w:rsidRDefault="00F466C9" w14:paraId="23128501" w14:textId="77777777">
            <w:pPr>
              <w:widowControl/>
              <w:autoSpaceDE/>
              <w:autoSpaceDN/>
              <w:adjustRightInd/>
              <w:jc w:val="center"/>
              <w:rPr>
                <w:color w:val="000000"/>
                <w:sz w:val="24"/>
              </w:rPr>
            </w:pPr>
            <w:r w:rsidRPr="00E55440">
              <w:rPr>
                <w:color w:val="000000"/>
                <w:sz w:val="24"/>
              </w:rPr>
              <w:t xml:space="preserve">$383.64 </w:t>
            </w:r>
          </w:p>
        </w:tc>
        <w:tc>
          <w:tcPr>
            <w:tcW w:w="1220" w:type="dxa"/>
            <w:tcBorders>
              <w:top w:val="single" w:color="auto" w:sz="4" w:space="0"/>
              <w:left w:val="nil"/>
              <w:bottom w:val="single" w:color="auto" w:sz="4" w:space="0"/>
              <w:right w:val="single" w:color="auto" w:sz="4" w:space="0"/>
            </w:tcBorders>
            <w:shd w:val="clear" w:color="000000" w:fill="FFFFFF"/>
            <w:vAlign w:val="center"/>
            <w:hideMark/>
          </w:tcPr>
          <w:p w:rsidRPr="00E55440" w:rsidR="00F466C9" w:rsidP="00F466C9" w:rsidRDefault="00F466C9" w14:paraId="18854764" w14:textId="77777777">
            <w:pPr>
              <w:widowControl/>
              <w:autoSpaceDE/>
              <w:autoSpaceDN/>
              <w:adjustRightInd/>
              <w:jc w:val="center"/>
              <w:rPr>
                <w:color w:val="000000"/>
                <w:sz w:val="24"/>
              </w:rPr>
            </w:pPr>
            <w:r w:rsidRPr="00E55440">
              <w:rPr>
                <w:color w:val="000000"/>
                <w:sz w:val="24"/>
              </w:rPr>
              <w:t xml:space="preserve">$383.64 </w:t>
            </w:r>
          </w:p>
        </w:tc>
      </w:tr>
      <w:tr w:rsidRPr="00F466C9" w:rsidR="00F466C9" w:rsidTr="00F466C9" w14:paraId="0737E218"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14:paraId="2F388307" w14:textId="77777777">
            <w:pPr>
              <w:widowControl/>
              <w:autoSpaceDE/>
              <w:autoSpaceDN/>
              <w:adjustRightInd/>
              <w:rPr>
                <w:b/>
                <w:bCs/>
                <w:sz w:val="24"/>
              </w:rPr>
            </w:pPr>
            <w:r w:rsidRPr="00E55440">
              <w:rPr>
                <w:b/>
                <w:bCs/>
                <w:sz w:val="24"/>
              </w:rPr>
              <w:t>Average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F466C9" w:rsidP="00F466C9" w:rsidRDefault="00F466C9" w14:paraId="2607670E" w14:textId="77777777">
            <w:pPr>
              <w:widowControl/>
              <w:autoSpaceDE/>
              <w:autoSpaceDN/>
              <w:adjustRightInd/>
              <w:rPr>
                <w:b/>
                <w:bCs/>
                <w:sz w:val="24"/>
              </w:rPr>
            </w:pPr>
            <w:r w:rsidRPr="00E55440">
              <w:rPr>
                <w:b/>
                <w:bCs/>
                <w:sz w:val="24"/>
              </w:rPr>
              <w:t> </w:t>
            </w:r>
          </w:p>
        </w:tc>
        <w:tc>
          <w:tcPr>
            <w:tcW w:w="96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050950D1" w14:textId="77777777">
            <w:pPr>
              <w:widowControl/>
              <w:autoSpaceDE/>
              <w:autoSpaceDN/>
              <w:adjustRightInd/>
              <w:jc w:val="center"/>
              <w:rPr>
                <w:b/>
                <w:bCs/>
                <w:color w:val="000000"/>
                <w:sz w:val="24"/>
              </w:rPr>
            </w:pPr>
            <w:r w:rsidRPr="00E55440">
              <w:rPr>
                <w:b/>
                <w:bCs/>
                <w:color w:val="000000"/>
                <w:sz w:val="24"/>
              </w:rPr>
              <w:t xml:space="preserve">$54.81 </w:t>
            </w:r>
          </w:p>
        </w:tc>
        <w:tc>
          <w:tcPr>
            <w:tcW w:w="122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14:paraId="516E1567" w14:textId="77777777">
            <w:pPr>
              <w:widowControl/>
              <w:autoSpaceDE/>
              <w:autoSpaceDN/>
              <w:adjustRightInd/>
              <w:jc w:val="center"/>
              <w:rPr>
                <w:b/>
                <w:bCs/>
                <w:color w:val="000000"/>
                <w:sz w:val="24"/>
              </w:rPr>
            </w:pPr>
            <w:r w:rsidRPr="00E55440">
              <w:rPr>
                <w:b/>
                <w:bCs/>
                <w:color w:val="000000"/>
                <w:sz w:val="24"/>
              </w:rPr>
              <w:t xml:space="preserve">$54.81 </w:t>
            </w:r>
          </w:p>
        </w:tc>
      </w:tr>
      <w:bookmarkEnd w:id="3"/>
      <w:tr w:rsidRPr="00F466C9" w:rsidR="00F466C9" w:rsidTr="00F466C9" w14:paraId="4379CF74" w14:textId="77777777">
        <w:trPr>
          <w:trHeight w:val="300"/>
        </w:trPr>
        <w:tc>
          <w:tcPr>
            <w:tcW w:w="3560" w:type="dxa"/>
            <w:tcBorders>
              <w:top w:val="nil"/>
              <w:left w:val="nil"/>
              <w:bottom w:val="nil"/>
              <w:right w:val="nil"/>
            </w:tcBorders>
            <w:shd w:val="clear" w:color="auto" w:fill="auto"/>
            <w:noWrap/>
            <w:vAlign w:val="bottom"/>
            <w:hideMark/>
          </w:tcPr>
          <w:p w:rsidRPr="00F466C9" w:rsidR="00F466C9" w:rsidP="00F466C9" w:rsidRDefault="00F466C9" w14:paraId="05E965C0" w14:textId="77777777">
            <w:pPr>
              <w:widowControl/>
              <w:autoSpaceDE/>
              <w:autoSpaceDN/>
              <w:adjustRightInd/>
              <w:jc w:val="center"/>
              <w:rPr>
                <w:rFonts w:ascii="Calibri" w:hAnsi="Calibri" w:cs="Calibri"/>
                <w:b/>
                <w:bCs/>
                <w:color w:val="000000"/>
                <w:sz w:val="22"/>
                <w:szCs w:val="22"/>
              </w:rPr>
            </w:pPr>
          </w:p>
        </w:tc>
        <w:tc>
          <w:tcPr>
            <w:tcW w:w="1700" w:type="dxa"/>
            <w:tcBorders>
              <w:top w:val="nil"/>
              <w:left w:val="nil"/>
              <w:bottom w:val="nil"/>
              <w:right w:val="nil"/>
            </w:tcBorders>
            <w:shd w:val="clear" w:color="auto" w:fill="auto"/>
            <w:noWrap/>
            <w:vAlign w:val="bottom"/>
            <w:hideMark/>
          </w:tcPr>
          <w:p w:rsidRPr="00F466C9" w:rsidR="00F466C9" w:rsidP="00F466C9" w:rsidRDefault="00F466C9" w14:paraId="65F11E9C" w14:textId="77777777">
            <w:pPr>
              <w:widowControl/>
              <w:autoSpaceDE/>
              <w:autoSpaceDN/>
              <w:adjustRightInd/>
              <w:rPr>
                <w:szCs w:val="20"/>
              </w:rPr>
            </w:pPr>
          </w:p>
        </w:tc>
        <w:tc>
          <w:tcPr>
            <w:tcW w:w="960" w:type="dxa"/>
            <w:tcBorders>
              <w:top w:val="nil"/>
              <w:left w:val="nil"/>
              <w:bottom w:val="nil"/>
              <w:right w:val="nil"/>
            </w:tcBorders>
            <w:shd w:val="clear" w:color="auto" w:fill="auto"/>
            <w:noWrap/>
            <w:vAlign w:val="bottom"/>
            <w:hideMark/>
          </w:tcPr>
          <w:p w:rsidRPr="00F466C9" w:rsidR="00F466C9" w:rsidP="00F466C9" w:rsidRDefault="00F466C9" w14:paraId="6E3038C9" w14:textId="77777777">
            <w:pPr>
              <w:widowControl/>
              <w:autoSpaceDE/>
              <w:autoSpaceDN/>
              <w:adjustRightInd/>
              <w:rPr>
                <w:szCs w:val="20"/>
              </w:rPr>
            </w:pPr>
          </w:p>
        </w:tc>
        <w:tc>
          <w:tcPr>
            <w:tcW w:w="1220" w:type="dxa"/>
            <w:tcBorders>
              <w:top w:val="nil"/>
              <w:left w:val="nil"/>
              <w:bottom w:val="nil"/>
              <w:right w:val="nil"/>
            </w:tcBorders>
            <w:shd w:val="clear" w:color="auto" w:fill="auto"/>
            <w:noWrap/>
            <w:vAlign w:val="bottom"/>
            <w:hideMark/>
          </w:tcPr>
          <w:p w:rsidRPr="00F466C9" w:rsidR="00F466C9" w:rsidP="00F466C9" w:rsidRDefault="00F466C9" w14:paraId="4AFF695C" w14:textId="77777777">
            <w:pPr>
              <w:widowControl/>
              <w:autoSpaceDE/>
              <w:autoSpaceDN/>
              <w:adjustRightInd/>
              <w:rPr>
                <w:szCs w:val="20"/>
              </w:rPr>
            </w:pPr>
          </w:p>
        </w:tc>
      </w:tr>
      <w:tr w:rsidRPr="00C23572" w:rsidR="00F466C9" w:rsidTr="00F466C9" w14:paraId="248485D3" w14:textId="77777777">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14:paraId="33187799" w14:textId="77777777">
            <w:pPr>
              <w:widowControl/>
              <w:autoSpaceDE/>
              <w:autoSpaceDN/>
              <w:adjustRightInd/>
              <w:rPr>
                <w:color w:val="000000"/>
                <w:sz w:val="24"/>
              </w:rPr>
            </w:pPr>
            <w:bookmarkStart w:name="_Hlk53483297" w:id="4"/>
            <w:r w:rsidRPr="00C23572">
              <w:rPr>
                <w:color w:val="000000"/>
                <w:sz w:val="24"/>
              </w:rPr>
              <w:t xml:space="preserve">$54.81 </w:t>
            </w:r>
          </w:p>
        </w:tc>
        <w:tc>
          <w:tcPr>
            <w:tcW w:w="2660" w:type="dxa"/>
            <w:gridSpan w:val="2"/>
            <w:tcBorders>
              <w:top w:val="nil"/>
              <w:left w:val="nil"/>
              <w:bottom w:val="nil"/>
              <w:right w:val="nil"/>
            </w:tcBorders>
            <w:shd w:val="clear" w:color="auto" w:fill="auto"/>
            <w:noWrap/>
            <w:vAlign w:val="bottom"/>
            <w:hideMark/>
          </w:tcPr>
          <w:p w:rsidRPr="00C23572" w:rsidR="00F466C9" w:rsidP="00F466C9" w:rsidRDefault="00F466C9" w14:paraId="4CB0F5FC" w14:textId="77777777">
            <w:pPr>
              <w:widowControl/>
              <w:autoSpaceDE/>
              <w:autoSpaceDN/>
              <w:adjustRightInd/>
              <w:rPr>
                <w:color w:val="000000"/>
                <w:sz w:val="24"/>
              </w:rPr>
            </w:pPr>
            <w:r w:rsidRPr="00C23572">
              <w:rPr>
                <w:color w:val="000000"/>
                <w:sz w:val="24"/>
              </w:rPr>
              <w:t>average hourly wage</w:t>
            </w:r>
          </w:p>
        </w:tc>
        <w:tc>
          <w:tcPr>
            <w:tcW w:w="1220" w:type="dxa"/>
            <w:tcBorders>
              <w:top w:val="nil"/>
              <w:left w:val="nil"/>
              <w:bottom w:val="nil"/>
              <w:right w:val="nil"/>
            </w:tcBorders>
            <w:shd w:val="clear" w:color="auto" w:fill="auto"/>
            <w:noWrap/>
            <w:vAlign w:val="bottom"/>
            <w:hideMark/>
          </w:tcPr>
          <w:p w:rsidRPr="00C23572" w:rsidR="00F466C9" w:rsidP="00F466C9" w:rsidRDefault="00F466C9" w14:paraId="3BD99060" w14:textId="77777777">
            <w:pPr>
              <w:widowControl/>
              <w:autoSpaceDE/>
              <w:autoSpaceDN/>
              <w:adjustRightInd/>
              <w:rPr>
                <w:color w:val="000000"/>
                <w:sz w:val="24"/>
              </w:rPr>
            </w:pPr>
          </w:p>
        </w:tc>
      </w:tr>
      <w:tr w:rsidRPr="00C23572" w:rsidR="00F466C9" w:rsidTr="00F466C9" w14:paraId="7A1B2084" w14:textId="77777777">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14:paraId="0B0EA60E" w14:textId="77777777">
            <w:pPr>
              <w:widowControl/>
              <w:autoSpaceDE/>
              <w:autoSpaceDN/>
              <w:adjustRightInd/>
              <w:rPr>
                <w:color w:val="000000"/>
                <w:sz w:val="24"/>
              </w:rPr>
            </w:pPr>
            <w:r w:rsidRPr="00C23572">
              <w:rPr>
                <w:color w:val="000000"/>
                <w:sz w:val="24"/>
              </w:rPr>
              <w:t>$54.81</w:t>
            </w:r>
            <w:r w:rsidR="00652AF1">
              <w:rPr>
                <w:color w:val="000000"/>
                <w:sz w:val="24"/>
              </w:rPr>
              <w:t>+</w:t>
            </w:r>
          </w:p>
        </w:tc>
        <w:tc>
          <w:tcPr>
            <w:tcW w:w="3880" w:type="dxa"/>
            <w:gridSpan w:val="3"/>
            <w:tcBorders>
              <w:top w:val="nil"/>
              <w:left w:val="nil"/>
              <w:bottom w:val="nil"/>
              <w:right w:val="nil"/>
            </w:tcBorders>
            <w:shd w:val="clear" w:color="auto" w:fill="auto"/>
            <w:noWrap/>
            <w:vAlign w:val="bottom"/>
            <w:hideMark/>
          </w:tcPr>
          <w:p w:rsidRPr="00C23572" w:rsidR="00F466C9" w:rsidP="00F466C9" w:rsidRDefault="00F466C9" w14:paraId="4C05159E" w14:textId="77777777">
            <w:pPr>
              <w:widowControl/>
              <w:autoSpaceDE/>
              <w:autoSpaceDN/>
              <w:adjustRightInd/>
              <w:rPr>
                <w:color w:val="000000"/>
                <w:sz w:val="24"/>
              </w:rPr>
            </w:pPr>
            <w:r w:rsidRPr="00C23572">
              <w:rPr>
                <w:color w:val="000000"/>
                <w:sz w:val="24"/>
              </w:rPr>
              <w:t>increased by a factor of 100 percent</w:t>
            </w:r>
          </w:p>
        </w:tc>
      </w:tr>
      <w:tr w:rsidRPr="00C23572" w:rsidR="00F466C9" w:rsidTr="00F466C9" w14:paraId="22BA47DB" w14:textId="77777777">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652AF1" w14:paraId="7DBB6B26" w14:textId="77777777">
            <w:pPr>
              <w:widowControl/>
              <w:autoSpaceDE/>
              <w:autoSpaceDN/>
              <w:adjustRightInd/>
              <w:rPr>
                <w:b/>
                <w:bCs/>
                <w:color w:val="000000"/>
                <w:sz w:val="24"/>
              </w:rPr>
            </w:pPr>
            <w:r>
              <w:rPr>
                <w:b/>
                <w:bCs/>
                <w:color w:val="000000"/>
                <w:sz w:val="24"/>
              </w:rPr>
              <w:t xml:space="preserve">= </w:t>
            </w:r>
            <w:r w:rsidRPr="00C23572" w:rsidR="00F466C9">
              <w:rPr>
                <w:b/>
                <w:bCs/>
                <w:color w:val="000000"/>
                <w:sz w:val="24"/>
              </w:rPr>
              <w:t xml:space="preserve">$109.62 </w:t>
            </w:r>
          </w:p>
        </w:tc>
        <w:tc>
          <w:tcPr>
            <w:tcW w:w="3880" w:type="dxa"/>
            <w:gridSpan w:val="3"/>
            <w:tcBorders>
              <w:top w:val="nil"/>
              <w:left w:val="nil"/>
              <w:bottom w:val="nil"/>
              <w:right w:val="nil"/>
            </w:tcBorders>
            <w:shd w:val="clear" w:color="auto" w:fill="auto"/>
            <w:noWrap/>
            <w:vAlign w:val="bottom"/>
            <w:hideMark/>
          </w:tcPr>
          <w:p w:rsidRPr="00C23572" w:rsidR="00F466C9" w:rsidP="00F466C9" w:rsidRDefault="00F466C9" w14:paraId="1A0A931C" w14:textId="77777777">
            <w:pPr>
              <w:widowControl/>
              <w:autoSpaceDE/>
              <w:autoSpaceDN/>
              <w:adjustRightInd/>
              <w:rPr>
                <w:color w:val="000000"/>
                <w:sz w:val="24"/>
              </w:rPr>
            </w:pPr>
            <w:r w:rsidRPr="00C23572">
              <w:rPr>
                <w:color w:val="000000"/>
                <w:sz w:val="24"/>
              </w:rPr>
              <w:t>Average Hourly wage used in PRA package</w:t>
            </w:r>
          </w:p>
        </w:tc>
      </w:tr>
      <w:tr w:rsidRPr="00C23572" w:rsidR="00F466C9" w:rsidTr="00F466C9" w14:paraId="7962242C" w14:textId="77777777">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14:paraId="5F635640" w14:textId="77777777">
            <w:pPr>
              <w:widowControl/>
              <w:autoSpaceDE/>
              <w:autoSpaceDN/>
              <w:adjustRightInd/>
              <w:rPr>
                <w:color w:val="000000"/>
                <w:sz w:val="24"/>
              </w:rPr>
            </w:pPr>
            <w:r w:rsidRPr="00C23572">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Pr="00C23572" w:rsidR="00F466C9" w:rsidP="0047031F" w:rsidRDefault="00F466C9" w14:paraId="00F0D036" w14:textId="77777777">
            <w:pPr>
              <w:widowControl/>
              <w:autoSpaceDE/>
              <w:autoSpaceDN/>
              <w:adjustRightInd/>
              <w:rPr>
                <w:color w:val="000000"/>
                <w:sz w:val="24"/>
              </w:rPr>
            </w:pPr>
            <w:r w:rsidRPr="00C23572">
              <w:rPr>
                <w:color w:val="000000"/>
                <w:sz w:val="24"/>
              </w:rPr>
              <w:t>3</w:t>
            </w:r>
            <w:r w:rsidR="00842B7E">
              <w:rPr>
                <w:color w:val="000000"/>
                <w:sz w:val="24"/>
              </w:rPr>
              <w:t>,</w:t>
            </w:r>
            <w:r w:rsidRPr="00C23572">
              <w:rPr>
                <w:color w:val="000000"/>
                <w:sz w:val="24"/>
              </w:rPr>
              <w:t>000</w:t>
            </w:r>
          </w:p>
        </w:tc>
        <w:tc>
          <w:tcPr>
            <w:tcW w:w="960" w:type="dxa"/>
            <w:tcBorders>
              <w:top w:val="nil"/>
              <w:left w:val="nil"/>
              <w:bottom w:val="nil"/>
              <w:right w:val="nil"/>
            </w:tcBorders>
            <w:shd w:val="clear" w:color="auto" w:fill="auto"/>
            <w:noWrap/>
            <w:vAlign w:val="bottom"/>
            <w:hideMark/>
          </w:tcPr>
          <w:p w:rsidRPr="00C23572" w:rsidR="00F466C9" w:rsidP="00F466C9" w:rsidRDefault="00F466C9" w14:paraId="31705DDE" w14:textId="77777777">
            <w:pPr>
              <w:widowControl/>
              <w:autoSpaceDE/>
              <w:autoSpaceDN/>
              <w:adjustRightInd/>
              <w:jc w:val="right"/>
              <w:rPr>
                <w:color w:val="000000"/>
                <w:sz w:val="24"/>
              </w:rPr>
            </w:pPr>
          </w:p>
        </w:tc>
        <w:tc>
          <w:tcPr>
            <w:tcW w:w="1220" w:type="dxa"/>
            <w:tcBorders>
              <w:top w:val="nil"/>
              <w:left w:val="nil"/>
              <w:bottom w:val="nil"/>
              <w:right w:val="nil"/>
            </w:tcBorders>
            <w:shd w:val="clear" w:color="auto" w:fill="auto"/>
            <w:noWrap/>
            <w:vAlign w:val="bottom"/>
            <w:hideMark/>
          </w:tcPr>
          <w:p w:rsidRPr="00C23572" w:rsidR="00F466C9" w:rsidP="00F466C9" w:rsidRDefault="00F466C9" w14:paraId="3ECDD49B" w14:textId="77777777">
            <w:pPr>
              <w:widowControl/>
              <w:autoSpaceDE/>
              <w:autoSpaceDN/>
              <w:adjustRightInd/>
              <w:rPr>
                <w:sz w:val="24"/>
              </w:rPr>
            </w:pPr>
          </w:p>
        </w:tc>
      </w:tr>
      <w:bookmarkEnd w:id="4"/>
    </w:tbl>
    <w:p w:rsidR="00690F37" w:rsidRDefault="00690F37" w14:paraId="45129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Default="00AC550B" w14:paraId="752B8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P="00AC550B" w:rsidRDefault="00AC550B" w14:paraId="217C77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In calendar year 2020 to date, CMS has received </w:t>
      </w:r>
      <w:r>
        <w:rPr>
          <w:sz w:val="24"/>
        </w:rPr>
        <w:t>about 139</w:t>
      </w:r>
      <w:r w:rsidRPr="00C23572">
        <w:rPr>
          <w:sz w:val="24"/>
        </w:rPr>
        <w:t xml:space="preserve"> individual </w:t>
      </w:r>
      <w:r>
        <w:rPr>
          <w:sz w:val="24"/>
        </w:rPr>
        <w:t>Inquiries</w:t>
      </w:r>
      <w:r w:rsidRPr="00C23572">
        <w:rPr>
          <w:sz w:val="24"/>
        </w:rPr>
        <w:t xml:space="preserve">. We anticipate that </w:t>
      </w:r>
      <w:r>
        <w:rPr>
          <w:sz w:val="24"/>
        </w:rPr>
        <w:t xml:space="preserve">it would </w:t>
      </w:r>
      <w:r w:rsidRPr="00C23572">
        <w:rPr>
          <w:sz w:val="24"/>
        </w:rPr>
        <w:t>generally</w:t>
      </w:r>
      <w:r>
        <w:rPr>
          <w:sz w:val="24"/>
        </w:rPr>
        <w:t xml:space="preserve"> take 60 minutes per entity</w:t>
      </w:r>
      <w:r w:rsidRPr="00C23572">
        <w:rPr>
          <w:sz w:val="24"/>
        </w:rPr>
        <w:t xml:space="preserve"> </w:t>
      </w:r>
      <w:r>
        <w:rPr>
          <w:sz w:val="24"/>
        </w:rPr>
        <w:t xml:space="preserve">to </w:t>
      </w:r>
      <w:r w:rsidRPr="00C23572">
        <w:rPr>
          <w:sz w:val="24"/>
        </w:rPr>
        <w:t xml:space="preserve">submit </w:t>
      </w:r>
      <w:r>
        <w:rPr>
          <w:sz w:val="24"/>
        </w:rPr>
        <w:t>an inquiry</w:t>
      </w:r>
      <w:r w:rsidRPr="00C23572">
        <w:rPr>
          <w:sz w:val="24"/>
        </w:rPr>
        <w:t xml:space="preserve"> to CMS</w:t>
      </w:r>
      <w:r>
        <w:rPr>
          <w:sz w:val="24"/>
        </w:rPr>
        <w:t>.</w:t>
      </w:r>
      <w:r w:rsidRPr="00C23572">
        <w:rPr>
          <w:sz w:val="24"/>
        </w:rPr>
        <w:t xml:space="preserve"> </w:t>
      </w:r>
      <w:r>
        <w:rPr>
          <w:sz w:val="24"/>
        </w:rPr>
        <w:t xml:space="preserve"> This would be a total of 60 minutes.  The total burden hours would be 139 (1 hour X 139 inquiries).</w:t>
      </w:r>
    </w:p>
    <w:p w:rsidR="00AC550B" w:rsidP="00AC550B" w:rsidRDefault="00AC550B" w14:paraId="3F122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P="00AC550B" w:rsidRDefault="00AC550B" w14:paraId="378E7E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total cost would be $14,334 (139 hours X 103.12).</w:t>
      </w:r>
    </w:p>
    <w:p w:rsidR="006225A7" w:rsidP="00AC550B" w:rsidRDefault="006225A7" w14:paraId="70A06F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P="00AC550B" w:rsidRDefault="00AC550B" w14:paraId="55D20D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108" w:type="dxa"/>
        <w:tblLook w:val="04A0" w:firstRow="1" w:lastRow="0" w:firstColumn="1" w:lastColumn="0" w:noHBand="0" w:noVBand="1"/>
      </w:tblPr>
      <w:tblGrid>
        <w:gridCol w:w="3560"/>
        <w:gridCol w:w="1700"/>
        <w:gridCol w:w="996"/>
        <w:gridCol w:w="1220"/>
      </w:tblGrid>
      <w:tr w:rsidRPr="00E55440" w:rsidR="00AC550B" w:rsidTr="003E0DAC" w14:paraId="7D72FBC1" w14:textId="77777777">
        <w:trPr>
          <w:trHeight w:val="765"/>
        </w:trPr>
        <w:tc>
          <w:tcPr>
            <w:tcW w:w="3560" w:type="dxa"/>
            <w:tcBorders>
              <w:top w:val="nil"/>
              <w:left w:val="nil"/>
              <w:bottom w:val="nil"/>
              <w:right w:val="nil"/>
            </w:tcBorders>
            <w:shd w:val="clear" w:color="auto" w:fill="auto"/>
            <w:noWrap/>
            <w:vAlign w:val="bottom"/>
            <w:hideMark/>
          </w:tcPr>
          <w:p w:rsidRPr="00E55440" w:rsidR="00AC550B" w:rsidP="003E0DAC" w:rsidRDefault="00FE1E34" w14:paraId="7649EF26" w14:textId="77777777">
            <w:pPr>
              <w:widowControl/>
              <w:autoSpaceDE/>
              <w:autoSpaceDN/>
              <w:adjustRightInd/>
              <w:rPr>
                <w:b/>
                <w:bCs/>
                <w:color w:val="000000"/>
                <w:sz w:val="24"/>
              </w:rPr>
            </w:pPr>
            <w:r>
              <w:rPr>
                <w:b/>
                <w:bCs/>
                <w:color w:val="000000"/>
                <w:sz w:val="24"/>
              </w:rPr>
              <w:t xml:space="preserve">Table 3: </w:t>
            </w:r>
            <w:r w:rsidRPr="00E55440" w:rsidR="00AC550B">
              <w:rPr>
                <w:b/>
                <w:bCs/>
                <w:color w:val="000000"/>
                <w:sz w:val="24"/>
              </w:rPr>
              <w:t>Blended Occupations</w:t>
            </w:r>
          </w:p>
        </w:tc>
        <w:tc>
          <w:tcPr>
            <w:tcW w:w="1700" w:type="dxa"/>
            <w:tcBorders>
              <w:top w:val="nil"/>
              <w:left w:val="nil"/>
              <w:bottom w:val="nil"/>
              <w:right w:val="nil"/>
            </w:tcBorders>
            <w:shd w:val="clear" w:color="auto" w:fill="auto"/>
            <w:vAlign w:val="bottom"/>
            <w:hideMark/>
          </w:tcPr>
          <w:p w:rsidRPr="00E55440" w:rsidR="00AC550B" w:rsidP="003E0DAC" w:rsidRDefault="00AC550B" w14:paraId="0D687474" w14:textId="77777777">
            <w:pPr>
              <w:widowControl/>
              <w:autoSpaceDE/>
              <w:autoSpaceDN/>
              <w:adjustRightInd/>
              <w:rPr>
                <w:b/>
                <w:bCs/>
                <w:color w:val="000000"/>
                <w:sz w:val="24"/>
              </w:rPr>
            </w:pPr>
            <w:r w:rsidRPr="00E55440">
              <w:rPr>
                <w:b/>
                <w:bCs/>
                <w:color w:val="000000"/>
                <w:sz w:val="24"/>
              </w:rPr>
              <w:t>BLS Occupation Code</w:t>
            </w:r>
          </w:p>
        </w:tc>
        <w:tc>
          <w:tcPr>
            <w:tcW w:w="996" w:type="dxa"/>
            <w:tcBorders>
              <w:top w:val="single" w:color="000000" w:sz="4" w:space="0"/>
              <w:left w:val="single" w:color="000000" w:sz="4" w:space="0"/>
              <w:bottom w:val="nil"/>
              <w:right w:val="single" w:color="000000" w:sz="4" w:space="0"/>
            </w:tcBorders>
            <w:shd w:val="clear" w:color="000000" w:fill="FFFFFF"/>
            <w:vAlign w:val="center"/>
            <w:hideMark/>
          </w:tcPr>
          <w:p w:rsidRPr="00E55440" w:rsidR="00AC550B" w:rsidP="003E0DAC" w:rsidRDefault="00AC550B" w14:paraId="7B482C20" w14:textId="77777777">
            <w:pPr>
              <w:widowControl/>
              <w:autoSpaceDE/>
              <w:autoSpaceDN/>
              <w:adjustRightInd/>
              <w:jc w:val="center"/>
              <w:rPr>
                <w:b/>
                <w:bCs/>
                <w:color w:val="000000"/>
                <w:sz w:val="24"/>
              </w:rPr>
            </w:pPr>
            <w:r w:rsidRPr="00E55440">
              <w:rPr>
                <w:b/>
                <w:bCs/>
                <w:color w:val="000000"/>
                <w:sz w:val="24"/>
              </w:rPr>
              <w:t>Mean hourly wage</w:t>
            </w:r>
          </w:p>
        </w:tc>
        <w:tc>
          <w:tcPr>
            <w:tcW w:w="1220" w:type="dxa"/>
            <w:tcBorders>
              <w:top w:val="single" w:color="000000" w:sz="4" w:space="0"/>
              <w:left w:val="nil"/>
              <w:bottom w:val="nil"/>
              <w:right w:val="single" w:color="auto" w:sz="4" w:space="0"/>
            </w:tcBorders>
            <w:shd w:val="clear" w:color="000000" w:fill="FFFFFF"/>
            <w:vAlign w:val="center"/>
            <w:hideMark/>
          </w:tcPr>
          <w:p w:rsidRPr="00E55440" w:rsidR="00AC550B" w:rsidP="003E0DAC" w:rsidRDefault="00AC550B" w14:paraId="1AD1CB5A" w14:textId="77777777">
            <w:pPr>
              <w:widowControl/>
              <w:autoSpaceDE/>
              <w:autoSpaceDN/>
              <w:adjustRightInd/>
              <w:jc w:val="center"/>
              <w:rPr>
                <w:b/>
                <w:bCs/>
                <w:color w:val="000000"/>
                <w:sz w:val="24"/>
              </w:rPr>
            </w:pPr>
            <w:r w:rsidRPr="00E55440">
              <w:rPr>
                <w:b/>
                <w:bCs/>
                <w:color w:val="000000"/>
                <w:sz w:val="24"/>
              </w:rPr>
              <w:t>Fringe Benefits</w:t>
            </w:r>
          </w:p>
        </w:tc>
      </w:tr>
      <w:tr w:rsidRPr="00E55440" w:rsidR="00AC550B" w:rsidTr="003E0DAC" w14:paraId="2E043981"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3F3126EE" w14:textId="77777777">
            <w:pPr>
              <w:widowControl/>
              <w:autoSpaceDE/>
              <w:autoSpaceDN/>
              <w:adjustRightInd/>
              <w:rPr>
                <w:sz w:val="24"/>
              </w:rPr>
            </w:pPr>
            <w:r w:rsidRPr="00E55440">
              <w:rPr>
                <w:sz w:val="24"/>
              </w:rPr>
              <w:t>Nursing Home Administrator</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E55440" w:rsidR="00AC550B" w:rsidP="003E0DAC" w:rsidRDefault="00AC550B" w14:paraId="5BAF5033" w14:textId="77777777">
            <w:pPr>
              <w:widowControl/>
              <w:autoSpaceDE/>
              <w:autoSpaceDN/>
              <w:adjustRightInd/>
              <w:rPr>
                <w:color w:val="000000"/>
                <w:sz w:val="24"/>
              </w:rPr>
            </w:pPr>
            <w:r w:rsidRPr="00E55440">
              <w:rPr>
                <w:color w:val="000000"/>
                <w:sz w:val="24"/>
              </w:rPr>
              <w:t>43-1011</w:t>
            </w:r>
          </w:p>
        </w:tc>
        <w:tc>
          <w:tcPr>
            <w:tcW w:w="996" w:type="dxa"/>
            <w:tcBorders>
              <w:top w:val="single" w:color="000000" w:sz="4" w:space="0"/>
              <w:left w:val="nil"/>
              <w:bottom w:val="single" w:color="000000" w:sz="4" w:space="0"/>
              <w:right w:val="single" w:color="000000" w:sz="4" w:space="0"/>
            </w:tcBorders>
            <w:shd w:val="clear" w:color="000000" w:fill="FFFFFF"/>
            <w:vAlign w:val="center"/>
            <w:hideMark/>
          </w:tcPr>
          <w:p w:rsidRPr="00E55440" w:rsidR="00AC550B" w:rsidP="003E0DAC" w:rsidRDefault="00AC550B" w14:paraId="6FA4A943" w14:textId="77777777">
            <w:pPr>
              <w:widowControl/>
              <w:autoSpaceDE/>
              <w:autoSpaceDN/>
              <w:adjustRightInd/>
              <w:jc w:val="center"/>
              <w:rPr>
                <w:color w:val="000000"/>
                <w:sz w:val="24"/>
              </w:rPr>
            </w:pPr>
            <w:r w:rsidRPr="00E55440">
              <w:rPr>
                <w:color w:val="000000"/>
                <w:sz w:val="24"/>
              </w:rPr>
              <w:t xml:space="preserve">$28.91 </w:t>
            </w:r>
          </w:p>
        </w:tc>
        <w:tc>
          <w:tcPr>
            <w:tcW w:w="1220" w:type="dxa"/>
            <w:tcBorders>
              <w:top w:val="single" w:color="000000" w:sz="4" w:space="0"/>
              <w:left w:val="nil"/>
              <w:bottom w:val="single" w:color="000000" w:sz="4" w:space="0"/>
              <w:right w:val="single" w:color="auto" w:sz="4" w:space="0"/>
            </w:tcBorders>
            <w:shd w:val="clear" w:color="000000" w:fill="FFFFFF"/>
            <w:vAlign w:val="center"/>
            <w:hideMark/>
          </w:tcPr>
          <w:p w:rsidRPr="00E55440" w:rsidR="00AC550B" w:rsidP="003E0DAC" w:rsidRDefault="00AC550B" w14:paraId="1AFE6F65" w14:textId="77777777">
            <w:pPr>
              <w:widowControl/>
              <w:autoSpaceDE/>
              <w:autoSpaceDN/>
              <w:adjustRightInd/>
              <w:jc w:val="center"/>
              <w:rPr>
                <w:color w:val="000000"/>
                <w:sz w:val="24"/>
              </w:rPr>
            </w:pPr>
            <w:r w:rsidRPr="00E55440">
              <w:rPr>
                <w:color w:val="000000"/>
                <w:sz w:val="24"/>
              </w:rPr>
              <w:t xml:space="preserve">$28.91 </w:t>
            </w:r>
          </w:p>
        </w:tc>
      </w:tr>
      <w:tr w:rsidRPr="00E55440" w:rsidR="00AC550B" w:rsidTr="003E0DAC" w14:paraId="0109E92F"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731ECC19" w14:textId="77777777">
            <w:pPr>
              <w:widowControl/>
              <w:autoSpaceDE/>
              <w:autoSpaceDN/>
              <w:adjustRightInd/>
              <w:rPr>
                <w:sz w:val="24"/>
              </w:rPr>
            </w:pPr>
            <w:r w:rsidRPr="00E55440">
              <w:rPr>
                <w:sz w:val="24"/>
              </w:rPr>
              <w:t>General Physician</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AC550B" w:rsidP="003E0DAC" w:rsidRDefault="00AC550B" w14:paraId="7F88CACC" w14:textId="77777777">
            <w:pPr>
              <w:widowControl/>
              <w:autoSpaceDE/>
              <w:autoSpaceDN/>
              <w:adjustRightInd/>
              <w:rPr>
                <w:color w:val="000000"/>
                <w:sz w:val="24"/>
              </w:rPr>
            </w:pPr>
            <w:r w:rsidRPr="00E55440">
              <w:rPr>
                <w:color w:val="000000"/>
                <w:sz w:val="24"/>
              </w:rPr>
              <w:t>29-1216</w:t>
            </w:r>
          </w:p>
        </w:tc>
        <w:tc>
          <w:tcPr>
            <w:tcW w:w="996" w:type="dxa"/>
            <w:tcBorders>
              <w:top w:val="nil"/>
              <w:left w:val="nil"/>
              <w:bottom w:val="single" w:color="000000" w:sz="4" w:space="0"/>
              <w:right w:val="single" w:color="000000" w:sz="4" w:space="0"/>
            </w:tcBorders>
            <w:shd w:val="clear" w:color="000000" w:fill="FFFFFF"/>
            <w:vAlign w:val="center"/>
            <w:hideMark/>
          </w:tcPr>
          <w:p w:rsidRPr="00E55440" w:rsidR="00AC550B" w:rsidP="003E0DAC" w:rsidRDefault="00AC550B" w14:paraId="3DD8EDB8" w14:textId="77777777">
            <w:pPr>
              <w:widowControl/>
              <w:autoSpaceDE/>
              <w:autoSpaceDN/>
              <w:adjustRightInd/>
              <w:jc w:val="center"/>
              <w:rPr>
                <w:color w:val="000000"/>
                <w:sz w:val="24"/>
              </w:rPr>
            </w:pPr>
            <w:r w:rsidRPr="00E55440">
              <w:rPr>
                <w:color w:val="000000"/>
                <w:sz w:val="24"/>
              </w:rPr>
              <w:t xml:space="preserve">$96.85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AC550B" w:rsidP="003E0DAC" w:rsidRDefault="00AC550B" w14:paraId="46247E31" w14:textId="77777777">
            <w:pPr>
              <w:widowControl/>
              <w:autoSpaceDE/>
              <w:autoSpaceDN/>
              <w:adjustRightInd/>
              <w:jc w:val="center"/>
              <w:rPr>
                <w:color w:val="000000"/>
                <w:sz w:val="24"/>
              </w:rPr>
            </w:pPr>
            <w:r w:rsidRPr="00E55440">
              <w:rPr>
                <w:color w:val="000000"/>
                <w:sz w:val="24"/>
              </w:rPr>
              <w:t xml:space="preserve">$96.85 </w:t>
            </w:r>
          </w:p>
        </w:tc>
      </w:tr>
      <w:tr w:rsidRPr="00E55440" w:rsidR="00AC550B" w:rsidTr="003E0DAC" w14:paraId="5C2DEA0D"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74435935" w14:textId="77777777">
            <w:pPr>
              <w:widowControl/>
              <w:autoSpaceDE/>
              <w:autoSpaceDN/>
              <w:adjustRightInd/>
              <w:rPr>
                <w:sz w:val="24"/>
              </w:rPr>
            </w:pPr>
            <w:r w:rsidRPr="00E55440">
              <w:rPr>
                <w:sz w:val="24"/>
              </w:rPr>
              <w:t>Hospital 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AC550B" w:rsidP="003E0DAC" w:rsidRDefault="00AC550B" w14:paraId="56C23BBE" w14:textId="77777777">
            <w:pPr>
              <w:widowControl/>
              <w:autoSpaceDE/>
              <w:autoSpaceDN/>
              <w:adjustRightInd/>
              <w:rPr>
                <w:color w:val="000000"/>
                <w:sz w:val="24"/>
              </w:rPr>
            </w:pPr>
            <w:r w:rsidRPr="00E55440">
              <w:rPr>
                <w:color w:val="000000"/>
                <w:sz w:val="24"/>
              </w:rPr>
              <w:t>11*9111</w:t>
            </w:r>
          </w:p>
        </w:tc>
        <w:tc>
          <w:tcPr>
            <w:tcW w:w="996" w:type="dxa"/>
            <w:tcBorders>
              <w:top w:val="nil"/>
              <w:left w:val="nil"/>
              <w:bottom w:val="single" w:color="000000" w:sz="4" w:space="0"/>
              <w:right w:val="single" w:color="000000" w:sz="4" w:space="0"/>
            </w:tcBorders>
            <w:shd w:val="clear" w:color="000000" w:fill="FFFFFF"/>
            <w:vAlign w:val="center"/>
            <w:hideMark/>
          </w:tcPr>
          <w:p w:rsidRPr="00E55440" w:rsidR="00AC550B" w:rsidP="003E0DAC" w:rsidRDefault="00AC550B" w14:paraId="747AC635" w14:textId="77777777">
            <w:pPr>
              <w:widowControl/>
              <w:autoSpaceDE/>
              <w:autoSpaceDN/>
              <w:adjustRightInd/>
              <w:jc w:val="center"/>
              <w:rPr>
                <w:color w:val="000000"/>
                <w:sz w:val="24"/>
              </w:rPr>
            </w:pPr>
            <w:r w:rsidRPr="00E55440">
              <w:rPr>
                <w:color w:val="000000"/>
                <w:sz w:val="24"/>
              </w:rPr>
              <w:t xml:space="preserve">$55.37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AC550B" w:rsidP="003E0DAC" w:rsidRDefault="00AC550B" w14:paraId="2512C575" w14:textId="77777777">
            <w:pPr>
              <w:widowControl/>
              <w:autoSpaceDE/>
              <w:autoSpaceDN/>
              <w:adjustRightInd/>
              <w:jc w:val="center"/>
              <w:rPr>
                <w:color w:val="000000"/>
                <w:sz w:val="24"/>
              </w:rPr>
            </w:pPr>
            <w:r w:rsidRPr="00E55440">
              <w:rPr>
                <w:color w:val="000000"/>
                <w:sz w:val="24"/>
              </w:rPr>
              <w:t xml:space="preserve">$55.37 </w:t>
            </w:r>
          </w:p>
        </w:tc>
      </w:tr>
      <w:tr w:rsidRPr="00E55440" w:rsidR="00AC550B" w:rsidTr="003E0DAC" w14:paraId="1EE27514"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6878D8AD" w14:textId="77777777">
            <w:pPr>
              <w:widowControl/>
              <w:autoSpaceDE/>
              <w:autoSpaceDN/>
              <w:adjustRightInd/>
              <w:rPr>
                <w:sz w:val="24"/>
              </w:rPr>
            </w:pPr>
            <w:r w:rsidRPr="00E55440">
              <w:rPr>
                <w:sz w:val="24"/>
              </w:rPr>
              <w:t>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AC550B" w:rsidP="003E0DAC" w:rsidRDefault="00AC550B" w14:paraId="7F1D4A86" w14:textId="77777777">
            <w:pPr>
              <w:widowControl/>
              <w:autoSpaceDE/>
              <w:autoSpaceDN/>
              <w:adjustRightInd/>
              <w:rPr>
                <w:color w:val="000000"/>
                <w:sz w:val="24"/>
              </w:rPr>
            </w:pPr>
            <w:r w:rsidRPr="00E55440">
              <w:rPr>
                <w:color w:val="000000"/>
                <w:sz w:val="24"/>
              </w:rPr>
              <w:t>43-1011</w:t>
            </w:r>
          </w:p>
        </w:tc>
        <w:tc>
          <w:tcPr>
            <w:tcW w:w="996" w:type="dxa"/>
            <w:tcBorders>
              <w:top w:val="nil"/>
              <w:left w:val="nil"/>
              <w:bottom w:val="single" w:color="000000" w:sz="4" w:space="0"/>
              <w:right w:val="single" w:color="000000" w:sz="4" w:space="0"/>
            </w:tcBorders>
            <w:shd w:val="clear" w:color="000000" w:fill="FFFFFF"/>
            <w:vAlign w:val="center"/>
            <w:hideMark/>
          </w:tcPr>
          <w:p w:rsidRPr="00E55440" w:rsidR="00AC550B" w:rsidP="003E0DAC" w:rsidRDefault="00AC550B" w14:paraId="21C0E32E" w14:textId="77777777">
            <w:pPr>
              <w:widowControl/>
              <w:autoSpaceDE/>
              <w:autoSpaceDN/>
              <w:adjustRightInd/>
              <w:jc w:val="center"/>
              <w:rPr>
                <w:color w:val="000000"/>
                <w:sz w:val="24"/>
              </w:rPr>
            </w:pPr>
            <w:r w:rsidRPr="00E55440">
              <w:rPr>
                <w:color w:val="000000"/>
                <w:sz w:val="24"/>
              </w:rPr>
              <w:t xml:space="preserve">$28.91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AC550B" w:rsidP="003E0DAC" w:rsidRDefault="00AC550B" w14:paraId="7FD80FC8" w14:textId="77777777">
            <w:pPr>
              <w:widowControl/>
              <w:autoSpaceDE/>
              <w:autoSpaceDN/>
              <w:adjustRightInd/>
              <w:jc w:val="center"/>
              <w:rPr>
                <w:color w:val="000000"/>
                <w:sz w:val="24"/>
              </w:rPr>
            </w:pPr>
            <w:r w:rsidRPr="00E55440">
              <w:rPr>
                <w:color w:val="000000"/>
                <w:sz w:val="24"/>
              </w:rPr>
              <w:t xml:space="preserve">$28.91 </w:t>
            </w:r>
          </w:p>
        </w:tc>
      </w:tr>
      <w:tr w:rsidRPr="00E55440" w:rsidR="00AC550B" w:rsidTr="003E0DAC" w14:paraId="1AA81614"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70B238D5" w14:textId="77777777">
            <w:pPr>
              <w:widowControl/>
              <w:autoSpaceDE/>
              <w:autoSpaceDN/>
              <w:adjustRightInd/>
              <w:rPr>
                <w:sz w:val="24"/>
              </w:rPr>
            </w:pPr>
            <w:r w:rsidRPr="00E55440">
              <w:rPr>
                <w:sz w:val="24"/>
              </w:rPr>
              <w:t>State Agency Director</w:t>
            </w:r>
          </w:p>
        </w:tc>
        <w:tc>
          <w:tcPr>
            <w:tcW w:w="1700" w:type="dxa"/>
            <w:tcBorders>
              <w:top w:val="nil"/>
              <w:left w:val="nil"/>
              <w:bottom w:val="single" w:color="auto" w:sz="4" w:space="0"/>
              <w:right w:val="single" w:color="auto" w:sz="4" w:space="0"/>
            </w:tcBorders>
            <w:shd w:val="clear" w:color="auto" w:fill="auto"/>
            <w:vAlign w:val="center"/>
            <w:hideMark/>
          </w:tcPr>
          <w:p w:rsidRPr="00E55440" w:rsidR="00AC550B" w:rsidP="003E0DAC" w:rsidRDefault="00AC550B" w14:paraId="003B48E8" w14:textId="77777777">
            <w:pPr>
              <w:widowControl/>
              <w:autoSpaceDE/>
              <w:autoSpaceDN/>
              <w:adjustRightInd/>
              <w:rPr>
                <w:sz w:val="24"/>
              </w:rPr>
            </w:pPr>
            <w:r w:rsidRPr="00E55440">
              <w:rPr>
                <w:sz w:val="24"/>
              </w:rPr>
              <w:t>11-1000</w:t>
            </w:r>
          </w:p>
        </w:tc>
        <w:tc>
          <w:tcPr>
            <w:tcW w:w="996" w:type="dxa"/>
            <w:tcBorders>
              <w:top w:val="nil"/>
              <w:left w:val="nil"/>
              <w:bottom w:val="nil"/>
              <w:right w:val="single" w:color="000000" w:sz="4" w:space="0"/>
            </w:tcBorders>
            <w:shd w:val="clear" w:color="000000" w:fill="FFFFFF"/>
            <w:vAlign w:val="center"/>
            <w:hideMark/>
          </w:tcPr>
          <w:p w:rsidRPr="00E55440" w:rsidR="00AC550B" w:rsidP="003E0DAC" w:rsidRDefault="00AC550B" w14:paraId="7D6893C4" w14:textId="77777777">
            <w:pPr>
              <w:widowControl/>
              <w:autoSpaceDE/>
              <w:autoSpaceDN/>
              <w:adjustRightInd/>
              <w:jc w:val="center"/>
              <w:rPr>
                <w:color w:val="000000"/>
                <w:sz w:val="24"/>
              </w:rPr>
            </w:pPr>
            <w:r w:rsidRPr="00E55440">
              <w:rPr>
                <w:color w:val="000000"/>
                <w:sz w:val="24"/>
              </w:rPr>
              <w:t xml:space="preserve">$61.09 </w:t>
            </w:r>
          </w:p>
        </w:tc>
        <w:tc>
          <w:tcPr>
            <w:tcW w:w="1220" w:type="dxa"/>
            <w:tcBorders>
              <w:top w:val="nil"/>
              <w:left w:val="nil"/>
              <w:bottom w:val="nil"/>
              <w:right w:val="single" w:color="auto" w:sz="4" w:space="0"/>
            </w:tcBorders>
            <w:shd w:val="clear" w:color="000000" w:fill="FFFFFF"/>
            <w:vAlign w:val="center"/>
            <w:hideMark/>
          </w:tcPr>
          <w:p w:rsidRPr="00E55440" w:rsidR="00AC550B" w:rsidP="003E0DAC" w:rsidRDefault="00AC550B" w14:paraId="2FF9BBD8" w14:textId="77777777">
            <w:pPr>
              <w:widowControl/>
              <w:autoSpaceDE/>
              <w:autoSpaceDN/>
              <w:adjustRightInd/>
              <w:jc w:val="center"/>
              <w:rPr>
                <w:color w:val="000000"/>
                <w:sz w:val="24"/>
              </w:rPr>
            </w:pPr>
            <w:r w:rsidRPr="00E55440">
              <w:rPr>
                <w:color w:val="000000"/>
                <w:sz w:val="24"/>
              </w:rPr>
              <w:t xml:space="preserve">$61.09 </w:t>
            </w:r>
          </w:p>
        </w:tc>
      </w:tr>
      <w:tr w:rsidRPr="00E55440" w:rsidR="00AC550B" w:rsidTr="003E0DAC" w14:paraId="42B840A9"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tcPr>
          <w:p w:rsidRPr="00E55440" w:rsidR="00AC550B" w:rsidP="003E0DAC" w:rsidRDefault="00AC550B" w14:paraId="3D63B11E" w14:textId="77777777">
            <w:pPr>
              <w:widowControl/>
              <w:autoSpaceDE/>
              <w:autoSpaceDN/>
              <w:adjustRightInd/>
              <w:rPr>
                <w:sz w:val="24"/>
              </w:rPr>
            </w:pPr>
            <w:r>
              <w:rPr>
                <w:sz w:val="24"/>
              </w:rPr>
              <w:t>Medicare/Medicaid Beneficiary*</w:t>
            </w:r>
          </w:p>
        </w:tc>
        <w:tc>
          <w:tcPr>
            <w:tcW w:w="1700" w:type="dxa"/>
            <w:tcBorders>
              <w:top w:val="nil"/>
              <w:left w:val="nil"/>
              <w:bottom w:val="single" w:color="auto" w:sz="4" w:space="0"/>
              <w:right w:val="single" w:color="auto" w:sz="4" w:space="0"/>
            </w:tcBorders>
            <w:shd w:val="clear" w:color="auto" w:fill="auto"/>
            <w:vAlign w:val="center"/>
          </w:tcPr>
          <w:p w:rsidRPr="00E55440" w:rsidR="00AC550B" w:rsidP="003E0DAC" w:rsidRDefault="00AC550B" w14:paraId="348E9A0D" w14:textId="77777777">
            <w:pPr>
              <w:widowControl/>
              <w:autoSpaceDE/>
              <w:autoSpaceDN/>
              <w:adjustRightInd/>
              <w:rPr>
                <w:sz w:val="24"/>
              </w:rPr>
            </w:pPr>
            <w:r>
              <w:rPr>
                <w:sz w:val="24"/>
              </w:rPr>
              <w:t>Civilian Workers</w:t>
            </w:r>
          </w:p>
        </w:tc>
        <w:tc>
          <w:tcPr>
            <w:tcW w:w="996" w:type="dxa"/>
            <w:tcBorders>
              <w:top w:val="nil"/>
              <w:left w:val="nil"/>
              <w:bottom w:val="nil"/>
              <w:right w:val="single" w:color="000000" w:sz="4" w:space="0"/>
            </w:tcBorders>
            <w:shd w:val="clear" w:color="000000" w:fill="FFFFFF"/>
            <w:vAlign w:val="center"/>
          </w:tcPr>
          <w:p w:rsidRPr="00E55440" w:rsidR="00AC550B" w:rsidP="003E0DAC" w:rsidRDefault="00AC550B" w14:paraId="5DB8A981" w14:textId="77777777">
            <w:pPr>
              <w:widowControl/>
              <w:autoSpaceDE/>
              <w:autoSpaceDN/>
              <w:adjustRightInd/>
              <w:jc w:val="center"/>
              <w:rPr>
                <w:color w:val="000000"/>
                <w:sz w:val="24"/>
              </w:rPr>
            </w:pPr>
            <w:r>
              <w:rPr>
                <w:color w:val="000000"/>
                <w:sz w:val="24"/>
              </w:rPr>
              <w:t>$38.20</w:t>
            </w:r>
          </w:p>
        </w:tc>
        <w:tc>
          <w:tcPr>
            <w:tcW w:w="1220" w:type="dxa"/>
            <w:tcBorders>
              <w:top w:val="nil"/>
              <w:left w:val="nil"/>
              <w:bottom w:val="nil"/>
              <w:right w:val="single" w:color="auto" w:sz="4" w:space="0"/>
            </w:tcBorders>
            <w:shd w:val="clear" w:color="000000" w:fill="FFFFFF"/>
            <w:vAlign w:val="center"/>
          </w:tcPr>
          <w:p w:rsidRPr="00E55440" w:rsidR="00AC550B" w:rsidP="003E0DAC" w:rsidRDefault="00AC550B" w14:paraId="104BB054" w14:textId="77777777">
            <w:pPr>
              <w:widowControl/>
              <w:autoSpaceDE/>
              <w:autoSpaceDN/>
              <w:adjustRightInd/>
              <w:jc w:val="center"/>
              <w:rPr>
                <w:color w:val="000000"/>
                <w:sz w:val="24"/>
              </w:rPr>
            </w:pPr>
            <w:r>
              <w:rPr>
                <w:color w:val="000000"/>
                <w:sz w:val="24"/>
              </w:rPr>
              <w:t>$38.20</w:t>
            </w:r>
          </w:p>
        </w:tc>
      </w:tr>
      <w:tr w:rsidRPr="00E55440" w:rsidR="00AC550B" w:rsidTr="003E0DAC" w14:paraId="00B16FD5"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31956B70" w14:textId="77777777">
            <w:pPr>
              <w:widowControl/>
              <w:autoSpaceDE/>
              <w:autoSpaceDN/>
              <w:adjustRightInd/>
              <w:rPr>
                <w:sz w:val="24"/>
              </w:rPr>
            </w:pPr>
            <w:r w:rsidRPr="00E55440">
              <w:rPr>
                <w:sz w:val="24"/>
              </w:rPr>
              <w:t>Total Mean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AC550B" w:rsidP="003E0DAC" w:rsidRDefault="00AC550B" w14:paraId="4C476B92" w14:textId="77777777">
            <w:pPr>
              <w:widowControl/>
              <w:autoSpaceDE/>
              <w:autoSpaceDN/>
              <w:adjustRightInd/>
              <w:rPr>
                <w:sz w:val="24"/>
              </w:rPr>
            </w:pPr>
            <w:r w:rsidRPr="00E55440">
              <w:rPr>
                <w:sz w:val="24"/>
              </w:rPr>
              <w:t> </w:t>
            </w:r>
          </w:p>
        </w:tc>
        <w:tc>
          <w:tcPr>
            <w:tcW w:w="996" w:type="dxa"/>
            <w:tcBorders>
              <w:top w:val="single" w:color="auto" w:sz="4" w:space="0"/>
              <w:left w:val="nil"/>
              <w:bottom w:val="single" w:color="auto" w:sz="4" w:space="0"/>
              <w:right w:val="single" w:color="auto" w:sz="4" w:space="0"/>
            </w:tcBorders>
            <w:shd w:val="clear" w:color="000000" w:fill="FFFFFF"/>
            <w:vAlign w:val="center"/>
          </w:tcPr>
          <w:p w:rsidRPr="00E55440" w:rsidR="00AC550B" w:rsidP="003E0DAC" w:rsidRDefault="00AC550B" w14:paraId="6AF6AF9B" w14:textId="77777777">
            <w:pPr>
              <w:widowControl/>
              <w:autoSpaceDE/>
              <w:autoSpaceDN/>
              <w:adjustRightInd/>
              <w:jc w:val="center"/>
              <w:rPr>
                <w:color w:val="000000"/>
                <w:sz w:val="24"/>
              </w:rPr>
            </w:pPr>
            <w:r>
              <w:rPr>
                <w:color w:val="000000"/>
                <w:sz w:val="24"/>
              </w:rPr>
              <w:t>$309.33</w:t>
            </w:r>
          </w:p>
        </w:tc>
        <w:tc>
          <w:tcPr>
            <w:tcW w:w="1220" w:type="dxa"/>
            <w:tcBorders>
              <w:top w:val="single" w:color="auto" w:sz="4" w:space="0"/>
              <w:left w:val="nil"/>
              <w:bottom w:val="single" w:color="auto" w:sz="4" w:space="0"/>
              <w:right w:val="single" w:color="auto" w:sz="4" w:space="0"/>
            </w:tcBorders>
            <w:shd w:val="clear" w:color="000000" w:fill="FFFFFF"/>
            <w:vAlign w:val="center"/>
          </w:tcPr>
          <w:p w:rsidRPr="00E55440" w:rsidR="00AC550B" w:rsidP="003E0DAC" w:rsidRDefault="00AC550B" w14:paraId="14BBB8E9" w14:textId="77777777">
            <w:pPr>
              <w:widowControl/>
              <w:autoSpaceDE/>
              <w:autoSpaceDN/>
              <w:adjustRightInd/>
              <w:jc w:val="center"/>
              <w:rPr>
                <w:color w:val="000000"/>
                <w:sz w:val="24"/>
              </w:rPr>
            </w:pPr>
            <w:r>
              <w:rPr>
                <w:color w:val="000000"/>
                <w:sz w:val="24"/>
              </w:rPr>
              <w:t>$309.33</w:t>
            </w:r>
          </w:p>
        </w:tc>
      </w:tr>
      <w:tr w:rsidRPr="00E55440" w:rsidR="00AC550B" w:rsidTr="003E0DAC" w14:paraId="5A230DB7"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14:paraId="321BDFCC" w14:textId="77777777">
            <w:pPr>
              <w:widowControl/>
              <w:autoSpaceDE/>
              <w:autoSpaceDN/>
              <w:adjustRightInd/>
              <w:rPr>
                <w:b/>
                <w:bCs/>
                <w:sz w:val="24"/>
              </w:rPr>
            </w:pPr>
            <w:r w:rsidRPr="00E55440">
              <w:rPr>
                <w:b/>
                <w:bCs/>
                <w:sz w:val="24"/>
              </w:rPr>
              <w:t>Average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AC550B" w:rsidP="003E0DAC" w:rsidRDefault="00AC550B" w14:paraId="72656F65" w14:textId="77777777">
            <w:pPr>
              <w:widowControl/>
              <w:autoSpaceDE/>
              <w:autoSpaceDN/>
              <w:adjustRightInd/>
              <w:rPr>
                <w:b/>
                <w:bCs/>
                <w:sz w:val="24"/>
              </w:rPr>
            </w:pPr>
            <w:r w:rsidRPr="00E55440">
              <w:rPr>
                <w:b/>
                <w:bCs/>
                <w:sz w:val="24"/>
              </w:rPr>
              <w:t> </w:t>
            </w:r>
          </w:p>
        </w:tc>
        <w:tc>
          <w:tcPr>
            <w:tcW w:w="996" w:type="dxa"/>
            <w:tcBorders>
              <w:top w:val="nil"/>
              <w:left w:val="nil"/>
              <w:bottom w:val="single" w:color="auto" w:sz="4" w:space="0"/>
              <w:right w:val="single" w:color="auto" w:sz="4" w:space="0"/>
            </w:tcBorders>
            <w:shd w:val="clear" w:color="auto" w:fill="auto"/>
            <w:noWrap/>
            <w:vAlign w:val="bottom"/>
          </w:tcPr>
          <w:p w:rsidRPr="00E55440" w:rsidR="00AC550B" w:rsidP="003E0DAC" w:rsidRDefault="00AC550B" w14:paraId="386F7CAD" w14:textId="77777777">
            <w:pPr>
              <w:widowControl/>
              <w:autoSpaceDE/>
              <w:autoSpaceDN/>
              <w:adjustRightInd/>
              <w:jc w:val="center"/>
              <w:rPr>
                <w:b/>
                <w:bCs/>
                <w:color w:val="000000"/>
                <w:sz w:val="24"/>
              </w:rPr>
            </w:pPr>
            <w:r>
              <w:rPr>
                <w:b/>
                <w:bCs/>
                <w:color w:val="000000"/>
                <w:sz w:val="24"/>
              </w:rPr>
              <w:t>$51.56</w:t>
            </w:r>
          </w:p>
        </w:tc>
        <w:tc>
          <w:tcPr>
            <w:tcW w:w="1220" w:type="dxa"/>
            <w:tcBorders>
              <w:top w:val="nil"/>
              <w:left w:val="nil"/>
              <w:bottom w:val="single" w:color="auto" w:sz="4" w:space="0"/>
              <w:right w:val="single" w:color="auto" w:sz="4" w:space="0"/>
            </w:tcBorders>
            <w:shd w:val="clear" w:color="auto" w:fill="auto"/>
            <w:noWrap/>
            <w:vAlign w:val="bottom"/>
          </w:tcPr>
          <w:p w:rsidRPr="00E55440" w:rsidR="00AC550B" w:rsidP="003E0DAC" w:rsidRDefault="00AC550B" w14:paraId="280EC833" w14:textId="77777777">
            <w:pPr>
              <w:widowControl/>
              <w:autoSpaceDE/>
              <w:autoSpaceDN/>
              <w:adjustRightInd/>
              <w:jc w:val="center"/>
              <w:rPr>
                <w:b/>
                <w:bCs/>
                <w:color w:val="000000"/>
                <w:sz w:val="24"/>
              </w:rPr>
            </w:pPr>
            <w:r>
              <w:rPr>
                <w:b/>
                <w:bCs/>
                <w:color w:val="000000"/>
                <w:sz w:val="24"/>
              </w:rPr>
              <w:t>$51.56</w:t>
            </w:r>
          </w:p>
        </w:tc>
      </w:tr>
    </w:tbl>
    <w:p w:rsidR="00AC550B" w:rsidP="00AC550B" w:rsidRDefault="00AC550B" w14:paraId="0DD200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t>
      </w:r>
      <w:r w:rsidRPr="00D7341F">
        <w:t xml:space="preserve"> </w:t>
      </w:r>
      <w:r>
        <w:t>W</w:t>
      </w:r>
      <w:r w:rsidRPr="00D7341F">
        <w:rPr>
          <w:sz w:val="24"/>
        </w:rPr>
        <w:t>e used data from the U.S. Bureau of Labor Statistics’  2019 National Occupational Employment and Wage Estimates for all salary estimates</w:t>
      </w:r>
      <w:r>
        <w:rPr>
          <w:sz w:val="24"/>
        </w:rPr>
        <w:t xml:space="preserve"> except Medicare/Medicaid Beneficiaries, for whom we used at </w:t>
      </w:r>
      <w:hyperlink w:history="1" r:id="rId11">
        <w:r w:rsidRPr="00697ED4">
          <w:rPr>
            <w:rStyle w:val="Hyperlink"/>
            <w:sz w:val="24"/>
          </w:rPr>
          <w:t>https://www.bls.gov/news.release/ecec.t02.htm</w:t>
        </w:r>
      </w:hyperlink>
      <w:r>
        <w:rPr>
          <w:sz w:val="24"/>
        </w:rPr>
        <w:t>.</w:t>
      </w:r>
    </w:p>
    <w:p w:rsidR="00652AF1" w:rsidP="00AC550B" w:rsidRDefault="00652AF1" w14:paraId="4C64FC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108" w:type="dxa"/>
        <w:tblLook w:val="04A0" w:firstRow="1" w:lastRow="0" w:firstColumn="1" w:lastColumn="0" w:noHBand="0" w:noVBand="1"/>
      </w:tblPr>
      <w:tblGrid>
        <w:gridCol w:w="3560"/>
        <w:gridCol w:w="1700"/>
        <w:gridCol w:w="960"/>
        <w:gridCol w:w="1220"/>
      </w:tblGrid>
      <w:tr w:rsidRPr="00C23572" w:rsidR="00652AF1" w:rsidTr="00E41254" w14:paraId="068B85D0" w14:textId="77777777">
        <w:trPr>
          <w:gridAfter w:val="1"/>
          <w:wAfter w:w="1220" w:type="dxa"/>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593D58BA" w14:textId="77777777">
            <w:pPr>
              <w:widowControl/>
              <w:autoSpaceDE/>
              <w:autoSpaceDN/>
              <w:adjustRightInd/>
              <w:rPr>
                <w:color w:val="000000"/>
                <w:sz w:val="24"/>
              </w:rPr>
            </w:pPr>
            <w:r w:rsidRPr="00C23572">
              <w:rPr>
                <w:color w:val="000000"/>
                <w:sz w:val="24"/>
              </w:rPr>
              <w:t>$</w:t>
            </w:r>
            <w:r>
              <w:rPr>
                <w:color w:val="000000"/>
                <w:sz w:val="24"/>
              </w:rPr>
              <w:t>51.56</w:t>
            </w:r>
            <w:r w:rsidRPr="00C23572">
              <w:rPr>
                <w:color w:val="000000"/>
                <w:sz w:val="24"/>
              </w:rPr>
              <w:t xml:space="preserve"> </w:t>
            </w:r>
          </w:p>
        </w:tc>
        <w:tc>
          <w:tcPr>
            <w:tcW w:w="2660" w:type="dxa"/>
            <w:gridSpan w:val="2"/>
            <w:tcBorders>
              <w:top w:val="nil"/>
              <w:left w:val="nil"/>
              <w:bottom w:val="nil"/>
              <w:right w:val="nil"/>
            </w:tcBorders>
            <w:shd w:val="clear" w:color="auto" w:fill="auto"/>
            <w:noWrap/>
            <w:vAlign w:val="bottom"/>
            <w:hideMark/>
          </w:tcPr>
          <w:p w:rsidRPr="00C23572" w:rsidR="00652AF1" w:rsidP="00E41254" w:rsidRDefault="00652AF1" w14:paraId="2181AB0B" w14:textId="77777777">
            <w:pPr>
              <w:widowControl/>
              <w:autoSpaceDE/>
              <w:autoSpaceDN/>
              <w:adjustRightInd/>
              <w:rPr>
                <w:color w:val="000000"/>
                <w:sz w:val="24"/>
              </w:rPr>
            </w:pPr>
            <w:r w:rsidRPr="00C23572">
              <w:rPr>
                <w:color w:val="000000"/>
                <w:sz w:val="24"/>
              </w:rPr>
              <w:t>average hourly wage</w:t>
            </w:r>
          </w:p>
        </w:tc>
      </w:tr>
      <w:tr w:rsidRPr="00C23572" w:rsidR="00652AF1" w:rsidTr="00E41254" w14:paraId="2FCFE20F" w14:textId="77777777">
        <w:trPr>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3199349C" w14:textId="77777777">
            <w:pPr>
              <w:widowControl/>
              <w:autoSpaceDE/>
              <w:autoSpaceDN/>
              <w:adjustRightInd/>
              <w:rPr>
                <w:color w:val="000000"/>
                <w:sz w:val="24"/>
              </w:rPr>
            </w:pPr>
            <w:r w:rsidRPr="00C23572">
              <w:rPr>
                <w:color w:val="000000"/>
                <w:sz w:val="24"/>
              </w:rPr>
              <w:t>$</w:t>
            </w:r>
            <w:r>
              <w:rPr>
                <w:color w:val="000000"/>
                <w:sz w:val="24"/>
              </w:rPr>
              <w:t>51.56 +</w:t>
            </w:r>
          </w:p>
        </w:tc>
        <w:tc>
          <w:tcPr>
            <w:tcW w:w="3880" w:type="dxa"/>
            <w:gridSpan w:val="3"/>
            <w:tcBorders>
              <w:top w:val="nil"/>
              <w:left w:val="nil"/>
              <w:bottom w:val="nil"/>
              <w:right w:val="nil"/>
            </w:tcBorders>
            <w:shd w:val="clear" w:color="auto" w:fill="auto"/>
            <w:noWrap/>
            <w:vAlign w:val="bottom"/>
            <w:hideMark/>
          </w:tcPr>
          <w:p w:rsidRPr="00C23572" w:rsidR="00652AF1" w:rsidP="00E41254" w:rsidRDefault="00652AF1" w14:paraId="5D84196A" w14:textId="77777777">
            <w:pPr>
              <w:widowControl/>
              <w:autoSpaceDE/>
              <w:autoSpaceDN/>
              <w:adjustRightInd/>
              <w:rPr>
                <w:color w:val="000000"/>
                <w:sz w:val="24"/>
              </w:rPr>
            </w:pPr>
            <w:r w:rsidRPr="00C23572">
              <w:rPr>
                <w:color w:val="000000"/>
                <w:sz w:val="24"/>
              </w:rPr>
              <w:t>increased by a factor of 100 percent</w:t>
            </w:r>
          </w:p>
        </w:tc>
      </w:tr>
      <w:tr w:rsidRPr="00C23572" w:rsidR="00652AF1" w:rsidTr="00E41254" w14:paraId="389EB78E" w14:textId="77777777">
        <w:trPr>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5520182A" w14:textId="77777777">
            <w:pPr>
              <w:widowControl/>
              <w:autoSpaceDE/>
              <w:autoSpaceDN/>
              <w:adjustRightInd/>
              <w:rPr>
                <w:b/>
                <w:bCs/>
                <w:color w:val="000000"/>
                <w:sz w:val="24"/>
              </w:rPr>
            </w:pPr>
            <w:r>
              <w:rPr>
                <w:b/>
                <w:bCs/>
                <w:color w:val="000000"/>
                <w:sz w:val="24"/>
              </w:rPr>
              <w:t xml:space="preserve">= </w:t>
            </w:r>
            <w:r w:rsidRPr="00C23572">
              <w:rPr>
                <w:b/>
                <w:bCs/>
                <w:color w:val="000000"/>
                <w:sz w:val="24"/>
              </w:rPr>
              <w:t>$</w:t>
            </w:r>
            <w:r>
              <w:rPr>
                <w:b/>
                <w:bCs/>
                <w:color w:val="000000"/>
                <w:sz w:val="24"/>
              </w:rPr>
              <w:t>103.12</w:t>
            </w:r>
            <w:r w:rsidRPr="00C23572">
              <w:rPr>
                <w:b/>
                <w:bCs/>
                <w:color w:val="000000"/>
                <w:sz w:val="24"/>
              </w:rPr>
              <w:t xml:space="preserve"> </w:t>
            </w:r>
          </w:p>
        </w:tc>
        <w:tc>
          <w:tcPr>
            <w:tcW w:w="3880" w:type="dxa"/>
            <w:gridSpan w:val="3"/>
            <w:tcBorders>
              <w:top w:val="nil"/>
              <w:left w:val="nil"/>
              <w:bottom w:val="nil"/>
              <w:right w:val="nil"/>
            </w:tcBorders>
            <w:shd w:val="clear" w:color="auto" w:fill="auto"/>
            <w:noWrap/>
            <w:vAlign w:val="bottom"/>
            <w:hideMark/>
          </w:tcPr>
          <w:p w:rsidRPr="00C23572" w:rsidR="00652AF1" w:rsidP="00E41254" w:rsidRDefault="00652AF1" w14:paraId="4B4BDE5F" w14:textId="77777777">
            <w:pPr>
              <w:widowControl/>
              <w:autoSpaceDE/>
              <w:autoSpaceDN/>
              <w:adjustRightInd/>
              <w:rPr>
                <w:color w:val="000000"/>
                <w:sz w:val="24"/>
              </w:rPr>
            </w:pPr>
            <w:r w:rsidRPr="00C23572">
              <w:rPr>
                <w:color w:val="000000"/>
                <w:sz w:val="24"/>
              </w:rPr>
              <w:t>Average Hourly wage used in PRA package</w:t>
            </w:r>
          </w:p>
        </w:tc>
      </w:tr>
      <w:tr w:rsidRPr="00C23572" w:rsidR="00652AF1" w:rsidTr="00E41254" w14:paraId="17872C62" w14:textId="77777777">
        <w:trPr>
          <w:gridAfter w:val="2"/>
          <w:wAfter w:w="2216" w:type="dxa"/>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3BF4A2A5" w14:textId="77777777">
            <w:pPr>
              <w:widowControl/>
              <w:autoSpaceDE/>
              <w:autoSpaceDN/>
              <w:adjustRightInd/>
              <w:rPr>
                <w:color w:val="000000"/>
                <w:sz w:val="24"/>
              </w:rPr>
            </w:pPr>
            <w:r w:rsidRPr="00C23572">
              <w:rPr>
                <w:color w:val="000000"/>
                <w:sz w:val="24"/>
              </w:rPr>
              <w:lastRenderedPageBreak/>
              <w:t>Number of unique respondents:</w:t>
            </w:r>
          </w:p>
        </w:tc>
        <w:tc>
          <w:tcPr>
            <w:tcW w:w="1700" w:type="dxa"/>
            <w:tcBorders>
              <w:top w:val="nil"/>
              <w:left w:val="nil"/>
              <w:bottom w:val="nil"/>
              <w:right w:val="nil"/>
            </w:tcBorders>
            <w:shd w:val="clear" w:color="auto" w:fill="auto"/>
            <w:noWrap/>
            <w:vAlign w:val="bottom"/>
            <w:hideMark/>
          </w:tcPr>
          <w:p w:rsidRPr="00C23572" w:rsidR="00652AF1" w:rsidP="00E41254" w:rsidRDefault="00652AF1" w14:paraId="33106889" w14:textId="77777777">
            <w:pPr>
              <w:widowControl/>
              <w:autoSpaceDE/>
              <w:autoSpaceDN/>
              <w:adjustRightInd/>
              <w:rPr>
                <w:color w:val="000000"/>
                <w:sz w:val="24"/>
              </w:rPr>
            </w:pPr>
            <w:r>
              <w:rPr>
                <w:color w:val="000000"/>
                <w:sz w:val="24"/>
              </w:rPr>
              <w:t>139</w:t>
            </w:r>
          </w:p>
        </w:tc>
      </w:tr>
    </w:tbl>
    <w:p w:rsidR="00652AF1" w:rsidP="00AC550B" w:rsidRDefault="00652AF1" w14:paraId="37BE72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P="00AC550B" w:rsidRDefault="00AC550B" w14:paraId="203DB2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P="00AC550B" w:rsidRDefault="00FE1E34" w14:paraId="79EE8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P="00AC550B" w:rsidRDefault="00684C43" w14:paraId="4E2A2B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031F">
        <w:rPr>
          <w:sz w:val="24"/>
        </w:rPr>
        <w:t>During</w:t>
      </w:r>
      <w:r w:rsidRPr="0047031F" w:rsidR="00FE1E34">
        <w:rPr>
          <w:sz w:val="24"/>
        </w:rPr>
        <w:t xml:space="preserve"> calendar year 20</w:t>
      </w:r>
      <w:r w:rsidRPr="0047031F">
        <w:rPr>
          <w:sz w:val="24"/>
        </w:rPr>
        <w:t>19</w:t>
      </w:r>
      <w:r w:rsidR="00FE1E34">
        <w:rPr>
          <w:sz w:val="24"/>
        </w:rPr>
        <w:t>, CMS received about 591 healthcare provider operational status reports. We estimate that it would take about 60 minutes to submit this information to CMS. The total burden hours would be 591 (1 hour x 591 reports).</w:t>
      </w:r>
    </w:p>
    <w:p w:rsidR="00FE1E34" w:rsidP="00AC550B" w:rsidRDefault="00FE1E34" w14:paraId="42DBB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P="00AC550B" w:rsidRDefault="00FE1E34" w14:paraId="01E09E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total cost would be </w:t>
      </w:r>
      <w:r w:rsidR="004311BB">
        <w:rPr>
          <w:sz w:val="24"/>
        </w:rPr>
        <w:t>$44,597 (591 x 75.46).</w:t>
      </w:r>
    </w:p>
    <w:p w:rsidR="00FE1E34" w:rsidP="00AC550B" w:rsidRDefault="00FE1E34" w14:paraId="2121B9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108" w:type="dxa"/>
        <w:tblLook w:val="04A0" w:firstRow="1" w:lastRow="0" w:firstColumn="1" w:lastColumn="0" w:noHBand="0" w:noVBand="1"/>
      </w:tblPr>
      <w:tblGrid>
        <w:gridCol w:w="3560"/>
        <w:gridCol w:w="1700"/>
        <w:gridCol w:w="996"/>
        <w:gridCol w:w="1220"/>
      </w:tblGrid>
      <w:tr w:rsidRPr="004311BB" w:rsidR="004311BB" w:rsidTr="004311BB" w14:paraId="228F91FC" w14:textId="77777777">
        <w:trPr>
          <w:trHeight w:val="765"/>
        </w:trPr>
        <w:tc>
          <w:tcPr>
            <w:tcW w:w="3560" w:type="dxa"/>
            <w:tcBorders>
              <w:top w:val="nil"/>
              <w:left w:val="nil"/>
              <w:bottom w:val="nil"/>
              <w:right w:val="nil"/>
            </w:tcBorders>
            <w:shd w:val="clear" w:color="auto" w:fill="auto"/>
            <w:noWrap/>
            <w:vAlign w:val="bottom"/>
            <w:hideMark/>
          </w:tcPr>
          <w:p w:rsidRPr="004311BB" w:rsidR="004311BB" w:rsidP="004311BB" w:rsidRDefault="004311BB" w14:paraId="25D0C6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 xml:space="preserve">Table </w:t>
            </w:r>
            <w:r>
              <w:rPr>
                <w:b/>
                <w:bCs/>
                <w:sz w:val="24"/>
              </w:rPr>
              <w:t>4</w:t>
            </w:r>
            <w:r w:rsidRPr="004311BB">
              <w:rPr>
                <w:b/>
                <w:bCs/>
                <w:sz w:val="24"/>
              </w:rPr>
              <w:t>: Blended Occupations</w:t>
            </w:r>
          </w:p>
        </w:tc>
        <w:tc>
          <w:tcPr>
            <w:tcW w:w="1700" w:type="dxa"/>
            <w:tcBorders>
              <w:top w:val="nil"/>
              <w:left w:val="nil"/>
              <w:bottom w:val="nil"/>
              <w:right w:val="nil"/>
            </w:tcBorders>
            <w:shd w:val="clear" w:color="auto" w:fill="auto"/>
            <w:vAlign w:val="bottom"/>
            <w:hideMark/>
          </w:tcPr>
          <w:p w:rsidRPr="004311BB" w:rsidR="004311BB" w:rsidP="004311BB" w:rsidRDefault="004311BB" w14:paraId="554AE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BLS Occupation Code</w:t>
            </w:r>
          </w:p>
        </w:tc>
        <w:tc>
          <w:tcPr>
            <w:tcW w:w="996" w:type="dxa"/>
            <w:tcBorders>
              <w:top w:val="single" w:color="000000" w:sz="4" w:space="0"/>
              <w:left w:val="single" w:color="000000" w:sz="4" w:space="0"/>
              <w:bottom w:val="nil"/>
              <w:right w:val="single" w:color="000000" w:sz="4" w:space="0"/>
            </w:tcBorders>
            <w:shd w:val="clear" w:color="000000" w:fill="FFFFFF"/>
            <w:vAlign w:val="center"/>
            <w:hideMark/>
          </w:tcPr>
          <w:p w:rsidRPr="004311BB" w:rsidR="004311BB" w:rsidP="004311BB" w:rsidRDefault="004311BB" w14:paraId="3610C5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Mean hourly wage</w:t>
            </w:r>
          </w:p>
        </w:tc>
        <w:tc>
          <w:tcPr>
            <w:tcW w:w="1220" w:type="dxa"/>
            <w:tcBorders>
              <w:top w:val="single" w:color="000000" w:sz="4" w:space="0"/>
              <w:left w:val="nil"/>
              <w:bottom w:val="nil"/>
              <w:right w:val="single" w:color="auto" w:sz="4" w:space="0"/>
            </w:tcBorders>
            <w:shd w:val="clear" w:color="000000" w:fill="FFFFFF"/>
            <w:vAlign w:val="center"/>
            <w:hideMark/>
          </w:tcPr>
          <w:p w:rsidRPr="004311BB" w:rsidR="004311BB" w:rsidP="004311BB" w:rsidRDefault="004311BB" w14:paraId="3C6FA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Fringe Benefits</w:t>
            </w:r>
          </w:p>
        </w:tc>
      </w:tr>
      <w:tr w:rsidRPr="004311BB" w:rsidR="004311BB" w:rsidTr="004311BB" w14:paraId="29AB9BB1" w14:textId="77777777">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311BB" w:rsidR="004311BB" w:rsidP="004311BB" w:rsidRDefault="004311BB" w14:paraId="78E02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Nursing Home Administrator</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4311BB" w:rsidR="004311BB" w:rsidP="004311BB" w:rsidRDefault="004311BB" w14:paraId="49AD6D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43-1011</w:t>
            </w:r>
          </w:p>
        </w:tc>
        <w:tc>
          <w:tcPr>
            <w:tcW w:w="996" w:type="dxa"/>
            <w:tcBorders>
              <w:top w:val="single" w:color="000000" w:sz="4" w:space="0"/>
              <w:left w:val="nil"/>
              <w:bottom w:val="single" w:color="000000" w:sz="4" w:space="0"/>
              <w:right w:val="single" w:color="000000" w:sz="4" w:space="0"/>
            </w:tcBorders>
            <w:shd w:val="clear" w:color="000000" w:fill="FFFFFF"/>
            <w:vAlign w:val="center"/>
            <w:hideMark/>
          </w:tcPr>
          <w:p w:rsidRPr="004311BB" w:rsidR="004311BB" w:rsidP="004311BB" w:rsidRDefault="004311BB" w14:paraId="1D4FE3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xml:space="preserve">$28.91 </w:t>
            </w:r>
          </w:p>
        </w:tc>
        <w:tc>
          <w:tcPr>
            <w:tcW w:w="1220" w:type="dxa"/>
            <w:tcBorders>
              <w:top w:val="single" w:color="000000" w:sz="4" w:space="0"/>
              <w:left w:val="nil"/>
              <w:bottom w:val="single" w:color="000000" w:sz="4" w:space="0"/>
              <w:right w:val="single" w:color="auto" w:sz="4" w:space="0"/>
            </w:tcBorders>
            <w:shd w:val="clear" w:color="000000" w:fill="FFFFFF"/>
            <w:vAlign w:val="center"/>
            <w:hideMark/>
          </w:tcPr>
          <w:p w:rsidRPr="004311BB" w:rsidR="004311BB" w:rsidP="004311BB" w:rsidRDefault="004311BB" w14:paraId="1CC76C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xml:space="preserve">$28.91 </w:t>
            </w:r>
          </w:p>
        </w:tc>
      </w:tr>
      <w:tr w:rsidRPr="004311BB" w:rsidR="004311BB" w:rsidTr="004311BB" w14:paraId="289BC65A"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4311BB" w:rsidR="004311BB" w:rsidP="004311BB" w:rsidRDefault="004311BB" w14:paraId="3780A0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Hospital 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4311BB" w:rsidR="004311BB" w:rsidP="004311BB" w:rsidRDefault="004311BB" w14:paraId="5CAC82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11*9111</w:t>
            </w:r>
          </w:p>
        </w:tc>
        <w:tc>
          <w:tcPr>
            <w:tcW w:w="996" w:type="dxa"/>
            <w:tcBorders>
              <w:top w:val="nil"/>
              <w:left w:val="nil"/>
              <w:bottom w:val="single" w:color="000000" w:sz="4" w:space="0"/>
              <w:right w:val="single" w:color="000000" w:sz="4" w:space="0"/>
            </w:tcBorders>
            <w:shd w:val="clear" w:color="000000" w:fill="FFFFFF"/>
            <w:vAlign w:val="center"/>
            <w:hideMark/>
          </w:tcPr>
          <w:p w:rsidRPr="004311BB" w:rsidR="004311BB" w:rsidP="004311BB" w:rsidRDefault="004311BB" w14:paraId="610B76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xml:space="preserve">$55.37 </w:t>
            </w:r>
          </w:p>
        </w:tc>
        <w:tc>
          <w:tcPr>
            <w:tcW w:w="1220" w:type="dxa"/>
            <w:tcBorders>
              <w:top w:val="nil"/>
              <w:left w:val="nil"/>
              <w:bottom w:val="single" w:color="000000" w:sz="4" w:space="0"/>
              <w:right w:val="single" w:color="auto" w:sz="4" w:space="0"/>
            </w:tcBorders>
            <w:shd w:val="clear" w:color="000000" w:fill="FFFFFF"/>
            <w:vAlign w:val="center"/>
            <w:hideMark/>
          </w:tcPr>
          <w:p w:rsidRPr="004311BB" w:rsidR="004311BB" w:rsidP="004311BB" w:rsidRDefault="004311BB" w14:paraId="0FD990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xml:space="preserve">$55.37 </w:t>
            </w:r>
          </w:p>
        </w:tc>
      </w:tr>
      <w:tr w:rsidRPr="004311BB" w:rsidR="004311BB" w:rsidTr="004311BB" w14:paraId="1C3A2346"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4311BB" w:rsidR="004311BB" w:rsidP="004311BB" w:rsidRDefault="004311BB" w14:paraId="7B152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4311BB" w:rsidR="004311BB" w:rsidP="004311BB" w:rsidRDefault="004311BB" w14:paraId="751385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43-1011</w:t>
            </w:r>
          </w:p>
        </w:tc>
        <w:tc>
          <w:tcPr>
            <w:tcW w:w="996" w:type="dxa"/>
            <w:tcBorders>
              <w:top w:val="nil"/>
              <w:left w:val="nil"/>
              <w:bottom w:val="single" w:color="000000" w:sz="4" w:space="0"/>
              <w:right w:val="single" w:color="000000" w:sz="4" w:space="0"/>
            </w:tcBorders>
            <w:shd w:val="clear" w:color="000000" w:fill="FFFFFF"/>
            <w:vAlign w:val="center"/>
            <w:hideMark/>
          </w:tcPr>
          <w:p w:rsidRPr="004311BB" w:rsidR="004311BB" w:rsidP="004311BB" w:rsidRDefault="004311BB" w14:paraId="08F7FC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xml:space="preserve">$28.91 </w:t>
            </w:r>
          </w:p>
        </w:tc>
        <w:tc>
          <w:tcPr>
            <w:tcW w:w="1220" w:type="dxa"/>
            <w:tcBorders>
              <w:top w:val="nil"/>
              <w:left w:val="nil"/>
              <w:bottom w:val="single" w:color="000000" w:sz="4" w:space="0"/>
              <w:right w:val="single" w:color="auto" w:sz="4" w:space="0"/>
            </w:tcBorders>
            <w:shd w:val="clear" w:color="000000" w:fill="FFFFFF"/>
            <w:vAlign w:val="center"/>
            <w:hideMark/>
          </w:tcPr>
          <w:p w:rsidRPr="004311BB" w:rsidR="004311BB" w:rsidP="004311BB" w:rsidRDefault="004311BB" w14:paraId="2CADA2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xml:space="preserve">$28.91 </w:t>
            </w:r>
          </w:p>
        </w:tc>
      </w:tr>
      <w:tr w:rsidRPr="004311BB" w:rsidR="004311BB" w:rsidTr="004311BB" w14:paraId="72493D8B"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4311BB" w:rsidR="004311BB" w:rsidP="004311BB" w:rsidRDefault="004311BB" w14:paraId="7D6800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Total Mean Hourly Wage</w:t>
            </w:r>
          </w:p>
        </w:tc>
        <w:tc>
          <w:tcPr>
            <w:tcW w:w="1700" w:type="dxa"/>
            <w:tcBorders>
              <w:top w:val="nil"/>
              <w:left w:val="nil"/>
              <w:bottom w:val="single" w:color="auto" w:sz="4" w:space="0"/>
              <w:right w:val="single" w:color="auto" w:sz="4" w:space="0"/>
            </w:tcBorders>
            <w:shd w:val="clear" w:color="auto" w:fill="auto"/>
            <w:vAlign w:val="center"/>
            <w:hideMark/>
          </w:tcPr>
          <w:p w:rsidRPr="004311BB" w:rsidR="004311BB" w:rsidP="004311BB" w:rsidRDefault="004311BB" w14:paraId="19E19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 </w:t>
            </w:r>
          </w:p>
        </w:tc>
        <w:tc>
          <w:tcPr>
            <w:tcW w:w="996" w:type="dxa"/>
            <w:tcBorders>
              <w:top w:val="single" w:color="auto" w:sz="4" w:space="0"/>
              <w:left w:val="nil"/>
              <w:bottom w:val="single" w:color="auto" w:sz="4" w:space="0"/>
              <w:right w:val="single" w:color="auto" w:sz="4" w:space="0"/>
            </w:tcBorders>
            <w:shd w:val="clear" w:color="000000" w:fill="FFFFFF"/>
            <w:vAlign w:val="center"/>
            <w:hideMark/>
          </w:tcPr>
          <w:p w:rsidRPr="004311BB" w:rsidR="004311BB" w:rsidP="004311BB" w:rsidRDefault="004311BB" w14:paraId="7E62C2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w:t>
            </w:r>
            <w:r>
              <w:rPr>
                <w:sz w:val="24"/>
              </w:rPr>
              <w:t>113.19</w:t>
            </w:r>
            <w:r w:rsidRPr="004311BB">
              <w:rPr>
                <w:sz w:val="24"/>
              </w:rPr>
              <w:t xml:space="preserve"> </w:t>
            </w:r>
          </w:p>
        </w:tc>
        <w:tc>
          <w:tcPr>
            <w:tcW w:w="1220" w:type="dxa"/>
            <w:tcBorders>
              <w:top w:val="single" w:color="auto" w:sz="4" w:space="0"/>
              <w:left w:val="nil"/>
              <w:bottom w:val="single" w:color="auto" w:sz="4" w:space="0"/>
              <w:right w:val="single" w:color="auto" w:sz="4" w:space="0"/>
            </w:tcBorders>
            <w:shd w:val="clear" w:color="000000" w:fill="FFFFFF"/>
            <w:vAlign w:val="center"/>
            <w:hideMark/>
          </w:tcPr>
          <w:p w:rsidRPr="004311BB" w:rsidR="004311BB" w:rsidP="004311BB" w:rsidRDefault="004311BB" w14:paraId="2DC825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311BB">
              <w:rPr>
                <w:sz w:val="24"/>
              </w:rPr>
              <w:t>$</w:t>
            </w:r>
            <w:r>
              <w:rPr>
                <w:sz w:val="24"/>
              </w:rPr>
              <w:t>113.19</w:t>
            </w:r>
          </w:p>
        </w:tc>
      </w:tr>
      <w:tr w:rsidRPr="004311BB" w:rsidR="004311BB" w:rsidTr="004311BB" w14:paraId="58164433" w14:textId="77777777">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4311BB" w:rsidR="004311BB" w:rsidP="004311BB" w:rsidRDefault="004311BB" w14:paraId="7ECAFA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Average Hourly Wage</w:t>
            </w:r>
          </w:p>
        </w:tc>
        <w:tc>
          <w:tcPr>
            <w:tcW w:w="1700" w:type="dxa"/>
            <w:tcBorders>
              <w:top w:val="nil"/>
              <w:left w:val="nil"/>
              <w:bottom w:val="single" w:color="auto" w:sz="4" w:space="0"/>
              <w:right w:val="single" w:color="auto" w:sz="4" w:space="0"/>
            </w:tcBorders>
            <w:shd w:val="clear" w:color="auto" w:fill="auto"/>
            <w:vAlign w:val="center"/>
            <w:hideMark/>
          </w:tcPr>
          <w:p w:rsidRPr="004311BB" w:rsidR="004311BB" w:rsidP="004311BB" w:rsidRDefault="004311BB" w14:paraId="4BE6B4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 </w:t>
            </w:r>
          </w:p>
        </w:tc>
        <w:tc>
          <w:tcPr>
            <w:tcW w:w="996" w:type="dxa"/>
            <w:tcBorders>
              <w:top w:val="nil"/>
              <w:left w:val="nil"/>
              <w:bottom w:val="single" w:color="auto" w:sz="4" w:space="0"/>
              <w:right w:val="single" w:color="auto" w:sz="4" w:space="0"/>
            </w:tcBorders>
            <w:shd w:val="clear" w:color="auto" w:fill="auto"/>
            <w:noWrap/>
            <w:vAlign w:val="bottom"/>
            <w:hideMark/>
          </w:tcPr>
          <w:p w:rsidRPr="004311BB" w:rsidR="004311BB" w:rsidP="004311BB" w:rsidRDefault="004311BB" w14:paraId="6C9B60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w:t>
            </w:r>
            <w:r>
              <w:rPr>
                <w:b/>
                <w:bCs/>
                <w:sz w:val="24"/>
              </w:rPr>
              <w:t>37.73</w:t>
            </w:r>
            <w:r w:rsidRPr="004311BB">
              <w:rPr>
                <w:b/>
                <w:bCs/>
                <w:sz w:val="24"/>
              </w:rPr>
              <w:t xml:space="preserve"> </w:t>
            </w:r>
          </w:p>
        </w:tc>
        <w:tc>
          <w:tcPr>
            <w:tcW w:w="1220" w:type="dxa"/>
            <w:tcBorders>
              <w:top w:val="nil"/>
              <w:left w:val="nil"/>
              <w:bottom w:val="single" w:color="auto" w:sz="4" w:space="0"/>
              <w:right w:val="single" w:color="auto" w:sz="4" w:space="0"/>
            </w:tcBorders>
            <w:shd w:val="clear" w:color="auto" w:fill="auto"/>
            <w:noWrap/>
            <w:vAlign w:val="bottom"/>
            <w:hideMark/>
          </w:tcPr>
          <w:p w:rsidRPr="004311BB" w:rsidR="004311BB" w:rsidP="004311BB" w:rsidRDefault="004311BB" w14:paraId="1FD561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311BB">
              <w:rPr>
                <w:b/>
                <w:bCs/>
                <w:sz w:val="24"/>
              </w:rPr>
              <w:t>$</w:t>
            </w:r>
            <w:r>
              <w:rPr>
                <w:b/>
                <w:bCs/>
                <w:sz w:val="24"/>
              </w:rPr>
              <w:t>37.73</w:t>
            </w:r>
            <w:r w:rsidRPr="004311BB">
              <w:rPr>
                <w:b/>
                <w:bCs/>
                <w:sz w:val="24"/>
              </w:rPr>
              <w:t xml:space="preserve"> </w:t>
            </w:r>
          </w:p>
        </w:tc>
      </w:tr>
    </w:tbl>
    <w:p w:rsidR="00FE1E34" w:rsidP="00AC550B" w:rsidRDefault="00FE1E34" w14:paraId="69433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108" w:type="dxa"/>
        <w:tblLook w:val="04A0" w:firstRow="1" w:lastRow="0" w:firstColumn="1" w:lastColumn="0" w:noHBand="0" w:noVBand="1"/>
      </w:tblPr>
      <w:tblGrid>
        <w:gridCol w:w="3560"/>
        <w:gridCol w:w="1700"/>
        <w:gridCol w:w="960"/>
        <w:gridCol w:w="1220"/>
      </w:tblGrid>
      <w:tr w:rsidRPr="00C23572" w:rsidR="00652AF1" w:rsidTr="00E41254" w14:paraId="46AC26A5" w14:textId="77777777">
        <w:trPr>
          <w:gridAfter w:val="1"/>
          <w:wAfter w:w="1220" w:type="dxa"/>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52C7A81F" w14:textId="77777777">
            <w:pPr>
              <w:widowControl/>
              <w:autoSpaceDE/>
              <w:autoSpaceDN/>
              <w:adjustRightInd/>
              <w:rPr>
                <w:color w:val="000000"/>
                <w:sz w:val="24"/>
              </w:rPr>
            </w:pPr>
            <w:r w:rsidRPr="00C23572">
              <w:rPr>
                <w:color w:val="000000"/>
                <w:sz w:val="24"/>
              </w:rPr>
              <w:t>$</w:t>
            </w:r>
            <w:r>
              <w:rPr>
                <w:color w:val="000000"/>
                <w:sz w:val="24"/>
              </w:rPr>
              <w:t>37.73</w:t>
            </w:r>
            <w:r w:rsidRPr="00C23572">
              <w:rPr>
                <w:color w:val="000000"/>
                <w:sz w:val="24"/>
              </w:rPr>
              <w:t xml:space="preserve"> </w:t>
            </w:r>
          </w:p>
        </w:tc>
        <w:tc>
          <w:tcPr>
            <w:tcW w:w="2660" w:type="dxa"/>
            <w:gridSpan w:val="2"/>
            <w:tcBorders>
              <w:top w:val="nil"/>
              <w:left w:val="nil"/>
              <w:bottom w:val="nil"/>
              <w:right w:val="nil"/>
            </w:tcBorders>
            <w:shd w:val="clear" w:color="auto" w:fill="auto"/>
            <w:noWrap/>
            <w:vAlign w:val="bottom"/>
            <w:hideMark/>
          </w:tcPr>
          <w:p w:rsidRPr="00C23572" w:rsidR="00652AF1" w:rsidP="00E41254" w:rsidRDefault="00652AF1" w14:paraId="5089847A" w14:textId="77777777">
            <w:pPr>
              <w:widowControl/>
              <w:autoSpaceDE/>
              <w:autoSpaceDN/>
              <w:adjustRightInd/>
              <w:rPr>
                <w:color w:val="000000"/>
                <w:sz w:val="24"/>
              </w:rPr>
            </w:pPr>
            <w:r w:rsidRPr="00C23572">
              <w:rPr>
                <w:color w:val="000000"/>
                <w:sz w:val="24"/>
              </w:rPr>
              <w:t>average hourly wage</w:t>
            </w:r>
          </w:p>
        </w:tc>
      </w:tr>
      <w:tr w:rsidRPr="00C23572" w:rsidR="00652AF1" w:rsidTr="00E41254" w14:paraId="2E399F03" w14:textId="77777777">
        <w:trPr>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5553581D" w14:textId="77777777">
            <w:pPr>
              <w:widowControl/>
              <w:autoSpaceDE/>
              <w:autoSpaceDN/>
              <w:adjustRightInd/>
              <w:rPr>
                <w:color w:val="000000"/>
                <w:sz w:val="24"/>
              </w:rPr>
            </w:pPr>
            <w:r w:rsidRPr="00C23572">
              <w:rPr>
                <w:color w:val="000000"/>
                <w:sz w:val="24"/>
              </w:rPr>
              <w:t>$</w:t>
            </w:r>
            <w:r>
              <w:rPr>
                <w:color w:val="000000"/>
                <w:sz w:val="24"/>
              </w:rPr>
              <w:t>37.73 +</w:t>
            </w:r>
          </w:p>
        </w:tc>
        <w:tc>
          <w:tcPr>
            <w:tcW w:w="3880" w:type="dxa"/>
            <w:gridSpan w:val="3"/>
            <w:tcBorders>
              <w:top w:val="nil"/>
              <w:left w:val="nil"/>
              <w:bottom w:val="nil"/>
              <w:right w:val="nil"/>
            </w:tcBorders>
            <w:shd w:val="clear" w:color="auto" w:fill="auto"/>
            <w:noWrap/>
            <w:vAlign w:val="bottom"/>
            <w:hideMark/>
          </w:tcPr>
          <w:p w:rsidRPr="00C23572" w:rsidR="00652AF1" w:rsidP="00E41254" w:rsidRDefault="00652AF1" w14:paraId="79683802" w14:textId="77777777">
            <w:pPr>
              <w:widowControl/>
              <w:autoSpaceDE/>
              <w:autoSpaceDN/>
              <w:adjustRightInd/>
              <w:rPr>
                <w:color w:val="000000"/>
                <w:sz w:val="24"/>
              </w:rPr>
            </w:pPr>
            <w:r w:rsidRPr="00C23572">
              <w:rPr>
                <w:color w:val="000000"/>
                <w:sz w:val="24"/>
              </w:rPr>
              <w:t>increased by a factor of 100 percent</w:t>
            </w:r>
          </w:p>
        </w:tc>
      </w:tr>
      <w:tr w:rsidRPr="00C23572" w:rsidR="00652AF1" w:rsidTr="00E41254" w14:paraId="59C4A461" w14:textId="77777777">
        <w:trPr>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7395FA59" w14:textId="77777777">
            <w:pPr>
              <w:widowControl/>
              <w:autoSpaceDE/>
              <w:autoSpaceDN/>
              <w:adjustRightInd/>
              <w:rPr>
                <w:b/>
                <w:bCs/>
                <w:color w:val="000000"/>
                <w:sz w:val="24"/>
              </w:rPr>
            </w:pPr>
            <w:r>
              <w:rPr>
                <w:b/>
                <w:bCs/>
                <w:color w:val="000000"/>
                <w:sz w:val="24"/>
              </w:rPr>
              <w:t xml:space="preserve">= </w:t>
            </w:r>
            <w:r w:rsidRPr="00C23572">
              <w:rPr>
                <w:b/>
                <w:bCs/>
                <w:color w:val="000000"/>
                <w:sz w:val="24"/>
              </w:rPr>
              <w:t>$</w:t>
            </w:r>
            <w:r>
              <w:rPr>
                <w:b/>
                <w:bCs/>
                <w:color w:val="000000"/>
                <w:sz w:val="24"/>
              </w:rPr>
              <w:t>75.46</w:t>
            </w:r>
            <w:r w:rsidRPr="00C23572">
              <w:rPr>
                <w:b/>
                <w:bCs/>
                <w:color w:val="000000"/>
                <w:sz w:val="24"/>
              </w:rPr>
              <w:t xml:space="preserve"> </w:t>
            </w:r>
          </w:p>
        </w:tc>
        <w:tc>
          <w:tcPr>
            <w:tcW w:w="3880" w:type="dxa"/>
            <w:gridSpan w:val="3"/>
            <w:tcBorders>
              <w:top w:val="nil"/>
              <w:left w:val="nil"/>
              <w:bottom w:val="nil"/>
              <w:right w:val="nil"/>
            </w:tcBorders>
            <w:shd w:val="clear" w:color="auto" w:fill="auto"/>
            <w:noWrap/>
            <w:vAlign w:val="bottom"/>
            <w:hideMark/>
          </w:tcPr>
          <w:p w:rsidRPr="00C23572" w:rsidR="00652AF1" w:rsidP="00E41254" w:rsidRDefault="00652AF1" w14:paraId="5BB21461" w14:textId="77777777">
            <w:pPr>
              <w:widowControl/>
              <w:autoSpaceDE/>
              <w:autoSpaceDN/>
              <w:adjustRightInd/>
              <w:rPr>
                <w:color w:val="000000"/>
                <w:sz w:val="24"/>
              </w:rPr>
            </w:pPr>
            <w:r w:rsidRPr="00C23572">
              <w:rPr>
                <w:color w:val="000000"/>
                <w:sz w:val="24"/>
              </w:rPr>
              <w:t>Average Hourly wage used in PRA package</w:t>
            </w:r>
          </w:p>
        </w:tc>
      </w:tr>
      <w:tr w:rsidRPr="00C23572" w:rsidR="00652AF1" w:rsidTr="00E41254" w14:paraId="684CD7B0" w14:textId="77777777">
        <w:trPr>
          <w:gridAfter w:val="2"/>
          <w:wAfter w:w="2216" w:type="dxa"/>
          <w:trHeight w:val="300"/>
        </w:trPr>
        <w:tc>
          <w:tcPr>
            <w:tcW w:w="3560" w:type="dxa"/>
            <w:tcBorders>
              <w:top w:val="nil"/>
              <w:left w:val="nil"/>
              <w:bottom w:val="nil"/>
              <w:right w:val="nil"/>
            </w:tcBorders>
            <w:shd w:val="clear" w:color="auto" w:fill="auto"/>
            <w:noWrap/>
            <w:vAlign w:val="bottom"/>
            <w:hideMark/>
          </w:tcPr>
          <w:p w:rsidRPr="00C23572" w:rsidR="00652AF1" w:rsidP="00E41254" w:rsidRDefault="00652AF1" w14:paraId="67E30097" w14:textId="77777777">
            <w:pPr>
              <w:widowControl/>
              <w:autoSpaceDE/>
              <w:autoSpaceDN/>
              <w:adjustRightInd/>
              <w:rPr>
                <w:color w:val="000000"/>
                <w:sz w:val="24"/>
              </w:rPr>
            </w:pPr>
            <w:r w:rsidRPr="00C23572">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Pr="00C23572" w:rsidR="00652AF1" w:rsidP="00E41254" w:rsidRDefault="00652AF1" w14:paraId="0A9A9B84" w14:textId="77777777">
            <w:pPr>
              <w:widowControl/>
              <w:autoSpaceDE/>
              <w:autoSpaceDN/>
              <w:adjustRightInd/>
              <w:rPr>
                <w:color w:val="000000"/>
                <w:sz w:val="24"/>
              </w:rPr>
            </w:pPr>
            <w:r>
              <w:rPr>
                <w:color w:val="000000"/>
                <w:sz w:val="24"/>
              </w:rPr>
              <w:t>591</w:t>
            </w:r>
          </w:p>
        </w:tc>
      </w:tr>
    </w:tbl>
    <w:p w:rsidR="00652AF1" w:rsidP="00AC550B" w:rsidRDefault="00652AF1" w14:paraId="66FB78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7B79" w:rsidP="00AC550B" w:rsidRDefault="00697B79" w14:paraId="5853E9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estimate the total annual </w:t>
      </w:r>
      <w:r w:rsidRPr="00920A50" w:rsidR="00B721B6">
        <w:rPr>
          <w:sz w:val="24"/>
        </w:rPr>
        <w:t xml:space="preserve">hours to be </w:t>
      </w:r>
      <w:r w:rsidRPr="00920A50" w:rsidR="00023E38">
        <w:rPr>
          <w:sz w:val="24"/>
        </w:rPr>
        <w:t>3,730</w:t>
      </w:r>
      <w:r w:rsidR="00B721B6">
        <w:rPr>
          <w:sz w:val="24"/>
        </w:rPr>
        <w:t xml:space="preserve"> and </w:t>
      </w:r>
      <w:r>
        <w:rPr>
          <w:sz w:val="24"/>
        </w:rPr>
        <w:t>cost of all data types to be $387, 791</w:t>
      </w:r>
      <w:r w:rsidR="00F5757D">
        <w:rPr>
          <w:sz w:val="24"/>
        </w:rPr>
        <w:t>.</w:t>
      </w:r>
    </w:p>
    <w:tbl>
      <w:tblPr>
        <w:tblW w:w="6560" w:type="dxa"/>
        <w:tblInd w:w="113" w:type="dxa"/>
        <w:tblLook w:val="04A0" w:firstRow="1" w:lastRow="0" w:firstColumn="1" w:lastColumn="0" w:noHBand="0" w:noVBand="1"/>
      </w:tblPr>
      <w:tblGrid>
        <w:gridCol w:w="2800"/>
        <w:gridCol w:w="1540"/>
        <w:gridCol w:w="2220"/>
      </w:tblGrid>
      <w:tr w:rsidRPr="00697B79" w:rsidR="00697B79" w:rsidTr="00697B79" w14:paraId="2C4B0854" w14:textId="77777777">
        <w:trPr>
          <w:trHeight w:val="300"/>
        </w:trPr>
        <w:tc>
          <w:tcPr>
            <w:tcW w:w="28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97B79" w:rsidR="00697B79" w:rsidP="00697B79" w:rsidRDefault="00697B79" w14:paraId="264093A4"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Data Type</w:t>
            </w:r>
          </w:p>
        </w:tc>
        <w:tc>
          <w:tcPr>
            <w:tcW w:w="1540" w:type="dxa"/>
            <w:tcBorders>
              <w:top w:val="single" w:color="auto" w:sz="4" w:space="0"/>
              <w:left w:val="nil"/>
              <w:bottom w:val="single" w:color="auto" w:sz="4" w:space="0"/>
              <w:right w:val="single" w:color="auto" w:sz="4" w:space="0"/>
            </w:tcBorders>
            <w:shd w:val="clear" w:color="auto" w:fill="auto"/>
            <w:noWrap/>
            <w:vAlign w:val="bottom"/>
            <w:hideMark/>
          </w:tcPr>
          <w:p w:rsidRPr="00697B79" w:rsidR="00697B79" w:rsidP="00697B79" w:rsidRDefault="00697B79" w14:paraId="166CBCD1"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Count Estimate</w:t>
            </w:r>
          </w:p>
        </w:tc>
        <w:tc>
          <w:tcPr>
            <w:tcW w:w="2220" w:type="dxa"/>
            <w:tcBorders>
              <w:top w:val="single" w:color="auto" w:sz="4" w:space="0"/>
              <w:left w:val="nil"/>
              <w:bottom w:val="single" w:color="auto" w:sz="4" w:space="0"/>
              <w:right w:val="single" w:color="auto" w:sz="4" w:space="0"/>
            </w:tcBorders>
            <w:shd w:val="clear" w:color="auto" w:fill="auto"/>
            <w:noWrap/>
            <w:vAlign w:val="bottom"/>
            <w:hideMark/>
          </w:tcPr>
          <w:p w:rsidRPr="00697B79" w:rsidR="00697B79" w:rsidP="00697B79" w:rsidRDefault="00697B79" w14:paraId="64946747"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Estimated Annual Cost</w:t>
            </w:r>
          </w:p>
        </w:tc>
      </w:tr>
      <w:tr w:rsidRPr="00697B79" w:rsidR="00697B79" w:rsidTr="00697B79" w14:paraId="7619460A"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bottom"/>
            <w:hideMark/>
          </w:tcPr>
          <w:p w:rsidRPr="00697B79" w:rsidR="00697B79" w:rsidP="00697B79" w:rsidRDefault="00697B79" w14:paraId="558B49D1"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 xml:space="preserve">1135 Waiver Requests </w:t>
            </w:r>
          </w:p>
        </w:tc>
        <w:tc>
          <w:tcPr>
            <w:tcW w:w="154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5B9BC5D1" w14:textId="77777777">
            <w:pPr>
              <w:widowControl/>
              <w:autoSpaceDE/>
              <w:autoSpaceDN/>
              <w:adjustRightInd/>
              <w:jc w:val="center"/>
              <w:rPr>
                <w:rFonts w:ascii="Calibri" w:hAnsi="Calibri" w:cs="Calibri"/>
                <w:color w:val="000000"/>
                <w:sz w:val="22"/>
                <w:szCs w:val="22"/>
              </w:rPr>
            </w:pPr>
            <w:r w:rsidRPr="00920A50">
              <w:rPr>
                <w:rFonts w:ascii="Calibri" w:hAnsi="Calibri" w:cs="Calibri"/>
                <w:color w:val="000000"/>
                <w:sz w:val="22"/>
                <w:szCs w:val="22"/>
              </w:rPr>
              <w:t>3</w:t>
            </w:r>
            <w:r w:rsidRPr="00920A50" w:rsidR="00023E38">
              <w:rPr>
                <w:rFonts w:ascii="Calibri" w:hAnsi="Calibri" w:cs="Calibri"/>
                <w:color w:val="000000"/>
                <w:sz w:val="22"/>
                <w:szCs w:val="22"/>
              </w:rPr>
              <w:t>,</w:t>
            </w:r>
            <w:r w:rsidRPr="00920A50">
              <w:rPr>
                <w:rFonts w:ascii="Calibri" w:hAnsi="Calibri" w:cs="Calibri"/>
                <w:color w:val="000000"/>
                <w:sz w:val="22"/>
                <w:szCs w:val="22"/>
              </w:rPr>
              <w:t>00</w:t>
            </w:r>
            <w:r w:rsidRPr="00920A50" w:rsidR="00023E38">
              <w:rPr>
                <w:rFonts w:ascii="Calibri" w:hAnsi="Calibri" w:cs="Calibri"/>
                <w:color w:val="000000"/>
                <w:sz w:val="22"/>
                <w:szCs w:val="22"/>
              </w:rPr>
              <w:t>0</w:t>
            </w:r>
          </w:p>
        </w:tc>
        <w:tc>
          <w:tcPr>
            <w:tcW w:w="222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0200DC8A" w14:textId="77777777">
            <w:pPr>
              <w:widowControl/>
              <w:autoSpaceDE/>
              <w:autoSpaceDN/>
              <w:adjustRightInd/>
              <w:jc w:val="right"/>
              <w:rPr>
                <w:rFonts w:ascii="Calibri" w:hAnsi="Calibri" w:cs="Calibri"/>
                <w:color w:val="000000"/>
                <w:sz w:val="22"/>
                <w:szCs w:val="22"/>
              </w:rPr>
            </w:pPr>
            <w:r w:rsidRPr="00697B79">
              <w:rPr>
                <w:rFonts w:ascii="Calibri" w:hAnsi="Calibri" w:cs="Calibri"/>
                <w:color w:val="000000"/>
                <w:sz w:val="22"/>
                <w:szCs w:val="22"/>
              </w:rPr>
              <w:t xml:space="preserve">$328,860 </w:t>
            </w:r>
          </w:p>
        </w:tc>
      </w:tr>
      <w:tr w:rsidRPr="00697B79" w:rsidR="00697B79" w:rsidTr="00697B79" w14:paraId="7BB27338"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bottom"/>
            <w:hideMark/>
          </w:tcPr>
          <w:p w:rsidRPr="00697B79" w:rsidR="00697B79" w:rsidP="00697B79" w:rsidRDefault="00697B79" w14:paraId="42A0D868"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Inquiries</w:t>
            </w:r>
          </w:p>
        </w:tc>
        <w:tc>
          <w:tcPr>
            <w:tcW w:w="154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2F9AF868" w14:textId="77777777">
            <w:pPr>
              <w:widowControl/>
              <w:autoSpaceDE/>
              <w:autoSpaceDN/>
              <w:adjustRightInd/>
              <w:jc w:val="center"/>
              <w:rPr>
                <w:rFonts w:ascii="Calibri" w:hAnsi="Calibri" w:cs="Calibri"/>
                <w:color w:val="000000"/>
                <w:sz w:val="22"/>
                <w:szCs w:val="22"/>
              </w:rPr>
            </w:pPr>
            <w:r w:rsidRPr="00697B79">
              <w:rPr>
                <w:rFonts w:ascii="Calibri" w:hAnsi="Calibri" w:cs="Calibri"/>
                <w:color w:val="000000"/>
                <w:sz w:val="22"/>
                <w:szCs w:val="22"/>
              </w:rPr>
              <w:t>139</w:t>
            </w:r>
          </w:p>
        </w:tc>
        <w:tc>
          <w:tcPr>
            <w:tcW w:w="222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67387376" w14:textId="77777777">
            <w:pPr>
              <w:widowControl/>
              <w:autoSpaceDE/>
              <w:autoSpaceDN/>
              <w:adjustRightInd/>
              <w:jc w:val="right"/>
              <w:rPr>
                <w:rFonts w:ascii="Calibri" w:hAnsi="Calibri" w:cs="Calibri"/>
                <w:color w:val="000000"/>
                <w:sz w:val="22"/>
                <w:szCs w:val="22"/>
              </w:rPr>
            </w:pPr>
            <w:r w:rsidRPr="00697B79">
              <w:rPr>
                <w:rFonts w:ascii="Calibri" w:hAnsi="Calibri" w:cs="Calibri"/>
                <w:color w:val="000000"/>
                <w:sz w:val="22"/>
                <w:szCs w:val="22"/>
              </w:rPr>
              <w:t xml:space="preserve">$14,334 </w:t>
            </w:r>
          </w:p>
        </w:tc>
      </w:tr>
      <w:tr w:rsidRPr="00697B79" w:rsidR="00697B79" w:rsidTr="00697B79" w14:paraId="69E7F95E"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bottom"/>
            <w:hideMark/>
          </w:tcPr>
          <w:p w:rsidRPr="00697B79" w:rsidR="00697B79" w:rsidP="00697B79" w:rsidRDefault="00697B79" w14:paraId="07FB2721"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Operational Status</w:t>
            </w:r>
          </w:p>
        </w:tc>
        <w:tc>
          <w:tcPr>
            <w:tcW w:w="154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4918D329" w14:textId="77777777">
            <w:pPr>
              <w:widowControl/>
              <w:autoSpaceDE/>
              <w:autoSpaceDN/>
              <w:adjustRightInd/>
              <w:jc w:val="center"/>
              <w:rPr>
                <w:rFonts w:ascii="Calibri" w:hAnsi="Calibri" w:cs="Calibri"/>
                <w:color w:val="000000"/>
                <w:sz w:val="22"/>
                <w:szCs w:val="22"/>
              </w:rPr>
            </w:pPr>
            <w:r w:rsidRPr="00697B79">
              <w:rPr>
                <w:rFonts w:ascii="Calibri" w:hAnsi="Calibri" w:cs="Calibri"/>
                <w:color w:val="000000"/>
                <w:sz w:val="22"/>
                <w:szCs w:val="22"/>
              </w:rPr>
              <w:t>591</w:t>
            </w:r>
          </w:p>
        </w:tc>
        <w:tc>
          <w:tcPr>
            <w:tcW w:w="222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5869B23F" w14:textId="77777777">
            <w:pPr>
              <w:widowControl/>
              <w:autoSpaceDE/>
              <w:autoSpaceDN/>
              <w:adjustRightInd/>
              <w:jc w:val="right"/>
              <w:rPr>
                <w:rFonts w:ascii="Calibri" w:hAnsi="Calibri" w:cs="Calibri"/>
                <w:color w:val="000000"/>
                <w:sz w:val="22"/>
                <w:szCs w:val="22"/>
              </w:rPr>
            </w:pPr>
            <w:r w:rsidRPr="00697B79">
              <w:rPr>
                <w:rFonts w:ascii="Calibri" w:hAnsi="Calibri" w:cs="Calibri"/>
                <w:color w:val="000000"/>
                <w:sz w:val="22"/>
                <w:szCs w:val="22"/>
              </w:rPr>
              <w:t xml:space="preserve">$44,597 </w:t>
            </w:r>
          </w:p>
        </w:tc>
      </w:tr>
      <w:tr w:rsidRPr="00697B79" w:rsidR="00697B79" w:rsidTr="00697B79" w14:paraId="695E196D"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bottom"/>
            <w:hideMark/>
          </w:tcPr>
          <w:p w:rsidRPr="00697B79" w:rsidR="00697B79" w:rsidP="00B721B6" w:rsidRDefault="00697B79" w14:paraId="03568D3A"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Total</w:t>
            </w:r>
            <w:r w:rsidR="00B721B6">
              <w:rPr>
                <w:rFonts w:ascii="Calibri" w:hAnsi="Calibri" w:cs="Calibri"/>
                <w:color w:val="000000"/>
                <w:sz w:val="22"/>
                <w:szCs w:val="22"/>
              </w:rPr>
              <w:t>s</w:t>
            </w:r>
            <w:r w:rsidRPr="00697B79">
              <w:rPr>
                <w:rFonts w:ascii="Calibri" w:hAnsi="Calibri" w:cs="Calibri"/>
                <w:color w:val="000000"/>
                <w:sz w:val="22"/>
                <w:szCs w:val="22"/>
              </w:rPr>
              <w:t xml:space="preserve"> </w:t>
            </w:r>
          </w:p>
        </w:tc>
        <w:tc>
          <w:tcPr>
            <w:tcW w:w="154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2A74AA23" w14:textId="77777777">
            <w:pPr>
              <w:widowControl/>
              <w:autoSpaceDE/>
              <w:autoSpaceDN/>
              <w:adjustRightInd/>
              <w:rPr>
                <w:rFonts w:ascii="Calibri" w:hAnsi="Calibri" w:cs="Calibri"/>
                <w:color w:val="000000"/>
                <w:sz w:val="22"/>
                <w:szCs w:val="22"/>
              </w:rPr>
            </w:pPr>
            <w:r w:rsidRPr="00697B79">
              <w:rPr>
                <w:rFonts w:ascii="Calibri" w:hAnsi="Calibri" w:cs="Calibri"/>
                <w:color w:val="000000"/>
                <w:sz w:val="22"/>
                <w:szCs w:val="22"/>
              </w:rPr>
              <w:t> </w:t>
            </w:r>
            <w:r w:rsidR="00384AE0">
              <w:rPr>
                <w:rFonts w:ascii="Calibri" w:hAnsi="Calibri" w:cs="Calibri"/>
                <w:color w:val="000000"/>
                <w:sz w:val="22"/>
                <w:szCs w:val="22"/>
              </w:rPr>
              <w:t xml:space="preserve">      </w:t>
            </w:r>
            <w:r w:rsidRPr="00920A50" w:rsidR="00384AE0">
              <w:rPr>
                <w:rFonts w:ascii="Calibri" w:hAnsi="Calibri" w:cs="Calibri"/>
                <w:color w:val="000000"/>
                <w:sz w:val="22"/>
                <w:szCs w:val="22"/>
              </w:rPr>
              <w:t>3,730</w:t>
            </w:r>
          </w:p>
        </w:tc>
        <w:tc>
          <w:tcPr>
            <w:tcW w:w="2220" w:type="dxa"/>
            <w:tcBorders>
              <w:top w:val="nil"/>
              <w:left w:val="nil"/>
              <w:bottom w:val="single" w:color="auto" w:sz="4" w:space="0"/>
              <w:right w:val="single" w:color="auto" w:sz="4" w:space="0"/>
            </w:tcBorders>
            <w:shd w:val="clear" w:color="auto" w:fill="auto"/>
            <w:noWrap/>
            <w:vAlign w:val="bottom"/>
            <w:hideMark/>
          </w:tcPr>
          <w:p w:rsidRPr="00697B79" w:rsidR="00697B79" w:rsidP="00697B79" w:rsidRDefault="00697B79" w14:paraId="58AFBFCE" w14:textId="77777777">
            <w:pPr>
              <w:widowControl/>
              <w:autoSpaceDE/>
              <w:autoSpaceDN/>
              <w:adjustRightInd/>
              <w:jc w:val="right"/>
              <w:rPr>
                <w:rFonts w:ascii="Calibri" w:hAnsi="Calibri" w:cs="Calibri"/>
                <w:b/>
                <w:bCs/>
                <w:color w:val="000000"/>
                <w:sz w:val="22"/>
                <w:szCs w:val="22"/>
              </w:rPr>
            </w:pPr>
            <w:r w:rsidRPr="00697B79">
              <w:rPr>
                <w:rFonts w:ascii="Calibri" w:hAnsi="Calibri" w:cs="Calibri"/>
                <w:b/>
                <w:bCs/>
                <w:color w:val="000000"/>
                <w:sz w:val="22"/>
                <w:szCs w:val="22"/>
              </w:rPr>
              <w:t xml:space="preserve">$387,791 </w:t>
            </w:r>
          </w:p>
        </w:tc>
      </w:tr>
    </w:tbl>
    <w:p w:rsidR="00B2628C" w:rsidP="00AC550B" w:rsidRDefault="00B2628C" w14:paraId="5A0251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2628C" w:rsidP="00AC550B" w:rsidRDefault="00B2628C" w14:paraId="25F997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2628C" w:rsidP="00AC550B" w:rsidRDefault="00B2628C" w14:paraId="734887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Time Burden for Acute Hospital Care at Home Waiver Requests </w:t>
      </w:r>
    </w:p>
    <w:p w:rsidR="00B2628C" w:rsidP="00AC550B" w:rsidRDefault="00B2628C" w14:paraId="409244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2628C" w:rsidP="00B2628C" w:rsidRDefault="00B2628C" w14:paraId="4668C90C" w14:textId="77777777">
      <w:pPr>
        <w:rPr>
          <w:color w:val="FF0000"/>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600"/>
        <w:gridCol w:w="1040"/>
        <w:gridCol w:w="1040"/>
        <w:gridCol w:w="1040"/>
      </w:tblGrid>
      <w:tr w:rsidRPr="000D69C8" w:rsidR="00B2628C" w:rsidTr="007F50C8" w14:paraId="329BB084" w14:textId="77777777">
        <w:trPr>
          <w:trHeight w:val="440"/>
        </w:trPr>
        <w:tc>
          <w:tcPr>
            <w:tcW w:w="0" w:type="auto"/>
            <w:shd w:val="clear" w:color="auto" w:fill="F2F2F2"/>
            <w:hideMark/>
          </w:tcPr>
          <w:p w:rsidRPr="007F50C8" w:rsidR="00B2628C" w:rsidP="007F50C8" w:rsidRDefault="00B2628C" w14:paraId="3CF5A761" w14:textId="77777777">
            <w:pPr>
              <w:rPr>
                <w:rFonts w:ascii="Calibri" w:hAnsi="Calibri" w:eastAsia="Calibri"/>
                <w:b/>
                <w:sz w:val="22"/>
                <w:szCs w:val="22"/>
              </w:rPr>
            </w:pPr>
            <w:r w:rsidRPr="007F50C8">
              <w:rPr>
                <w:rFonts w:ascii="Calibri" w:hAnsi="Calibri" w:eastAsia="Calibri"/>
                <w:b/>
                <w:sz w:val="18"/>
                <w:szCs w:val="22"/>
              </w:rPr>
              <w:t>Description</w:t>
            </w:r>
          </w:p>
        </w:tc>
        <w:tc>
          <w:tcPr>
            <w:tcW w:w="0" w:type="auto"/>
            <w:shd w:val="clear" w:color="auto" w:fill="F2F2F2"/>
            <w:hideMark/>
          </w:tcPr>
          <w:p w:rsidRPr="007F50C8" w:rsidR="00B2628C" w:rsidP="007F50C8" w:rsidRDefault="00B2628C" w14:paraId="3722FBCC" w14:textId="77777777">
            <w:pPr>
              <w:rPr>
                <w:rFonts w:ascii="Calibri" w:hAnsi="Calibri" w:eastAsia="Calibri"/>
                <w:b/>
                <w:sz w:val="18"/>
                <w:szCs w:val="22"/>
              </w:rPr>
            </w:pPr>
            <w:r w:rsidRPr="007F50C8">
              <w:rPr>
                <w:rFonts w:ascii="Calibri" w:hAnsi="Calibri" w:eastAsia="Calibri"/>
                <w:b/>
                <w:sz w:val="18"/>
                <w:szCs w:val="22"/>
              </w:rPr>
              <w:t>Tier 1</w:t>
            </w:r>
          </w:p>
        </w:tc>
        <w:tc>
          <w:tcPr>
            <w:tcW w:w="0" w:type="auto"/>
            <w:shd w:val="clear" w:color="auto" w:fill="F2F2F2"/>
            <w:hideMark/>
          </w:tcPr>
          <w:p w:rsidRPr="007F50C8" w:rsidR="00B2628C" w:rsidP="007F50C8" w:rsidRDefault="00B2628C" w14:paraId="5422867E" w14:textId="77777777">
            <w:pPr>
              <w:rPr>
                <w:rFonts w:ascii="Calibri" w:hAnsi="Calibri" w:eastAsia="Calibri"/>
                <w:b/>
                <w:sz w:val="18"/>
                <w:szCs w:val="22"/>
              </w:rPr>
            </w:pPr>
            <w:r w:rsidRPr="007F50C8">
              <w:rPr>
                <w:rFonts w:ascii="Calibri" w:hAnsi="Calibri" w:eastAsia="Calibri"/>
                <w:b/>
                <w:sz w:val="18"/>
                <w:szCs w:val="22"/>
              </w:rPr>
              <w:t>Tier 2</w:t>
            </w:r>
          </w:p>
        </w:tc>
        <w:tc>
          <w:tcPr>
            <w:tcW w:w="0" w:type="auto"/>
            <w:shd w:val="clear" w:color="auto" w:fill="F2F2F2"/>
            <w:hideMark/>
          </w:tcPr>
          <w:p w:rsidRPr="007F50C8" w:rsidR="00B2628C" w:rsidP="007F50C8" w:rsidRDefault="00B2628C" w14:paraId="4B8E7141" w14:textId="77777777">
            <w:pPr>
              <w:rPr>
                <w:rFonts w:ascii="Calibri" w:hAnsi="Calibri" w:eastAsia="Calibri"/>
                <w:b/>
                <w:sz w:val="18"/>
                <w:szCs w:val="22"/>
              </w:rPr>
            </w:pPr>
            <w:r w:rsidRPr="007F50C8">
              <w:rPr>
                <w:rFonts w:ascii="Calibri" w:hAnsi="Calibri" w:eastAsia="Calibri"/>
                <w:b/>
                <w:sz w:val="18"/>
                <w:szCs w:val="22"/>
              </w:rPr>
              <w:t>Total</w:t>
            </w:r>
          </w:p>
        </w:tc>
      </w:tr>
      <w:tr w:rsidRPr="000D69C8" w:rsidR="00B2628C" w:rsidTr="007F50C8" w14:paraId="47607855" w14:textId="77777777">
        <w:tc>
          <w:tcPr>
            <w:tcW w:w="0" w:type="auto"/>
            <w:shd w:val="clear" w:color="auto" w:fill="auto"/>
            <w:hideMark/>
          </w:tcPr>
          <w:p w:rsidRPr="007F50C8" w:rsidR="00B2628C" w:rsidP="007F50C8" w:rsidRDefault="00B2628C" w14:paraId="19CF92FE" w14:textId="77777777">
            <w:pPr>
              <w:rPr>
                <w:rFonts w:ascii="Calibri" w:hAnsi="Calibri" w:eastAsia="Calibri"/>
                <w:sz w:val="18"/>
                <w:szCs w:val="22"/>
              </w:rPr>
            </w:pPr>
            <w:r w:rsidRPr="007F50C8">
              <w:rPr>
                <w:rFonts w:ascii="Calibri" w:hAnsi="Calibri" w:eastAsia="Calibri"/>
                <w:sz w:val="18"/>
                <w:szCs w:val="22"/>
              </w:rPr>
              <w:t>Number of expected waiver respondents per year</w:t>
            </w:r>
          </w:p>
        </w:tc>
        <w:tc>
          <w:tcPr>
            <w:tcW w:w="0" w:type="auto"/>
            <w:shd w:val="clear" w:color="auto" w:fill="auto"/>
            <w:hideMark/>
          </w:tcPr>
          <w:p w:rsidRPr="007F50C8" w:rsidR="00B2628C" w:rsidP="007F50C8" w:rsidRDefault="00B2628C" w14:paraId="4B46E859" w14:textId="77777777">
            <w:pPr>
              <w:rPr>
                <w:rFonts w:ascii="Calibri" w:hAnsi="Calibri" w:eastAsia="Calibri"/>
                <w:sz w:val="18"/>
                <w:szCs w:val="22"/>
              </w:rPr>
            </w:pPr>
            <w:r w:rsidRPr="007F50C8">
              <w:rPr>
                <w:rFonts w:ascii="Calibri" w:hAnsi="Calibri" w:eastAsia="Calibri"/>
                <w:sz w:val="18"/>
                <w:szCs w:val="22"/>
              </w:rPr>
              <w:t>70.0</w:t>
            </w:r>
          </w:p>
        </w:tc>
        <w:tc>
          <w:tcPr>
            <w:tcW w:w="0" w:type="auto"/>
            <w:shd w:val="clear" w:color="auto" w:fill="auto"/>
            <w:hideMark/>
          </w:tcPr>
          <w:p w:rsidRPr="007F50C8" w:rsidR="00B2628C" w:rsidP="007F50C8" w:rsidRDefault="00B2628C" w14:paraId="7A4C8282" w14:textId="77777777">
            <w:pPr>
              <w:rPr>
                <w:rFonts w:ascii="Calibri" w:hAnsi="Calibri" w:eastAsia="Calibri"/>
                <w:sz w:val="18"/>
                <w:szCs w:val="22"/>
              </w:rPr>
            </w:pPr>
            <w:r w:rsidRPr="007F50C8">
              <w:rPr>
                <w:rFonts w:ascii="Calibri" w:hAnsi="Calibri" w:eastAsia="Calibri"/>
                <w:sz w:val="18"/>
                <w:szCs w:val="22"/>
              </w:rPr>
              <w:t>124.0</w:t>
            </w:r>
          </w:p>
        </w:tc>
        <w:tc>
          <w:tcPr>
            <w:tcW w:w="0" w:type="auto"/>
            <w:shd w:val="clear" w:color="auto" w:fill="auto"/>
            <w:hideMark/>
          </w:tcPr>
          <w:p w:rsidRPr="007F50C8" w:rsidR="00B2628C" w:rsidP="007F50C8" w:rsidRDefault="00B2628C" w14:paraId="6437AFCF" w14:textId="77777777">
            <w:pPr>
              <w:rPr>
                <w:rFonts w:ascii="Calibri" w:hAnsi="Calibri" w:eastAsia="Calibri"/>
                <w:sz w:val="18"/>
                <w:szCs w:val="22"/>
              </w:rPr>
            </w:pPr>
            <w:r w:rsidRPr="007F50C8">
              <w:rPr>
                <w:rFonts w:ascii="Calibri" w:hAnsi="Calibri" w:eastAsia="Calibri"/>
                <w:sz w:val="18"/>
                <w:szCs w:val="22"/>
              </w:rPr>
              <w:t>N/A</w:t>
            </w:r>
          </w:p>
        </w:tc>
      </w:tr>
      <w:tr w:rsidRPr="000D69C8" w:rsidR="00B2628C" w:rsidTr="007F50C8" w14:paraId="13BED468" w14:textId="77777777">
        <w:tc>
          <w:tcPr>
            <w:tcW w:w="0" w:type="auto"/>
            <w:shd w:val="clear" w:color="auto" w:fill="auto"/>
            <w:hideMark/>
          </w:tcPr>
          <w:p w:rsidRPr="007F50C8" w:rsidR="00B2628C" w:rsidP="007F50C8" w:rsidRDefault="00B2628C" w14:paraId="5AF53071" w14:textId="77777777">
            <w:pPr>
              <w:rPr>
                <w:rFonts w:ascii="Calibri" w:hAnsi="Calibri" w:eastAsia="Calibri"/>
                <w:sz w:val="18"/>
                <w:szCs w:val="22"/>
              </w:rPr>
            </w:pPr>
            <w:r w:rsidRPr="007F50C8">
              <w:rPr>
                <w:rFonts w:ascii="Calibri" w:hAnsi="Calibri" w:eastAsia="Calibri"/>
                <w:sz w:val="18"/>
                <w:szCs w:val="22"/>
              </w:rPr>
              <w:t>Number of expected one time waiver submission &amp; phone calls per respondent per year</w:t>
            </w:r>
          </w:p>
        </w:tc>
        <w:tc>
          <w:tcPr>
            <w:tcW w:w="0" w:type="auto"/>
            <w:shd w:val="clear" w:color="auto" w:fill="auto"/>
            <w:hideMark/>
          </w:tcPr>
          <w:p w:rsidRPr="007F50C8" w:rsidR="00B2628C" w:rsidP="007F50C8" w:rsidRDefault="00B2628C" w14:paraId="0B50378B" w14:textId="77777777">
            <w:pPr>
              <w:rPr>
                <w:rFonts w:ascii="Calibri" w:hAnsi="Calibri" w:eastAsia="Calibri"/>
                <w:sz w:val="18"/>
                <w:szCs w:val="22"/>
              </w:rPr>
            </w:pPr>
            <w:r w:rsidRPr="007F50C8">
              <w:rPr>
                <w:rFonts w:ascii="Calibri" w:hAnsi="Calibri" w:eastAsia="Calibri"/>
                <w:sz w:val="18"/>
                <w:szCs w:val="22"/>
              </w:rPr>
              <w:t>1.0</w:t>
            </w:r>
          </w:p>
        </w:tc>
        <w:tc>
          <w:tcPr>
            <w:tcW w:w="0" w:type="auto"/>
            <w:shd w:val="clear" w:color="auto" w:fill="auto"/>
            <w:hideMark/>
          </w:tcPr>
          <w:p w:rsidRPr="007F50C8" w:rsidR="00B2628C" w:rsidP="007F50C8" w:rsidRDefault="00B2628C" w14:paraId="1F6F96D5" w14:textId="77777777">
            <w:pPr>
              <w:rPr>
                <w:rFonts w:ascii="Calibri" w:hAnsi="Calibri" w:eastAsia="Calibri"/>
                <w:sz w:val="18"/>
                <w:szCs w:val="22"/>
              </w:rPr>
            </w:pPr>
            <w:r w:rsidRPr="007F50C8">
              <w:rPr>
                <w:rFonts w:ascii="Calibri" w:hAnsi="Calibri" w:eastAsia="Calibri"/>
                <w:sz w:val="18"/>
                <w:szCs w:val="22"/>
              </w:rPr>
              <w:t>1.0</w:t>
            </w:r>
          </w:p>
        </w:tc>
        <w:tc>
          <w:tcPr>
            <w:tcW w:w="0" w:type="auto"/>
            <w:shd w:val="clear" w:color="auto" w:fill="auto"/>
            <w:hideMark/>
          </w:tcPr>
          <w:p w:rsidRPr="007F50C8" w:rsidR="00B2628C" w:rsidP="007F50C8" w:rsidRDefault="00B2628C" w14:paraId="16FA19DC" w14:textId="77777777">
            <w:pPr>
              <w:rPr>
                <w:rFonts w:ascii="Calibri" w:hAnsi="Calibri" w:eastAsia="Calibri"/>
                <w:sz w:val="18"/>
                <w:szCs w:val="22"/>
              </w:rPr>
            </w:pPr>
            <w:r w:rsidRPr="007F50C8">
              <w:rPr>
                <w:rFonts w:ascii="Calibri" w:hAnsi="Calibri" w:eastAsia="Calibri"/>
                <w:sz w:val="18"/>
                <w:szCs w:val="22"/>
              </w:rPr>
              <w:t>N/A</w:t>
            </w:r>
          </w:p>
        </w:tc>
      </w:tr>
      <w:tr w:rsidRPr="000D69C8" w:rsidR="00B2628C" w:rsidTr="007F50C8" w14:paraId="683AC374" w14:textId="77777777">
        <w:tc>
          <w:tcPr>
            <w:tcW w:w="0" w:type="auto"/>
            <w:shd w:val="clear" w:color="auto" w:fill="auto"/>
            <w:hideMark/>
          </w:tcPr>
          <w:p w:rsidRPr="007F50C8" w:rsidR="00B2628C" w:rsidP="007F50C8" w:rsidRDefault="00B2628C" w14:paraId="1AE75833" w14:textId="77777777">
            <w:pPr>
              <w:rPr>
                <w:rFonts w:ascii="Calibri" w:hAnsi="Calibri" w:eastAsia="Calibri"/>
                <w:sz w:val="18"/>
                <w:szCs w:val="22"/>
              </w:rPr>
            </w:pPr>
            <w:r w:rsidRPr="007F50C8">
              <w:rPr>
                <w:rFonts w:ascii="Calibri" w:hAnsi="Calibri" w:eastAsia="Calibri"/>
                <w:sz w:val="18"/>
                <w:szCs w:val="22"/>
              </w:rPr>
              <w:t>Number of expected total measures (responses) per respondent per year</w:t>
            </w:r>
          </w:p>
        </w:tc>
        <w:tc>
          <w:tcPr>
            <w:tcW w:w="0" w:type="auto"/>
            <w:shd w:val="clear" w:color="auto" w:fill="auto"/>
            <w:hideMark/>
          </w:tcPr>
          <w:p w:rsidRPr="007F50C8" w:rsidR="00B2628C" w:rsidP="007F50C8" w:rsidRDefault="00B2628C" w14:paraId="382F5BC5" w14:textId="77777777">
            <w:pPr>
              <w:rPr>
                <w:rFonts w:ascii="Calibri" w:hAnsi="Calibri" w:eastAsia="Calibri"/>
                <w:sz w:val="18"/>
                <w:szCs w:val="22"/>
              </w:rPr>
            </w:pPr>
            <w:r w:rsidRPr="007F50C8">
              <w:rPr>
                <w:rFonts w:ascii="Calibri" w:hAnsi="Calibri" w:eastAsia="Calibri"/>
                <w:sz w:val="18"/>
                <w:szCs w:val="22"/>
              </w:rPr>
              <w:t>8.5</w:t>
            </w:r>
          </w:p>
        </w:tc>
        <w:tc>
          <w:tcPr>
            <w:tcW w:w="0" w:type="auto"/>
            <w:shd w:val="clear" w:color="auto" w:fill="auto"/>
            <w:hideMark/>
          </w:tcPr>
          <w:p w:rsidRPr="007F50C8" w:rsidR="00B2628C" w:rsidP="007F50C8" w:rsidRDefault="00B2628C" w14:paraId="0BE053BC" w14:textId="77777777">
            <w:pPr>
              <w:rPr>
                <w:rFonts w:ascii="Calibri" w:hAnsi="Calibri" w:eastAsia="Calibri"/>
                <w:sz w:val="18"/>
                <w:szCs w:val="22"/>
              </w:rPr>
            </w:pPr>
            <w:r w:rsidRPr="007F50C8">
              <w:rPr>
                <w:rFonts w:ascii="Calibri" w:hAnsi="Calibri" w:eastAsia="Calibri"/>
                <w:sz w:val="18"/>
                <w:szCs w:val="22"/>
              </w:rPr>
              <w:t>36.6</w:t>
            </w:r>
          </w:p>
        </w:tc>
        <w:tc>
          <w:tcPr>
            <w:tcW w:w="0" w:type="auto"/>
            <w:shd w:val="clear" w:color="auto" w:fill="auto"/>
            <w:hideMark/>
          </w:tcPr>
          <w:p w:rsidRPr="007F50C8" w:rsidR="00B2628C" w:rsidP="007F50C8" w:rsidRDefault="00B2628C" w14:paraId="37F90B7E" w14:textId="77777777">
            <w:pPr>
              <w:rPr>
                <w:rFonts w:ascii="Calibri" w:hAnsi="Calibri" w:eastAsia="Calibri"/>
                <w:sz w:val="18"/>
                <w:szCs w:val="22"/>
              </w:rPr>
            </w:pPr>
            <w:r w:rsidRPr="007F50C8">
              <w:rPr>
                <w:rFonts w:ascii="Calibri" w:hAnsi="Calibri" w:eastAsia="Calibri"/>
                <w:sz w:val="18"/>
                <w:szCs w:val="22"/>
              </w:rPr>
              <w:t>N/A</w:t>
            </w:r>
          </w:p>
        </w:tc>
      </w:tr>
      <w:tr w:rsidRPr="000D69C8" w:rsidR="00B2628C" w:rsidTr="007F50C8" w14:paraId="0F9EDB64" w14:textId="77777777">
        <w:tc>
          <w:tcPr>
            <w:tcW w:w="0" w:type="auto"/>
            <w:shd w:val="clear" w:color="auto" w:fill="auto"/>
            <w:hideMark/>
          </w:tcPr>
          <w:p w:rsidRPr="007F50C8" w:rsidR="00B2628C" w:rsidP="007F50C8" w:rsidRDefault="00B2628C" w14:paraId="31691B73" w14:textId="77777777">
            <w:pPr>
              <w:rPr>
                <w:rFonts w:ascii="Calibri" w:hAnsi="Calibri" w:eastAsia="Calibri"/>
                <w:sz w:val="18"/>
                <w:szCs w:val="22"/>
              </w:rPr>
            </w:pPr>
            <w:r w:rsidRPr="007F50C8">
              <w:rPr>
                <w:rFonts w:ascii="Calibri" w:hAnsi="Calibri" w:eastAsia="Calibri"/>
                <w:sz w:val="18"/>
                <w:szCs w:val="22"/>
              </w:rPr>
              <w:t>Time Burden Estimates (hours)</w:t>
            </w:r>
            <w:r w:rsidRPr="007F50C8">
              <w:rPr>
                <w:rFonts w:ascii="Calibri" w:hAnsi="Calibri" w:eastAsia="Calibri"/>
                <w:sz w:val="18"/>
                <w:szCs w:val="22"/>
              </w:rPr>
              <w:br/>
            </w:r>
            <w:r w:rsidRPr="007F50C8">
              <w:rPr>
                <w:rFonts w:ascii="Calibri" w:hAnsi="Calibri" w:eastAsia="Calibri"/>
                <w:sz w:val="16"/>
                <w:szCs w:val="22"/>
              </w:rPr>
              <w:t>EXAMPLE (500 Respondents) x (1 Response/Respondent) x (5 minutes/Response) x (1 hour/60 minutes) = 42 hours</w:t>
            </w:r>
          </w:p>
        </w:tc>
        <w:tc>
          <w:tcPr>
            <w:tcW w:w="0" w:type="auto"/>
            <w:shd w:val="clear" w:color="auto" w:fill="auto"/>
            <w:hideMark/>
          </w:tcPr>
          <w:p w:rsidRPr="007F50C8" w:rsidR="00B2628C" w:rsidP="007F50C8" w:rsidRDefault="00B2628C" w14:paraId="284ECA3E" w14:textId="77777777">
            <w:pPr>
              <w:rPr>
                <w:rFonts w:ascii="Calibri" w:hAnsi="Calibri" w:eastAsia="Calibri"/>
                <w:b/>
                <w:sz w:val="18"/>
                <w:szCs w:val="22"/>
              </w:rPr>
            </w:pPr>
            <w:r w:rsidRPr="007F50C8">
              <w:rPr>
                <w:rFonts w:ascii="Calibri" w:hAnsi="Calibri" w:eastAsia="Calibri"/>
                <w:b/>
                <w:sz w:val="18"/>
                <w:szCs w:val="22"/>
              </w:rPr>
              <w:t>218.75</w:t>
            </w:r>
          </w:p>
        </w:tc>
        <w:tc>
          <w:tcPr>
            <w:tcW w:w="0" w:type="auto"/>
            <w:shd w:val="clear" w:color="auto" w:fill="auto"/>
            <w:hideMark/>
          </w:tcPr>
          <w:p w:rsidRPr="007F50C8" w:rsidR="00B2628C" w:rsidP="007F50C8" w:rsidRDefault="00B2628C" w14:paraId="71B18097" w14:textId="77777777">
            <w:pPr>
              <w:rPr>
                <w:rFonts w:ascii="Calibri" w:hAnsi="Calibri" w:eastAsia="Calibri"/>
                <w:b/>
                <w:sz w:val="18"/>
                <w:szCs w:val="22"/>
              </w:rPr>
            </w:pPr>
            <w:r w:rsidRPr="007F50C8">
              <w:rPr>
                <w:rFonts w:ascii="Calibri" w:hAnsi="Calibri" w:eastAsia="Calibri"/>
                <w:b/>
                <w:sz w:val="18"/>
                <w:szCs w:val="22"/>
              </w:rPr>
              <w:t>1381.71</w:t>
            </w:r>
          </w:p>
        </w:tc>
        <w:tc>
          <w:tcPr>
            <w:tcW w:w="0" w:type="auto"/>
            <w:shd w:val="clear" w:color="auto" w:fill="auto"/>
            <w:hideMark/>
          </w:tcPr>
          <w:p w:rsidRPr="007F50C8" w:rsidR="00B2628C" w:rsidP="007F50C8" w:rsidRDefault="00B2628C" w14:paraId="419F196A" w14:textId="77777777">
            <w:pPr>
              <w:rPr>
                <w:rFonts w:ascii="Calibri" w:hAnsi="Calibri" w:eastAsia="Calibri"/>
                <w:b/>
                <w:sz w:val="18"/>
                <w:szCs w:val="22"/>
              </w:rPr>
            </w:pPr>
            <w:r w:rsidRPr="007F50C8">
              <w:rPr>
                <w:rFonts w:ascii="Calibri" w:hAnsi="Calibri" w:eastAsia="Calibri"/>
                <w:b/>
                <w:sz w:val="18"/>
                <w:szCs w:val="22"/>
              </w:rPr>
              <w:t>1600.46</w:t>
            </w:r>
          </w:p>
        </w:tc>
      </w:tr>
      <w:tr w:rsidRPr="000D69C8" w:rsidR="00B2628C" w:rsidTr="007F50C8" w14:paraId="3E26315D" w14:textId="77777777">
        <w:tc>
          <w:tcPr>
            <w:tcW w:w="0" w:type="auto"/>
            <w:shd w:val="clear" w:color="auto" w:fill="auto"/>
            <w:hideMark/>
          </w:tcPr>
          <w:p w:rsidRPr="007F50C8" w:rsidR="00B2628C" w:rsidP="007F50C8" w:rsidRDefault="00B2628C" w14:paraId="5C5343AC" w14:textId="77777777">
            <w:pPr>
              <w:rPr>
                <w:rFonts w:ascii="Calibri" w:hAnsi="Calibri" w:eastAsia="Calibri"/>
                <w:sz w:val="18"/>
                <w:szCs w:val="22"/>
              </w:rPr>
            </w:pPr>
            <w:r w:rsidRPr="007F50C8">
              <w:rPr>
                <w:rFonts w:ascii="Calibri" w:hAnsi="Calibri" w:eastAsia="Calibri"/>
                <w:sz w:val="18"/>
                <w:szCs w:val="22"/>
              </w:rPr>
              <w:t>Cost Burden Estimates</w:t>
            </w:r>
            <w:r w:rsidRPr="007F50C8">
              <w:rPr>
                <w:rFonts w:ascii="Calibri" w:hAnsi="Calibri" w:eastAsia="Calibri"/>
                <w:sz w:val="18"/>
                <w:szCs w:val="22"/>
              </w:rPr>
              <w:br/>
            </w:r>
            <w:r w:rsidRPr="007F50C8">
              <w:rPr>
                <w:rFonts w:ascii="Calibri" w:hAnsi="Calibri" w:eastAsia="Calibri"/>
                <w:sz w:val="16"/>
                <w:szCs w:val="22"/>
              </w:rPr>
              <w:t xml:space="preserve">EXAMPLE Total Cost = (500 Respondents) x (1 Response/Respondent) x (5 minutes/Response) x (1 </w:t>
            </w:r>
            <w:r w:rsidRPr="007F50C8">
              <w:rPr>
                <w:rFonts w:ascii="Calibri" w:hAnsi="Calibri" w:eastAsia="Calibri"/>
                <w:sz w:val="16"/>
                <w:szCs w:val="22"/>
              </w:rPr>
              <w:lastRenderedPageBreak/>
              <w:t>hour/60 minutes) x ($118.22/hour) = $4925 </w:t>
            </w:r>
          </w:p>
        </w:tc>
        <w:tc>
          <w:tcPr>
            <w:tcW w:w="0" w:type="auto"/>
            <w:shd w:val="clear" w:color="auto" w:fill="auto"/>
            <w:hideMark/>
          </w:tcPr>
          <w:p w:rsidRPr="007F50C8" w:rsidR="00B2628C" w:rsidP="007F50C8" w:rsidRDefault="00B2628C" w14:paraId="01580E1B" w14:textId="77777777">
            <w:pPr>
              <w:rPr>
                <w:rFonts w:ascii="Calibri" w:hAnsi="Calibri" w:eastAsia="Calibri"/>
                <w:b/>
                <w:sz w:val="18"/>
                <w:szCs w:val="22"/>
              </w:rPr>
            </w:pPr>
            <w:r w:rsidRPr="007F50C8">
              <w:rPr>
                <w:rFonts w:ascii="Calibri" w:hAnsi="Calibri" w:eastAsia="Calibri"/>
                <w:b/>
                <w:sz w:val="18"/>
                <w:szCs w:val="22"/>
              </w:rPr>
              <w:lastRenderedPageBreak/>
              <w:t>$10,325.88</w:t>
            </w:r>
          </w:p>
        </w:tc>
        <w:tc>
          <w:tcPr>
            <w:tcW w:w="0" w:type="auto"/>
            <w:shd w:val="clear" w:color="auto" w:fill="auto"/>
            <w:hideMark/>
          </w:tcPr>
          <w:p w:rsidRPr="007F50C8" w:rsidR="00B2628C" w:rsidP="007F50C8" w:rsidRDefault="00B2628C" w14:paraId="2A21D583" w14:textId="77777777">
            <w:pPr>
              <w:rPr>
                <w:rFonts w:ascii="Calibri" w:hAnsi="Calibri" w:eastAsia="Calibri"/>
                <w:b/>
                <w:sz w:val="18"/>
                <w:szCs w:val="22"/>
              </w:rPr>
            </w:pPr>
            <w:r w:rsidRPr="007F50C8">
              <w:rPr>
                <w:rFonts w:ascii="Calibri" w:hAnsi="Calibri" w:eastAsia="Calibri"/>
                <w:b/>
                <w:sz w:val="18"/>
                <w:szCs w:val="22"/>
              </w:rPr>
              <w:t>$65,222.44</w:t>
            </w:r>
          </w:p>
        </w:tc>
        <w:tc>
          <w:tcPr>
            <w:tcW w:w="0" w:type="auto"/>
            <w:shd w:val="clear" w:color="auto" w:fill="auto"/>
            <w:hideMark/>
          </w:tcPr>
          <w:p w:rsidRPr="007F50C8" w:rsidR="00B2628C" w:rsidP="007F50C8" w:rsidRDefault="00B2628C" w14:paraId="6F08C2CD" w14:textId="77777777">
            <w:pPr>
              <w:rPr>
                <w:rFonts w:ascii="Calibri" w:hAnsi="Calibri" w:eastAsia="Calibri"/>
                <w:b/>
                <w:sz w:val="18"/>
                <w:szCs w:val="22"/>
              </w:rPr>
            </w:pPr>
            <w:r w:rsidRPr="007F50C8">
              <w:rPr>
                <w:rFonts w:ascii="Calibri" w:hAnsi="Calibri" w:eastAsia="Calibri"/>
                <w:b/>
                <w:sz w:val="18"/>
                <w:szCs w:val="22"/>
              </w:rPr>
              <w:t>$75,548.32</w:t>
            </w:r>
          </w:p>
        </w:tc>
      </w:tr>
    </w:tbl>
    <w:p w:rsidRPr="000D69C8" w:rsidR="00B2628C" w:rsidP="00B2628C" w:rsidRDefault="00B2628C" w14:paraId="5A409AD2" w14:textId="77777777">
      <w:r w:rsidRPr="000D69C8">
        <w:br/>
      </w:r>
      <w:r>
        <w:t>Assumptions: </w:t>
      </w:r>
      <w:r w:rsidRPr="000D69C8">
        <w:t>This model necessarily involves several assumptions which may change based on the duration of the public health emergency and the incidence of new COVID-19 infections during 2021.  First, an assumption was made that the number of overall approvals for each Tier will double by the end of 2021.  This is based on many of the interested and innovative hospital systems that are the most likely to submit a waiver request already have within the last 2+ months.  If the PHE extends until the end of 2021 and this is signaled publicly by CMS, it may spur more systems to submit a waiver request, but it was more reasonable to expect slower uptake for the rest of the year than to assume a linear growth estimate from the beginning of the waiver.  Second, it was assumed that of the hospitals that join after the date of this analysis, the growth will be evenly distributed across the remaining ~10 months of the year. Thus, for monitoring metrics, the assumption was made that the 50% of end-of-2021 hospitals that are currently approved will report for 12 months, and the 50% of yet to be approved hospitals will report for an average of 5 (of the remaining 10) months of the year.  This led to an average of 8.5 monthly reports per Tier 1 hospital and 36.6 weekly reports per Tier 2 hospital.</w:t>
      </w:r>
    </w:p>
    <w:p w:rsidRPr="004970BE" w:rsidR="00B2628C" w:rsidP="00B2628C" w:rsidRDefault="00B2628C" w14:paraId="7B80428D" w14:textId="77777777"/>
    <w:p w:rsidR="00B2628C" w:rsidP="00B2628C" w:rsidRDefault="00B2628C" w14:paraId="02861A61" w14:textId="77777777">
      <w:pPr>
        <w:rPr>
          <w:b/>
        </w:rPr>
      </w:pPr>
    </w:p>
    <w:p w:rsidR="00B2628C" w:rsidP="00B2628C" w:rsidRDefault="00B2628C" w14:paraId="6DAEB827" w14:textId="77777777">
      <w:pPr>
        <w:rPr>
          <w:b/>
        </w:rPr>
      </w:pPr>
    </w:p>
    <w:p w:rsidR="00B2628C" w:rsidP="00B2628C" w:rsidRDefault="00B2628C" w14:paraId="62DBA3DC" w14:textId="77777777">
      <w:pPr>
        <w:rPr>
          <w:b/>
        </w:rPr>
      </w:pPr>
    </w:p>
    <w:p w:rsidR="00B2628C" w:rsidP="00B2628C" w:rsidRDefault="00B2628C" w14:paraId="1F2A0ADC" w14:textId="77777777">
      <w:pPr>
        <w:rPr>
          <w:b/>
        </w:rPr>
      </w:pPr>
    </w:p>
    <w:p w:rsidR="00B2628C" w:rsidP="00B2628C" w:rsidRDefault="00B2628C" w14:paraId="2AEF6EE4" w14:textId="77777777">
      <w:pPr>
        <w:rPr>
          <w:b/>
        </w:rPr>
      </w:pPr>
    </w:p>
    <w:p w:rsidR="00B2628C" w:rsidP="00B2628C" w:rsidRDefault="00B2628C" w14:paraId="3E7DF9EB" w14:textId="77777777">
      <w:pPr>
        <w:rPr>
          <w:b/>
        </w:rPr>
      </w:pPr>
    </w:p>
    <w:p w:rsidR="00B2628C" w:rsidP="00B2628C" w:rsidRDefault="00B2628C" w14:paraId="01E98517" w14:textId="77777777">
      <w:pPr>
        <w:rPr>
          <w:b/>
        </w:rPr>
      </w:pPr>
      <w:r>
        <w:rPr>
          <w:sz w:val="24"/>
        </w:rPr>
        <w:t>Cost Burden for Acute Hospital Care at Home Waiver Requests</w:t>
      </w:r>
    </w:p>
    <w:p w:rsidR="00B2628C" w:rsidP="00B2628C" w:rsidRDefault="00B2628C" w14:paraId="76A3793A" w14:textId="77777777">
      <w:pPr>
        <w:rPr>
          <w:b/>
        </w:rPr>
      </w:pPr>
    </w:p>
    <w:tbl>
      <w:tblPr>
        <w:tblW w:w="10525"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2065"/>
        <w:gridCol w:w="1980"/>
        <w:gridCol w:w="1620"/>
        <w:gridCol w:w="1530"/>
        <w:gridCol w:w="1170"/>
        <w:gridCol w:w="810"/>
        <w:gridCol w:w="1350"/>
      </w:tblGrid>
      <w:tr w:rsidRPr="000D69C8" w:rsidR="00B2628C" w:rsidTr="007F50C8" w14:paraId="6969CE48" w14:textId="77777777">
        <w:trPr>
          <w:trHeight w:val="821"/>
          <w:jc w:val="center"/>
        </w:trPr>
        <w:tc>
          <w:tcPr>
            <w:tcW w:w="2065" w:type="dxa"/>
            <w:vMerge w:val="restart"/>
            <w:shd w:val="clear" w:color="auto" w:fill="F2F2F2"/>
            <w:hideMark/>
          </w:tcPr>
          <w:p w:rsidRPr="007F50C8" w:rsidR="00B2628C" w:rsidP="007F50C8" w:rsidRDefault="00B2628C" w14:paraId="786E96E9" w14:textId="77777777">
            <w:pPr>
              <w:rPr>
                <w:rFonts w:ascii="Calibri" w:hAnsi="Calibri" w:eastAsia="Calibri"/>
                <w:b/>
                <w:bCs/>
                <w:sz w:val="18"/>
                <w:szCs w:val="22"/>
              </w:rPr>
            </w:pPr>
            <w:r w:rsidRPr="007F50C8">
              <w:rPr>
                <w:rFonts w:ascii="Calibri" w:hAnsi="Calibri" w:eastAsia="Calibri"/>
                <w:b/>
                <w:bCs/>
                <w:sz w:val="18"/>
                <w:szCs w:val="22"/>
              </w:rPr>
              <w:t>Respondent</w:t>
            </w:r>
          </w:p>
        </w:tc>
        <w:tc>
          <w:tcPr>
            <w:tcW w:w="1980" w:type="dxa"/>
            <w:vMerge w:val="restart"/>
            <w:shd w:val="clear" w:color="auto" w:fill="F2F2F2"/>
            <w:hideMark/>
          </w:tcPr>
          <w:p w:rsidRPr="007F50C8" w:rsidR="00B2628C" w:rsidP="007F50C8" w:rsidRDefault="00B2628C" w14:paraId="45A06EB1" w14:textId="77777777">
            <w:pPr>
              <w:rPr>
                <w:rFonts w:ascii="Calibri" w:hAnsi="Calibri" w:eastAsia="Calibri"/>
                <w:b/>
                <w:bCs/>
                <w:sz w:val="18"/>
                <w:szCs w:val="22"/>
              </w:rPr>
            </w:pPr>
            <w:r w:rsidRPr="007F50C8">
              <w:rPr>
                <w:rFonts w:ascii="Calibri" w:hAnsi="Calibri" w:eastAsia="Calibri"/>
                <w:b/>
                <w:bCs/>
                <w:sz w:val="18"/>
                <w:szCs w:val="22"/>
              </w:rPr>
              <w:t>BLS Occupation Labor Code</w:t>
            </w:r>
            <w:r w:rsidRPr="007F50C8">
              <w:rPr>
                <w:rFonts w:ascii="Calibri" w:hAnsi="Calibri" w:eastAsia="Calibri"/>
                <w:b/>
                <w:bCs/>
                <w:sz w:val="18"/>
                <w:szCs w:val="22"/>
              </w:rPr>
              <w:br/>
            </w:r>
          </w:p>
        </w:tc>
        <w:tc>
          <w:tcPr>
            <w:tcW w:w="1620" w:type="dxa"/>
            <w:vMerge w:val="restart"/>
            <w:shd w:val="clear" w:color="auto" w:fill="F2F2F2"/>
            <w:hideMark/>
          </w:tcPr>
          <w:p w:rsidRPr="007F50C8" w:rsidR="00B2628C" w:rsidP="007F50C8" w:rsidRDefault="00B2628C" w14:paraId="36C3547E" w14:textId="77777777">
            <w:pPr>
              <w:rPr>
                <w:rFonts w:ascii="Calibri" w:hAnsi="Calibri" w:eastAsia="Calibri"/>
                <w:b/>
                <w:bCs/>
                <w:sz w:val="18"/>
                <w:szCs w:val="22"/>
              </w:rPr>
            </w:pPr>
            <w:r w:rsidRPr="007F50C8">
              <w:rPr>
                <w:rFonts w:ascii="Calibri" w:hAnsi="Calibri" w:eastAsia="Calibri"/>
                <w:b/>
                <w:bCs/>
                <w:sz w:val="18"/>
                <w:szCs w:val="22"/>
              </w:rPr>
              <w:t>Total Response Time by Hour for Tier 1 Waiver Submission &amp; Phone Call</w:t>
            </w:r>
          </w:p>
        </w:tc>
        <w:tc>
          <w:tcPr>
            <w:tcW w:w="1530" w:type="dxa"/>
            <w:vMerge w:val="restart"/>
            <w:shd w:val="clear" w:color="auto" w:fill="F2F2F2"/>
            <w:hideMark/>
          </w:tcPr>
          <w:p w:rsidRPr="007F50C8" w:rsidR="00B2628C" w:rsidP="007F50C8" w:rsidRDefault="00B2628C" w14:paraId="7E8D3797" w14:textId="77777777">
            <w:pPr>
              <w:rPr>
                <w:rFonts w:ascii="Calibri" w:hAnsi="Calibri" w:eastAsia="Calibri"/>
                <w:b/>
                <w:bCs/>
                <w:sz w:val="18"/>
                <w:szCs w:val="22"/>
              </w:rPr>
            </w:pPr>
            <w:r w:rsidRPr="007F50C8">
              <w:rPr>
                <w:rFonts w:ascii="Calibri" w:hAnsi="Calibri" w:eastAsia="Calibri"/>
                <w:b/>
                <w:bCs/>
                <w:sz w:val="18"/>
                <w:szCs w:val="22"/>
              </w:rPr>
              <w:t>Total Response Time by Hour for Tier 2 Waiver Submission &amp; Phone Call</w:t>
            </w:r>
          </w:p>
        </w:tc>
        <w:tc>
          <w:tcPr>
            <w:tcW w:w="1170" w:type="dxa"/>
            <w:vMerge w:val="restart"/>
            <w:shd w:val="clear" w:color="auto" w:fill="F2F2F2"/>
            <w:hideMark/>
          </w:tcPr>
          <w:p w:rsidRPr="007F50C8" w:rsidR="00B2628C" w:rsidP="007F50C8" w:rsidRDefault="00B2628C" w14:paraId="0A9AA98C" w14:textId="77777777">
            <w:pPr>
              <w:rPr>
                <w:rFonts w:ascii="Calibri" w:hAnsi="Calibri" w:eastAsia="Calibri"/>
                <w:b/>
                <w:bCs/>
                <w:sz w:val="18"/>
                <w:szCs w:val="22"/>
              </w:rPr>
            </w:pPr>
            <w:r w:rsidRPr="007F50C8">
              <w:rPr>
                <w:rFonts w:ascii="Calibri" w:hAnsi="Calibri" w:eastAsia="Calibri"/>
                <w:b/>
                <w:bCs/>
                <w:sz w:val="18"/>
                <w:szCs w:val="22"/>
              </w:rPr>
              <w:t>Total Response Time by Hour for Measures Submission</w:t>
            </w:r>
          </w:p>
        </w:tc>
        <w:tc>
          <w:tcPr>
            <w:tcW w:w="810" w:type="dxa"/>
            <w:vMerge w:val="restart"/>
            <w:shd w:val="clear" w:color="auto" w:fill="F2F2F2"/>
            <w:hideMark/>
          </w:tcPr>
          <w:p w:rsidRPr="007F50C8" w:rsidR="00B2628C" w:rsidP="007F50C8" w:rsidRDefault="00B2628C" w14:paraId="6A6725EA" w14:textId="77777777">
            <w:pPr>
              <w:rPr>
                <w:rFonts w:ascii="Calibri" w:hAnsi="Calibri" w:eastAsia="Calibri"/>
                <w:b/>
                <w:bCs/>
                <w:sz w:val="18"/>
                <w:szCs w:val="22"/>
              </w:rPr>
            </w:pPr>
            <w:r w:rsidRPr="007F50C8">
              <w:rPr>
                <w:rFonts w:ascii="Calibri" w:hAnsi="Calibri" w:eastAsia="Calibri"/>
                <w:b/>
                <w:bCs/>
                <w:sz w:val="18"/>
                <w:szCs w:val="22"/>
              </w:rPr>
              <w:t>Median Hourly Wage</w:t>
            </w:r>
          </w:p>
        </w:tc>
        <w:tc>
          <w:tcPr>
            <w:tcW w:w="1350" w:type="dxa"/>
            <w:vMerge w:val="restart"/>
            <w:shd w:val="clear" w:color="auto" w:fill="F2F2F2"/>
            <w:hideMark/>
          </w:tcPr>
          <w:p w:rsidRPr="007F50C8" w:rsidR="00B2628C" w:rsidP="007F50C8" w:rsidRDefault="00B2628C" w14:paraId="12267BD8" w14:textId="77777777">
            <w:pPr>
              <w:rPr>
                <w:rFonts w:ascii="Calibri" w:hAnsi="Calibri" w:eastAsia="Calibri"/>
                <w:b/>
                <w:bCs/>
                <w:sz w:val="18"/>
                <w:szCs w:val="22"/>
              </w:rPr>
            </w:pPr>
            <w:r w:rsidRPr="007F50C8">
              <w:rPr>
                <w:rFonts w:ascii="Calibri" w:hAnsi="Calibri" w:eastAsia="Calibri"/>
                <w:b/>
                <w:bCs/>
                <w:sz w:val="18"/>
                <w:szCs w:val="22"/>
              </w:rPr>
              <w:t>Doubled Hourly Wage + Fringe Benefits and Overhead</w:t>
            </w:r>
          </w:p>
        </w:tc>
      </w:tr>
      <w:tr w:rsidRPr="000D69C8" w:rsidR="00B2628C" w:rsidTr="007F50C8" w14:paraId="471314A2" w14:textId="77777777">
        <w:trPr>
          <w:trHeight w:val="512"/>
          <w:jc w:val="center"/>
        </w:trPr>
        <w:tc>
          <w:tcPr>
            <w:tcW w:w="2065" w:type="dxa"/>
            <w:vMerge/>
            <w:shd w:val="clear" w:color="auto" w:fill="F2F2F2"/>
            <w:hideMark/>
          </w:tcPr>
          <w:p w:rsidRPr="007F50C8" w:rsidR="00B2628C" w:rsidP="007F50C8" w:rsidRDefault="00B2628C" w14:paraId="1B1B7E92" w14:textId="77777777">
            <w:pPr>
              <w:rPr>
                <w:rFonts w:ascii="Calibri" w:hAnsi="Calibri" w:eastAsia="Calibri"/>
                <w:b/>
                <w:bCs/>
                <w:sz w:val="22"/>
                <w:szCs w:val="22"/>
              </w:rPr>
            </w:pPr>
          </w:p>
        </w:tc>
        <w:tc>
          <w:tcPr>
            <w:tcW w:w="1980" w:type="dxa"/>
            <w:vMerge/>
            <w:shd w:val="clear" w:color="auto" w:fill="F2F2F2"/>
            <w:hideMark/>
          </w:tcPr>
          <w:p w:rsidRPr="007F50C8" w:rsidR="00B2628C" w:rsidP="007F50C8" w:rsidRDefault="00B2628C" w14:paraId="08D3556C" w14:textId="77777777">
            <w:pPr>
              <w:rPr>
                <w:rFonts w:ascii="Calibri" w:hAnsi="Calibri" w:eastAsia="Calibri"/>
                <w:b/>
                <w:bCs/>
                <w:sz w:val="22"/>
                <w:szCs w:val="22"/>
              </w:rPr>
            </w:pPr>
          </w:p>
        </w:tc>
        <w:tc>
          <w:tcPr>
            <w:tcW w:w="1620" w:type="dxa"/>
            <w:vMerge/>
            <w:shd w:val="clear" w:color="auto" w:fill="F2F2F2"/>
            <w:hideMark/>
          </w:tcPr>
          <w:p w:rsidRPr="007F50C8" w:rsidR="00B2628C" w:rsidP="007F50C8" w:rsidRDefault="00B2628C" w14:paraId="2E80D46C" w14:textId="77777777">
            <w:pPr>
              <w:rPr>
                <w:rFonts w:ascii="Calibri" w:hAnsi="Calibri" w:eastAsia="Calibri"/>
                <w:b/>
                <w:bCs/>
                <w:sz w:val="22"/>
                <w:szCs w:val="22"/>
              </w:rPr>
            </w:pPr>
          </w:p>
        </w:tc>
        <w:tc>
          <w:tcPr>
            <w:tcW w:w="1530" w:type="dxa"/>
            <w:vMerge/>
            <w:shd w:val="clear" w:color="auto" w:fill="F2F2F2"/>
            <w:hideMark/>
          </w:tcPr>
          <w:p w:rsidRPr="007F50C8" w:rsidR="00B2628C" w:rsidP="007F50C8" w:rsidRDefault="00B2628C" w14:paraId="1F61F1F4" w14:textId="77777777">
            <w:pPr>
              <w:rPr>
                <w:rFonts w:ascii="Calibri" w:hAnsi="Calibri" w:eastAsia="Calibri"/>
                <w:b/>
                <w:bCs/>
                <w:sz w:val="22"/>
                <w:szCs w:val="22"/>
              </w:rPr>
            </w:pPr>
          </w:p>
        </w:tc>
        <w:tc>
          <w:tcPr>
            <w:tcW w:w="1170" w:type="dxa"/>
            <w:vMerge/>
            <w:shd w:val="clear" w:color="auto" w:fill="F2F2F2"/>
            <w:hideMark/>
          </w:tcPr>
          <w:p w:rsidRPr="007F50C8" w:rsidR="00B2628C" w:rsidP="007F50C8" w:rsidRDefault="00B2628C" w14:paraId="0B8BD265" w14:textId="77777777">
            <w:pPr>
              <w:rPr>
                <w:rFonts w:ascii="Calibri" w:hAnsi="Calibri" w:eastAsia="Calibri"/>
                <w:b/>
                <w:bCs/>
                <w:sz w:val="22"/>
                <w:szCs w:val="22"/>
              </w:rPr>
            </w:pPr>
          </w:p>
        </w:tc>
        <w:tc>
          <w:tcPr>
            <w:tcW w:w="810" w:type="dxa"/>
            <w:vMerge/>
            <w:shd w:val="clear" w:color="auto" w:fill="F2F2F2"/>
            <w:hideMark/>
          </w:tcPr>
          <w:p w:rsidRPr="007F50C8" w:rsidR="00B2628C" w:rsidP="007F50C8" w:rsidRDefault="00B2628C" w14:paraId="0E131B60" w14:textId="77777777">
            <w:pPr>
              <w:rPr>
                <w:rFonts w:ascii="Calibri" w:hAnsi="Calibri" w:eastAsia="Calibri"/>
                <w:b/>
                <w:bCs/>
                <w:sz w:val="22"/>
                <w:szCs w:val="22"/>
              </w:rPr>
            </w:pPr>
          </w:p>
        </w:tc>
        <w:tc>
          <w:tcPr>
            <w:tcW w:w="1350" w:type="dxa"/>
            <w:vMerge/>
            <w:shd w:val="clear" w:color="auto" w:fill="F2F2F2"/>
            <w:hideMark/>
          </w:tcPr>
          <w:p w:rsidRPr="007F50C8" w:rsidR="00B2628C" w:rsidP="007F50C8" w:rsidRDefault="00B2628C" w14:paraId="0E0DEB93" w14:textId="77777777">
            <w:pPr>
              <w:rPr>
                <w:rFonts w:ascii="Calibri" w:hAnsi="Calibri" w:eastAsia="Calibri"/>
                <w:b/>
                <w:bCs/>
                <w:sz w:val="22"/>
                <w:szCs w:val="22"/>
              </w:rPr>
            </w:pPr>
          </w:p>
        </w:tc>
      </w:tr>
      <w:tr w:rsidRPr="000D69C8" w:rsidR="00B2628C" w:rsidTr="007F50C8" w14:paraId="53B60D14" w14:textId="77777777">
        <w:trPr>
          <w:trHeight w:val="289"/>
          <w:jc w:val="center"/>
        </w:trPr>
        <w:tc>
          <w:tcPr>
            <w:tcW w:w="2065" w:type="dxa"/>
            <w:shd w:val="clear" w:color="auto" w:fill="auto"/>
            <w:hideMark/>
          </w:tcPr>
          <w:p w:rsidRPr="007F50C8" w:rsidR="00B2628C" w:rsidP="007F50C8" w:rsidRDefault="00B2628C" w14:paraId="420B6777" w14:textId="77777777">
            <w:pPr>
              <w:rPr>
                <w:rFonts w:ascii="Calibri" w:hAnsi="Calibri" w:eastAsia="Calibri"/>
                <w:sz w:val="18"/>
                <w:szCs w:val="22"/>
              </w:rPr>
            </w:pPr>
            <w:r w:rsidRPr="007F50C8">
              <w:rPr>
                <w:rFonts w:ascii="Calibri" w:hAnsi="Calibri" w:eastAsia="Calibri"/>
                <w:sz w:val="18"/>
                <w:szCs w:val="22"/>
              </w:rPr>
              <w:t>Medical and Health Services Managers</w:t>
            </w:r>
          </w:p>
        </w:tc>
        <w:tc>
          <w:tcPr>
            <w:tcW w:w="1980" w:type="dxa"/>
            <w:shd w:val="clear" w:color="auto" w:fill="auto"/>
            <w:hideMark/>
          </w:tcPr>
          <w:p w:rsidRPr="007F50C8" w:rsidR="00B2628C" w:rsidP="007F50C8" w:rsidRDefault="00B2628C" w14:paraId="4A8D0730" w14:textId="77777777">
            <w:pPr>
              <w:rPr>
                <w:rFonts w:ascii="Calibri" w:hAnsi="Calibri" w:eastAsia="Calibri"/>
                <w:sz w:val="18"/>
                <w:szCs w:val="22"/>
              </w:rPr>
            </w:pPr>
            <w:r w:rsidRPr="007F50C8">
              <w:rPr>
                <w:rFonts w:ascii="Calibri" w:hAnsi="Calibri" w:eastAsia="Calibri"/>
                <w:sz w:val="18"/>
                <w:szCs w:val="22"/>
              </w:rPr>
              <w:t>11-9111</w:t>
            </w:r>
          </w:p>
        </w:tc>
        <w:tc>
          <w:tcPr>
            <w:tcW w:w="1620" w:type="dxa"/>
            <w:shd w:val="clear" w:color="auto" w:fill="auto"/>
            <w:hideMark/>
          </w:tcPr>
          <w:p w:rsidRPr="007F50C8" w:rsidR="00B2628C" w:rsidP="007F50C8" w:rsidRDefault="00B2628C" w14:paraId="1F5996CE" w14:textId="77777777">
            <w:pPr>
              <w:rPr>
                <w:rFonts w:ascii="Calibri" w:hAnsi="Calibri" w:eastAsia="Calibri"/>
                <w:sz w:val="18"/>
                <w:szCs w:val="22"/>
              </w:rPr>
            </w:pPr>
            <w:r w:rsidRPr="007F50C8">
              <w:rPr>
                <w:rFonts w:ascii="Calibri" w:hAnsi="Calibri" w:eastAsia="Calibri"/>
                <w:sz w:val="18"/>
                <w:szCs w:val="22"/>
              </w:rPr>
              <w:t>1</w:t>
            </w:r>
          </w:p>
        </w:tc>
        <w:tc>
          <w:tcPr>
            <w:tcW w:w="1530" w:type="dxa"/>
            <w:shd w:val="clear" w:color="auto" w:fill="auto"/>
            <w:hideMark/>
          </w:tcPr>
          <w:p w:rsidRPr="007F50C8" w:rsidR="00B2628C" w:rsidP="007F50C8" w:rsidRDefault="00B2628C" w14:paraId="4AFB128F" w14:textId="77777777">
            <w:pPr>
              <w:rPr>
                <w:rFonts w:ascii="Calibri" w:hAnsi="Calibri" w:eastAsia="Calibri"/>
                <w:sz w:val="18"/>
                <w:szCs w:val="22"/>
              </w:rPr>
            </w:pPr>
            <w:r w:rsidRPr="007F50C8">
              <w:rPr>
                <w:rFonts w:ascii="Calibri" w:hAnsi="Calibri" w:eastAsia="Calibri"/>
                <w:sz w:val="18"/>
                <w:szCs w:val="22"/>
              </w:rPr>
              <w:t>2</w:t>
            </w:r>
          </w:p>
        </w:tc>
        <w:tc>
          <w:tcPr>
            <w:tcW w:w="1170" w:type="dxa"/>
            <w:shd w:val="clear" w:color="auto" w:fill="auto"/>
            <w:hideMark/>
          </w:tcPr>
          <w:p w:rsidRPr="007F50C8" w:rsidR="00B2628C" w:rsidP="007F50C8" w:rsidRDefault="00B2628C" w14:paraId="1D03DADB" w14:textId="77777777">
            <w:pPr>
              <w:rPr>
                <w:rFonts w:ascii="Calibri" w:hAnsi="Calibri" w:eastAsia="Calibri"/>
                <w:sz w:val="18"/>
                <w:szCs w:val="22"/>
              </w:rPr>
            </w:pPr>
            <w:r w:rsidRPr="007F50C8">
              <w:rPr>
                <w:rFonts w:ascii="Calibri" w:hAnsi="Calibri" w:eastAsia="Calibri"/>
                <w:sz w:val="18"/>
                <w:szCs w:val="22"/>
              </w:rPr>
              <w:t>0.25</w:t>
            </w:r>
          </w:p>
        </w:tc>
        <w:tc>
          <w:tcPr>
            <w:tcW w:w="810" w:type="dxa"/>
            <w:shd w:val="clear" w:color="auto" w:fill="auto"/>
            <w:hideMark/>
          </w:tcPr>
          <w:p w:rsidRPr="007F50C8" w:rsidR="00B2628C" w:rsidP="007F50C8" w:rsidRDefault="00B2628C" w14:paraId="37EFD468" w14:textId="77777777">
            <w:pPr>
              <w:rPr>
                <w:rFonts w:ascii="Calibri" w:hAnsi="Calibri" w:eastAsia="Calibri"/>
                <w:sz w:val="18"/>
                <w:szCs w:val="22"/>
              </w:rPr>
            </w:pPr>
            <w:r w:rsidRPr="007F50C8">
              <w:rPr>
                <w:rFonts w:ascii="Calibri" w:hAnsi="Calibri" w:eastAsia="Calibri"/>
                <w:sz w:val="18"/>
                <w:szCs w:val="22"/>
              </w:rPr>
              <w:t>$48.55</w:t>
            </w:r>
          </w:p>
        </w:tc>
        <w:tc>
          <w:tcPr>
            <w:tcW w:w="1350" w:type="dxa"/>
            <w:shd w:val="clear" w:color="auto" w:fill="auto"/>
            <w:hideMark/>
          </w:tcPr>
          <w:p w:rsidRPr="007F50C8" w:rsidR="00B2628C" w:rsidP="007F50C8" w:rsidRDefault="00B2628C" w14:paraId="06B47340" w14:textId="77777777">
            <w:pPr>
              <w:rPr>
                <w:rFonts w:ascii="Calibri" w:hAnsi="Calibri" w:eastAsia="Calibri"/>
                <w:sz w:val="18"/>
                <w:szCs w:val="22"/>
              </w:rPr>
            </w:pPr>
            <w:r w:rsidRPr="007F50C8">
              <w:rPr>
                <w:rFonts w:ascii="Calibri" w:hAnsi="Calibri" w:eastAsia="Calibri"/>
                <w:sz w:val="18"/>
                <w:szCs w:val="22"/>
              </w:rPr>
              <w:t>$97.10</w:t>
            </w:r>
          </w:p>
        </w:tc>
      </w:tr>
      <w:tr w:rsidRPr="000D69C8" w:rsidR="00B2628C" w:rsidTr="007F50C8" w14:paraId="7BAB32EF" w14:textId="77777777">
        <w:trPr>
          <w:trHeight w:val="289"/>
          <w:jc w:val="center"/>
        </w:trPr>
        <w:tc>
          <w:tcPr>
            <w:tcW w:w="2065" w:type="dxa"/>
            <w:shd w:val="clear" w:color="auto" w:fill="auto"/>
            <w:hideMark/>
          </w:tcPr>
          <w:p w:rsidRPr="007F50C8" w:rsidR="00B2628C" w:rsidP="007F50C8" w:rsidRDefault="00B2628C" w14:paraId="0A20A644" w14:textId="77777777">
            <w:pPr>
              <w:rPr>
                <w:rFonts w:ascii="Calibri" w:hAnsi="Calibri" w:eastAsia="Calibri"/>
                <w:sz w:val="18"/>
                <w:szCs w:val="22"/>
              </w:rPr>
            </w:pPr>
            <w:r w:rsidRPr="007F50C8">
              <w:rPr>
                <w:rFonts w:ascii="Calibri" w:hAnsi="Calibri" w:eastAsia="Calibri"/>
                <w:sz w:val="18"/>
                <w:szCs w:val="22"/>
              </w:rPr>
              <w:t>Health Technologist and Technicians</w:t>
            </w:r>
          </w:p>
        </w:tc>
        <w:tc>
          <w:tcPr>
            <w:tcW w:w="1980" w:type="dxa"/>
            <w:shd w:val="clear" w:color="auto" w:fill="auto"/>
            <w:hideMark/>
          </w:tcPr>
          <w:p w:rsidRPr="007F50C8" w:rsidR="00B2628C" w:rsidP="007F50C8" w:rsidRDefault="00B2628C" w14:paraId="219724B2" w14:textId="77777777">
            <w:pPr>
              <w:rPr>
                <w:rFonts w:ascii="Calibri" w:hAnsi="Calibri" w:eastAsia="Calibri"/>
                <w:sz w:val="18"/>
                <w:szCs w:val="22"/>
              </w:rPr>
            </w:pPr>
            <w:r w:rsidRPr="007F50C8">
              <w:rPr>
                <w:rFonts w:ascii="Calibri" w:hAnsi="Calibri" w:eastAsia="Calibri"/>
                <w:sz w:val="18"/>
                <w:szCs w:val="22"/>
              </w:rPr>
              <w:t>29-2000</w:t>
            </w:r>
          </w:p>
        </w:tc>
        <w:tc>
          <w:tcPr>
            <w:tcW w:w="1620" w:type="dxa"/>
            <w:shd w:val="clear" w:color="auto" w:fill="auto"/>
            <w:hideMark/>
          </w:tcPr>
          <w:p w:rsidRPr="007F50C8" w:rsidR="00B2628C" w:rsidP="007F50C8" w:rsidRDefault="00B2628C" w14:paraId="3E6777A9" w14:textId="77777777">
            <w:pPr>
              <w:rPr>
                <w:rFonts w:ascii="Calibri" w:hAnsi="Calibri" w:eastAsia="Calibri"/>
                <w:sz w:val="18"/>
                <w:szCs w:val="22"/>
              </w:rPr>
            </w:pPr>
            <w:r w:rsidRPr="007F50C8">
              <w:rPr>
                <w:rFonts w:ascii="Calibri" w:hAnsi="Calibri" w:eastAsia="Calibri"/>
                <w:sz w:val="18"/>
                <w:szCs w:val="22"/>
              </w:rPr>
              <w:t>1</w:t>
            </w:r>
          </w:p>
        </w:tc>
        <w:tc>
          <w:tcPr>
            <w:tcW w:w="1530" w:type="dxa"/>
            <w:shd w:val="clear" w:color="auto" w:fill="auto"/>
            <w:hideMark/>
          </w:tcPr>
          <w:p w:rsidRPr="007F50C8" w:rsidR="00B2628C" w:rsidP="007F50C8" w:rsidRDefault="00B2628C" w14:paraId="226674AC" w14:textId="77777777">
            <w:pPr>
              <w:rPr>
                <w:rFonts w:ascii="Calibri" w:hAnsi="Calibri" w:eastAsia="Calibri"/>
                <w:sz w:val="18"/>
                <w:szCs w:val="22"/>
              </w:rPr>
            </w:pPr>
            <w:r w:rsidRPr="007F50C8">
              <w:rPr>
                <w:rFonts w:ascii="Calibri" w:hAnsi="Calibri" w:eastAsia="Calibri"/>
                <w:sz w:val="18"/>
                <w:szCs w:val="22"/>
              </w:rPr>
              <w:t>2</w:t>
            </w:r>
          </w:p>
        </w:tc>
        <w:tc>
          <w:tcPr>
            <w:tcW w:w="1170" w:type="dxa"/>
            <w:shd w:val="clear" w:color="auto" w:fill="auto"/>
            <w:hideMark/>
          </w:tcPr>
          <w:p w:rsidRPr="007F50C8" w:rsidR="00B2628C" w:rsidP="007F50C8" w:rsidRDefault="00B2628C" w14:paraId="4F96C200" w14:textId="77777777">
            <w:pPr>
              <w:rPr>
                <w:rFonts w:ascii="Calibri" w:hAnsi="Calibri" w:eastAsia="Calibri"/>
                <w:sz w:val="18"/>
                <w:szCs w:val="22"/>
              </w:rPr>
            </w:pPr>
            <w:r w:rsidRPr="007F50C8">
              <w:rPr>
                <w:rFonts w:ascii="Calibri" w:hAnsi="Calibri" w:eastAsia="Calibri"/>
                <w:sz w:val="18"/>
                <w:szCs w:val="22"/>
              </w:rPr>
              <w:t>0.25</w:t>
            </w:r>
          </w:p>
        </w:tc>
        <w:tc>
          <w:tcPr>
            <w:tcW w:w="810" w:type="dxa"/>
            <w:shd w:val="clear" w:color="auto" w:fill="auto"/>
            <w:hideMark/>
          </w:tcPr>
          <w:p w:rsidRPr="007F50C8" w:rsidR="00B2628C" w:rsidP="007F50C8" w:rsidRDefault="00B2628C" w14:paraId="659D59D5" w14:textId="77777777">
            <w:pPr>
              <w:rPr>
                <w:rFonts w:ascii="Calibri" w:hAnsi="Calibri" w:eastAsia="Calibri"/>
                <w:sz w:val="18"/>
                <w:szCs w:val="22"/>
              </w:rPr>
            </w:pPr>
            <w:r w:rsidRPr="007F50C8">
              <w:rPr>
                <w:rFonts w:ascii="Calibri" w:hAnsi="Calibri" w:eastAsia="Calibri"/>
                <w:sz w:val="18"/>
                <w:szCs w:val="22"/>
              </w:rPr>
              <w:t>$21.34</w:t>
            </w:r>
          </w:p>
        </w:tc>
        <w:tc>
          <w:tcPr>
            <w:tcW w:w="1350" w:type="dxa"/>
            <w:shd w:val="clear" w:color="auto" w:fill="auto"/>
            <w:hideMark/>
          </w:tcPr>
          <w:p w:rsidRPr="007F50C8" w:rsidR="00B2628C" w:rsidP="007F50C8" w:rsidRDefault="00B2628C" w14:paraId="608C266E" w14:textId="77777777">
            <w:pPr>
              <w:rPr>
                <w:rFonts w:ascii="Calibri" w:hAnsi="Calibri" w:eastAsia="Calibri"/>
                <w:sz w:val="18"/>
                <w:szCs w:val="22"/>
              </w:rPr>
            </w:pPr>
            <w:r w:rsidRPr="007F50C8">
              <w:rPr>
                <w:rFonts w:ascii="Calibri" w:hAnsi="Calibri" w:eastAsia="Calibri"/>
                <w:sz w:val="18"/>
                <w:szCs w:val="22"/>
              </w:rPr>
              <w:t>$42.68</w:t>
            </w:r>
          </w:p>
        </w:tc>
      </w:tr>
      <w:tr w:rsidRPr="000D69C8" w:rsidR="00B2628C" w:rsidTr="007F50C8" w14:paraId="5660E489" w14:textId="77777777">
        <w:trPr>
          <w:trHeight w:val="289"/>
          <w:jc w:val="center"/>
        </w:trPr>
        <w:tc>
          <w:tcPr>
            <w:tcW w:w="2065" w:type="dxa"/>
            <w:shd w:val="clear" w:color="auto" w:fill="auto"/>
            <w:hideMark/>
          </w:tcPr>
          <w:p w:rsidRPr="007F50C8" w:rsidR="00B2628C" w:rsidP="007F50C8" w:rsidRDefault="00B2628C" w14:paraId="71CDE705" w14:textId="77777777">
            <w:pPr>
              <w:rPr>
                <w:rFonts w:ascii="Calibri" w:hAnsi="Calibri" w:eastAsia="Calibri"/>
                <w:sz w:val="18"/>
                <w:szCs w:val="22"/>
              </w:rPr>
            </w:pPr>
            <w:r w:rsidRPr="007F50C8">
              <w:rPr>
                <w:rFonts w:ascii="Calibri" w:hAnsi="Calibri" w:eastAsia="Calibri"/>
                <w:sz w:val="18"/>
                <w:szCs w:val="22"/>
              </w:rPr>
              <w:t>Nursing Assistants</w:t>
            </w:r>
          </w:p>
        </w:tc>
        <w:tc>
          <w:tcPr>
            <w:tcW w:w="1980" w:type="dxa"/>
            <w:shd w:val="clear" w:color="auto" w:fill="auto"/>
            <w:hideMark/>
          </w:tcPr>
          <w:p w:rsidRPr="007F50C8" w:rsidR="00B2628C" w:rsidP="007F50C8" w:rsidRDefault="00B2628C" w14:paraId="03248FC0" w14:textId="77777777">
            <w:pPr>
              <w:rPr>
                <w:rFonts w:ascii="Calibri" w:hAnsi="Calibri" w:eastAsia="Calibri"/>
                <w:sz w:val="18"/>
                <w:szCs w:val="22"/>
              </w:rPr>
            </w:pPr>
            <w:r w:rsidRPr="007F50C8">
              <w:rPr>
                <w:rFonts w:ascii="Calibri" w:hAnsi="Calibri" w:eastAsia="Calibri"/>
                <w:sz w:val="18"/>
                <w:szCs w:val="22"/>
              </w:rPr>
              <w:t>31-1131</w:t>
            </w:r>
          </w:p>
        </w:tc>
        <w:tc>
          <w:tcPr>
            <w:tcW w:w="1620" w:type="dxa"/>
            <w:shd w:val="clear" w:color="auto" w:fill="auto"/>
            <w:hideMark/>
          </w:tcPr>
          <w:p w:rsidRPr="007F50C8" w:rsidR="00B2628C" w:rsidP="007F50C8" w:rsidRDefault="00B2628C" w14:paraId="2CAB5FA4" w14:textId="77777777">
            <w:pPr>
              <w:rPr>
                <w:rFonts w:ascii="Calibri" w:hAnsi="Calibri" w:eastAsia="Calibri"/>
                <w:sz w:val="18"/>
                <w:szCs w:val="22"/>
              </w:rPr>
            </w:pPr>
            <w:r w:rsidRPr="007F50C8">
              <w:rPr>
                <w:rFonts w:ascii="Calibri" w:hAnsi="Calibri" w:eastAsia="Calibri"/>
                <w:sz w:val="18"/>
                <w:szCs w:val="22"/>
              </w:rPr>
              <w:t>1</w:t>
            </w:r>
          </w:p>
        </w:tc>
        <w:tc>
          <w:tcPr>
            <w:tcW w:w="1530" w:type="dxa"/>
            <w:shd w:val="clear" w:color="auto" w:fill="auto"/>
            <w:hideMark/>
          </w:tcPr>
          <w:p w:rsidRPr="007F50C8" w:rsidR="00B2628C" w:rsidP="007F50C8" w:rsidRDefault="00B2628C" w14:paraId="4580D479" w14:textId="77777777">
            <w:pPr>
              <w:rPr>
                <w:rFonts w:ascii="Calibri" w:hAnsi="Calibri" w:eastAsia="Calibri"/>
                <w:sz w:val="18"/>
                <w:szCs w:val="22"/>
              </w:rPr>
            </w:pPr>
            <w:r w:rsidRPr="007F50C8">
              <w:rPr>
                <w:rFonts w:ascii="Calibri" w:hAnsi="Calibri" w:eastAsia="Calibri"/>
                <w:sz w:val="18"/>
                <w:szCs w:val="22"/>
              </w:rPr>
              <w:t>2</w:t>
            </w:r>
          </w:p>
        </w:tc>
        <w:tc>
          <w:tcPr>
            <w:tcW w:w="1170" w:type="dxa"/>
            <w:shd w:val="clear" w:color="auto" w:fill="auto"/>
            <w:hideMark/>
          </w:tcPr>
          <w:p w:rsidRPr="007F50C8" w:rsidR="00B2628C" w:rsidP="007F50C8" w:rsidRDefault="00B2628C" w14:paraId="7A63F1C8" w14:textId="77777777">
            <w:pPr>
              <w:rPr>
                <w:rFonts w:ascii="Calibri" w:hAnsi="Calibri" w:eastAsia="Calibri"/>
                <w:sz w:val="18"/>
                <w:szCs w:val="22"/>
              </w:rPr>
            </w:pPr>
            <w:r w:rsidRPr="007F50C8">
              <w:rPr>
                <w:rFonts w:ascii="Calibri" w:hAnsi="Calibri" w:eastAsia="Calibri"/>
                <w:sz w:val="18"/>
                <w:szCs w:val="22"/>
              </w:rPr>
              <w:t>0.25</w:t>
            </w:r>
          </w:p>
        </w:tc>
        <w:tc>
          <w:tcPr>
            <w:tcW w:w="810" w:type="dxa"/>
            <w:shd w:val="clear" w:color="auto" w:fill="auto"/>
            <w:hideMark/>
          </w:tcPr>
          <w:p w:rsidRPr="007F50C8" w:rsidR="00B2628C" w:rsidP="007F50C8" w:rsidRDefault="00B2628C" w14:paraId="673F7EF7" w14:textId="77777777">
            <w:pPr>
              <w:rPr>
                <w:rFonts w:ascii="Calibri" w:hAnsi="Calibri" w:eastAsia="Calibri"/>
                <w:sz w:val="18"/>
                <w:szCs w:val="22"/>
              </w:rPr>
            </w:pPr>
            <w:r w:rsidRPr="007F50C8">
              <w:rPr>
                <w:rFonts w:ascii="Calibri" w:hAnsi="Calibri" w:eastAsia="Calibri"/>
                <w:sz w:val="18"/>
                <w:szCs w:val="22"/>
              </w:rPr>
              <w:t>$14.26</w:t>
            </w:r>
          </w:p>
        </w:tc>
        <w:tc>
          <w:tcPr>
            <w:tcW w:w="1350" w:type="dxa"/>
            <w:shd w:val="clear" w:color="auto" w:fill="auto"/>
            <w:hideMark/>
          </w:tcPr>
          <w:p w:rsidRPr="007F50C8" w:rsidR="00B2628C" w:rsidP="007F50C8" w:rsidRDefault="00B2628C" w14:paraId="09F6A692" w14:textId="77777777">
            <w:pPr>
              <w:rPr>
                <w:rFonts w:ascii="Calibri" w:hAnsi="Calibri" w:eastAsia="Calibri"/>
                <w:sz w:val="18"/>
                <w:szCs w:val="22"/>
              </w:rPr>
            </w:pPr>
            <w:r w:rsidRPr="007F50C8">
              <w:rPr>
                <w:rFonts w:ascii="Calibri" w:hAnsi="Calibri" w:eastAsia="Calibri"/>
                <w:sz w:val="18"/>
                <w:szCs w:val="22"/>
              </w:rPr>
              <w:t>$28.52</w:t>
            </w:r>
          </w:p>
        </w:tc>
      </w:tr>
      <w:tr w:rsidRPr="000D69C8" w:rsidR="00B2628C" w:rsidTr="007F50C8" w14:paraId="54617663" w14:textId="77777777">
        <w:trPr>
          <w:trHeight w:val="289"/>
          <w:jc w:val="center"/>
        </w:trPr>
        <w:tc>
          <w:tcPr>
            <w:tcW w:w="2065" w:type="dxa"/>
            <w:shd w:val="clear" w:color="auto" w:fill="auto"/>
            <w:hideMark/>
          </w:tcPr>
          <w:p w:rsidRPr="007F50C8" w:rsidR="00B2628C" w:rsidP="007F50C8" w:rsidRDefault="00B2628C" w14:paraId="5E2C5022" w14:textId="77777777">
            <w:pPr>
              <w:rPr>
                <w:rFonts w:ascii="Calibri" w:hAnsi="Calibri" w:eastAsia="Calibri"/>
                <w:sz w:val="18"/>
                <w:szCs w:val="22"/>
              </w:rPr>
            </w:pPr>
            <w:r w:rsidRPr="007F50C8">
              <w:rPr>
                <w:rFonts w:ascii="Calibri" w:hAnsi="Calibri" w:eastAsia="Calibri"/>
                <w:sz w:val="18"/>
                <w:szCs w:val="22"/>
              </w:rPr>
              <w:t>Miscellaneous Healthcare Support Occupations</w:t>
            </w:r>
          </w:p>
        </w:tc>
        <w:tc>
          <w:tcPr>
            <w:tcW w:w="1980" w:type="dxa"/>
            <w:shd w:val="clear" w:color="auto" w:fill="auto"/>
            <w:hideMark/>
          </w:tcPr>
          <w:p w:rsidRPr="007F50C8" w:rsidR="00B2628C" w:rsidP="007F50C8" w:rsidRDefault="00B2628C" w14:paraId="650B058F" w14:textId="77777777">
            <w:pPr>
              <w:rPr>
                <w:rFonts w:ascii="Calibri" w:hAnsi="Calibri" w:eastAsia="Calibri"/>
                <w:sz w:val="18"/>
                <w:szCs w:val="22"/>
              </w:rPr>
            </w:pPr>
            <w:r w:rsidRPr="007F50C8">
              <w:rPr>
                <w:rFonts w:ascii="Calibri" w:hAnsi="Calibri" w:eastAsia="Calibri"/>
                <w:sz w:val="18"/>
                <w:szCs w:val="22"/>
              </w:rPr>
              <w:t>31-9090</w:t>
            </w:r>
          </w:p>
        </w:tc>
        <w:tc>
          <w:tcPr>
            <w:tcW w:w="1620" w:type="dxa"/>
            <w:shd w:val="clear" w:color="auto" w:fill="auto"/>
            <w:hideMark/>
          </w:tcPr>
          <w:p w:rsidRPr="007F50C8" w:rsidR="00B2628C" w:rsidP="007F50C8" w:rsidRDefault="00B2628C" w14:paraId="72E13DA6" w14:textId="77777777">
            <w:pPr>
              <w:rPr>
                <w:rFonts w:ascii="Calibri" w:hAnsi="Calibri" w:eastAsia="Calibri"/>
                <w:sz w:val="18"/>
                <w:szCs w:val="22"/>
              </w:rPr>
            </w:pPr>
            <w:r w:rsidRPr="007F50C8">
              <w:rPr>
                <w:rFonts w:ascii="Calibri" w:hAnsi="Calibri" w:eastAsia="Calibri"/>
                <w:sz w:val="18"/>
                <w:szCs w:val="22"/>
              </w:rPr>
              <w:t>1</w:t>
            </w:r>
          </w:p>
        </w:tc>
        <w:tc>
          <w:tcPr>
            <w:tcW w:w="1530" w:type="dxa"/>
            <w:shd w:val="clear" w:color="auto" w:fill="auto"/>
            <w:hideMark/>
          </w:tcPr>
          <w:p w:rsidRPr="007F50C8" w:rsidR="00B2628C" w:rsidP="007F50C8" w:rsidRDefault="00B2628C" w14:paraId="46070F6D" w14:textId="77777777">
            <w:pPr>
              <w:rPr>
                <w:rFonts w:ascii="Calibri" w:hAnsi="Calibri" w:eastAsia="Calibri"/>
                <w:sz w:val="18"/>
                <w:szCs w:val="22"/>
              </w:rPr>
            </w:pPr>
            <w:r w:rsidRPr="007F50C8">
              <w:rPr>
                <w:rFonts w:ascii="Calibri" w:hAnsi="Calibri" w:eastAsia="Calibri"/>
                <w:sz w:val="18"/>
                <w:szCs w:val="22"/>
              </w:rPr>
              <w:t>2</w:t>
            </w:r>
          </w:p>
        </w:tc>
        <w:tc>
          <w:tcPr>
            <w:tcW w:w="1170" w:type="dxa"/>
            <w:shd w:val="clear" w:color="auto" w:fill="auto"/>
            <w:hideMark/>
          </w:tcPr>
          <w:p w:rsidRPr="007F50C8" w:rsidR="00B2628C" w:rsidP="007F50C8" w:rsidRDefault="00B2628C" w14:paraId="17E7A7D6" w14:textId="77777777">
            <w:pPr>
              <w:rPr>
                <w:rFonts w:ascii="Calibri" w:hAnsi="Calibri" w:eastAsia="Calibri"/>
                <w:sz w:val="18"/>
                <w:szCs w:val="22"/>
              </w:rPr>
            </w:pPr>
            <w:r w:rsidRPr="007F50C8">
              <w:rPr>
                <w:rFonts w:ascii="Calibri" w:hAnsi="Calibri" w:eastAsia="Calibri"/>
                <w:sz w:val="18"/>
                <w:szCs w:val="22"/>
              </w:rPr>
              <w:t>0.25</w:t>
            </w:r>
          </w:p>
        </w:tc>
        <w:tc>
          <w:tcPr>
            <w:tcW w:w="810" w:type="dxa"/>
            <w:shd w:val="clear" w:color="auto" w:fill="auto"/>
            <w:hideMark/>
          </w:tcPr>
          <w:p w:rsidRPr="007F50C8" w:rsidR="00B2628C" w:rsidP="007F50C8" w:rsidRDefault="00B2628C" w14:paraId="2D1E6B0D" w14:textId="77777777">
            <w:pPr>
              <w:rPr>
                <w:rFonts w:ascii="Calibri" w:hAnsi="Calibri" w:eastAsia="Calibri"/>
                <w:sz w:val="18"/>
                <w:szCs w:val="22"/>
              </w:rPr>
            </w:pPr>
            <w:r w:rsidRPr="007F50C8">
              <w:rPr>
                <w:rFonts w:ascii="Calibri" w:hAnsi="Calibri" w:eastAsia="Calibri"/>
                <w:sz w:val="18"/>
                <w:szCs w:val="22"/>
              </w:rPr>
              <w:t>$17.13</w:t>
            </w:r>
          </w:p>
        </w:tc>
        <w:tc>
          <w:tcPr>
            <w:tcW w:w="1350" w:type="dxa"/>
            <w:shd w:val="clear" w:color="auto" w:fill="auto"/>
            <w:hideMark/>
          </w:tcPr>
          <w:p w:rsidRPr="007F50C8" w:rsidR="00B2628C" w:rsidP="007F50C8" w:rsidRDefault="00B2628C" w14:paraId="02FD8EF1" w14:textId="77777777">
            <w:pPr>
              <w:rPr>
                <w:rFonts w:ascii="Calibri" w:hAnsi="Calibri" w:eastAsia="Calibri"/>
                <w:sz w:val="18"/>
                <w:szCs w:val="22"/>
              </w:rPr>
            </w:pPr>
            <w:r w:rsidRPr="007F50C8">
              <w:rPr>
                <w:rFonts w:ascii="Calibri" w:hAnsi="Calibri" w:eastAsia="Calibri"/>
                <w:sz w:val="18"/>
                <w:szCs w:val="22"/>
              </w:rPr>
              <w:t>$34.26</w:t>
            </w:r>
          </w:p>
        </w:tc>
      </w:tr>
      <w:tr w:rsidRPr="000D69C8" w:rsidR="00B2628C" w:rsidTr="007F50C8" w14:paraId="783C3C00" w14:textId="77777777">
        <w:trPr>
          <w:trHeight w:val="299"/>
          <w:jc w:val="center"/>
        </w:trPr>
        <w:tc>
          <w:tcPr>
            <w:tcW w:w="2065" w:type="dxa"/>
            <w:shd w:val="clear" w:color="auto" w:fill="auto"/>
            <w:hideMark/>
          </w:tcPr>
          <w:p w:rsidRPr="007F50C8" w:rsidR="00B2628C" w:rsidP="007F50C8" w:rsidRDefault="00B2628C" w14:paraId="3A078EB5" w14:textId="77777777">
            <w:pPr>
              <w:rPr>
                <w:rFonts w:ascii="Calibri" w:hAnsi="Calibri" w:eastAsia="Calibri"/>
                <w:sz w:val="18"/>
                <w:szCs w:val="22"/>
              </w:rPr>
            </w:pPr>
            <w:r w:rsidRPr="007F50C8">
              <w:rPr>
                <w:rFonts w:ascii="Calibri" w:hAnsi="Calibri" w:eastAsia="Calibri"/>
                <w:sz w:val="18"/>
                <w:szCs w:val="22"/>
              </w:rPr>
              <w:t>Medical Assistant</w:t>
            </w:r>
          </w:p>
        </w:tc>
        <w:tc>
          <w:tcPr>
            <w:tcW w:w="1980" w:type="dxa"/>
            <w:shd w:val="clear" w:color="auto" w:fill="auto"/>
            <w:hideMark/>
          </w:tcPr>
          <w:p w:rsidRPr="007F50C8" w:rsidR="00B2628C" w:rsidP="007F50C8" w:rsidRDefault="00B2628C" w14:paraId="4EFA7EF5" w14:textId="77777777">
            <w:pPr>
              <w:rPr>
                <w:rFonts w:ascii="Calibri" w:hAnsi="Calibri" w:eastAsia="Calibri"/>
                <w:sz w:val="18"/>
                <w:szCs w:val="22"/>
              </w:rPr>
            </w:pPr>
            <w:r w:rsidRPr="007F50C8">
              <w:rPr>
                <w:rFonts w:ascii="Calibri" w:hAnsi="Calibri" w:eastAsia="Calibri"/>
                <w:sz w:val="18"/>
                <w:szCs w:val="22"/>
              </w:rPr>
              <w:t>31-9092</w:t>
            </w:r>
          </w:p>
        </w:tc>
        <w:tc>
          <w:tcPr>
            <w:tcW w:w="1620" w:type="dxa"/>
            <w:shd w:val="clear" w:color="auto" w:fill="auto"/>
            <w:hideMark/>
          </w:tcPr>
          <w:p w:rsidRPr="007F50C8" w:rsidR="00B2628C" w:rsidP="007F50C8" w:rsidRDefault="00B2628C" w14:paraId="7AE56899" w14:textId="77777777">
            <w:pPr>
              <w:rPr>
                <w:rFonts w:ascii="Calibri" w:hAnsi="Calibri" w:eastAsia="Calibri"/>
                <w:sz w:val="18"/>
                <w:szCs w:val="22"/>
              </w:rPr>
            </w:pPr>
            <w:r w:rsidRPr="007F50C8">
              <w:rPr>
                <w:rFonts w:ascii="Calibri" w:hAnsi="Calibri" w:eastAsia="Calibri"/>
                <w:sz w:val="18"/>
                <w:szCs w:val="22"/>
              </w:rPr>
              <w:t>1</w:t>
            </w:r>
          </w:p>
        </w:tc>
        <w:tc>
          <w:tcPr>
            <w:tcW w:w="1530" w:type="dxa"/>
            <w:shd w:val="clear" w:color="auto" w:fill="auto"/>
            <w:hideMark/>
          </w:tcPr>
          <w:p w:rsidRPr="007F50C8" w:rsidR="00B2628C" w:rsidP="007F50C8" w:rsidRDefault="00B2628C" w14:paraId="4DEAAF7D" w14:textId="77777777">
            <w:pPr>
              <w:rPr>
                <w:rFonts w:ascii="Calibri" w:hAnsi="Calibri" w:eastAsia="Calibri"/>
                <w:sz w:val="18"/>
                <w:szCs w:val="22"/>
              </w:rPr>
            </w:pPr>
            <w:r w:rsidRPr="007F50C8">
              <w:rPr>
                <w:rFonts w:ascii="Calibri" w:hAnsi="Calibri" w:eastAsia="Calibri"/>
                <w:sz w:val="18"/>
                <w:szCs w:val="22"/>
              </w:rPr>
              <w:t>2</w:t>
            </w:r>
          </w:p>
        </w:tc>
        <w:tc>
          <w:tcPr>
            <w:tcW w:w="1170" w:type="dxa"/>
            <w:shd w:val="clear" w:color="auto" w:fill="auto"/>
            <w:hideMark/>
          </w:tcPr>
          <w:p w:rsidRPr="007F50C8" w:rsidR="00B2628C" w:rsidP="007F50C8" w:rsidRDefault="00B2628C" w14:paraId="3F5B3CA1" w14:textId="77777777">
            <w:pPr>
              <w:rPr>
                <w:rFonts w:ascii="Calibri" w:hAnsi="Calibri" w:eastAsia="Calibri"/>
                <w:sz w:val="18"/>
                <w:szCs w:val="22"/>
              </w:rPr>
            </w:pPr>
            <w:r w:rsidRPr="007F50C8">
              <w:rPr>
                <w:rFonts w:ascii="Calibri" w:hAnsi="Calibri" w:eastAsia="Calibri"/>
                <w:sz w:val="18"/>
                <w:szCs w:val="22"/>
              </w:rPr>
              <w:t>0.25</w:t>
            </w:r>
          </w:p>
        </w:tc>
        <w:tc>
          <w:tcPr>
            <w:tcW w:w="810" w:type="dxa"/>
            <w:shd w:val="clear" w:color="auto" w:fill="auto"/>
            <w:hideMark/>
          </w:tcPr>
          <w:p w:rsidRPr="007F50C8" w:rsidR="00B2628C" w:rsidP="007F50C8" w:rsidRDefault="00B2628C" w14:paraId="2A31CDBF" w14:textId="77777777">
            <w:pPr>
              <w:rPr>
                <w:rFonts w:ascii="Calibri" w:hAnsi="Calibri" w:eastAsia="Calibri"/>
                <w:sz w:val="18"/>
                <w:szCs w:val="22"/>
              </w:rPr>
            </w:pPr>
            <w:r w:rsidRPr="007F50C8">
              <w:rPr>
                <w:rFonts w:ascii="Calibri" w:hAnsi="Calibri" w:eastAsia="Calibri"/>
                <w:sz w:val="18"/>
                <w:szCs w:val="22"/>
              </w:rPr>
              <w:t>$16.73</w:t>
            </w:r>
          </w:p>
        </w:tc>
        <w:tc>
          <w:tcPr>
            <w:tcW w:w="1350" w:type="dxa"/>
            <w:shd w:val="clear" w:color="auto" w:fill="auto"/>
            <w:hideMark/>
          </w:tcPr>
          <w:p w:rsidRPr="007F50C8" w:rsidR="00B2628C" w:rsidP="007F50C8" w:rsidRDefault="00B2628C" w14:paraId="53AEE962" w14:textId="77777777">
            <w:pPr>
              <w:rPr>
                <w:rFonts w:ascii="Calibri" w:hAnsi="Calibri" w:eastAsia="Calibri"/>
                <w:sz w:val="18"/>
                <w:szCs w:val="22"/>
              </w:rPr>
            </w:pPr>
            <w:r w:rsidRPr="007F50C8">
              <w:rPr>
                <w:rFonts w:ascii="Calibri" w:hAnsi="Calibri" w:eastAsia="Calibri"/>
                <w:sz w:val="18"/>
                <w:szCs w:val="22"/>
              </w:rPr>
              <w:t>$33.46</w:t>
            </w:r>
          </w:p>
        </w:tc>
      </w:tr>
      <w:tr w:rsidRPr="000D69C8" w:rsidR="00B2628C" w:rsidTr="007F50C8" w14:paraId="7BC90211" w14:textId="77777777">
        <w:trPr>
          <w:trHeight w:val="299"/>
          <w:jc w:val="center"/>
        </w:trPr>
        <w:tc>
          <w:tcPr>
            <w:tcW w:w="4045" w:type="dxa"/>
            <w:gridSpan w:val="2"/>
            <w:shd w:val="clear" w:color="auto" w:fill="auto"/>
            <w:hideMark/>
          </w:tcPr>
          <w:p w:rsidRPr="007F50C8" w:rsidR="00B2628C" w:rsidP="007F50C8" w:rsidRDefault="00B2628C" w14:paraId="39D6BF51" w14:textId="77777777">
            <w:pPr>
              <w:rPr>
                <w:rFonts w:ascii="Calibri" w:hAnsi="Calibri" w:eastAsia="Calibri"/>
                <w:b/>
                <w:bCs/>
                <w:sz w:val="18"/>
                <w:szCs w:val="22"/>
              </w:rPr>
            </w:pPr>
            <w:r w:rsidRPr="007F50C8">
              <w:rPr>
                <w:rFonts w:ascii="Calibri" w:hAnsi="Calibri" w:eastAsia="Calibri"/>
                <w:b/>
                <w:bCs/>
                <w:sz w:val="18"/>
                <w:szCs w:val="22"/>
              </w:rPr>
              <w:t>Average</w:t>
            </w:r>
          </w:p>
        </w:tc>
        <w:tc>
          <w:tcPr>
            <w:tcW w:w="1620" w:type="dxa"/>
            <w:shd w:val="clear" w:color="auto" w:fill="auto"/>
            <w:hideMark/>
          </w:tcPr>
          <w:p w:rsidRPr="007F50C8" w:rsidR="00B2628C" w:rsidP="007F50C8" w:rsidRDefault="00B2628C" w14:paraId="7E764EE1" w14:textId="77777777">
            <w:pPr>
              <w:rPr>
                <w:rFonts w:ascii="Calibri" w:hAnsi="Calibri" w:eastAsia="Calibri"/>
                <w:b/>
                <w:bCs/>
                <w:sz w:val="18"/>
                <w:szCs w:val="22"/>
              </w:rPr>
            </w:pPr>
            <w:r w:rsidRPr="007F50C8">
              <w:rPr>
                <w:rFonts w:ascii="Calibri" w:hAnsi="Calibri" w:eastAsia="Calibri"/>
                <w:b/>
                <w:bCs/>
                <w:sz w:val="18"/>
                <w:szCs w:val="22"/>
              </w:rPr>
              <w:t>1</w:t>
            </w:r>
          </w:p>
        </w:tc>
        <w:tc>
          <w:tcPr>
            <w:tcW w:w="1530" w:type="dxa"/>
            <w:shd w:val="clear" w:color="auto" w:fill="auto"/>
            <w:hideMark/>
          </w:tcPr>
          <w:p w:rsidRPr="007F50C8" w:rsidR="00B2628C" w:rsidP="007F50C8" w:rsidRDefault="00B2628C" w14:paraId="1BBD0062" w14:textId="77777777">
            <w:pPr>
              <w:rPr>
                <w:rFonts w:ascii="Calibri" w:hAnsi="Calibri" w:eastAsia="Calibri"/>
                <w:b/>
                <w:bCs/>
                <w:sz w:val="18"/>
                <w:szCs w:val="22"/>
              </w:rPr>
            </w:pPr>
            <w:r w:rsidRPr="007F50C8">
              <w:rPr>
                <w:rFonts w:ascii="Calibri" w:hAnsi="Calibri" w:eastAsia="Calibri"/>
                <w:b/>
                <w:bCs/>
                <w:sz w:val="18"/>
                <w:szCs w:val="22"/>
              </w:rPr>
              <w:t>2</w:t>
            </w:r>
          </w:p>
        </w:tc>
        <w:tc>
          <w:tcPr>
            <w:tcW w:w="1170" w:type="dxa"/>
            <w:shd w:val="clear" w:color="auto" w:fill="auto"/>
            <w:hideMark/>
          </w:tcPr>
          <w:p w:rsidRPr="007F50C8" w:rsidR="00B2628C" w:rsidP="007F50C8" w:rsidRDefault="00B2628C" w14:paraId="3CC45FC8" w14:textId="77777777">
            <w:pPr>
              <w:rPr>
                <w:rFonts w:ascii="Calibri" w:hAnsi="Calibri" w:eastAsia="Calibri"/>
                <w:b/>
                <w:bCs/>
                <w:sz w:val="18"/>
                <w:szCs w:val="22"/>
              </w:rPr>
            </w:pPr>
            <w:r w:rsidRPr="007F50C8">
              <w:rPr>
                <w:rFonts w:ascii="Calibri" w:hAnsi="Calibri" w:eastAsia="Calibri"/>
                <w:b/>
                <w:bCs/>
                <w:sz w:val="18"/>
                <w:szCs w:val="22"/>
              </w:rPr>
              <w:t>0.25</w:t>
            </w:r>
          </w:p>
        </w:tc>
        <w:tc>
          <w:tcPr>
            <w:tcW w:w="810" w:type="dxa"/>
            <w:shd w:val="clear" w:color="auto" w:fill="auto"/>
            <w:hideMark/>
          </w:tcPr>
          <w:p w:rsidRPr="007F50C8" w:rsidR="00B2628C" w:rsidP="007F50C8" w:rsidRDefault="00B2628C" w14:paraId="549B4DA0" w14:textId="77777777">
            <w:pPr>
              <w:rPr>
                <w:rFonts w:ascii="Calibri" w:hAnsi="Calibri" w:eastAsia="Calibri"/>
                <w:b/>
                <w:bCs/>
                <w:sz w:val="18"/>
                <w:szCs w:val="22"/>
              </w:rPr>
            </w:pPr>
            <w:r w:rsidRPr="007F50C8">
              <w:rPr>
                <w:rFonts w:ascii="Calibri" w:hAnsi="Calibri" w:eastAsia="Calibri"/>
                <w:b/>
                <w:bCs/>
                <w:sz w:val="18"/>
                <w:szCs w:val="22"/>
              </w:rPr>
              <w:t>$23.60</w:t>
            </w:r>
          </w:p>
        </w:tc>
        <w:tc>
          <w:tcPr>
            <w:tcW w:w="1350" w:type="dxa"/>
            <w:shd w:val="clear" w:color="auto" w:fill="auto"/>
            <w:hideMark/>
          </w:tcPr>
          <w:p w:rsidRPr="007F50C8" w:rsidR="00B2628C" w:rsidP="007F50C8" w:rsidRDefault="00B2628C" w14:paraId="64FDE863" w14:textId="77777777">
            <w:pPr>
              <w:rPr>
                <w:rFonts w:ascii="Calibri" w:hAnsi="Calibri" w:eastAsia="Calibri"/>
                <w:b/>
                <w:bCs/>
                <w:sz w:val="18"/>
                <w:szCs w:val="22"/>
              </w:rPr>
            </w:pPr>
            <w:r w:rsidRPr="007F50C8">
              <w:rPr>
                <w:rFonts w:ascii="Calibri" w:hAnsi="Calibri" w:eastAsia="Calibri"/>
                <w:b/>
                <w:bCs/>
                <w:sz w:val="18"/>
                <w:szCs w:val="22"/>
              </w:rPr>
              <w:t>$47.20</w:t>
            </w:r>
          </w:p>
        </w:tc>
      </w:tr>
    </w:tbl>
    <w:p w:rsidR="00B2628C" w:rsidP="00B2628C" w:rsidRDefault="00B2628C" w14:paraId="696139CA" w14:textId="77777777"/>
    <w:p w:rsidRPr="000D69C8" w:rsidR="00B2628C" w:rsidP="00B2628C" w:rsidRDefault="00B2628C" w14:paraId="51F2DEB6" w14:textId="77777777"/>
    <w:p w:rsidR="00B2628C" w:rsidP="00AC550B" w:rsidRDefault="00B2628C" w14:paraId="6D56CE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AC550B" w:rsidRDefault="00AC550B" w14:paraId="36342B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65A20" w:rsidR="008F1EB4" w:rsidRDefault="008F1EB4" w14:paraId="0A6EC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4023E8">
        <w:rPr>
          <w:sz w:val="24"/>
          <w:u w:val="single"/>
        </w:rPr>
        <w:t>Capital Costs</w:t>
      </w:r>
    </w:p>
    <w:p w:rsidRPr="00C65A20" w:rsidR="008F1EB4" w:rsidRDefault="008F1EB4" w14:paraId="568F27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4023E8" w:rsidP="005D62A2" w:rsidRDefault="00F15E13" w14:paraId="4CF54A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Although there are no capital costs associated with this collection</w:t>
      </w:r>
      <w:r w:rsidRPr="00C23572" w:rsidR="00AD779C">
        <w:rPr>
          <w:sz w:val="24"/>
        </w:rPr>
        <w:t xml:space="preserve">, </w:t>
      </w:r>
      <w:r w:rsidR="00520BDB">
        <w:rPr>
          <w:sz w:val="24"/>
        </w:rPr>
        <w:t>these</w:t>
      </w:r>
      <w:r w:rsidRPr="00C23572" w:rsidR="00520BDB">
        <w:rPr>
          <w:sz w:val="24"/>
        </w:rPr>
        <w:t xml:space="preserve"> </w:t>
      </w:r>
      <w:r w:rsidRPr="00C23572" w:rsidR="004023E8">
        <w:rPr>
          <w:sz w:val="24"/>
        </w:rPr>
        <w:t>public-facing web form</w:t>
      </w:r>
      <w:r w:rsidR="00520BDB">
        <w:rPr>
          <w:sz w:val="24"/>
        </w:rPr>
        <w:t>s</w:t>
      </w:r>
      <w:r w:rsidRPr="00C23572" w:rsidR="004023E8">
        <w:rPr>
          <w:sz w:val="24"/>
        </w:rPr>
        <w:t xml:space="preserve"> </w:t>
      </w:r>
      <w:r w:rsidR="00520BDB">
        <w:rPr>
          <w:sz w:val="24"/>
        </w:rPr>
        <w:t>provide</w:t>
      </w:r>
      <w:r w:rsidRPr="00C23572" w:rsidR="00520BDB">
        <w:rPr>
          <w:sz w:val="24"/>
        </w:rPr>
        <w:t xml:space="preserve"> </w:t>
      </w:r>
      <w:r w:rsidRPr="00C23572" w:rsidR="004023E8">
        <w:rPr>
          <w:sz w:val="24"/>
        </w:rPr>
        <w:t xml:space="preserve">an automated mechanism for submitting waiver </w:t>
      </w:r>
      <w:r w:rsidRPr="0047031F" w:rsidR="004023E8">
        <w:rPr>
          <w:sz w:val="24"/>
        </w:rPr>
        <w:t>requests</w:t>
      </w:r>
      <w:r w:rsidRPr="0047031F" w:rsidR="00684C43">
        <w:rPr>
          <w:sz w:val="24"/>
        </w:rPr>
        <w:t>, inquiries</w:t>
      </w:r>
      <w:r w:rsidR="00520BDB">
        <w:rPr>
          <w:sz w:val="24"/>
        </w:rPr>
        <w:t xml:space="preserve"> and operational status</w:t>
      </w:r>
      <w:r w:rsidRPr="00C23572" w:rsidR="004023E8">
        <w:rPr>
          <w:sz w:val="24"/>
        </w:rPr>
        <w:t xml:space="preserve">. </w:t>
      </w:r>
    </w:p>
    <w:p w:rsidRPr="00C65A20" w:rsidR="008F1EB4" w:rsidRDefault="008F1EB4" w14:paraId="793A77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65A20" w:rsidR="008F1EB4" w:rsidRDefault="008F1EB4" w14:paraId="530C9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65A20">
        <w:rPr>
          <w:sz w:val="24"/>
        </w:rPr>
        <w:t>14.</w:t>
      </w:r>
      <w:r w:rsidRPr="00C65A20">
        <w:rPr>
          <w:sz w:val="24"/>
        </w:rPr>
        <w:tab/>
      </w:r>
      <w:r w:rsidRPr="00C65A20">
        <w:rPr>
          <w:sz w:val="24"/>
          <w:u w:val="single"/>
        </w:rPr>
        <w:t>Cost to Federal Government</w:t>
      </w:r>
    </w:p>
    <w:p w:rsidRPr="00C65A20" w:rsidR="008F1EB4" w:rsidRDefault="008F1EB4" w14:paraId="24D742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B07467" w:rsidP="00B07467" w:rsidRDefault="00B07467" w14:paraId="71303F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0617081" w:id="5"/>
      <w:r w:rsidRPr="00C23572">
        <w:rPr>
          <w:sz w:val="24"/>
        </w:rPr>
        <w:t>Development of the public facing web form requires a contract with an application development organization and the purchase of user licenses for CMS users. The total estimated annualized cost is $1,616,528.08.</w:t>
      </w:r>
    </w:p>
    <w:p w:rsidR="00B07467" w:rsidP="00B07467" w:rsidRDefault="00B07467" w14:paraId="62F13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5880" w:type="dxa"/>
        <w:tblInd w:w="113" w:type="dxa"/>
        <w:tblLook w:val="04A0" w:firstRow="1" w:lastRow="0" w:firstColumn="1" w:lastColumn="0" w:noHBand="0" w:noVBand="1"/>
      </w:tblPr>
      <w:tblGrid>
        <w:gridCol w:w="2260"/>
        <w:gridCol w:w="2260"/>
        <w:gridCol w:w="1360"/>
      </w:tblGrid>
      <w:tr w:rsidRPr="00B07467" w:rsidR="00B07467" w:rsidTr="00B07467" w14:paraId="1B8534C5" w14:textId="77777777">
        <w:trPr>
          <w:trHeight w:val="300"/>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14:paraId="5A86D915" w14:textId="77777777">
            <w:pPr>
              <w:widowControl/>
              <w:autoSpaceDE/>
              <w:autoSpaceDN/>
              <w:adjustRightInd/>
              <w:rPr>
                <w:color w:val="000000"/>
                <w:sz w:val="24"/>
              </w:rPr>
            </w:pPr>
            <w:r w:rsidRPr="00C23572">
              <w:rPr>
                <w:color w:val="000000"/>
                <w:sz w:val="24"/>
              </w:rPr>
              <w:t> </w:t>
            </w:r>
          </w:p>
        </w:tc>
        <w:tc>
          <w:tcPr>
            <w:tcW w:w="2260" w:type="dxa"/>
            <w:tcBorders>
              <w:top w:val="single" w:color="auto" w:sz="4" w:space="0"/>
              <w:left w:val="nil"/>
              <w:bottom w:val="single" w:color="auto" w:sz="4" w:space="0"/>
              <w:right w:val="single" w:color="auto" w:sz="4" w:space="0"/>
            </w:tcBorders>
            <w:shd w:val="clear" w:color="auto" w:fill="auto"/>
            <w:noWrap/>
            <w:vAlign w:val="bottom"/>
            <w:hideMark/>
          </w:tcPr>
          <w:p w:rsidRPr="00C23572" w:rsidR="00B07467" w:rsidP="00B07467" w:rsidRDefault="00B07467" w14:paraId="0242D4B2" w14:textId="77777777">
            <w:pPr>
              <w:widowControl/>
              <w:autoSpaceDE/>
              <w:autoSpaceDN/>
              <w:adjustRightInd/>
              <w:rPr>
                <w:b/>
                <w:bCs/>
                <w:color w:val="000000"/>
                <w:sz w:val="24"/>
              </w:rPr>
            </w:pPr>
            <w:r w:rsidRPr="00C23572">
              <w:rPr>
                <w:b/>
                <w:bCs/>
                <w:color w:val="000000"/>
                <w:sz w:val="24"/>
              </w:rPr>
              <w:t>Development Contract</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C23572" w:rsidR="00B07467" w:rsidP="00B07467" w:rsidRDefault="00B07467" w14:paraId="58E670E0" w14:textId="77777777">
            <w:pPr>
              <w:widowControl/>
              <w:autoSpaceDE/>
              <w:autoSpaceDN/>
              <w:adjustRightInd/>
              <w:rPr>
                <w:b/>
                <w:bCs/>
                <w:color w:val="000000"/>
                <w:sz w:val="24"/>
              </w:rPr>
            </w:pPr>
            <w:r w:rsidRPr="00C23572">
              <w:rPr>
                <w:b/>
                <w:bCs/>
                <w:color w:val="000000"/>
                <w:sz w:val="24"/>
              </w:rPr>
              <w:t>User Licenses</w:t>
            </w:r>
          </w:p>
        </w:tc>
      </w:tr>
      <w:tr w:rsidRPr="00B07467" w:rsidR="00B07467" w:rsidTr="00B07467" w14:paraId="1915B6AE"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14:paraId="6046298E" w14:textId="77777777">
            <w:pPr>
              <w:widowControl/>
              <w:autoSpaceDE/>
              <w:autoSpaceDN/>
              <w:adjustRightInd/>
              <w:rPr>
                <w:b/>
                <w:bCs/>
                <w:color w:val="000000"/>
                <w:sz w:val="24"/>
              </w:rPr>
            </w:pPr>
            <w:r w:rsidRPr="00C23572">
              <w:rPr>
                <w:b/>
                <w:bCs/>
                <w:color w:val="000000"/>
                <w:sz w:val="24"/>
              </w:rPr>
              <w:t>Annual Cost</w:t>
            </w:r>
          </w:p>
        </w:tc>
        <w:tc>
          <w:tcPr>
            <w:tcW w:w="22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14:paraId="7EB50B11" w14:textId="77777777">
            <w:pPr>
              <w:widowControl/>
              <w:autoSpaceDE/>
              <w:autoSpaceDN/>
              <w:adjustRightInd/>
              <w:rPr>
                <w:color w:val="000000"/>
                <w:sz w:val="24"/>
              </w:rPr>
            </w:pPr>
            <w:r w:rsidRPr="00C23572">
              <w:rPr>
                <w:color w:val="000000"/>
                <w:sz w:val="24"/>
              </w:rPr>
              <w:t xml:space="preserve">$1,588,111.00 </w:t>
            </w:r>
          </w:p>
        </w:tc>
        <w:tc>
          <w:tcPr>
            <w:tcW w:w="13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14:paraId="02768D41" w14:textId="77777777">
            <w:pPr>
              <w:widowControl/>
              <w:autoSpaceDE/>
              <w:autoSpaceDN/>
              <w:adjustRightInd/>
              <w:rPr>
                <w:color w:val="000000"/>
                <w:sz w:val="24"/>
              </w:rPr>
            </w:pPr>
            <w:r w:rsidRPr="00C23572">
              <w:rPr>
                <w:color w:val="000000"/>
                <w:sz w:val="24"/>
              </w:rPr>
              <w:t xml:space="preserve">$28,417.08 </w:t>
            </w:r>
          </w:p>
        </w:tc>
      </w:tr>
      <w:tr w:rsidRPr="00B07467" w:rsidR="00B07467" w:rsidTr="00B07467" w14:paraId="60D1BEE6"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14:paraId="710DF04D" w14:textId="77777777">
            <w:pPr>
              <w:widowControl/>
              <w:autoSpaceDE/>
              <w:autoSpaceDN/>
              <w:adjustRightInd/>
              <w:rPr>
                <w:color w:val="000000"/>
                <w:sz w:val="24"/>
              </w:rPr>
            </w:pPr>
            <w:r w:rsidRPr="00C23572">
              <w:rPr>
                <w:color w:val="000000"/>
                <w:sz w:val="24"/>
              </w:rPr>
              <w:t> </w:t>
            </w:r>
          </w:p>
        </w:tc>
        <w:tc>
          <w:tcPr>
            <w:tcW w:w="22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14:paraId="3EC8A891" w14:textId="77777777">
            <w:pPr>
              <w:widowControl/>
              <w:autoSpaceDE/>
              <w:autoSpaceDN/>
              <w:adjustRightInd/>
              <w:rPr>
                <w:color w:val="000000"/>
                <w:sz w:val="24"/>
              </w:rPr>
            </w:pPr>
            <w:r w:rsidRPr="00C23572">
              <w:rPr>
                <w:color w:val="000000"/>
                <w:sz w:val="24"/>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14:paraId="32F7A06A" w14:textId="77777777">
            <w:pPr>
              <w:widowControl/>
              <w:autoSpaceDE/>
              <w:autoSpaceDN/>
              <w:adjustRightInd/>
              <w:rPr>
                <w:color w:val="000000"/>
                <w:sz w:val="24"/>
              </w:rPr>
            </w:pPr>
            <w:r w:rsidRPr="00C23572">
              <w:rPr>
                <w:color w:val="000000"/>
                <w:sz w:val="24"/>
              </w:rPr>
              <w:t> </w:t>
            </w:r>
          </w:p>
        </w:tc>
      </w:tr>
      <w:tr w:rsidRPr="00B07467" w:rsidR="00B07467" w:rsidTr="00B07467" w14:paraId="7E066257" w14:textId="7777777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14:paraId="699566D4" w14:textId="77777777">
            <w:pPr>
              <w:widowControl/>
              <w:autoSpaceDE/>
              <w:autoSpaceDN/>
              <w:adjustRightInd/>
              <w:rPr>
                <w:b/>
                <w:bCs/>
                <w:color w:val="000000"/>
                <w:sz w:val="24"/>
              </w:rPr>
            </w:pPr>
            <w:r w:rsidRPr="00C23572">
              <w:rPr>
                <w:b/>
                <w:bCs/>
                <w:color w:val="000000"/>
                <w:sz w:val="24"/>
              </w:rPr>
              <w:t>Total Annual Cost</w:t>
            </w:r>
          </w:p>
        </w:tc>
        <w:tc>
          <w:tcPr>
            <w:tcW w:w="22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14:paraId="2396B4B9" w14:textId="77777777">
            <w:pPr>
              <w:widowControl/>
              <w:autoSpaceDE/>
              <w:autoSpaceDN/>
              <w:adjustRightInd/>
              <w:rPr>
                <w:color w:val="000000"/>
                <w:sz w:val="24"/>
              </w:rPr>
            </w:pPr>
            <w:r w:rsidRPr="00C23572">
              <w:rPr>
                <w:color w:val="000000"/>
                <w:sz w:val="24"/>
              </w:rPr>
              <w:t xml:space="preserve">$1,616,528.08 </w:t>
            </w:r>
          </w:p>
        </w:tc>
        <w:tc>
          <w:tcPr>
            <w:tcW w:w="13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14:paraId="679FF1A6" w14:textId="77777777">
            <w:pPr>
              <w:widowControl/>
              <w:autoSpaceDE/>
              <w:autoSpaceDN/>
              <w:adjustRightInd/>
              <w:rPr>
                <w:color w:val="000000"/>
                <w:sz w:val="24"/>
              </w:rPr>
            </w:pPr>
            <w:r w:rsidRPr="00C23572">
              <w:rPr>
                <w:color w:val="000000"/>
                <w:sz w:val="24"/>
              </w:rPr>
              <w:t> </w:t>
            </w:r>
          </w:p>
        </w:tc>
      </w:tr>
    </w:tbl>
    <w:p w:rsidR="00690E3A" w:rsidRDefault="00690E3A" w14:paraId="55F799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C23572" w:rsidR="00690E3A" w:rsidP="00690E3A" w:rsidRDefault="00690E3A" w14:paraId="16BBE050" w14:textId="77777777">
      <w:pPr>
        <w:pStyle w:val="CommentText"/>
        <w:rPr>
          <w:sz w:val="24"/>
          <w:szCs w:val="24"/>
        </w:rPr>
      </w:pPr>
      <w:r w:rsidRPr="00C23572">
        <w:rPr>
          <w:sz w:val="24"/>
          <w:szCs w:val="24"/>
        </w:rPr>
        <w:t xml:space="preserve">The CMS </w:t>
      </w:r>
      <w:r w:rsidRPr="00AC550B" w:rsidR="00906752">
        <w:rPr>
          <w:sz w:val="24"/>
          <w:szCs w:val="24"/>
        </w:rPr>
        <w:t xml:space="preserve">Locations (formerly known as </w:t>
      </w:r>
      <w:r w:rsidRPr="00AC550B">
        <w:rPr>
          <w:sz w:val="24"/>
          <w:szCs w:val="24"/>
        </w:rPr>
        <w:t>Regional Offices</w:t>
      </w:r>
      <w:r w:rsidRPr="00AC550B" w:rsidR="00906752">
        <w:rPr>
          <w:sz w:val="24"/>
          <w:szCs w:val="24"/>
        </w:rPr>
        <w:t>)</w:t>
      </w:r>
      <w:r w:rsidRPr="00C23572">
        <w:rPr>
          <w:sz w:val="24"/>
          <w:szCs w:val="24"/>
        </w:rPr>
        <w:t xml:space="preserve"> are responsible for </w:t>
      </w:r>
      <w:r w:rsidRPr="00AC550B" w:rsidR="00906752">
        <w:rPr>
          <w:sz w:val="24"/>
          <w:szCs w:val="24"/>
        </w:rPr>
        <w:t>responding to</w:t>
      </w:r>
      <w:r w:rsidRPr="00C23572">
        <w:rPr>
          <w:sz w:val="24"/>
          <w:szCs w:val="24"/>
        </w:rPr>
        <w:t xml:space="preserve"> 1135 </w:t>
      </w:r>
      <w:r w:rsidR="002E2AB6">
        <w:rPr>
          <w:sz w:val="24"/>
          <w:szCs w:val="24"/>
        </w:rPr>
        <w:t>w</w:t>
      </w:r>
      <w:r w:rsidRPr="00C23572">
        <w:rPr>
          <w:sz w:val="24"/>
          <w:szCs w:val="24"/>
        </w:rPr>
        <w:t xml:space="preserve">aiver </w:t>
      </w:r>
      <w:r w:rsidR="002E2AB6">
        <w:rPr>
          <w:sz w:val="24"/>
          <w:szCs w:val="24"/>
        </w:rPr>
        <w:t>r</w:t>
      </w:r>
      <w:r w:rsidRPr="00C23572">
        <w:rPr>
          <w:sz w:val="24"/>
          <w:szCs w:val="24"/>
        </w:rPr>
        <w:t>equest</w:t>
      </w:r>
      <w:r w:rsidR="002E2AB6">
        <w:rPr>
          <w:sz w:val="24"/>
          <w:szCs w:val="24"/>
        </w:rPr>
        <w:t>s</w:t>
      </w:r>
      <w:r w:rsidR="00906752">
        <w:rPr>
          <w:sz w:val="24"/>
          <w:szCs w:val="24"/>
        </w:rPr>
        <w:t xml:space="preserve"> </w:t>
      </w:r>
      <w:r w:rsidRPr="00AC550B" w:rsidR="00906752">
        <w:rPr>
          <w:sz w:val="24"/>
          <w:szCs w:val="24"/>
        </w:rPr>
        <w:t>and inquiries</w:t>
      </w:r>
      <w:r w:rsidRPr="00C23572">
        <w:rPr>
          <w:sz w:val="24"/>
          <w:szCs w:val="24"/>
        </w:rPr>
        <w:t xml:space="preserve">. We estimate that it would take 30 minutes of time by a Regional Office (RO) reviewer to review and determine if the </w:t>
      </w:r>
      <w:r w:rsidRPr="00AC550B" w:rsidR="00B40A14">
        <w:rPr>
          <w:sz w:val="24"/>
          <w:szCs w:val="24"/>
        </w:rPr>
        <w:t>1135 waiver request and/or inquiry</w:t>
      </w:r>
      <w:r w:rsidRPr="00C23572" w:rsidR="00B40A14">
        <w:rPr>
          <w:sz w:val="24"/>
          <w:szCs w:val="24"/>
        </w:rPr>
        <w:t xml:space="preserve"> </w:t>
      </w:r>
      <w:r w:rsidRPr="00C23572">
        <w:rPr>
          <w:sz w:val="24"/>
          <w:szCs w:val="24"/>
        </w:rPr>
        <w:t xml:space="preserve">has sufficient information to make a determination. </w:t>
      </w:r>
    </w:p>
    <w:p w:rsidRPr="00C23572" w:rsidR="00690E3A" w:rsidP="00690E3A" w:rsidRDefault="00690E3A" w14:paraId="409920CC" w14:textId="77777777">
      <w:pPr>
        <w:pStyle w:val="CommentText"/>
        <w:rPr>
          <w:sz w:val="24"/>
          <w:szCs w:val="24"/>
        </w:rPr>
      </w:pPr>
    </w:p>
    <w:p w:rsidRPr="00C23572" w:rsidR="00690E3A" w:rsidP="00690E3A" w:rsidRDefault="00690E3A" w14:paraId="4D8C13BE" w14:textId="77777777">
      <w:pPr>
        <w:pStyle w:val="CommentText"/>
        <w:rPr>
          <w:sz w:val="24"/>
          <w:szCs w:val="24"/>
        </w:rPr>
      </w:pPr>
      <w:r w:rsidRPr="00C23572">
        <w:rPr>
          <w:sz w:val="24"/>
          <w:szCs w:val="24"/>
        </w:rPr>
        <w:t>We estimate that the cost associated with review</w:t>
      </w:r>
      <w:r w:rsidR="002E2AB6">
        <w:rPr>
          <w:sz w:val="24"/>
          <w:szCs w:val="24"/>
        </w:rPr>
        <w:t>ing</w:t>
      </w:r>
      <w:r w:rsidRPr="00C23572">
        <w:rPr>
          <w:sz w:val="24"/>
          <w:szCs w:val="24"/>
        </w:rPr>
        <w:t xml:space="preserve"> each </w:t>
      </w:r>
      <w:r w:rsidR="002E2AB6">
        <w:rPr>
          <w:sz w:val="24"/>
          <w:szCs w:val="24"/>
        </w:rPr>
        <w:t>web</w:t>
      </w:r>
      <w:r w:rsidRPr="00C23572">
        <w:rPr>
          <w:sz w:val="24"/>
          <w:szCs w:val="24"/>
        </w:rPr>
        <w:t xml:space="preserve"> form by the CMS </w:t>
      </w:r>
      <w:r w:rsidRPr="00AC550B" w:rsidR="00B40A14">
        <w:rPr>
          <w:sz w:val="24"/>
          <w:szCs w:val="24"/>
        </w:rPr>
        <w:t>Location</w:t>
      </w:r>
      <w:r w:rsidRPr="00C23572">
        <w:rPr>
          <w:sz w:val="24"/>
          <w:szCs w:val="24"/>
        </w:rPr>
        <w:t xml:space="preserve"> would be $25.67. We note, these are not </w:t>
      </w:r>
      <w:r w:rsidRPr="00C23572" w:rsidR="00AD779C">
        <w:rPr>
          <w:sz w:val="24"/>
          <w:szCs w:val="24"/>
        </w:rPr>
        <w:t>reoccurring</w:t>
      </w:r>
      <w:r w:rsidRPr="00C23572">
        <w:rPr>
          <w:sz w:val="24"/>
          <w:szCs w:val="24"/>
        </w:rPr>
        <w:t xml:space="preserve"> submissions and are only </w:t>
      </w:r>
      <w:r w:rsidRPr="00C23572" w:rsidR="00AD779C">
        <w:rPr>
          <w:sz w:val="24"/>
          <w:szCs w:val="24"/>
        </w:rPr>
        <w:t xml:space="preserve">submitted </w:t>
      </w:r>
      <w:r w:rsidRPr="00C23572">
        <w:rPr>
          <w:sz w:val="24"/>
          <w:szCs w:val="24"/>
        </w:rPr>
        <w:t xml:space="preserve">during emergency events. </w:t>
      </w:r>
    </w:p>
    <w:p w:rsidRPr="00C23572" w:rsidR="00690E3A" w:rsidP="00690E3A" w:rsidRDefault="00690E3A" w14:paraId="11DE2D81" w14:textId="77777777">
      <w:pPr>
        <w:pStyle w:val="CommentText"/>
        <w:rPr>
          <w:sz w:val="24"/>
          <w:szCs w:val="24"/>
        </w:rPr>
      </w:pPr>
    </w:p>
    <w:p w:rsidRPr="00C23572" w:rsidR="00690E3A" w:rsidP="00690E3A" w:rsidRDefault="00690E3A" w14:paraId="13845A4C" w14:textId="77777777">
      <w:pPr>
        <w:pStyle w:val="CommentText"/>
        <w:rPr>
          <w:sz w:val="24"/>
          <w:szCs w:val="24"/>
        </w:rPr>
      </w:pPr>
      <w:r w:rsidRPr="00C23572">
        <w:rPr>
          <w:sz w:val="24"/>
          <w:szCs w:val="24"/>
        </w:rPr>
        <w:t xml:space="preserve">These costs were calculated using the annual salary of a GS-13, step 5 reviewer in the Pennsylvania </w:t>
      </w:r>
      <w:r w:rsidRPr="00AC550B" w:rsidR="00B40A14">
        <w:rPr>
          <w:sz w:val="24"/>
          <w:szCs w:val="24"/>
        </w:rPr>
        <w:t>CMS Location</w:t>
      </w:r>
      <w:r w:rsidRPr="00C23572">
        <w:rPr>
          <w:sz w:val="24"/>
          <w:szCs w:val="24"/>
        </w:rPr>
        <w:t xml:space="preserve">, which is $108,899, and which equates to an average hourly salary of $52.18.  </w:t>
      </w:r>
      <w:r w:rsidR="008619EF">
        <w:rPr>
          <w:sz w:val="24"/>
          <w:szCs w:val="24"/>
        </w:rPr>
        <w:t xml:space="preserve">It takes the </w:t>
      </w:r>
      <w:r w:rsidRPr="00AC550B" w:rsidR="00B40A14">
        <w:rPr>
          <w:sz w:val="24"/>
          <w:szCs w:val="24"/>
        </w:rPr>
        <w:t>CMS Location</w:t>
      </w:r>
      <w:r w:rsidR="00B40A14">
        <w:rPr>
          <w:sz w:val="24"/>
          <w:szCs w:val="24"/>
        </w:rPr>
        <w:t xml:space="preserve"> </w:t>
      </w:r>
      <w:r w:rsidRPr="00C23572">
        <w:rPr>
          <w:sz w:val="24"/>
          <w:szCs w:val="24"/>
        </w:rPr>
        <w:t>30 min</w:t>
      </w:r>
      <w:r w:rsidR="008619EF">
        <w:rPr>
          <w:sz w:val="24"/>
          <w:szCs w:val="24"/>
        </w:rPr>
        <w:t xml:space="preserve"> to review at a rate of $26.09 (.5</w:t>
      </w:r>
      <w:r w:rsidRPr="00C23572">
        <w:rPr>
          <w:sz w:val="24"/>
          <w:szCs w:val="24"/>
        </w:rPr>
        <w:t xml:space="preserve"> x $52.18 per hour</w:t>
      </w:r>
      <w:r w:rsidR="00B44FD9">
        <w:rPr>
          <w:sz w:val="24"/>
          <w:szCs w:val="24"/>
        </w:rPr>
        <w:t>).</w:t>
      </w:r>
      <w:r w:rsidRPr="00C23572">
        <w:rPr>
          <w:sz w:val="24"/>
          <w:szCs w:val="24"/>
        </w:rPr>
        <w:t xml:space="preserve"> </w:t>
      </w:r>
      <w:r w:rsidR="00B922E3">
        <w:rPr>
          <w:sz w:val="24"/>
          <w:szCs w:val="24"/>
        </w:rPr>
        <w:t xml:space="preserve">The total cost is </w:t>
      </w:r>
      <w:r w:rsidR="00A70767">
        <w:rPr>
          <w:sz w:val="24"/>
          <w:szCs w:val="24"/>
        </w:rPr>
        <w:t>$</w:t>
      </w:r>
      <w:r w:rsidR="00B44FD9">
        <w:rPr>
          <w:sz w:val="24"/>
          <w:szCs w:val="24"/>
        </w:rPr>
        <w:t>81,897</w:t>
      </w:r>
      <w:r w:rsidR="00B922E3">
        <w:rPr>
          <w:sz w:val="24"/>
          <w:szCs w:val="24"/>
        </w:rPr>
        <w:t xml:space="preserve"> (</w:t>
      </w:r>
      <w:r w:rsidR="008619EF">
        <w:rPr>
          <w:sz w:val="24"/>
          <w:szCs w:val="24"/>
        </w:rPr>
        <w:t>$26.09</w:t>
      </w:r>
      <w:r w:rsidR="00B922E3">
        <w:rPr>
          <w:sz w:val="24"/>
          <w:szCs w:val="24"/>
        </w:rPr>
        <w:t xml:space="preserve"> </w:t>
      </w:r>
      <w:r w:rsidR="006225A7">
        <w:rPr>
          <w:sz w:val="24"/>
          <w:szCs w:val="24"/>
        </w:rPr>
        <w:t>x</w:t>
      </w:r>
      <w:r w:rsidR="00B922E3">
        <w:rPr>
          <w:sz w:val="24"/>
          <w:szCs w:val="24"/>
        </w:rPr>
        <w:t xml:space="preserve"> </w:t>
      </w:r>
      <w:r w:rsidR="00B44FD9">
        <w:rPr>
          <w:sz w:val="24"/>
          <w:szCs w:val="24"/>
        </w:rPr>
        <w:t>3,139</w:t>
      </w:r>
      <w:r w:rsidR="00B922E3">
        <w:rPr>
          <w:sz w:val="24"/>
          <w:szCs w:val="24"/>
        </w:rPr>
        <w:t xml:space="preserve"> forms)</w:t>
      </w:r>
      <w:r w:rsidR="00975E39">
        <w:rPr>
          <w:sz w:val="24"/>
          <w:szCs w:val="24"/>
        </w:rPr>
        <w:t>.</w:t>
      </w:r>
    </w:p>
    <w:p w:rsidRPr="00C23572" w:rsidR="00690E3A" w:rsidP="00690E3A" w:rsidRDefault="00690E3A" w14:paraId="5788E46F" w14:textId="77777777">
      <w:pPr>
        <w:pStyle w:val="CommentText"/>
        <w:rPr>
          <w:sz w:val="24"/>
          <w:szCs w:val="24"/>
        </w:rPr>
      </w:pPr>
    </w:p>
    <w:bookmarkEnd w:id="5"/>
    <w:p w:rsidR="008F1EB4" w:rsidRDefault="008F1EB4" w14:paraId="39B0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bookmarkStart w:name="_Hlk50617392" w:id="6"/>
      <w:r>
        <w:rPr>
          <w:sz w:val="24"/>
          <w:u w:val="single"/>
        </w:rPr>
        <w:t>Changes to Burden</w:t>
      </w:r>
    </w:p>
    <w:p w:rsidR="008F1EB4" w:rsidRDefault="008F1EB4" w14:paraId="3C7EA7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6"/>
    <w:p w:rsidR="00384AE0" w:rsidP="00F23793" w:rsidRDefault="00384AE0" w14:paraId="61E2B3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20A50">
        <w:rPr>
          <w:sz w:val="24"/>
        </w:rPr>
        <w:t>Subsequent to the Emergency information collection request, we are revising the package to include a second form, Healthcare Facility Status Workflow, which is for operational status information which will be used to assist providers in delivering critical care to beneficiaries during emergencies. The burden hours increased by 591 hours due to this additional form.</w:t>
      </w:r>
      <w:r w:rsidR="00F23793">
        <w:rPr>
          <w:sz w:val="24"/>
        </w:rPr>
        <w:t xml:space="preserve"> </w:t>
      </w:r>
      <w:r w:rsidRPr="00920A50">
        <w:rPr>
          <w:sz w:val="24"/>
        </w:rPr>
        <w:t xml:space="preserve">We are also correcting a grammatical error from the previous submission.  The total burden hours should have been 3,139 instead of 3,000.  </w:t>
      </w:r>
    </w:p>
    <w:p w:rsidR="00F23793" w:rsidP="00F23793" w:rsidRDefault="00F23793" w14:paraId="50FB65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3793" w:rsidP="00F23793" w:rsidRDefault="00F23793" w14:paraId="576BAB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addition to the changes mentioned earlier in this section, we are also adding burden to account for a violation of the Paperwork Reduction Act.   </w:t>
      </w:r>
    </w:p>
    <w:p w:rsidR="00F23793" w:rsidP="00F23793" w:rsidRDefault="00F23793" w14:paraId="589483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3793" w:rsidP="00F23793" w:rsidRDefault="00F23793" w14:paraId="54900324" w14:textId="77777777">
      <w:pPr>
        <w:rPr>
          <w:sz w:val="24"/>
        </w:rPr>
      </w:pPr>
      <w:r w:rsidRPr="00066E54">
        <w:rPr>
          <w:sz w:val="24"/>
        </w:rPr>
        <w:t>Approved hospitals are required to report a small number of measures to CMS to ensure beneficiary safety. Expedited approvals report monthly and detailed waiver approvals report weekly. Prior to January 1 2021, reporting was completed by sending a secure spreadsheet directly to the team email address.  There were three weeks of reporting with a total of 13 patients admitted prior to the online submission portal going live. These were reported by 5 different hospitals, three of which submitted one spreadsheet and two of which submitted two over the course of the three weeks.</w:t>
      </w:r>
    </w:p>
    <w:p w:rsidRPr="00066E54" w:rsidR="00CE709B" w:rsidP="00F23793" w:rsidRDefault="00CE709B" w14:paraId="33D56F78" w14:textId="77777777">
      <w:pPr>
        <w:rPr>
          <w:sz w:val="24"/>
        </w:rPr>
      </w:pPr>
    </w:p>
    <w:p w:rsidR="00F23793" w:rsidP="00F23793" w:rsidRDefault="00F23793" w14:paraId="1E221DF2" w14:textId="77777777">
      <w:pPr>
        <w:rPr>
          <w:sz w:val="24"/>
        </w:rPr>
      </w:pPr>
      <w:r w:rsidRPr="00066E54">
        <w:rPr>
          <w:sz w:val="24"/>
        </w:rPr>
        <w:t>Starting with submissions in January, all reporting measures have been via the online portal.  There have been 23 expedited waiver monthly submissions and 265 detailed waiver weekly submissions.</w:t>
      </w:r>
    </w:p>
    <w:p w:rsidRPr="00B2628C" w:rsidR="00F23793" w:rsidP="00F23793" w:rsidRDefault="00F23793" w14:paraId="1DE38E1B" w14:textId="77777777">
      <w:pPr>
        <w:rPr>
          <w:sz w:val="24"/>
        </w:rPr>
      </w:pP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550"/>
        <w:gridCol w:w="1023"/>
        <w:gridCol w:w="1023"/>
        <w:gridCol w:w="1124"/>
      </w:tblGrid>
      <w:tr w:rsidRPr="00066E54" w:rsidR="00F23793" w:rsidTr="007F50C8" w14:paraId="04551577" w14:textId="77777777">
        <w:trPr>
          <w:trHeight w:val="440"/>
        </w:trPr>
        <w:tc>
          <w:tcPr>
            <w:tcW w:w="0" w:type="auto"/>
            <w:shd w:val="clear" w:color="auto" w:fill="F2F2F2"/>
            <w:hideMark/>
          </w:tcPr>
          <w:p w:rsidRPr="007F50C8" w:rsidR="00F23793" w:rsidP="007F50C8" w:rsidRDefault="00F23793" w14:paraId="3DCF5655" w14:textId="77777777">
            <w:pPr>
              <w:rPr>
                <w:rFonts w:eastAsia="Calibri"/>
                <w:b/>
                <w:szCs w:val="20"/>
              </w:rPr>
            </w:pPr>
            <w:r w:rsidRPr="007F50C8">
              <w:rPr>
                <w:rFonts w:eastAsia="Calibri"/>
                <w:b/>
                <w:szCs w:val="20"/>
              </w:rPr>
              <w:lastRenderedPageBreak/>
              <w:t>Violation Estimates For Time Period: 11/23/2020 - 2/1/2021</w:t>
            </w:r>
          </w:p>
        </w:tc>
        <w:tc>
          <w:tcPr>
            <w:tcW w:w="0" w:type="auto"/>
            <w:shd w:val="clear" w:color="auto" w:fill="F2F2F2"/>
            <w:hideMark/>
          </w:tcPr>
          <w:p w:rsidRPr="007F50C8" w:rsidR="00F23793" w:rsidP="007F50C8" w:rsidRDefault="00F23793" w14:paraId="562FE161" w14:textId="77777777">
            <w:pPr>
              <w:rPr>
                <w:rFonts w:eastAsia="Calibri"/>
                <w:b/>
                <w:szCs w:val="20"/>
              </w:rPr>
            </w:pPr>
            <w:r w:rsidRPr="007F50C8">
              <w:rPr>
                <w:rFonts w:eastAsia="Calibri"/>
                <w:b/>
                <w:szCs w:val="20"/>
              </w:rPr>
              <w:t>Tier 1</w:t>
            </w:r>
          </w:p>
        </w:tc>
        <w:tc>
          <w:tcPr>
            <w:tcW w:w="0" w:type="auto"/>
            <w:shd w:val="clear" w:color="auto" w:fill="F2F2F2"/>
            <w:hideMark/>
          </w:tcPr>
          <w:p w:rsidRPr="007F50C8" w:rsidR="00F23793" w:rsidP="007F50C8" w:rsidRDefault="00F23793" w14:paraId="05E632AA" w14:textId="77777777">
            <w:pPr>
              <w:rPr>
                <w:rFonts w:eastAsia="Calibri"/>
                <w:b/>
                <w:szCs w:val="20"/>
              </w:rPr>
            </w:pPr>
            <w:r w:rsidRPr="007F50C8">
              <w:rPr>
                <w:rFonts w:eastAsia="Calibri"/>
                <w:b/>
                <w:szCs w:val="20"/>
              </w:rPr>
              <w:t>Tier 2</w:t>
            </w:r>
          </w:p>
        </w:tc>
        <w:tc>
          <w:tcPr>
            <w:tcW w:w="0" w:type="auto"/>
            <w:shd w:val="clear" w:color="auto" w:fill="F2F2F2"/>
            <w:hideMark/>
          </w:tcPr>
          <w:p w:rsidRPr="007F50C8" w:rsidR="00F23793" w:rsidP="007F50C8" w:rsidRDefault="00F23793" w14:paraId="6B3250DD" w14:textId="77777777">
            <w:pPr>
              <w:rPr>
                <w:rFonts w:eastAsia="Calibri"/>
                <w:b/>
                <w:szCs w:val="20"/>
              </w:rPr>
            </w:pPr>
            <w:r w:rsidRPr="007F50C8">
              <w:rPr>
                <w:rFonts w:eastAsia="Calibri"/>
                <w:b/>
                <w:szCs w:val="20"/>
              </w:rPr>
              <w:t>Total</w:t>
            </w:r>
          </w:p>
        </w:tc>
      </w:tr>
      <w:tr w:rsidRPr="00066E54" w:rsidR="00F23793" w:rsidTr="007F50C8" w14:paraId="55875758" w14:textId="77777777">
        <w:tc>
          <w:tcPr>
            <w:tcW w:w="0" w:type="auto"/>
            <w:shd w:val="clear" w:color="auto" w:fill="auto"/>
            <w:hideMark/>
          </w:tcPr>
          <w:p w:rsidRPr="007F50C8" w:rsidR="00F23793" w:rsidP="007F50C8" w:rsidRDefault="00F23793" w14:paraId="4F252E5A" w14:textId="77777777">
            <w:pPr>
              <w:rPr>
                <w:rFonts w:eastAsia="Calibri"/>
                <w:szCs w:val="20"/>
              </w:rPr>
            </w:pPr>
            <w:r w:rsidRPr="007F50C8">
              <w:rPr>
                <w:rFonts w:eastAsia="Calibri"/>
                <w:szCs w:val="20"/>
              </w:rPr>
              <w:t xml:space="preserve">Number of waivers collected </w:t>
            </w:r>
          </w:p>
        </w:tc>
        <w:tc>
          <w:tcPr>
            <w:tcW w:w="0" w:type="auto"/>
            <w:shd w:val="clear" w:color="auto" w:fill="auto"/>
            <w:hideMark/>
          </w:tcPr>
          <w:p w:rsidRPr="007F50C8" w:rsidR="00F23793" w:rsidP="007F50C8" w:rsidRDefault="00F23793" w14:paraId="60700E68" w14:textId="77777777">
            <w:pPr>
              <w:rPr>
                <w:rFonts w:eastAsia="Calibri"/>
                <w:szCs w:val="20"/>
              </w:rPr>
            </w:pPr>
            <w:r w:rsidRPr="007F50C8">
              <w:rPr>
                <w:rFonts w:eastAsia="Calibri"/>
                <w:szCs w:val="20"/>
              </w:rPr>
              <w:t>35.0</w:t>
            </w:r>
          </w:p>
        </w:tc>
        <w:tc>
          <w:tcPr>
            <w:tcW w:w="0" w:type="auto"/>
            <w:shd w:val="clear" w:color="auto" w:fill="auto"/>
            <w:hideMark/>
          </w:tcPr>
          <w:p w:rsidRPr="007F50C8" w:rsidR="00F23793" w:rsidP="007F50C8" w:rsidRDefault="00F23793" w14:paraId="45E59235" w14:textId="77777777">
            <w:pPr>
              <w:rPr>
                <w:rFonts w:eastAsia="Calibri"/>
                <w:szCs w:val="20"/>
              </w:rPr>
            </w:pPr>
            <w:r w:rsidRPr="007F50C8">
              <w:rPr>
                <w:rFonts w:eastAsia="Calibri"/>
                <w:szCs w:val="20"/>
              </w:rPr>
              <w:t>61.0</w:t>
            </w:r>
          </w:p>
        </w:tc>
        <w:tc>
          <w:tcPr>
            <w:tcW w:w="0" w:type="auto"/>
            <w:shd w:val="clear" w:color="auto" w:fill="auto"/>
            <w:hideMark/>
          </w:tcPr>
          <w:p w:rsidRPr="007F50C8" w:rsidR="00F23793" w:rsidP="007F50C8" w:rsidRDefault="00F23793" w14:paraId="1326E0B6" w14:textId="77777777">
            <w:pPr>
              <w:rPr>
                <w:rFonts w:eastAsia="Calibri"/>
                <w:szCs w:val="20"/>
              </w:rPr>
            </w:pPr>
            <w:r w:rsidRPr="007F50C8">
              <w:rPr>
                <w:rFonts w:eastAsia="Calibri"/>
                <w:szCs w:val="20"/>
              </w:rPr>
              <w:t>N/A</w:t>
            </w:r>
          </w:p>
        </w:tc>
      </w:tr>
      <w:tr w:rsidRPr="00066E54" w:rsidR="00F23793" w:rsidTr="007F50C8" w14:paraId="72C9AF87" w14:textId="77777777">
        <w:tc>
          <w:tcPr>
            <w:tcW w:w="0" w:type="auto"/>
            <w:shd w:val="clear" w:color="auto" w:fill="auto"/>
            <w:hideMark/>
          </w:tcPr>
          <w:p w:rsidRPr="007F50C8" w:rsidR="00F23793" w:rsidP="007F50C8" w:rsidRDefault="00F23793" w14:paraId="442EB1C5" w14:textId="77777777">
            <w:pPr>
              <w:rPr>
                <w:rFonts w:eastAsia="Calibri"/>
                <w:szCs w:val="20"/>
              </w:rPr>
            </w:pPr>
            <w:r w:rsidRPr="007F50C8">
              <w:rPr>
                <w:rFonts w:eastAsia="Calibri"/>
                <w:szCs w:val="20"/>
              </w:rPr>
              <w:t>Number of one time waiver submission &amp; phone calls per respondent</w:t>
            </w:r>
          </w:p>
        </w:tc>
        <w:tc>
          <w:tcPr>
            <w:tcW w:w="0" w:type="auto"/>
            <w:shd w:val="clear" w:color="auto" w:fill="auto"/>
            <w:hideMark/>
          </w:tcPr>
          <w:p w:rsidRPr="007F50C8" w:rsidR="00F23793" w:rsidP="007F50C8" w:rsidRDefault="00F23793" w14:paraId="4E66B47F" w14:textId="77777777">
            <w:pPr>
              <w:rPr>
                <w:rFonts w:eastAsia="Calibri"/>
                <w:szCs w:val="20"/>
              </w:rPr>
            </w:pPr>
            <w:r w:rsidRPr="007F50C8">
              <w:rPr>
                <w:rFonts w:eastAsia="Calibri"/>
                <w:szCs w:val="20"/>
              </w:rPr>
              <w:t>1.0</w:t>
            </w:r>
          </w:p>
        </w:tc>
        <w:tc>
          <w:tcPr>
            <w:tcW w:w="0" w:type="auto"/>
            <w:shd w:val="clear" w:color="auto" w:fill="auto"/>
            <w:hideMark/>
          </w:tcPr>
          <w:p w:rsidRPr="007F50C8" w:rsidR="00F23793" w:rsidP="007F50C8" w:rsidRDefault="00F23793" w14:paraId="5527557C" w14:textId="77777777">
            <w:pPr>
              <w:rPr>
                <w:rFonts w:eastAsia="Calibri"/>
                <w:szCs w:val="20"/>
              </w:rPr>
            </w:pPr>
            <w:r w:rsidRPr="007F50C8">
              <w:rPr>
                <w:rFonts w:eastAsia="Calibri"/>
                <w:szCs w:val="20"/>
              </w:rPr>
              <w:t>1.0</w:t>
            </w:r>
          </w:p>
        </w:tc>
        <w:tc>
          <w:tcPr>
            <w:tcW w:w="0" w:type="auto"/>
            <w:shd w:val="clear" w:color="auto" w:fill="auto"/>
            <w:hideMark/>
          </w:tcPr>
          <w:p w:rsidRPr="007F50C8" w:rsidR="00F23793" w:rsidP="007F50C8" w:rsidRDefault="00F23793" w14:paraId="61075EB8" w14:textId="77777777">
            <w:pPr>
              <w:rPr>
                <w:rFonts w:eastAsia="Calibri"/>
                <w:szCs w:val="20"/>
              </w:rPr>
            </w:pPr>
            <w:r w:rsidRPr="007F50C8">
              <w:rPr>
                <w:rFonts w:eastAsia="Calibri"/>
                <w:szCs w:val="20"/>
              </w:rPr>
              <w:t>N/A</w:t>
            </w:r>
          </w:p>
        </w:tc>
      </w:tr>
      <w:tr w:rsidRPr="00066E54" w:rsidR="00F23793" w:rsidTr="007F50C8" w14:paraId="30BFF3F1" w14:textId="77777777">
        <w:tc>
          <w:tcPr>
            <w:tcW w:w="0" w:type="auto"/>
            <w:shd w:val="clear" w:color="auto" w:fill="auto"/>
            <w:hideMark/>
          </w:tcPr>
          <w:p w:rsidRPr="007F50C8" w:rsidR="00F23793" w:rsidP="007F50C8" w:rsidRDefault="00F23793" w14:paraId="3E5FC375" w14:textId="77777777">
            <w:pPr>
              <w:rPr>
                <w:rFonts w:eastAsia="Calibri"/>
                <w:szCs w:val="20"/>
              </w:rPr>
            </w:pPr>
            <w:r w:rsidRPr="007F50C8">
              <w:rPr>
                <w:rFonts w:eastAsia="Calibri"/>
                <w:szCs w:val="20"/>
              </w:rPr>
              <w:t xml:space="preserve">Number of total measures (responses) collected </w:t>
            </w:r>
          </w:p>
        </w:tc>
        <w:tc>
          <w:tcPr>
            <w:tcW w:w="0" w:type="auto"/>
            <w:shd w:val="clear" w:color="auto" w:fill="auto"/>
            <w:hideMark/>
          </w:tcPr>
          <w:p w:rsidRPr="007F50C8" w:rsidR="00F23793" w:rsidP="007F50C8" w:rsidRDefault="00F23793" w14:paraId="7ADA2B41" w14:textId="77777777">
            <w:pPr>
              <w:rPr>
                <w:rFonts w:eastAsia="Calibri"/>
                <w:szCs w:val="20"/>
              </w:rPr>
            </w:pPr>
            <w:r w:rsidRPr="007F50C8">
              <w:rPr>
                <w:rFonts w:eastAsia="Calibri"/>
                <w:szCs w:val="20"/>
              </w:rPr>
              <w:t>23.0</w:t>
            </w:r>
          </w:p>
        </w:tc>
        <w:tc>
          <w:tcPr>
            <w:tcW w:w="0" w:type="auto"/>
            <w:shd w:val="clear" w:color="auto" w:fill="auto"/>
            <w:hideMark/>
          </w:tcPr>
          <w:p w:rsidRPr="007F50C8" w:rsidR="00F23793" w:rsidP="007F50C8" w:rsidRDefault="00F23793" w14:paraId="1EBA4EF5" w14:textId="77777777">
            <w:pPr>
              <w:rPr>
                <w:rFonts w:eastAsia="Calibri"/>
                <w:szCs w:val="20"/>
              </w:rPr>
            </w:pPr>
            <w:r w:rsidRPr="007F50C8">
              <w:rPr>
                <w:rFonts w:eastAsia="Calibri"/>
                <w:szCs w:val="20"/>
              </w:rPr>
              <w:t>265.0</w:t>
            </w:r>
          </w:p>
        </w:tc>
        <w:tc>
          <w:tcPr>
            <w:tcW w:w="0" w:type="auto"/>
            <w:shd w:val="clear" w:color="auto" w:fill="auto"/>
            <w:hideMark/>
          </w:tcPr>
          <w:p w:rsidRPr="007F50C8" w:rsidR="00F23793" w:rsidP="007F50C8" w:rsidRDefault="00F23793" w14:paraId="6C73C7AC" w14:textId="77777777">
            <w:pPr>
              <w:rPr>
                <w:rFonts w:eastAsia="Calibri"/>
                <w:szCs w:val="20"/>
              </w:rPr>
            </w:pPr>
            <w:r w:rsidRPr="007F50C8">
              <w:rPr>
                <w:rFonts w:eastAsia="Calibri"/>
                <w:szCs w:val="20"/>
              </w:rPr>
              <w:t>N/A</w:t>
            </w:r>
          </w:p>
        </w:tc>
      </w:tr>
      <w:tr w:rsidRPr="00066E54" w:rsidR="00F23793" w:rsidTr="007F50C8" w14:paraId="087581D4" w14:textId="77777777">
        <w:tc>
          <w:tcPr>
            <w:tcW w:w="0" w:type="auto"/>
            <w:shd w:val="clear" w:color="auto" w:fill="auto"/>
            <w:hideMark/>
          </w:tcPr>
          <w:p w:rsidRPr="007F50C8" w:rsidR="00F23793" w:rsidP="007F50C8" w:rsidRDefault="00F23793" w14:paraId="4EFE321A" w14:textId="77777777">
            <w:pPr>
              <w:rPr>
                <w:rFonts w:eastAsia="Calibri"/>
                <w:szCs w:val="20"/>
              </w:rPr>
            </w:pPr>
            <w:r w:rsidRPr="007F50C8">
              <w:rPr>
                <w:rFonts w:eastAsia="Calibri"/>
                <w:szCs w:val="20"/>
              </w:rPr>
              <w:t>Time Burden Estimates (hours)</w:t>
            </w:r>
            <w:r w:rsidRPr="007F50C8">
              <w:rPr>
                <w:rFonts w:eastAsia="Calibri"/>
                <w:szCs w:val="20"/>
              </w:rPr>
              <w:br/>
              <w:t>EXAMPLE (500 Respondents) x (1 Response/Respondent) x (5 minutes/Response) x (1 hour/60 minutes) = 42 hours</w:t>
            </w:r>
          </w:p>
        </w:tc>
        <w:tc>
          <w:tcPr>
            <w:tcW w:w="0" w:type="auto"/>
            <w:shd w:val="clear" w:color="auto" w:fill="auto"/>
            <w:hideMark/>
          </w:tcPr>
          <w:p w:rsidRPr="007F50C8" w:rsidR="00F23793" w:rsidP="007F50C8" w:rsidRDefault="00F23793" w14:paraId="08D4E937" w14:textId="77777777">
            <w:pPr>
              <w:rPr>
                <w:rFonts w:eastAsia="Calibri"/>
                <w:b/>
                <w:szCs w:val="20"/>
              </w:rPr>
            </w:pPr>
            <w:r w:rsidRPr="007F50C8">
              <w:rPr>
                <w:rFonts w:eastAsia="Calibri"/>
                <w:b/>
                <w:szCs w:val="20"/>
              </w:rPr>
              <w:t>40.75</w:t>
            </w:r>
          </w:p>
        </w:tc>
        <w:tc>
          <w:tcPr>
            <w:tcW w:w="0" w:type="auto"/>
            <w:shd w:val="clear" w:color="auto" w:fill="auto"/>
            <w:hideMark/>
          </w:tcPr>
          <w:p w:rsidRPr="007F50C8" w:rsidR="00F23793" w:rsidP="007F50C8" w:rsidRDefault="00F23793" w14:paraId="6B038752" w14:textId="77777777">
            <w:pPr>
              <w:rPr>
                <w:rFonts w:eastAsia="Calibri"/>
                <w:b/>
                <w:szCs w:val="20"/>
              </w:rPr>
            </w:pPr>
            <w:r w:rsidRPr="007F50C8">
              <w:rPr>
                <w:rFonts w:eastAsia="Calibri"/>
                <w:b/>
                <w:szCs w:val="20"/>
              </w:rPr>
              <w:t>188.25</w:t>
            </w:r>
          </w:p>
        </w:tc>
        <w:tc>
          <w:tcPr>
            <w:tcW w:w="0" w:type="auto"/>
            <w:shd w:val="clear" w:color="auto" w:fill="auto"/>
            <w:hideMark/>
          </w:tcPr>
          <w:p w:rsidRPr="007F50C8" w:rsidR="00F23793" w:rsidP="007F50C8" w:rsidRDefault="00F23793" w14:paraId="016B324E" w14:textId="77777777">
            <w:pPr>
              <w:rPr>
                <w:rFonts w:eastAsia="Calibri"/>
                <w:b/>
                <w:szCs w:val="20"/>
              </w:rPr>
            </w:pPr>
            <w:r w:rsidRPr="007F50C8">
              <w:rPr>
                <w:rFonts w:eastAsia="Calibri"/>
                <w:b/>
                <w:szCs w:val="20"/>
              </w:rPr>
              <w:t>299.0</w:t>
            </w:r>
          </w:p>
        </w:tc>
      </w:tr>
      <w:tr w:rsidRPr="00066E54" w:rsidR="00F23793" w:rsidTr="007F50C8" w14:paraId="340BD4BA" w14:textId="77777777">
        <w:tc>
          <w:tcPr>
            <w:tcW w:w="0" w:type="auto"/>
            <w:shd w:val="clear" w:color="auto" w:fill="auto"/>
            <w:hideMark/>
          </w:tcPr>
          <w:p w:rsidRPr="007F50C8" w:rsidR="00F23793" w:rsidP="007F50C8" w:rsidRDefault="00F23793" w14:paraId="1F024AEE" w14:textId="77777777">
            <w:pPr>
              <w:rPr>
                <w:rFonts w:eastAsia="Calibri"/>
                <w:szCs w:val="20"/>
              </w:rPr>
            </w:pPr>
            <w:r w:rsidRPr="007F50C8">
              <w:rPr>
                <w:rFonts w:eastAsia="Calibri"/>
                <w:szCs w:val="20"/>
              </w:rPr>
              <w:t>Cost Burden Estimates</w:t>
            </w:r>
            <w:r w:rsidRPr="007F50C8">
              <w:rPr>
                <w:rFonts w:eastAsia="Calibri"/>
                <w:szCs w:val="20"/>
              </w:rPr>
              <w:br/>
              <w:t>EXAMPLE Total Cost = (500 Respondents) x (1 Response/Respondent) x (5 minutes/Response) x (1 hour/60 minutes) x ($118.22/hour) = $4925 </w:t>
            </w:r>
          </w:p>
        </w:tc>
        <w:tc>
          <w:tcPr>
            <w:tcW w:w="0" w:type="auto"/>
            <w:shd w:val="clear" w:color="auto" w:fill="auto"/>
            <w:hideMark/>
          </w:tcPr>
          <w:p w:rsidRPr="007F50C8" w:rsidR="00F23793" w:rsidP="007F50C8" w:rsidRDefault="00F23793" w14:paraId="3601522F" w14:textId="77777777">
            <w:pPr>
              <w:rPr>
                <w:rFonts w:eastAsia="Calibri"/>
                <w:b/>
                <w:szCs w:val="20"/>
              </w:rPr>
            </w:pPr>
            <w:r w:rsidRPr="007F50C8">
              <w:rPr>
                <w:rFonts w:eastAsia="Calibri"/>
                <w:b/>
                <w:szCs w:val="20"/>
              </w:rPr>
              <w:t>$1,923.56</w:t>
            </w:r>
          </w:p>
        </w:tc>
        <w:tc>
          <w:tcPr>
            <w:tcW w:w="0" w:type="auto"/>
            <w:shd w:val="clear" w:color="auto" w:fill="auto"/>
            <w:hideMark/>
          </w:tcPr>
          <w:p w:rsidRPr="007F50C8" w:rsidR="00F23793" w:rsidP="007F50C8" w:rsidRDefault="00F23793" w14:paraId="6BBA9C5E" w14:textId="77777777">
            <w:pPr>
              <w:rPr>
                <w:rFonts w:eastAsia="Calibri"/>
                <w:b/>
                <w:szCs w:val="20"/>
              </w:rPr>
            </w:pPr>
            <w:r w:rsidRPr="007F50C8">
              <w:rPr>
                <w:rFonts w:eastAsia="Calibri"/>
                <w:b/>
                <w:szCs w:val="20"/>
              </w:rPr>
              <w:t>$8,886.15</w:t>
            </w:r>
          </w:p>
        </w:tc>
        <w:tc>
          <w:tcPr>
            <w:tcW w:w="0" w:type="auto"/>
            <w:shd w:val="clear" w:color="auto" w:fill="auto"/>
            <w:hideMark/>
          </w:tcPr>
          <w:p w:rsidRPr="007F50C8" w:rsidR="00F23793" w:rsidP="007F50C8" w:rsidRDefault="00F23793" w14:paraId="710DA8A6" w14:textId="77777777">
            <w:pPr>
              <w:rPr>
                <w:rFonts w:eastAsia="Calibri"/>
                <w:b/>
                <w:szCs w:val="20"/>
              </w:rPr>
            </w:pPr>
            <w:r w:rsidRPr="007F50C8">
              <w:rPr>
                <w:rFonts w:eastAsia="Calibri"/>
                <w:b/>
                <w:szCs w:val="20"/>
              </w:rPr>
              <w:t>$10,809.72</w:t>
            </w:r>
          </w:p>
        </w:tc>
      </w:tr>
    </w:tbl>
    <w:p w:rsidR="00F23793" w:rsidP="00F23793" w:rsidRDefault="00F23793" w14:paraId="44ECB71E" w14:textId="77777777"/>
    <w:p w:rsidRPr="00066E54" w:rsidR="00B2628C" w:rsidP="00F23793" w:rsidRDefault="00B2628C" w14:paraId="4839C1AE" w14:textId="77777777">
      <w:pPr>
        <w:rPr>
          <w:sz w:val="24"/>
        </w:rPr>
      </w:pPr>
      <w:r w:rsidRPr="00066E54">
        <w:rPr>
          <w:sz w:val="24"/>
        </w:rPr>
        <w:t xml:space="preserve">We are accounting for a total burden of 299 burden hours and $10,809.72 associated with the violation.  </w:t>
      </w:r>
    </w:p>
    <w:p w:rsidR="00B2628C" w:rsidP="00F23793" w:rsidRDefault="00B2628C" w14:paraId="6AC80A7F" w14:textId="77777777"/>
    <w:p w:rsidRPr="00B2628C" w:rsidR="00F23793" w:rsidP="00F23793" w:rsidRDefault="00B2628C" w14:paraId="1747A59F" w14:textId="77777777">
      <w:pPr>
        <w:rPr>
          <w:sz w:val="24"/>
        </w:rPr>
      </w:pPr>
      <w:r w:rsidRPr="00B2628C">
        <w:rPr>
          <w:sz w:val="24"/>
        </w:rPr>
        <w:t xml:space="preserve">We have provided burden for the violation as well as burden estimates for future efforts related to Acute Hospital Care at Home.  In future iterations of this information collection request, all burden will summarized into a single burden estimate. </w:t>
      </w:r>
    </w:p>
    <w:p w:rsidR="00F23793" w:rsidP="00F23793" w:rsidRDefault="00F23793" w14:paraId="32A985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97BC4" w14:paraId="2C7077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total burden hours for this package are 5,</w:t>
      </w:r>
      <w:r w:rsidR="00A40485">
        <w:rPr>
          <w:sz w:val="24"/>
        </w:rPr>
        <w:t>6</w:t>
      </w:r>
      <w:r>
        <w:rPr>
          <w:sz w:val="24"/>
        </w:rPr>
        <w:t>29 (3,730 + 299 + 1,600).</w:t>
      </w:r>
    </w:p>
    <w:p w:rsidR="00997BC4" w:rsidRDefault="00997BC4" w14:paraId="7194C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42A6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18C414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P="00AD779C" w:rsidRDefault="00FE646B" w14:paraId="35511116" w14:textId="77777777">
      <w:pPr>
        <w:tabs>
          <w:tab w:val="left" w:pos="0"/>
          <w:tab w:val="left" w:pos="432"/>
          <w:tab w:val="left" w:pos="720"/>
          <w:tab w:val="left" w:pos="1440"/>
          <w:tab w:val="left" w:pos="2160"/>
          <w:tab w:val="left" w:pos="2880"/>
          <w:tab w:val="left" w:pos="6480"/>
        </w:tabs>
        <w:rPr>
          <w:sz w:val="24"/>
        </w:rPr>
      </w:pPr>
      <w:r>
        <w:rPr>
          <w:sz w:val="24"/>
        </w:rPr>
        <w:t xml:space="preserve">       </w:t>
      </w:r>
      <w:r w:rsidR="005314D5">
        <w:rPr>
          <w:sz w:val="24"/>
        </w:rPr>
        <w:t xml:space="preserve">There will be no publication. </w:t>
      </w:r>
      <w:r w:rsidR="00690E3A">
        <w:rPr>
          <w:sz w:val="24"/>
        </w:rPr>
        <w:tab/>
      </w:r>
    </w:p>
    <w:p w:rsidR="008F1EB4" w:rsidRDefault="008F1EB4" w14:paraId="020951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3A7F2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3B7227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65A20" w:rsidRDefault="005314D5" w14:paraId="255EC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Pr>
          <w:sz w:val="24"/>
        </w:rPr>
        <w:t>CMS will display the expiration date on the collection instrument</w:t>
      </w:r>
      <w:r w:rsidR="00FE646B">
        <w:rPr>
          <w:sz w:val="24"/>
        </w:rPr>
        <w:t>.</w:t>
      </w:r>
    </w:p>
    <w:p w:rsidR="00690E3A" w:rsidRDefault="00690E3A" w14:paraId="3FA56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8A58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14:paraId="12829A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590E" w:rsidRDefault="003B590E" w14:paraId="375CC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w:t>
      </w:r>
    </w:p>
    <w:p w:rsidR="00B36A2A" w:rsidRDefault="00B36A2A" w14:paraId="7DDBF6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6A2A" w:rsidRDefault="00B36A2A" w14:paraId="7A9BE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E646B" w:rsidRDefault="000F3AF4" w14:paraId="4A248577" w14:textId="77777777">
      <w:pPr>
        <w:widowControl/>
        <w:autoSpaceDE/>
        <w:autoSpaceDN/>
        <w:adjustRightInd/>
        <w:spacing w:before="100" w:beforeAutospacing="1" w:after="100" w:afterAutospacing="1"/>
        <w:rPr>
          <w:b/>
          <w:bCs/>
          <w:sz w:val="24"/>
          <w:u w:val="single"/>
        </w:rPr>
      </w:pPr>
    </w:p>
    <w:sectPr w:rsidR="000F3AF4" w:rsidSect="00B16C0F">
      <w:footerReference w:type="default" r:id="rId12"/>
      <w:endnotePr>
        <w:numFmt w:val="decimal"/>
      </w:endnotePr>
      <w:type w:val="continuous"/>
      <w:pgSz w:w="12240" w:h="15840"/>
      <w:pgMar w:top="720" w:right="1296"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115FC" w14:textId="77777777" w:rsidR="005D436B" w:rsidRDefault="005D436B">
      <w:r>
        <w:separator/>
      </w:r>
    </w:p>
  </w:endnote>
  <w:endnote w:type="continuationSeparator" w:id="0">
    <w:p w14:paraId="1F22B786" w14:textId="77777777" w:rsidR="005D436B" w:rsidRDefault="005D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F314D" w14:textId="77777777" w:rsidR="00690F37" w:rsidRDefault="00690F37">
    <w:pPr>
      <w:spacing w:line="240" w:lineRule="exact"/>
    </w:pPr>
  </w:p>
  <w:p w14:paraId="0E531ED5" w14:textId="6E9B394D" w:rsidR="00690F37" w:rsidRDefault="00690F3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414DF">
      <w:rPr>
        <w:noProof/>
        <w:sz w:val="24"/>
      </w:rPr>
      <w:t>6</w:t>
    </w:r>
    <w:r>
      <w:rPr>
        <w:sz w:val="24"/>
      </w:rPr>
      <w:fldChar w:fldCharType="end"/>
    </w:r>
  </w:p>
  <w:p w14:paraId="25D28C46" w14:textId="77777777" w:rsidR="00690F37" w:rsidRDefault="00690F3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F8C6D" w14:textId="77777777" w:rsidR="005D436B" w:rsidRDefault="005D436B">
      <w:r>
        <w:separator/>
      </w:r>
    </w:p>
  </w:footnote>
  <w:footnote w:type="continuationSeparator" w:id="0">
    <w:p w14:paraId="6520C2CC" w14:textId="77777777" w:rsidR="005D436B" w:rsidRDefault="005D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991"/>
    <w:multiLevelType w:val="multilevel"/>
    <w:tmpl w:val="FF30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462A"/>
    <w:multiLevelType w:val="multilevel"/>
    <w:tmpl w:val="12943E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2C37831"/>
    <w:multiLevelType w:val="multilevel"/>
    <w:tmpl w:val="5DE23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6683B2F"/>
    <w:multiLevelType w:val="hybridMultilevel"/>
    <w:tmpl w:val="6174FD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2C10251"/>
    <w:multiLevelType w:val="multilevel"/>
    <w:tmpl w:val="21DA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816DF"/>
    <w:multiLevelType w:val="hybridMultilevel"/>
    <w:tmpl w:val="FFE24B52"/>
    <w:lvl w:ilvl="0" w:tplc="04090001">
      <w:start w:val="1"/>
      <w:numFmt w:val="bullet"/>
      <w:lvlText w:val=""/>
      <w:lvlJc w:val="left"/>
      <w:pPr>
        <w:ind w:left="1152" w:hanging="360"/>
      </w:pPr>
      <w:rPr>
        <w:rFonts w:ascii="Symbol" w:hAnsi="Symbol" w:hint="default"/>
      </w:rPr>
    </w:lvl>
    <w:lvl w:ilvl="1" w:tplc="096A8726">
      <w:numFmt w:val="bullet"/>
      <w:lvlText w:val="-"/>
      <w:lvlJc w:val="left"/>
      <w:pPr>
        <w:ind w:left="1872" w:hanging="360"/>
      </w:pPr>
      <w:rPr>
        <w:rFonts w:ascii="Times New Roman" w:eastAsia="Times New Roman"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C7532A9"/>
    <w:multiLevelType w:val="multilevel"/>
    <w:tmpl w:val="8A2E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B5B3B"/>
    <w:multiLevelType w:val="multilevel"/>
    <w:tmpl w:val="824A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20DAB"/>
    <w:multiLevelType w:val="multilevel"/>
    <w:tmpl w:val="169EEB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40C206F8"/>
    <w:multiLevelType w:val="hybridMultilevel"/>
    <w:tmpl w:val="1DB2BEEA"/>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15:restartNumberingAfterBreak="0">
    <w:nsid w:val="5A152DF0"/>
    <w:multiLevelType w:val="multilevel"/>
    <w:tmpl w:val="FD58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54FA"/>
    <w:multiLevelType w:val="multilevel"/>
    <w:tmpl w:val="7690F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74E70AE3"/>
    <w:multiLevelType w:val="hybridMultilevel"/>
    <w:tmpl w:val="EB0CBFAC"/>
    <w:lvl w:ilvl="0" w:tplc="950446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7DEC109D"/>
    <w:multiLevelType w:val="multilevel"/>
    <w:tmpl w:val="1A9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AF4"/>
    <w:rsid w:val="00023E38"/>
    <w:rsid w:val="00030CCD"/>
    <w:rsid w:val="00037634"/>
    <w:rsid w:val="00042AFB"/>
    <w:rsid w:val="0005184E"/>
    <w:rsid w:val="00062C0E"/>
    <w:rsid w:val="000664B5"/>
    <w:rsid w:val="00066E54"/>
    <w:rsid w:val="000751A4"/>
    <w:rsid w:val="00076372"/>
    <w:rsid w:val="00083912"/>
    <w:rsid w:val="000A2827"/>
    <w:rsid w:val="000B191F"/>
    <w:rsid w:val="000C668A"/>
    <w:rsid w:val="000E089D"/>
    <w:rsid w:val="000F3AF4"/>
    <w:rsid w:val="000F663A"/>
    <w:rsid w:val="000F6ADB"/>
    <w:rsid w:val="00101F30"/>
    <w:rsid w:val="00122893"/>
    <w:rsid w:val="00156D90"/>
    <w:rsid w:val="001576F4"/>
    <w:rsid w:val="001675A7"/>
    <w:rsid w:val="001931B6"/>
    <w:rsid w:val="00193582"/>
    <w:rsid w:val="001A166C"/>
    <w:rsid w:val="001B2405"/>
    <w:rsid w:val="001C3552"/>
    <w:rsid w:val="001C613D"/>
    <w:rsid w:val="001E4EE4"/>
    <w:rsid w:val="001E7AD5"/>
    <w:rsid w:val="001F15A5"/>
    <w:rsid w:val="00222850"/>
    <w:rsid w:val="00225C8C"/>
    <w:rsid w:val="00226ADA"/>
    <w:rsid w:val="0023034F"/>
    <w:rsid w:val="00250694"/>
    <w:rsid w:val="002569E8"/>
    <w:rsid w:val="0029235E"/>
    <w:rsid w:val="002965E0"/>
    <w:rsid w:val="002966A3"/>
    <w:rsid w:val="002C04C1"/>
    <w:rsid w:val="002E2AB6"/>
    <w:rsid w:val="002E5824"/>
    <w:rsid w:val="002E63A2"/>
    <w:rsid w:val="003333AC"/>
    <w:rsid w:val="00334362"/>
    <w:rsid w:val="003639DB"/>
    <w:rsid w:val="0036535D"/>
    <w:rsid w:val="0037109F"/>
    <w:rsid w:val="0037352E"/>
    <w:rsid w:val="00375118"/>
    <w:rsid w:val="00381CA0"/>
    <w:rsid w:val="00384AE0"/>
    <w:rsid w:val="00397A66"/>
    <w:rsid w:val="003B04C6"/>
    <w:rsid w:val="003B590E"/>
    <w:rsid w:val="003C16AA"/>
    <w:rsid w:val="003C3280"/>
    <w:rsid w:val="003D7E06"/>
    <w:rsid w:val="003E0687"/>
    <w:rsid w:val="003E0DAC"/>
    <w:rsid w:val="003E5DD5"/>
    <w:rsid w:val="004023E8"/>
    <w:rsid w:val="004169E9"/>
    <w:rsid w:val="004311BB"/>
    <w:rsid w:val="00440DC6"/>
    <w:rsid w:val="00442E3C"/>
    <w:rsid w:val="00454629"/>
    <w:rsid w:val="0047031F"/>
    <w:rsid w:val="00493312"/>
    <w:rsid w:val="00494C08"/>
    <w:rsid w:val="004A2573"/>
    <w:rsid w:val="004B649C"/>
    <w:rsid w:val="004C060F"/>
    <w:rsid w:val="004C5871"/>
    <w:rsid w:val="004C7A30"/>
    <w:rsid w:val="004D4D24"/>
    <w:rsid w:val="005022FB"/>
    <w:rsid w:val="00517AC2"/>
    <w:rsid w:val="00520BDB"/>
    <w:rsid w:val="005314D5"/>
    <w:rsid w:val="005414DF"/>
    <w:rsid w:val="00557D47"/>
    <w:rsid w:val="005701D4"/>
    <w:rsid w:val="005A536F"/>
    <w:rsid w:val="005B0268"/>
    <w:rsid w:val="005B7673"/>
    <w:rsid w:val="005D01AF"/>
    <w:rsid w:val="005D436B"/>
    <w:rsid w:val="005D62A2"/>
    <w:rsid w:val="005E0B47"/>
    <w:rsid w:val="005E103A"/>
    <w:rsid w:val="005E32E8"/>
    <w:rsid w:val="005F1C95"/>
    <w:rsid w:val="00600D16"/>
    <w:rsid w:val="0060720C"/>
    <w:rsid w:val="00610ABF"/>
    <w:rsid w:val="006142DB"/>
    <w:rsid w:val="006173D9"/>
    <w:rsid w:val="006225A7"/>
    <w:rsid w:val="00627383"/>
    <w:rsid w:val="00630B10"/>
    <w:rsid w:val="00632325"/>
    <w:rsid w:val="006348AF"/>
    <w:rsid w:val="00636F01"/>
    <w:rsid w:val="00643AAF"/>
    <w:rsid w:val="00644D97"/>
    <w:rsid w:val="006473F1"/>
    <w:rsid w:val="00652AF1"/>
    <w:rsid w:val="00665F48"/>
    <w:rsid w:val="00671600"/>
    <w:rsid w:val="0067629F"/>
    <w:rsid w:val="00682330"/>
    <w:rsid w:val="00684C43"/>
    <w:rsid w:val="00690E3A"/>
    <w:rsid w:val="00690F37"/>
    <w:rsid w:val="006925CB"/>
    <w:rsid w:val="00697B79"/>
    <w:rsid w:val="006A1C9C"/>
    <w:rsid w:val="006A5E4A"/>
    <w:rsid w:val="006B5E30"/>
    <w:rsid w:val="006B61E3"/>
    <w:rsid w:val="006C23D6"/>
    <w:rsid w:val="006C37B5"/>
    <w:rsid w:val="006D575A"/>
    <w:rsid w:val="006E0DBC"/>
    <w:rsid w:val="006E6E72"/>
    <w:rsid w:val="006F7AE5"/>
    <w:rsid w:val="007032FF"/>
    <w:rsid w:val="0071238C"/>
    <w:rsid w:val="0074773A"/>
    <w:rsid w:val="0075109E"/>
    <w:rsid w:val="00751BCC"/>
    <w:rsid w:val="00764B5D"/>
    <w:rsid w:val="007677FE"/>
    <w:rsid w:val="007735EF"/>
    <w:rsid w:val="00797516"/>
    <w:rsid w:val="007A5FA7"/>
    <w:rsid w:val="007B71BC"/>
    <w:rsid w:val="007D64AF"/>
    <w:rsid w:val="007F07C0"/>
    <w:rsid w:val="007F50C8"/>
    <w:rsid w:val="008158F5"/>
    <w:rsid w:val="00832FB2"/>
    <w:rsid w:val="00842B7E"/>
    <w:rsid w:val="0085077A"/>
    <w:rsid w:val="008619EF"/>
    <w:rsid w:val="00870D59"/>
    <w:rsid w:val="00895DFE"/>
    <w:rsid w:val="008A6289"/>
    <w:rsid w:val="008C250E"/>
    <w:rsid w:val="008F0DCC"/>
    <w:rsid w:val="008F1EB4"/>
    <w:rsid w:val="008F2E1A"/>
    <w:rsid w:val="00904A47"/>
    <w:rsid w:val="00906752"/>
    <w:rsid w:val="00906C04"/>
    <w:rsid w:val="00906C15"/>
    <w:rsid w:val="00916998"/>
    <w:rsid w:val="00920A50"/>
    <w:rsid w:val="0092741A"/>
    <w:rsid w:val="0093471B"/>
    <w:rsid w:val="00944BF3"/>
    <w:rsid w:val="00947E24"/>
    <w:rsid w:val="00966341"/>
    <w:rsid w:val="00975E39"/>
    <w:rsid w:val="009960FA"/>
    <w:rsid w:val="00997BC4"/>
    <w:rsid w:val="009B0697"/>
    <w:rsid w:val="009B2459"/>
    <w:rsid w:val="009C31F9"/>
    <w:rsid w:val="009C5AAC"/>
    <w:rsid w:val="009F01AA"/>
    <w:rsid w:val="00A055A0"/>
    <w:rsid w:val="00A14BFC"/>
    <w:rsid w:val="00A40485"/>
    <w:rsid w:val="00A66DA1"/>
    <w:rsid w:val="00A67BEE"/>
    <w:rsid w:val="00A70767"/>
    <w:rsid w:val="00A73DA8"/>
    <w:rsid w:val="00A7782A"/>
    <w:rsid w:val="00A87F9E"/>
    <w:rsid w:val="00A96929"/>
    <w:rsid w:val="00A97AF4"/>
    <w:rsid w:val="00AB51BD"/>
    <w:rsid w:val="00AC550B"/>
    <w:rsid w:val="00AC5642"/>
    <w:rsid w:val="00AD49AE"/>
    <w:rsid w:val="00AD779C"/>
    <w:rsid w:val="00AE58CD"/>
    <w:rsid w:val="00AE7DE1"/>
    <w:rsid w:val="00B0466F"/>
    <w:rsid w:val="00B07467"/>
    <w:rsid w:val="00B12126"/>
    <w:rsid w:val="00B16C0F"/>
    <w:rsid w:val="00B16D39"/>
    <w:rsid w:val="00B259D1"/>
    <w:rsid w:val="00B2628C"/>
    <w:rsid w:val="00B36A2A"/>
    <w:rsid w:val="00B40A14"/>
    <w:rsid w:val="00B44FD9"/>
    <w:rsid w:val="00B721B6"/>
    <w:rsid w:val="00B85319"/>
    <w:rsid w:val="00B922E3"/>
    <w:rsid w:val="00BB0BDD"/>
    <w:rsid w:val="00BB4A37"/>
    <w:rsid w:val="00BC147A"/>
    <w:rsid w:val="00BD75FB"/>
    <w:rsid w:val="00BE2942"/>
    <w:rsid w:val="00BE3801"/>
    <w:rsid w:val="00BF43C2"/>
    <w:rsid w:val="00C23572"/>
    <w:rsid w:val="00C40E5A"/>
    <w:rsid w:val="00C65A20"/>
    <w:rsid w:val="00C73096"/>
    <w:rsid w:val="00C73819"/>
    <w:rsid w:val="00C811BC"/>
    <w:rsid w:val="00C83D41"/>
    <w:rsid w:val="00C94811"/>
    <w:rsid w:val="00CC66CD"/>
    <w:rsid w:val="00CC6830"/>
    <w:rsid w:val="00CE709B"/>
    <w:rsid w:val="00D050CA"/>
    <w:rsid w:val="00D271F3"/>
    <w:rsid w:val="00D30ED8"/>
    <w:rsid w:val="00D34CB8"/>
    <w:rsid w:val="00D54572"/>
    <w:rsid w:val="00D97F10"/>
    <w:rsid w:val="00DB4CF3"/>
    <w:rsid w:val="00DC20F1"/>
    <w:rsid w:val="00DD097C"/>
    <w:rsid w:val="00DD546B"/>
    <w:rsid w:val="00DF6803"/>
    <w:rsid w:val="00E41254"/>
    <w:rsid w:val="00E543F6"/>
    <w:rsid w:val="00E55440"/>
    <w:rsid w:val="00E611D5"/>
    <w:rsid w:val="00E704F6"/>
    <w:rsid w:val="00E71A88"/>
    <w:rsid w:val="00E72A3D"/>
    <w:rsid w:val="00E7566D"/>
    <w:rsid w:val="00E92674"/>
    <w:rsid w:val="00F10AD0"/>
    <w:rsid w:val="00F12359"/>
    <w:rsid w:val="00F15E13"/>
    <w:rsid w:val="00F202C7"/>
    <w:rsid w:val="00F23793"/>
    <w:rsid w:val="00F44A8D"/>
    <w:rsid w:val="00F466C9"/>
    <w:rsid w:val="00F5757D"/>
    <w:rsid w:val="00F72B00"/>
    <w:rsid w:val="00F763D7"/>
    <w:rsid w:val="00F82C86"/>
    <w:rsid w:val="00F919D8"/>
    <w:rsid w:val="00FA2758"/>
    <w:rsid w:val="00FA616D"/>
    <w:rsid w:val="00FD0FD6"/>
    <w:rsid w:val="00FD1135"/>
    <w:rsid w:val="00FD1BCE"/>
    <w:rsid w:val="00FD5D9D"/>
    <w:rsid w:val="00FE1E34"/>
    <w:rsid w:val="00FE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AE38F"/>
  <w15:chartTrackingRefBased/>
  <w15:docId w15:val="{9FC08C73-13A9-4887-8395-DBDFDD9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BB"/>
    <w:pPr>
      <w:widowControl w:val="0"/>
      <w:autoSpaceDE w:val="0"/>
      <w:autoSpaceDN w:val="0"/>
      <w:adjustRightInd w:val="0"/>
    </w:pPr>
    <w:rPr>
      <w:szCs w:val="24"/>
    </w:rPr>
  </w:style>
  <w:style w:type="paragraph" w:styleId="Heading2">
    <w:name w:val="heading 2"/>
    <w:basedOn w:val="Normal"/>
    <w:next w:val="Normal"/>
    <w:link w:val="Heading2Char"/>
    <w:uiPriority w:val="9"/>
    <w:unhideWhenUsed/>
    <w:qFormat/>
    <w:rsid w:val="00B2628C"/>
    <w:pPr>
      <w:keepNext/>
      <w:keepLines/>
      <w:widowControl/>
      <w:autoSpaceDE/>
      <w:autoSpaceDN/>
      <w:adjustRightInd/>
      <w:spacing w:before="40" w:line="259" w:lineRule="auto"/>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link w:val="BalloonTextChar"/>
    <w:rsid w:val="007735EF"/>
    <w:rPr>
      <w:rFonts w:ascii="Segoe UI" w:hAnsi="Segoe UI" w:cs="Segoe UI"/>
      <w:sz w:val="18"/>
      <w:szCs w:val="18"/>
    </w:rPr>
  </w:style>
  <w:style w:type="character" w:customStyle="1" w:styleId="BalloonTextChar">
    <w:name w:val="Balloon Text Char"/>
    <w:link w:val="BalloonText"/>
    <w:rsid w:val="007735EF"/>
    <w:rPr>
      <w:rFonts w:ascii="Segoe UI" w:hAnsi="Segoe UI" w:cs="Segoe UI"/>
      <w:sz w:val="18"/>
      <w:szCs w:val="18"/>
    </w:rPr>
  </w:style>
  <w:style w:type="character" w:styleId="CommentReference">
    <w:name w:val="annotation reference"/>
    <w:rsid w:val="00797516"/>
    <w:rPr>
      <w:sz w:val="16"/>
      <w:szCs w:val="16"/>
    </w:rPr>
  </w:style>
  <w:style w:type="paragraph" w:styleId="CommentText">
    <w:name w:val="annotation text"/>
    <w:aliases w:val="t"/>
    <w:basedOn w:val="Normal"/>
    <w:link w:val="CommentTextChar"/>
    <w:uiPriority w:val="99"/>
    <w:qFormat/>
    <w:rsid w:val="00797516"/>
    <w:rPr>
      <w:szCs w:val="20"/>
    </w:rPr>
  </w:style>
  <w:style w:type="character" w:customStyle="1" w:styleId="CommentTextChar">
    <w:name w:val="Comment Text Char"/>
    <w:aliases w:val="t Char"/>
    <w:basedOn w:val="DefaultParagraphFont"/>
    <w:link w:val="CommentText"/>
    <w:rsid w:val="00797516"/>
  </w:style>
  <w:style w:type="paragraph" w:styleId="CommentSubject">
    <w:name w:val="annotation subject"/>
    <w:basedOn w:val="CommentText"/>
    <w:next w:val="CommentText"/>
    <w:link w:val="CommentSubjectChar"/>
    <w:rsid w:val="00797516"/>
    <w:rPr>
      <w:b/>
      <w:bCs/>
    </w:rPr>
  </w:style>
  <w:style w:type="character" w:customStyle="1" w:styleId="CommentSubjectChar">
    <w:name w:val="Comment Subject Char"/>
    <w:link w:val="CommentSubject"/>
    <w:rsid w:val="00797516"/>
    <w:rPr>
      <w:b/>
      <w:bCs/>
    </w:rPr>
  </w:style>
  <w:style w:type="character" w:styleId="Hyperlink">
    <w:name w:val="Hyperlink"/>
    <w:uiPriority w:val="99"/>
    <w:unhideWhenUsed/>
    <w:rsid w:val="00690E3A"/>
    <w:rPr>
      <w:color w:val="0563C1"/>
      <w:u w:val="single"/>
    </w:rPr>
  </w:style>
  <w:style w:type="paragraph" w:styleId="FootnoteText">
    <w:name w:val="footnote text"/>
    <w:basedOn w:val="Normal"/>
    <w:link w:val="FootnoteTextChar"/>
    <w:uiPriority w:val="99"/>
    <w:unhideWhenUsed/>
    <w:rsid w:val="00690E3A"/>
    <w:pPr>
      <w:widowControl/>
      <w:autoSpaceDE/>
      <w:autoSpaceDN/>
      <w:adjustRightInd/>
    </w:pPr>
    <w:rPr>
      <w:szCs w:val="20"/>
    </w:rPr>
  </w:style>
  <w:style w:type="character" w:customStyle="1" w:styleId="FootnoteTextChar">
    <w:name w:val="Footnote Text Char"/>
    <w:basedOn w:val="DefaultParagraphFont"/>
    <w:link w:val="FootnoteText"/>
    <w:uiPriority w:val="99"/>
    <w:rsid w:val="00690E3A"/>
  </w:style>
  <w:style w:type="paragraph" w:styleId="Revision">
    <w:name w:val="Revision"/>
    <w:hidden/>
    <w:uiPriority w:val="99"/>
    <w:semiHidden/>
    <w:rsid w:val="00636F01"/>
    <w:rPr>
      <w:szCs w:val="24"/>
    </w:rPr>
  </w:style>
  <w:style w:type="character" w:customStyle="1" w:styleId="UnresolvedMention1">
    <w:name w:val="Unresolved Mention1"/>
    <w:uiPriority w:val="99"/>
    <w:semiHidden/>
    <w:unhideWhenUsed/>
    <w:rsid w:val="00FD1BCE"/>
    <w:rPr>
      <w:color w:val="605E5C"/>
      <w:shd w:val="clear" w:color="auto" w:fill="E1DFDD"/>
    </w:rPr>
  </w:style>
  <w:style w:type="table" w:styleId="TableGridLight">
    <w:name w:val="Grid Table Light"/>
    <w:basedOn w:val="TableNormal"/>
    <w:uiPriority w:val="40"/>
    <w:rsid w:val="00F2379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uiPriority w:val="9"/>
    <w:rsid w:val="00B2628C"/>
    <w:rPr>
      <w:rFonts w:ascii="Calibri Light" w:hAnsi="Calibri Light"/>
      <w:color w:val="2E74B5"/>
      <w:sz w:val="26"/>
      <w:szCs w:val="26"/>
    </w:rPr>
  </w:style>
  <w:style w:type="character" w:styleId="FollowedHyperlink">
    <w:name w:val="FollowedHyperlink"/>
    <w:rsid w:val="006E6E72"/>
    <w:rPr>
      <w:color w:val="954F72"/>
      <w:u w:val="single"/>
    </w:rPr>
  </w:style>
  <w:style w:type="character" w:customStyle="1" w:styleId="UnresolvedMention">
    <w:name w:val="Unresolved Mention"/>
    <w:uiPriority w:val="99"/>
    <w:semiHidden/>
    <w:unhideWhenUsed/>
    <w:rsid w:val="00C8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60754">
      <w:bodyDiv w:val="1"/>
      <w:marLeft w:val="0"/>
      <w:marRight w:val="0"/>
      <w:marTop w:val="0"/>
      <w:marBottom w:val="0"/>
      <w:divBdr>
        <w:top w:val="none" w:sz="0" w:space="0" w:color="auto"/>
        <w:left w:val="none" w:sz="0" w:space="0" w:color="auto"/>
        <w:bottom w:val="none" w:sz="0" w:space="0" w:color="auto"/>
        <w:right w:val="none" w:sz="0" w:space="0" w:color="auto"/>
      </w:divBdr>
    </w:div>
    <w:div w:id="978727502">
      <w:bodyDiv w:val="1"/>
      <w:marLeft w:val="0"/>
      <w:marRight w:val="0"/>
      <w:marTop w:val="0"/>
      <w:marBottom w:val="0"/>
      <w:divBdr>
        <w:top w:val="none" w:sz="0" w:space="0" w:color="auto"/>
        <w:left w:val="none" w:sz="0" w:space="0" w:color="auto"/>
        <w:bottom w:val="none" w:sz="0" w:space="0" w:color="auto"/>
        <w:right w:val="none" w:sz="0" w:space="0" w:color="auto"/>
      </w:divBdr>
    </w:div>
    <w:div w:id="1276903522">
      <w:bodyDiv w:val="1"/>
      <w:marLeft w:val="0"/>
      <w:marRight w:val="0"/>
      <w:marTop w:val="0"/>
      <w:marBottom w:val="0"/>
      <w:divBdr>
        <w:top w:val="none" w:sz="0" w:space="0" w:color="auto"/>
        <w:left w:val="none" w:sz="0" w:space="0" w:color="auto"/>
        <w:bottom w:val="none" w:sz="0" w:space="0" w:color="auto"/>
        <w:right w:val="none" w:sz="0" w:space="0" w:color="auto"/>
      </w:divBdr>
    </w:div>
    <w:div w:id="128642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rovider-Enrollment-and-Certification/SurveyCertEmergPrep/1135-Waiv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ecec.t02.htm" TargetMode="Externa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s://qualitynet.cms.gov/acute-hospital-care-at-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40E8-CEEC-4D33-B143-D1813C4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4499</Words>
  <Characters>25646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30085</CharactersWithSpaces>
  <SharedDoc>false</SharedDoc>
  <HLinks>
    <vt:vector size="24" baseType="variant">
      <vt:variant>
        <vt:i4>131077</vt:i4>
      </vt:variant>
      <vt:variant>
        <vt:i4>12</vt:i4>
      </vt:variant>
      <vt:variant>
        <vt:i4>0</vt:i4>
      </vt:variant>
      <vt:variant>
        <vt:i4>5</vt:i4>
      </vt:variant>
      <vt:variant>
        <vt:lpwstr>https://www.bls.gov/news.release/ecec.t02.htm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6946936</vt:i4>
      </vt:variant>
      <vt:variant>
        <vt:i4>3</vt:i4>
      </vt:variant>
      <vt:variant>
        <vt:i4>0</vt:i4>
      </vt:variant>
      <vt:variant>
        <vt:i4>5</vt:i4>
      </vt:variant>
      <vt:variant>
        <vt:lpwstr>https://qualitynet.cms.gov/acute-hospital-care-at-home</vt:lpwstr>
      </vt:variant>
      <vt:variant>
        <vt:lpwstr/>
      </vt:variant>
      <vt:variant>
        <vt:i4>2687075</vt:i4>
      </vt:variant>
      <vt:variant>
        <vt:i4>0</vt:i4>
      </vt:variant>
      <vt:variant>
        <vt:i4>0</vt:i4>
      </vt:variant>
      <vt:variant>
        <vt:i4>5</vt:i4>
      </vt:variant>
      <vt:variant>
        <vt:lpwstr>https://www.cms.gov/Medicare/Provider-Enrollment-and-Certification/SurveyCertEmergPrep/1135-Waivers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2</cp:revision>
  <cp:lastPrinted>2020-10-06T12:48:00Z</cp:lastPrinted>
  <dcterms:created xsi:type="dcterms:W3CDTF">2021-02-19T12:36:00Z</dcterms:created>
  <dcterms:modified xsi:type="dcterms:W3CDTF">2021-02-19T12:36:00Z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