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A4C" w:rsidR="00870D59" w:rsidP="00870D59" w:rsidRDefault="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Pr="002A43B6" w:rsidR="00870D59" w:rsidP="00870D59" w:rsidRDefault="002A43B6">
      <w:pPr>
        <w:tabs>
          <w:tab w:val="center" w:pos="4752"/>
          <w:tab w:val="left" w:pos="5040"/>
          <w:tab w:val="left" w:pos="5760"/>
          <w:tab w:val="left" w:pos="6480"/>
          <w:tab w:val="left" w:pos="7200"/>
          <w:tab w:val="left" w:pos="7920"/>
          <w:tab w:val="left" w:pos="8640"/>
          <w:tab w:val="left" w:pos="9360"/>
        </w:tabs>
        <w:jc w:val="center"/>
        <w:rPr>
          <w:b/>
          <w:sz w:val="24"/>
        </w:rPr>
      </w:pPr>
      <w:r w:rsidRPr="002A43B6">
        <w:rPr>
          <w:b/>
          <w:sz w:val="24"/>
        </w:rPr>
        <w:t>Notice of Research Exception under the Genetic Information Nondiscrimination Act</w:t>
      </w:r>
    </w:p>
    <w:p w:rsidRPr="002A43B6" w:rsidR="00870D59" w:rsidRDefault="002A43B6">
      <w:pPr>
        <w:tabs>
          <w:tab w:val="center" w:pos="4752"/>
          <w:tab w:val="left" w:pos="5040"/>
          <w:tab w:val="left" w:pos="5760"/>
          <w:tab w:val="left" w:pos="6480"/>
          <w:tab w:val="left" w:pos="7200"/>
          <w:tab w:val="left" w:pos="7920"/>
          <w:tab w:val="left" w:pos="8640"/>
          <w:tab w:val="left" w:pos="9360"/>
        </w:tabs>
        <w:rPr>
          <w:b/>
          <w:sz w:val="24"/>
        </w:rPr>
      </w:pPr>
      <w:r>
        <w:rPr>
          <w:sz w:val="32"/>
          <w:szCs w:val="32"/>
        </w:rPr>
        <w:tab/>
      </w:r>
      <w:r w:rsidRPr="002A43B6">
        <w:rPr>
          <w:b/>
          <w:sz w:val="24"/>
        </w:rPr>
        <w:t>(</w:t>
      </w:r>
      <w:r w:rsidR="00D11F14">
        <w:rPr>
          <w:b/>
          <w:sz w:val="24"/>
        </w:rPr>
        <w:t>CMS-10286/</w:t>
      </w:r>
      <w:r w:rsidRPr="002A43B6">
        <w:rPr>
          <w:b/>
          <w:sz w:val="24"/>
        </w:rPr>
        <w:t xml:space="preserve">OMB </w:t>
      </w:r>
      <w:r w:rsidR="00AC76E8">
        <w:rPr>
          <w:b/>
          <w:sz w:val="24"/>
        </w:rPr>
        <w:t>c</w:t>
      </w:r>
      <w:r w:rsidRPr="002A43B6">
        <w:rPr>
          <w:b/>
          <w:sz w:val="24"/>
        </w:rPr>
        <w:t xml:space="preserve">ontrol </w:t>
      </w:r>
      <w:r w:rsidR="00AC76E8">
        <w:rPr>
          <w:b/>
          <w:sz w:val="24"/>
        </w:rPr>
        <w:t>n</w:t>
      </w:r>
      <w:r w:rsidR="00105DDE">
        <w:rPr>
          <w:b/>
          <w:sz w:val="24"/>
        </w:rPr>
        <w:t>umber:</w:t>
      </w:r>
      <w:bookmarkStart w:name="_GoBack" w:id="0"/>
      <w:bookmarkEnd w:id="0"/>
      <w:r w:rsidRPr="002A43B6">
        <w:rPr>
          <w:b/>
          <w:sz w:val="24"/>
        </w:rPr>
        <w:t xml:space="preserve"> 0938-1077)</w:t>
      </w:r>
    </w:p>
    <w:p w:rsidR="008F1EB4" w:rsidP="002A43B6" w:rsidRDefault="008F1EB4">
      <w:pPr>
        <w:tabs>
          <w:tab w:val="center" w:pos="4752"/>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The Genetic Information Nondiscrimination Act of 2008 (GINA), Public Law 110-233, was enacted on May 21, 2008.  Title I of GINA amended the Employee Retirement Income Security Act of 1974 (ERISA), the Public Health Service Act (PHS Act), the Internal Revenue Code of 1986 (Code), and the Social Security Act (SSA) to prohibit discrimination in health coverage based on genetic information.  Sections 101 through 104 of Title I of GINA prevent employment-based group health plans, health insurance issuers in the group and individual markets, and issuers of Medicare supplemental (Medigap) policies from discriminating based on genetic information.  </w:t>
      </w:r>
    </w:p>
    <w:p w:rsidRPr="002A43B6"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A43B6"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Under GINA, group health plans and health insurance issuers in the group, individual and Medigap markets (i.e., insurance companies or health maintenance organizations (HMOs)) cannot collect (defined in the regulations to mean “request, require, or purchase”) genetic information for underwriting purposes prior to or in connection with an individual’s enrollment under the plan or coverage.  With a few limited exceptions, plans and issuers are also prohibited from requesting or requiring an individual or family member to undergo a genetic test.  </w:t>
      </w:r>
    </w:p>
    <w:p w:rsidRPr="002A43B6"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A43B6"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One of the exceptions to the prohibition from requesting or requiring an individual (or family member) to undergo a genetic test is the research exception.  A plan or issuer may request (but not require) a genetic test in connection with certain research activities so long as such activities comply with </w:t>
      </w:r>
      <w:r w:rsidR="006500B7">
        <w:rPr>
          <w:sz w:val="24"/>
        </w:rPr>
        <w:t>specific requirements, including:</w:t>
      </w:r>
      <w:r w:rsidRPr="002A43B6">
        <w:rPr>
          <w:sz w:val="24"/>
        </w:rPr>
        <w:t xml:space="preserve"> (i) the research complies with 45 CFR part 46 or equivalent federal regulations and applicable State or local law or regulations for the protection of human subjects in research</w:t>
      </w:r>
      <w:r w:rsidR="006500B7">
        <w:rPr>
          <w:sz w:val="24"/>
        </w:rPr>
        <w:t>;</w:t>
      </w:r>
      <w:r w:rsidRPr="002A43B6">
        <w:rPr>
          <w:sz w:val="24"/>
        </w:rPr>
        <w:t xml:space="preserve"> (ii) the request for the participant or beneficiary (or in the case of a minor child, the legal guardian of such beneficiary) is made in writing and clearly indicates that compliance with the request is voluntary and that non-compliance will have no effect on eligibility for benefits or premium or contribution amounts; and (iii) no genetic information collected or acquired will be used for underwriting purposes.  </w:t>
      </w:r>
    </w:p>
    <w:p w:rsidRPr="002A43B6"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A43B6"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The Secretary of Labor or the Secretary of Health and Human Services is required to be notified if a group health plan or health insurance issuer intends to claim the research exception permitted under Title I of </w:t>
      </w:r>
      <w:r w:rsidR="003E2276">
        <w:rPr>
          <w:sz w:val="24"/>
        </w:rPr>
        <w:t>GINA</w:t>
      </w:r>
      <w:r w:rsidRPr="002A43B6">
        <w:rPr>
          <w:sz w:val="24"/>
        </w:rPr>
        <w:t xml:space="preserve">.  Group health plans of private employers, issuers in group health insurance market, and issuers in the group </w:t>
      </w:r>
      <w:r w:rsidR="00D10AFA">
        <w:rPr>
          <w:sz w:val="24"/>
        </w:rPr>
        <w:t>as well as</w:t>
      </w:r>
      <w:r w:rsidRPr="002A43B6">
        <w:rPr>
          <w:sz w:val="24"/>
        </w:rPr>
        <w:t xml:space="preserve"> individual </w:t>
      </w:r>
      <w:r w:rsidR="00D10AFA">
        <w:rPr>
          <w:sz w:val="24"/>
        </w:rPr>
        <w:t xml:space="preserve">and/or Medigap </w:t>
      </w:r>
      <w:r w:rsidRPr="002A43B6">
        <w:rPr>
          <w:sz w:val="24"/>
        </w:rPr>
        <w:t>market</w:t>
      </w:r>
      <w:r w:rsidR="00D10AFA">
        <w:rPr>
          <w:sz w:val="24"/>
        </w:rPr>
        <w:t>s</w:t>
      </w:r>
      <w:r w:rsidRPr="002A43B6">
        <w:rPr>
          <w:sz w:val="24"/>
        </w:rPr>
        <w:t xml:space="preserve"> will be required to notify the Department of Labor.  Nonfederal governmental group health plans and issuers solely in the individual health insurance</w:t>
      </w:r>
      <w:r w:rsidR="00487B80">
        <w:rPr>
          <w:sz w:val="24"/>
        </w:rPr>
        <w:t xml:space="preserve"> or Medigap</w:t>
      </w:r>
      <w:r w:rsidRPr="002A43B6">
        <w:rPr>
          <w:sz w:val="24"/>
        </w:rPr>
        <w:t xml:space="preserve"> market will be required to file with the Centers for Medicare &amp; Medicaid Services (CMS).</w:t>
      </w:r>
    </w:p>
    <w:p w:rsidRPr="002A43B6"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The Notice of Research Exception under the Genetic Information Nondiscrimination Act </w:t>
      </w:r>
      <w:r w:rsidRPr="002A43B6">
        <w:rPr>
          <w:sz w:val="24"/>
        </w:rPr>
        <w:lastRenderedPageBreak/>
        <w:t>(the Notice) is a model notice that can be completed by group health plans and health insurance issuers and filed with either the Department of Labor or CMS to comply with the notification requirement.</w:t>
      </w:r>
    </w:p>
    <w:p w:rsidR="002A43B6" w:rsidP="002A43B6" w:rsidRDefault="002A4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C4863" w:rsidR="001C4863" w:rsidP="001C4863" w:rsidRDefault="001C48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4863">
        <w:rPr>
          <w:sz w:val="24"/>
        </w:rPr>
        <w:t>The Notice must be used by nonfederal governmental group health plans and by issuers solely in the individual health insurance market</w:t>
      </w:r>
      <w:r w:rsidR="00D10AFA">
        <w:rPr>
          <w:sz w:val="24"/>
        </w:rPr>
        <w:t xml:space="preserve"> and/or Medigap market</w:t>
      </w:r>
      <w:r w:rsidRPr="001C4863">
        <w:rPr>
          <w:sz w:val="24"/>
        </w:rPr>
        <w:t xml:space="preserve"> to file the required information with CMS as mandated by sections 270</w:t>
      </w:r>
      <w:r w:rsidR="00690FA7">
        <w:rPr>
          <w:sz w:val="24"/>
        </w:rPr>
        <w:t>5</w:t>
      </w:r>
      <w:r w:rsidRPr="001C4863">
        <w:rPr>
          <w:sz w:val="24"/>
        </w:rPr>
        <w:t>(c)(4)(D) and 2753(d)(4)(D) of the Public Health Service Act.  This information collection will permit CMS to track those health insurance issuers that are conducting genetic research and must comply with the genetic research requirements of GINA.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1C4863" w:rsidRDefault="001C48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4863">
        <w:rPr>
          <w:sz w:val="24"/>
        </w:rPr>
        <w:t>The Notice must be submitted by mail to CMS by nonfederal group health plans and issuers solely in the individual health insurance market</w:t>
      </w:r>
      <w:r w:rsidR="00AD452B">
        <w:rPr>
          <w:sz w:val="24"/>
        </w:rPr>
        <w:t xml:space="preserve"> and/or Medigap market</w:t>
      </w:r>
      <w:r w:rsidRPr="001C4863">
        <w:rPr>
          <w:sz w:val="24"/>
        </w:rPr>
        <w:t xml:space="preserve"> who are conducting genetic research and are requesting individual beneficiaries to participate in genetic testing.</w:t>
      </w:r>
    </w:p>
    <w:p w:rsidR="001C4863" w:rsidP="001C4863" w:rsidRDefault="001C48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1C4863" w:rsidRDefault="001C48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4863">
        <w:rPr>
          <w:sz w:val="24"/>
        </w:rPr>
        <w:t xml:space="preserve">Information will not be collected electronically.  The hard copy forms </w:t>
      </w:r>
      <w:r w:rsidR="000C28B3">
        <w:rPr>
          <w:sz w:val="24"/>
        </w:rPr>
        <w:t xml:space="preserve">must be </w:t>
      </w:r>
      <w:r w:rsidRPr="001C4863">
        <w:rPr>
          <w:sz w:val="24"/>
        </w:rPr>
        <w:t xml:space="preserve">submitted by mail </w:t>
      </w:r>
      <w:r w:rsidR="002B15F6">
        <w:rPr>
          <w:sz w:val="24"/>
        </w:rPr>
        <w:t xml:space="preserve">and </w:t>
      </w:r>
      <w:r w:rsidRPr="001C4863">
        <w:rPr>
          <w:sz w:val="24"/>
        </w:rPr>
        <w:t>are required to be signed.</w:t>
      </w:r>
    </w:p>
    <w:p w:rsidR="001C4863" w:rsidP="001C4863" w:rsidRDefault="001C48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A51162" w:rsidRDefault="00A511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51162">
        <w:rPr>
          <w:sz w:val="24"/>
        </w:rPr>
        <w:t xml:space="preserve">There is no duplication of effort regarding the Notice. </w:t>
      </w:r>
      <w:r w:rsidR="002131BF">
        <w:rPr>
          <w:sz w:val="24"/>
        </w:rPr>
        <w:t xml:space="preserve"> </w:t>
      </w:r>
      <w:r w:rsidRPr="00A51162">
        <w:rPr>
          <w:sz w:val="24"/>
        </w:rPr>
        <w:t xml:space="preserve">CMS has coordinated with the Departments of the Treasury and Labor in developing the Notice.  Group health plans of private employers, issuers in group health insurance market, and issuers in the group </w:t>
      </w:r>
      <w:r w:rsidR="00DB6006">
        <w:rPr>
          <w:sz w:val="24"/>
        </w:rPr>
        <w:t>market as well as the</w:t>
      </w:r>
      <w:r w:rsidRPr="00A51162">
        <w:rPr>
          <w:sz w:val="24"/>
        </w:rPr>
        <w:t xml:space="preserve"> individual </w:t>
      </w:r>
      <w:r w:rsidR="00DB6006">
        <w:rPr>
          <w:sz w:val="24"/>
        </w:rPr>
        <w:t xml:space="preserve">and/or Medigap </w:t>
      </w:r>
      <w:r w:rsidRPr="00A51162">
        <w:rPr>
          <w:sz w:val="24"/>
        </w:rPr>
        <w:t>market</w:t>
      </w:r>
      <w:r w:rsidR="00DB6006">
        <w:rPr>
          <w:sz w:val="24"/>
        </w:rPr>
        <w:t>s</w:t>
      </w:r>
      <w:r w:rsidRPr="00A51162">
        <w:rPr>
          <w:sz w:val="24"/>
        </w:rPr>
        <w:t xml:space="preserve"> will be required to file the Notice with the Department of Labor.  Nonfederal governmental group health plans and issuers solely in the individual health insurance market </w:t>
      </w:r>
      <w:r w:rsidR="00DB6006">
        <w:rPr>
          <w:sz w:val="24"/>
        </w:rPr>
        <w:t xml:space="preserve">and/or Medigap market </w:t>
      </w:r>
      <w:r w:rsidRPr="00A51162">
        <w:rPr>
          <w:sz w:val="24"/>
        </w:rPr>
        <w:t>will be required to file with CMS.</w:t>
      </w:r>
    </w:p>
    <w:p w:rsidR="00A51162" w:rsidP="00A51162" w:rsidRDefault="00A511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369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3690C">
        <w:rPr>
          <w:sz w:val="24"/>
        </w:rPr>
        <w:t>The information collection does not impose any burden on small businesses or entities.</w:t>
      </w:r>
      <w:r w:rsidR="008F1EB4">
        <w:rPr>
          <w:sz w:val="24"/>
        </w:rPr>
        <w:t xml:space="preserve">  </w:t>
      </w:r>
    </w:p>
    <w:p w:rsidR="00023CB8" w:rsidRDefault="00023C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AE2339" w:rsidRDefault="00AE23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E2339">
        <w:rPr>
          <w:sz w:val="24"/>
        </w:rPr>
        <w:t xml:space="preserve">This is a one-time collection.  If the information collection is not conducted, CMS will not be notified as to which nonfederal governmental plans and issuers in the individual </w:t>
      </w:r>
      <w:r w:rsidR="00A5049B">
        <w:rPr>
          <w:sz w:val="24"/>
        </w:rPr>
        <w:t xml:space="preserve">or Medigap </w:t>
      </w:r>
      <w:r w:rsidRPr="00AE2339">
        <w:rPr>
          <w:sz w:val="24"/>
        </w:rPr>
        <w:t xml:space="preserve">market are conducting genetic research in a manner that </w:t>
      </w:r>
      <w:proofErr w:type="gramStart"/>
      <w:r w:rsidRPr="00AE2339">
        <w:rPr>
          <w:sz w:val="24"/>
        </w:rPr>
        <w:t>is in compliance with</w:t>
      </w:r>
      <w:proofErr w:type="gramEnd"/>
      <w:r w:rsidRPr="00AE2339">
        <w:rPr>
          <w:sz w:val="24"/>
        </w:rPr>
        <w:t xml:space="preserve"> </w:t>
      </w:r>
      <w:r w:rsidRPr="00AE2339">
        <w:rPr>
          <w:sz w:val="24"/>
        </w:rPr>
        <w:lastRenderedPageBreak/>
        <w:t>GINA.</w:t>
      </w:r>
    </w:p>
    <w:p w:rsidR="00AE2339" w:rsidP="00AE2339" w:rsidRDefault="00AE23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E23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special circumstances.</w:t>
      </w:r>
    </w:p>
    <w:p w:rsidR="00AE2339" w:rsidRDefault="00AE23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85D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DBE">
        <w:rPr>
          <w:sz w:val="24"/>
        </w:rPr>
        <w:t xml:space="preserve">A </w:t>
      </w:r>
      <w:r w:rsidR="003807F3">
        <w:rPr>
          <w:sz w:val="24"/>
        </w:rPr>
        <w:t>60</w:t>
      </w:r>
      <w:r w:rsidR="004F2075">
        <w:rPr>
          <w:sz w:val="24"/>
        </w:rPr>
        <w:t xml:space="preserve">-day Notice was </w:t>
      </w:r>
      <w:r w:rsidRPr="00A85DBE">
        <w:rPr>
          <w:sz w:val="24"/>
        </w:rPr>
        <w:t>published</w:t>
      </w:r>
      <w:r w:rsidR="004F2075">
        <w:rPr>
          <w:sz w:val="24"/>
        </w:rPr>
        <w:t xml:space="preserve"> in the Federal Register on 1/11/2022 (V. 87. No. 1415) for the public to submit written comment on the information collection requirements.  </w:t>
      </w:r>
      <w:r w:rsidR="000A2A62">
        <w:rPr>
          <w:sz w:val="24"/>
        </w:rPr>
        <w:t>No comments were received.</w:t>
      </w:r>
      <w:r w:rsidR="004F2075">
        <w:rPr>
          <w:sz w:val="24"/>
        </w:rPr>
        <w:t xml:space="preserve">  A 30-day Notice was published in the Federal Register on 5/10/2022 (V. 86. No. 28014) for the public to submit written comment on the information collection requirements.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A31217" w:rsidRDefault="00A312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1217">
        <w:rPr>
          <w:sz w:val="24"/>
        </w:rPr>
        <w:t>No payments or gift</w:t>
      </w:r>
      <w:r w:rsidR="00C1710F">
        <w:rPr>
          <w:sz w:val="24"/>
        </w:rPr>
        <w:t>s are associated with this ICR</w:t>
      </w:r>
      <w:r w:rsidRPr="00A31217">
        <w:rPr>
          <w:sz w:val="24"/>
        </w:rPr>
        <w:t>.</w:t>
      </w:r>
    </w:p>
    <w:p w:rsidR="00A31217" w:rsidP="00A31217" w:rsidRDefault="00A312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9A418E" w:rsidRDefault="00C858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858AB">
        <w:rPr>
          <w:sz w:val="24"/>
        </w:rPr>
        <w:t>No personal identifiable information is being collected.</w:t>
      </w:r>
      <w:r>
        <w:rPr>
          <w:sz w:val="24"/>
        </w:rPr>
        <w:t xml:space="preserve">  </w:t>
      </w:r>
      <w:r w:rsidRPr="009A418E" w:rsidR="009A418E">
        <w:rPr>
          <w:sz w:val="24"/>
        </w:rPr>
        <w:t>CMS will protect privacy of the information provided to the extent provided by law.</w:t>
      </w:r>
    </w:p>
    <w:p w:rsidR="009A418E" w:rsidP="009A418E" w:rsidRDefault="009A41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171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w:t>
      </w:r>
      <w:r w:rsidR="00CD66C8">
        <w:rPr>
          <w:sz w:val="24"/>
        </w:rPr>
        <w:t>data collection</w:t>
      </w:r>
      <w:r w:rsidRPr="008016AD" w:rsidR="00CD66C8">
        <w:rPr>
          <w:sz w:val="24"/>
        </w:rPr>
        <w:t xml:space="preserve"> </w:t>
      </w:r>
      <w:r w:rsidRPr="008016AD" w:rsidR="008016AD">
        <w:rPr>
          <w:sz w:val="24"/>
        </w:rPr>
        <w:t>involve</w:t>
      </w:r>
      <w:r>
        <w:rPr>
          <w:sz w:val="24"/>
        </w:rPr>
        <w:t>s</w:t>
      </w:r>
      <w:r w:rsidRPr="008016AD" w:rsidR="008016AD">
        <w:rPr>
          <w:sz w:val="24"/>
        </w:rPr>
        <w:t xml:space="preserve"> no 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57EA" w:rsidP="00095060"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D66C8">
        <w:rPr>
          <w:sz w:val="24"/>
        </w:rPr>
        <w:t>Average labor costs (including 100 percent fringe benefits) used to estimate the costs are calculated using data available from the Bureau of Labor Statistics.</w:t>
      </w:r>
      <w:r w:rsidRPr="00CD66C8">
        <w:rPr>
          <w:sz w:val="24"/>
          <w:vertAlign w:val="superscript"/>
        </w:rPr>
        <w:footnoteReference w:id="1"/>
      </w:r>
      <w:r w:rsidR="00CD3FB3">
        <w:rPr>
          <w:sz w:val="24"/>
        </w:rPr>
        <w:t xml:space="preserve">  </w:t>
      </w:r>
      <w:r w:rsidRPr="00F357EA" w:rsidR="00F357EA">
        <w:rPr>
          <w:sz w:val="24"/>
        </w:rPr>
        <w:t>The burden estimates have been updated based on recent data</w:t>
      </w:r>
      <w:r w:rsidR="00652914">
        <w:rPr>
          <w:sz w:val="24"/>
        </w:rPr>
        <w:t xml:space="preserve"> on labor and mailing costs</w:t>
      </w:r>
      <w:r w:rsidRPr="00F357EA" w:rsidR="00F357EA">
        <w:rPr>
          <w:sz w:val="24"/>
        </w:rPr>
        <w:t xml:space="preserve">.  </w:t>
      </w:r>
    </w:p>
    <w:p w:rsidR="00F357EA" w:rsidP="00095060" w:rsidRDefault="00F357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56B0" w:rsidP="00C474F1"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46869">
        <w:rPr>
          <w:b/>
          <w:sz w:val="24"/>
        </w:rPr>
        <w:t>Table 1: National Occupational Employment and Wage Estimates</w:t>
      </w:r>
    </w:p>
    <w:p w:rsidRPr="00CD66C8" w:rsidR="00FC4F26" w:rsidP="00C474F1" w:rsidRDefault="00FC4F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5"/>
        <w:gridCol w:w="1493"/>
        <w:gridCol w:w="1396"/>
        <w:gridCol w:w="1888"/>
        <w:gridCol w:w="1802"/>
      </w:tblGrid>
      <w:tr w:rsidRPr="00392FA1" w:rsidR="00392FA1" w:rsidTr="0034484C">
        <w:trPr>
          <w:jc w:val="center"/>
        </w:trPr>
        <w:tc>
          <w:tcPr>
            <w:tcW w:w="1641"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BLS Occupation Title</w:t>
            </w:r>
          </w:p>
        </w:tc>
        <w:tc>
          <w:tcPr>
            <w:tcW w:w="647"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Occupational Code</w:t>
            </w:r>
          </w:p>
        </w:tc>
        <w:tc>
          <w:tcPr>
            <w:tcW w:w="750"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Mean Hourly Wage ($/</w:t>
            </w:r>
            <w:r w:rsidRPr="00392FA1" w:rsidR="009D21F4">
              <w:rPr>
                <w:bCs/>
                <w:sz w:val="24"/>
              </w:rPr>
              <w:t>h</w:t>
            </w:r>
            <w:r w:rsidR="009D21F4">
              <w:rPr>
                <w:bCs/>
                <w:sz w:val="24"/>
              </w:rPr>
              <w:t>our</w:t>
            </w:r>
            <w:r w:rsidRPr="00392FA1">
              <w:rPr>
                <w:bCs/>
                <w:sz w:val="24"/>
              </w:rPr>
              <w:t>)</w:t>
            </w:r>
          </w:p>
        </w:tc>
        <w:tc>
          <w:tcPr>
            <w:tcW w:w="1003"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Fringe Benefits and Overhead ($/</w:t>
            </w:r>
            <w:r w:rsidRPr="00392FA1" w:rsidR="009D21F4">
              <w:rPr>
                <w:bCs/>
                <w:sz w:val="24"/>
              </w:rPr>
              <w:t>h</w:t>
            </w:r>
            <w:r w:rsidR="009D21F4">
              <w:rPr>
                <w:bCs/>
                <w:sz w:val="24"/>
              </w:rPr>
              <w:t>our</w:t>
            </w:r>
            <w:r w:rsidRPr="00392FA1">
              <w:rPr>
                <w:bCs/>
                <w:sz w:val="24"/>
              </w:rPr>
              <w:t>)</w:t>
            </w:r>
          </w:p>
        </w:tc>
        <w:tc>
          <w:tcPr>
            <w:tcW w:w="959"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Adjusted Hourly Wage ($/</w:t>
            </w:r>
            <w:r w:rsidRPr="00392FA1" w:rsidR="009D21F4">
              <w:rPr>
                <w:bCs/>
                <w:sz w:val="24"/>
              </w:rPr>
              <w:t>h</w:t>
            </w:r>
            <w:r w:rsidR="009D21F4">
              <w:rPr>
                <w:bCs/>
                <w:sz w:val="24"/>
              </w:rPr>
              <w:t>our</w:t>
            </w:r>
            <w:r w:rsidRPr="00392FA1">
              <w:rPr>
                <w:bCs/>
                <w:sz w:val="24"/>
              </w:rPr>
              <w:t>)</w:t>
            </w:r>
          </w:p>
        </w:tc>
      </w:tr>
      <w:tr w:rsidRPr="00392FA1" w:rsidR="00392FA1" w:rsidTr="0034484C">
        <w:trPr>
          <w:jc w:val="center"/>
        </w:trPr>
        <w:tc>
          <w:tcPr>
            <w:tcW w:w="1641" w:type="pct"/>
            <w:shd w:val="clear" w:color="auto" w:fill="auto"/>
            <w:vAlign w:val="center"/>
          </w:tcPr>
          <w:p w:rsidRPr="00392FA1" w:rsidR="00CD66C8" w:rsidP="0034484C" w:rsidRDefault="008F21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92FA1">
              <w:rPr>
                <w:bCs/>
                <w:sz w:val="24"/>
              </w:rPr>
              <w:t xml:space="preserve">Secretaries and Administrative Assistants, </w:t>
            </w:r>
            <w:r w:rsidRPr="00392FA1">
              <w:rPr>
                <w:bCs/>
                <w:sz w:val="24"/>
              </w:rPr>
              <w:lastRenderedPageBreak/>
              <w:t>Except Legal, Medical, and Executive</w:t>
            </w:r>
          </w:p>
        </w:tc>
        <w:tc>
          <w:tcPr>
            <w:tcW w:w="647"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lastRenderedPageBreak/>
              <w:t>43-601</w:t>
            </w:r>
            <w:r w:rsidRPr="00392FA1" w:rsidR="008F2156">
              <w:rPr>
                <w:bCs/>
                <w:sz w:val="24"/>
              </w:rPr>
              <w:t>4</w:t>
            </w:r>
          </w:p>
        </w:tc>
        <w:tc>
          <w:tcPr>
            <w:tcW w:w="750"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w:t>
            </w:r>
            <w:r w:rsidR="00AF5480">
              <w:rPr>
                <w:bCs/>
                <w:sz w:val="24"/>
              </w:rPr>
              <w:t>19.43</w:t>
            </w:r>
          </w:p>
        </w:tc>
        <w:tc>
          <w:tcPr>
            <w:tcW w:w="1003"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w:t>
            </w:r>
            <w:r w:rsidR="00AF5480">
              <w:rPr>
                <w:bCs/>
                <w:sz w:val="24"/>
              </w:rPr>
              <w:t>19.43</w:t>
            </w:r>
          </w:p>
        </w:tc>
        <w:tc>
          <w:tcPr>
            <w:tcW w:w="959" w:type="pct"/>
            <w:shd w:val="clear" w:color="auto" w:fill="auto"/>
            <w:vAlign w:val="center"/>
          </w:tcPr>
          <w:p w:rsidRPr="00392FA1" w:rsidR="00CD66C8" w:rsidP="0034484C"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w:t>
            </w:r>
            <w:r w:rsidR="00AF5480">
              <w:rPr>
                <w:bCs/>
                <w:sz w:val="24"/>
              </w:rPr>
              <w:t>38.86</w:t>
            </w:r>
          </w:p>
        </w:tc>
      </w:tr>
    </w:tbl>
    <w:p w:rsidR="00CD66C8" w:rsidP="00095060" w:rsidRDefault="00CD6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095060" w:rsidR="00095060" w:rsidP="00095060" w:rsidRDefault="00095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95060">
        <w:rPr>
          <w:sz w:val="24"/>
        </w:rPr>
        <w:t>CMS estimates that up to two such entities will take advantage of the research exception</w:t>
      </w:r>
      <w:r w:rsidR="00F357EA">
        <w:rPr>
          <w:sz w:val="24"/>
        </w:rPr>
        <w:t xml:space="preserve"> annually</w:t>
      </w:r>
      <w:r w:rsidRPr="00095060">
        <w:rPr>
          <w:sz w:val="24"/>
        </w:rPr>
        <w:t xml:space="preserve">, and that all of the entities will comply with the requirements of 45 CFR Part 46, including providing the participant disclosure.  </w:t>
      </w:r>
    </w:p>
    <w:p w:rsidRPr="00095060" w:rsidR="00095060" w:rsidP="00095060" w:rsidRDefault="00095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3FB3" w:rsidP="00095060" w:rsidRDefault="00095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95060">
        <w:rPr>
          <w:sz w:val="24"/>
        </w:rPr>
        <w:t>CMS also estimates that</w:t>
      </w:r>
      <w:r w:rsidR="00200C7F">
        <w:rPr>
          <w:sz w:val="24"/>
        </w:rPr>
        <w:t>,</w:t>
      </w:r>
      <w:r w:rsidRPr="00095060">
        <w:rPr>
          <w:sz w:val="24"/>
        </w:rPr>
        <w:t xml:space="preserve"> </w:t>
      </w:r>
      <w:r w:rsidR="00200C7F">
        <w:rPr>
          <w:sz w:val="24"/>
        </w:rPr>
        <w:t xml:space="preserve">for each respondent, </w:t>
      </w:r>
      <w:r w:rsidRPr="00095060">
        <w:rPr>
          <w:sz w:val="24"/>
        </w:rPr>
        <w:t xml:space="preserve">completing and mailing the </w:t>
      </w:r>
      <w:r w:rsidR="008264AE">
        <w:rPr>
          <w:sz w:val="24"/>
        </w:rPr>
        <w:t>N</w:t>
      </w:r>
      <w:r w:rsidRPr="00095060">
        <w:rPr>
          <w:sz w:val="24"/>
        </w:rPr>
        <w:t xml:space="preserve">otice will require 15 minutes of clerical time </w:t>
      </w:r>
      <w:r w:rsidR="00200C7F">
        <w:rPr>
          <w:sz w:val="24"/>
        </w:rPr>
        <w:t>(</w:t>
      </w:r>
      <w:r w:rsidRPr="00095060">
        <w:rPr>
          <w:sz w:val="24"/>
        </w:rPr>
        <w:t>at an hourly rate of $</w:t>
      </w:r>
      <w:r w:rsidR="007C405E">
        <w:rPr>
          <w:sz w:val="24"/>
        </w:rPr>
        <w:t>38.86</w:t>
      </w:r>
      <w:r w:rsidR="00200C7F">
        <w:rPr>
          <w:sz w:val="24"/>
        </w:rPr>
        <w:t>) with an equivalent cost of approximately $</w:t>
      </w:r>
      <w:r w:rsidR="007C405E">
        <w:rPr>
          <w:sz w:val="24"/>
        </w:rPr>
        <w:t>10</w:t>
      </w:r>
      <w:r w:rsidRPr="00095060">
        <w:rPr>
          <w:sz w:val="24"/>
        </w:rPr>
        <w:t xml:space="preserve">. </w:t>
      </w:r>
      <w:r w:rsidR="00437CBE">
        <w:rPr>
          <w:sz w:val="24"/>
        </w:rPr>
        <w:t xml:space="preserve"> </w:t>
      </w:r>
      <w:r w:rsidRPr="00095060">
        <w:rPr>
          <w:sz w:val="24"/>
        </w:rPr>
        <w:t xml:space="preserve">Therefore, the total hour burden associated with completing the </w:t>
      </w:r>
      <w:r w:rsidR="008264AE">
        <w:rPr>
          <w:sz w:val="24"/>
        </w:rPr>
        <w:t>N</w:t>
      </w:r>
      <w:r w:rsidRPr="00095060">
        <w:rPr>
          <w:sz w:val="24"/>
        </w:rPr>
        <w:t xml:space="preserve">otice is estimated to be </w:t>
      </w:r>
      <w:r w:rsidR="008264AE">
        <w:rPr>
          <w:sz w:val="24"/>
        </w:rPr>
        <w:t>0</w:t>
      </w:r>
      <w:r w:rsidRPr="00095060">
        <w:rPr>
          <w:sz w:val="24"/>
        </w:rPr>
        <w:t>.5 hours of clerical time</w:t>
      </w:r>
      <w:r w:rsidR="003A216E">
        <w:rPr>
          <w:sz w:val="24"/>
        </w:rPr>
        <w:t xml:space="preserve"> for two respondents, with an equivalent cost of </w:t>
      </w:r>
      <w:r w:rsidR="0048395C">
        <w:rPr>
          <w:sz w:val="24"/>
        </w:rPr>
        <w:t xml:space="preserve">approximately </w:t>
      </w:r>
      <w:r w:rsidR="003A216E">
        <w:rPr>
          <w:sz w:val="24"/>
        </w:rPr>
        <w:t>$</w:t>
      </w:r>
      <w:r w:rsidR="007C405E">
        <w:rPr>
          <w:sz w:val="24"/>
        </w:rPr>
        <w:t>20</w:t>
      </w:r>
      <w:r w:rsidRPr="00095060">
        <w:rPr>
          <w:sz w:val="24"/>
        </w:rPr>
        <w:t xml:space="preserve">.  </w:t>
      </w:r>
    </w:p>
    <w:p w:rsidR="00095060" w:rsidP="00095060" w:rsidRDefault="00095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C40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C405E">
        <w:rPr>
          <w:sz w:val="24"/>
        </w:rPr>
        <w:t xml:space="preserve">The cost of materials (paper and ink) for each </w:t>
      </w:r>
      <w:proofErr w:type="gramStart"/>
      <w:r w:rsidRPr="007C405E">
        <w:rPr>
          <w:sz w:val="24"/>
        </w:rPr>
        <w:t>two page</w:t>
      </w:r>
      <w:proofErr w:type="gramEnd"/>
      <w:r w:rsidRPr="007C405E">
        <w:rPr>
          <w:sz w:val="24"/>
        </w:rPr>
        <w:t xml:space="preserve"> Notice is estimated to be $0.10 and mailing cost is $0.58 for each Notice</w:t>
      </w:r>
      <w:r w:rsidR="00A575DB">
        <w:rPr>
          <w:sz w:val="24"/>
        </w:rPr>
        <w:t>. Therefore, the total materials and postage cost for each notice is $0.68</w:t>
      </w:r>
      <w:r w:rsidRPr="007C405E">
        <w:rPr>
          <w:sz w:val="24"/>
        </w:rPr>
        <w:t xml:space="preserve">, with the total materials and postage cost for two respondents being $1.36.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95060" w:rsidRDefault="00095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95060">
        <w:rPr>
          <w:sz w:val="24"/>
        </w:rPr>
        <w:t>There is no cost to the federal government.</w:t>
      </w:r>
    </w:p>
    <w:p w:rsidR="00095060" w:rsidP="00095060" w:rsidRDefault="00095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095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changes </w:t>
      </w:r>
      <w:r w:rsidR="00450DA2">
        <w:rPr>
          <w:sz w:val="24"/>
        </w:rPr>
        <w:t xml:space="preserve">in </w:t>
      </w:r>
      <w:r>
        <w:rPr>
          <w:sz w:val="24"/>
        </w:rPr>
        <w:t>burden</w:t>
      </w:r>
      <w:r w:rsidR="008F1EB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448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sz w:val="24"/>
        </w:rPr>
        <w:tab/>
      </w:r>
      <w:r w:rsidRPr="00A871C3" w:rsidR="00A871C3">
        <w:rPr>
          <w:bCs/>
          <w:sz w:val="24"/>
        </w:rPr>
        <w:t>There are no plans to publish the outcome of the data collection</w:t>
      </w:r>
      <w:r w:rsidRPr="00A871C3" w:rsidR="00A871C3">
        <w:rPr>
          <w:sz w:val="24"/>
        </w:rPr>
        <w:t>.</w:t>
      </w:r>
    </w:p>
    <w:p w:rsidR="0034484C" w:rsidRDefault="003448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34484C" w:rsidRDefault="00A871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r w:rsidRPr="00A871C3">
        <w:rPr>
          <w:sz w:val="24"/>
        </w:rPr>
        <w:t xml:space="preserve">The expiration date will be displayed on the first page of each instrument </w:t>
      </w:r>
      <w:r w:rsidR="004F2075">
        <w:rPr>
          <w:sz w:val="24"/>
        </w:rPr>
        <w:t xml:space="preserve">in the </w:t>
      </w:r>
      <w:r w:rsidRPr="00A871C3">
        <w:rPr>
          <w:sz w:val="24"/>
        </w:rPr>
        <w:t>top</w:t>
      </w:r>
      <w:r w:rsidR="004F2075">
        <w:rPr>
          <w:sz w:val="24"/>
        </w:rPr>
        <w:t xml:space="preserve"> </w:t>
      </w:r>
      <w:r w:rsidRPr="00A871C3">
        <w:rPr>
          <w:sz w:val="24"/>
        </w:rPr>
        <w:t>right corner.</w:t>
      </w:r>
    </w:p>
    <w:sectPr w:rsidR="000F3AF4" w:rsidSect="008717B3">
      <w:footerReference w:type="default" r:id="rId7"/>
      <w:endnotePr>
        <w:numFmt w:val="decimal"/>
      </w:endnotePr>
      <w:type w:val="continuous"/>
      <w:pgSz w:w="12240" w:h="15840"/>
      <w:pgMar w:top="1440" w:right="1440" w:bottom="1440" w:left="1440" w:header="1440" w:footer="73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BDC" w:rsidRDefault="00E04BDC">
      <w:r>
        <w:separator/>
      </w:r>
    </w:p>
  </w:endnote>
  <w:endnote w:type="continuationSeparator" w:id="0">
    <w:p w:rsidR="00E04BDC" w:rsidRDefault="00E0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556B0">
      <w:rPr>
        <w:noProof/>
        <w:sz w:val="24"/>
      </w:rPr>
      <w:t>4</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BDC" w:rsidRDefault="00E04BDC">
      <w:r>
        <w:separator/>
      </w:r>
    </w:p>
  </w:footnote>
  <w:footnote w:type="continuationSeparator" w:id="0">
    <w:p w:rsidR="00E04BDC" w:rsidRDefault="00E04BDC">
      <w:r>
        <w:continuationSeparator/>
      </w:r>
    </w:p>
  </w:footnote>
  <w:footnote w:id="1">
    <w:p w:rsidR="00CD66C8" w:rsidRPr="00C94A18" w:rsidRDefault="00CD66C8" w:rsidP="00CD66C8">
      <w:pPr>
        <w:pStyle w:val="FootnoteText"/>
      </w:pPr>
      <w:r w:rsidRPr="00C94A18">
        <w:rPr>
          <w:rStyle w:val="FootnoteReference"/>
          <w:vertAlign w:val="superscript"/>
        </w:rPr>
        <w:footnoteRef/>
      </w:r>
      <w:r w:rsidRPr="00C94A18">
        <w:t xml:space="preserve"> </w:t>
      </w:r>
      <w:r w:rsidRPr="00C94A18">
        <w:rPr>
          <w:szCs w:val="24"/>
        </w:rPr>
        <w:t>May 20</w:t>
      </w:r>
      <w:r w:rsidR="00AF5480">
        <w:rPr>
          <w:szCs w:val="24"/>
        </w:rPr>
        <w:t>20</w:t>
      </w:r>
      <w:r w:rsidRPr="00C94A18">
        <w:rPr>
          <w:szCs w:val="24"/>
        </w:rPr>
        <w:t xml:space="preserve"> National Occupational Employment and Wage Estimates United States found at </w:t>
      </w:r>
      <w:hyperlink r:id="rId1" w:history="1">
        <w:r w:rsidRPr="00C94A18">
          <w:rPr>
            <w:color w:val="0000FF"/>
            <w:szCs w:val="24"/>
            <w:u w:val="single"/>
          </w:rPr>
          <w:t>https://www.bls.gov/oe</w:t>
        </w:r>
        <w:r w:rsidRPr="00C94A18">
          <w:rPr>
            <w:color w:val="0000FF"/>
            <w:szCs w:val="24"/>
            <w:u w:val="single"/>
          </w:rPr>
          <w:t>s</w:t>
        </w:r>
        <w:r w:rsidRPr="00C94A18">
          <w:rPr>
            <w:color w:val="0000FF"/>
            <w:szCs w:val="24"/>
            <w:u w:val="single"/>
          </w:rPr>
          <w:t>/current/oes_nat.htm</w:t>
        </w:r>
      </w:hyperlink>
      <w:r w:rsidRPr="00C94A18">
        <w:rPr>
          <w:szCs w:val="24"/>
        </w:rPr>
        <w:t>.</w:t>
      </w:r>
      <w:r>
        <w:rPr>
          <w:szCs w:val="24"/>
        </w:rPr>
        <w:t xml:space="preserve"> </w:t>
      </w:r>
      <w:r w:rsidRPr="00FB05FE">
        <w:rPr>
          <w:szCs w:val="24"/>
        </w:rPr>
        <w:t xml:space="preserve">To account for fringe and overhead, </w:t>
      </w:r>
      <w:r w:rsidR="00AF5480">
        <w:rPr>
          <w:szCs w:val="24"/>
        </w:rPr>
        <w:t>CMS</w:t>
      </w:r>
      <w:r w:rsidRPr="00FB05FE">
        <w:rPr>
          <w:szCs w:val="24"/>
        </w:rPr>
        <w:t xml:space="preserve"> is using 100% of the hourly labor wage.</w:t>
      </w:r>
    </w:p>
    <w:p w:rsidR="00CD66C8" w:rsidRPr="00C94A18" w:rsidRDefault="00CD66C8" w:rsidP="00CD66C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12345"/>
    <w:rsid w:val="00017C2F"/>
    <w:rsid w:val="00023CB8"/>
    <w:rsid w:val="00095060"/>
    <w:rsid w:val="000A2A62"/>
    <w:rsid w:val="000B61F1"/>
    <w:rsid w:val="000C28B3"/>
    <w:rsid w:val="000D6D90"/>
    <w:rsid w:val="000E4487"/>
    <w:rsid w:val="000F3AF4"/>
    <w:rsid w:val="00105DDE"/>
    <w:rsid w:val="0011169A"/>
    <w:rsid w:val="00134307"/>
    <w:rsid w:val="00147ED2"/>
    <w:rsid w:val="00177A2E"/>
    <w:rsid w:val="00184898"/>
    <w:rsid w:val="001A12BE"/>
    <w:rsid w:val="001C4863"/>
    <w:rsid w:val="001D7DD3"/>
    <w:rsid w:val="001E714C"/>
    <w:rsid w:val="00200C7F"/>
    <w:rsid w:val="002131BF"/>
    <w:rsid w:val="002227CF"/>
    <w:rsid w:val="002A43B6"/>
    <w:rsid w:val="002A509F"/>
    <w:rsid w:val="002B15F6"/>
    <w:rsid w:val="002C766A"/>
    <w:rsid w:val="002E09C5"/>
    <w:rsid w:val="003210EC"/>
    <w:rsid w:val="0034484C"/>
    <w:rsid w:val="003556B0"/>
    <w:rsid w:val="003807F3"/>
    <w:rsid w:val="00381CA0"/>
    <w:rsid w:val="00392FA1"/>
    <w:rsid w:val="003A216E"/>
    <w:rsid w:val="003E2276"/>
    <w:rsid w:val="00431DB9"/>
    <w:rsid w:val="0043702F"/>
    <w:rsid w:val="00437CBE"/>
    <w:rsid w:val="00450DA2"/>
    <w:rsid w:val="0048395C"/>
    <w:rsid w:val="00487B80"/>
    <w:rsid w:val="004F2075"/>
    <w:rsid w:val="00587A29"/>
    <w:rsid w:val="0059339D"/>
    <w:rsid w:val="005B42E5"/>
    <w:rsid w:val="005D27B2"/>
    <w:rsid w:val="005E27D7"/>
    <w:rsid w:val="005E5B3D"/>
    <w:rsid w:val="006348AF"/>
    <w:rsid w:val="006500B7"/>
    <w:rsid w:val="00652914"/>
    <w:rsid w:val="00675746"/>
    <w:rsid w:val="00690FA7"/>
    <w:rsid w:val="006D3656"/>
    <w:rsid w:val="006D6157"/>
    <w:rsid w:val="00701530"/>
    <w:rsid w:val="00736968"/>
    <w:rsid w:val="00746869"/>
    <w:rsid w:val="00755B54"/>
    <w:rsid w:val="007C265D"/>
    <w:rsid w:val="007C405E"/>
    <w:rsid w:val="008016AD"/>
    <w:rsid w:val="00805D05"/>
    <w:rsid w:val="008264AE"/>
    <w:rsid w:val="0083690C"/>
    <w:rsid w:val="0084179A"/>
    <w:rsid w:val="00870D59"/>
    <w:rsid w:val="008717B3"/>
    <w:rsid w:val="008C73F9"/>
    <w:rsid w:val="008D184A"/>
    <w:rsid w:val="008F1EB4"/>
    <w:rsid w:val="008F2156"/>
    <w:rsid w:val="008F2B84"/>
    <w:rsid w:val="00914182"/>
    <w:rsid w:val="0092331F"/>
    <w:rsid w:val="009251DA"/>
    <w:rsid w:val="00936D9D"/>
    <w:rsid w:val="00943083"/>
    <w:rsid w:val="0097577B"/>
    <w:rsid w:val="00975E2E"/>
    <w:rsid w:val="00987F31"/>
    <w:rsid w:val="009A418E"/>
    <w:rsid w:val="009C66DD"/>
    <w:rsid w:val="009D21F4"/>
    <w:rsid w:val="009D66F6"/>
    <w:rsid w:val="009E5015"/>
    <w:rsid w:val="00A11E7A"/>
    <w:rsid w:val="00A12986"/>
    <w:rsid w:val="00A31217"/>
    <w:rsid w:val="00A5049B"/>
    <w:rsid w:val="00A51162"/>
    <w:rsid w:val="00A575DB"/>
    <w:rsid w:val="00A6787B"/>
    <w:rsid w:val="00A85DBE"/>
    <w:rsid w:val="00A871C3"/>
    <w:rsid w:val="00AC76E8"/>
    <w:rsid w:val="00AD452B"/>
    <w:rsid w:val="00AD49AE"/>
    <w:rsid w:val="00AE2339"/>
    <w:rsid w:val="00AE58CD"/>
    <w:rsid w:val="00AF5480"/>
    <w:rsid w:val="00B7066F"/>
    <w:rsid w:val="00BC6C7B"/>
    <w:rsid w:val="00BD75FB"/>
    <w:rsid w:val="00C1710F"/>
    <w:rsid w:val="00C27080"/>
    <w:rsid w:val="00C34E33"/>
    <w:rsid w:val="00C43150"/>
    <w:rsid w:val="00C474F1"/>
    <w:rsid w:val="00C858AB"/>
    <w:rsid w:val="00C92E3C"/>
    <w:rsid w:val="00CA6649"/>
    <w:rsid w:val="00CD3FB3"/>
    <w:rsid w:val="00CD66C8"/>
    <w:rsid w:val="00CE3F6A"/>
    <w:rsid w:val="00D10AFA"/>
    <w:rsid w:val="00D11F14"/>
    <w:rsid w:val="00D12B73"/>
    <w:rsid w:val="00DB6006"/>
    <w:rsid w:val="00DC3D5B"/>
    <w:rsid w:val="00DF2E87"/>
    <w:rsid w:val="00E04BDC"/>
    <w:rsid w:val="00E13E76"/>
    <w:rsid w:val="00E52298"/>
    <w:rsid w:val="00ED1B0B"/>
    <w:rsid w:val="00F26575"/>
    <w:rsid w:val="00F357EA"/>
    <w:rsid w:val="00F82C86"/>
    <w:rsid w:val="00F9432F"/>
    <w:rsid w:val="00FB74EC"/>
    <w:rsid w:val="00FC4F26"/>
    <w:rsid w:val="00FD1135"/>
    <w:rsid w:val="00FE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01817"/>
  <w15:chartTrackingRefBased/>
  <w15:docId w15:val="{79628C8A-D81B-4935-9BFC-390FE857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rsid w:val="008264AE"/>
    <w:rPr>
      <w:sz w:val="16"/>
      <w:szCs w:val="16"/>
    </w:rPr>
  </w:style>
  <w:style w:type="paragraph" w:styleId="CommentText">
    <w:name w:val="annotation text"/>
    <w:basedOn w:val="Normal"/>
    <w:link w:val="CommentTextChar"/>
    <w:rsid w:val="008264AE"/>
    <w:rPr>
      <w:szCs w:val="20"/>
    </w:rPr>
  </w:style>
  <w:style w:type="character" w:customStyle="1" w:styleId="CommentTextChar">
    <w:name w:val="Comment Text Char"/>
    <w:basedOn w:val="DefaultParagraphFont"/>
    <w:link w:val="CommentText"/>
    <w:rsid w:val="008264AE"/>
  </w:style>
  <w:style w:type="paragraph" w:styleId="CommentSubject">
    <w:name w:val="annotation subject"/>
    <w:basedOn w:val="CommentText"/>
    <w:next w:val="CommentText"/>
    <w:link w:val="CommentSubjectChar"/>
    <w:rsid w:val="008264AE"/>
    <w:rPr>
      <w:b/>
      <w:bCs/>
    </w:rPr>
  </w:style>
  <w:style w:type="character" w:customStyle="1" w:styleId="CommentSubjectChar">
    <w:name w:val="Comment Subject Char"/>
    <w:link w:val="CommentSubject"/>
    <w:rsid w:val="008264AE"/>
    <w:rPr>
      <w:b/>
      <w:bCs/>
    </w:rPr>
  </w:style>
  <w:style w:type="paragraph" w:styleId="BalloonText">
    <w:name w:val="Balloon Text"/>
    <w:basedOn w:val="Normal"/>
    <w:link w:val="BalloonTextChar"/>
    <w:rsid w:val="008264AE"/>
    <w:rPr>
      <w:rFonts w:ascii="Tahoma" w:hAnsi="Tahoma" w:cs="Tahoma"/>
      <w:sz w:val="16"/>
      <w:szCs w:val="16"/>
    </w:rPr>
  </w:style>
  <w:style w:type="character" w:customStyle="1" w:styleId="BalloonTextChar">
    <w:name w:val="Balloon Text Char"/>
    <w:link w:val="BalloonText"/>
    <w:rsid w:val="008264AE"/>
    <w:rPr>
      <w:rFonts w:ascii="Tahoma" w:hAnsi="Tahoma" w:cs="Tahoma"/>
      <w:sz w:val="16"/>
      <w:szCs w:val="16"/>
    </w:rPr>
  </w:style>
  <w:style w:type="paragraph" w:styleId="FootnoteText">
    <w:name w:val="footnote text"/>
    <w:basedOn w:val="Normal"/>
    <w:link w:val="FootnoteTextChar"/>
    <w:rsid w:val="00CD66C8"/>
    <w:rPr>
      <w:szCs w:val="20"/>
    </w:rPr>
  </w:style>
  <w:style w:type="character" w:customStyle="1" w:styleId="FootnoteTextChar">
    <w:name w:val="Footnote Text Char"/>
    <w:basedOn w:val="DefaultParagraphFont"/>
    <w:link w:val="FootnoteText"/>
    <w:rsid w:val="00CD66C8"/>
  </w:style>
  <w:style w:type="table" w:styleId="TableGrid">
    <w:name w:val="Table Grid"/>
    <w:basedOn w:val="TableNormal"/>
    <w:rsid w:val="00CD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D7DD3"/>
    <w:pPr>
      <w:tabs>
        <w:tab w:val="center" w:pos="4680"/>
        <w:tab w:val="right" w:pos="9360"/>
      </w:tabs>
    </w:pPr>
  </w:style>
  <w:style w:type="character" w:customStyle="1" w:styleId="HeaderChar">
    <w:name w:val="Header Char"/>
    <w:link w:val="Header"/>
    <w:rsid w:val="001D7DD3"/>
    <w:rPr>
      <w:szCs w:val="24"/>
    </w:rPr>
  </w:style>
  <w:style w:type="paragraph" w:styleId="Footer">
    <w:name w:val="footer"/>
    <w:basedOn w:val="Normal"/>
    <w:link w:val="FooterChar"/>
    <w:rsid w:val="001D7DD3"/>
    <w:pPr>
      <w:tabs>
        <w:tab w:val="center" w:pos="4680"/>
        <w:tab w:val="right" w:pos="9360"/>
      </w:tabs>
    </w:pPr>
  </w:style>
  <w:style w:type="character" w:customStyle="1" w:styleId="FooterChar">
    <w:name w:val="Footer Char"/>
    <w:link w:val="Footer"/>
    <w:rsid w:val="001D7DD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8F97-ADF0-43B1-94F0-03BFAB68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7852</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JAMAA HILL</cp:lastModifiedBy>
  <cp:revision>2</cp:revision>
  <dcterms:created xsi:type="dcterms:W3CDTF">2022-05-10T19:01:00Z</dcterms:created>
  <dcterms:modified xsi:type="dcterms:W3CDTF">2022-05-10T19:01:00Z</dcterms:modified>
</cp:coreProperties>
</file>