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4555B" w:rsidR="00FC2882" w:rsidP="0094555B" w:rsidRDefault="00FC2882" w14:paraId="693F46CD" w14:textId="6A1B7FCF">
      <w:pPr>
        <w:pStyle w:val="Title"/>
        <w:jc w:val="center"/>
        <w:rPr>
          <w:rFonts w:ascii="Times New Roman" w:hAnsi="Times New Roman" w:cs="Times New Roman"/>
          <w:sz w:val="24"/>
          <w:szCs w:val="24"/>
        </w:rPr>
      </w:pPr>
      <w:bookmarkStart w:name="_Hlk528565784" w:id="0"/>
      <w:r w:rsidRPr="0094555B">
        <w:rPr>
          <w:rFonts w:ascii="Times New Roman" w:hAnsi="Times New Roman" w:cs="Times New Roman"/>
          <w:sz w:val="24"/>
          <w:szCs w:val="24"/>
        </w:rPr>
        <w:t>Supporting Statement – Part A</w:t>
      </w:r>
    </w:p>
    <w:p w:rsidRPr="0094555B" w:rsidR="00FC2882" w:rsidP="0094555B" w:rsidRDefault="00FC2882" w14:paraId="3B8C1238" w14:textId="77777777">
      <w:pPr>
        <w:pStyle w:val="Title"/>
        <w:jc w:val="center"/>
        <w:rPr>
          <w:rFonts w:ascii="Times New Roman" w:hAnsi="Times New Roman" w:cs="Times New Roman"/>
          <w:sz w:val="24"/>
          <w:szCs w:val="24"/>
        </w:rPr>
      </w:pPr>
      <w:r w:rsidRPr="0094555B">
        <w:rPr>
          <w:rFonts w:ascii="Times New Roman" w:hAnsi="Times New Roman" w:cs="Times New Roman"/>
          <w:sz w:val="24"/>
          <w:szCs w:val="24"/>
        </w:rPr>
        <w:t>Medicaid Managed Care and Supporting Regulations</w:t>
      </w:r>
    </w:p>
    <w:p w:rsidRPr="0094555B" w:rsidR="00FC2882" w:rsidP="0094555B" w:rsidRDefault="00FC2882" w14:paraId="07A3CFD4" w14:textId="77777777">
      <w:pPr>
        <w:pStyle w:val="Title"/>
        <w:jc w:val="center"/>
        <w:rPr>
          <w:rFonts w:ascii="Times New Roman" w:hAnsi="Times New Roman" w:cs="Times New Roman"/>
          <w:sz w:val="24"/>
          <w:szCs w:val="24"/>
        </w:rPr>
      </w:pPr>
      <w:r w:rsidRPr="0094555B">
        <w:rPr>
          <w:rFonts w:ascii="Times New Roman" w:hAnsi="Times New Roman" w:cs="Times New Roman"/>
          <w:sz w:val="24"/>
          <w:szCs w:val="24"/>
        </w:rPr>
        <w:t>CMS-10108, OMB 0938-0920</w:t>
      </w:r>
    </w:p>
    <w:bookmarkEnd w:id="0"/>
    <w:p w:rsidRPr="0094555B" w:rsidR="00CD689A" w:rsidP="0094555B" w:rsidRDefault="00CD689A" w14:paraId="3268B78E" w14:textId="0DE72B4A">
      <w:pPr>
        <w:rPr>
          <w:rFonts w:ascii="Times New Roman" w:hAnsi="Times New Roman" w:cs="Times New Roman"/>
          <w:sz w:val="24"/>
          <w:szCs w:val="24"/>
        </w:rPr>
      </w:pPr>
    </w:p>
    <w:p w:rsidRPr="0094555B" w:rsidR="00495C2A" w:rsidP="0094555B" w:rsidRDefault="00495C2A" w14:paraId="6CDE941A" w14:textId="7CA805AB">
      <w:pPr>
        <w:pStyle w:val="BodyText"/>
        <w:rPr>
          <w:rFonts w:ascii="Times New Roman" w:hAnsi="Times New Roman" w:cs="Times New Roman"/>
          <w:sz w:val="24"/>
          <w:szCs w:val="24"/>
        </w:rPr>
      </w:pPr>
      <w:r w:rsidRPr="0094555B">
        <w:rPr>
          <w:rFonts w:ascii="Times New Roman" w:hAnsi="Times New Roman" w:cs="Times New Roman"/>
          <w:sz w:val="24"/>
          <w:szCs w:val="24"/>
        </w:rPr>
        <w:t xml:space="preserve">The </w:t>
      </w:r>
      <w:r w:rsidRPr="0094555B" w:rsidR="00BF2819">
        <w:rPr>
          <w:rFonts w:ascii="Times New Roman" w:hAnsi="Times New Roman" w:cs="Times New Roman"/>
          <w:sz w:val="24"/>
          <w:szCs w:val="24"/>
        </w:rPr>
        <w:t>r</w:t>
      </w:r>
      <w:r w:rsidRPr="0094555B" w:rsidR="00FA3508">
        <w:rPr>
          <w:rFonts w:ascii="Times New Roman" w:hAnsi="Times New Roman" w:cs="Times New Roman"/>
          <w:sz w:val="24"/>
          <w:szCs w:val="24"/>
        </w:rPr>
        <w:t>egulat</w:t>
      </w:r>
      <w:r w:rsidRPr="0094555B" w:rsidR="00BF2819">
        <w:rPr>
          <w:rFonts w:ascii="Times New Roman" w:hAnsi="Times New Roman" w:cs="Times New Roman"/>
          <w:sz w:val="24"/>
          <w:szCs w:val="24"/>
        </w:rPr>
        <w:t xml:space="preserve">ory sections that support this collection of information’s requirements </w:t>
      </w:r>
      <w:r w:rsidRPr="0094555B">
        <w:rPr>
          <w:rFonts w:ascii="Times New Roman" w:hAnsi="Times New Roman" w:cs="Times New Roman"/>
          <w:sz w:val="24"/>
          <w:szCs w:val="24"/>
        </w:rPr>
        <w:t xml:space="preserve">are </w:t>
      </w:r>
      <w:r w:rsidRPr="0094555B" w:rsidR="00BF2819">
        <w:rPr>
          <w:rFonts w:ascii="Times New Roman" w:hAnsi="Times New Roman" w:cs="Times New Roman"/>
          <w:sz w:val="24"/>
          <w:szCs w:val="24"/>
        </w:rPr>
        <w:t xml:space="preserve">set out in </w:t>
      </w:r>
      <w:r w:rsidRPr="0094555B" w:rsidR="00FA3508">
        <w:rPr>
          <w:rFonts w:ascii="Times New Roman" w:hAnsi="Times New Roman" w:cs="Times New Roman"/>
          <w:sz w:val="24"/>
          <w:szCs w:val="24"/>
        </w:rPr>
        <w:t xml:space="preserve">42 CFR </w:t>
      </w:r>
      <w:r w:rsidRPr="0094555B">
        <w:rPr>
          <w:rFonts w:ascii="Times New Roman" w:hAnsi="Times New Roman" w:cs="Times New Roman"/>
          <w:sz w:val="24"/>
          <w:szCs w:val="24"/>
        </w:rPr>
        <w:t>part 438</w:t>
      </w:r>
      <w:r w:rsidRPr="0094555B" w:rsidR="00BF2819">
        <w:rPr>
          <w:rFonts w:ascii="Times New Roman" w:hAnsi="Times New Roman" w:cs="Times New Roman"/>
          <w:sz w:val="24"/>
          <w:szCs w:val="24"/>
        </w:rPr>
        <w:t xml:space="preserve"> (</w:t>
      </w:r>
      <w:r w:rsidRPr="0094555B" w:rsidR="00B907E3">
        <w:rPr>
          <w:rFonts w:ascii="Times New Roman" w:hAnsi="Times New Roman" w:cs="Times New Roman"/>
          <w:sz w:val="24"/>
          <w:szCs w:val="24"/>
        </w:rPr>
        <w:t>Managed Care</w:t>
      </w:r>
      <w:r w:rsidRPr="0094555B" w:rsidR="00BF2819">
        <w:rPr>
          <w:rFonts w:ascii="Times New Roman" w:hAnsi="Times New Roman" w:cs="Times New Roman"/>
          <w:sz w:val="24"/>
          <w:szCs w:val="24"/>
        </w:rPr>
        <w:t>) as follows:</w:t>
      </w:r>
    </w:p>
    <w:p w:rsidRPr="0094555B" w:rsidR="00495C2A" w:rsidP="0094555B" w:rsidRDefault="00495C2A" w14:paraId="2F750BE3" w14:textId="4471A363">
      <w:pPr>
        <w:pStyle w:val="BodyText"/>
        <w:rPr>
          <w:rFonts w:ascii="Times New Roman" w:hAnsi="Times New Roman" w:cs="Times New Roman"/>
          <w:sz w:val="24"/>
          <w:szCs w:val="24"/>
        </w:rPr>
      </w:pPr>
      <w:r w:rsidRPr="0094555B">
        <w:rPr>
          <w:rFonts w:ascii="Times New Roman" w:hAnsi="Times New Roman" w:cs="Times New Roman"/>
          <w:sz w:val="24"/>
          <w:szCs w:val="24"/>
        </w:rPr>
        <w:t>Subpart A</w:t>
      </w:r>
      <w:r w:rsidRPr="0094555B" w:rsidR="007674C5">
        <w:rPr>
          <w:rFonts w:ascii="Times New Roman" w:hAnsi="Times New Roman" w:cs="Times New Roman"/>
          <w:sz w:val="24"/>
          <w:szCs w:val="24"/>
        </w:rPr>
        <w:t>-</w:t>
      </w:r>
      <w:r w:rsidRPr="0094555B" w:rsidR="00B907E3">
        <w:rPr>
          <w:rFonts w:ascii="Times New Roman" w:hAnsi="Times New Roman" w:cs="Times New Roman"/>
          <w:sz w:val="24"/>
          <w:szCs w:val="24"/>
        </w:rPr>
        <w:t>General Provisions</w:t>
      </w:r>
    </w:p>
    <w:p w:rsidRPr="0094555B" w:rsidR="00495C2A" w:rsidP="0094555B" w:rsidRDefault="00495C2A" w14:paraId="22F23B37" w14:textId="3C33954B">
      <w:pPr>
        <w:pStyle w:val="BodyText"/>
        <w:rPr>
          <w:rFonts w:ascii="Times New Roman" w:hAnsi="Times New Roman" w:cs="Times New Roman"/>
          <w:sz w:val="24"/>
          <w:szCs w:val="24"/>
        </w:rPr>
      </w:pPr>
      <w:r w:rsidRPr="0094555B">
        <w:rPr>
          <w:rFonts w:ascii="Times New Roman" w:hAnsi="Times New Roman" w:cs="Times New Roman"/>
          <w:sz w:val="24"/>
          <w:szCs w:val="24"/>
        </w:rPr>
        <w:t xml:space="preserve">Sections </w:t>
      </w:r>
      <w:r w:rsidRPr="0094555B" w:rsidR="00FA3508">
        <w:rPr>
          <w:rFonts w:ascii="Times New Roman" w:hAnsi="Times New Roman" w:cs="Times New Roman"/>
          <w:sz w:val="24"/>
          <w:szCs w:val="24"/>
        </w:rPr>
        <w:t xml:space="preserve">438.1, 438.2, 438.3, 438.4, 438.5, 438.6, 438.7, 438.8, 438.9, 438.10, 438.12, </w:t>
      </w:r>
      <w:r w:rsidRPr="0094555B">
        <w:rPr>
          <w:rFonts w:ascii="Times New Roman" w:hAnsi="Times New Roman" w:cs="Times New Roman"/>
          <w:sz w:val="24"/>
          <w:szCs w:val="24"/>
        </w:rPr>
        <w:t xml:space="preserve">and </w:t>
      </w:r>
      <w:r w:rsidRPr="0094555B" w:rsidR="00FA3508">
        <w:rPr>
          <w:rFonts w:ascii="Times New Roman" w:hAnsi="Times New Roman" w:cs="Times New Roman"/>
          <w:sz w:val="24"/>
          <w:szCs w:val="24"/>
        </w:rPr>
        <w:t>438.14</w:t>
      </w:r>
    </w:p>
    <w:p w:rsidRPr="0094555B" w:rsidR="00495C2A" w:rsidP="0094555B" w:rsidRDefault="00495C2A" w14:paraId="63FF7A00" w14:textId="0F803987">
      <w:pPr>
        <w:pStyle w:val="BodyText"/>
        <w:rPr>
          <w:rFonts w:ascii="Times New Roman" w:hAnsi="Times New Roman" w:cs="Times New Roman"/>
          <w:sz w:val="24"/>
          <w:szCs w:val="24"/>
        </w:rPr>
      </w:pPr>
      <w:r w:rsidRPr="0094555B">
        <w:rPr>
          <w:rFonts w:ascii="Times New Roman" w:hAnsi="Times New Roman" w:cs="Times New Roman"/>
          <w:sz w:val="24"/>
          <w:szCs w:val="24"/>
        </w:rPr>
        <w:t>Subpart B</w:t>
      </w:r>
      <w:r w:rsidRPr="0094555B" w:rsidR="007674C5">
        <w:rPr>
          <w:rFonts w:ascii="Times New Roman" w:hAnsi="Times New Roman" w:cs="Times New Roman"/>
          <w:sz w:val="24"/>
          <w:szCs w:val="24"/>
        </w:rPr>
        <w:t>-</w:t>
      </w:r>
      <w:r w:rsidRPr="0094555B" w:rsidR="00B907E3">
        <w:rPr>
          <w:rFonts w:ascii="Times New Roman" w:hAnsi="Times New Roman" w:cs="Times New Roman"/>
          <w:sz w:val="24"/>
          <w:szCs w:val="24"/>
        </w:rPr>
        <w:t>State Responsibilities</w:t>
      </w:r>
    </w:p>
    <w:p w:rsidRPr="0094555B" w:rsidR="00495C2A" w:rsidP="0094555B" w:rsidRDefault="00495C2A" w14:paraId="40A7AEDF" w14:textId="21F33DB5">
      <w:pPr>
        <w:pStyle w:val="BodyText"/>
        <w:rPr>
          <w:rFonts w:ascii="Times New Roman" w:hAnsi="Times New Roman" w:cs="Times New Roman"/>
          <w:sz w:val="24"/>
          <w:szCs w:val="24"/>
        </w:rPr>
      </w:pPr>
      <w:r w:rsidRPr="0094555B">
        <w:rPr>
          <w:rFonts w:ascii="Times New Roman" w:hAnsi="Times New Roman" w:cs="Times New Roman"/>
          <w:sz w:val="24"/>
          <w:szCs w:val="24"/>
        </w:rPr>
        <w:t xml:space="preserve">Sections </w:t>
      </w:r>
      <w:r w:rsidRPr="0094555B" w:rsidR="00FA3508">
        <w:rPr>
          <w:rFonts w:ascii="Times New Roman" w:hAnsi="Times New Roman" w:cs="Times New Roman"/>
          <w:sz w:val="24"/>
          <w:szCs w:val="24"/>
        </w:rPr>
        <w:t xml:space="preserve">438.50, 438.52, 438.54, 438.56, 438.58, 438.60, 438.62, 438.66, 438.68, 438.70, 438.71, </w:t>
      </w:r>
      <w:r w:rsidRPr="0094555B">
        <w:rPr>
          <w:rFonts w:ascii="Times New Roman" w:hAnsi="Times New Roman" w:cs="Times New Roman"/>
          <w:sz w:val="24"/>
          <w:szCs w:val="24"/>
        </w:rPr>
        <w:t xml:space="preserve">and </w:t>
      </w:r>
      <w:r w:rsidRPr="0094555B" w:rsidR="00FA3508">
        <w:rPr>
          <w:rFonts w:ascii="Times New Roman" w:hAnsi="Times New Roman" w:cs="Times New Roman"/>
          <w:sz w:val="24"/>
          <w:szCs w:val="24"/>
        </w:rPr>
        <w:t>438.74</w:t>
      </w:r>
      <w:r w:rsidRPr="0094555B">
        <w:rPr>
          <w:rFonts w:ascii="Times New Roman" w:hAnsi="Times New Roman" w:cs="Times New Roman"/>
          <w:sz w:val="24"/>
          <w:szCs w:val="24"/>
        </w:rPr>
        <w:t>.</w:t>
      </w:r>
    </w:p>
    <w:p w:rsidRPr="0094555B" w:rsidR="00495C2A" w:rsidP="0094555B" w:rsidRDefault="00495C2A" w14:paraId="1B67E239" w14:textId="1AE0F920">
      <w:pPr>
        <w:pStyle w:val="BodyText"/>
        <w:rPr>
          <w:rFonts w:ascii="Times New Roman" w:hAnsi="Times New Roman" w:cs="Times New Roman"/>
          <w:sz w:val="24"/>
          <w:szCs w:val="24"/>
        </w:rPr>
      </w:pPr>
      <w:r w:rsidRPr="0094555B">
        <w:rPr>
          <w:rFonts w:ascii="Times New Roman" w:hAnsi="Times New Roman" w:cs="Times New Roman"/>
          <w:sz w:val="24"/>
          <w:szCs w:val="24"/>
        </w:rPr>
        <w:t>Subpart C</w:t>
      </w:r>
      <w:r w:rsidRPr="0094555B" w:rsidR="007674C5">
        <w:rPr>
          <w:rFonts w:ascii="Times New Roman" w:hAnsi="Times New Roman" w:cs="Times New Roman"/>
          <w:sz w:val="24"/>
          <w:szCs w:val="24"/>
        </w:rPr>
        <w:t>-</w:t>
      </w:r>
      <w:r w:rsidRPr="0094555B" w:rsidR="00B907E3">
        <w:rPr>
          <w:rFonts w:ascii="Times New Roman" w:hAnsi="Times New Roman" w:cs="Times New Roman"/>
          <w:sz w:val="24"/>
          <w:szCs w:val="24"/>
        </w:rPr>
        <w:t>Enrollee Rights and Protections</w:t>
      </w:r>
    </w:p>
    <w:p w:rsidRPr="0094555B" w:rsidR="00495C2A" w:rsidP="0094555B" w:rsidRDefault="00495C2A" w14:paraId="154FC706" w14:textId="0B930BF8">
      <w:pPr>
        <w:pStyle w:val="BodyText"/>
        <w:rPr>
          <w:rFonts w:ascii="Times New Roman" w:hAnsi="Times New Roman" w:cs="Times New Roman"/>
          <w:sz w:val="24"/>
          <w:szCs w:val="24"/>
        </w:rPr>
      </w:pPr>
      <w:r w:rsidRPr="0094555B">
        <w:rPr>
          <w:rFonts w:ascii="Times New Roman" w:hAnsi="Times New Roman" w:cs="Times New Roman"/>
          <w:sz w:val="24"/>
          <w:szCs w:val="24"/>
        </w:rPr>
        <w:t xml:space="preserve">Sections </w:t>
      </w:r>
      <w:r w:rsidRPr="0094555B" w:rsidR="00FA3508">
        <w:rPr>
          <w:rFonts w:ascii="Times New Roman" w:hAnsi="Times New Roman" w:cs="Times New Roman"/>
          <w:sz w:val="24"/>
          <w:szCs w:val="24"/>
        </w:rPr>
        <w:t xml:space="preserve">438.100, 438.102, 438.104, 438.106, 438.108, 438.110, 438.114, </w:t>
      </w:r>
      <w:r w:rsidRPr="0094555B">
        <w:rPr>
          <w:rFonts w:ascii="Times New Roman" w:hAnsi="Times New Roman" w:cs="Times New Roman"/>
          <w:sz w:val="24"/>
          <w:szCs w:val="24"/>
        </w:rPr>
        <w:t xml:space="preserve">and </w:t>
      </w:r>
      <w:r w:rsidRPr="0094555B" w:rsidR="00FA3508">
        <w:rPr>
          <w:rFonts w:ascii="Times New Roman" w:hAnsi="Times New Roman" w:cs="Times New Roman"/>
          <w:sz w:val="24"/>
          <w:szCs w:val="24"/>
        </w:rPr>
        <w:t>438.116</w:t>
      </w:r>
      <w:r w:rsidRPr="0094555B">
        <w:rPr>
          <w:rFonts w:ascii="Times New Roman" w:hAnsi="Times New Roman" w:cs="Times New Roman"/>
          <w:sz w:val="24"/>
          <w:szCs w:val="24"/>
        </w:rPr>
        <w:t>.</w:t>
      </w:r>
    </w:p>
    <w:p w:rsidRPr="0094555B" w:rsidR="00495C2A" w:rsidP="0094555B" w:rsidRDefault="00495C2A" w14:paraId="6DED67D2" w14:textId="42E4B184">
      <w:pPr>
        <w:pStyle w:val="BodyText"/>
        <w:rPr>
          <w:rFonts w:ascii="Times New Roman" w:hAnsi="Times New Roman" w:cs="Times New Roman"/>
          <w:sz w:val="24"/>
          <w:szCs w:val="24"/>
        </w:rPr>
      </w:pPr>
      <w:r w:rsidRPr="0094555B">
        <w:rPr>
          <w:rFonts w:ascii="Times New Roman" w:hAnsi="Times New Roman" w:cs="Times New Roman"/>
          <w:sz w:val="24"/>
          <w:szCs w:val="24"/>
        </w:rPr>
        <w:t>Subpart D</w:t>
      </w:r>
      <w:r w:rsidRPr="0094555B" w:rsidR="007674C5">
        <w:rPr>
          <w:rFonts w:ascii="Times New Roman" w:hAnsi="Times New Roman" w:cs="Times New Roman"/>
          <w:sz w:val="24"/>
          <w:szCs w:val="24"/>
        </w:rPr>
        <w:t>-</w:t>
      </w:r>
      <w:r w:rsidRPr="0094555B">
        <w:rPr>
          <w:rFonts w:ascii="Times New Roman" w:hAnsi="Times New Roman" w:cs="Times New Roman"/>
          <w:sz w:val="24"/>
          <w:szCs w:val="24"/>
        </w:rPr>
        <w:t xml:space="preserve">MCO, PIHP </w:t>
      </w:r>
      <w:r w:rsidRPr="0094555B" w:rsidR="00B907E3">
        <w:rPr>
          <w:rFonts w:ascii="Times New Roman" w:hAnsi="Times New Roman" w:cs="Times New Roman"/>
          <w:sz w:val="24"/>
          <w:szCs w:val="24"/>
        </w:rPr>
        <w:t>and</w:t>
      </w:r>
      <w:r w:rsidRPr="0094555B">
        <w:rPr>
          <w:rFonts w:ascii="Times New Roman" w:hAnsi="Times New Roman" w:cs="Times New Roman"/>
          <w:sz w:val="24"/>
          <w:szCs w:val="24"/>
        </w:rPr>
        <w:t xml:space="preserve"> PAHP </w:t>
      </w:r>
      <w:r w:rsidRPr="0094555B" w:rsidR="00B907E3">
        <w:rPr>
          <w:rFonts w:ascii="Times New Roman" w:hAnsi="Times New Roman" w:cs="Times New Roman"/>
          <w:sz w:val="24"/>
          <w:szCs w:val="24"/>
        </w:rPr>
        <w:t>Standards</w:t>
      </w:r>
    </w:p>
    <w:p w:rsidRPr="0094555B" w:rsidR="00495C2A" w:rsidP="0094555B" w:rsidRDefault="00495C2A" w14:paraId="5EE0653C" w14:textId="233ED9F3">
      <w:pPr>
        <w:pStyle w:val="BodyText"/>
        <w:rPr>
          <w:rFonts w:ascii="Times New Roman" w:hAnsi="Times New Roman" w:cs="Times New Roman"/>
          <w:sz w:val="24"/>
          <w:szCs w:val="24"/>
        </w:rPr>
      </w:pPr>
      <w:r w:rsidRPr="0094555B">
        <w:rPr>
          <w:rFonts w:ascii="Times New Roman" w:hAnsi="Times New Roman" w:cs="Times New Roman"/>
          <w:sz w:val="24"/>
          <w:szCs w:val="24"/>
        </w:rPr>
        <w:t xml:space="preserve">Sections </w:t>
      </w:r>
      <w:r w:rsidRPr="0094555B" w:rsidR="00FA3508">
        <w:rPr>
          <w:rFonts w:ascii="Times New Roman" w:hAnsi="Times New Roman" w:cs="Times New Roman"/>
          <w:sz w:val="24"/>
          <w:szCs w:val="24"/>
        </w:rPr>
        <w:t xml:space="preserve">438.206, 438.207, 438.208, 438.210, 438.214, 438.224, 438.228, 438.230, 438.236, </w:t>
      </w:r>
      <w:r w:rsidRPr="0094555B">
        <w:rPr>
          <w:rFonts w:ascii="Times New Roman" w:hAnsi="Times New Roman" w:cs="Times New Roman"/>
          <w:sz w:val="24"/>
          <w:szCs w:val="24"/>
        </w:rPr>
        <w:t xml:space="preserve">and </w:t>
      </w:r>
      <w:r w:rsidRPr="0094555B" w:rsidR="00FA3508">
        <w:rPr>
          <w:rFonts w:ascii="Times New Roman" w:hAnsi="Times New Roman" w:cs="Times New Roman"/>
          <w:sz w:val="24"/>
          <w:szCs w:val="24"/>
        </w:rPr>
        <w:t>438.242</w:t>
      </w:r>
      <w:r w:rsidRPr="0094555B">
        <w:rPr>
          <w:rFonts w:ascii="Times New Roman" w:hAnsi="Times New Roman" w:cs="Times New Roman"/>
          <w:sz w:val="24"/>
          <w:szCs w:val="24"/>
        </w:rPr>
        <w:t>.</w:t>
      </w:r>
    </w:p>
    <w:p w:rsidRPr="0094555B" w:rsidR="00495C2A" w:rsidP="0094555B" w:rsidRDefault="00495C2A" w14:paraId="332A1430" w14:textId="79A4A4C8">
      <w:pPr>
        <w:pStyle w:val="BodyText"/>
        <w:rPr>
          <w:rFonts w:ascii="Times New Roman" w:hAnsi="Times New Roman" w:cs="Times New Roman"/>
          <w:sz w:val="24"/>
          <w:szCs w:val="24"/>
        </w:rPr>
      </w:pPr>
      <w:r w:rsidRPr="0094555B">
        <w:rPr>
          <w:rFonts w:ascii="Times New Roman" w:hAnsi="Times New Roman" w:cs="Times New Roman"/>
          <w:sz w:val="24"/>
          <w:szCs w:val="24"/>
        </w:rPr>
        <w:t>Subpart F</w:t>
      </w:r>
      <w:r w:rsidRPr="0094555B" w:rsidR="007674C5">
        <w:rPr>
          <w:rFonts w:ascii="Times New Roman" w:hAnsi="Times New Roman" w:cs="Times New Roman"/>
          <w:sz w:val="24"/>
          <w:szCs w:val="24"/>
        </w:rPr>
        <w:t>-</w:t>
      </w:r>
      <w:r w:rsidRPr="0094555B" w:rsidR="00B907E3">
        <w:rPr>
          <w:rFonts w:ascii="Times New Roman" w:hAnsi="Times New Roman" w:cs="Times New Roman"/>
          <w:sz w:val="24"/>
          <w:szCs w:val="24"/>
        </w:rPr>
        <w:t>Grievance and Appeal System</w:t>
      </w:r>
    </w:p>
    <w:p w:rsidRPr="0094555B" w:rsidR="00495C2A" w:rsidP="0094555B" w:rsidRDefault="00495C2A" w14:paraId="05981318" w14:textId="3D3C033D">
      <w:pPr>
        <w:pStyle w:val="BodyText"/>
        <w:rPr>
          <w:rFonts w:ascii="Times New Roman" w:hAnsi="Times New Roman" w:cs="Times New Roman"/>
          <w:sz w:val="24"/>
          <w:szCs w:val="24"/>
        </w:rPr>
      </w:pPr>
      <w:r w:rsidRPr="0094555B">
        <w:rPr>
          <w:rFonts w:ascii="Times New Roman" w:hAnsi="Times New Roman" w:cs="Times New Roman"/>
          <w:sz w:val="24"/>
          <w:szCs w:val="24"/>
        </w:rPr>
        <w:t xml:space="preserve">Sections </w:t>
      </w:r>
      <w:r w:rsidRPr="0094555B" w:rsidR="00FA3508">
        <w:rPr>
          <w:rFonts w:ascii="Times New Roman" w:hAnsi="Times New Roman" w:cs="Times New Roman"/>
          <w:sz w:val="24"/>
          <w:szCs w:val="24"/>
        </w:rPr>
        <w:t xml:space="preserve">438.400, 438.402, 438.404, 438.406, 438.408, 438.410, 438.414, 438.416, 438.420, </w:t>
      </w:r>
      <w:r w:rsidRPr="0094555B">
        <w:rPr>
          <w:rFonts w:ascii="Times New Roman" w:hAnsi="Times New Roman" w:cs="Times New Roman"/>
          <w:sz w:val="24"/>
          <w:szCs w:val="24"/>
        </w:rPr>
        <w:t xml:space="preserve">and </w:t>
      </w:r>
      <w:r w:rsidRPr="0094555B" w:rsidR="00FA3508">
        <w:rPr>
          <w:rFonts w:ascii="Times New Roman" w:hAnsi="Times New Roman" w:cs="Times New Roman"/>
          <w:sz w:val="24"/>
          <w:szCs w:val="24"/>
        </w:rPr>
        <w:t>438.424</w:t>
      </w:r>
      <w:r w:rsidRPr="0094555B">
        <w:rPr>
          <w:rFonts w:ascii="Times New Roman" w:hAnsi="Times New Roman" w:cs="Times New Roman"/>
          <w:sz w:val="24"/>
          <w:szCs w:val="24"/>
        </w:rPr>
        <w:t>.</w:t>
      </w:r>
    </w:p>
    <w:p w:rsidRPr="0094555B" w:rsidR="00495C2A" w:rsidP="0094555B" w:rsidRDefault="00495C2A" w14:paraId="49BB5FE1" w14:textId="61AD6107">
      <w:pPr>
        <w:pStyle w:val="BodyText"/>
        <w:rPr>
          <w:rFonts w:ascii="Times New Roman" w:hAnsi="Times New Roman" w:cs="Times New Roman"/>
          <w:sz w:val="24"/>
          <w:szCs w:val="24"/>
        </w:rPr>
      </w:pPr>
      <w:r w:rsidRPr="0094555B">
        <w:rPr>
          <w:rFonts w:ascii="Times New Roman" w:hAnsi="Times New Roman" w:cs="Times New Roman"/>
          <w:sz w:val="24"/>
          <w:szCs w:val="24"/>
        </w:rPr>
        <w:t>Subpart H</w:t>
      </w:r>
      <w:r w:rsidRPr="0094555B" w:rsidR="007674C5">
        <w:rPr>
          <w:rFonts w:ascii="Times New Roman" w:hAnsi="Times New Roman" w:cs="Times New Roman"/>
          <w:sz w:val="24"/>
          <w:szCs w:val="24"/>
        </w:rPr>
        <w:t>-</w:t>
      </w:r>
      <w:r w:rsidRPr="0094555B" w:rsidR="00B907E3">
        <w:rPr>
          <w:rFonts w:ascii="Times New Roman" w:hAnsi="Times New Roman" w:cs="Times New Roman"/>
          <w:sz w:val="24"/>
          <w:szCs w:val="24"/>
        </w:rPr>
        <w:t>Additional Program Integrity Safeguards</w:t>
      </w:r>
    </w:p>
    <w:p w:rsidRPr="0094555B" w:rsidR="00495C2A" w:rsidP="0094555B" w:rsidRDefault="00495C2A" w14:paraId="46071FF7" w14:textId="42550B55">
      <w:pPr>
        <w:pStyle w:val="BodyText"/>
        <w:rPr>
          <w:rFonts w:ascii="Times New Roman" w:hAnsi="Times New Roman" w:cs="Times New Roman"/>
          <w:sz w:val="24"/>
          <w:szCs w:val="24"/>
        </w:rPr>
      </w:pPr>
      <w:r w:rsidRPr="0094555B">
        <w:rPr>
          <w:rFonts w:ascii="Times New Roman" w:hAnsi="Times New Roman" w:cs="Times New Roman"/>
          <w:sz w:val="24"/>
          <w:szCs w:val="24"/>
        </w:rPr>
        <w:t xml:space="preserve">Sections </w:t>
      </w:r>
      <w:r w:rsidRPr="0094555B" w:rsidR="00FA3508">
        <w:rPr>
          <w:rFonts w:ascii="Times New Roman" w:hAnsi="Times New Roman" w:cs="Times New Roman"/>
          <w:sz w:val="24"/>
          <w:szCs w:val="24"/>
        </w:rPr>
        <w:t xml:space="preserve">438.600, 438.602, 438.604, 438.606, 438.608, </w:t>
      </w:r>
      <w:r w:rsidRPr="0094555B">
        <w:rPr>
          <w:rFonts w:ascii="Times New Roman" w:hAnsi="Times New Roman" w:cs="Times New Roman"/>
          <w:sz w:val="24"/>
          <w:szCs w:val="24"/>
        </w:rPr>
        <w:t xml:space="preserve">and </w:t>
      </w:r>
      <w:r w:rsidRPr="0094555B" w:rsidR="00FA3508">
        <w:rPr>
          <w:rFonts w:ascii="Times New Roman" w:hAnsi="Times New Roman" w:cs="Times New Roman"/>
          <w:sz w:val="24"/>
          <w:szCs w:val="24"/>
        </w:rPr>
        <w:t>438.610</w:t>
      </w:r>
      <w:r w:rsidRPr="0094555B">
        <w:rPr>
          <w:rFonts w:ascii="Times New Roman" w:hAnsi="Times New Roman" w:cs="Times New Roman"/>
          <w:sz w:val="24"/>
          <w:szCs w:val="24"/>
        </w:rPr>
        <w:t>.</w:t>
      </w:r>
    </w:p>
    <w:p w:rsidRPr="0094555B" w:rsidR="00495C2A" w:rsidP="0094555B" w:rsidRDefault="007674C5" w14:paraId="77E5F173" w14:textId="42855216">
      <w:pPr>
        <w:pStyle w:val="BodyText"/>
        <w:rPr>
          <w:rFonts w:ascii="Times New Roman" w:hAnsi="Times New Roman" w:cs="Times New Roman"/>
          <w:sz w:val="24"/>
          <w:szCs w:val="24"/>
        </w:rPr>
      </w:pPr>
      <w:r w:rsidRPr="0094555B">
        <w:rPr>
          <w:rFonts w:ascii="Times New Roman" w:hAnsi="Times New Roman" w:cs="Times New Roman"/>
          <w:sz w:val="24"/>
          <w:szCs w:val="24"/>
        </w:rPr>
        <w:t>Subpart I-</w:t>
      </w:r>
      <w:r w:rsidRPr="0094555B" w:rsidR="00B907E3">
        <w:rPr>
          <w:rFonts w:ascii="Times New Roman" w:hAnsi="Times New Roman" w:cs="Times New Roman"/>
          <w:sz w:val="24"/>
          <w:szCs w:val="24"/>
        </w:rPr>
        <w:t>Sanctions</w:t>
      </w:r>
    </w:p>
    <w:p w:rsidRPr="0094555B" w:rsidR="00495C2A" w:rsidP="0094555B" w:rsidRDefault="00495C2A" w14:paraId="14B1671A" w14:textId="53A0A35B">
      <w:pPr>
        <w:pStyle w:val="BodyText"/>
        <w:rPr>
          <w:rFonts w:ascii="Times New Roman" w:hAnsi="Times New Roman" w:cs="Times New Roman"/>
          <w:sz w:val="24"/>
          <w:szCs w:val="24"/>
        </w:rPr>
      </w:pPr>
      <w:r w:rsidRPr="0094555B">
        <w:rPr>
          <w:rFonts w:ascii="Times New Roman" w:hAnsi="Times New Roman" w:cs="Times New Roman"/>
          <w:sz w:val="24"/>
          <w:szCs w:val="24"/>
        </w:rPr>
        <w:t xml:space="preserve">Sections </w:t>
      </w:r>
      <w:r w:rsidRPr="0094555B" w:rsidR="00FA3508">
        <w:rPr>
          <w:rFonts w:ascii="Times New Roman" w:hAnsi="Times New Roman" w:cs="Times New Roman"/>
          <w:sz w:val="24"/>
          <w:szCs w:val="24"/>
        </w:rPr>
        <w:t xml:space="preserve">438.700, 438.702, 438.704, 438.706, 438.708, 438.710, 438.722, 438.724, 438.726, </w:t>
      </w:r>
      <w:r w:rsidRPr="0094555B">
        <w:rPr>
          <w:rFonts w:ascii="Times New Roman" w:hAnsi="Times New Roman" w:cs="Times New Roman"/>
          <w:sz w:val="24"/>
          <w:szCs w:val="24"/>
        </w:rPr>
        <w:t xml:space="preserve">and </w:t>
      </w:r>
      <w:r w:rsidRPr="0094555B" w:rsidR="00FA3508">
        <w:rPr>
          <w:rFonts w:ascii="Times New Roman" w:hAnsi="Times New Roman" w:cs="Times New Roman"/>
          <w:sz w:val="24"/>
          <w:szCs w:val="24"/>
        </w:rPr>
        <w:t>438.730</w:t>
      </w:r>
      <w:r w:rsidRPr="0094555B">
        <w:rPr>
          <w:rFonts w:ascii="Times New Roman" w:hAnsi="Times New Roman" w:cs="Times New Roman"/>
          <w:sz w:val="24"/>
          <w:szCs w:val="24"/>
        </w:rPr>
        <w:t>.</w:t>
      </w:r>
    </w:p>
    <w:p w:rsidRPr="0094555B" w:rsidR="00495C2A" w:rsidP="0094555B" w:rsidRDefault="00495C2A" w14:paraId="00260125" w14:textId="3915144E">
      <w:pPr>
        <w:pStyle w:val="BodyText"/>
        <w:rPr>
          <w:rFonts w:ascii="Times New Roman" w:hAnsi="Times New Roman" w:cs="Times New Roman"/>
          <w:sz w:val="24"/>
          <w:szCs w:val="24"/>
        </w:rPr>
      </w:pPr>
      <w:r w:rsidRPr="0094555B">
        <w:rPr>
          <w:rFonts w:ascii="Times New Roman" w:hAnsi="Times New Roman" w:cs="Times New Roman"/>
          <w:sz w:val="24"/>
          <w:szCs w:val="24"/>
        </w:rPr>
        <w:t>Subpart J</w:t>
      </w:r>
      <w:r w:rsidRPr="0094555B" w:rsidR="007674C5">
        <w:rPr>
          <w:rFonts w:ascii="Times New Roman" w:hAnsi="Times New Roman" w:cs="Times New Roman"/>
          <w:sz w:val="24"/>
          <w:szCs w:val="24"/>
        </w:rPr>
        <w:t>-</w:t>
      </w:r>
      <w:r w:rsidRPr="0094555B" w:rsidR="00B907E3">
        <w:rPr>
          <w:rFonts w:ascii="Times New Roman" w:hAnsi="Times New Roman" w:cs="Times New Roman"/>
          <w:sz w:val="24"/>
          <w:szCs w:val="24"/>
        </w:rPr>
        <w:t xml:space="preserve">Conditions for Federal Financial Participation </w:t>
      </w:r>
      <w:r w:rsidRPr="0094555B">
        <w:rPr>
          <w:rFonts w:ascii="Times New Roman" w:hAnsi="Times New Roman" w:cs="Times New Roman"/>
          <w:sz w:val="24"/>
          <w:szCs w:val="24"/>
        </w:rPr>
        <w:t>(FFP)</w:t>
      </w:r>
    </w:p>
    <w:p w:rsidRPr="0094555B" w:rsidR="00FA3508" w:rsidP="0094555B" w:rsidRDefault="00495C2A" w14:paraId="78745FB1" w14:textId="04AB24CF">
      <w:pPr>
        <w:pStyle w:val="BodyText"/>
      </w:pPr>
      <w:r w:rsidRPr="0094555B">
        <w:rPr>
          <w:rFonts w:ascii="Times New Roman" w:hAnsi="Times New Roman" w:cs="Times New Roman"/>
          <w:sz w:val="24"/>
          <w:szCs w:val="24"/>
        </w:rPr>
        <w:t xml:space="preserve">Sections </w:t>
      </w:r>
      <w:r w:rsidRPr="0094555B" w:rsidR="00FA3508">
        <w:rPr>
          <w:rFonts w:ascii="Times New Roman" w:hAnsi="Times New Roman" w:cs="Times New Roman"/>
          <w:sz w:val="24"/>
          <w:szCs w:val="24"/>
        </w:rPr>
        <w:t>438.802, 438.806, 438.808, 438.810, 438.812, 438.816, and 438.818.</w:t>
      </w:r>
    </w:p>
    <w:p w:rsidRPr="0094555B" w:rsidR="00FC2882" w:rsidP="0094555B" w:rsidRDefault="00DC3994" w14:paraId="76569D9F" w14:textId="21A4731A">
      <w:pPr>
        <w:pStyle w:val="Heading1"/>
        <w:rPr>
          <w:rFonts w:ascii="Times New Roman" w:hAnsi="Times New Roman" w:cs="Times New Roman"/>
          <w:b/>
          <w:color w:val="auto"/>
          <w:sz w:val="24"/>
          <w:szCs w:val="24"/>
        </w:rPr>
      </w:pPr>
      <w:bookmarkStart w:name="_Toc528571020" w:id="1"/>
      <w:bookmarkStart w:name="_Toc528571486" w:id="2"/>
      <w:bookmarkStart w:name="_Toc528571580" w:id="3"/>
      <w:r w:rsidRPr="0094555B">
        <w:rPr>
          <w:rFonts w:ascii="Times New Roman" w:hAnsi="Times New Roman" w:cs="Times New Roman"/>
          <w:b/>
          <w:color w:val="auto"/>
          <w:sz w:val="24"/>
          <w:szCs w:val="24"/>
        </w:rPr>
        <w:t>BACKGROUND</w:t>
      </w:r>
      <w:bookmarkEnd w:id="1"/>
      <w:bookmarkEnd w:id="2"/>
      <w:bookmarkEnd w:id="3"/>
    </w:p>
    <w:p w:rsidRPr="0094555B" w:rsidR="00FA3508" w:rsidP="0094555B" w:rsidRDefault="00FA3508" w14:paraId="4BC6370B" w14:textId="0E5A554F">
      <w:pPr>
        <w:rPr>
          <w:rFonts w:ascii="Times New Roman" w:hAnsi="Times New Roman" w:cs="Times New Roman"/>
          <w:sz w:val="24"/>
          <w:szCs w:val="24"/>
        </w:rPr>
      </w:pPr>
    </w:p>
    <w:p w:rsidR="00FC2882" w:rsidP="0094555B" w:rsidRDefault="008744DF" w14:paraId="6C0B75DB" w14:textId="75987CCC">
      <w:pPr>
        <w:rPr>
          <w:rFonts w:ascii="Times New Roman" w:hAnsi="Times New Roman" w:cs="Times New Roman"/>
          <w:sz w:val="24"/>
          <w:szCs w:val="24"/>
        </w:rPr>
      </w:pPr>
      <w:r w:rsidRPr="0094555B">
        <w:rPr>
          <w:rFonts w:ascii="Times New Roman" w:hAnsi="Times New Roman" w:cs="Times New Roman"/>
          <w:sz w:val="24"/>
          <w:szCs w:val="24"/>
        </w:rPr>
        <w:t xml:space="preserve">Our November 13, </w:t>
      </w:r>
      <w:r w:rsidRPr="0094555B" w:rsidR="00FA3508">
        <w:rPr>
          <w:rFonts w:ascii="Times New Roman" w:hAnsi="Times New Roman" w:cs="Times New Roman"/>
          <w:sz w:val="24"/>
          <w:szCs w:val="24"/>
        </w:rPr>
        <w:t>2020</w:t>
      </w:r>
      <w:r w:rsidRPr="0094555B">
        <w:rPr>
          <w:rFonts w:ascii="Times New Roman" w:hAnsi="Times New Roman" w:cs="Times New Roman"/>
          <w:sz w:val="24"/>
          <w:szCs w:val="24"/>
        </w:rPr>
        <w:t>,</w:t>
      </w:r>
      <w:r w:rsidRPr="0094555B" w:rsidR="00FA3508">
        <w:rPr>
          <w:rFonts w:ascii="Times New Roman" w:hAnsi="Times New Roman" w:cs="Times New Roman"/>
          <w:sz w:val="24"/>
          <w:szCs w:val="24"/>
        </w:rPr>
        <w:t xml:space="preserve"> Medicaid managed care final rule (85 FR </w:t>
      </w:r>
      <w:r w:rsidRPr="0094555B" w:rsidR="001215C7">
        <w:rPr>
          <w:rFonts w:ascii="Times New Roman" w:hAnsi="Times New Roman" w:cs="Times New Roman"/>
          <w:sz w:val="24"/>
          <w:szCs w:val="24"/>
        </w:rPr>
        <w:t>72754</w:t>
      </w:r>
      <w:r w:rsidRPr="0094555B" w:rsidR="00FA3508">
        <w:rPr>
          <w:rFonts w:ascii="Times New Roman" w:hAnsi="Times New Roman" w:cs="Times New Roman"/>
          <w:sz w:val="24"/>
          <w:szCs w:val="24"/>
        </w:rPr>
        <w:t>) (CMS-2408-F, RIN 0938-AT40)</w:t>
      </w:r>
      <w:r w:rsidRPr="0094555B" w:rsidR="00FC2882">
        <w:rPr>
          <w:rFonts w:ascii="Times New Roman" w:hAnsi="Times New Roman" w:cs="Times New Roman"/>
          <w:sz w:val="24"/>
          <w:szCs w:val="24"/>
        </w:rPr>
        <w:t xml:space="preserve"> advances CMS’ efforts to streamline the Medicaid and CHIP managed care regulatory framework and reflects a broader strategy to relieve regulatory burdens; support state flexibility and local leadership; and promote transparency, flexibility, and innovation in the delivery of care.  The </w:t>
      </w:r>
      <w:r w:rsidRPr="0094555B" w:rsidR="008B2417">
        <w:rPr>
          <w:rFonts w:ascii="Times New Roman" w:hAnsi="Times New Roman" w:cs="Times New Roman"/>
          <w:sz w:val="24"/>
          <w:szCs w:val="24"/>
        </w:rPr>
        <w:t>finalized</w:t>
      </w:r>
      <w:r w:rsidRPr="0094555B" w:rsidR="00FC2882">
        <w:rPr>
          <w:rFonts w:ascii="Times New Roman" w:hAnsi="Times New Roman" w:cs="Times New Roman"/>
          <w:sz w:val="24"/>
          <w:szCs w:val="24"/>
        </w:rPr>
        <w:t xml:space="preserve"> revisions of the Medicaid and CHIP managed care regulations are intended to ensure that the regulatory framework is efficient and feasible for states to implement </w:t>
      </w:r>
      <w:r w:rsidRPr="0094555B" w:rsidR="00FC2882">
        <w:rPr>
          <w:rFonts w:ascii="Times New Roman" w:hAnsi="Times New Roman" w:cs="Times New Roman"/>
          <w:sz w:val="24"/>
          <w:szCs w:val="24"/>
        </w:rPr>
        <w:lastRenderedPageBreak/>
        <w:t>in a cost-effective manner and ensure that states can implement and operate Medicaid and CHIP managed care programs without undue administrative burdens.</w:t>
      </w:r>
    </w:p>
    <w:p w:rsidRPr="0097471C" w:rsidR="00D952F7" w:rsidP="00D952F7" w:rsidRDefault="00D952F7" w14:paraId="75F88296" w14:textId="1872F19F">
      <w:pPr>
        <w:pStyle w:val="BodyText"/>
        <w:rPr>
          <w:rFonts w:ascii="Times New Roman" w:hAnsi="Times New Roman" w:cs="Times New Roman"/>
          <w:sz w:val="24"/>
          <w:szCs w:val="24"/>
        </w:rPr>
      </w:pPr>
      <w:r w:rsidRPr="0097471C">
        <w:rPr>
          <w:rFonts w:ascii="Times New Roman" w:hAnsi="Times New Roman" w:cs="Times New Roman"/>
          <w:sz w:val="24"/>
          <w:szCs w:val="24"/>
        </w:rPr>
        <w:t xml:space="preserve">This collection of information request is associated with our November 13, 2020 final rule (CMS-2408-F, RIN 0938-AT40). In addition to rule-related changes, this iteration also makes burden </w:t>
      </w:r>
      <w:r w:rsidR="00111AC6">
        <w:rPr>
          <w:rFonts w:ascii="Times New Roman" w:hAnsi="Times New Roman" w:cs="Times New Roman"/>
          <w:sz w:val="24"/>
          <w:szCs w:val="24"/>
        </w:rPr>
        <w:t>estimates</w:t>
      </w:r>
      <w:r w:rsidRPr="0097471C">
        <w:rPr>
          <w:rFonts w:ascii="Times New Roman" w:hAnsi="Times New Roman" w:cs="Times New Roman"/>
          <w:sz w:val="24"/>
          <w:szCs w:val="24"/>
        </w:rPr>
        <w:t xml:space="preserve"> </w:t>
      </w:r>
      <w:r w:rsidRPr="0097471C" w:rsidR="00804E0D">
        <w:rPr>
          <w:rFonts w:ascii="Times New Roman" w:hAnsi="Times New Roman" w:cs="Times New Roman"/>
          <w:sz w:val="24"/>
          <w:szCs w:val="24"/>
        </w:rPr>
        <w:t xml:space="preserve">to accommodate the use of reporting templates for existing reporting requirements at </w:t>
      </w:r>
      <w:r w:rsidR="0036140B">
        <w:rPr>
          <w:rFonts w:ascii="Times New Roman" w:hAnsi="Times New Roman" w:cs="Times New Roman"/>
          <w:sz w:val="24"/>
          <w:szCs w:val="24"/>
        </w:rPr>
        <w:t xml:space="preserve">42 CFR </w:t>
      </w:r>
      <w:r w:rsidRPr="0097471C" w:rsidR="00804E0D">
        <w:rPr>
          <w:rFonts w:ascii="Times New Roman" w:hAnsi="Times New Roman" w:cs="Times New Roman"/>
          <w:sz w:val="24"/>
          <w:szCs w:val="24"/>
        </w:rPr>
        <w:t xml:space="preserve">438.207(d) </w:t>
      </w:r>
      <w:r w:rsidR="00944C72">
        <w:rPr>
          <w:rFonts w:ascii="Times New Roman" w:hAnsi="Times New Roman" w:cs="Times New Roman"/>
          <w:sz w:val="24"/>
          <w:szCs w:val="24"/>
        </w:rPr>
        <w:t xml:space="preserve">for network adequacy and access </w:t>
      </w:r>
      <w:r w:rsidRPr="0097471C" w:rsidR="00804E0D">
        <w:rPr>
          <w:rFonts w:ascii="Times New Roman" w:hAnsi="Times New Roman" w:cs="Times New Roman"/>
          <w:sz w:val="24"/>
          <w:szCs w:val="24"/>
        </w:rPr>
        <w:t>and 438.74</w:t>
      </w:r>
      <w:r w:rsidR="00944C72">
        <w:rPr>
          <w:rFonts w:ascii="Times New Roman" w:hAnsi="Times New Roman" w:cs="Times New Roman"/>
          <w:sz w:val="24"/>
          <w:szCs w:val="24"/>
        </w:rPr>
        <w:t xml:space="preserve"> for medical loss ratio</w:t>
      </w:r>
      <w:r w:rsidRPr="0097471C">
        <w:rPr>
          <w:rFonts w:ascii="Times New Roman" w:hAnsi="Times New Roman" w:cs="Times New Roman"/>
          <w:sz w:val="24"/>
          <w:szCs w:val="24"/>
        </w:rPr>
        <w:t xml:space="preserve">. </w:t>
      </w:r>
      <w:r w:rsidR="00D1021C">
        <w:rPr>
          <w:rFonts w:ascii="Times New Roman" w:hAnsi="Times New Roman" w:cs="Times New Roman"/>
          <w:sz w:val="24"/>
          <w:szCs w:val="24"/>
        </w:rPr>
        <w:t xml:space="preserve">State </w:t>
      </w:r>
      <w:r w:rsidR="0024243B">
        <w:rPr>
          <w:rFonts w:ascii="Times New Roman" w:hAnsi="Times New Roman" w:cs="Times New Roman"/>
          <w:sz w:val="24"/>
          <w:szCs w:val="24"/>
        </w:rPr>
        <w:t>questions about these</w:t>
      </w:r>
      <w:r w:rsidR="00D1021C">
        <w:rPr>
          <w:rFonts w:ascii="Times New Roman" w:hAnsi="Times New Roman" w:cs="Times New Roman"/>
          <w:sz w:val="24"/>
          <w:szCs w:val="24"/>
        </w:rPr>
        <w:t xml:space="preserve"> reports have </w:t>
      </w:r>
      <w:r w:rsidR="0024243B">
        <w:rPr>
          <w:rFonts w:ascii="Times New Roman" w:hAnsi="Times New Roman" w:cs="Times New Roman"/>
          <w:sz w:val="24"/>
          <w:szCs w:val="24"/>
        </w:rPr>
        <w:t>demonstrated</w:t>
      </w:r>
      <w:r w:rsidR="00D1021C">
        <w:rPr>
          <w:rFonts w:ascii="Times New Roman" w:hAnsi="Times New Roman" w:cs="Times New Roman"/>
          <w:sz w:val="24"/>
          <w:szCs w:val="24"/>
        </w:rPr>
        <w:t xml:space="preserve"> that a template would </w:t>
      </w:r>
      <w:r w:rsidR="0024243B">
        <w:rPr>
          <w:rFonts w:ascii="Times New Roman" w:hAnsi="Times New Roman" w:cs="Times New Roman"/>
          <w:sz w:val="24"/>
          <w:szCs w:val="24"/>
        </w:rPr>
        <w:t>help states</w:t>
      </w:r>
      <w:r w:rsidR="00D1021C">
        <w:rPr>
          <w:rFonts w:ascii="Times New Roman" w:hAnsi="Times New Roman" w:cs="Times New Roman"/>
          <w:sz w:val="24"/>
          <w:szCs w:val="24"/>
        </w:rPr>
        <w:t xml:space="preserve"> </w:t>
      </w:r>
      <w:r w:rsidR="009F056B">
        <w:rPr>
          <w:rFonts w:ascii="Times New Roman" w:hAnsi="Times New Roman" w:cs="Times New Roman"/>
          <w:sz w:val="24"/>
          <w:szCs w:val="24"/>
        </w:rPr>
        <w:t>by articulating the specific data elements needed and by providing an easy to use format</w:t>
      </w:r>
      <w:r w:rsidR="00D1021C">
        <w:rPr>
          <w:rFonts w:ascii="Times New Roman" w:hAnsi="Times New Roman" w:cs="Times New Roman"/>
          <w:sz w:val="24"/>
          <w:szCs w:val="24"/>
        </w:rPr>
        <w:t xml:space="preserve"> that facilitates </w:t>
      </w:r>
      <w:r w:rsidR="009F056B">
        <w:rPr>
          <w:rFonts w:ascii="Times New Roman" w:hAnsi="Times New Roman" w:cs="Times New Roman"/>
          <w:sz w:val="24"/>
          <w:szCs w:val="24"/>
        </w:rPr>
        <w:t xml:space="preserve">CMS’ </w:t>
      </w:r>
      <w:r w:rsidR="00D1021C">
        <w:rPr>
          <w:rFonts w:ascii="Times New Roman" w:hAnsi="Times New Roman" w:cs="Times New Roman"/>
          <w:sz w:val="24"/>
          <w:szCs w:val="24"/>
        </w:rPr>
        <w:t xml:space="preserve">tracking and analysis. The templates will be issued in Excel format </w:t>
      </w:r>
      <w:r w:rsidR="00DC0B68">
        <w:rPr>
          <w:rFonts w:ascii="Times New Roman" w:hAnsi="Times New Roman" w:cs="Times New Roman"/>
          <w:sz w:val="24"/>
          <w:szCs w:val="24"/>
        </w:rPr>
        <w:t xml:space="preserve">initially </w:t>
      </w:r>
      <w:r w:rsidR="00D1021C">
        <w:rPr>
          <w:rFonts w:ascii="Times New Roman" w:hAnsi="Times New Roman" w:cs="Times New Roman"/>
          <w:sz w:val="24"/>
          <w:szCs w:val="24"/>
        </w:rPr>
        <w:t xml:space="preserve">and converted to an online </w:t>
      </w:r>
      <w:r w:rsidR="00DC0B68">
        <w:rPr>
          <w:rFonts w:ascii="Times New Roman" w:hAnsi="Times New Roman" w:cs="Times New Roman"/>
          <w:sz w:val="24"/>
          <w:szCs w:val="24"/>
        </w:rPr>
        <w:t>submission method in the future.</w:t>
      </w:r>
      <w:r w:rsidR="00D1021C">
        <w:rPr>
          <w:rFonts w:ascii="Times New Roman" w:hAnsi="Times New Roman" w:cs="Times New Roman"/>
          <w:sz w:val="24"/>
          <w:szCs w:val="24"/>
        </w:rPr>
        <w:t xml:space="preserve"> </w:t>
      </w:r>
      <w:r w:rsidR="00944C72">
        <w:rPr>
          <w:rFonts w:ascii="Times New Roman" w:hAnsi="Times New Roman" w:cs="Times New Roman"/>
          <w:sz w:val="24"/>
          <w:szCs w:val="24"/>
        </w:rPr>
        <w:t xml:space="preserve">The </w:t>
      </w:r>
      <w:r w:rsidR="009F056B">
        <w:rPr>
          <w:rFonts w:ascii="Times New Roman" w:hAnsi="Times New Roman" w:cs="Times New Roman"/>
          <w:sz w:val="24"/>
          <w:szCs w:val="24"/>
        </w:rPr>
        <w:t>data</w:t>
      </w:r>
      <w:r w:rsidR="00944C72">
        <w:rPr>
          <w:rFonts w:ascii="Times New Roman" w:hAnsi="Times New Roman" w:cs="Times New Roman"/>
          <w:sz w:val="24"/>
          <w:szCs w:val="24"/>
        </w:rPr>
        <w:t xml:space="preserve"> gathered from these reports will enable CMS to </w:t>
      </w:r>
      <w:r w:rsidR="009F056B">
        <w:rPr>
          <w:rFonts w:ascii="Times New Roman" w:hAnsi="Times New Roman" w:cs="Times New Roman"/>
          <w:sz w:val="24"/>
          <w:szCs w:val="24"/>
        </w:rPr>
        <w:t xml:space="preserve">ensure state compliance with regulatory requirements. </w:t>
      </w:r>
      <w:r w:rsidRPr="0097471C">
        <w:rPr>
          <w:rFonts w:ascii="Times New Roman" w:hAnsi="Times New Roman" w:cs="Times New Roman"/>
          <w:sz w:val="24"/>
          <w:szCs w:val="24"/>
        </w:rPr>
        <w:t>Please see Section 15 (below) for details.</w:t>
      </w:r>
    </w:p>
    <w:p w:rsidRPr="0094555B" w:rsidR="00FC2882" w:rsidP="0094555B" w:rsidRDefault="00DC3994" w14:paraId="0EB534CB" w14:textId="4C2C660D">
      <w:pPr>
        <w:pStyle w:val="Heading2"/>
        <w:numPr>
          <w:ilvl w:val="0"/>
          <w:numId w:val="1"/>
        </w:numPr>
        <w:rPr>
          <w:rFonts w:ascii="Times New Roman" w:hAnsi="Times New Roman" w:cs="Times New Roman"/>
          <w:b/>
          <w:color w:val="auto"/>
          <w:sz w:val="24"/>
          <w:szCs w:val="24"/>
        </w:rPr>
      </w:pPr>
      <w:bookmarkStart w:name="_Toc528571021" w:id="4"/>
      <w:bookmarkStart w:name="_Toc528571487" w:id="5"/>
      <w:bookmarkStart w:name="_Toc528571581" w:id="6"/>
      <w:r w:rsidRPr="0094555B">
        <w:rPr>
          <w:rFonts w:ascii="Times New Roman" w:hAnsi="Times New Roman" w:cs="Times New Roman"/>
          <w:b/>
          <w:color w:val="auto"/>
          <w:sz w:val="24"/>
          <w:szCs w:val="24"/>
        </w:rPr>
        <w:t>JUSTIFICATION</w:t>
      </w:r>
      <w:bookmarkEnd w:id="4"/>
      <w:bookmarkEnd w:id="5"/>
      <w:bookmarkEnd w:id="6"/>
    </w:p>
    <w:p w:rsidRPr="0094555B" w:rsidR="00DC3994" w:rsidP="0094555B" w:rsidRDefault="00DC3994" w14:paraId="6A7DB551" w14:textId="77777777"/>
    <w:p w:rsidRPr="0094555B" w:rsidR="00FC2882" w:rsidP="0094555B" w:rsidRDefault="00FC2882" w14:paraId="58B70851" w14:textId="1F04076C">
      <w:pPr>
        <w:pStyle w:val="Heading3"/>
        <w:numPr>
          <w:ilvl w:val="0"/>
          <w:numId w:val="2"/>
        </w:numPr>
        <w:rPr>
          <w:rFonts w:ascii="Times New Roman" w:hAnsi="Times New Roman" w:cs="Times New Roman"/>
          <w:color w:val="auto"/>
          <w:u w:val="single"/>
        </w:rPr>
      </w:pPr>
      <w:bookmarkStart w:name="_Toc528571022" w:id="7"/>
      <w:bookmarkStart w:name="_Toc528571488" w:id="8"/>
      <w:bookmarkStart w:name="_Toc528571582" w:id="9"/>
      <w:r w:rsidRPr="0094555B">
        <w:rPr>
          <w:rFonts w:ascii="Times New Roman" w:hAnsi="Times New Roman" w:cs="Times New Roman"/>
          <w:color w:val="auto"/>
          <w:u w:val="single"/>
        </w:rPr>
        <w:t>Need and Legal Basis:</w:t>
      </w:r>
      <w:bookmarkEnd w:id="7"/>
      <w:bookmarkEnd w:id="8"/>
      <w:bookmarkEnd w:id="9"/>
    </w:p>
    <w:p w:rsidRPr="0094555B" w:rsidR="00087ECB" w:rsidP="0094555B" w:rsidRDefault="00087ECB" w14:paraId="00337305" w14:textId="77777777">
      <w:pPr>
        <w:pStyle w:val="Norman"/>
        <w:rPr>
          <w:rFonts w:ascii="Times New Roman" w:hAnsi="Times New Roman" w:cs="Times New Roman"/>
          <w:sz w:val="24"/>
          <w:szCs w:val="24"/>
        </w:rPr>
      </w:pPr>
    </w:p>
    <w:p w:rsidRPr="0094555B" w:rsidR="007A3603" w:rsidDel="00851B04" w:rsidP="0094555B" w:rsidRDefault="007A3603" w14:paraId="00C6EA97" w14:textId="1432E979">
      <w:pPr>
        <w:pStyle w:val="Norman"/>
        <w:rPr>
          <w:rFonts w:ascii="Times New Roman" w:hAnsi="Times New Roman" w:cs="Times New Roman"/>
          <w:sz w:val="24"/>
          <w:szCs w:val="24"/>
        </w:rPr>
      </w:pPr>
      <w:r w:rsidRPr="0094555B">
        <w:rPr>
          <w:rFonts w:ascii="Times New Roman" w:hAnsi="Times New Roman" w:cs="Times New Roman"/>
          <w:sz w:val="24"/>
          <w:szCs w:val="24"/>
        </w:rPr>
        <w:t xml:space="preserve">Section 4701 of the </w:t>
      </w:r>
      <w:r w:rsidRPr="0094555B" w:rsidR="00B16DAA">
        <w:rPr>
          <w:rFonts w:ascii="Times New Roman" w:hAnsi="Times New Roman" w:cs="Times New Roman"/>
          <w:sz w:val="24"/>
          <w:szCs w:val="24"/>
        </w:rPr>
        <w:t xml:space="preserve">Bipartisan Budget Act (BBA) of </w:t>
      </w:r>
      <w:r w:rsidRPr="0094555B" w:rsidR="00544D26">
        <w:rPr>
          <w:rFonts w:ascii="Times New Roman" w:hAnsi="Times New Roman" w:cs="Times New Roman"/>
          <w:sz w:val="24"/>
          <w:szCs w:val="24"/>
        </w:rPr>
        <w:t>1997</w:t>
      </w:r>
      <w:r w:rsidRPr="0094555B" w:rsidR="00B16DAA">
        <w:rPr>
          <w:rFonts w:ascii="Times New Roman" w:hAnsi="Times New Roman" w:cs="Times New Roman"/>
          <w:sz w:val="24"/>
          <w:szCs w:val="24"/>
        </w:rPr>
        <w:t xml:space="preserve"> </w:t>
      </w:r>
      <w:r w:rsidRPr="0094555B">
        <w:rPr>
          <w:rFonts w:ascii="Times New Roman" w:hAnsi="Times New Roman" w:cs="Times New Roman"/>
          <w:sz w:val="24"/>
          <w:szCs w:val="24"/>
        </w:rPr>
        <w:t xml:space="preserve">created section 1932(a) of the </w:t>
      </w:r>
      <w:r w:rsidRPr="0094555B" w:rsidR="00D6702F">
        <w:rPr>
          <w:rFonts w:ascii="Times New Roman" w:hAnsi="Times New Roman" w:cs="Times New Roman"/>
          <w:sz w:val="24"/>
          <w:szCs w:val="24"/>
        </w:rPr>
        <w:t>Social Security Act (the Act)</w:t>
      </w:r>
      <w:r w:rsidRPr="0094555B">
        <w:rPr>
          <w:rFonts w:ascii="Times New Roman" w:hAnsi="Times New Roman" w:cs="Times New Roman"/>
          <w:sz w:val="24"/>
          <w:szCs w:val="24"/>
        </w:rPr>
        <w:t xml:space="preserve">, changed terminology in Title XIX of the Act and amended section 1903(m) to require that contracts and managed care organizations (MCOs) comply with applicable requirements in the new section.  Section 1932(a) permits States to mandatorily enroll most groups of Medicaid beneficiaries into managed care arrangements without section 1915(b) or section 1115 waiver authority.  </w:t>
      </w:r>
    </w:p>
    <w:p w:rsidRPr="0094555B" w:rsidR="007A3603" w:rsidP="0094555B" w:rsidRDefault="007A3603" w14:paraId="6A224A31" w14:textId="77777777">
      <w:pPr>
        <w:pStyle w:val="ListParagraph"/>
        <w:numPr>
          <w:ilvl w:val="0"/>
          <w:numId w:val="7"/>
        </w:numPr>
        <w:rPr>
          <w:rFonts w:ascii="Times New Roman" w:hAnsi="Times New Roman" w:cs="Times New Roman"/>
          <w:sz w:val="24"/>
          <w:szCs w:val="24"/>
        </w:rPr>
      </w:pPr>
      <w:r w:rsidRPr="0094555B">
        <w:rPr>
          <w:rFonts w:ascii="Times New Roman" w:hAnsi="Times New Roman" w:cs="Times New Roman"/>
          <w:sz w:val="24"/>
          <w:szCs w:val="24"/>
        </w:rPr>
        <w:t xml:space="preserve">Section 1932 also defines the term "managed care entity" (MCE) to include MCOs and primary care case managers (PCCMs); establishes new requirements for managed care enrollment and choice of coverage; and requires MCEs and State agencies to provide specified information to enrollees and potential enrollees.  </w:t>
      </w:r>
    </w:p>
    <w:p w:rsidRPr="0094555B" w:rsidR="007A3603" w:rsidP="0094555B" w:rsidRDefault="007A3603" w14:paraId="40852181" w14:textId="77777777">
      <w:pPr>
        <w:pStyle w:val="ListParagraph"/>
        <w:numPr>
          <w:ilvl w:val="0"/>
          <w:numId w:val="7"/>
        </w:numPr>
        <w:rPr>
          <w:rFonts w:ascii="Times New Roman" w:hAnsi="Times New Roman" w:cs="Times New Roman"/>
          <w:sz w:val="24"/>
          <w:szCs w:val="24"/>
        </w:rPr>
      </w:pPr>
      <w:r w:rsidRPr="0094555B">
        <w:rPr>
          <w:rFonts w:ascii="Times New Roman" w:hAnsi="Times New Roman" w:cs="Times New Roman"/>
          <w:sz w:val="24"/>
          <w:szCs w:val="24"/>
        </w:rPr>
        <w:t>Section 4702 amended section 1905 to permit States to provide PCCM services without the need for waiver authority.  Instead, PCCM services may be made available under a State’s Medicaid plan as an optional service.</w:t>
      </w:r>
    </w:p>
    <w:p w:rsidRPr="0094555B" w:rsidR="007A3603" w:rsidP="0094555B" w:rsidRDefault="007A3603" w14:paraId="4E631FCA" w14:textId="77777777">
      <w:pPr>
        <w:pStyle w:val="ListParagraph"/>
        <w:numPr>
          <w:ilvl w:val="0"/>
          <w:numId w:val="7"/>
        </w:numPr>
        <w:rPr>
          <w:rFonts w:ascii="Times New Roman" w:hAnsi="Times New Roman" w:cs="Times New Roman"/>
          <w:sz w:val="24"/>
          <w:szCs w:val="24"/>
        </w:rPr>
      </w:pPr>
      <w:r w:rsidRPr="0094555B">
        <w:rPr>
          <w:rFonts w:ascii="Times New Roman" w:hAnsi="Times New Roman" w:cs="Times New Roman"/>
          <w:sz w:val="24"/>
          <w:szCs w:val="24"/>
        </w:rPr>
        <w:t>Section 4703 eliminated a former statutory requirement that no more than 75 percent of the enrollees in an MCO be Medicaid or Medicare beneficiaries.</w:t>
      </w:r>
    </w:p>
    <w:p w:rsidRPr="0094555B" w:rsidR="007A3603" w:rsidP="0094555B" w:rsidRDefault="007A3603" w14:paraId="4BC75EA0" w14:textId="77777777">
      <w:pPr>
        <w:pStyle w:val="ListParagraph"/>
        <w:numPr>
          <w:ilvl w:val="0"/>
          <w:numId w:val="7"/>
        </w:numPr>
        <w:rPr>
          <w:rFonts w:ascii="Times New Roman" w:hAnsi="Times New Roman" w:cs="Times New Roman"/>
          <w:sz w:val="24"/>
          <w:szCs w:val="24"/>
        </w:rPr>
      </w:pPr>
      <w:r w:rsidRPr="0094555B">
        <w:rPr>
          <w:rFonts w:ascii="Times New Roman" w:hAnsi="Times New Roman" w:cs="Times New Roman"/>
          <w:sz w:val="24"/>
          <w:szCs w:val="24"/>
        </w:rPr>
        <w:t>Section 4704 created section 1932(b) to add increased beneficiary protections for those enrolled under managed care arrangements.  These include, among other things, the use of a prudent layperson’s definition of emergency medical condition when presenting at an emergency room; standards for demonstration of adequate capacity and services; grievance procedures; and protections for enrollees against liability for payment of an organization’s or provider’s debts in the case of insolvency.</w:t>
      </w:r>
    </w:p>
    <w:p w:rsidRPr="0094555B" w:rsidR="007A3603" w:rsidP="0094555B" w:rsidRDefault="007A3603" w14:paraId="3A85FC96" w14:textId="77777777">
      <w:pPr>
        <w:pStyle w:val="ListParagraph"/>
        <w:numPr>
          <w:ilvl w:val="0"/>
          <w:numId w:val="7"/>
        </w:numPr>
        <w:rPr>
          <w:rFonts w:ascii="Times New Roman" w:hAnsi="Times New Roman" w:cs="Times New Roman"/>
          <w:sz w:val="24"/>
          <w:szCs w:val="24"/>
        </w:rPr>
      </w:pPr>
      <w:r w:rsidRPr="0094555B">
        <w:rPr>
          <w:rFonts w:ascii="Times New Roman" w:hAnsi="Times New Roman" w:cs="Times New Roman"/>
          <w:sz w:val="24"/>
          <w:szCs w:val="24"/>
        </w:rPr>
        <w:t>Section 4705 created section 1932(c), which requires States to develop and implement quality assessment and improvement strategies for their managed care arrangements.</w:t>
      </w:r>
    </w:p>
    <w:p w:rsidRPr="0094555B" w:rsidR="007A3603" w:rsidP="0094555B" w:rsidRDefault="007A3603" w14:paraId="4137E5E0" w14:textId="77777777">
      <w:pPr>
        <w:pStyle w:val="ListParagraph"/>
        <w:numPr>
          <w:ilvl w:val="0"/>
          <w:numId w:val="7"/>
        </w:numPr>
        <w:rPr>
          <w:rFonts w:ascii="Times New Roman" w:hAnsi="Times New Roman" w:cs="Times New Roman"/>
          <w:sz w:val="24"/>
          <w:szCs w:val="24"/>
        </w:rPr>
      </w:pPr>
      <w:r w:rsidRPr="0094555B">
        <w:rPr>
          <w:rFonts w:ascii="Times New Roman" w:hAnsi="Times New Roman" w:cs="Times New Roman"/>
          <w:sz w:val="24"/>
          <w:szCs w:val="24"/>
        </w:rPr>
        <w:lastRenderedPageBreak/>
        <w:t>Section 4706 provided that with limited exceptions an MCO must meet the same solvency standards set by States for a private HMO, or be licensed or certified by the State as a risk-bearing entity.</w:t>
      </w:r>
    </w:p>
    <w:p w:rsidRPr="0094555B" w:rsidR="007A3603" w:rsidP="0094555B" w:rsidRDefault="007A3603" w14:paraId="187AA4FC" w14:textId="77777777">
      <w:pPr>
        <w:pStyle w:val="ListParagraph"/>
        <w:numPr>
          <w:ilvl w:val="0"/>
          <w:numId w:val="7"/>
        </w:numPr>
        <w:rPr>
          <w:rFonts w:ascii="Times New Roman" w:hAnsi="Times New Roman" w:cs="Times New Roman"/>
          <w:sz w:val="24"/>
          <w:szCs w:val="24"/>
        </w:rPr>
      </w:pPr>
      <w:r w:rsidRPr="0094555B">
        <w:rPr>
          <w:rFonts w:ascii="Times New Roman" w:hAnsi="Times New Roman" w:cs="Times New Roman"/>
          <w:sz w:val="24"/>
          <w:szCs w:val="24"/>
        </w:rPr>
        <w:t>Section 4707 created section 1932(d) to add protections against fraud and abuse, such as restrictions on marketing and sanctions for noncompliance.</w:t>
      </w:r>
    </w:p>
    <w:p w:rsidRPr="0094555B" w:rsidR="007A3603" w:rsidP="0094555B" w:rsidRDefault="007A3603" w14:paraId="34180C86" w14:textId="77777777">
      <w:pPr>
        <w:pStyle w:val="ListParagraph"/>
        <w:numPr>
          <w:ilvl w:val="0"/>
          <w:numId w:val="7"/>
        </w:numPr>
        <w:rPr>
          <w:rFonts w:ascii="Times New Roman" w:hAnsi="Times New Roman" w:cs="Times New Roman"/>
          <w:sz w:val="24"/>
          <w:szCs w:val="24"/>
        </w:rPr>
      </w:pPr>
      <w:r w:rsidRPr="0094555B">
        <w:rPr>
          <w:rFonts w:ascii="Times New Roman" w:hAnsi="Times New Roman" w:cs="Times New Roman"/>
          <w:sz w:val="24"/>
          <w:szCs w:val="24"/>
        </w:rPr>
        <w:t>Section 4708 added a number of provisions to improve the administration of managed care arrangements.  These include, among other things, changing the threshold amount of managed care contracts requiring the Secretary’s prior approval, and permitting the same copayments in MCOs as apply to fee-for-service arrangements.</w:t>
      </w:r>
    </w:p>
    <w:p w:rsidRPr="0094555B" w:rsidR="007A3603" w:rsidP="0094555B" w:rsidRDefault="007A3603" w14:paraId="19A53445" w14:textId="77777777">
      <w:pPr>
        <w:pStyle w:val="ListParagraph"/>
        <w:numPr>
          <w:ilvl w:val="0"/>
          <w:numId w:val="7"/>
        </w:numPr>
        <w:rPr>
          <w:rFonts w:ascii="Times New Roman" w:hAnsi="Times New Roman" w:cs="Times New Roman"/>
          <w:sz w:val="24"/>
          <w:szCs w:val="24"/>
        </w:rPr>
      </w:pPr>
      <w:r w:rsidRPr="0094555B">
        <w:rPr>
          <w:rFonts w:ascii="Times New Roman" w:hAnsi="Times New Roman" w:cs="Times New Roman"/>
          <w:sz w:val="24"/>
          <w:szCs w:val="24"/>
        </w:rPr>
        <w:t>Section 4709 allowed States the option to provide six months of guaranteed eligibility for all individuals enrolled with an MCO or PCCM.</w:t>
      </w:r>
    </w:p>
    <w:p w:rsidRPr="0094555B" w:rsidR="007A3603" w:rsidP="0094555B" w:rsidRDefault="007A3603" w14:paraId="71D2E865" w14:textId="77777777">
      <w:pPr>
        <w:pStyle w:val="ListParagraph"/>
        <w:numPr>
          <w:ilvl w:val="0"/>
          <w:numId w:val="7"/>
        </w:numPr>
        <w:rPr>
          <w:rFonts w:ascii="Times New Roman" w:hAnsi="Times New Roman" w:cs="Times New Roman"/>
          <w:sz w:val="24"/>
          <w:szCs w:val="24"/>
        </w:rPr>
      </w:pPr>
      <w:r w:rsidRPr="0094555B">
        <w:rPr>
          <w:rFonts w:ascii="Times New Roman" w:hAnsi="Times New Roman" w:cs="Times New Roman"/>
          <w:sz w:val="24"/>
          <w:szCs w:val="24"/>
        </w:rPr>
        <w:t>Section 4710 specified the effective dates for all the provisions identified in sections 4701 through 4709.</w:t>
      </w:r>
    </w:p>
    <w:p w:rsidRPr="0094555B" w:rsidR="007A3603" w:rsidP="0094555B" w:rsidRDefault="007A3603" w14:paraId="432A66C6" w14:textId="77777777">
      <w:pPr>
        <w:pStyle w:val="ListParagraph"/>
        <w:numPr>
          <w:ilvl w:val="0"/>
          <w:numId w:val="7"/>
        </w:numPr>
        <w:rPr>
          <w:rFonts w:ascii="Times New Roman" w:hAnsi="Times New Roman" w:cs="Times New Roman"/>
          <w:sz w:val="24"/>
          <w:szCs w:val="24"/>
        </w:rPr>
      </w:pPr>
      <w:r w:rsidRPr="0094555B">
        <w:rPr>
          <w:rFonts w:ascii="Times New Roman" w:hAnsi="Times New Roman" w:cs="Times New Roman"/>
          <w:sz w:val="24"/>
          <w:szCs w:val="24"/>
        </w:rPr>
        <w:t>Section 1902(a)(4) of the Social Security Act requires such methods of administration as are found by the Secretary to be necessary for the proper and efficient operation of the plan.</w:t>
      </w:r>
    </w:p>
    <w:p w:rsidRPr="0094555B" w:rsidR="00FC2882" w:rsidP="0094555B" w:rsidRDefault="00FC2882" w14:paraId="4CB58BFA" w14:textId="3F1CDB3F">
      <w:pPr>
        <w:pStyle w:val="Heading3"/>
        <w:numPr>
          <w:ilvl w:val="0"/>
          <w:numId w:val="2"/>
        </w:numPr>
        <w:rPr>
          <w:rFonts w:ascii="Times New Roman" w:hAnsi="Times New Roman" w:cs="Times New Roman"/>
          <w:color w:val="auto"/>
          <w:u w:val="single"/>
        </w:rPr>
      </w:pPr>
      <w:bookmarkStart w:name="_Toc528571023" w:id="10"/>
      <w:bookmarkStart w:name="_Toc528571489" w:id="11"/>
      <w:bookmarkStart w:name="_Toc528571583" w:id="12"/>
      <w:r w:rsidRPr="0094555B">
        <w:rPr>
          <w:rFonts w:ascii="Times New Roman" w:hAnsi="Times New Roman" w:cs="Times New Roman"/>
          <w:color w:val="auto"/>
          <w:u w:val="single"/>
        </w:rPr>
        <w:t>Information Users:</w:t>
      </w:r>
      <w:bookmarkEnd w:id="10"/>
      <w:bookmarkEnd w:id="11"/>
      <w:bookmarkEnd w:id="12"/>
    </w:p>
    <w:p w:rsidRPr="0094555B" w:rsidR="00DC3994" w:rsidP="0094555B" w:rsidRDefault="00DC3994" w14:paraId="5113DEAC" w14:textId="77777777">
      <w:pPr>
        <w:rPr>
          <w:rFonts w:ascii="Times New Roman" w:hAnsi="Times New Roman" w:cs="Times New Roman"/>
          <w:u w:val="single"/>
        </w:rPr>
      </w:pPr>
    </w:p>
    <w:p w:rsidRPr="0094555B" w:rsidR="007A3603" w:rsidP="0094555B" w:rsidRDefault="007A3603" w14:paraId="6BC7CBB0" w14:textId="77777777">
      <w:pPr>
        <w:rPr>
          <w:rFonts w:ascii="Times New Roman" w:hAnsi="Times New Roman" w:cs="Times New Roman"/>
          <w:sz w:val="24"/>
          <w:szCs w:val="24"/>
        </w:rPr>
      </w:pPr>
      <w:r w:rsidRPr="0094555B">
        <w:rPr>
          <w:rFonts w:ascii="Times New Roman" w:hAnsi="Times New Roman" w:cs="Times New Roman"/>
          <w:sz w:val="24"/>
          <w:szCs w:val="24"/>
        </w:rPr>
        <w:t>Medicaid enrollees use the information collected and reported to make informed choices regarding health care, including when selecting a managed care plan, how to access health care services, and the grievance and appeal system.</w:t>
      </w:r>
    </w:p>
    <w:p w:rsidRPr="0094555B" w:rsidR="007A3603" w:rsidP="0094555B" w:rsidRDefault="007A3603" w14:paraId="6ADDFEEB" w14:textId="77777777">
      <w:pPr>
        <w:rPr>
          <w:rFonts w:ascii="Times New Roman" w:hAnsi="Times New Roman" w:cs="Times New Roman"/>
          <w:sz w:val="24"/>
          <w:szCs w:val="24"/>
        </w:rPr>
      </w:pPr>
      <w:r w:rsidRPr="0094555B">
        <w:rPr>
          <w:rFonts w:ascii="Times New Roman" w:hAnsi="Times New Roman" w:cs="Times New Roman"/>
          <w:sz w:val="24"/>
          <w:szCs w:val="24"/>
        </w:rPr>
        <w:t xml:space="preserve">States use the information collected and reported as part of its contracting process with managed care entities, as well as to fulfill its compliance oversight role. </w:t>
      </w:r>
    </w:p>
    <w:p w:rsidRPr="0094555B" w:rsidR="007A3603" w:rsidP="0094555B" w:rsidRDefault="007A3603" w14:paraId="6189716F" w14:textId="77777777">
      <w:pPr>
        <w:rPr>
          <w:rFonts w:ascii="Times New Roman" w:hAnsi="Times New Roman" w:cs="Times New Roman"/>
          <w:sz w:val="24"/>
          <w:szCs w:val="24"/>
        </w:rPr>
      </w:pPr>
      <w:r w:rsidRPr="0094555B">
        <w:rPr>
          <w:rFonts w:ascii="Times New Roman" w:hAnsi="Times New Roman" w:cs="Times New Roman"/>
          <w:sz w:val="24"/>
          <w:szCs w:val="24"/>
        </w:rPr>
        <w:t>CMS uses the information collected and reported in an oversight role of State Medicaid managed care programs.</w:t>
      </w:r>
      <w:r w:rsidRPr="0094555B">
        <w:rPr>
          <w:rFonts w:ascii="Times New Roman" w:hAnsi="Times New Roman" w:cs="Times New Roman"/>
          <w:sz w:val="24"/>
          <w:szCs w:val="24"/>
        </w:rPr>
        <w:tab/>
      </w:r>
    </w:p>
    <w:p w:rsidRPr="0094555B" w:rsidR="00FC2882" w:rsidP="0094555B" w:rsidRDefault="00FC2882" w14:paraId="70D19719" w14:textId="10E4063B">
      <w:pPr>
        <w:pStyle w:val="Heading3"/>
        <w:numPr>
          <w:ilvl w:val="0"/>
          <w:numId w:val="2"/>
        </w:numPr>
        <w:rPr>
          <w:rFonts w:ascii="Times New Roman" w:hAnsi="Times New Roman" w:cs="Times New Roman"/>
          <w:color w:val="auto"/>
          <w:u w:val="single"/>
        </w:rPr>
      </w:pPr>
      <w:bookmarkStart w:name="_Toc528571024" w:id="13"/>
      <w:bookmarkStart w:name="_Toc528571490" w:id="14"/>
      <w:bookmarkStart w:name="_Toc528571584" w:id="15"/>
      <w:r w:rsidRPr="0094555B">
        <w:rPr>
          <w:rFonts w:ascii="Times New Roman" w:hAnsi="Times New Roman" w:cs="Times New Roman"/>
          <w:color w:val="auto"/>
          <w:u w:val="single"/>
        </w:rPr>
        <w:t>Improved Information Technology:</w:t>
      </w:r>
      <w:bookmarkEnd w:id="13"/>
      <w:bookmarkEnd w:id="14"/>
      <w:bookmarkEnd w:id="15"/>
    </w:p>
    <w:p w:rsidRPr="0094555B" w:rsidR="00DC3994" w:rsidP="0094555B" w:rsidRDefault="00DC3994" w14:paraId="16CFB4B7" w14:textId="77777777">
      <w:pPr>
        <w:rPr>
          <w:rFonts w:ascii="Times New Roman" w:hAnsi="Times New Roman" w:cs="Times New Roman"/>
          <w:u w:val="single"/>
        </w:rPr>
      </w:pPr>
    </w:p>
    <w:p w:rsidRPr="0094555B" w:rsidR="007A3603" w:rsidP="0094555B" w:rsidRDefault="007A3603" w14:paraId="339E89E0" w14:textId="77777777">
      <w:pPr>
        <w:autoSpaceDE w:val="0"/>
        <w:autoSpaceDN w:val="0"/>
        <w:adjustRightInd w:val="0"/>
        <w:rPr>
          <w:rFonts w:ascii="Times New Roman" w:hAnsi="Times New Roman" w:cs="Times New Roman"/>
          <w:sz w:val="24"/>
          <w:szCs w:val="24"/>
        </w:rPr>
      </w:pPr>
      <w:r w:rsidRPr="0094555B">
        <w:rPr>
          <w:rFonts w:ascii="Times New Roman" w:hAnsi="Times New Roman" w:cs="Times New Roman"/>
          <w:sz w:val="24"/>
          <w:szCs w:val="24"/>
        </w:rPr>
        <w:t xml:space="preserve">Section 438.10 modifies the requirements for updating the paper provider directory that would permit quarterly updates to paper directories if the managed care plan offers a mobile-enabled, electronic directory.  </w:t>
      </w:r>
    </w:p>
    <w:p w:rsidRPr="0094555B" w:rsidR="007A3603" w:rsidP="0094555B" w:rsidRDefault="007A3603" w14:paraId="641C3083" w14:textId="461A00D3">
      <w:pPr>
        <w:autoSpaceDE w:val="0"/>
        <w:autoSpaceDN w:val="0"/>
        <w:adjustRightInd w:val="0"/>
        <w:rPr>
          <w:rFonts w:ascii="Times New Roman" w:hAnsi="Times New Roman" w:cs="Times New Roman"/>
          <w:sz w:val="24"/>
          <w:szCs w:val="24"/>
        </w:rPr>
      </w:pPr>
      <w:r w:rsidRPr="0094555B">
        <w:rPr>
          <w:rFonts w:ascii="Times New Roman" w:hAnsi="Times New Roman" w:cs="Times New Roman"/>
          <w:sz w:val="24"/>
          <w:szCs w:val="24"/>
        </w:rPr>
        <w:t xml:space="preserve">Sections 438.66, 438.74, 438.207, and 438.818 contain requirements concerning specific reporting to CMS and will all be done electronically.  </w:t>
      </w:r>
      <w:r w:rsidR="006F0E7F">
        <w:rPr>
          <w:rFonts w:ascii="Times New Roman" w:hAnsi="Times New Roman" w:cs="Times New Roman"/>
          <w:sz w:val="24"/>
          <w:szCs w:val="24"/>
        </w:rPr>
        <w:t xml:space="preserve">CMS is publishing templates for states to use to comply with the reporting requirements in 438.207(d) and 438.74 to ensure the receipt of consistent information that can be more easily aggregated and analyzed.  </w:t>
      </w:r>
      <w:r w:rsidRPr="0094555B">
        <w:rPr>
          <w:rFonts w:ascii="Times New Roman" w:hAnsi="Times New Roman" w:cs="Times New Roman"/>
          <w:sz w:val="24"/>
          <w:szCs w:val="24"/>
        </w:rPr>
        <w:t xml:space="preserve">Most of the </w:t>
      </w:r>
      <w:r w:rsidR="006F0E7F">
        <w:rPr>
          <w:rFonts w:ascii="Times New Roman" w:hAnsi="Times New Roman" w:cs="Times New Roman"/>
          <w:sz w:val="24"/>
          <w:szCs w:val="24"/>
        </w:rPr>
        <w:t xml:space="preserve">other </w:t>
      </w:r>
      <w:r w:rsidRPr="0094555B">
        <w:rPr>
          <w:rFonts w:ascii="Times New Roman" w:hAnsi="Times New Roman" w:cs="Times New Roman"/>
          <w:sz w:val="24"/>
          <w:szCs w:val="24"/>
        </w:rPr>
        <w:t>sections do not involve submitting information to any entity; those that do, concern the submission of information between states and plans.  Because this concerns disclosure to a third party, we do not dictate how the information may be disclosed.</w:t>
      </w:r>
    </w:p>
    <w:p w:rsidRPr="0094555B" w:rsidR="007A3603" w:rsidP="0094555B" w:rsidRDefault="007A3603" w14:paraId="287DFF23" w14:textId="3C59CECA">
      <w:pPr>
        <w:autoSpaceDE w:val="0"/>
        <w:autoSpaceDN w:val="0"/>
        <w:adjustRightInd w:val="0"/>
        <w:rPr>
          <w:rFonts w:ascii="Times New Roman" w:hAnsi="Times New Roman" w:cs="Times New Roman"/>
          <w:sz w:val="24"/>
          <w:szCs w:val="24"/>
        </w:rPr>
      </w:pPr>
      <w:r w:rsidRPr="0094555B">
        <w:rPr>
          <w:rFonts w:ascii="Times New Roman" w:hAnsi="Times New Roman" w:cs="Times New Roman"/>
          <w:sz w:val="24"/>
          <w:szCs w:val="24"/>
        </w:rPr>
        <w:t xml:space="preserve">Section 438.242 requires that states ensure that each MCO, PIHP, and PAHP implement an openly published Application Programming Interface (API) that permits third-party applications to retrieve standardized data concerning adjudicated claims, encounters with sub-capitated </w:t>
      </w:r>
      <w:r w:rsidRPr="0094555B">
        <w:rPr>
          <w:rFonts w:ascii="Times New Roman" w:hAnsi="Times New Roman" w:cs="Times New Roman"/>
          <w:sz w:val="24"/>
          <w:szCs w:val="24"/>
        </w:rPr>
        <w:lastRenderedPageBreak/>
        <w:t>providers, provider remittances and enrollee cost-sharing, provider directories, and preferred drug lists.  The API</w:t>
      </w:r>
      <w:r w:rsidRPr="0094555B">
        <w:rPr>
          <w:rFonts w:ascii="Times New Roman" w:hAnsi="Times New Roman" w:cs="Times New Roman"/>
          <w:bCs/>
          <w:sz w:val="24"/>
          <w:szCs w:val="24"/>
        </w:rPr>
        <w:t xml:space="preserve"> will make the data available to enrollees through common technologies and without special effort from enrollees</w:t>
      </w:r>
      <w:r w:rsidRPr="0094555B">
        <w:rPr>
          <w:rFonts w:ascii="Times New Roman" w:hAnsi="Times New Roman" w:cs="Times New Roman"/>
          <w:sz w:val="24"/>
          <w:szCs w:val="24"/>
        </w:rPr>
        <w:t>.  We anticipate that the standardized framework (both the API specification and data standards) would align across Medicaid</w:t>
      </w:r>
      <w:r w:rsidR="006F0E7F">
        <w:rPr>
          <w:rFonts w:ascii="Times New Roman" w:hAnsi="Times New Roman" w:cs="Times New Roman"/>
          <w:sz w:val="24"/>
          <w:szCs w:val="24"/>
        </w:rPr>
        <w:t xml:space="preserve"> </w:t>
      </w:r>
      <w:r w:rsidRPr="0094555B">
        <w:rPr>
          <w:rFonts w:ascii="Times New Roman" w:hAnsi="Times New Roman" w:cs="Times New Roman"/>
          <w:sz w:val="24"/>
          <w:szCs w:val="24"/>
        </w:rPr>
        <w:t>and the private insurance market.  These requirements will allow patients to have control of their healthcare data empowering patients to make informed decisions about their healthcare. (See CMS-9115-</w:t>
      </w:r>
      <w:r w:rsidR="006F0E7F">
        <w:rPr>
          <w:rFonts w:ascii="Times New Roman" w:hAnsi="Times New Roman" w:cs="Times New Roman"/>
          <w:sz w:val="24"/>
          <w:szCs w:val="24"/>
        </w:rPr>
        <w:t>F</w:t>
      </w:r>
      <w:r w:rsidRPr="0094555B">
        <w:rPr>
          <w:rFonts w:ascii="Times New Roman" w:hAnsi="Times New Roman" w:cs="Times New Roman"/>
          <w:sz w:val="24"/>
          <w:szCs w:val="24"/>
        </w:rPr>
        <w:t xml:space="preserve"> for more information).</w:t>
      </w:r>
    </w:p>
    <w:p w:rsidRPr="0094555B" w:rsidR="00FC2882" w:rsidP="0094555B" w:rsidRDefault="00FC2882" w14:paraId="04B1AAA0" w14:textId="5490527C">
      <w:pPr>
        <w:pStyle w:val="Heading3"/>
        <w:numPr>
          <w:ilvl w:val="0"/>
          <w:numId w:val="2"/>
        </w:numPr>
        <w:rPr>
          <w:rFonts w:ascii="Times New Roman" w:hAnsi="Times New Roman" w:cs="Times New Roman"/>
          <w:color w:val="auto"/>
          <w:u w:val="single"/>
        </w:rPr>
      </w:pPr>
      <w:bookmarkStart w:name="_Toc528571025" w:id="16"/>
      <w:bookmarkStart w:name="_Toc528571491" w:id="17"/>
      <w:bookmarkStart w:name="_Toc528571585" w:id="18"/>
      <w:r w:rsidRPr="0094555B">
        <w:rPr>
          <w:rFonts w:ascii="Times New Roman" w:hAnsi="Times New Roman" w:cs="Times New Roman"/>
          <w:color w:val="auto"/>
          <w:u w:val="single"/>
        </w:rPr>
        <w:t xml:space="preserve">Duplication of Similar </w:t>
      </w:r>
      <w:r w:rsidRPr="0094555B" w:rsidR="00293A9B">
        <w:rPr>
          <w:rFonts w:ascii="Times New Roman" w:hAnsi="Times New Roman" w:cs="Times New Roman"/>
          <w:color w:val="auto"/>
          <w:u w:val="single"/>
        </w:rPr>
        <w:t>Information</w:t>
      </w:r>
      <w:r w:rsidRPr="0094555B">
        <w:rPr>
          <w:rFonts w:ascii="Times New Roman" w:hAnsi="Times New Roman" w:cs="Times New Roman"/>
          <w:color w:val="auto"/>
          <w:u w:val="single"/>
        </w:rPr>
        <w:t>:</w:t>
      </w:r>
      <w:bookmarkEnd w:id="16"/>
      <w:bookmarkEnd w:id="17"/>
      <w:bookmarkEnd w:id="18"/>
    </w:p>
    <w:p w:rsidRPr="0094555B" w:rsidR="006274D7" w:rsidP="0094555B" w:rsidRDefault="006274D7" w14:paraId="5843FA33" w14:textId="77777777">
      <w:pPr>
        <w:tabs>
          <w:tab w:val="left" w:pos="-720"/>
          <w:tab w:val="left" w:pos="0"/>
        </w:tabs>
        <w:suppressAutoHyphens/>
        <w:rPr>
          <w:rFonts w:ascii="Times New Roman" w:hAnsi="Times New Roman"/>
          <w:sz w:val="24"/>
          <w:szCs w:val="24"/>
        </w:rPr>
      </w:pPr>
    </w:p>
    <w:p w:rsidRPr="0094555B" w:rsidR="007A3603" w:rsidP="0094555B" w:rsidRDefault="006274D7" w14:paraId="2EEB657D" w14:textId="214BC876">
      <w:pPr>
        <w:tabs>
          <w:tab w:val="left" w:pos="-720"/>
          <w:tab w:val="left" w:pos="0"/>
        </w:tabs>
        <w:suppressAutoHyphens/>
        <w:rPr>
          <w:rFonts w:ascii="Times New Roman" w:hAnsi="Times New Roman"/>
          <w:sz w:val="24"/>
          <w:szCs w:val="24"/>
        </w:rPr>
      </w:pPr>
      <w:r w:rsidRPr="0094555B">
        <w:rPr>
          <w:rFonts w:ascii="Times New Roman" w:hAnsi="Times New Roman"/>
          <w:sz w:val="24"/>
          <w:szCs w:val="24"/>
        </w:rPr>
        <w:t>The i</w:t>
      </w:r>
      <w:r w:rsidRPr="0094555B" w:rsidR="007A3603">
        <w:rPr>
          <w:rFonts w:ascii="Times New Roman" w:hAnsi="Times New Roman"/>
          <w:sz w:val="24"/>
          <w:szCs w:val="24"/>
        </w:rPr>
        <w:t xml:space="preserve">nformation collection requirements </w:t>
      </w:r>
      <w:r w:rsidRPr="0094555B" w:rsidR="00E808CA">
        <w:rPr>
          <w:rFonts w:ascii="Times New Roman" w:hAnsi="Times New Roman"/>
          <w:sz w:val="24"/>
          <w:szCs w:val="24"/>
        </w:rPr>
        <w:t>that are set out below under section 12</w:t>
      </w:r>
      <w:r w:rsidRPr="0094555B" w:rsidR="007A3603">
        <w:rPr>
          <w:rFonts w:ascii="Times New Roman" w:hAnsi="Times New Roman"/>
          <w:sz w:val="24"/>
          <w:szCs w:val="24"/>
        </w:rPr>
        <w:t xml:space="preserve"> do not duplicate similar information collections.</w:t>
      </w:r>
    </w:p>
    <w:p w:rsidRPr="0094555B" w:rsidR="00FC2882" w:rsidP="0094555B" w:rsidRDefault="00FC2882" w14:paraId="17A12A14" w14:textId="6F1D1875">
      <w:pPr>
        <w:pStyle w:val="Heading3"/>
        <w:numPr>
          <w:ilvl w:val="0"/>
          <w:numId w:val="2"/>
        </w:numPr>
        <w:rPr>
          <w:rFonts w:ascii="Times New Roman" w:hAnsi="Times New Roman" w:cs="Times New Roman"/>
          <w:color w:val="auto"/>
          <w:u w:val="single"/>
        </w:rPr>
      </w:pPr>
      <w:bookmarkStart w:name="_Toc528571026" w:id="19"/>
      <w:bookmarkStart w:name="_Toc528571492" w:id="20"/>
      <w:bookmarkStart w:name="_Toc528571586" w:id="21"/>
      <w:r w:rsidRPr="0094555B">
        <w:rPr>
          <w:rFonts w:ascii="Times New Roman" w:hAnsi="Times New Roman" w:cs="Times New Roman"/>
          <w:color w:val="auto"/>
          <w:u w:val="single"/>
        </w:rPr>
        <w:t>Small Businesses:</w:t>
      </w:r>
      <w:bookmarkEnd w:id="19"/>
      <w:bookmarkEnd w:id="20"/>
      <w:bookmarkEnd w:id="21"/>
    </w:p>
    <w:p w:rsidRPr="0094555B" w:rsidR="00E808CA" w:rsidP="0094555B" w:rsidRDefault="00E808CA" w14:paraId="4A403B9C" w14:textId="77777777">
      <w:pPr>
        <w:rPr>
          <w:rFonts w:ascii="Times New Roman" w:hAnsi="Times New Roman" w:cs="Times New Roman"/>
          <w:u w:val="single"/>
        </w:rPr>
      </w:pPr>
    </w:p>
    <w:p w:rsidRPr="0094555B" w:rsidR="007A3603" w:rsidP="0094555B" w:rsidRDefault="007A3603" w14:paraId="1CD8078D" w14:textId="77777777">
      <w:pPr>
        <w:rPr>
          <w:rFonts w:ascii="Times New Roman" w:hAnsi="Times New Roman" w:cs="Times New Roman"/>
          <w:sz w:val="24"/>
          <w:szCs w:val="24"/>
        </w:rPr>
      </w:pPr>
      <w:r w:rsidRPr="0094555B">
        <w:rPr>
          <w:rFonts w:ascii="Times New Roman" w:hAnsi="Times New Roman" w:cs="Times New Roman"/>
          <w:sz w:val="24"/>
          <w:szCs w:val="24"/>
        </w:rPr>
        <w:t xml:space="preserve">For 2016 final rule, we estimated that some PAHPs, PCCMs, and PCCM entities were likely to be small entities.  We estimated that most MCOs and PIHPs were not small entities.  According to the Small Business Administration (SBA) and the Table of Small Business Size Standards, small entities include small businesses in the health care sector that are direct health and medical insurance carriers with average annual receipts of less than $38.5 million and offices of physicians or health practitioners with average annual receipts of less than $11 million.  Individuals and state governments are not included in the definition of a small entity.  </w:t>
      </w:r>
    </w:p>
    <w:p w:rsidRPr="0094555B" w:rsidR="007A3603" w:rsidP="0094555B" w:rsidRDefault="007A3603" w14:paraId="26A66E3D" w14:textId="4372D07D">
      <w:pPr>
        <w:rPr>
          <w:rFonts w:ascii="Times New Roman" w:hAnsi="Times New Roman" w:cs="Times New Roman"/>
          <w:sz w:val="24"/>
          <w:szCs w:val="24"/>
        </w:rPr>
      </w:pPr>
      <w:bookmarkStart w:name="_Hlk510604123" w:id="22"/>
      <w:bookmarkStart w:name="_Hlk512498953" w:id="23"/>
      <w:bookmarkStart w:name="_Hlk510604097" w:id="24"/>
      <w:r w:rsidRPr="0094555B">
        <w:rPr>
          <w:rFonts w:ascii="Times New Roman" w:hAnsi="Times New Roman" w:cs="Times New Roman"/>
          <w:sz w:val="24"/>
          <w:szCs w:val="24"/>
        </w:rPr>
        <w:t>As of 201</w:t>
      </w:r>
      <w:r w:rsidRPr="0094555B" w:rsidR="00EF7342">
        <w:rPr>
          <w:rFonts w:ascii="Times New Roman" w:hAnsi="Times New Roman" w:cs="Times New Roman"/>
          <w:sz w:val="24"/>
          <w:szCs w:val="24"/>
        </w:rPr>
        <w:t>7</w:t>
      </w:r>
      <w:r w:rsidRPr="0094555B">
        <w:rPr>
          <w:rFonts w:ascii="Times New Roman" w:hAnsi="Times New Roman" w:cs="Times New Roman"/>
          <w:sz w:val="24"/>
          <w:szCs w:val="24"/>
        </w:rPr>
        <w:t xml:space="preserve">, </w:t>
      </w:r>
      <w:bookmarkEnd w:id="22"/>
      <w:bookmarkEnd w:id="23"/>
      <w:r w:rsidRPr="0094555B" w:rsidR="00BF65E9">
        <w:rPr>
          <w:rFonts w:ascii="Times New Roman" w:hAnsi="Times New Roman" w:cs="Times New Roman"/>
          <w:sz w:val="24"/>
          <w:szCs w:val="24"/>
        </w:rPr>
        <w:t>there are approximately 680 managed care plans with the majority being MCOs</w:t>
      </w:r>
      <w:r w:rsidRPr="0094555B">
        <w:rPr>
          <w:rFonts w:ascii="Times New Roman" w:hAnsi="Times New Roman" w:cs="Times New Roman"/>
          <w:sz w:val="24"/>
          <w:szCs w:val="24"/>
        </w:rPr>
        <w:t xml:space="preserve">.  </w:t>
      </w:r>
      <w:bookmarkEnd w:id="24"/>
      <w:r w:rsidRPr="0094555B">
        <w:rPr>
          <w:rFonts w:ascii="Times New Roman" w:hAnsi="Times New Roman" w:cs="Times New Roman"/>
          <w:sz w:val="24"/>
          <w:szCs w:val="24"/>
        </w:rPr>
        <w:t xml:space="preserve">We believe that only a few of these entities qualify as small entities.  Research on publicly available records for the entities allowed us to determine </w:t>
      </w:r>
      <w:r w:rsidRPr="0094555B" w:rsidR="00BF65E9">
        <w:rPr>
          <w:rFonts w:ascii="Times New Roman" w:hAnsi="Times New Roman" w:cs="Times New Roman"/>
          <w:sz w:val="24"/>
          <w:szCs w:val="24"/>
        </w:rPr>
        <w:t>that approximately 30 of these</w:t>
      </w:r>
      <w:r w:rsidRPr="0094555B">
        <w:rPr>
          <w:rFonts w:ascii="Times New Roman" w:hAnsi="Times New Roman" w:cs="Times New Roman"/>
          <w:sz w:val="24"/>
          <w:szCs w:val="24"/>
        </w:rPr>
        <w:t xml:space="preserve"> </w:t>
      </w:r>
      <w:r w:rsidRPr="0094555B" w:rsidR="00BF65E9">
        <w:rPr>
          <w:rFonts w:ascii="Times New Roman" w:hAnsi="Times New Roman" w:cs="Times New Roman"/>
          <w:sz w:val="24"/>
          <w:szCs w:val="24"/>
        </w:rPr>
        <w:t xml:space="preserve">may </w:t>
      </w:r>
      <w:r w:rsidRPr="0094555B">
        <w:rPr>
          <w:rFonts w:ascii="Times New Roman" w:hAnsi="Times New Roman" w:cs="Times New Roman"/>
          <w:sz w:val="24"/>
          <w:szCs w:val="24"/>
        </w:rPr>
        <w:t>be small entities.</w:t>
      </w:r>
      <w:r w:rsidRPr="0094555B" w:rsidR="00BF65E9">
        <w:rPr>
          <w:rFonts w:ascii="Times New Roman" w:hAnsi="Times New Roman" w:cs="Times New Roman"/>
          <w:sz w:val="24"/>
          <w:szCs w:val="24"/>
        </w:rPr>
        <w:t xml:space="preserve">  We believe that </w:t>
      </w:r>
      <w:r w:rsidRPr="0094555B">
        <w:rPr>
          <w:rFonts w:ascii="Times New Roman" w:hAnsi="Times New Roman" w:cs="Times New Roman"/>
          <w:sz w:val="24"/>
          <w:szCs w:val="24"/>
        </w:rPr>
        <w:t>MCOs</w:t>
      </w:r>
      <w:r w:rsidRPr="0094555B" w:rsidR="00487F81">
        <w:rPr>
          <w:rFonts w:ascii="Times New Roman" w:hAnsi="Times New Roman" w:cs="Times New Roman"/>
          <w:sz w:val="24"/>
          <w:szCs w:val="24"/>
        </w:rPr>
        <w:t>,</w:t>
      </w:r>
      <w:r w:rsidRPr="0094555B" w:rsidR="00C32DFD">
        <w:rPr>
          <w:rFonts w:ascii="Times New Roman" w:hAnsi="Times New Roman" w:cs="Times New Roman"/>
          <w:sz w:val="24"/>
          <w:szCs w:val="24"/>
        </w:rPr>
        <w:t xml:space="preserve"> </w:t>
      </w:r>
      <w:r w:rsidRPr="0094555B">
        <w:rPr>
          <w:rFonts w:ascii="Times New Roman" w:hAnsi="Times New Roman" w:cs="Times New Roman"/>
          <w:sz w:val="24"/>
          <w:szCs w:val="24"/>
        </w:rPr>
        <w:t>PIHPs</w:t>
      </w:r>
      <w:r w:rsidRPr="0094555B" w:rsidR="00487F81">
        <w:rPr>
          <w:rFonts w:ascii="Times New Roman" w:hAnsi="Times New Roman" w:cs="Times New Roman"/>
          <w:sz w:val="24"/>
          <w:szCs w:val="24"/>
        </w:rPr>
        <w:t>, and PAHPs that</w:t>
      </w:r>
      <w:r w:rsidRPr="0094555B">
        <w:rPr>
          <w:rFonts w:ascii="Times New Roman" w:hAnsi="Times New Roman" w:cs="Times New Roman"/>
          <w:sz w:val="24"/>
          <w:szCs w:val="24"/>
        </w:rPr>
        <w:t xml:space="preserve"> have average annual receipts from Medicaid and CHIP contracts and other business interests in excess of $38.5 million.  In analyzing the scope of the impact on small entities, we examined the United States Census Bureau’s Statistics of U.S. Businesses for </w:t>
      </w:r>
      <w:r w:rsidRPr="0094555B" w:rsidR="00487F81">
        <w:rPr>
          <w:rFonts w:ascii="Times New Roman" w:hAnsi="Times New Roman" w:cs="Times New Roman"/>
          <w:sz w:val="24"/>
          <w:szCs w:val="24"/>
        </w:rPr>
        <w:t>2017</w:t>
      </w:r>
      <w:r w:rsidRPr="0094555B">
        <w:rPr>
          <w:rFonts w:ascii="Times New Roman" w:hAnsi="Times New Roman" w:cs="Times New Roman"/>
          <w:sz w:val="24"/>
          <w:szCs w:val="24"/>
        </w:rPr>
        <w:t xml:space="preserve">.  According to the 2015 data, there are </w:t>
      </w:r>
      <w:r w:rsidRPr="0094555B" w:rsidR="00487F81">
        <w:rPr>
          <w:rFonts w:ascii="Times New Roman" w:hAnsi="Times New Roman" w:cs="Times New Roman"/>
          <w:sz w:val="24"/>
          <w:szCs w:val="24"/>
        </w:rPr>
        <w:t>788</w:t>
      </w:r>
      <w:r w:rsidRPr="0094555B">
        <w:rPr>
          <w:rFonts w:ascii="Times New Roman" w:hAnsi="Times New Roman" w:cs="Times New Roman"/>
          <w:sz w:val="24"/>
          <w:szCs w:val="24"/>
        </w:rPr>
        <w:t xml:space="preserve"> direct health and medical insurance issuers with less than 20 employees and </w:t>
      </w:r>
      <w:r w:rsidRPr="0094555B" w:rsidR="00487F81">
        <w:rPr>
          <w:rFonts w:ascii="Times New Roman" w:hAnsi="Times New Roman" w:cs="Times New Roman"/>
          <w:sz w:val="24"/>
          <w:szCs w:val="24"/>
        </w:rPr>
        <w:t>156,386</w:t>
      </w:r>
      <w:r w:rsidRPr="0094555B">
        <w:rPr>
          <w:rFonts w:ascii="Times New Roman" w:hAnsi="Times New Roman" w:cs="Times New Roman"/>
          <w:sz w:val="24"/>
          <w:szCs w:val="24"/>
        </w:rPr>
        <w:t xml:space="preserve"> offices of physicians or health practitioners with less than 20 employees.</w:t>
      </w:r>
      <w:r w:rsidRPr="0094555B">
        <w:rPr>
          <w:rStyle w:val="FootnoteReference"/>
          <w:rFonts w:ascii="Times New Roman" w:hAnsi="Times New Roman" w:cs="Times New Roman"/>
          <w:sz w:val="24"/>
          <w:szCs w:val="24"/>
        </w:rPr>
        <w:footnoteReference w:id="2"/>
      </w:r>
      <w:r w:rsidRPr="0094555B">
        <w:rPr>
          <w:rFonts w:ascii="Times New Roman" w:hAnsi="Times New Roman" w:cs="Times New Roman"/>
          <w:sz w:val="24"/>
          <w:szCs w:val="24"/>
        </w:rPr>
        <w:t xml:space="preserve">  Based on the estimates in the Collection of Information (COI), we have determined that the provisions of this</w:t>
      </w:r>
      <w:r w:rsidRPr="0094555B" w:rsidR="00BF65E9">
        <w:rPr>
          <w:rFonts w:ascii="Times New Roman" w:hAnsi="Times New Roman" w:cs="Times New Roman"/>
          <w:sz w:val="24"/>
          <w:szCs w:val="24"/>
        </w:rPr>
        <w:t xml:space="preserve"> </w:t>
      </w:r>
      <w:r w:rsidRPr="0094555B" w:rsidR="00C620D7">
        <w:rPr>
          <w:rFonts w:ascii="Times New Roman" w:hAnsi="Times New Roman" w:cs="Times New Roman"/>
          <w:sz w:val="24"/>
          <w:szCs w:val="24"/>
        </w:rPr>
        <w:t>finalized</w:t>
      </w:r>
      <w:r w:rsidRPr="0094555B" w:rsidR="00BF65E9">
        <w:rPr>
          <w:rFonts w:ascii="Times New Roman" w:hAnsi="Times New Roman" w:cs="Times New Roman"/>
          <w:sz w:val="24"/>
          <w:szCs w:val="24"/>
        </w:rPr>
        <w:t xml:space="preserve"> rule will not have a </w:t>
      </w:r>
      <w:r w:rsidRPr="0094555B">
        <w:rPr>
          <w:rFonts w:ascii="Times New Roman" w:hAnsi="Times New Roman" w:cs="Times New Roman"/>
          <w:sz w:val="24"/>
          <w:szCs w:val="24"/>
        </w:rPr>
        <w:t>significant burden or economic impact on a substantial number of the small entities we have identified.</w:t>
      </w:r>
    </w:p>
    <w:p w:rsidRPr="0094555B" w:rsidR="007A3603" w:rsidP="0094555B" w:rsidRDefault="007A3603" w14:paraId="568EB96F" w14:textId="77777777">
      <w:pPr>
        <w:rPr>
          <w:rFonts w:ascii="Times New Roman" w:hAnsi="Times New Roman" w:cs="Times New Roman"/>
          <w:sz w:val="24"/>
          <w:szCs w:val="24"/>
        </w:rPr>
      </w:pPr>
      <w:r w:rsidRPr="0094555B">
        <w:rPr>
          <w:rFonts w:ascii="Times New Roman" w:hAnsi="Times New Roman" w:cs="Times New Roman"/>
          <w:sz w:val="24"/>
          <w:szCs w:val="24"/>
        </w:rPr>
        <w:t xml:space="preserve">We previously noted that the primary impact on small entities was through the standards placed on PAHPs, PCCMs, and PCCM entities through the following requirements established in the 2016 final rule:  (1) adding PCCMs and PCCM entities, where appropriate, to the information standards in §438.10 regarding enrollee handbooks, provider directories, and formularies; (2) adding PAHPs, PCCMs, and PCCM entities in §438.62 to implement their own transition of care </w:t>
      </w:r>
      <w:r w:rsidRPr="0094555B">
        <w:rPr>
          <w:rFonts w:ascii="Times New Roman" w:hAnsi="Times New Roman" w:cs="Times New Roman"/>
          <w:sz w:val="24"/>
          <w:szCs w:val="24"/>
        </w:rPr>
        <w:lastRenderedPageBreak/>
        <w:t xml:space="preserve">policies and PAHPs in §438.208 to perform initial assessments and care coordination activities; (3) adding PAHPs in §438.242 to collect data on enrollee and provider characteristics and on services furnished to enrollees through an encounter data system or other such methods; and (4) adding PAHPs to the types of entities subject to the standards of subpart F to establish a grievances and appeals system and process.  </w:t>
      </w:r>
    </w:p>
    <w:p w:rsidRPr="0094555B" w:rsidR="007A3603" w:rsidP="0094555B" w:rsidRDefault="00BF65E9" w14:paraId="2FD87550" w14:textId="0D180522">
      <w:pPr>
        <w:rPr>
          <w:rFonts w:ascii="Times New Roman" w:hAnsi="Times New Roman" w:cs="Times New Roman"/>
          <w:sz w:val="24"/>
          <w:szCs w:val="24"/>
        </w:rPr>
      </w:pPr>
      <w:r w:rsidRPr="0094555B">
        <w:rPr>
          <w:rFonts w:ascii="Times New Roman" w:hAnsi="Times New Roman" w:cs="Times New Roman"/>
          <w:sz w:val="24"/>
          <w:szCs w:val="24"/>
        </w:rPr>
        <w:t xml:space="preserve">The burden estimates associated with most of 438.10 and all of 438.62, 438.242, and </w:t>
      </w:r>
      <w:r w:rsidRPr="0094555B" w:rsidR="00882B76">
        <w:rPr>
          <w:rFonts w:ascii="Times New Roman" w:hAnsi="Times New Roman" w:cs="Times New Roman"/>
          <w:sz w:val="24"/>
          <w:szCs w:val="24"/>
        </w:rPr>
        <w:t xml:space="preserve">Subpart F were one time estimates that have surpassed their 3-year timeframe.  The remaining annual burden estimates in this rule </w:t>
      </w:r>
      <w:r w:rsidRPr="0094555B" w:rsidR="007A3603">
        <w:rPr>
          <w:rFonts w:ascii="Times New Roman" w:hAnsi="Times New Roman" w:cs="Times New Roman"/>
          <w:sz w:val="24"/>
          <w:szCs w:val="24"/>
        </w:rPr>
        <w:t xml:space="preserve">are consistent with the nature of their business in contracting with state governments for the provision of services to Medicaid and CHIP managed care enrollees.  Therefore, based on the estimates in the COI in the 2016 final rule, we have determined there will </w:t>
      </w:r>
      <w:r w:rsidRPr="0094555B" w:rsidR="00882B76">
        <w:rPr>
          <w:rFonts w:ascii="Times New Roman" w:hAnsi="Times New Roman" w:cs="Times New Roman"/>
          <w:sz w:val="24"/>
          <w:szCs w:val="24"/>
        </w:rPr>
        <w:t xml:space="preserve">not </w:t>
      </w:r>
      <w:r w:rsidRPr="0094555B" w:rsidR="007A3603">
        <w:rPr>
          <w:rFonts w:ascii="Times New Roman" w:hAnsi="Times New Roman" w:cs="Times New Roman"/>
          <w:sz w:val="24"/>
          <w:szCs w:val="24"/>
        </w:rPr>
        <w:t xml:space="preserve">be a significant economic impact on a substantial number of small entities.  </w:t>
      </w:r>
    </w:p>
    <w:p w:rsidRPr="0094555B" w:rsidR="00FC2882" w:rsidP="0094555B" w:rsidRDefault="00FC2882" w14:paraId="1E194279" w14:textId="6E05EEE3">
      <w:pPr>
        <w:pStyle w:val="Heading3"/>
        <w:numPr>
          <w:ilvl w:val="0"/>
          <w:numId w:val="2"/>
        </w:numPr>
        <w:rPr>
          <w:rFonts w:ascii="Times New Roman" w:hAnsi="Times New Roman" w:cs="Times New Roman"/>
          <w:color w:val="auto"/>
          <w:u w:val="single"/>
        </w:rPr>
      </w:pPr>
      <w:bookmarkStart w:name="_Toc528571027" w:id="25"/>
      <w:bookmarkStart w:name="_Toc528571493" w:id="26"/>
      <w:bookmarkStart w:name="_Toc528571587" w:id="27"/>
      <w:r w:rsidRPr="0094555B">
        <w:rPr>
          <w:rFonts w:ascii="Times New Roman" w:hAnsi="Times New Roman" w:cs="Times New Roman"/>
          <w:color w:val="auto"/>
          <w:u w:val="single"/>
        </w:rPr>
        <w:t xml:space="preserve">Less </w:t>
      </w:r>
      <w:r w:rsidRPr="0094555B" w:rsidR="00293A9B">
        <w:rPr>
          <w:rFonts w:ascii="Times New Roman" w:hAnsi="Times New Roman" w:cs="Times New Roman"/>
          <w:color w:val="auto"/>
          <w:u w:val="single"/>
        </w:rPr>
        <w:t>Frequent</w:t>
      </w:r>
      <w:r w:rsidRPr="0094555B">
        <w:rPr>
          <w:rFonts w:ascii="Times New Roman" w:hAnsi="Times New Roman" w:cs="Times New Roman"/>
          <w:color w:val="auto"/>
          <w:u w:val="single"/>
        </w:rPr>
        <w:t xml:space="preserve"> Collection:</w:t>
      </w:r>
      <w:bookmarkEnd w:id="25"/>
      <w:bookmarkEnd w:id="26"/>
      <w:bookmarkEnd w:id="27"/>
    </w:p>
    <w:p w:rsidRPr="0094555B" w:rsidR="00D0525B" w:rsidP="0094555B" w:rsidRDefault="00D0525B" w14:paraId="74AA63E3" w14:textId="77777777">
      <w:pPr>
        <w:rPr>
          <w:rFonts w:ascii="Times New Roman" w:hAnsi="Times New Roman" w:cs="Times New Roman"/>
          <w:u w:val="single"/>
        </w:rPr>
      </w:pPr>
    </w:p>
    <w:p w:rsidRPr="0094555B" w:rsidR="007A3603" w:rsidP="0094555B" w:rsidRDefault="007A3603" w14:paraId="4A17EF94" w14:textId="4F15EA29">
      <w:pPr>
        <w:tabs>
          <w:tab w:val="left" w:pos="-720"/>
          <w:tab w:val="left" w:pos="0"/>
        </w:tabs>
        <w:suppressAutoHyphens/>
        <w:rPr>
          <w:rFonts w:ascii="Times New Roman" w:hAnsi="Times New Roman" w:cs="Times New Roman"/>
          <w:sz w:val="24"/>
          <w:szCs w:val="24"/>
        </w:rPr>
      </w:pPr>
      <w:r w:rsidRPr="0094555B">
        <w:rPr>
          <w:rFonts w:ascii="Times New Roman" w:hAnsi="Times New Roman"/>
          <w:sz w:val="24"/>
          <w:szCs w:val="24"/>
        </w:rPr>
        <w:t xml:space="preserve">Many of the </w:t>
      </w:r>
      <w:r w:rsidRPr="0094555B" w:rsidR="00A21DA0">
        <w:rPr>
          <w:rFonts w:ascii="Times New Roman" w:hAnsi="Times New Roman"/>
          <w:sz w:val="24"/>
          <w:szCs w:val="24"/>
        </w:rPr>
        <w:t>information collection requirements that are set out below under section 12 are</w:t>
      </w:r>
      <w:r w:rsidRPr="0094555B">
        <w:rPr>
          <w:rFonts w:ascii="Times New Roman" w:hAnsi="Times New Roman"/>
          <w:sz w:val="24"/>
          <w:szCs w:val="24"/>
        </w:rPr>
        <w:t xml:space="preserve"> mandated by the BBA.  If CMS were to collect them less frequently, we would be in violation of the law.  While others are not required by statute, we believe them necessary for </w:t>
      </w:r>
      <w:r w:rsidRPr="0094555B">
        <w:rPr>
          <w:rFonts w:ascii="Times New Roman" w:hAnsi="Times New Roman" w:cs="Times New Roman"/>
          <w:sz w:val="24"/>
          <w:szCs w:val="24"/>
        </w:rPr>
        <w:t xml:space="preserve">program administration and have set them at frequencies as low as possible. </w:t>
      </w:r>
      <w:r w:rsidRPr="0094555B" w:rsidR="00E23404">
        <w:rPr>
          <w:rFonts w:ascii="Times New Roman" w:hAnsi="Times New Roman" w:cs="Times New Roman"/>
          <w:sz w:val="24"/>
          <w:szCs w:val="24"/>
        </w:rPr>
        <w:t xml:space="preserve"> In this instance we do not require respondents to report information more often than quarterly.</w:t>
      </w:r>
    </w:p>
    <w:p w:rsidRPr="0094555B" w:rsidR="00FC2882" w:rsidP="0094555B" w:rsidRDefault="00FC2882" w14:paraId="134ECF85" w14:textId="5CA28A25">
      <w:pPr>
        <w:pStyle w:val="Heading3"/>
        <w:numPr>
          <w:ilvl w:val="0"/>
          <w:numId w:val="2"/>
        </w:numPr>
        <w:rPr>
          <w:rFonts w:ascii="Times New Roman" w:hAnsi="Times New Roman" w:cs="Times New Roman"/>
          <w:color w:val="auto"/>
          <w:u w:val="single"/>
        </w:rPr>
      </w:pPr>
      <w:bookmarkStart w:name="_Toc528571028" w:id="28"/>
      <w:bookmarkStart w:name="_Toc528571494" w:id="29"/>
      <w:bookmarkStart w:name="_Toc528571588" w:id="30"/>
      <w:r w:rsidRPr="0094555B">
        <w:rPr>
          <w:rFonts w:ascii="Times New Roman" w:hAnsi="Times New Roman" w:cs="Times New Roman"/>
          <w:color w:val="auto"/>
          <w:u w:val="single"/>
        </w:rPr>
        <w:t xml:space="preserve">Special </w:t>
      </w:r>
      <w:r w:rsidRPr="0094555B" w:rsidR="00293A9B">
        <w:rPr>
          <w:rFonts w:ascii="Times New Roman" w:hAnsi="Times New Roman" w:cs="Times New Roman"/>
          <w:color w:val="auto"/>
          <w:u w:val="single"/>
        </w:rPr>
        <w:t>Circumstances</w:t>
      </w:r>
      <w:r w:rsidRPr="0094555B">
        <w:rPr>
          <w:rFonts w:ascii="Times New Roman" w:hAnsi="Times New Roman" w:cs="Times New Roman"/>
          <w:color w:val="auto"/>
          <w:u w:val="single"/>
        </w:rPr>
        <w:t>:</w:t>
      </w:r>
      <w:bookmarkEnd w:id="28"/>
      <w:bookmarkEnd w:id="29"/>
      <w:bookmarkEnd w:id="30"/>
    </w:p>
    <w:p w:rsidRPr="0094555B" w:rsidR="00E23404" w:rsidP="0094555B" w:rsidRDefault="00E23404" w14:paraId="629A9823" w14:textId="77777777">
      <w:pPr>
        <w:rPr>
          <w:rFonts w:ascii="Times New Roman" w:hAnsi="Times New Roman" w:cs="Times New Roman"/>
          <w:u w:val="single"/>
        </w:rPr>
      </w:pPr>
    </w:p>
    <w:p w:rsidRPr="0094555B" w:rsidR="007A3603" w:rsidP="0094555B" w:rsidRDefault="007A3603" w14:paraId="517BD11F" w14:textId="77777777">
      <w:pPr>
        <w:rPr>
          <w:rFonts w:ascii="Times New Roman" w:hAnsi="Times New Roman" w:cs="Times New Roman"/>
          <w:sz w:val="24"/>
          <w:szCs w:val="24"/>
        </w:rPr>
      </w:pPr>
      <w:r w:rsidRPr="0094555B">
        <w:rPr>
          <w:rFonts w:ascii="Times New Roman" w:hAnsi="Times New Roman" w:cs="Times New Roman"/>
          <w:sz w:val="24"/>
          <w:szCs w:val="24"/>
        </w:rPr>
        <w:t>There are no special circumstances. More specifically, this information collection does not do any of the following:</w:t>
      </w:r>
    </w:p>
    <w:p w:rsidRPr="0094555B" w:rsidR="007A3603" w:rsidP="0094555B" w:rsidRDefault="007A3603" w14:paraId="161267C2" w14:textId="77777777">
      <w:pPr>
        <w:rPr>
          <w:rFonts w:ascii="Times New Roman" w:hAnsi="Times New Roman" w:cs="Times New Roman"/>
          <w:sz w:val="24"/>
          <w:szCs w:val="24"/>
        </w:rPr>
      </w:pPr>
      <w:r w:rsidRPr="0094555B">
        <w:rPr>
          <w:rFonts w:ascii="Times New Roman" w:hAnsi="Times New Roman" w:cs="Times New Roman"/>
          <w:sz w:val="24"/>
          <w:szCs w:val="24"/>
        </w:rPr>
        <w:t>-Require respondents to report information to the agency more often than quarterly;</w:t>
      </w:r>
    </w:p>
    <w:p w:rsidRPr="0094555B" w:rsidR="007A3603" w:rsidP="0094555B" w:rsidRDefault="007A3603" w14:paraId="5B233A9E" w14:textId="77777777">
      <w:pPr>
        <w:rPr>
          <w:rFonts w:ascii="Times New Roman" w:hAnsi="Times New Roman" w:cs="Times New Roman"/>
          <w:sz w:val="24"/>
          <w:szCs w:val="24"/>
        </w:rPr>
      </w:pPr>
      <w:r w:rsidRPr="0094555B">
        <w:rPr>
          <w:rFonts w:ascii="Times New Roman" w:hAnsi="Times New Roman" w:cs="Times New Roman"/>
          <w:sz w:val="24"/>
          <w:szCs w:val="24"/>
        </w:rPr>
        <w:t>-Require respondents to prepare a written response to a collection of information in fewer than 30 days after receipt of it;</w:t>
      </w:r>
    </w:p>
    <w:p w:rsidRPr="0094555B" w:rsidR="007A3603" w:rsidP="0094555B" w:rsidRDefault="007A3603" w14:paraId="718CA1A0" w14:textId="77777777">
      <w:pPr>
        <w:rPr>
          <w:rFonts w:ascii="Times New Roman" w:hAnsi="Times New Roman" w:cs="Times New Roman"/>
          <w:sz w:val="24"/>
          <w:szCs w:val="24"/>
        </w:rPr>
      </w:pPr>
      <w:r w:rsidRPr="0094555B">
        <w:rPr>
          <w:rFonts w:ascii="Times New Roman" w:hAnsi="Times New Roman" w:cs="Times New Roman"/>
          <w:sz w:val="24"/>
          <w:szCs w:val="24"/>
        </w:rPr>
        <w:t>-Require respondents to submit more than an original and two copies of any document;</w:t>
      </w:r>
    </w:p>
    <w:p w:rsidRPr="0094555B" w:rsidR="007A3603" w:rsidP="0094555B" w:rsidRDefault="007A3603" w14:paraId="3B217C59" w14:textId="77777777">
      <w:pPr>
        <w:rPr>
          <w:rFonts w:ascii="Times New Roman" w:hAnsi="Times New Roman" w:cs="Times New Roman"/>
          <w:sz w:val="24"/>
          <w:szCs w:val="24"/>
        </w:rPr>
      </w:pPr>
      <w:r w:rsidRPr="0094555B">
        <w:rPr>
          <w:rFonts w:ascii="Times New Roman" w:hAnsi="Times New Roman" w:cs="Times New Roman"/>
          <w:sz w:val="24"/>
          <w:szCs w:val="24"/>
        </w:rPr>
        <w:t>-Require respondents to retain records, other than health, medical, government contract, grant-in-aid, or tax records for more than three years;</w:t>
      </w:r>
    </w:p>
    <w:p w:rsidRPr="0094555B" w:rsidR="007A3603" w:rsidP="0094555B" w:rsidRDefault="007A3603" w14:paraId="0EAC3AAD" w14:textId="77777777">
      <w:pPr>
        <w:rPr>
          <w:rFonts w:ascii="Times New Roman" w:hAnsi="Times New Roman" w:cs="Times New Roman"/>
          <w:sz w:val="24"/>
          <w:szCs w:val="24"/>
        </w:rPr>
      </w:pPr>
      <w:r w:rsidRPr="0094555B">
        <w:rPr>
          <w:rFonts w:ascii="Times New Roman" w:hAnsi="Times New Roman" w:cs="Times New Roman"/>
          <w:sz w:val="24"/>
          <w:szCs w:val="24"/>
        </w:rPr>
        <w:t>-Is connected with a statistical survey that is not designed to produce valid and reliable results that can be generalized to the universe of study,</w:t>
      </w:r>
    </w:p>
    <w:p w:rsidRPr="0094555B" w:rsidR="007A3603" w:rsidP="0094555B" w:rsidRDefault="007A3603" w14:paraId="0053B83F" w14:textId="77777777">
      <w:pPr>
        <w:rPr>
          <w:rFonts w:ascii="Times New Roman" w:hAnsi="Times New Roman" w:cs="Times New Roman"/>
          <w:sz w:val="24"/>
          <w:szCs w:val="24"/>
        </w:rPr>
      </w:pPr>
      <w:r w:rsidRPr="0094555B">
        <w:rPr>
          <w:rFonts w:ascii="Times New Roman" w:hAnsi="Times New Roman" w:cs="Times New Roman"/>
          <w:sz w:val="24"/>
          <w:szCs w:val="24"/>
        </w:rPr>
        <w:t>-Require the use of a statistical data classification that has not been reviewed and approved by OMB;</w:t>
      </w:r>
    </w:p>
    <w:p w:rsidRPr="0094555B" w:rsidR="007A3603" w:rsidP="0094555B" w:rsidRDefault="007A3603" w14:paraId="26D0019C" w14:textId="77777777">
      <w:pPr>
        <w:rPr>
          <w:rFonts w:ascii="Times New Roman" w:hAnsi="Times New Roman" w:cs="Times New Roman"/>
          <w:sz w:val="24"/>
          <w:szCs w:val="24"/>
        </w:rPr>
      </w:pPr>
      <w:r w:rsidRPr="0094555B">
        <w:rPr>
          <w:rFonts w:ascii="Times New Roman" w:hAnsi="Times New Roman" w:cs="Times New Roman"/>
          <w:sz w:val="24"/>
          <w:szCs w:val="24"/>
        </w:rPr>
        <w:t>-Includes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Pr="0094555B" w:rsidR="007A3603" w:rsidP="0094555B" w:rsidRDefault="007A3603" w14:paraId="14DA8469" w14:textId="0159A6AC">
      <w:pPr>
        <w:rPr>
          <w:rFonts w:ascii="Times New Roman" w:hAnsi="Times New Roman" w:cs="Times New Roman"/>
          <w:sz w:val="24"/>
          <w:szCs w:val="24"/>
        </w:rPr>
      </w:pPr>
      <w:r w:rsidRPr="0094555B">
        <w:rPr>
          <w:rFonts w:ascii="Times New Roman" w:hAnsi="Times New Roman" w:cs="Times New Roman"/>
          <w:sz w:val="24"/>
          <w:szCs w:val="24"/>
        </w:rPr>
        <w:lastRenderedPageBreak/>
        <w:t>-Require respondents to submit proprietary trade secret, or other confidential information unless the agency can demonstrate that it has ins</w:t>
      </w:r>
      <w:r w:rsidRPr="0094555B" w:rsidR="00882B76">
        <w:rPr>
          <w:rFonts w:ascii="Times New Roman" w:hAnsi="Times New Roman" w:cs="Times New Roman"/>
          <w:sz w:val="24"/>
          <w:szCs w:val="24"/>
        </w:rPr>
        <w:t>tituted procedures to protect th</w:t>
      </w:r>
      <w:r w:rsidRPr="0094555B">
        <w:rPr>
          <w:rFonts w:ascii="Times New Roman" w:hAnsi="Times New Roman" w:cs="Times New Roman"/>
          <w:sz w:val="24"/>
          <w:szCs w:val="24"/>
        </w:rPr>
        <w:t>e information's confidentiality to the extent permitted by law.</w:t>
      </w:r>
    </w:p>
    <w:p w:rsidRPr="0094555B" w:rsidR="00FC2882" w:rsidP="0094555B" w:rsidRDefault="00FC2882" w14:paraId="1E165DA1" w14:textId="490ECFE6">
      <w:pPr>
        <w:pStyle w:val="Heading3"/>
        <w:numPr>
          <w:ilvl w:val="0"/>
          <w:numId w:val="2"/>
        </w:numPr>
        <w:rPr>
          <w:rFonts w:ascii="Times New Roman" w:hAnsi="Times New Roman" w:cs="Times New Roman"/>
          <w:color w:val="auto"/>
          <w:u w:val="single"/>
        </w:rPr>
      </w:pPr>
      <w:bookmarkStart w:name="_Toc528571029" w:id="31"/>
      <w:bookmarkStart w:name="_Toc528571495" w:id="32"/>
      <w:bookmarkStart w:name="_Toc528571589" w:id="33"/>
      <w:r w:rsidRPr="0094555B">
        <w:rPr>
          <w:rFonts w:ascii="Times New Roman" w:hAnsi="Times New Roman" w:cs="Times New Roman"/>
          <w:color w:val="auto"/>
          <w:u w:val="single"/>
        </w:rPr>
        <w:t xml:space="preserve">Federal Register Notice/Outside </w:t>
      </w:r>
      <w:r w:rsidRPr="0094555B" w:rsidR="00293A9B">
        <w:rPr>
          <w:rFonts w:ascii="Times New Roman" w:hAnsi="Times New Roman" w:cs="Times New Roman"/>
          <w:color w:val="auto"/>
          <w:u w:val="single"/>
        </w:rPr>
        <w:t>Consultation</w:t>
      </w:r>
      <w:r w:rsidRPr="0094555B">
        <w:rPr>
          <w:rFonts w:ascii="Times New Roman" w:hAnsi="Times New Roman" w:cs="Times New Roman"/>
          <w:color w:val="auto"/>
          <w:u w:val="single"/>
        </w:rPr>
        <w:t>:</w:t>
      </w:r>
      <w:bookmarkEnd w:id="31"/>
      <w:bookmarkEnd w:id="32"/>
      <w:bookmarkEnd w:id="33"/>
    </w:p>
    <w:p w:rsidRPr="0094555B" w:rsidR="00455C89" w:rsidP="0094555B" w:rsidRDefault="00455C89" w14:paraId="584A957A" w14:textId="16C4F619">
      <w:pPr>
        <w:rPr>
          <w:rFonts w:ascii="Times New Roman" w:hAnsi="Times New Roman" w:cs="Times New Roman"/>
          <w:u w:val="single"/>
        </w:rPr>
      </w:pPr>
    </w:p>
    <w:p w:rsidRPr="0094555B" w:rsidR="00B40A90" w:rsidP="00923B53" w:rsidRDefault="00B40A90" w14:paraId="75577BA5" w14:textId="1114A1DB">
      <w:pPr>
        <w:pStyle w:val="BodyText"/>
        <w:rPr>
          <w:rFonts w:ascii="Times New Roman" w:hAnsi="Times New Roman" w:cs="Times New Roman"/>
          <w:sz w:val="24"/>
          <w:szCs w:val="24"/>
        </w:rPr>
      </w:pPr>
      <w:r w:rsidRPr="0094555B">
        <w:rPr>
          <w:rFonts w:ascii="Times New Roman" w:hAnsi="Times New Roman" w:cs="Times New Roman"/>
          <w:sz w:val="24"/>
          <w:szCs w:val="24"/>
        </w:rPr>
        <w:t xml:space="preserve">The </w:t>
      </w:r>
      <w:r w:rsidR="00923B53">
        <w:rPr>
          <w:rFonts w:ascii="Times New Roman" w:hAnsi="Times New Roman" w:cs="Times New Roman"/>
          <w:sz w:val="24"/>
          <w:szCs w:val="24"/>
        </w:rPr>
        <w:t xml:space="preserve">60-day notice </w:t>
      </w:r>
      <w:r w:rsidRPr="0094555B" w:rsidR="00455C89">
        <w:rPr>
          <w:rFonts w:ascii="Times New Roman" w:hAnsi="Times New Roman" w:cs="Times New Roman"/>
          <w:sz w:val="24"/>
          <w:szCs w:val="24"/>
        </w:rPr>
        <w:t xml:space="preserve">published in the </w:t>
      </w:r>
      <w:r w:rsidRPr="0094555B">
        <w:rPr>
          <w:rFonts w:ascii="Times New Roman" w:hAnsi="Times New Roman" w:cs="Times New Roman"/>
          <w:sz w:val="24"/>
          <w:szCs w:val="24"/>
        </w:rPr>
        <w:t xml:space="preserve">Federal Register </w:t>
      </w:r>
      <w:r w:rsidRPr="0094555B" w:rsidR="00455C89">
        <w:rPr>
          <w:rFonts w:ascii="Times New Roman" w:hAnsi="Times New Roman" w:cs="Times New Roman"/>
          <w:sz w:val="24"/>
          <w:szCs w:val="24"/>
        </w:rPr>
        <w:t xml:space="preserve">on </w:t>
      </w:r>
      <w:r w:rsidR="00923B53">
        <w:rPr>
          <w:rFonts w:ascii="Times New Roman" w:hAnsi="Times New Roman" w:cs="Times New Roman"/>
          <w:sz w:val="24"/>
          <w:szCs w:val="24"/>
        </w:rPr>
        <w:t xml:space="preserve">March 4, 2022 </w:t>
      </w:r>
      <w:r w:rsidRPr="0094555B" w:rsidR="00455C89">
        <w:rPr>
          <w:rFonts w:ascii="Times New Roman" w:hAnsi="Times New Roman" w:cs="Times New Roman"/>
          <w:sz w:val="24"/>
          <w:szCs w:val="24"/>
        </w:rPr>
        <w:t>(8</w:t>
      </w:r>
      <w:r w:rsidR="00923B53">
        <w:rPr>
          <w:rFonts w:ascii="Times New Roman" w:hAnsi="Times New Roman" w:cs="Times New Roman"/>
          <w:sz w:val="24"/>
          <w:szCs w:val="24"/>
        </w:rPr>
        <w:t>7</w:t>
      </w:r>
      <w:r w:rsidRPr="0094555B" w:rsidR="00455C89">
        <w:rPr>
          <w:rFonts w:ascii="Times New Roman" w:hAnsi="Times New Roman" w:cs="Times New Roman"/>
          <w:sz w:val="24"/>
          <w:szCs w:val="24"/>
        </w:rPr>
        <w:t xml:space="preserve"> FR </w:t>
      </w:r>
      <w:r w:rsidRPr="00923B53" w:rsidR="00923B53">
        <w:rPr>
          <w:rFonts w:ascii="Times New Roman" w:hAnsi="Times New Roman" w:cs="Times New Roman"/>
          <w:sz w:val="24"/>
          <w:szCs w:val="24"/>
        </w:rPr>
        <w:t>12458</w:t>
      </w:r>
      <w:r w:rsidRPr="0094555B" w:rsidR="00455C89">
        <w:rPr>
          <w:rFonts w:ascii="Times New Roman" w:hAnsi="Times New Roman" w:cs="Times New Roman"/>
          <w:sz w:val="24"/>
          <w:szCs w:val="24"/>
        </w:rPr>
        <w:t>)</w:t>
      </w:r>
      <w:r w:rsidRPr="0094555B">
        <w:rPr>
          <w:rFonts w:ascii="Times New Roman" w:hAnsi="Times New Roman" w:cs="Times New Roman"/>
          <w:sz w:val="24"/>
          <w:szCs w:val="24"/>
        </w:rPr>
        <w:t xml:space="preserve">. </w:t>
      </w:r>
      <w:r w:rsidR="00BB43DB">
        <w:rPr>
          <w:rFonts w:ascii="Times New Roman" w:hAnsi="Times New Roman" w:cs="Times New Roman"/>
          <w:sz w:val="24"/>
          <w:szCs w:val="24"/>
        </w:rPr>
        <w:t>No comments were received.  The 30-day notice published in the Federal Register on May 11, 2022 (87 FR 28830).</w:t>
      </w:r>
    </w:p>
    <w:p w:rsidRPr="0094555B" w:rsidR="00FC2882" w:rsidP="0094555B" w:rsidRDefault="00087ECB" w14:paraId="75951075" w14:textId="63861256">
      <w:pPr>
        <w:pStyle w:val="Heading3"/>
        <w:numPr>
          <w:ilvl w:val="0"/>
          <w:numId w:val="2"/>
        </w:numPr>
        <w:rPr>
          <w:rFonts w:ascii="Times New Roman" w:hAnsi="Times New Roman" w:cs="Times New Roman"/>
          <w:color w:val="auto"/>
          <w:u w:val="single"/>
        </w:rPr>
      </w:pPr>
      <w:bookmarkStart w:name="_Toc528571030" w:id="34"/>
      <w:bookmarkStart w:name="_Toc528571496" w:id="35"/>
      <w:bookmarkStart w:name="_Toc528571590" w:id="36"/>
      <w:r w:rsidRPr="0094555B">
        <w:rPr>
          <w:rFonts w:ascii="Times New Roman" w:hAnsi="Times New Roman" w:cs="Times New Roman"/>
          <w:color w:val="auto"/>
          <w:u w:val="single"/>
        </w:rPr>
        <w:t>Payment/Gift t</w:t>
      </w:r>
      <w:r w:rsidRPr="0094555B" w:rsidR="00FC2882">
        <w:rPr>
          <w:rFonts w:ascii="Times New Roman" w:hAnsi="Times New Roman" w:cs="Times New Roman"/>
          <w:color w:val="auto"/>
          <w:u w:val="single"/>
        </w:rPr>
        <w:t>o Respondent:</w:t>
      </w:r>
      <w:bookmarkEnd w:id="34"/>
      <w:bookmarkEnd w:id="35"/>
      <w:bookmarkEnd w:id="36"/>
    </w:p>
    <w:p w:rsidRPr="0094555B" w:rsidR="00F72F65" w:rsidP="0094555B" w:rsidRDefault="00F72F65" w14:paraId="1228544A" w14:textId="77777777"/>
    <w:p w:rsidRPr="0094555B" w:rsidR="007A3603" w:rsidP="0094555B" w:rsidRDefault="007A3603" w14:paraId="72A5557B" w14:textId="77777777">
      <w:pPr>
        <w:tabs>
          <w:tab w:val="left" w:pos="-720"/>
        </w:tabs>
        <w:suppressAutoHyphens/>
        <w:rPr>
          <w:rFonts w:ascii="Times New Roman" w:hAnsi="Times New Roman"/>
          <w:color w:val="000000"/>
          <w:sz w:val="24"/>
          <w:szCs w:val="24"/>
        </w:rPr>
      </w:pPr>
      <w:r w:rsidRPr="0094555B">
        <w:rPr>
          <w:rFonts w:ascii="Times New Roman" w:hAnsi="Times New Roman"/>
          <w:color w:val="000000"/>
          <w:sz w:val="24"/>
          <w:szCs w:val="24"/>
        </w:rPr>
        <w:t>There is no payment/gift to respondents.</w:t>
      </w:r>
    </w:p>
    <w:p w:rsidRPr="0094555B" w:rsidR="00FC2882" w:rsidP="0094555B" w:rsidRDefault="00FC2882" w14:paraId="4BCD4EFD" w14:textId="3EBFC31C">
      <w:pPr>
        <w:pStyle w:val="Heading3"/>
        <w:numPr>
          <w:ilvl w:val="0"/>
          <w:numId w:val="2"/>
        </w:numPr>
        <w:rPr>
          <w:rFonts w:ascii="Times New Roman" w:hAnsi="Times New Roman" w:cs="Times New Roman"/>
          <w:color w:val="auto"/>
          <w:u w:val="single"/>
        </w:rPr>
      </w:pPr>
      <w:bookmarkStart w:name="_Toc528571031" w:id="37"/>
      <w:bookmarkStart w:name="_Toc528571497" w:id="38"/>
      <w:bookmarkStart w:name="_Toc528571591" w:id="39"/>
      <w:r w:rsidRPr="0094555B">
        <w:rPr>
          <w:rFonts w:ascii="Times New Roman" w:hAnsi="Times New Roman" w:cs="Times New Roman"/>
          <w:color w:val="auto"/>
          <w:u w:val="single"/>
        </w:rPr>
        <w:t>Confidentiality:</w:t>
      </w:r>
      <w:bookmarkEnd w:id="37"/>
      <w:bookmarkEnd w:id="38"/>
      <w:bookmarkEnd w:id="39"/>
    </w:p>
    <w:p w:rsidRPr="0094555B" w:rsidR="00F72F65" w:rsidP="0094555B" w:rsidRDefault="00F72F65" w14:paraId="5DACEEB3" w14:textId="77777777"/>
    <w:p w:rsidRPr="0094555B" w:rsidR="00D11175" w:rsidP="0094555B" w:rsidRDefault="00D11175" w14:paraId="1E5C0AC4" w14:textId="77777777">
      <w:pPr>
        <w:tabs>
          <w:tab w:val="left" w:pos="-720"/>
          <w:tab w:val="left" w:pos="0"/>
        </w:tabs>
        <w:suppressAutoHyphens/>
        <w:rPr>
          <w:rFonts w:ascii="Times New Roman" w:hAnsi="Times New Roman"/>
          <w:color w:val="000000"/>
          <w:sz w:val="24"/>
          <w:szCs w:val="24"/>
        </w:rPr>
      </w:pPr>
      <w:r w:rsidRPr="0094555B">
        <w:rPr>
          <w:rFonts w:ascii="Times New Roman" w:hAnsi="Times New Roman"/>
          <w:color w:val="000000"/>
          <w:sz w:val="24"/>
          <w:szCs w:val="24"/>
        </w:rPr>
        <w:t>The information received by</w:t>
      </w:r>
      <w:r w:rsidRPr="0094555B">
        <w:rPr>
          <w:rFonts w:ascii="Times New Roman" w:hAnsi="Times New Roman"/>
          <w:color w:val="FF0000"/>
          <w:sz w:val="24"/>
          <w:szCs w:val="24"/>
        </w:rPr>
        <w:t xml:space="preserve"> </w:t>
      </w:r>
      <w:r w:rsidRPr="0094555B">
        <w:rPr>
          <w:rFonts w:ascii="Times New Roman" w:hAnsi="Times New Roman"/>
          <w:sz w:val="24"/>
          <w:szCs w:val="24"/>
        </w:rPr>
        <w:t>CMS</w:t>
      </w:r>
      <w:r w:rsidRPr="0094555B">
        <w:rPr>
          <w:rFonts w:ascii="Times New Roman" w:hAnsi="Times New Roman"/>
          <w:color w:val="000000"/>
          <w:sz w:val="24"/>
          <w:szCs w:val="24"/>
        </w:rPr>
        <w:t xml:space="preserve"> is not confidential and its release would fall under the Freedom of Information Act. </w:t>
      </w:r>
    </w:p>
    <w:p w:rsidRPr="0094555B" w:rsidR="00FC2882" w:rsidP="0094555B" w:rsidRDefault="00FC2882" w14:paraId="4C15C649" w14:textId="68390708">
      <w:pPr>
        <w:pStyle w:val="Heading3"/>
        <w:numPr>
          <w:ilvl w:val="0"/>
          <w:numId w:val="2"/>
        </w:numPr>
        <w:rPr>
          <w:rFonts w:ascii="Times New Roman" w:hAnsi="Times New Roman" w:cs="Times New Roman"/>
          <w:color w:val="auto"/>
          <w:u w:val="single"/>
        </w:rPr>
      </w:pPr>
      <w:bookmarkStart w:name="_Toc528571032" w:id="40"/>
      <w:bookmarkStart w:name="_Toc528571498" w:id="41"/>
      <w:bookmarkStart w:name="_Toc528571592" w:id="42"/>
      <w:r w:rsidRPr="0094555B">
        <w:rPr>
          <w:rFonts w:ascii="Times New Roman" w:hAnsi="Times New Roman" w:cs="Times New Roman"/>
          <w:color w:val="auto"/>
          <w:u w:val="single"/>
        </w:rPr>
        <w:t>Sensitive Questions:</w:t>
      </w:r>
      <w:bookmarkEnd w:id="40"/>
      <w:bookmarkEnd w:id="41"/>
      <w:bookmarkEnd w:id="42"/>
    </w:p>
    <w:p w:rsidRPr="0094555B" w:rsidR="00F72F65" w:rsidP="0094555B" w:rsidRDefault="00F72F65" w14:paraId="6ECFA561" w14:textId="77777777"/>
    <w:p w:rsidRPr="0094555B" w:rsidR="00D11175" w:rsidP="0094555B" w:rsidRDefault="00D11175" w14:paraId="7A64CA7D" w14:textId="77777777">
      <w:pPr>
        <w:autoSpaceDE w:val="0"/>
        <w:autoSpaceDN w:val="0"/>
        <w:adjustRightInd w:val="0"/>
        <w:rPr>
          <w:rFonts w:ascii="Times New Roman" w:hAnsi="Times New Roman"/>
          <w:sz w:val="24"/>
          <w:szCs w:val="24"/>
        </w:rPr>
      </w:pPr>
      <w:r w:rsidRPr="0094555B">
        <w:rPr>
          <w:rFonts w:ascii="Times New Roman" w:hAnsi="Times New Roman"/>
          <w:sz w:val="24"/>
          <w:szCs w:val="24"/>
        </w:rPr>
        <w:t>There are no sensitive questions associated with this collection. Specifically, the collection does not solicit questions of a sensitive nature, such as sexual behavior and attitudes, religious beliefs, and other matters that are commonly considered private.</w:t>
      </w:r>
    </w:p>
    <w:p w:rsidRPr="0094555B" w:rsidR="00FC2882" w:rsidP="0094555B" w:rsidRDefault="0088762B" w14:paraId="07B913CD" w14:textId="11600D8D">
      <w:pPr>
        <w:pStyle w:val="Heading3"/>
        <w:numPr>
          <w:ilvl w:val="0"/>
          <w:numId w:val="2"/>
        </w:numPr>
        <w:rPr>
          <w:rFonts w:ascii="Times New Roman" w:hAnsi="Times New Roman" w:cs="Times New Roman"/>
          <w:color w:val="auto"/>
          <w:u w:val="single"/>
        </w:rPr>
      </w:pPr>
      <w:bookmarkStart w:name="_Toc528571033" w:id="43"/>
      <w:bookmarkStart w:name="_Toc528571499" w:id="44"/>
      <w:bookmarkStart w:name="_Toc528571593" w:id="45"/>
      <w:r w:rsidRPr="0094555B">
        <w:rPr>
          <w:rFonts w:ascii="Times New Roman" w:hAnsi="Times New Roman" w:cs="Times New Roman"/>
          <w:color w:val="auto"/>
          <w:u w:val="single"/>
        </w:rPr>
        <w:t xml:space="preserve">Collection of Information Requirements and Associated </w:t>
      </w:r>
      <w:r w:rsidRPr="0094555B" w:rsidR="00FC2882">
        <w:rPr>
          <w:rFonts w:ascii="Times New Roman" w:hAnsi="Times New Roman" w:cs="Times New Roman"/>
          <w:color w:val="auto"/>
          <w:u w:val="single"/>
        </w:rPr>
        <w:t>Burden Estimates:</w:t>
      </w:r>
      <w:bookmarkEnd w:id="43"/>
      <w:bookmarkEnd w:id="44"/>
      <w:bookmarkEnd w:id="45"/>
    </w:p>
    <w:p w:rsidRPr="0094555B" w:rsidR="003310A7" w:rsidP="0094555B" w:rsidRDefault="003310A7" w14:paraId="623952A6" w14:textId="77777777">
      <w:pPr>
        <w:pStyle w:val="Heading3"/>
        <w:ind w:firstLine="360"/>
        <w:rPr>
          <w:rFonts w:ascii="Times New Roman" w:hAnsi="Times New Roman" w:cs="Times New Roman"/>
          <w:color w:val="auto"/>
        </w:rPr>
      </w:pPr>
    </w:p>
    <w:p w:rsidRPr="0094555B" w:rsidR="003310A7" w:rsidP="0094555B" w:rsidRDefault="003310A7" w14:paraId="4C248677" w14:textId="26581622">
      <w:pPr>
        <w:pStyle w:val="Heading4"/>
        <w:numPr>
          <w:ilvl w:val="1"/>
          <w:numId w:val="2"/>
        </w:numPr>
        <w:rPr>
          <w:rFonts w:ascii="Times New Roman" w:hAnsi="Times New Roman" w:cs="Times New Roman"/>
          <w:color w:val="auto"/>
          <w:sz w:val="24"/>
          <w:szCs w:val="24"/>
        </w:rPr>
      </w:pPr>
      <w:bookmarkStart w:name="_Toc528571500" w:id="46"/>
      <w:bookmarkStart w:name="_Toc528571594" w:id="47"/>
      <w:r w:rsidRPr="0094555B">
        <w:rPr>
          <w:rFonts w:ascii="Times New Roman" w:hAnsi="Times New Roman" w:cs="Times New Roman"/>
          <w:color w:val="auto"/>
          <w:sz w:val="24"/>
          <w:szCs w:val="24"/>
        </w:rPr>
        <w:t>Wage</w:t>
      </w:r>
      <w:bookmarkEnd w:id="46"/>
      <w:bookmarkEnd w:id="47"/>
      <w:r w:rsidRPr="0094555B" w:rsidR="00860501">
        <w:rPr>
          <w:rFonts w:ascii="Times New Roman" w:hAnsi="Times New Roman" w:cs="Times New Roman"/>
          <w:color w:val="auto"/>
          <w:sz w:val="24"/>
          <w:szCs w:val="24"/>
        </w:rPr>
        <w:t xml:space="preserve"> Estimates</w:t>
      </w:r>
    </w:p>
    <w:p w:rsidRPr="0094555B" w:rsidR="00860501" w:rsidP="0094555B" w:rsidRDefault="00860501" w14:paraId="146A2533" w14:textId="77777777">
      <w:pPr>
        <w:ind w:left="360"/>
        <w:rPr>
          <w:i/>
        </w:rPr>
      </w:pPr>
    </w:p>
    <w:p w:rsidRPr="0094555B" w:rsidR="00D11175" w:rsidP="0094555B" w:rsidRDefault="00D11175" w14:paraId="30476D1B" w14:textId="2B511604">
      <w:pPr>
        <w:rPr>
          <w:rFonts w:ascii="Times New Roman" w:hAnsi="Times New Roman"/>
          <w:sz w:val="24"/>
          <w:szCs w:val="24"/>
        </w:rPr>
      </w:pPr>
      <w:r w:rsidRPr="0094555B">
        <w:rPr>
          <w:rFonts w:ascii="Times New Roman" w:hAnsi="Times New Roman"/>
          <w:sz w:val="24"/>
          <w:szCs w:val="24"/>
        </w:rPr>
        <w:t xml:space="preserve">To derive average costs, we used data from the U.S. Bureau of Labor Statistics’ May </w:t>
      </w:r>
      <w:r w:rsidRPr="0094555B" w:rsidR="006F0E7F">
        <w:rPr>
          <w:rFonts w:ascii="Times New Roman" w:hAnsi="Times New Roman"/>
          <w:sz w:val="24"/>
          <w:szCs w:val="24"/>
        </w:rPr>
        <w:t>20</w:t>
      </w:r>
      <w:r w:rsidR="006F0E7F">
        <w:rPr>
          <w:rFonts w:ascii="Times New Roman" w:hAnsi="Times New Roman"/>
          <w:sz w:val="24"/>
          <w:szCs w:val="24"/>
        </w:rPr>
        <w:t>20</w:t>
      </w:r>
      <w:r w:rsidRPr="0094555B" w:rsidR="006F0E7F">
        <w:rPr>
          <w:rFonts w:ascii="Times New Roman" w:hAnsi="Times New Roman"/>
          <w:sz w:val="24"/>
          <w:szCs w:val="24"/>
        </w:rPr>
        <w:t xml:space="preserve"> </w:t>
      </w:r>
      <w:r w:rsidRPr="0094555B">
        <w:rPr>
          <w:rFonts w:ascii="Times New Roman" w:hAnsi="Times New Roman"/>
          <w:sz w:val="24"/>
          <w:szCs w:val="24"/>
        </w:rPr>
        <w:t xml:space="preserve">National Occupational Employment and Wage Estimates </w:t>
      </w:r>
      <w:hyperlink w:history="1" r:id="rId12">
        <w:r w:rsidRPr="0094555B" w:rsidR="00FA458A">
          <w:rPr>
            <w:rStyle w:val="Hyperlink"/>
            <w:rFonts w:ascii="Times New Roman" w:hAnsi="Times New Roman"/>
            <w:sz w:val="24"/>
            <w:szCs w:val="24"/>
          </w:rPr>
          <w:t>http://www.bls.gov/oes/current/oes_nat.htm</w:t>
        </w:r>
      </w:hyperlink>
      <w:r w:rsidRPr="0094555B">
        <w:rPr>
          <w:rFonts w:ascii="Times New Roman" w:hAnsi="Times New Roman"/>
          <w:szCs w:val="24"/>
        </w:rPr>
        <w:t xml:space="preserve">).  </w:t>
      </w:r>
      <w:r w:rsidRPr="0094555B">
        <w:rPr>
          <w:rFonts w:ascii="Times New Roman" w:hAnsi="Times New Roman"/>
          <w:sz w:val="24"/>
          <w:szCs w:val="24"/>
        </w:rPr>
        <w:t>In this regard, the following table presents the mean hourly wage, the cost of fringe benefits</w:t>
      </w:r>
      <w:r w:rsidRPr="0094555B" w:rsidR="0081508E">
        <w:rPr>
          <w:rFonts w:ascii="Times New Roman" w:hAnsi="Times New Roman"/>
          <w:sz w:val="24"/>
          <w:szCs w:val="24"/>
        </w:rPr>
        <w:t xml:space="preserve"> and ove</w:t>
      </w:r>
      <w:r w:rsidRPr="0094555B" w:rsidR="00FA458A">
        <w:rPr>
          <w:rFonts w:ascii="Times New Roman" w:hAnsi="Times New Roman"/>
          <w:sz w:val="24"/>
          <w:szCs w:val="24"/>
        </w:rPr>
        <w:t>r</w:t>
      </w:r>
      <w:r w:rsidRPr="0094555B" w:rsidR="0081508E">
        <w:rPr>
          <w:rFonts w:ascii="Times New Roman" w:hAnsi="Times New Roman"/>
          <w:sz w:val="24"/>
          <w:szCs w:val="24"/>
        </w:rPr>
        <w:t>head</w:t>
      </w:r>
      <w:r w:rsidRPr="0094555B">
        <w:rPr>
          <w:rFonts w:ascii="Times New Roman" w:hAnsi="Times New Roman"/>
          <w:sz w:val="24"/>
          <w:szCs w:val="24"/>
        </w:rPr>
        <w:t>, and the adjusted hourly wage.</w:t>
      </w:r>
    </w:p>
    <w:p w:rsidRPr="0094555B" w:rsidR="00624B15" w:rsidP="0094555B" w:rsidRDefault="00624B15" w14:paraId="3F317189" w14:textId="0179881B">
      <w:pPr>
        <w:pStyle w:val="TableCaption"/>
        <w:rPr>
          <w:u w:val="single"/>
        </w:rPr>
      </w:pPr>
      <w:r w:rsidRPr="0094555B">
        <w:t>Occupation Titles and Wage Rates</w:t>
      </w:r>
    </w:p>
    <w:tbl>
      <w:tblPr>
        <w:tblW w:w="961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4A0" w:firstRow="1" w:lastRow="0" w:firstColumn="1" w:lastColumn="0" w:noHBand="0" w:noVBand="1"/>
      </w:tblPr>
      <w:tblGrid>
        <w:gridCol w:w="1922"/>
        <w:gridCol w:w="1922"/>
        <w:gridCol w:w="1922"/>
        <w:gridCol w:w="1922"/>
        <w:gridCol w:w="1923"/>
      </w:tblGrid>
      <w:tr w:rsidRPr="0094555B" w:rsidR="00624B15" w:rsidTr="00624B15" w14:paraId="7F9DEB6C" w14:textId="77777777">
        <w:trPr>
          <w:trHeight w:val="375"/>
          <w:tblHeader/>
          <w:jc w:val="center"/>
        </w:trPr>
        <w:tc>
          <w:tcPr>
            <w:tcW w:w="19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4555B" w:rsidR="00624B15" w:rsidP="0094555B" w:rsidRDefault="00624B15" w14:paraId="66DD6E9B" w14:textId="77777777">
            <w:pPr>
              <w:jc w:val="center"/>
              <w:rPr>
                <w:rFonts w:ascii="Times New Roman" w:hAnsi="Times New Roman" w:cs="Times New Roman"/>
                <w:b/>
                <w:sz w:val="20"/>
                <w:szCs w:val="20"/>
              </w:rPr>
            </w:pPr>
            <w:bookmarkStart w:name="_Hlk511915620" w:id="48"/>
            <w:r w:rsidRPr="0094555B">
              <w:rPr>
                <w:rFonts w:ascii="Times New Roman" w:hAnsi="Times New Roman" w:cs="Times New Roman"/>
                <w:b/>
                <w:sz w:val="20"/>
                <w:szCs w:val="20"/>
              </w:rPr>
              <w:t>Occupation Title</w:t>
            </w:r>
          </w:p>
        </w:tc>
        <w:tc>
          <w:tcPr>
            <w:tcW w:w="19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4555B" w:rsidR="00624B15" w:rsidP="0094555B" w:rsidRDefault="00624B15" w14:paraId="57E92858" w14:textId="77777777">
            <w:pPr>
              <w:jc w:val="center"/>
              <w:rPr>
                <w:rFonts w:ascii="Times New Roman" w:hAnsi="Times New Roman" w:cs="Times New Roman"/>
                <w:b/>
                <w:sz w:val="20"/>
                <w:szCs w:val="20"/>
              </w:rPr>
            </w:pPr>
            <w:r w:rsidRPr="0094555B">
              <w:rPr>
                <w:rFonts w:ascii="Times New Roman" w:hAnsi="Times New Roman" w:cs="Times New Roman"/>
                <w:b/>
                <w:sz w:val="20"/>
                <w:szCs w:val="20"/>
              </w:rPr>
              <w:t>Occupation Code</w:t>
            </w:r>
          </w:p>
        </w:tc>
        <w:tc>
          <w:tcPr>
            <w:tcW w:w="19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4555B" w:rsidR="00624B15" w:rsidP="0094555B" w:rsidRDefault="00624B15" w14:paraId="26BD915C" w14:textId="761CA164">
            <w:pPr>
              <w:jc w:val="center"/>
              <w:rPr>
                <w:rFonts w:ascii="Times New Roman" w:hAnsi="Times New Roman" w:cs="Times New Roman"/>
                <w:b/>
                <w:sz w:val="20"/>
                <w:szCs w:val="20"/>
              </w:rPr>
            </w:pPr>
            <w:r w:rsidRPr="0094555B">
              <w:rPr>
                <w:rFonts w:ascii="Times New Roman" w:hAnsi="Times New Roman" w:cs="Times New Roman"/>
                <w:b/>
                <w:sz w:val="20"/>
                <w:szCs w:val="20"/>
              </w:rPr>
              <w:t>Mean Hourly Wage($/</w:t>
            </w:r>
            <w:proofErr w:type="spellStart"/>
            <w:r w:rsidRPr="0094555B">
              <w:rPr>
                <w:rFonts w:ascii="Times New Roman" w:hAnsi="Times New Roman" w:cs="Times New Roman"/>
                <w:b/>
                <w:sz w:val="20"/>
                <w:szCs w:val="20"/>
              </w:rPr>
              <w:t>hr</w:t>
            </w:r>
            <w:proofErr w:type="spellEnd"/>
            <w:r w:rsidRPr="0094555B">
              <w:rPr>
                <w:rFonts w:ascii="Times New Roman" w:hAnsi="Times New Roman" w:cs="Times New Roman"/>
                <w:b/>
                <w:sz w:val="20"/>
                <w:szCs w:val="20"/>
              </w:rPr>
              <w:t>)</w:t>
            </w:r>
          </w:p>
        </w:tc>
        <w:tc>
          <w:tcPr>
            <w:tcW w:w="19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4555B" w:rsidR="00624B15" w:rsidP="0094555B" w:rsidRDefault="00624B15" w14:paraId="517E44A5" w14:textId="43685E55">
            <w:pPr>
              <w:jc w:val="center"/>
              <w:rPr>
                <w:rFonts w:ascii="Times New Roman" w:hAnsi="Times New Roman" w:cs="Times New Roman"/>
                <w:b/>
                <w:sz w:val="20"/>
                <w:szCs w:val="20"/>
              </w:rPr>
            </w:pPr>
            <w:r w:rsidRPr="0094555B">
              <w:rPr>
                <w:rFonts w:ascii="Times New Roman" w:hAnsi="Times New Roman" w:cs="Times New Roman"/>
                <w:b/>
                <w:sz w:val="20"/>
                <w:szCs w:val="20"/>
              </w:rPr>
              <w:t>Fringe Benefit</w:t>
            </w:r>
            <w:r w:rsidRPr="0094555B" w:rsidR="0081508E">
              <w:rPr>
                <w:rFonts w:ascii="Times New Roman" w:hAnsi="Times New Roman" w:cs="Times New Roman"/>
                <w:b/>
                <w:sz w:val="20"/>
                <w:szCs w:val="20"/>
              </w:rPr>
              <w:t>s and Overhead</w:t>
            </w:r>
            <w:r w:rsidRPr="0094555B">
              <w:rPr>
                <w:rFonts w:ascii="Times New Roman" w:hAnsi="Times New Roman" w:cs="Times New Roman"/>
                <w:b/>
                <w:sz w:val="20"/>
                <w:szCs w:val="20"/>
              </w:rPr>
              <w:t xml:space="preserve"> ($/</w:t>
            </w:r>
            <w:proofErr w:type="spellStart"/>
            <w:r w:rsidRPr="0094555B">
              <w:rPr>
                <w:rFonts w:ascii="Times New Roman" w:hAnsi="Times New Roman" w:cs="Times New Roman"/>
                <w:b/>
                <w:sz w:val="20"/>
                <w:szCs w:val="20"/>
              </w:rPr>
              <w:t>hr</w:t>
            </w:r>
            <w:proofErr w:type="spellEnd"/>
            <w:r w:rsidRPr="0094555B">
              <w:rPr>
                <w:rFonts w:ascii="Times New Roman" w:hAnsi="Times New Roman" w:cs="Times New Roman"/>
                <w:b/>
                <w:sz w:val="20"/>
                <w:szCs w:val="20"/>
              </w:rPr>
              <w:t>)</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4555B" w:rsidR="00624B15" w:rsidP="0094555B" w:rsidRDefault="00624B15" w14:paraId="741C600E" w14:textId="77777777">
            <w:pPr>
              <w:jc w:val="center"/>
              <w:rPr>
                <w:rFonts w:ascii="Times New Roman" w:hAnsi="Times New Roman" w:cs="Times New Roman"/>
                <w:b/>
                <w:sz w:val="20"/>
                <w:szCs w:val="20"/>
              </w:rPr>
            </w:pPr>
            <w:r w:rsidRPr="0094555B">
              <w:rPr>
                <w:rFonts w:ascii="Times New Roman" w:hAnsi="Times New Roman" w:cs="Times New Roman"/>
                <w:b/>
                <w:sz w:val="20"/>
                <w:szCs w:val="20"/>
              </w:rPr>
              <w:t>Adjusted Hourly Wage($/</w:t>
            </w:r>
            <w:proofErr w:type="spellStart"/>
            <w:r w:rsidRPr="0094555B">
              <w:rPr>
                <w:rFonts w:ascii="Times New Roman" w:hAnsi="Times New Roman" w:cs="Times New Roman"/>
                <w:b/>
                <w:sz w:val="20"/>
                <w:szCs w:val="20"/>
              </w:rPr>
              <w:t>hr</w:t>
            </w:r>
            <w:proofErr w:type="spellEnd"/>
            <w:r w:rsidRPr="0094555B">
              <w:rPr>
                <w:rFonts w:ascii="Times New Roman" w:hAnsi="Times New Roman" w:cs="Times New Roman"/>
                <w:b/>
                <w:sz w:val="20"/>
                <w:szCs w:val="20"/>
              </w:rPr>
              <w:t>)</w:t>
            </w:r>
          </w:p>
        </w:tc>
      </w:tr>
      <w:tr w:rsidRPr="0094555B" w:rsidR="005911C9" w:rsidTr="005911C9" w14:paraId="1DAD0115" w14:textId="77777777">
        <w:trPr>
          <w:trHeight w:val="263"/>
          <w:jc w:val="center"/>
        </w:trPr>
        <w:tc>
          <w:tcPr>
            <w:tcW w:w="19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94555B" w:rsidR="005911C9" w:rsidP="005911C9" w:rsidRDefault="005911C9" w14:paraId="685D95A1" w14:textId="77777777">
            <w:pPr>
              <w:rPr>
                <w:rFonts w:ascii="Times New Roman" w:hAnsi="Times New Roman" w:cs="Times New Roman"/>
                <w:sz w:val="20"/>
                <w:szCs w:val="20"/>
              </w:rPr>
            </w:pPr>
            <w:r w:rsidRPr="0094555B">
              <w:rPr>
                <w:rFonts w:ascii="Times New Roman" w:hAnsi="Times New Roman" w:cs="Times New Roman"/>
                <w:sz w:val="20"/>
                <w:szCs w:val="20"/>
              </w:rPr>
              <w:t>Accountant</w:t>
            </w:r>
          </w:p>
        </w:tc>
        <w:tc>
          <w:tcPr>
            <w:tcW w:w="19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94555B" w:rsidR="005911C9" w:rsidP="005911C9" w:rsidRDefault="005911C9" w14:paraId="69422404" w14:textId="77777777">
            <w:pPr>
              <w:jc w:val="center"/>
              <w:rPr>
                <w:rFonts w:ascii="Times New Roman" w:hAnsi="Times New Roman" w:cs="Times New Roman"/>
                <w:sz w:val="20"/>
                <w:szCs w:val="20"/>
              </w:rPr>
            </w:pPr>
            <w:r w:rsidRPr="0094555B">
              <w:rPr>
                <w:rFonts w:ascii="Times New Roman" w:hAnsi="Times New Roman" w:cs="Times New Roman"/>
                <w:sz w:val="20"/>
                <w:szCs w:val="20"/>
              </w:rPr>
              <w:t>13-2011</w:t>
            </w:r>
          </w:p>
        </w:tc>
        <w:tc>
          <w:tcPr>
            <w:tcW w:w="19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94555B" w:rsidR="005911C9" w:rsidDel="00FA3790" w:rsidP="005911C9" w:rsidRDefault="005911C9" w14:paraId="296CA830" w14:textId="60C6502C">
            <w:pPr>
              <w:jc w:val="center"/>
              <w:rPr>
                <w:rFonts w:ascii="Times New Roman" w:hAnsi="Times New Roman" w:cs="Times New Roman"/>
                <w:sz w:val="20"/>
                <w:szCs w:val="20"/>
              </w:rPr>
            </w:pPr>
            <w:r>
              <w:rPr>
                <w:rFonts w:ascii="Times New Roman" w:hAnsi="Times New Roman" w:cs="Times New Roman"/>
                <w:sz w:val="20"/>
                <w:szCs w:val="20"/>
              </w:rPr>
              <w:t>39.26</w:t>
            </w:r>
          </w:p>
        </w:tc>
        <w:tc>
          <w:tcPr>
            <w:tcW w:w="19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94555B" w:rsidR="005911C9" w:rsidDel="00BD5FE9" w:rsidP="005911C9" w:rsidRDefault="005911C9" w14:paraId="487D0125" w14:textId="32FE9515">
            <w:pPr>
              <w:jc w:val="center"/>
              <w:rPr>
                <w:rFonts w:ascii="Times New Roman" w:hAnsi="Times New Roman" w:cs="Times New Roman"/>
                <w:sz w:val="20"/>
                <w:szCs w:val="20"/>
              </w:rPr>
            </w:pPr>
            <w:r>
              <w:rPr>
                <w:rFonts w:ascii="Times New Roman" w:hAnsi="Times New Roman" w:cs="Times New Roman"/>
                <w:sz w:val="20"/>
                <w:szCs w:val="20"/>
              </w:rPr>
              <w:t>39.26</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94555B" w:rsidR="005911C9" w:rsidDel="00BD5FE9" w:rsidP="005911C9" w:rsidRDefault="005911C9" w14:paraId="7EA1BBC2" w14:textId="6BAA0C16">
            <w:pPr>
              <w:jc w:val="center"/>
              <w:rPr>
                <w:rFonts w:ascii="Times New Roman" w:hAnsi="Times New Roman" w:cs="Times New Roman"/>
                <w:sz w:val="20"/>
                <w:szCs w:val="20"/>
              </w:rPr>
            </w:pPr>
            <w:r>
              <w:rPr>
                <w:rFonts w:ascii="Times New Roman" w:hAnsi="Times New Roman" w:cs="Times New Roman"/>
                <w:sz w:val="20"/>
                <w:szCs w:val="20"/>
              </w:rPr>
              <w:t>78.52</w:t>
            </w:r>
          </w:p>
        </w:tc>
      </w:tr>
      <w:tr w:rsidRPr="0094555B" w:rsidR="005911C9" w:rsidTr="005911C9" w14:paraId="1A3BD3E9" w14:textId="77777777">
        <w:trPr>
          <w:trHeight w:val="263"/>
          <w:jc w:val="center"/>
        </w:trPr>
        <w:tc>
          <w:tcPr>
            <w:tcW w:w="19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94555B" w:rsidR="005911C9" w:rsidP="005911C9" w:rsidRDefault="005911C9" w14:paraId="110F42FF" w14:textId="77777777">
            <w:pPr>
              <w:rPr>
                <w:rFonts w:ascii="Times New Roman" w:hAnsi="Times New Roman" w:cs="Times New Roman"/>
                <w:sz w:val="20"/>
                <w:szCs w:val="20"/>
              </w:rPr>
            </w:pPr>
            <w:r w:rsidRPr="0094555B">
              <w:rPr>
                <w:rFonts w:ascii="Times New Roman" w:hAnsi="Times New Roman" w:cs="Times New Roman"/>
                <w:sz w:val="20"/>
                <w:szCs w:val="20"/>
              </w:rPr>
              <w:t>Actuary</w:t>
            </w:r>
          </w:p>
        </w:tc>
        <w:tc>
          <w:tcPr>
            <w:tcW w:w="19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94555B" w:rsidR="005911C9" w:rsidP="005911C9" w:rsidRDefault="005911C9" w14:paraId="1189E53D" w14:textId="77777777">
            <w:pPr>
              <w:jc w:val="center"/>
              <w:rPr>
                <w:rFonts w:ascii="Times New Roman" w:hAnsi="Times New Roman" w:cs="Times New Roman"/>
                <w:sz w:val="20"/>
                <w:szCs w:val="20"/>
              </w:rPr>
            </w:pPr>
            <w:r w:rsidRPr="0094555B">
              <w:rPr>
                <w:rFonts w:ascii="Times New Roman" w:hAnsi="Times New Roman" w:cs="Times New Roman"/>
                <w:sz w:val="20"/>
                <w:szCs w:val="20"/>
              </w:rPr>
              <w:t>15-2011</w:t>
            </w:r>
          </w:p>
        </w:tc>
        <w:tc>
          <w:tcPr>
            <w:tcW w:w="19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94555B" w:rsidR="005911C9" w:rsidP="005911C9" w:rsidRDefault="005911C9" w14:paraId="722C1C44" w14:textId="759E9070">
            <w:pPr>
              <w:jc w:val="center"/>
              <w:rPr>
                <w:rFonts w:ascii="Times New Roman" w:hAnsi="Times New Roman" w:cs="Times New Roman"/>
                <w:sz w:val="20"/>
                <w:szCs w:val="20"/>
              </w:rPr>
            </w:pPr>
            <w:r>
              <w:rPr>
                <w:rFonts w:ascii="Times New Roman" w:hAnsi="Times New Roman" w:cs="Times New Roman"/>
                <w:sz w:val="20"/>
                <w:szCs w:val="20"/>
              </w:rPr>
              <w:t>59.22</w:t>
            </w:r>
          </w:p>
        </w:tc>
        <w:tc>
          <w:tcPr>
            <w:tcW w:w="19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94555B" w:rsidR="005911C9" w:rsidP="005911C9" w:rsidRDefault="005911C9" w14:paraId="21454501" w14:textId="5F1820FB">
            <w:pPr>
              <w:jc w:val="center"/>
              <w:rPr>
                <w:rFonts w:ascii="Times New Roman" w:hAnsi="Times New Roman" w:cs="Times New Roman"/>
                <w:sz w:val="20"/>
                <w:szCs w:val="20"/>
              </w:rPr>
            </w:pPr>
            <w:r>
              <w:rPr>
                <w:rFonts w:ascii="Times New Roman" w:hAnsi="Times New Roman" w:cs="Times New Roman"/>
                <w:sz w:val="20"/>
                <w:szCs w:val="20"/>
              </w:rPr>
              <w:t>59.22</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94555B" w:rsidR="005911C9" w:rsidP="005911C9" w:rsidRDefault="001E5AD4" w14:paraId="79750B34" w14:textId="3BB6269C">
            <w:pPr>
              <w:jc w:val="center"/>
              <w:rPr>
                <w:rFonts w:ascii="Times New Roman" w:hAnsi="Times New Roman" w:cs="Times New Roman"/>
                <w:sz w:val="20"/>
                <w:szCs w:val="20"/>
              </w:rPr>
            </w:pPr>
            <w:r>
              <w:rPr>
                <w:rFonts w:ascii="Times New Roman" w:hAnsi="Times New Roman" w:cs="Times New Roman"/>
                <w:sz w:val="20"/>
                <w:szCs w:val="20"/>
              </w:rPr>
              <w:t>118.44</w:t>
            </w:r>
          </w:p>
        </w:tc>
      </w:tr>
      <w:tr w:rsidRPr="0094555B" w:rsidR="005911C9" w:rsidTr="005911C9" w14:paraId="7AC01EA2" w14:textId="77777777">
        <w:trPr>
          <w:trHeight w:val="367"/>
          <w:jc w:val="center"/>
        </w:trPr>
        <w:tc>
          <w:tcPr>
            <w:tcW w:w="19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94555B" w:rsidR="005911C9" w:rsidP="005911C9" w:rsidRDefault="005911C9" w14:paraId="043D5B9A" w14:textId="77777777">
            <w:pPr>
              <w:rPr>
                <w:rFonts w:ascii="Times New Roman" w:hAnsi="Times New Roman" w:cs="Times New Roman"/>
                <w:sz w:val="20"/>
                <w:szCs w:val="20"/>
              </w:rPr>
            </w:pPr>
            <w:r w:rsidRPr="0094555B">
              <w:rPr>
                <w:rFonts w:ascii="Times New Roman" w:hAnsi="Times New Roman" w:cs="Times New Roman"/>
                <w:sz w:val="20"/>
                <w:szCs w:val="20"/>
              </w:rPr>
              <w:lastRenderedPageBreak/>
              <w:t>Business Operations Specialist</w:t>
            </w:r>
          </w:p>
        </w:tc>
        <w:tc>
          <w:tcPr>
            <w:tcW w:w="19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94555B" w:rsidR="005911C9" w:rsidP="005911C9" w:rsidRDefault="005911C9" w14:paraId="40EFE123" w14:textId="77777777">
            <w:pPr>
              <w:jc w:val="center"/>
              <w:rPr>
                <w:rFonts w:ascii="Times New Roman" w:hAnsi="Times New Roman" w:cs="Times New Roman"/>
                <w:sz w:val="20"/>
                <w:szCs w:val="20"/>
              </w:rPr>
            </w:pPr>
            <w:r w:rsidRPr="0094555B">
              <w:rPr>
                <w:rFonts w:ascii="Times New Roman" w:hAnsi="Times New Roman" w:cs="Times New Roman"/>
                <w:sz w:val="20"/>
                <w:szCs w:val="20"/>
              </w:rPr>
              <w:t>13-1000</w:t>
            </w:r>
          </w:p>
        </w:tc>
        <w:tc>
          <w:tcPr>
            <w:tcW w:w="19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94555B" w:rsidR="005911C9" w:rsidP="005911C9" w:rsidRDefault="005911C9" w14:paraId="4D9CCC6A" w14:textId="55F3F7F3">
            <w:pPr>
              <w:jc w:val="center"/>
              <w:rPr>
                <w:rFonts w:ascii="Times New Roman" w:hAnsi="Times New Roman" w:cs="Times New Roman"/>
                <w:sz w:val="20"/>
                <w:szCs w:val="20"/>
              </w:rPr>
            </w:pPr>
            <w:r>
              <w:rPr>
                <w:rFonts w:ascii="Times New Roman" w:hAnsi="Times New Roman" w:cs="Times New Roman"/>
                <w:sz w:val="20"/>
                <w:szCs w:val="20"/>
              </w:rPr>
              <w:t>37.66</w:t>
            </w:r>
          </w:p>
        </w:tc>
        <w:tc>
          <w:tcPr>
            <w:tcW w:w="19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94555B" w:rsidR="005911C9" w:rsidP="005911C9" w:rsidRDefault="005911C9" w14:paraId="135ACA0A" w14:textId="0B7C17D9">
            <w:pPr>
              <w:jc w:val="center"/>
              <w:rPr>
                <w:rFonts w:ascii="Times New Roman" w:hAnsi="Times New Roman" w:cs="Times New Roman"/>
                <w:sz w:val="20"/>
                <w:szCs w:val="20"/>
              </w:rPr>
            </w:pPr>
            <w:r>
              <w:rPr>
                <w:rFonts w:ascii="Times New Roman" w:hAnsi="Times New Roman" w:cs="Times New Roman"/>
                <w:sz w:val="20"/>
                <w:szCs w:val="20"/>
              </w:rPr>
              <w:t>37.66</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94555B" w:rsidR="005911C9" w:rsidP="005911C9" w:rsidRDefault="001E5AD4" w14:paraId="1D0598B5" w14:textId="32AB88E5">
            <w:pPr>
              <w:jc w:val="center"/>
              <w:rPr>
                <w:rFonts w:ascii="Times New Roman" w:hAnsi="Times New Roman" w:cs="Times New Roman"/>
                <w:sz w:val="20"/>
                <w:szCs w:val="20"/>
              </w:rPr>
            </w:pPr>
            <w:r>
              <w:rPr>
                <w:rFonts w:ascii="Times New Roman" w:hAnsi="Times New Roman" w:cs="Times New Roman"/>
                <w:sz w:val="20"/>
                <w:szCs w:val="20"/>
              </w:rPr>
              <w:t>75.32</w:t>
            </w:r>
          </w:p>
        </w:tc>
      </w:tr>
      <w:tr w:rsidRPr="0094555B" w:rsidR="005911C9" w:rsidTr="005911C9" w14:paraId="17FA5062" w14:textId="77777777">
        <w:trPr>
          <w:trHeight w:val="283"/>
          <w:jc w:val="center"/>
        </w:trPr>
        <w:tc>
          <w:tcPr>
            <w:tcW w:w="19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94555B" w:rsidR="005911C9" w:rsidP="005911C9" w:rsidRDefault="005911C9" w14:paraId="3764269C" w14:textId="77777777">
            <w:pPr>
              <w:rPr>
                <w:rFonts w:ascii="Times New Roman" w:hAnsi="Times New Roman" w:cs="Times New Roman"/>
                <w:sz w:val="20"/>
                <w:szCs w:val="20"/>
              </w:rPr>
            </w:pPr>
            <w:r w:rsidRPr="0094555B">
              <w:rPr>
                <w:rFonts w:ascii="Times New Roman" w:hAnsi="Times New Roman" w:cs="Times New Roman"/>
                <w:sz w:val="20"/>
                <w:szCs w:val="20"/>
              </w:rPr>
              <w:t>Computer Programmer</w:t>
            </w:r>
          </w:p>
        </w:tc>
        <w:tc>
          <w:tcPr>
            <w:tcW w:w="19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94555B" w:rsidR="005911C9" w:rsidP="005911C9" w:rsidRDefault="005911C9" w14:paraId="182A0EF5" w14:textId="74B2459D">
            <w:pPr>
              <w:jc w:val="center"/>
              <w:rPr>
                <w:rFonts w:ascii="Times New Roman" w:hAnsi="Times New Roman" w:cs="Times New Roman"/>
                <w:sz w:val="20"/>
                <w:szCs w:val="20"/>
              </w:rPr>
            </w:pPr>
            <w:r w:rsidRPr="0094555B">
              <w:rPr>
                <w:rFonts w:ascii="Times New Roman" w:hAnsi="Times New Roman" w:cs="Times New Roman"/>
                <w:sz w:val="20"/>
                <w:szCs w:val="20"/>
              </w:rPr>
              <w:t>15-1250</w:t>
            </w:r>
          </w:p>
        </w:tc>
        <w:tc>
          <w:tcPr>
            <w:tcW w:w="19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94555B" w:rsidR="005911C9" w:rsidP="005911C9" w:rsidRDefault="005911C9" w14:paraId="208C9024" w14:textId="79AF8158">
            <w:pPr>
              <w:jc w:val="center"/>
              <w:rPr>
                <w:rFonts w:ascii="Times New Roman" w:hAnsi="Times New Roman" w:cs="Times New Roman"/>
                <w:sz w:val="20"/>
                <w:szCs w:val="20"/>
              </w:rPr>
            </w:pPr>
            <w:r>
              <w:rPr>
                <w:rFonts w:ascii="Times New Roman" w:hAnsi="Times New Roman" w:cs="Times New Roman"/>
                <w:sz w:val="20"/>
                <w:szCs w:val="20"/>
              </w:rPr>
              <w:t>52.86</w:t>
            </w:r>
          </w:p>
        </w:tc>
        <w:tc>
          <w:tcPr>
            <w:tcW w:w="19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94555B" w:rsidR="005911C9" w:rsidP="005911C9" w:rsidRDefault="005911C9" w14:paraId="4B828553" w14:textId="5D020A19">
            <w:pPr>
              <w:jc w:val="center"/>
              <w:rPr>
                <w:rFonts w:ascii="Times New Roman" w:hAnsi="Times New Roman" w:cs="Times New Roman"/>
                <w:sz w:val="20"/>
                <w:szCs w:val="20"/>
              </w:rPr>
            </w:pPr>
            <w:r>
              <w:rPr>
                <w:rFonts w:ascii="Times New Roman" w:hAnsi="Times New Roman" w:cs="Times New Roman"/>
                <w:sz w:val="20"/>
                <w:szCs w:val="20"/>
              </w:rPr>
              <w:t>52.86</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94555B" w:rsidR="005911C9" w:rsidP="005911C9" w:rsidRDefault="001E5AD4" w14:paraId="6941AF98" w14:textId="324A481C">
            <w:pPr>
              <w:jc w:val="center"/>
              <w:rPr>
                <w:rFonts w:ascii="Times New Roman" w:hAnsi="Times New Roman" w:cs="Times New Roman"/>
                <w:sz w:val="20"/>
                <w:szCs w:val="20"/>
              </w:rPr>
            </w:pPr>
            <w:r>
              <w:rPr>
                <w:rFonts w:ascii="Times New Roman" w:hAnsi="Times New Roman" w:cs="Times New Roman"/>
                <w:sz w:val="20"/>
                <w:szCs w:val="20"/>
              </w:rPr>
              <w:t>105.72</w:t>
            </w:r>
          </w:p>
        </w:tc>
      </w:tr>
      <w:tr w:rsidRPr="0094555B" w:rsidR="005911C9" w:rsidTr="005911C9" w14:paraId="0D49584D" w14:textId="77777777">
        <w:trPr>
          <w:trHeight w:val="367"/>
          <w:jc w:val="center"/>
        </w:trPr>
        <w:tc>
          <w:tcPr>
            <w:tcW w:w="19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94555B" w:rsidR="005911C9" w:rsidP="005911C9" w:rsidRDefault="005911C9" w14:paraId="78EA843C" w14:textId="77777777">
            <w:pPr>
              <w:rPr>
                <w:rFonts w:ascii="Times New Roman" w:hAnsi="Times New Roman" w:cs="Times New Roman"/>
                <w:sz w:val="20"/>
                <w:szCs w:val="20"/>
              </w:rPr>
            </w:pPr>
            <w:r w:rsidRPr="0094555B">
              <w:rPr>
                <w:rFonts w:ascii="Times New Roman" w:hAnsi="Times New Roman" w:cs="Times New Roman"/>
                <w:sz w:val="20"/>
                <w:szCs w:val="20"/>
              </w:rPr>
              <w:t>Customer Service Rep</w:t>
            </w:r>
          </w:p>
        </w:tc>
        <w:tc>
          <w:tcPr>
            <w:tcW w:w="19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94555B" w:rsidR="005911C9" w:rsidP="005911C9" w:rsidRDefault="005911C9" w14:paraId="57DFDA52" w14:textId="77777777">
            <w:pPr>
              <w:jc w:val="center"/>
              <w:rPr>
                <w:rFonts w:ascii="Times New Roman" w:hAnsi="Times New Roman" w:cs="Times New Roman"/>
                <w:sz w:val="20"/>
                <w:szCs w:val="20"/>
              </w:rPr>
            </w:pPr>
            <w:r w:rsidRPr="0094555B">
              <w:rPr>
                <w:rFonts w:ascii="Times New Roman" w:hAnsi="Times New Roman" w:cs="Times New Roman"/>
                <w:sz w:val="20"/>
                <w:szCs w:val="20"/>
              </w:rPr>
              <w:t>43-4051</w:t>
            </w:r>
          </w:p>
        </w:tc>
        <w:tc>
          <w:tcPr>
            <w:tcW w:w="19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94555B" w:rsidR="005911C9" w:rsidP="005911C9" w:rsidRDefault="005911C9" w14:paraId="41C7649D" w14:textId="66BD2AA5">
            <w:pPr>
              <w:jc w:val="center"/>
              <w:rPr>
                <w:rFonts w:ascii="Times New Roman" w:hAnsi="Times New Roman" w:cs="Times New Roman"/>
                <w:sz w:val="20"/>
                <w:szCs w:val="20"/>
              </w:rPr>
            </w:pPr>
            <w:r>
              <w:rPr>
                <w:rFonts w:ascii="Times New Roman" w:hAnsi="Times New Roman" w:cs="Times New Roman"/>
                <w:sz w:val="20"/>
                <w:szCs w:val="20"/>
              </w:rPr>
              <w:t>18.51</w:t>
            </w:r>
          </w:p>
        </w:tc>
        <w:tc>
          <w:tcPr>
            <w:tcW w:w="19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94555B" w:rsidR="005911C9" w:rsidP="005911C9" w:rsidRDefault="005911C9" w14:paraId="196BB94C" w14:textId="0219D8EE">
            <w:pPr>
              <w:jc w:val="center"/>
              <w:rPr>
                <w:rFonts w:ascii="Times New Roman" w:hAnsi="Times New Roman" w:cs="Times New Roman"/>
                <w:sz w:val="20"/>
                <w:szCs w:val="20"/>
              </w:rPr>
            </w:pPr>
            <w:r>
              <w:rPr>
                <w:rFonts w:ascii="Times New Roman" w:hAnsi="Times New Roman" w:cs="Times New Roman"/>
                <w:sz w:val="20"/>
                <w:szCs w:val="20"/>
              </w:rPr>
              <w:t>18.51</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94555B" w:rsidR="005911C9" w:rsidP="005911C9" w:rsidRDefault="001E5AD4" w14:paraId="54B05F6A" w14:textId="34A3E5E6">
            <w:pPr>
              <w:jc w:val="center"/>
              <w:rPr>
                <w:rFonts w:ascii="Times New Roman" w:hAnsi="Times New Roman" w:cs="Times New Roman"/>
                <w:sz w:val="20"/>
                <w:szCs w:val="20"/>
              </w:rPr>
            </w:pPr>
            <w:r>
              <w:rPr>
                <w:rFonts w:ascii="Times New Roman" w:hAnsi="Times New Roman" w:cs="Times New Roman"/>
                <w:sz w:val="20"/>
                <w:szCs w:val="20"/>
              </w:rPr>
              <w:t>37.02</w:t>
            </w:r>
          </w:p>
        </w:tc>
      </w:tr>
      <w:tr w:rsidRPr="0094555B" w:rsidR="005911C9" w:rsidTr="001A1497" w14:paraId="6AAD7B5F" w14:textId="77777777">
        <w:trPr>
          <w:trHeight w:val="283"/>
          <w:jc w:val="center"/>
        </w:trPr>
        <w:tc>
          <w:tcPr>
            <w:tcW w:w="19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94555B" w:rsidR="005911C9" w:rsidP="005911C9" w:rsidRDefault="005911C9" w14:paraId="51CD3FF0" w14:textId="77777777">
            <w:pPr>
              <w:rPr>
                <w:rFonts w:ascii="Times New Roman" w:hAnsi="Times New Roman" w:cs="Times New Roman"/>
                <w:sz w:val="20"/>
                <w:szCs w:val="20"/>
              </w:rPr>
            </w:pPr>
            <w:r w:rsidRPr="0094555B">
              <w:rPr>
                <w:rFonts w:ascii="Times New Roman" w:hAnsi="Times New Roman" w:cs="Times New Roman"/>
                <w:sz w:val="20"/>
                <w:szCs w:val="20"/>
              </w:rPr>
              <w:t xml:space="preserve">General and Operations </w:t>
            </w:r>
            <w:proofErr w:type="spellStart"/>
            <w:r w:rsidRPr="0094555B">
              <w:rPr>
                <w:rFonts w:ascii="Times New Roman" w:hAnsi="Times New Roman" w:cs="Times New Roman"/>
                <w:sz w:val="20"/>
                <w:szCs w:val="20"/>
              </w:rPr>
              <w:t>Mgr</w:t>
            </w:r>
            <w:proofErr w:type="spellEnd"/>
          </w:p>
        </w:tc>
        <w:tc>
          <w:tcPr>
            <w:tcW w:w="19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94555B" w:rsidR="005911C9" w:rsidP="005911C9" w:rsidRDefault="005911C9" w14:paraId="4A1ABC58" w14:textId="77777777">
            <w:pPr>
              <w:jc w:val="center"/>
              <w:rPr>
                <w:rFonts w:ascii="Times New Roman" w:hAnsi="Times New Roman" w:cs="Times New Roman"/>
                <w:sz w:val="20"/>
                <w:szCs w:val="20"/>
              </w:rPr>
            </w:pPr>
            <w:r w:rsidRPr="0094555B">
              <w:rPr>
                <w:rFonts w:ascii="Times New Roman" w:hAnsi="Times New Roman" w:cs="Times New Roman"/>
                <w:sz w:val="20"/>
                <w:szCs w:val="20"/>
              </w:rPr>
              <w:t>11-1021</w:t>
            </w:r>
          </w:p>
        </w:tc>
        <w:tc>
          <w:tcPr>
            <w:tcW w:w="19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94555B" w:rsidR="005911C9" w:rsidP="005911C9" w:rsidRDefault="005911C9" w14:paraId="7EB853DB" w14:textId="0EB76E52">
            <w:pPr>
              <w:jc w:val="center"/>
              <w:rPr>
                <w:rFonts w:ascii="Times New Roman" w:hAnsi="Times New Roman" w:cs="Times New Roman"/>
                <w:sz w:val="20"/>
                <w:szCs w:val="20"/>
              </w:rPr>
            </w:pPr>
            <w:r>
              <w:rPr>
                <w:rFonts w:ascii="Times New Roman" w:hAnsi="Times New Roman" w:cs="Times New Roman"/>
                <w:sz w:val="20"/>
                <w:szCs w:val="20"/>
              </w:rPr>
              <w:t>60.45</w:t>
            </w:r>
          </w:p>
        </w:tc>
        <w:tc>
          <w:tcPr>
            <w:tcW w:w="19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94555B" w:rsidR="005911C9" w:rsidP="005911C9" w:rsidRDefault="005911C9" w14:paraId="0075FB3D" w14:textId="2E0FE807">
            <w:pPr>
              <w:jc w:val="center"/>
              <w:rPr>
                <w:rFonts w:ascii="Times New Roman" w:hAnsi="Times New Roman" w:cs="Times New Roman"/>
                <w:sz w:val="20"/>
                <w:szCs w:val="20"/>
              </w:rPr>
            </w:pPr>
            <w:r>
              <w:rPr>
                <w:rFonts w:ascii="Times New Roman" w:hAnsi="Times New Roman" w:cs="Times New Roman"/>
                <w:sz w:val="20"/>
                <w:szCs w:val="20"/>
              </w:rPr>
              <w:t>60.45</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94555B" w:rsidR="005911C9" w:rsidP="005911C9" w:rsidRDefault="001E5AD4" w14:paraId="4933FE3E" w14:textId="33451CC6">
            <w:pPr>
              <w:jc w:val="center"/>
              <w:rPr>
                <w:rFonts w:ascii="Times New Roman" w:hAnsi="Times New Roman" w:cs="Times New Roman"/>
                <w:sz w:val="20"/>
                <w:szCs w:val="20"/>
              </w:rPr>
            </w:pPr>
            <w:r>
              <w:rPr>
                <w:rFonts w:ascii="Times New Roman" w:hAnsi="Times New Roman" w:cs="Times New Roman"/>
                <w:sz w:val="20"/>
                <w:szCs w:val="20"/>
              </w:rPr>
              <w:t>120.90</w:t>
            </w:r>
          </w:p>
        </w:tc>
      </w:tr>
      <w:tr w:rsidRPr="0094555B" w:rsidR="005911C9" w:rsidTr="005911C9" w14:paraId="23C0226D" w14:textId="77777777">
        <w:trPr>
          <w:trHeight w:val="263"/>
          <w:jc w:val="center"/>
        </w:trPr>
        <w:tc>
          <w:tcPr>
            <w:tcW w:w="19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94555B" w:rsidR="005911C9" w:rsidP="005911C9" w:rsidRDefault="005911C9" w14:paraId="5C2B7C26" w14:textId="576A44CF">
            <w:pPr>
              <w:rPr>
                <w:rFonts w:ascii="Times New Roman" w:hAnsi="Times New Roman" w:cs="Times New Roman"/>
                <w:sz w:val="20"/>
                <w:szCs w:val="20"/>
              </w:rPr>
            </w:pPr>
            <w:r w:rsidRPr="0094555B">
              <w:rPr>
                <w:rFonts w:ascii="Times New Roman" w:hAnsi="Times New Roman" w:cs="Times New Roman"/>
                <w:sz w:val="20"/>
                <w:szCs w:val="20"/>
              </w:rPr>
              <w:t>Healthcare Social worker</w:t>
            </w:r>
          </w:p>
        </w:tc>
        <w:tc>
          <w:tcPr>
            <w:tcW w:w="19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94555B" w:rsidR="005911C9" w:rsidP="005911C9" w:rsidRDefault="005911C9" w14:paraId="0B46A0CA" w14:textId="569EDA1D">
            <w:pPr>
              <w:jc w:val="center"/>
              <w:rPr>
                <w:rFonts w:ascii="Times New Roman" w:hAnsi="Times New Roman" w:cs="Times New Roman"/>
                <w:sz w:val="20"/>
                <w:szCs w:val="20"/>
              </w:rPr>
            </w:pPr>
            <w:r w:rsidRPr="0094555B">
              <w:rPr>
                <w:rFonts w:ascii="Times New Roman" w:hAnsi="Times New Roman" w:cs="Times New Roman"/>
                <w:sz w:val="20"/>
                <w:szCs w:val="20"/>
              </w:rPr>
              <w:t>21-1022</w:t>
            </w:r>
          </w:p>
        </w:tc>
        <w:tc>
          <w:tcPr>
            <w:tcW w:w="19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4555B" w:rsidR="005911C9" w:rsidP="005911C9" w:rsidRDefault="005911C9" w14:paraId="2F9316D6" w14:textId="7D6DB5A9">
            <w:pPr>
              <w:jc w:val="center"/>
              <w:rPr>
                <w:rFonts w:ascii="Times New Roman" w:hAnsi="Times New Roman" w:cs="Times New Roman"/>
              </w:rPr>
            </w:pPr>
            <w:r>
              <w:rPr>
                <w:rFonts w:ascii="Times New Roman" w:hAnsi="Times New Roman" w:cs="Times New Roman"/>
              </w:rPr>
              <w:t>29.07</w:t>
            </w:r>
          </w:p>
        </w:tc>
        <w:tc>
          <w:tcPr>
            <w:tcW w:w="19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4555B" w:rsidR="005911C9" w:rsidP="005911C9" w:rsidRDefault="005911C9" w14:paraId="38DFE516" w14:textId="74DF1D83">
            <w:pPr>
              <w:jc w:val="center"/>
              <w:rPr>
                <w:rFonts w:ascii="Times New Roman" w:hAnsi="Times New Roman" w:cs="Times New Roman"/>
                <w:sz w:val="20"/>
                <w:szCs w:val="20"/>
              </w:rPr>
            </w:pPr>
            <w:r>
              <w:rPr>
                <w:rFonts w:ascii="Times New Roman" w:hAnsi="Times New Roman" w:cs="Times New Roman"/>
              </w:rPr>
              <w:t>29.07</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94555B" w:rsidR="005911C9" w:rsidP="005911C9" w:rsidRDefault="001E5AD4" w14:paraId="00645291" w14:textId="2E7C1404">
            <w:pPr>
              <w:jc w:val="center"/>
              <w:rPr>
                <w:rFonts w:ascii="Times New Roman" w:hAnsi="Times New Roman" w:cs="Times New Roman"/>
                <w:sz w:val="20"/>
                <w:szCs w:val="20"/>
              </w:rPr>
            </w:pPr>
            <w:r>
              <w:rPr>
                <w:rFonts w:ascii="Times New Roman" w:hAnsi="Times New Roman" w:cs="Times New Roman"/>
                <w:sz w:val="20"/>
                <w:szCs w:val="20"/>
              </w:rPr>
              <w:t>58.14</w:t>
            </w:r>
          </w:p>
        </w:tc>
      </w:tr>
      <w:tr w:rsidRPr="0094555B" w:rsidR="005911C9" w:rsidTr="005911C9" w14:paraId="77B8EE12" w14:textId="77777777">
        <w:trPr>
          <w:trHeight w:val="263"/>
          <w:jc w:val="center"/>
        </w:trPr>
        <w:tc>
          <w:tcPr>
            <w:tcW w:w="19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94555B" w:rsidR="005911C9" w:rsidP="005911C9" w:rsidRDefault="005911C9" w14:paraId="4FC9C736" w14:textId="77777777">
            <w:pPr>
              <w:rPr>
                <w:rFonts w:ascii="Times New Roman" w:hAnsi="Times New Roman" w:cs="Times New Roman"/>
                <w:sz w:val="20"/>
                <w:szCs w:val="20"/>
              </w:rPr>
            </w:pPr>
            <w:r w:rsidRPr="0094555B">
              <w:rPr>
                <w:rFonts w:ascii="Times New Roman" w:hAnsi="Times New Roman" w:cs="Times New Roman"/>
                <w:sz w:val="20"/>
                <w:szCs w:val="20"/>
              </w:rPr>
              <w:t>Mail Clerk</w:t>
            </w:r>
          </w:p>
        </w:tc>
        <w:tc>
          <w:tcPr>
            <w:tcW w:w="19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94555B" w:rsidR="005911C9" w:rsidP="005911C9" w:rsidRDefault="005911C9" w14:paraId="0AEC3E42" w14:textId="77777777">
            <w:pPr>
              <w:jc w:val="center"/>
              <w:rPr>
                <w:rFonts w:ascii="Times New Roman" w:hAnsi="Times New Roman" w:cs="Times New Roman"/>
                <w:sz w:val="20"/>
                <w:szCs w:val="20"/>
              </w:rPr>
            </w:pPr>
            <w:r w:rsidRPr="0094555B">
              <w:rPr>
                <w:rFonts w:ascii="Times New Roman" w:hAnsi="Times New Roman" w:cs="Times New Roman"/>
                <w:sz w:val="20"/>
                <w:szCs w:val="20"/>
              </w:rPr>
              <w:t>43-9051</w:t>
            </w:r>
          </w:p>
        </w:tc>
        <w:tc>
          <w:tcPr>
            <w:tcW w:w="19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5911C9" w:rsidR="005911C9" w:rsidP="005911C9" w:rsidRDefault="005911C9" w14:paraId="241D2313" w14:textId="6918A6CE">
            <w:pPr>
              <w:jc w:val="center"/>
              <w:rPr>
                <w:rFonts w:ascii="Times New Roman" w:hAnsi="Times New Roman" w:cs="Times New Roman"/>
                <w:sz w:val="20"/>
                <w:szCs w:val="20"/>
              </w:rPr>
            </w:pPr>
            <w:r w:rsidRPr="005911C9">
              <w:rPr>
                <w:rFonts w:ascii="Times New Roman" w:hAnsi="Times New Roman" w:cs="Times New Roman"/>
              </w:rPr>
              <w:t>16.20</w:t>
            </w:r>
          </w:p>
        </w:tc>
        <w:tc>
          <w:tcPr>
            <w:tcW w:w="19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5911C9" w:rsidR="005911C9" w:rsidP="005911C9" w:rsidRDefault="005911C9" w14:paraId="0CD7531E" w14:textId="71C4265E">
            <w:pPr>
              <w:jc w:val="center"/>
              <w:rPr>
                <w:rFonts w:ascii="Times New Roman" w:hAnsi="Times New Roman" w:cs="Times New Roman"/>
                <w:sz w:val="20"/>
                <w:szCs w:val="20"/>
              </w:rPr>
            </w:pPr>
            <w:r w:rsidRPr="005911C9">
              <w:rPr>
                <w:rFonts w:ascii="Times New Roman" w:hAnsi="Times New Roman" w:cs="Times New Roman"/>
              </w:rPr>
              <w:t>16.20</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94555B" w:rsidR="005911C9" w:rsidP="005911C9" w:rsidRDefault="001E5AD4" w14:paraId="3B9C56C1" w14:textId="0D00D5D1">
            <w:pPr>
              <w:jc w:val="center"/>
              <w:rPr>
                <w:rFonts w:ascii="Times New Roman" w:hAnsi="Times New Roman" w:cs="Times New Roman"/>
                <w:sz w:val="20"/>
                <w:szCs w:val="20"/>
              </w:rPr>
            </w:pPr>
            <w:r>
              <w:rPr>
                <w:rFonts w:ascii="Times New Roman" w:hAnsi="Times New Roman" w:cs="Times New Roman"/>
                <w:sz w:val="20"/>
                <w:szCs w:val="20"/>
              </w:rPr>
              <w:t>32.40</w:t>
            </w:r>
          </w:p>
        </w:tc>
      </w:tr>
      <w:tr w:rsidRPr="0094555B" w:rsidR="005911C9" w:rsidTr="005911C9" w14:paraId="57752CB6" w14:textId="77777777">
        <w:trPr>
          <w:trHeight w:val="413"/>
          <w:jc w:val="center"/>
        </w:trPr>
        <w:tc>
          <w:tcPr>
            <w:tcW w:w="19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94555B" w:rsidR="005911C9" w:rsidP="005911C9" w:rsidRDefault="005911C9" w14:paraId="0C921F14" w14:textId="77777777">
            <w:pPr>
              <w:rPr>
                <w:rFonts w:ascii="Times New Roman" w:hAnsi="Times New Roman" w:cs="Times New Roman"/>
                <w:sz w:val="20"/>
                <w:szCs w:val="20"/>
              </w:rPr>
            </w:pPr>
            <w:r w:rsidRPr="0094555B">
              <w:rPr>
                <w:rFonts w:ascii="Times New Roman" w:hAnsi="Times New Roman" w:cs="Times New Roman"/>
                <w:sz w:val="20"/>
                <w:szCs w:val="20"/>
              </w:rPr>
              <w:t>Office and Administrative Support Worker</w:t>
            </w:r>
          </w:p>
        </w:tc>
        <w:tc>
          <w:tcPr>
            <w:tcW w:w="19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94555B" w:rsidR="005911C9" w:rsidP="005911C9" w:rsidRDefault="005911C9" w14:paraId="5CBF0387" w14:textId="77777777">
            <w:pPr>
              <w:jc w:val="center"/>
              <w:rPr>
                <w:rFonts w:ascii="Times New Roman" w:hAnsi="Times New Roman" w:cs="Times New Roman"/>
                <w:sz w:val="20"/>
                <w:szCs w:val="20"/>
              </w:rPr>
            </w:pPr>
            <w:r w:rsidRPr="0094555B">
              <w:rPr>
                <w:rFonts w:ascii="Times New Roman" w:hAnsi="Times New Roman" w:cs="Times New Roman"/>
                <w:sz w:val="20"/>
                <w:szCs w:val="20"/>
              </w:rPr>
              <w:t>43-9000</w:t>
            </w:r>
          </w:p>
        </w:tc>
        <w:tc>
          <w:tcPr>
            <w:tcW w:w="19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5911C9" w:rsidR="005911C9" w:rsidP="005911C9" w:rsidRDefault="005911C9" w14:paraId="26F733E7" w14:textId="74177B87">
            <w:pPr>
              <w:jc w:val="center"/>
              <w:rPr>
                <w:rFonts w:ascii="Times New Roman" w:hAnsi="Times New Roman" w:cs="Times New Roman"/>
                <w:sz w:val="20"/>
                <w:szCs w:val="20"/>
              </w:rPr>
            </w:pPr>
            <w:r w:rsidRPr="005911C9">
              <w:rPr>
                <w:rFonts w:ascii="Times New Roman" w:hAnsi="Times New Roman" w:cs="Times New Roman"/>
              </w:rPr>
              <w:t>18.41</w:t>
            </w:r>
          </w:p>
        </w:tc>
        <w:tc>
          <w:tcPr>
            <w:tcW w:w="19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5911C9" w:rsidR="005911C9" w:rsidP="005911C9" w:rsidRDefault="005911C9" w14:paraId="748EE0EF" w14:textId="43EAEA9F">
            <w:pPr>
              <w:jc w:val="center"/>
              <w:rPr>
                <w:rFonts w:ascii="Times New Roman" w:hAnsi="Times New Roman" w:cs="Times New Roman"/>
                <w:sz w:val="20"/>
                <w:szCs w:val="20"/>
              </w:rPr>
            </w:pPr>
            <w:r w:rsidRPr="005911C9">
              <w:rPr>
                <w:rFonts w:ascii="Times New Roman" w:hAnsi="Times New Roman" w:cs="Times New Roman"/>
              </w:rPr>
              <w:t>18.41</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94555B" w:rsidR="005911C9" w:rsidP="005911C9" w:rsidRDefault="001E5AD4" w14:paraId="28581D9F" w14:textId="2637A3EA">
            <w:pPr>
              <w:jc w:val="center"/>
              <w:rPr>
                <w:rFonts w:ascii="Times New Roman" w:hAnsi="Times New Roman" w:cs="Times New Roman"/>
                <w:sz w:val="20"/>
                <w:szCs w:val="20"/>
              </w:rPr>
            </w:pPr>
            <w:r>
              <w:rPr>
                <w:rFonts w:ascii="Times New Roman" w:hAnsi="Times New Roman" w:cs="Times New Roman"/>
                <w:sz w:val="20"/>
                <w:szCs w:val="20"/>
              </w:rPr>
              <w:t>36.82</w:t>
            </w:r>
          </w:p>
        </w:tc>
      </w:tr>
      <w:tr w:rsidRPr="0094555B" w:rsidR="005911C9" w:rsidDel="00BD5FE9" w:rsidTr="005911C9" w14:paraId="11F168E6" w14:textId="77777777">
        <w:trPr>
          <w:trHeight w:val="367"/>
          <w:jc w:val="center"/>
        </w:trPr>
        <w:tc>
          <w:tcPr>
            <w:tcW w:w="19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94555B" w:rsidR="005911C9" w:rsidDel="00BD5FE9" w:rsidP="005911C9" w:rsidRDefault="005911C9" w14:paraId="454114B0" w14:textId="77777777">
            <w:pPr>
              <w:rPr>
                <w:rFonts w:ascii="Times New Roman" w:hAnsi="Times New Roman" w:cs="Times New Roman"/>
                <w:sz w:val="20"/>
                <w:szCs w:val="20"/>
              </w:rPr>
            </w:pPr>
            <w:r w:rsidRPr="0094555B" w:rsidDel="00BD5FE9">
              <w:rPr>
                <w:rFonts w:ascii="Times New Roman" w:hAnsi="Times New Roman" w:cs="Times New Roman"/>
                <w:sz w:val="20"/>
                <w:szCs w:val="20"/>
              </w:rPr>
              <w:t>Registered Nurse</w:t>
            </w:r>
          </w:p>
        </w:tc>
        <w:tc>
          <w:tcPr>
            <w:tcW w:w="19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94555B" w:rsidR="005911C9" w:rsidDel="00BD5FE9" w:rsidP="005911C9" w:rsidRDefault="005911C9" w14:paraId="6CC38438" w14:textId="77777777">
            <w:pPr>
              <w:jc w:val="center"/>
              <w:rPr>
                <w:rFonts w:ascii="Times New Roman" w:hAnsi="Times New Roman" w:cs="Times New Roman"/>
                <w:sz w:val="20"/>
                <w:szCs w:val="20"/>
              </w:rPr>
            </w:pPr>
            <w:r w:rsidRPr="0094555B" w:rsidDel="00BD5FE9">
              <w:rPr>
                <w:rFonts w:ascii="Times New Roman" w:hAnsi="Times New Roman" w:cs="Times New Roman"/>
                <w:sz w:val="20"/>
                <w:szCs w:val="20"/>
              </w:rPr>
              <w:t>29-1141</w:t>
            </w:r>
          </w:p>
        </w:tc>
        <w:tc>
          <w:tcPr>
            <w:tcW w:w="19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5911C9" w:rsidR="005911C9" w:rsidDel="00BD5FE9" w:rsidP="005911C9" w:rsidRDefault="005911C9" w14:paraId="23B441D8" w14:textId="3F980CCB">
            <w:pPr>
              <w:jc w:val="center"/>
              <w:rPr>
                <w:rFonts w:ascii="Times New Roman" w:hAnsi="Times New Roman" w:cs="Times New Roman"/>
                <w:sz w:val="20"/>
                <w:szCs w:val="20"/>
              </w:rPr>
            </w:pPr>
            <w:r w:rsidRPr="005911C9">
              <w:rPr>
                <w:rFonts w:ascii="Times New Roman" w:hAnsi="Times New Roman" w:cs="Times New Roman"/>
              </w:rPr>
              <w:t>38.47</w:t>
            </w:r>
          </w:p>
        </w:tc>
        <w:tc>
          <w:tcPr>
            <w:tcW w:w="19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5911C9" w:rsidR="005911C9" w:rsidDel="00BD5FE9" w:rsidP="005911C9" w:rsidRDefault="005911C9" w14:paraId="554ECBB7" w14:textId="472F97D8">
            <w:pPr>
              <w:jc w:val="center"/>
              <w:rPr>
                <w:rFonts w:ascii="Times New Roman" w:hAnsi="Times New Roman" w:cs="Times New Roman"/>
                <w:sz w:val="20"/>
                <w:szCs w:val="20"/>
              </w:rPr>
            </w:pPr>
            <w:r w:rsidRPr="005911C9">
              <w:rPr>
                <w:rFonts w:ascii="Times New Roman" w:hAnsi="Times New Roman" w:cs="Times New Roman"/>
              </w:rPr>
              <w:t>38.47</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94555B" w:rsidR="005911C9" w:rsidDel="00BD5FE9" w:rsidP="005911C9" w:rsidRDefault="001E5AD4" w14:paraId="4AEA19ED" w14:textId="07E119FB">
            <w:pPr>
              <w:jc w:val="center"/>
              <w:rPr>
                <w:rFonts w:ascii="Times New Roman" w:hAnsi="Times New Roman" w:cs="Times New Roman"/>
                <w:sz w:val="20"/>
                <w:szCs w:val="20"/>
              </w:rPr>
            </w:pPr>
            <w:r>
              <w:rPr>
                <w:rFonts w:ascii="Times New Roman" w:hAnsi="Times New Roman" w:cs="Times New Roman"/>
                <w:sz w:val="20"/>
                <w:szCs w:val="20"/>
              </w:rPr>
              <w:t>76.94</w:t>
            </w:r>
          </w:p>
        </w:tc>
      </w:tr>
      <w:bookmarkEnd w:id="48"/>
    </w:tbl>
    <w:p w:rsidRPr="0094555B" w:rsidR="00624B15" w:rsidP="0094555B" w:rsidRDefault="00624B15" w14:paraId="75520430" w14:textId="77777777">
      <w:pPr>
        <w:rPr>
          <w:rFonts w:ascii="Times New Roman" w:hAnsi="Times New Roman" w:cs="Times New Roman"/>
          <w:sz w:val="24"/>
          <w:szCs w:val="24"/>
        </w:rPr>
      </w:pPr>
    </w:p>
    <w:p w:rsidRPr="0094555B" w:rsidR="00624B15" w:rsidP="0094555B" w:rsidRDefault="00624B15" w14:paraId="66778DF6" w14:textId="60E589BC">
      <w:pPr>
        <w:rPr>
          <w:rFonts w:ascii="Times New Roman" w:hAnsi="Times New Roman" w:cs="Times New Roman"/>
          <w:sz w:val="24"/>
          <w:szCs w:val="24"/>
        </w:rPr>
      </w:pPr>
      <w:r w:rsidRPr="0094555B">
        <w:rPr>
          <w:rFonts w:ascii="Times New Roman" w:hAnsi="Times New Roman" w:cs="Times New Roman"/>
          <w:sz w:val="24"/>
          <w:szCs w:val="24"/>
        </w:rPr>
        <w:t>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we believe that doubling the hourly wage to estimate total cost is a reasonably accurate estimation method.</w:t>
      </w:r>
    </w:p>
    <w:p w:rsidRPr="00330E04" w:rsidR="00FC2882" w:rsidP="0094555B" w:rsidRDefault="00D73B4F" w14:paraId="138DFF32" w14:textId="60E1EBCE">
      <w:pPr>
        <w:pStyle w:val="Heading4"/>
        <w:numPr>
          <w:ilvl w:val="1"/>
          <w:numId w:val="2"/>
        </w:numPr>
        <w:rPr>
          <w:rFonts w:ascii="Times New Roman" w:hAnsi="Times New Roman" w:cs="Times New Roman"/>
          <w:i w:val="0"/>
          <w:color w:val="auto"/>
          <w:sz w:val="24"/>
          <w:szCs w:val="24"/>
        </w:rPr>
      </w:pPr>
      <w:bookmarkStart w:name="_Toc528571501" w:id="49"/>
      <w:bookmarkStart w:name="_Toc528571595" w:id="50"/>
      <w:r w:rsidRPr="00330E04">
        <w:rPr>
          <w:rStyle w:val="Heading4Char"/>
          <w:rFonts w:ascii="Times New Roman" w:hAnsi="Times New Roman" w:cs="Times New Roman"/>
          <w:i/>
          <w:color w:val="auto"/>
          <w:sz w:val="24"/>
          <w:szCs w:val="24"/>
        </w:rPr>
        <w:t xml:space="preserve">Collection of Information Requirements and Associated </w:t>
      </w:r>
      <w:r w:rsidRPr="00330E04" w:rsidR="00FC2882">
        <w:rPr>
          <w:rStyle w:val="Heading4Char"/>
          <w:rFonts w:ascii="Times New Roman" w:hAnsi="Times New Roman" w:cs="Times New Roman"/>
          <w:i/>
          <w:color w:val="auto"/>
          <w:sz w:val="24"/>
          <w:szCs w:val="24"/>
        </w:rPr>
        <w:t>Burden Estimates</w:t>
      </w:r>
      <w:r w:rsidRPr="00330E04" w:rsidR="00FC2882">
        <w:rPr>
          <w:rFonts w:ascii="Times New Roman" w:hAnsi="Times New Roman" w:cs="Times New Roman"/>
          <w:i w:val="0"/>
          <w:color w:val="auto"/>
          <w:sz w:val="24"/>
          <w:szCs w:val="24"/>
        </w:rPr>
        <w:t>:</w:t>
      </w:r>
      <w:bookmarkEnd w:id="49"/>
      <w:bookmarkEnd w:id="50"/>
    </w:p>
    <w:p w:rsidRPr="0094555B" w:rsidR="00860501" w:rsidP="0094555B" w:rsidRDefault="00860501" w14:paraId="34AD4705" w14:textId="77777777">
      <w:pPr>
        <w:ind w:left="360"/>
      </w:pPr>
    </w:p>
    <w:p w:rsidRPr="0094555B" w:rsidR="00624B15" w:rsidP="0094555B" w:rsidRDefault="00624B15" w14:paraId="40A9E015" w14:textId="3C777F15">
      <w:pPr>
        <w:rPr>
          <w:rFonts w:ascii="Times New Roman" w:hAnsi="Times New Roman" w:cs="Times New Roman"/>
          <w:iCs/>
          <w:sz w:val="24"/>
          <w:szCs w:val="24"/>
        </w:rPr>
      </w:pPr>
      <w:r w:rsidRPr="0094555B">
        <w:rPr>
          <w:rFonts w:ascii="Times New Roman" w:hAnsi="Times New Roman" w:cs="Times New Roman"/>
          <w:sz w:val="24"/>
          <w:szCs w:val="24"/>
          <w:u w:val="single"/>
        </w:rPr>
        <w:t>Section 438.3 Standard contract requirements</w:t>
      </w:r>
      <w:r w:rsidRPr="0094555B">
        <w:rPr>
          <w:rFonts w:ascii="Times New Roman" w:hAnsi="Times New Roman" w:cs="Times New Roman"/>
          <w:sz w:val="24"/>
          <w:szCs w:val="24"/>
        </w:rPr>
        <w:t xml:space="preserve"> </w:t>
      </w:r>
    </w:p>
    <w:p w:rsidRPr="0094555B" w:rsidR="00624B15" w:rsidP="0094555B" w:rsidRDefault="00624B15" w14:paraId="09475C66" w14:textId="6E9B4C0E">
      <w:pPr>
        <w:rPr>
          <w:rFonts w:ascii="Times New Roman" w:hAnsi="Times New Roman" w:cs="Times New Roman"/>
          <w:b/>
          <w:iCs/>
          <w:sz w:val="24"/>
          <w:szCs w:val="24"/>
        </w:rPr>
      </w:pPr>
      <w:r w:rsidRPr="0094555B">
        <w:rPr>
          <w:rFonts w:ascii="Times New Roman" w:hAnsi="Times New Roman" w:cs="Times New Roman"/>
          <w:iCs/>
          <w:sz w:val="24"/>
          <w:szCs w:val="24"/>
        </w:rPr>
        <w:t>Section 438.3(j) advance directives was previously designated as 438.6(i)(3).  This paragraph requires that MCOs, PIHPs, and certain PAHPs provide adult enrollees with written information on advance directives policies and include a description of applicable State law.  Any burden associated with this requirement is the time it takes to furnish the information to enrollees; however, it is included in the overall burden arising from the Information Requirements in §438.10.</w:t>
      </w:r>
    </w:p>
    <w:p w:rsidRPr="0094555B" w:rsidR="00F95323" w:rsidP="0094555B" w:rsidRDefault="00624B15" w14:paraId="660DD4BB" w14:textId="1E297196">
      <w:pPr>
        <w:pStyle w:val="BodyText"/>
      </w:pPr>
      <w:r w:rsidRPr="0094555B">
        <w:rPr>
          <w:rFonts w:ascii="Times New Roman" w:hAnsi="Times New Roman" w:cs="Times New Roman"/>
          <w:iCs/>
          <w:sz w:val="24"/>
          <w:szCs w:val="24"/>
        </w:rPr>
        <w:lastRenderedPageBreak/>
        <w:t>Section 438.3(t) require</w:t>
      </w:r>
      <w:r w:rsidRPr="0094555B" w:rsidR="00F47995">
        <w:rPr>
          <w:rFonts w:ascii="Times New Roman" w:hAnsi="Times New Roman" w:cs="Times New Roman"/>
          <w:iCs/>
          <w:sz w:val="24"/>
          <w:szCs w:val="24"/>
        </w:rPr>
        <w:t>d</w:t>
      </w:r>
      <w:r w:rsidRPr="0094555B">
        <w:rPr>
          <w:rFonts w:ascii="Times New Roman" w:hAnsi="Times New Roman" w:cs="Times New Roman"/>
          <w:iCs/>
          <w:sz w:val="24"/>
          <w:szCs w:val="24"/>
        </w:rPr>
        <w:t xml:space="preserve"> states to require their managed care plans to enter into a Medicare Coordination of Benefits Agreement.   </w:t>
      </w:r>
      <w:r w:rsidRPr="0094555B" w:rsidR="00F47995">
        <w:rPr>
          <w:rFonts w:ascii="Times New Roman" w:hAnsi="Times New Roman" w:cs="Times New Roman"/>
          <w:iCs/>
          <w:sz w:val="24"/>
          <w:szCs w:val="24"/>
        </w:rPr>
        <w:t xml:space="preserve">Finalized </w:t>
      </w:r>
      <w:r w:rsidRPr="0094555B">
        <w:rPr>
          <w:rFonts w:ascii="Times New Roman" w:hAnsi="Times New Roman" w:cs="Times New Roman"/>
          <w:iCs/>
          <w:sz w:val="24"/>
          <w:szCs w:val="24"/>
        </w:rPr>
        <w:t xml:space="preserve">amendments to §438.3(t) permit states to choose between requiring their MCOs, PIHPs, and PAHPs to sign a COBA with Medicare, or requiring an alternative method for ensuring that each MCO, PIHP, or PAHP receives all appropriate crossover claims. If the state elects to use a methodology other than requiring the MCO, PIHP, or PAHP to enter into a COBA with Medicare, that methodology must ensure that the submitting provider is promptly informed on the state’s remittance advice that the claim has been sent to the MCO, PIHP, or PAHP for payment consideration.  We estimate it would take 1 hour for a programmer to implement the message on the remittance advice.  If </w:t>
      </w:r>
      <w:r w:rsidRPr="0094555B" w:rsidR="0050258C">
        <w:rPr>
          <w:rFonts w:ascii="Times New Roman" w:hAnsi="Times New Roman" w:cs="Times New Roman"/>
          <w:iCs/>
          <w:sz w:val="24"/>
          <w:szCs w:val="24"/>
        </w:rPr>
        <w:t>5</w:t>
      </w:r>
      <w:r w:rsidRPr="0094555B">
        <w:rPr>
          <w:rFonts w:ascii="Times New Roman" w:hAnsi="Times New Roman" w:cs="Times New Roman"/>
          <w:iCs/>
          <w:sz w:val="24"/>
          <w:szCs w:val="24"/>
        </w:rPr>
        <w:t xml:space="preserve"> states elect to </w:t>
      </w:r>
      <w:r w:rsidRPr="0094555B" w:rsidR="0050258C">
        <w:rPr>
          <w:rFonts w:ascii="Times New Roman" w:hAnsi="Times New Roman" w:cs="Times New Roman"/>
          <w:iCs/>
          <w:sz w:val="24"/>
          <w:szCs w:val="24"/>
        </w:rPr>
        <w:t>use</w:t>
      </w:r>
      <w:r w:rsidRPr="0094555B">
        <w:rPr>
          <w:rFonts w:ascii="Times New Roman" w:hAnsi="Times New Roman" w:cs="Times New Roman"/>
          <w:iCs/>
          <w:sz w:val="24"/>
          <w:szCs w:val="24"/>
        </w:rPr>
        <w:t xml:space="preserve"> an alternative method, we estimate an aggregate one-time state burden of </w:t>
      </w:r>
      <w:r w:rsidRPr="0094555B" w:rsidR="002437B9">
        <w:rPr>
          <w:rFonts w:ascii="Times New Roman" w:hAnsi="Times New Roman" w:cs="Times New Roman"/>
          <w:iCs/>
          <w:sz w:val="24"/>
          <w:szCs w:val="24"/>
        </w:rPr>
        <w:t>5</w:t>
      </w:r>
      <w:r w:rsidRPr="0094555B">
        <w:rPr>
          <w:rFonts w:ascii="Times New Roman" w:hAnsi="Times New Roman" w:cs="Times New Roman"/>
          <w:iCs/>
          <w:sz w:val="24"/>
          <w:szCs w:val="24"/>
        </w:rPr>
        <w:t xml:space="preserve"> </w:t>
      </w:r>
      <w:proofErr w:type="spellStart"/>
      <w:r w:rsidRPr="0094555B">
        <w:rPr>
          <w:rFonts w:ascii="Times New Roman" w:hAnsi="Times New Roman" w:cs="Times New Roman"/>
          <w:iCs/>
          <w:sz w:val="24"/>
          <w:szCs w:val="24"/>
        </w:rPr>
        <w:t>hr</w:t>
      </w:r>
      <w:proofErr w:type="spellEnd"/>
      <w:r w:rsidRPr="0094555B">
        <w:rPr>
          <w:rFonts w:ascii="Times New Roman" w:hAnsi="Times New Roman" w:cs="Times New Roman"/>
          <w:iCs/>
          <w:sz w:val="24"/>
          <w:szCs w:val="24"/>
        </w:rPr>
        <w:t xml:space="preserve"> (</w:t>
      </w:r>
      <w:r w:rsidRPr="0094555B" w:rsidR="002437B9">
        <w:rPr>
          <w:rFonts w:ascii="Times New Roman" w:hAnsi="Times New Roman" w:cs="Times New Roman"/>
          <w:iCs/>
          <w:sz w:val="24"/>
          <w:szCs w:val="24"/>
        </w:rPr>
        <w:t>5</w:t>
      </w:r>
      <w:r w:rsidRPr="0094555B">
        <w:rPr>
          <w:rFonts w:ascii="Times New Roman" w:hAnsi="Times New Roman" w:cs="Times New Roman"/>
          <w:iCs/>
          <w:sz w:val="24"/>
          <w:szCs w:val="24"/>
        </w:rPr>
        <w:t xml:space="preserve"> states X 1 hour) and $</w:t>
      </w:r>
      <w:r w:rsidR="00BB2FE8">
        <w:rPr>
          <w:rFonts w:ascii="Times New Roman" w:hAnsi="Times New Roman" w:cs="Times New Roman"/>
          <w:iCs/>
          <w:sz w:val="24"/>
          <w:szCs w:val="24"/>
        </w:rPr>
        <w:t>529</w:t>
      </w:r>
      <w:r w:rsidRPr="0094555B" w:rsidR="00BB2FE8">
        <w:rPr>
          <w:rFonts w:ascii="Times New Roman" w:hAnsi="Times New Roman" w:cs="Times New Roman"/>
          <w:iCs/>
          <w:sz w:val="24"/>
          <w:szCs w:val="24"/>
        </w:rPr>
        <w:t xml:space="preserve"> </w:t>
      </w:r>
      <w:r w:rsidRPr="0094555B">
        <w:rPr>
          <w:rFonts w:ascii="Times New Roman" w:hAnsi="Times New Roman" w:cs="Times New Roman"/>
          <w:iCs/>
          <w:sz w:val="24"/>
          <w:szCs w:val="24"/>
        </w:rPr>
        <w:t>(</w:t>
      </w:r>
      <w:r w:rsidRPr="0094555B" w:rsidR="002437B9">
        <w:rPr>
          <w:rFonts w:ascii="Times New Roman" w:hAnsi="Times New Roman" w:cs="Times New Roman"/>
          <w:iCs/>
          <w:sz w:val="24"/>
          <w:szCs w:val="24"/>
        </w:rPr>
        <w:t>5</w:t>
      </w:r>
      <w:r w:rsidRPr="0094555B">
        <w:rPr>
          <w:rFonts w:ascii="Times New Roman" w:hAnsi="Times New Roman" w:cs="Times New Roman"/>
          <w:iCs/>
          <w:sz w:val="24"/>
          <w:szCs w:val="24"/>
        </w:rPr>
        <w:t xml:space="preserve"> </w:t>
      </w:r>
      <w:proofErr w:type="spellStart"/>
      <w:r w:rsidRPr="0094555B">
        <w:rPr>
          <w:rFonts w:ascii="Times New Roman" w:hAnsi="Times New Roman" w:cs="Times New Roman"/>
          <w:iCs/>
          <w:sz w:val="24"/>
          <w:szCs w:val="24"/>
        </w:rPr>
        <w:t>hr</w:t>
      </w:r>
      <w:proofErr w:type="spellEnd"/>
      <w:r w:rsidRPr="0094555B">
        <w:rPr>
          <w:rFonts w:ascii="Times New Roman" w:hAnsi="Times New Roman" w:cs="Times New Roman"/>
          <w:iCs/>
          <w:sz w:val="24"/>
          <w:szCs w:val="24"/>
        </w:rPr>
        <w:t xml:space="preserve"> X $</w:t>
      </w:r>
      <w:r w:rsidRPr="0094555B" w:rsidR="00B55D15">
        <w:rPr>
          <w:rFonts w:ascii="Times New Roman" w:hAnsi="Times New Roman" w:cs="Times New Roman"/>
          <w:iCs/>
          <w:sz w:val="24"/>
          <w:szCs w:val="24"/>
        </w:rPr>
        <w:t>1</w:t>
      </w:r>
      <w:r w:rsidR="00DD7D58">
        <w:rPr>
          <w:rFonts w:ascii="Times New Roman" w:hAnsi="Times New Roman" w:cs="Times New Roman"/>
          <w:iCs/>
          <w:sz w:val="24"/>
          <w:szCs w:val="24"/>
        </w:rPr>
        <w:t>05.72</w:t>
      </w:r>
      <w:r w:rsidRPr="0094555B" w:rsidR="00672257">
        <w:rPr>
          <w:rFonts w:ascii="Times New Roman" w:hAnsi="Times New Roman" w:cs="Times New Roman"/>
          <w:iCs/>
          <w:sz w:val="24"/>
          <w:szCs w:val="24"/>
        </w:rPr>
        <w:t>/</w:t>
      </w:r>
      <w:proofErr w:type="spellStart"/>
      <w:r w:rsidRPr="0094555B" w:rsidR="00672257">
        <w:rPr>
          <w:rFonts w:ascii="Times New Roman" w:hAnsi="Times New Roman" w:cs="Times New Roman"/>
          <w:iCs/>
          <w:sz w:val="24"/>
          <w:szCs w:val="24"/>
        </w:rPr>
        <w:t>hr</w:t>
      </w:r>
      <w:proofErr w:type="spellEnd"/>
      <w:r w:rsidRPr="0094555B">
        <w:rPr>
          <w:rFonts w:ascii="Times New Roman" w:hAnsi="Times New Roman" w:cs="Times New Roman"/>
          <w:iCs/>
          <w:sz w:val="24"/>
          <w:szCs w:val="24"/>
        </w:rPr>
        <w:t xml:space="preserve"> for a computer programmer).  As this would be a one-time expense, we annualize this amount to </w:t>
      </w:r>
      <w:r w:rsidRPr="0094555B" w:rsidR="00454038">
        <w:rPr>
          <w:rFonts w:ascii="Times New Roman" w:hAnsi="Times New Roman" w:cs="Times New Roman"/>
          <w:b/>
          <w:iCs/>
          <w:sz w:val="24"/>
          <w:szCs w:val="24"/>
        </w:rPr>
        <w:t>1</w:t>
      </w:r>
      <w:r w:rsidRPr="0094555B">
        <w:rPr>
          <w:rFonts w:ascii="Times New Roman" w:hAnsi="Times New Roman" w:cs="Times New Roman"/>
          <w:b/>
          <w:iCs/>
          <w:sz w:val="24"/>
          <w:szCs w:val="24"/>
        </w:rPr>
        <w:t>.</w:t>
      </w:r>
      <w:r w:rsidRPr="0094555B" w:rsidR="00F30D9C">
        <w:rPr>
          <w:rFonts w:ascii="Times New Roman" w:hAnsi="Times New Roman" w:cs="Times New Roman"/>
          <w:b/>
          <w:iCs/>
          <w:sz w:val="24"/>
          <w:szCs w:val="24"/>
        </w:rPr>
        <w:t>667</w:t>
      </w:r>
      <w:r w:rsidRPr="0094555B">
        <w:rPr>
          <w:rFonts w:ascii="Times New Roman" w:hAnsi="Times New Roman" w:cs="Times New Roman"/>
          <w:b/>
          <w:iCs/>
          <w:sz w:val="24"/>
          <w:szCs w:val="24"/>
        </w:rPr>
        <w:t xml:space="preserve"> </w:t>
      </w:r>
      <w:proofErr w:type="spellStart"/>
      <w:r w:rsidRPr="0094555B">
        <w:rPr>
          <w:rFonts w:ascii="Times New Roman" w:hAnsi="Times New Roman" w:cs="Times New Roman"/>
          <w:b/>
          <w:iCs/>
          <w:sz w:val="24"/>
          <w:szCs w:val="24"/>
        </w:rPr>
        <w:t>hr</w:t>
      </w:r>
      <w:proofErr w:type="spellEnd"/>
      <w:r w:rsidRPr="0094555B">
        <w:rPr>
          <w:rFonts w:ascii="Times New Roman" w:hAnsi="Times New Roman" w:cs="Times New Roman"/>
          <w:iCs/>
          <w:sz w:val="24"/>
          <w:szCs w:val="24"/>
        </w:rPr>
        <w:t xml:space="preserve"> </w:t>
      </w:r>
      <w:r w:rsidRPr="0094555B" w:rsidR="00086016">
        <w:rPr>
          <w:rFonts w:ascii="Times New Roman" w:hAnsi="Times New Roman" w:cs="Times New Roman"/>
          <w:iCs/>
          <w:sz w:val="24"/>
          <w:szCs w:val="24"/>
        </w:rPr>
        <w:t xml:space="preserve">(5 </w:t>
      </w:r>
      <w:proofErr w:type="spellStart"/>
      <w:r w:rsidRPr="0094555B" w:rsidR="00086016">
        <w:rPr>
          <w:rFonts w:ascii="Times New Roman" w:hAnsi="Times New Roman" w:cs="Times New Roman"/>
          <w:iCs/>
          <w:sz w:val="24"/>
          <w:szCs w:val="24"/>
        </w:rPr>
        <w:t>hr</w:t>
      </w:r>
      <w:proofErr w:type="spellEnd"/>
      <w:r w:rsidRPr="0094555B" w:rsidR="00086016">
        <w:rPr>
          <w:rFonts w:ascii="Times New Roman" w:hAnsi="Times New Roman" w:cs="Times New Roman"/>
          <w:iCs/>
          <w:sz w:val="24"/>
          <w:szCs w:val="24"/>
        </w:rPr>
        <w:t xml:space="preserve">/3 </w:t>
      </w:r>
      <w:proofErr w:type="spellStart"/>
      <w:r w:rsidRPr="0094555B" w:rsidR="00086016">
        <w:rPr>
          <w:rFonts w:ascii="Times New Roman" w:hAnsi="Times New Roman" w:cs="Times New Roman"/>
          <w:iCs/>
          <w:sz w:val="24"/>
          <w:szCs w:val="24"/>
        </w:rPr>
        <w:t>yr</w:t>
      </w:r>
      <w:proofErr w:type="spellEnd"/>
      <w:r w:rsidRPr="0094555B" w:rsidR="00086016">
        <w:rPr>
          <w:rFonts w:ascii="Times New Roman" w:hAnsi="Times New Roman" w:cs="Times New Roman"/>
          <w:iCs/>
          <w:sz w:val="24"/>
          <w:szCs w:val="24"/>
        </w:rPr>
        <w:t xml:space="preserve">) </w:t>
      </w:r>
      <w:r w:rsidRPr="0094555B">
        <w:rPr>
          <w:rFonts w:ascii="Times New Roman" w:hAnsi="Times New Roman" w:cs="Times New Roman"/>
          <w:iCs/>
          <w:sz w:val="24"/>
          <w:szCs w:val="24"/>
        </w:rPr>
        <w:t xml:space="preserve">and </w:t>
      </w:r>
      <w:r w:rsidRPr="0094555B">
        <w:rPr>
          <w:rFonts w:ascii="Times New Roman" w:hAnsi="Times New Roman" w:cs="Times New Roman"/>
          <w:b/>
          <w:iCs/>
          <w:sz w:val="24"/>
          <w:szCs w:val="24"/>
        </w:rPr>
        <w:t>$</w:t>
      </w:r>
      <w:r w:rsidRPr="0094555B" w:rsidR="00454038">
        <w:rPr>
          <w:rFonts w:ascii="Times New Roman" w:hAnsi="Times New Roman" w:cs="Times New Roman"/>
          <w:b/>
          <w:iCs/>
          <w:sz w:val="24"/>
          <w:szCs w:val="24"/>
        </w:rPr>
        <w:t>17</w:t>
      </w:r>
      <w:r w:rsidR="00BB2FE8">
        <w:rPr>
          <w:rFonts w:ascii="Times New Roman" w:hAnsi="Times New Roman" w:cs="Times New Roman"/>
          <w:b/>
          <w:iCs/>
          <w:sz w:val="24"/>
          <w:szCs w:val="24"/>
        </w:rPr>
        <w:t>6</w:t>
      </w:r>
      <w:r w:rsidRPr="0094555B" w:rsidR="00086016">
        <w:rPr>
          <w:rFonts w:ascii="Times New Roman" w:hAnsi="Times New Roman" w:cs="Times New Roman"/>
          <w:iCs/>
          <w:sz w:val="24"/>
          <w:szCs w:val="24"/>
        </w:rPr>
        <w:t xml:space="preserve"> ($5</w:t>
      </w:r>
      <w:r w:rsidR="00BB2FE8">
        <w:rPr>
          <w:rFonts w:ascii="Times New Roman" w:hAnsi="Times New Roman" w:cs="Times New Roman"/>
          <w:iCs/>
          <w:sz w:val="24"/>
          <w:szCs w:val="24"/>
        </w:rPr>
        <w:t>29</w:t>
      </w:r>
      <w:r w:rsidRPr="0094555B" w:rsidR="00086016">
        <w:rPr>
          <w:rFonts w:ascii="Times New Roman" w:hAnsi="Times New Roman" w:cs="Times New Roman"/>
          <w:iCs/>
          <w:sz w:val="24"/>
          <w:szCs w:val="24"/>
        </w:rPr>
        <w:t xml:space="preserve">/3 </w:t>
      </w:r>
      <w:proofErr w:type="spellStart"/>
      <w:r w:rsidRPr="0094555B" w:rsidR="00086016">
        <w:rPr>
          <w:rFonts w:ascii="Times New Roman" w:hAnsi="Times New Roman" w:cs="Times New Roman"/>
          <w:iCs/>
          <w:sz w:val="24"/>
          <w:szCs w:val="24"/>
        </w:rPr>
        <w:t>yr</w:t>
      </w:r>
      <w:proofErr w:type="spellEnd"/>
      <w:r w:rsidRPr="0094555B" w:rsidR="00086016">
        <w:rPr>
          <w:rFonts w:ascii="Times New Roman" w:hAnsi="Times New Roman" w:cs="Times New Roman"/>
          <w:iCs/>
          <w:sz w:val="24"/>
          <w:szCs w:val="24"/>
        </w:rPr>
        <w:t>)</w:t>
      </w:r>
      <w:r w:rsidRPr="0094555B">
        <w:rPr>
          <w:rFonts w:ascii="Times New Roman" w:hAnsi="Times New Roman" w:cs="Times New Roman"/>
          <w:iCs/>
          <w:sz w:val="24"/>
          <w:szCs w:val="24"/>
        </w:rPr>
        <w:t xml:space="preserve">. </w:t>
      </w:r>
      <w:r w:rsidRPr="0094555B" w:rsidR="003D7973">
        <w:rPr>
          <w:rFonts w:ascii="Times New Roman" w:hAnsi="Times New Roman" w:cs="Times New Roman"/>
          <w:iCs/>
          <w:sz w:val="24"/>
          <w:szCs w:val="24"/>
        </w:rPr>
        <w:t>We are annualizing the one-time burden estimate since we do not anticipate any additional burden after the 3-year approval period expires.</w:t>
      </w:r>
      <w:r w:rsidRPr="0094555B" w:rsidDel="009A0E5D" w:rsidR="003D7973">
        <w:rPr>
          <w:rFonts w:ascii="Times New Roman" w:hAnsi="Times New Roman" w:cs="Times New Roman"/>
          <w:b/>
          <w:iCs/>
          <w:sz w:val="24"/>
          <w:szCs w:val="24"/>
        </w:rPr>
        <w:t xml:space="preserve"> </w:t>
      </w:r>
      <w:r w:rsidRPr="0094555B" w:rsidDel="009A0E5D">
        <w:rPr>
          <w:rFonts w:ascii="Times New Roman" w:hAnsi="Times New Roman" w:cs="Times New Roman"/>
          <w:b/>
          <w:iCs/>
          <w:sz w:val="24"/>
          <w:szCs w:val="24"/>
        </w:rPr>
        <w:t>(</w:t>
      </w:r>
      <w:r w:rsidRPr="0094555B" w:rsidR="00C80A27">
        <w:rPr>
          <w:rFonts w:ascii="Times New Roman" w:hAnsi="Times New Roman" w:cs="Times New Roman"/>
          <w:b/>
          <w:iCs/>
          <w:sz w:val="24"/>
          <w:szCs w:val="24"/>
        </w:rPr>
        <w:t>ESTIMATE</w:t>
      </w:r>
      <w:r w:rsidRPr="0094555B" w:rsidDel="009A0E5D">
        <w:rPr>
          <w:rFonts w:ascii="Times New Roman" w:hAnsi="Times New Roman" w:cs="Times New Roman"/>
          <w:b/>
          <w:iCs/>
          <w:sz w:val="24"/>
          <w:szCs w:val="24"/>
        </w:rPr>
        <w:t xml:space="preserve"> 12.1</w:t>
      </w:r>
      <w:r w:rsidRPr="0094555B" w:rsidR="00F95323">
        <w:rPr>
          <w:rFonts w:ascii="Times New Roman" w:hAnsi="Times New Roman" w:cs="Times New Roman"/>
          <w:b/>
          <w:iCs/>
          <w:sz w:val="24"/>
          <w:szCs w:val="24"/>
        </w:rPr>
        <w:t>d</w:t>
      </w:r>
      <w:r w:rsidRPr="0094555B" w:rsidDel="009A0E5D">
        <w:rPr>
          <w:rFonts w:ascii="Times New Roman" w:hAnsi="Times New Roman" w:cs="Times New Roman"/>
          <w:b/>
          <w:iCs/>
          <w:sz w:val="24"/>
          <w:szCs w:val="24"/>
        </w:rPr>
        <w:t>)</w:t>
      </w:r>
    </w:p>
    <w:p w:rsidRPr="0094555B" w:rsidR="0050258C" w:rsidP="0094555B" w:rsidRDefault="0050258C" w14:paraId="73005AF4" w14:textId="031844F3">
      <w:pPr>
        <w:pStyle w:val="BodyText"/>
        <w:rPr>
          <w:rFonts w:ascii="Times New Roman" w:hAnsi="Times New Roman" w:cs="Times New Roman"/>
          <w:sz w:val="24"/>
          <w:szCs w:val="24"/>
        </w:rPr>
      </w:pPr>
      <w:r w:rsidRPr="0094555B">
        <w:rPr>
          <w:rFonts w:ascii="Times New Roman" w:hAnsi="Times New Roman" w:cs="Times New Roman"/>
          <w:sz w:val="24"/>
          <w:szCs w:val="24"/>
        </w:rPr>
        <w:t xml:space="preserve">For the 5 states that elect to require that their plans obtain a COBA, in aggregate we estimate a one-time burden of 100 </w:t>
      </w:r>
      <w:proofErr w:type="spellStart"/>
      <w:r w:rsidRPr="0094555B">
        <w:rPr>
          <w:rFonts w:ascii="Times New Roman" w:hAnsi="Times New Roman" w:cs="Times New Roman"/>
          <w:sz w:val="24"/>
          <w:szCs w:val="24"/>
        </w:rPr>
        <w:t>h</w:t>
      </w:r>
      <w:r w:rsidRPr="0094555B" w:rsidR="00382B89">
        <w:rPr>
          <w:rFonts w:ascii="Times New Roman" w:hAnsi="Times New Roman" w:cs="Times New Roman"/>
          <w:sz w:val="24"/>
          <w:szCs w:val="24"/>
        </w:rPr>
        <w:t>r</w:t>
      </w:r>
      <w:proofErr w:type="spellEnd"/>
      <w:r w:rsidRPr="0094555B">
        <w:rPr>
          <w:rFonts w:ascii="Times New Roman" w:hAnsi="Times New Roman" w:cs="Times New Roman"/>
          <w:sz w:val="24"/>
          <w:szCs w:val="24"/>
        </w:rPr>
        <w:t xml:space="preserve"> (25 plans x 4 </w:t>
      </w:r>
      <w:proofErr w:type="spellStart"/>
      <w:r w:rsidRPr="0094555B">
        <w:rPr>
          <w:rFonts w:ascii="Times New Roman" w:hAnsi="Times New Roman" w:cs="Times New Roman"/>
          <w:sz w:val="24"/>
          <w:szCs w:val="24"/>
        </w:rPr>
        <w:t>hr</w:t>
      </w:r>
      <w:proofErr w:type="spellEnd"/>
      <w:r w:rsidRPr="0094555B">
        <w:rPr>
          <w:rFonts w:ascii="Times New Roman" w:hAnsi="Times New Roman" w:cs="Times New Roman"/>
          <w:sz w:val="24"/>
          <w:szCs w:val="24"/>
        </w:rPr>
        <w:t xml:space="preserve"> for a business operations specialist) at a cost of $</w:t>
      </w:r>
      <w:r w:rsidRPr="0094555B" w:rsidR="00B55D15">
        <w:rPr>
          <w:rFonts w:ascii="Times New Roman" w:hAnsi="Times New Roman" w:cs="Times New Roman"/>
          <w:sz w:val="24"/>
          <w:szCs w:val="24"/>
        </w:rPr>
        <w:t>7,</w:t>
      </w:r>
      <w:r w:rsidR="00D61009">
        <w:rPr>
          <w:rFonts w:ascii="Times New Roman" w:hAnsi="Times New Roman" w:cs="Times New Roman"/>
          <w:sz w:val="24"/>
          <w:szCs w:val="24"/>
        </w:rPr>
        <w:t>532</w:t>
      </w:r>
      <w:r w:rsidRPr="0094555B">
        <w:rPr>
          <w:rFonts w:ascii="Times New Roman" w:hAnsi="Times New Roman" w:cs="Times New Roman"/>
          <w:sz w:val="24"/>
          <w:szCs w:val="24"/>
        </w:rPr>
        <w:t xml:space="preserve"> (100 </w:t>
      </w:r>
      <w:proofErr w:type="spellStart"/>
      <w:r w:rsidRPr="0094555B">
        <w:rPr>
          <w:rFonts w:ascii="Times New Roman" w:hAnsi="Times New Roman" w:cs="Times New Roman"/>
          <w:sz w:val="24"/>
          <w:szCs w:val="24"/>
        </w:rPr>
        <w:t>hr</w:t>
      </w:r>
      <w:proofErr w:type="spellEnd"/>
      <w:r w:rsidRPr="0094555B">
        <w:rPr>
          <w:rFonts w:ascii="Times New Roman" w:hAnsi="Times New Roman" w:cs="Times New Roman"/>
          <w:sz w:val="24"/>
          <w:szCs w:val="24"/>
        </w:rPr>
        <w:t xml:space="preserve"> x $</w:t>
      </w:r>
      <w:r w:rsidR="00BB2FE8">
        <w:rPr>
          <w:rFonts w:ascii="Times New Roman" w:hAnsi="Times New Roman" w:cs="Times New Roman"/>
          <w:sz w:val="24"/>
          <w:szCs w:val="24"/>
        </w:rPr>
        <w:t>75.32</w:t>
      </w:r>
      <w:r w:rsidRPr="0094555B">
        <w:rPr>
          <w:rFonts w:ascii="Times New Roman" w:hAnsi="Times New Roman" w:cs="Times New Roman"/>
          <w:sz w:val="24"/>
          <w:szCs w:val="24"/>
        </w:rPr>
        <w:t>/</w:t>
      </w:r>
      <w:proofErr w:type="spellStart"/>
      <w:r w:rsidRPr="0094555B">
        <w:rPr>
          <w:rFonts w:ascii="Times New Roman" w:hAnsi="Times New Roman" w:cs="Times New Roman"/>
          <w:sz w:val="24"/>
          <w:szCs w:val="24"/>
        </w:rPr>
        <w:t>hr</w:t>
      </w:r>
      <w:proofErr w:type="spellEnd"/>
      <w:r w:rsidRPr="0094555B">
        <w:rPr>
          <w:rFonts w:ascii="Times New Roman" w:hAnsi="Times New Roman" w:cs="Times New Roman"/>
          <w:sz w:val="24"/>
          <w:szCs w:val="24"/>
        </w:rPr>
        <w:t xml:space="preserve"> specialist). As this will be a one-time burden, we annualize this amount to </w:t>
      </w:r>
      <w:r w:rsidRPr="0094555B">
        <w:rPr>
          <w:rFonts w:ascii="Times New Roman" w:hAnsi="Times New Roman" w:cs="Times New Roman"/>
          <w:b/>
          <w:sz w:val="24"/>
          <w:szCs w:val="24"/>
        </w:rPr>
        <w:t xml:space="preserve">33.33 </w:t>
      </w:r>
      <w:proofErr w:type="spellStart"/>
      <w:r w:rsidRPr="0094555B">
        <w:rPr>
          <w:rFonts w:ascii="Times New Roman" w:hAnsi="Times New Roman" w:cs="Times New Roman"/>
          <w:b/>
          <w:sz w:val="24"/>
          <w:szCs w:val="24"/>
        </w:rPr>
        <w:t>hr</w:t>
      </w:r>
      <w:proofErr w:type="spellEnd"/>
      <w:r w:rsidRPr="0094555B">
        <w:rPr>
          <w:rFonts w:ascii="Times New Roman" w:hAnsi="Times New Roman" w:cs="Times New Roman"/>
          <w:sz w:val="24"/>
          <w:szCs w:val="24"/>
        </w:rPr>
        <w:t xml:space="preserve"> (100 </w:t>
      </w:r>
      <w:proofErr w:type="spellStart"/>
      <w:r w:rsidRPr="0094555B">
        <w:rPr>
          <w:rFonts w:ascii="Times New Roman" w:hAnsi="Times New Roman" w:cs="Times New Roman"/>
          <w:sz w:val="24"/>
          <w:szCs w:val="24"/>
        </w:rPr>
        <w:t>hr</w:t>
      </w:r>
      <w:proofErr w:type="spellEnd"/>
      <w:r w:rsidRPr="0094555B">
        <w:rPr>
          <w:rFonts w:ascii="Times New Roman" w:hAnsi="Times New Roman" w:cs="Times New Roman"/>
          <w:sz w:val="24"/>
          <w:szCs w:val="24"/>
        </w:rPr>
        <w:t xml:space="preserve">/3 years) and </w:t>
      </w:r>
      <w:r w:rsidRPr="0094555B">
        <w:rPr>
          <w:rFonts w:ascii="Times New Roman" w:hAnsi="Times New Roman" w:cs="Times New Roman"/>
          <w:b/>
          <w:sz w:val="24"/>
          <w:szCs w:val="24"/>
        </w:rPr>
        <w:t>$</w:t>
      </w:r>
      <w:r w:rsidRPr="0094555B" w:rsidR="00B55D15">
        <w:rPr>
          <w:rFonts w:ascii="Times New Roman" w:hAnsi="Times New Roman" w:cs="Times New Roman"/>
          <w:b/>
          <w:sz w:val="24"/>
          <w:szCs w:val="24"/>
        </w:rPr>
        <w:t>2,</w:t>
      </w:r>
      <w:r w:rsidR="00BB2FE8">
        <w:rPr>
          <w:rFonts w:ascii="Times New Roman" w:hAnsi="Times New Roman" w:cs="Times New Roman"/>
          <w:b/>
          <w:sz w:val="24"/>
          <w:szCs w:val="24"/>
        </w:rPr>
        <w:t>51</w:t>
      </w:r>
      <w:r w:rsidR="00EC1599">
        <w:rPr>
          <w:rFonts w:ascii="Times New Roman" w:hAnsi="Times New Roman" w:cs="Times New Roman"/>
          <w:b/>
          <w:sz w:val="24"/>
          <w:szCs w:val="24"/>
        </w:rPr>
        <w:t>0</w:t>
      </w:r>
      <w:r w:rsidRPr="0094555B" w:rsidR="00884693">
        <w:rPr>
          <w:rFonts w:ascii="Times New Roman" w:hAnsi="Times New Roman" w:cs="Times New Roman"/>
          <w:sz w:val="24"/>
          <w:szCs w:val="24"/>
        </w:rPr>
        <w:t xml:space="preserve"> ($7,262</w:t>
      </w:r>
      <w:r w:rsidRPr="0094555B">
        <w:rPr>
          <w:rFonts w:ascii="Times New Roman" w:hAnsi="Times New Roman" w:cs="Times New Roman"/>
          <w:sz w:val="24"/>
          <w:szCs w:val="24"/>
        </w:rPr>
        <w:t>/3 years). We are annualizing the one-time burden estimate since we do not anticipate any additional burden after the 3-year approval period expires.</w:t>
      </w:r>
      <w:r w:rsidRPr="0094555B" w:rsidDel="009A0E5D">
        <w:rPr>
          <w:rFonts w:ascii="Times New Roman" w:hAnsi="Times New Roman" w:cs="Times New Roman"/>
          <w:b/>
          <w:iCs/>
          <w:sz w:val="24"/>
          <w:szCs w:val="24"/>
        </w:rPr>
        <w:t xml:space="preserve"> (</w:t>
      </w:r>
      <w:r w:rsidRPr="0094555B" w:rsidR="005F5165">
        <w:rPr>
          <w:rFonts w:ascii="Times New Roman" w:hAnsi="Times New Roman" w:cs="Times New Roman"/>
          <w:b/>
          <w:iCs/>
          <w:sz w:val="24"/>
          <w:szCs w:val="24"/>
        </w:rPr>
        <w:t>ESTIMATE</w:t>
      </w:r>
      <w:r w:rsidRPr="0094555B" w:rsidDel="009A0E5D">
        <w:rPr>
          <w:rFonts w:ascii="Times New Roman" w:hAnsi="Times New Roman" w:cs="Times New Roman"/>
          <w:b/>
          <w:iCs/>
          <w:sz w:val="24"/>
          <w:szCs w:val="24"/>
        </w:rPr>
        <w:t xml:space="preserve"> 12.1</w:t>
      </w:r>
      <w:r w:rsidRPr="0094555B" w:rsidR="00F95323">
        <w:rPr>
          <w:rFonts w:ascii="Times New Roman" w:hAnsi="Times New Roman" w:cs="Times New Roman"/>
          <w:b/>
          <w:iCs/>
          <w:sz w:val="24"/>
          <w:szCs w:val="24"/>
        </w:rPr>
        <w:t>f</w:t>
      </w:r>
      <w:r w:rsidRPr="0094555B" w:rsidDel="009A0E5D">
        <w:rPr>
          <w:rFonts w:ascii="Times New Roman" w:hAnsi="Times New Roman" w:cs="Times New Roman"/>
          <w:b/>
          <w:iCs/>
          <w:sz w:val="24"/>
          <w:szCs w:val="24"/>
        </w:rPr>
        <w:t>)</w:t>
      </w:r>
    </w:p>
    <w:p w:rsidRPr="0094555B" w:rsidR="00332B7B" w:rsidP="0094555B" w:rsidRDefault="00624B15" w14:paraId="34E0ABFB" w14:textId="77777777">
      <w:pPr>
        <w:rPr>
          <w:rFonts w:ascii="Times New Roman" w:hAnsi="Times New Roman" w:cs="Times New Roman"/>
          <w:iCs/>
          <w:sz w:val="24"/>
          <w:szCs w:val="24"/>
          <w:u w:val="single"/>
        </w:rPr>
      </w:pPr>
      <w:r w:rsidRPr="0094555B">
        <w:rPr>
          <w:rFonts w:ascii="Times New Roman" w:hAnsi="Times New Roman" w:cs="Times New Roman"/>
          <w:sz w:val="24"/>
          <w:szCs w:val="24"/>
          <w:u w:val="single"/>
        </w:rPr>
        <w:t>Section 438.5 Rate</w:t>
      </w:r>
      <w:r w:rsidRPr="0094555B">
        <w:rPr>
          <w:rFonts w:ascii="Times New Roman" w:hAnsi="Times New Roman" w:cs="Times New Roman"/>
          <w:iCs/>
          <w:sz w:val="24"/>
          <w:szCs w:val="24"/>
          <w:u w:val="single"/>
        </w:rPr>
        <w:t xml:space="preserve"> development standards</w:t>
      </w:r>
    </w:p>
    <w:p w:rsidRPr="0094555B" w:rsidR="00624B15" w:rsidP="0094555B" w:rsidRDefault="00624B15" w14:paraId="3FAC6E16" w14:textId="2E7BFF03">
      <w:pPr>
        <w:rPr>
          <w:rFonts w:ascii="Times New Roman" w:hAnsi="Times New Roman" w:cs="Times New Roman"/>
          <w:sz w:val="24"/>
          <w:szCs w:val="24"/>
        </w:rPr>
      </w:pPr>
      <w:r w:rsidRPr="0094555B">
        <w:rPr>
          <w:rFonts w:ascii="Times New Roman" w:hAnsi="Times New Roman" w:cs="Times New Roman"/>
          <w:iCs/>
          <w:sz w:val="24"/>
          <w:szCs w:val="24"/>
        </w:rPr>
        <w:t xml:space="preserve">Section 438.5 describes the development and documentation of capitation rates paid to risk-based MCOs, PIHPs and PAHPs.  Generally, we require: the use of appropriate base data; the application of trends that have a basis in actual experience; a comprehensive description of the development of the non-benefit component of the rate; descriptions of the adjustments applied to the base data, rate, or trends; actuarial certification of the final contract rates paid to the plans; and a description of budget neutral risk adjustment methodologies. </w:t>
      </w:r>
    </w:p>
    <w:p w:rsidRPr="0094555B" w:rsidR="00624B15" w:rsidP="0094555B" w:rsidRDefault="00624B15" w14:paraId="55082B7E" w14:textId="77777777">
      <w:pPr>
        <w:rPr>
          <w:rFonts w:ascii="Times New Roman" w:hAnsi="Times New Roman" w:cs="Times New Roman"/>
          <w:sz w:val="24"/>
          <w:szCs w:val="24"/>
        </w:rPr>
      </w:pPr>
      <w:r w:rsidRPr="0094555B">
        <w:rPr>
          <w:rFonts w:ascii="Times New Roman" w:hAnsi="Times New Roman" w:cs="Times New Roman"/>
          <w:iCs/>
          <w:sz w:val="24"/>
          <w:szCs w:val="24"/>
        </w:rPr>
        <w:t>We believe that the requirements related to the use appropriate base data and the adequate description of rate setting standards, such as trend, the non-benefit component, adjustments, and risk adjustment, are already required as part of actuarial standards of practice and accounted for in §438.7.  We clarified that risk adjustment should be done in a budget neutral manner, but the manner in which risk adjustment is applied should not create additional burden on the state.</w:t>
      </w:r>
    </w:p>
    <w:p w:rsidRPr="0094555B" w:rsidR="00624B15" w:rsidP="0094555B" w:rsidRDefault="00624B15" w14:paraId="35795106" w14:textId="572EA319">
      <w:pPr>
        <w:rPr>
          <w:rFonts w:ascii="Times New Roman" w:hAnsi="Times New Roman" w:cs="Times New Roman"/>
          <w:sz w:val="24"/>
          <w:szCs w:val="24"/>
        </w:rPr>
      </w:pPr>
      <w:r w:rsidRPr="0094555B">
        <w:rPr>
          <w:rFonts w:ascii="Times New Roman" w:hAnsi="Times New Roman" w:cs="Times New Roman"/>
          <w:iCs/>
          <w:sz w:val="24"/>
          <w:szCs w:val="24"/>
        </w:rPr>
        <w:t xml:space="preserve">In §438.5(g), the certification of final contract rates places additional burden on the states.  Therefore, out of the total 70 certifications submitted to CMS from 39 states, the process underlying 50 certifications will need to the modified.  </w:t>
      </w:r>
    </w:p>
    <w:p w:rsidRPr="0094555B" w:rsidR="00624B15" w:rsidP="0094555B" w:rsidRDefault="00624B15" w14:paraId="0A261B44" w14:textId="4E1B1136">
      <w:pPr>
        <w:rPr>
          <w:rFonts w:ascii="Times New Roman" w:hAnsi="Times New Roman" w:cs="Times New Roman"/>
          <w:b/>
          <w:iCs/>
          <w:sz w:val="24"/>
          <w:szCs w:val="24"/>
        </w:rPr>
      </w:pPr>
      <w:r w:rsidRPr="0094555B">
        <w:rPr>
          <w:rFonts w:ascii="Times New Roman" w:hAnsi="Times New Roman" w:cs="Times New Roman"/>
          <w:iCs/>
          <w:sz w:val="24"/>
          <w:szCs w:val="24"/>
        </w:rPr>
        <w:t>We estimate it will take approximately 1</w:t>
      </w:r>
      <w:r w:rsidRPr="0094555B" w:rsidR="004D502D">
        <w:rPr>
          <w:rFonts w:ascii="Times New Roman" w:hAnsi="Times New Roman" w:cs="Times New Roman"/>
          <w:iCs/>
          <w:sz w:val="24"/>
          <w:szCs w:val="24"/>
        </w:rPr>
        <w:t>1</w:t>
      </w:r>
      <w:r w:rsidRPr="0094555B">
        <w:rPr>
          <w:rFonts w:ascii="Times New Roman" w:hAnsi="Times New Roman" w:cs="Times New Roman"/>
          <w:iCs/>
          <w:sz w:val="24"/>
          <w:szCs w:val="24"/>
        </w:rPr>
        <w:t xml:space="preserve"> </w:t>
      </w:r>
      <w:proofErr w:type="spellStart"/>
      <w:r w:rsidRPr="0094555B">
        <w:rPr>
          <w:rFonts w:ascii="Times New Roman" w:hAnsi="Times New Roman" w:cs="Times New Roman"/>
          <w:iCs/>
          <w:sz w:val="24"/>
          <w:szCs w:val="24"/>
        </w:rPr>
        <w:t>hr</w:t>
      </w:r>
      <w:proofErr w:type="spellEnd"/>
      <w:r w:rsidRPr="0094555B">
        <w:rPr>
          <w:rFonts w:ascii="Times New Roman" w:hAnsi="Times New Roman" w:cs="Times New Roman"/>
          <w:iCs/>
          <w:sz w:val="24"/>
          <w:szCs w:val="24"/>
        </w:rPr>
        <w:t xml:space="preserve"> at </w:t>
      </w:r>
      <w:r w:rsidRPr="0094555B" w:rsidR="00773C0B">
        <w:rPr>
          <w:rFonts w:ascii="Times New Roman" w:hAnsi="Times New Roman" w:cs="Times New Roman"/>
          <w:iCs/>
          <w:sz w:val="24"/>
          <w:szCs w:val="24"/>
        </w:rPr>
        <w:t>$</w:t>
      </w:r>
      <w:r w:rsidR="00D61009">
        <w:rPr>
          <w:rFonts w:ascii="Times New Roman" w:hAnsi="Times New Roman" w:cs="Times New Roman"/>
          <w:iCs/>
          <w:sz w:val="24"/>
          <w:szCs w:val="24"/>
        </w:rPr>
        <w:t>118.44</w:t>
      </w:r>
      <w:r w:rsidRPr="0094555B">
        <w:rPr>
          <w:rFonts w:ascii="Times New Roman" w:hAnsi="Times New Roman" w:cs="Times New Roman"/>
          <w:iCs/>
          <w:sz w:val="24"/>
          <w:szCs w:val="24"/>
        </w:rPr>
        <w:t>/</w:t>
      </w:r>
      <w:proofErr w:type="spellStart"/>
      <w:r w:rsidRPr="0094555B">
        <w:rPr>
          <w:rFonts w:ascii="Times New Roman" w:hAnsi="Times New Roman" w:cs="Times New Roman"/>
          <w:iCs/>
          <w:sz w:val="24"/>
          <w:szCs w:val="24"/>
        </w:rPr>
        <w:t>hr</w:t>
      </w:r>
      <w:proofErr w:type="spellEnd"/>
      <w:r w:rsidRPr="0094555B">
        <w:rPr>
          <w:rFonts w:ascii="Times New Roman" w:hAnsi="Times New Roman" w:cs="Times New Roman"/>
          <w:iCs/>
          <w:sz w:val="24"/>
          <w:szCs w:val="24"/>
        </w:rPr>
        <w:t xml:space="preserve"> for an actuary and 1 </w:t>
      </w:r>
      <w:proofErr w:type="spellStart"/>
      <w:r w:rsidRPr="0094555B">
        <w:rPr>
          <w:rFonts w:ascii="Times New Roman" w:hAnsi="Times New Roman" w:cs="Times New Roman"/>
          <w:iCs/>
          <w:sz w:val="24"/>
          <w:szCs w:val="24"/>
        </w:rPr>
        <w:t>hr</w:t>
      </w:r>
      <w:proofErr w:type="spellEnd"/>
      <w:r w:rsidRPr="0094555B">
        <w:rPr>
          <w:rFonts w:ascii="Times New Roman" w:hAnsi="Times New Roman" w:cs="Times New Roman"/>
          <w:iCs/>
          <w:sz w:val="24"/>
          <w:szCs w:val="24"/>
        </w:rPr>
        <w:t xml:space="preserve"> at </w:t>
      </w:r>
      <w:r w:rsidRPr="0094555B" w:rsidR="00827481">
        <w:rPr>
          <w:rFonts w:ascii="Times New Roman" w:hAnsi="Times New Roman" w:cs="Times New Roman"/>
          <w:iCs/>
          <w:sz w:val="24"/>
          <w:szCs w:val="24"/>
        </w:rPr>
        <w:t>$</w:t>
      </w:r>
      <w:r w:rsidR="00D61009">
        <w:rPr>
          <w:rFonts w:ascii="Times New Roman" w:hAnsi="Times New Roman" w:cs="Times New Roman"/>
          <w:iCs/>
          <w:sz w:val="24"/>
          <w:szCs w:val="24"/>
        </w:rPr>
        <w:t>120.90</w:t>
      </w:r>
      <w:r w:rsidRPr="0094555B">
        <w:rPr>
          <w:rFonts w:ascii="Times New Roman" w:hAnsi="Times New Roman" w:cs="Times New Roman"/>
          <w:iCs/>
          <w:sz w:val="24"/>
          <w:szCs w:val="24"/>
        </w:rPr>
        <w:t>/</w:t>
      </w:r>
      <w:proofErr w:type="spellStart"/>
      <w:r w:rsidRPr="0094555B">
        <w:rPr>
          <w:rFonts w:ascii="Times New Roman" w:hAnsi="Times New Roman" w:cs="Times New Roman"/>
          <w:iCs/>
          <w:sz w:val="24"/>
          <w:szCs w:val="24"/>
        </w:rPr>
        <w:t>hr</w:t>
      </w:r>
      <w:proofErr w:type="spellEnd"/>
      <w:r w:rsidRPr="0094555B">
        <w:rPr>
          <w:rFonts w:ascii="Times New Roman" w:hAnsi="Times New Roman" w:cs="Times New Roman"/>
          <w:iCs/>
          <w:sz w:val="24"/>
          <w:szCs w:val="24"/>
        </w:rPr>
        <w:t xml:space="preserve"> for a general and operations manager to comply with this requirement.  In aggregate, we estimate an annual state burden of </w:t>
      </w:r>
      <w:r w:rsidRPr="0094555B" w:rsidR="00D34316">
        <w:rPr>
          <w:rFonts w:ascii="Times New Roman" w:hAnsi="Times New Roman" w:cs="Times New Roman"/>
          <w:b/>
          <w:iCs/>
          <w:sz w:val="24"/>
          <w:szCs w:val="24"/>
        </w:rPr>
        <w:t xml:space="preserve">600 </w:t>
      </w:r>
      <w:proofErr w:type="spellStart"/>
      <w:r w:rsidRPr="0094555B">
        <w:rPr>
          <w:rFonts w:ascii="Times New Roman" w:hAnsi="Times New Roman" w:cs="Times New Roman"/>
          <w:b/>
          <w:iCs/>
          <w:sz w:val="24"/>
          <w:szCs w:val="24"/>
        </w:rPr>
        <w:t>hr</w:t>
      </w:r>
      <w:proofErr w:type="spellEnd"/>
      <w:r w:rsidRPr="0094555B">
        <w:rPr>
          <w:rFonts w:ascii="Times New Roman" w:hAnsi="Times New Roman" w:cs="Times New Roman"/>
          <w:iCs/>
          <w:sz w:val="24"/>
          <w:szCs w:val="24"/>
        </w:rPr>
        <w:t xml:space="preserve"> (50 certifications x 1</w:t>
      </w:r>
      <w:r w:rsidRPr="0094555B" w:rsidR="00D34316">
        <w:rPr>
          <w:rFonts w:ascii="Times New Roman" w:hAnsi="Times New Roman" w:cs="Times New Roman"/>
          <w:iCs/>
          <w:sz w:val="24"/>
          <w:szCs w:val="24"/>
        </w:rPr>
        <w:t>2</w:t>
      </w:r>
      <w:r w:rsidRPr="0094555B">
        <w:rPr>
          <w:rFonts w:ascii="Times New Roman" w:hAnsi="Times New Roman" w:cs="Times New Roman"/>
          <w:iCs/>
          <w:sz w:val="24"/>
          <w:szCs w:val="24"/>
        </w:rPr>
        <w:t xml:space="preserve"> </w:t>
      </w:r>
      <w:proofErr w:type="spellStart"/>
      <w:r w:rsidRPr="0094555B">
        <w:rPr>
          <w:rFonts w:ascii="Times New Roman" w:hAnsi="Times New Roman" w:cs="Times New Roman"/>
          <w:iCs/>
          <w:sz w:val="24"/>
          <w:szCs w:val="24"/>
        </w:rPr>
        <w:t>hr</w:t>
      </w:r>
      <w:proofErr w:type="spellEnd"/>
      <w:r w:rsidRPr="0094555B">
        <w:rPr>
          <w:rFonts w:ascii="Times New Roman" w:hAnsi="Times New Roman" w:cs="Times New Roman"/>
          <w:iCs/>
          <w:sz w:val="24"/>
          <w:szCs w:val="24"/>
        </w:rPr>
        <w:t xml:space="preserve">) and </w:t>
      </w:r>
      <w:r w:rsidRPr="0094555B">
        <w:rPr>
          <w:rFonts w:ascii="Times New Roman" w:hAnsi="Times New Roman" w:cs="Times New Roman"/>
          <w:b/>
          <w:iCs/>
          <w:sz w:val="24"/>
          <w:szCs w:val="24"/>
        </w:rPr>
        <w:t>$</w:t>
      </w:r>
      <w:r w:rsidR="00D61009">
        <w:rPr>
          <w:rFonts w:ascii="Times New Roman" w:hAnsi="Times New Roman" w:cs="Times New Roman"/>
          <w:b/>
          <w:iCs/>
          <w:sz w:val="24"/>
          <w:szCs w:val="24"/>
        </w:rPr>
        <w:t>71,200</w:t>
      </w:r>
      <w:r w:rsidRPr="0094555B">
        <w:rPr>
          <w:rFonts w:ascii="Times New Roman" w:hAnsi="Times New Roman" w:cs="Times New Roman"/>
          <w:b/>
          <w:iCs/>
          <w:sz w:val="24"/>
          <w:szCs w:val="24"/>
        </w:rPr>
        <w:t xml:space="preserve"> </w:t>
      </w:r>
      <w:r w:rsidRPr="0094555B" w:rsidR="0009011D">
        <w:rPr>
          <w:rFonts w:ascii="Times New Roman" w:hAnsi="Times New Roman" w:cs="Times New Roman"/>
          <w:iCs/>
          <w:sz w:val="24"/>
          <w:szCs w:val="24"/>
        </w:rPr>
        <w:t>(</w:t>
      </w:r>
      <w:r w:rsidRPr="0094555B">
        <w:rPr>
          <w:rFonts w:ascii="Times New Roman" w:hAnsi="Times New Roman" w:cs="Times New Roman"/>
          <w:iCs/>
          <w:sz w:val="24"/>
          <w:szCs w:val="24"/>
        </w:rPr>
        <w:t xml:space="preserve">50 certifications x </w:t>
      </w:r>
      <w:r w:rsidRPr="0094555B" w:rsidR="0009011D">
        <w:rPr>
          <w:rFonts w:ascii="Times New Roman" w:hAnsi="Times New Roman" w:cs="Times New Roman"/>
          <w:iCs/>
          <w:sz w:val="24"/>
          <w:szCs w:val="24"/>
        </w:rPr>
        <w:t>[</w:t>
      </w:r>
      <w:r w:rsidRPr="0094555B">
        <w:rPr>
          <w:rFonts w:ascii="Times New Roman" w:hAnsi="Times New Roman" w:cs="Times New Roman"/>
          <w:iCs/>
          <w:sz w:val="24"/>
          <w:szCs w:val="24"/>
        </w:rPr>
        <w:t>(</w:t>
      </w:r>
      <w:r w:rsidRPr="0094555B" w:rsidR="00D34316">
        <w:rPr>
          <w:rFonts w:ascii="Times New Roman" w:hAnsi="Times New Roman" w:cs="Times New Roman"/>
          <w:iCs/>
          <w:sz w:val="24"/>
          <w:szCs w:val="24"/>
        </w:rPr>
        <w:t xml:space="preserve">11 </w:t>
      </w:r>
      <w:proofErr w:type="spellStart"/>
      <w:r w:rsidRPr="0094555B">
        <w:rPr>
          <w:rFonts w:ascii="Times New Roman" w:hAnsi="Times New Roman" w:cs="Times New Roman"/>
          <w:iCs/>
          <w:sz w:val="24"/>
          <w:szCs w:val="24"/>
        </w:rPr>
        <w:t>hr</w:t>
      </w:r>
      <w:proofErr w:type="spellEnd"/>
      <w:r w:rsidRPr="0094555B">
        <w:rPr>
          <w:rFonts w:ascii="Times New Roman" w:hAnsi="Times New Roman" w:cs="Times New Roman"/>
          <w:iCs/>
          <w:sz w:val="24"/>
          <w:szCs w:val="24"/>
        </w:rPr>
        <w:t xml:space="preserve"> x </w:t>
      </w:r>
      <w:r w:rsidRPr="0094555B" w:rsidR="00773C0B">
        <w:rPr>
          <w:rFonts w:ascii="Times New Roman" w:hAnsi="Times New Roman" w:cs="Times New Roman"/>
          <w:iCs/>
          <w:sz w:val="24"/>
          <w:szCs w:val="24"/>
        </w:rPr>
        <w:t>$</w:t>
      </w:r>
      <w:r w:rsidRPr="0094555B" w:rsidR="00317EFF">
        <w:rPr>
          <w:rFonts w:ascii="Times New Roman" w:hAnsi="Times New Roman" w:cs="Times New Roman"/>
          <w:iCs/>
          <w:sz w:val="24"/>
          <w:szCs w:val="24"/>
        </w:rPr>
        <w:t>11</w:t>
      </w:r>
      <w:r w:rsidR="00D61009">
        <w:rPr>
          <w:rFonts w:ascii="Times New Roman" w:hAnsi="Times New Roman" w:cs="Times New Roman"/>
          <w:iCs/>
          <w:sz w:val="24"/>
          <w:szCs w:val="24"/>
        </w:rPr>
        <w:t>8.44</w:t>
      </w:r>
      <w:r w:rsidRPr="0094555B">
        <w:rPr>
          <w:rFonts w:ascii="Times New Roman" w:hAnsi="Times New Roman" w:cs="Times New Roman"/>
          <w:iCs/>
          <w:sz w:val="24"/>
          <w:szCs w:val="24"/>
        </w:rPr>
        <w:t>/</w:t>
      </w:r>
      <w:proofErr w:type="spellStart"/>
      <w:r w:rsidRPr="0094555B">
        <w:rPr>
          <w:rFonts w:ascii="Times New Roman" w:hAnsi="Times New Roman" w:cs="Times New Roman"/>
          <w:iCs/>
          <w:sz w:val="24"/>
          <w:szCs w:val="24"/>
        </w:rPr>
        <w:t>hr</w:t>
      </w:r>
      <w:proofErr w:type="spellEnd"/>
      <w:r w:rsidRPr="0094555B">
        <w:rPr>
          <w:rFonts w:ascii="Times New Roman" w:hAnsi="Times New Roman" w:cs="Times New Roman"/>
          <w:iCs/>
          <w:sz w:val="24"/>
          <w:szCs w:val="24"/>
        </w:rPr>
        <w:t xml:space="preserve">) + (1 </w:t>
      </w:r>
      <w:proofErr w:type="spellStart"/>
      <w:r w:rsidRPr="0094555B">
        <w:rPr>
          <w:rFonts w:ascii="Times New Roman" w:hAnsi="Times New Roman" w:cs="Times New Roman"/>
          <w:iCs/>
          <w:sz w:val="24"/>
          <w:szCs w:val="24"/>
        </w:rPr>
        <w:t>hr</w:t>
      </w:r>
      <w:proofErr w:type="spellEnd"/>
      <w:r w:rsidRPr="0094555B">
        <w:rPr>
          <w:rFonts w:ascii="Times New Roman" w:hAnsi="Times New Roman" w:cs="Times New Roman"/>
          <w:iCs/>
          <w:sz w:val="24"/>
          <w:szCs w:val="24"/>
        </w:rPr>
        <w:t xml:space="preserve"> x </w:t>
      </w:r>
      <w:r w:rsidRPr="0094555B" w:rsidR="00827481">
        <w:rPr>
          <w:rFonts w:ascii="Times New Roman" w:hAnsi="Times New Roman" w:cs="Times New Roman"/>
          <w:iCs/>
          <w:sz w:val="24"/>
          <w:szCs w:val="24"/>
        </w:rPr>
        <w:t>$1</w:t>
      </w:r>
      <w:r w:rsidR="00D61009">
        <w:rPr>
          <w:rFonts w:ascii="Times New Roman" w:hAnsi="Times New Roman" w:cs="Times New Roman"/>
          <w:iCs/>
          <w:sz w:val="24"/>
          <w:szCs w:val="24"/>
        </w:rPr>
        <w:t>20.90</w:t>
      </w:r>
      <w:r w:rsidRPr="0094555B">
        <w:rPr>
          <w:rFonts w:ascii="Times New Roman" w:hAnsi="Times New Roman" w:cs="Times New Roman"/>
          <w:iCs/>
          <w:sz w:val="24"/>
          <w:szCs w:val="24"/>
        </w:rPr>
        <w:t>/</w:t>
      </w:r>
      <w:proofErr w:type="spellStart"/>
      <w:r w:rsidRPr="0094555B">
        <w:rPr>
          <w:rFonts w:ascii="Times New Roman" w:hAnsi="Times New Roman" w:cs="Times New Roman"/>
          <w:iCs/>
          <w:sz w:val="24"/>
          <w:szCs w:val="24"/>
        </w:rPr>
        <w:t>hr</w:t>
      </w:r>
      <w:proofErr w:type="spellEnd"/>
      <w:r w:rsidRPr="0094555B">
        <w:rPr>
          <w:rFonts w:ascii="Times New Roman" w:hAnsi="Times New Roman" w:cs="Times New Roman"/>
          <w:iCs/>
          <w:sz w:val="24"/>
          <w:szCs w:val="24"/>
        </w:rPr>
        <w:t>)]</w:t>
      </w:r>
      <w:r w:rsidRPr="0094555B" w:rsidR="0009011D">
        <w:rPr>
          <w:rFonts w:ascii="Times New Roman" w:hAnsi="Times New Roman" w:cs="Times New Roman"/>
          <w:iCs/>
          <w:sz w:val="24"/>
          <w:szCs w:val="24"/>
        </w:rPr>
        <w:t>)</w:t>
      </w:r>
      <w:r w:rsidRPr="0094555B">
        <w:rPr>
          <w:rFonts w:ascii="Times New Roman" w:hAnsi="Times New Roman" w:cs="Times New Roman"/>
          <w:iCs/>
          <w:sz w:val="24"/>
          <w:szCs w:val="24"/>
        </w:rPr>
        <w:t xml:space="preserve">. </w:t>
      </w:r>
      <w:r w:rsidRPr="0094555B">
        <w:rPr>
          <w:rFonts w:ascii="Times New Roman" w:hAnsi="Times New Roman" w:cs="Times New Roman"/>
          <w:b/>
          <w:iCs/>
          <w:sz w:val="24"/>
          <w:szCs w:val="24"/>
        </w:rPr>
        <w:t>(</w:t>
      </w:r>
      <w:r w:rsidRPr="0094555B" w:rsidR="005F5165">
        <w:rPr>
          <w:rFonts w:ascii="Times New Roman" w:hAnsi="Times New Roman" w:cs="Times New Roman"/>
          <w:b/>
          <w:iCs/>
          <w:sz w:val="24"/>
          <w:szCs w:val="24"/>
        </w:rPr>
        <w:t>ESTIMATE</w:t>
      </w:r>
      <w:r w:rsidRPr="0094555B">
        <w:rPr>
          <w:rFonts w:ascii="Times New Roman" w:hAnsi="Times New Roman" w:cs="Times New Roman"/>
          <w:b/>
          <w:iCs/>
          <w:sz w:val="24"/>
          <w:szCs w:val="24"/>
        </w:rPr>
        <w:t xml:space="preserve"> 12.2)</w:t>
      </w:r>
    </w:p>
    <w:p w:rsidRPr="0094555B" w:rsidR="00332B7B" w:rsidP="0094555B" w:rsidRDefault="00624B15" w14:paraId="09F87C5D" w14:textId="77777777">
      <w:pPr>
        <w:rPr>
          <w:rFonts w:ascii="Times New Roman" w:hAnsi="Times New Roman" w:cs="Times New Roman"/>
          <w:sz w:val="24"/>
          <w:szCs w:val="24"/>
          <w:u w:val="single"/>
        </w:rPr>
      </w:pPr>
      <w:r w:rsidRPr="0094555B">
        <w:rPr>
          <w:rFonts w:ascii="Times New Roman" w:hAnsi="Times New Roman" w:cs="Times New Roman"/>
          <w:sz w:val="24"/>
          <w:szCs w:val="24"/>
          <w:u w:val="single"/>
        </w:rPr>
        <w:t>Section 438.7 Rate certification submission</w:t>
      </w:r>
    </w:p>
    <w:p w:rsidRPr="0094555B" w:rsidR="00624B15" w:rsidP="0094555B" w:rsidRDefault="00624B15" w14:paraId="15958EB7" w14:textId="58942A9C">
      <w:pPr>
        <w:rPr>
          <w:rFonts w:ascii="Times New Roman" w:hAnsi="Times New Roman" w:cs="Times New Roman"/>
          <w:sz w:val="24"/>
          <w:szCs w:val="24"/>
        </w:rPr>
      </w:pPr>
      <w:r w:rsidRPr="0094555B">
        <w:rPr>
          <w:rFonts w:ascii="Times New Roman" w:hAnsi="Times New Roman" w:cs="Times New Roman"/>
          <w:sz w:val="24"/>
          <w:szCs w:val="24"/>
        </w:rPr>
        <w:lastRenderedPageBreak/>
        <w:t xml:space="preserve">Section 438.7 describes the submission and documentation requirements for all managed care actuarial rate certifications.  The certification will be reviewed and approved by CMS concurrently with the corresponding contract(s).  Section 438.7(b) details CMS’ expectations for documentation in the rate certifications.  We believe these requirements are consistent with actuarial standards of practice and previous Medicaid managed care rules. </w:t>
      </w:r>
    </w:p>
    <w:p w:rsidRPr="0094555B" w:rsidR="00624B15" w:rsidP="0094555B" w:rsidRDefault="00D61009" w14:paraId="2590C4A5" w14:textId="06FADD65">
      <w:pPr>
        <w:rPr>
          <w:rFonts w:ascii="Times New Roman" w:hAnsi="Times New Roman" w:cs="Times New Roman"/>
          <w:sz w:val="24"/>
          <w:szCs w:val="24"/>
        </w:rPr>
      </w:pPr>
      <w:r>
        <w:rPr>
          <w:rFonts w:ascii="Times New Roman" w:hAnsi="Times New Roman" w:cs="Times New Roman"/>
          <w:sz w:val="24"/>
          <w:szCs w:val="24"/>
        </w:rPr>
        <w:t>W</w:t>
      </w:r>
      <w:r w:rsidRPr="0094555B" w:rsidR="00624B15">
        <w:rPr>
          <w:rFonts w:ascii="Times New Roman" w:hAnsi="Times New Roman" w:cs="Times New Roman"/>
          <w:sz w:val="24"/>
          <w:szCs w:val="24"/>
        </w:rPr>
        <w:t xml:space="preserve">e estimate it takes 230 </w:t>
      </w:r>
      <w:proofErr w:type="spellStart"/>
      <w:r w:rsidRPr="0094555B" w:rsidR="00624B15">
        <w:rPr>
          <w:rFonts w:ascii="Times New Roman" w:hAnsi="Times New Roman" w:cs="Times New Roman"/>
          <w:sz w:val="24"/>
          <w:szCs w:val="24"/>
        </w:rPr>
        <w:t>hr</w:t>
      </w:r>
      <w:proofErr w:type="spellEnd"/>
      <w:r w:rsidRPr="0094555B" w:rsidR="00624B15">
        <w:rPr>
          <w:rFonts w:ascii="Times New Roman" w:hAnsi="Times New Roman" w:cs="Times New Roman"/>
          <w:sz w:val="24"/>
          <w:szCs w:val="24"/>
        </w:rPr>
        <w:t xml:space="preserve"> to develop each certification, consisting of 100 </w:t>
      </w:r>
      <w:proofErr w:type="spellStart"/>
      <w:r w:rsidRPr="0094555B" w:rsidR="00624B15">
        <w:rPr>
          <w:rFonts w:ascii="Times New Roman" w:hAnsi="Times New Roman" w:cs="Times New Roman"/>
          <w:sz w:val="24"/>
          <w:szCs w:val="24"/>
        </w:rPr>
        <w:t>hr</w:t>
      </w:r>
      <w:proofErr w:type="spellEnd"/>
      <w:r w:rsidRPr="0094555B" w:rsidR="00624B15">
        <w:rPr>
          <w:rFonts w:ascii="Times New Roman" w:hAnsi="Times New Roman" w:cs="Times New Roman"/>
          <w:sz w:val="24"/>
          <w:szCs w:val="24"/>
        </w:rPr>
        <w:t xml:space="preserve"> (at </w:t>
      </w:r>
      <w:r w:rsidRPr="0094555B" w:rsidR="00773C0B">
        <w:rPr>
          <w:rFonts w:ascii="Times New Roman" w:hAnsi="Times New Roman" w:cs="Times New Roman"/>
          <w:sz w:val="24"/>
          <w:szCs w:val="24"/>
        </w:rPr>
        <w:t>$</w:t>
      </w:r>
      <w:r w:rsidRPr="0094555B" w:rsidR="006D65F6">
        <w:rPr>
          <w:rFonts w:ascii="Times New Roman" w:hAnsi="Times New Roman" w:cs="Times New Roman"/>
          <w:sz w:val="24"/>
          <w:szCs w:val="24"/>
        </w:rPr>
        <w:t>11</w:t>
      </w:r>
      <w:r>
        <w:rPr>
          <w:rFonts w:ascii="Times New Roman" w:hAnsi="Times New Roman" w:cs="Times New Roman"/>
          <w:sz w:val="24"/>
          <w:szCs w:val="24"/>
        </w:rPr>
        <w:t>8.44</w:t>
      </w:r>
      <w:r w:rsidRPr="0094555B" w:rsidR="00624B15">
        <w:rPr>
          <w:rFonts w:ascii="Times New Roman" w:hAnsi="Times New Roman" w:cs="Times New Roman"/>
          <w:sz w:val="24"/>
          <w:szCs w:val="24"/>
        </w:rPr>
        <w:t>/</w:t>
      </w:r>
      <w:proofErr w:type="spellStart"/>
      <w:r w:rsidRPr="0094555B" w:rsidR="00624B15">
        <w:rPr>
          <w:rFonts w:ascii="Times New Roman" w:hAnsi="Times New Roman" w:cs="Times New Roman"/>
          <w:sz w:val="24"/>
          <w:szCs w:val="24"/>
        </w:rPr>
        <w:t>hr</w:t>
      </w:r>
      <w:proofErr w:type="spellEnd"/>
      <w:r w:rsidRPr="0094555B" w:rsidR="00624B15">
        <w:rPr>
          <w:rFonts w:ascii="Times New Roman" w:hAnsi="Times New Roman" w:cs="Times New Roman"/>
          <w:sz w:val="24"/>
          <w:szCs w:val="24"/>
        </w:rPr>
        <w:t xml:space="preserve">) for an actuary, 10 </w:t>
      </w:r>
      <w:proofErr w:type="spellStart"/>
      <w:r w:rsidRPr="0094555B" w:rsidR="00624B15">
        <w:rPr>
          <w:rFonts w:ascii="Times New Roman" w:hAnsi="Times New Roman" w:cs="Times New Roman"/>
          <w:sz w:val="24"/>
          <w:szCs w:val="24"/>
        </w:rPr>
        <w:t>hr</w:t>
      </w:r>
      <w:proofErr w:type="spellEnd"/>
      <w:r w:rsidRPr="0094555B" w:rsidR="00624B15">
        <w:rPr>
          <w:rFonts w:ascii="Times New Roman" w:hAnsi="Times New Roman" w:cs="Times New Roman"/>
          <w:sz w:val="24"/>
          <w:szCs w:val="24"/>
        </w:rPr>
        <w:t xml:space="preserve"> (at </w:t>
      </w:r>
      <w:r w:rsidRPr="0094555B" w:rsidR="00827481">
        <w:rPr>
          <w:rFonts w:ascii="Times New Roman" w:hAnsi="Times New Roman" w:cs="Times New Roman"/>
          <w:sz w:val="24"/>
          <w:szCs w:val="24"/>
        </w:rPr>
        <w:t>$1</w:t>
      </w:r>
      <w:r>
        <w:rPr>
          <w:rFonts w:ascii="Times New Roman" w:hAnsi="Times New Roman" w:cs="Times New Roman"/>
          <w:sz w:val="24"/>
          <w:szCs w:val="24"/>
        </w:rPr>
        <w:t>20.90</w:t>
      </w:r>
      <w:r w:rsidRPr="0094555B" w:rsidR="00624B15">
        <w:rPr>
          <w:rFonts w:ascii="Times New Roman" w:hAnsi="Times New Roman" w:cs="Times New Roman"/>
          <w:sz w:val="24"/>
          <w:szCs w:val="24"/>
        </w:rPr>
        <w:t>/</w:t>
      </w:r>
      <w:proofErr w:type="spellStart"/>
      <w:r w:rsidRPr="0094555B" w:rsidR="00624B15">
        <w:rPr>
          <w:rFonts w:ascii="Times New Roman" w:hAnsi="Times New Roman" w:cs="Times New Roman"/>
          <w:sz w:val="24"/>
          <w:szCs w:val="24"/>
        </w:rPr>
        <w:t>hr</w:t>
      </w:r>
      <w:proofErr w:type="spellEnd"/>
      <w:r w:rsidRPr="0094555B" w:rsidR="00624B15">
        <w:rPr>
          <w:rFonts w:ascii="Times New Roman" w:hAnsi="Times New Roman" w:cs="Times New Roman"/>
          <w:sz w:val="24"/>
          <w:szCs w:val="24"/>
        </w:rPr>
        <w:t xml:space="preserve">) for a general and operations manager, 50 </w:t>
      </w:r>
      <w:proofErr w:type="spellStart"/>
      <w:r w:rsidRPr="0094555B" w:rsidR="00624B15">
        <w:rPr>
          <w:rFonts w:ascii="Times New Roman" w:hAnsi="Times New Roman" w:cs="Times New Roman"/>
          <w:sz w:val="24"/>
          <w:szCs w:val="24"/>
        </w:rPr>
        <w:t>hr</w:t>
      </w:r>
      <w:proofErr w:type="spellEnd"/>
      <w:r w:rsidRPr="0094555B" w:rsidR="00624B15">
        <w:rPr>
          <w:rFonts w:ascii="Times New Roman" w:hAnsi="Times New Roman" w:cs="Times New Roman"/>
          <w:sz w:val="24"/>
          <w:szCs w:val="24"/>
        </w:rPr>
        <w:t xml:space="preserve"> (at $</w:t>
      </w:r>
      <w:r w:rsidRPr="0094555B" w:rsidR="006D65F6">
        <w:rPr>
          <w:rFonts w:ascii="Times New Roman" w:hAnsi="Times New Roman" w:cs="Times New Roman"/>
          <w:sz w:val="24"/>
          <w:szCs w:val="24"/>
        </w:rPr>
        <w:t>10</w:t>
      </w:r>
      <w:r>
        <w:rPr>
          <w:rFonts w:ascii="Times New Roman" w:hAnsi="Times New Roman" w:cs="Times New Roman"/>
          <w:sz w:val="24"/>
          <w:szCs w:val="24"/>
        </w:rPr>
        <w:t>5.72</w:t>
      </w:r>
      <w:r w:rsidRPr="0094555B" w:rsidR="00624B15">
        <w:rPr>
          <w:rFonts w:ascii="Times New Roman" w:hAnsi="Times New Roman" w:cs="Times New Roman"/>
          <w:sz w:val="24"/>
          <w:szCs w:val="24"/>
        </w:rPr>
        <w:t>/</w:t>
      </w:r>
      <w:proofErr w:type="spellStart"/>
      <w:r w:rsidRPr="0094555B" w:rsidR="00624B15">
        <w:rPr>
          <w:rFonts w:ascii="Times New Roman" w:hAnsi="Times New Roman" w:cs="Times New Roman"/>
          <w:sz w:val="24"/>
          <w:szCs w:val="24"/>
        </w:rPr>
        <w:t>hr</w:t>
      </w:r>
      <w:proofErr w:type="spellEnd"/>
      <w:r w:rsidRPr="0094555B" w:rsidR="00624B15">
        <w:rPr>
          <w:rFonts w:ascii="Times New Roman" w:hAnsi="Times New Roman" w:cs="Times New Roman"/>
          <w:sz w:val="24"/>
          <w:szCs w:val="24"/>
        </w:rPr>
        <w:t xml:space="preserve">) for a computer programmer, 50 </w:t>
      </w:r>
      <w:proofErr w:type="spellStart"/>
      <w:r w:rsidRPr="0094555B" w:rsidR="00624B15">
        <w:rPr>
          <w:rFonts w:ascii="Times New Roman" w:hAnsi="Times New Roman" w:cs="Times New Roman"/>
          <w:sz w:val="24"/>
          <w:szCs w:val="24"/>
        </w:rPr>
        <w:t>hr</w:t>
      </w:r>
      <w:proofErr w:type="spellEnd"/>
      <w:r w:rsidRPr="0094555B" w:rsidR="00624B15">
        <w:rPr>
          <w:rFonts w:ascii="Times New Roman" w:hAnsi="Times New Roman" w:cs="Times New Roman"/>
          <w:sz w:val="24"/>
          <w:szCs w:val="24"/>
        </w:rPr>
        <w:t xml:space="preserve"> (at </w:t>
      </w:r>
      <w:r w:rsidRPr="0094555B" w:rsidR="00773C0B">
        <w:rPr>
          <w:rFonts w:ascii="Times New Roman" w:hAnsi="Times New Roman" w:cs="Times New Roman"/>
          <w:sz w:val="24"/>
          <w:szCs w:val="24"/>
        </w:rPr>
        <w:t>$7</w:t>
      </w:r>
      <w:r w:rsidR="0007010E">
        <w:rPr>
          <w:rFonts w:ascii="Times New Roman" w:hAnsi="Times New Roman" w:cs="Times New Roman"/>
          <w:sz w:val="24"/>
          <w:szCs w:val="24"/>
        </w:rPr>
        <w:t>5.32</w:t>
      </w:r>
      <w:r w:rsidRPr="0094555B" w:rsidR="00624B15">
        <w:rPr>
          <w:rFonts w:ascii="Times New Roman" w:hAnsi="Times New Roman" w:cs="Times New Roman"/>
          <w:sz w:val="24"/>
          <w:szCs w:val="24"/>
        </w:rPr>
        <w:t>/</w:t>
      </w:r>
      <w:proofErr w:type="spellStart"/>
      <w:r w:rsidRPr="0094555B" w:rsidR="00624B15">
        <w:rPr>
          <w:rFonts w:ascii="Times New Roman" w:hAnsi="Times New Roman" w:cs="Times New Roman"/>
          <w:sz w:val="24"/>
          <w:szCs w:val="24"/>
        </w:rPr>
        <w:t>hr</w:t>
      </w:r>
      <w:proofErr w:type="spellEnd"/>
      <w:r w:rsidRPr="0094555B" w:rsidR="00624B15">
        <w:rPr>
          <w:rFonts w:ascii="Times New Roman" w:hAnsi="Times New Roman" w:cs="Times New Roman"/>
          <w:sz w:val="24"/>
          <w:szCs w:val="24"/>
        </w:rPr>
        <w:t xml:space="preserve">) for a business operations specialist, and 20 </w:t>
      </w:r>
      <w:proofErr w:type="spellStart"/>
      <w:r w:rsidRPr="0094555B" w:rsidR="00624B15">
        <w:rPr>
          <w:rFonts w:ascii="Times New Roman" w:hAnsi="Times New Roman" w:cs="Times New Roman"/>
          <w:sz w:val="24"/>
          <w:szCs w:val="24"/>
        </w:rPr>
        <w:t>hr</w:t>
      </w:r>
      <w:proofErr w:type="spellEnd"/>
      <w:r w:rsidRPr="0094555B" w:rsidR="00624B15">
        <w:rPr>
          <w:rFonts w:ascii="Times New Roman" w:hAnsi="Times New Roman" w:cs="Times New Roman"/>
          <w:sz w:val="24"/>
          <w:szCs w:val="24"/>
        </w:rPr>
        <w:t xml:space="preserve"> (at </w:t>
      </w:r>
      <w:r w:rsidRPr="0094555B" w:rsidR="00827481">
        <w:rPr>
          <w:rFonts w:ascii="Times New Roman" w:hAnsi="Times New Roman" w:cs="Times New Roman"/>
          <w:sz w:val="24"/>
          <w:szCs w:val="24"/>
        </w:rPr>
        <w:t>$3</w:t>
      </w:r>
      <w:r w:rsidR="0007010E">
        <w:rPr>
          <w:rFonts w:ascii="Times New Roman" w:hAnsi="Times New Roman" w:cs="Times New Roman"/>
          <w:sz w:val="24"/>
          <w:szCs w:val="24"/>
        </w:rPr>
        <w:t>6.82</w:t>
      </w:r>
      <w:r w:rsidRPr="0094555B" w:rsidR="00624B15">
        <w:rPr>
          <w:rFonts w:ascii="Times New Roman" w:hAnsi="Times New Roman" w:cs="Times New Roman"/>
          <w:sz w:val="24"/>
          <w:szCs w:val="24"/>
        </w:rPr>
        <w:t>/</w:t>
      </w:r>
      <w:proofErr w:type="spellStart"/>
      <w:r w:rsidRPr="0094555B" w:rsidR="00624B15">
        <w:rPr>
          <w:rFonts w:ascii="Times New Roman" w:hAnsi="Times New Roman" w:cs="Times New Roman"/>
          <w:sz w:val="24"/>
          <w:szCs w:val="24"/>
        </w:rPr>
        <w:t>hr</w:t>
      </w:r>
      <w:proofErr w:type="spellEnd"/>
      <w:r w:rsidRPr="0094555B" w:rsidR="00624B15">
        <w:rPr>
          <w:rFonts w:ascii="Times New Roman" w:hAnsi="Times New Roman" w:cs="Times New Roman"/>
          <w:sz w:val="24"/>
          <w:szCs w:val="24"/>
        </w:rPr>
        <w:t>) for an office and administrative support worker.</w:t>
      </w:r>
    </w:p>
    <w:p w:rsidRPr="0094555B" w:rsidR="00624B15" w:rsidP="0094555B" w:rsidRDefault="00DE49FA" w14:paraId="3DD4B054" w14:textId="18506F66">
      <w:pPr>
        <w:rPr>
          <w:rFonts w:ascii="Times New Roman" w:hAnsi="Times New Roman" w:cs="Times New Roman"/>
          <w:b/>
          <w:iCs/>
          <w:sz w:val="24"/>
          <w:szCs w:val="24"/>
        </w:rPr>
      </w:pPr>
      <w:r w:rsidRPr="0094555B">
        <w:rPr>
          <w:rFonts w:ascii="Times New Roman" w:hAnsi="Times New Roman" w:cs="Times New Roman"/>
          <w:sz w:val="24"/>
          <w:szCs w:val="24"/>
        </w:rPr>
        <w:t>In aggregate we estimate an annual state burden of</w:t>
      </w:r>
      <w:r w:rsidRPr="0094555B" w:rsidR="00624B15">
        <w:rPr>
          <w:rFonts w:ascii="Times New Roman" w:hAnsi="Times New Roman" w:cs="Times New Roman"/>
          <w:sz w:val="24"/>
          <w:szCs w:val="24"/>
        </w:rPr>
        <w:t xml:space="preserve"> </w:t>
      </w:r>
      <w:r w:rsidRPr="0094555B" w:rsidR="00624B15">
        <w:rPr>
          <w:rFonts w:ascii="Times New Roman" w:hAnsi="Times New Roman" w:cs="Times New Roman"/>
          <w:b/>
          <w:sz w:val="24"/>
          <w:szCs w:val="24"/>
        </w:rPr>
        <w:t xml:space="preserve">16,100 </w:t>
      </w:r>
      <w:proofErr w:type="spellStart"/>
      <w:r w:rsidRPr="0094555B" w:rsidR="00624B15">
        <w:rPr>
          <w:rFonts w:ascii="Times New Roman" w:hAnsi="Times New Roman" w:cs="Times New Roman"/>
          <w:b/>
          <w:sz w:val="24"/>
          <w:szCs w:val="24"/>
        </w:rPr>
        <w:t>hr</w:t>
      </w:r>
      <w:proofErr w:type="spellEnd"/>
      <w:r w:rsidRPr="0094555B" w:rsidR="00624B15">
        <w:rPr>
          <w:rFonts w:ascii="Times New Roman" w:hAnsi="Times New Roman" w:cs="Times New Roman"/>
          <w:sz w:val="24"/>
          <w:szCs w:val="24"/>
        </w:rPr>
        <w:t xml:space="preserve"> (230 </w:t>
      </w:r>
      <w:proofErr w:type="spellStart"/>
      <w:r w:rsidRPr="0094555B" w:rsidR="00624B15">
        <w:rPr>
          <w:rFonts w:ascii="Times New Roman" w:hAnsi="Times New Roman" w:cs="Times New Roman"/>
          <w:sz w:val="24"/>
          <w:szCs w:val="24"/>
        </w:rPr>
        <w:t>hr</w:t>
      </w:r>
      <w:proofErr w:type="spellEnd"/>
      <w:r w:rsidRPr="0094555B" w:rsidR="00624B15">
        <w:rPr>
          <w:rFonts w:ascii="Times New Roman" w:hAnsi="Times New Roman" w:cs="Times New Roman"/>
          <w:sz w:val="24"/>
          <w:szCs w:val="24"/>
        </w:rPr>
        <w:t xml:space="preserve"> x 70 certifications) </w:t>
      </w:r>
      <w:r w:rsidRPr="0094555B">
        <w:rPr>
          <w:rFonts w:ascii="Times New Roman" w:hAnsi="Times New Roman" w:cs="Times New Roman"/>
          <w:sz w:val="24"/>
          <w:szCs w:val="24"/>
        </w:rPr>
        <w:t xml:space="preserve">at a cost </w:t>
      </w:r>
      <w:r w:rsidRPr="0094555B" w:rsidR="00624B15">
        <w:rPr>
          <w:rFonts w:ascii="Times New Roman" w:hAnsi="Times New Roman" w:cs="Times New Roman"/>
          <w:sz w:val="24"/>
          <w:szCs w:val="24"/>
        </w:rPr>
        <w:t xml:space="preserve">of </w:t>
      </w:r>
      <w:r w:rsidRPr="0094555B" w:rsidR="00624B15">
        <w:rPr>
          <w:rFonts w:ascii="Times New Roman" w:hAnsi="Times New Roman" w:cs="Times New Roman"/>
          <w:b/>
          <w:sz w:val="24"/>
          <w:szCs w:val="24"/>
        </w:rPr>
        <w:t>$</w:t>
      </w:r>
      <w:r w:rsidR="0007010E">
        <w:rPr>
          <w:rFonts w:ascii="Times New Roman" w:hAnsi="Times New Roman" w:cs="Times New Roman"/>
          <w:b/>
          <w:sz w:val="24"/>
          <w:szCs w:val="24"/>
        </w:rPr>
        <w:t>1,6</w:t>
      </w:r>
      <w:r w:rsidR="00EC73B8">
        <w:rPr>
          <w:rFonts w:ascii="Times New Roman" w:hAnsi="Times New Roman" w:cs="Times New Roman"/>
          <w:b/>
          <w:sz w:val="24"/>
          <w:szCs w:val="24"/>
        </w:rPr>
        <w:t>11,820</w:t>
      </w:r>
      <w:r w:rsidRPr="0094555B" w:rsidR="00D55AF0">
        <w:rPr>
          <w:rFonts w:ascii="Times New Roman" w:hAnsi="Times New Roman" w:cs="Times New Roman"/>
          <w:b/>
          <w:sz w:val="24"/>
          <w:szCs w:val="24"/>
        </w:rPr>
        <w:t xml:space="preserve"> </w:t>
      </w:r>
      <w:r w:rsidRPr="0094555B" w:rsidR="00624B15">
        <w:rPr>
          <w:rFonts w:ascii="Times New Roman" w:hAnsi="Times New Roman" w:cs="Times New Roman"/>
          <w:sz w:val="24"/>
          <w:szCs w:val="24"/>
        </w:rPr>
        <w:t>[70 certifications x ((</w:t>
      </w:r>
      <w:r w:rsidRPr="0094555B" w:rsidR="00D55AF0">
        <w:rPr>
          <w:rFonts w:ascii="Times New Roman" w:hAnsi="Times New Roman" w:cs="Times New Roman"/>
          <w:sz w:val="24"/>
          <w:szCs w:val="24"/>
        </w:rPr>
        <w:t>100</w:t>
      </w:r>
      <w:r w:rsidRPr="0094555B" w:rsidR="00624B15">
        <w:rPr>
          <w:rFonts w:ascii="Times New Roman" w:hAnsi="Times New Roman" w:cs="Times New Roman"/>
          <w:sz w:val="24"/>
          <w:szCs w:val="24"/>
        </w:rPr>
        <w:t xml:space="preserve"> </w:t>
      </w:r>
      <w:proofErr w:type="spellStart"/>
      <w:r w:rsidRPr="0094555B" w:rsidR="00624B15">
        <w:rPr>
          <w:rFonts w:ascii="Times New Roman" w:hAnsi="Times New Roman" w:cs="Times New Roman"/>
          <w:sz w:val="24"/>
          <w:szCs w:val="24"/>
        </w:rPr>
        <w:t>hr</w:t>
      </w:r>
      <w:proofErr w:type="spellEnd"/>
      <w:r w:rsidRPr="0094555B" w:rsidR="00624B15">
        <w:rPr>
          <w:rFonts w:ascii="Times New Roman" w:hAnsi="Times New Roman" w:cs="Times New Roman"/>
          <w:sz w:val="24"/>
          <w:szCs w:val="24"/>
        </w:rPr>
        <w:t xml:space="preserve"> x </w:t>
      </w:r>
      <w:r w:rsidRPr="0094555B" w:rsidR="00773C0B">
        <w:rPr>
          <w:rFonts w:ascii="Times New Roman" w:hAnsi="Times New Roman" w:cs="Times New Roman"/>
          <w:sz w:val="24"/>
          <w:szCs w:val="24"/>
        </w:rPr>
        <w:t>$1</w:t>
      </w:r>
      <w:r w:rsidR="0007010E">
        <w:rPr>
          <w:rFonts w:ascii="Times New Roman" w:hAnsi="Times New Roman" w:cs="Times New Roman"/>
          <w:sz w:val="24"/>
          <w:szCs w:val="24"/>
        </w:rPr>
        <w:t>18.44</w:t>
      </w:r>
      <w:r w:rsidRPr="0094555B" w:rsidR="00624B15">
        <w:rPr>
          <w:rFonts w:ascii="Times New Roman" w:hAnsi="Times New Roman" w:cs="Times New Roman"/>
          <w:sz w:val="24"/>
          <w:szCs w:val="24"/>
        </w:rPr>
        <w:t>/</w:t>
      </w:r>
      <w:proofErr w:type="spellStart"/>
      <w:r w:rsidRPr="0094555B" w:rsidR="00624B15">
        <w:rPr>
          <w:rFonts w:ascii="Times New Roman" w:hAnsi="Times New Roman" w:cs="Times New Roman"/>
          <w:sz w:val="24"/>
          <w:szCs w:val="24"/>
        </w:rPr>
        <w:t>hr</w:t>
      </w:r>
      <w:proofErr w:type="spellEnd"/>
      <w:r w:rsidRPr="0094555B" w:rsidR="00624B15">
        <w:rPr>
          <w:rFonts w:ascii="Times New Roman" w:hAnsi="Times New Roman" w:cs="Times New Roman"/>
          <w:sz w:val="24"/>
          <w:szCs w:val="24"/>
        </w:rPr>
        <w:t>) + (</w:t>
      </w:r>
      <w:r w:rsidRPr="0094555B" w:rsidR="00D55AF0">
        <w:rPr>
          <w:rFonts w:ascii="Times New Roman" w:hAnsi="Times New Roman" w:cs="Times New Roman"/>
          <w:sz w:val="24"/>
          <w:szCs w:val="24"/>
        </w:rPr>
        <w:t>10</w:t>
      </w:r>
      <w:r w:rsidRPr="0094555B" w:rsidR="00624B15">
        <w:rPr>
          <w:rFonts w:ascii="Times New Roman" w:hAnsi="Times New Roman" w:cs="Times New Roman"/>
          <w:sz w:val="24"/>
          <w:szCs w:val="24"/>
        </w:rPr>
        <w:t xml:space="preserve"> </w:t>
      </w:r>
      <w:proofErr w:type="spellStart"/>
      <w:r w:rsidRPr="0094555B" w:rsidR="00624B15">
        <w:rPr>
          <w:rFonts w:ascii="Times New Roman" w:hAnsi="Times New Roman" w:cs="Times New Roman"/>
          <w:sz w:val="24"/>
          <w:szCs w:val="24"/>
        </w:rPr>
        <w:t>hr</w:t>
      </w:r>
      <w:proofErr w:type="spellEnd"/>
      <w:r w:rsidRPr="0094555B" w:rsidR="00624B15">
        <w:rPr>
          <w:rFonts w:ascii="Times New Roman" w:hAnsi="Times New Roman" w:cs="Times New Roman"/>
          <w:sz w:val="24"/>
          <w:szCs w:val="24"/>
        </w:rPr>
        <w:t xml:space="preserve"> x </w:t>
      </w:r>
      <w:r w:rsidRPr="0094555B" w:rsidR="00827481">
        <w:rPr>
          <w:rFonts w:ascii="Times New Roman" w:hAnsi="Times New Roman" w:cs="Times New Roman"/>
          <w:sz w:val="24"/>
          <w:szCs w:val="24"/>
        </w:rPr>
        <w:t>$1</w:t>
      </w:r>
      <w:r w:rsidR="0007010E">
        <w:rPr>
          <w:rFonts w:ascii="Times New Roman" w:hAnsi="Times New Roman" w:cs="Times New Roman"/>
          <w:sz w:val="24"/>
          <w:szCs w:val="24"/>
        </w:rPr>
        <w:t>20.90</w:t>
      </w:r>
      <w:r w:rsidRPr="0094555B" w:rsidR="00624B15">
        <w:rPr>
          <w:rFonts w:ascii="Times New Roman" w:hAnsi="Times New Roman" w:cs="Times New Roman"/>
          <w:sz w:val="24"/>
          <w:szCs w:val="24"/>
        </w:rPr>
        <w:t>/</w:t>
      </w:r>
      <w:proofErr w:type="spellStart"/>
      <w:r w:rsidRPr="0094555B" w:rsidR="00624B15">
        <w:rPr>
          <w:rFonts w:ascii="Times New Roman" w:hAnsi="Times New Roman" w:cs="Times New Roman"/>
          <w:sz w:val="24"/>
          <w:szCs w:val="24"/>
        </w:rPr>
        <w:t>hr</w:t>
      </w:r>
      <w:proofErr w:type="spellEnd"/>
      <w:r w:rsidRPr="0094555B" w:rsidR="00624B15">
        <w:rPr>
          <w:rFonts w:ascii="Times New Roman" w:hAnsi="Times New Roman" w:cs="Times New Roman"/>
          <w:sz w:val="24"/>
          <w:szCs w:val="24"/>
        </w:rPr>
        <w:t>) + (</w:t>
      </w:r>
      <w:r w:rsidRPr="0094555B" w:rsidR="00D55AF0">
        <w:rPr>
          <w:rFonts w:ascii="Times New Roman" w:hAnsi="Times New Roman" w:cs="Times New Roman"/>
          <w:sz w:val="24"/>
          <w:szCs w:val="24"/>
        </w:rPr>
        <w:t>50</w:t>
      </w:r>
      <w:r w:rsidRPr="0094555B" w:rsidR="00624B15">
        <w:rPr>
          <w:rFonts w:ascii="Times New Roman" w:hAnsi="Times New Roman" w:cs="Times New Roman"/>
          <w:sz w:val="24"/>
          <w:szCs w:val="24"/>
        </w:rPr>
        <w:t xml:space="preserve"> </w:t>
      </w:r>
      <w:proofErr w:type="spellStart"/>
      <w:r w:rsidRPr="0094555B" w:rsidR="00624B15">
        <w:rPr>
          <w:rFonts w:ascii="Times New Roman" w:hAnsi="Times New Roman" w:cs="Times New Roman"/>
          <w:sz w:val="24"/>
          <w:szCs w:val="24"/>
        </w:rPr>
        <w:t>hr</w:t>
      </w:r>
      <w:proofErr w:type="spellEnd"/>
      <w:r w:rsidRPr="0094555B" w:rsidR="00624B15">
        <w:rPr>
          <w:rFonts w:ascii="Times New Roman" w:hAnsi="Times New Roman" w:cs="Times New Roman"/>
          <w:sz w:val="24"/>
          <w:szCs w:val="24"/>
        </w:rPr>
        <w:t xml:space="preserve"> x $</w:t>
      </w:r>
      <w:r w:rsidR="0007010E">
        <w:rPr>
          <w:rFonts w:ascii="Times New Roman" w:hAnsi="Times New Roman" w:cs="Times New Roman"/>
          <w:sz w:val="24"/>
          <w:szCs w:val="24"/>
        </w:rPr>
        <w:t>105.72</w:t>
      </w:r>
      <w:r w:rsidRPr="0094555B" w:rsidR="00624B15">
        <w:rPr>
          <w:rFonts w:ascii="Times New Roman" w:hAnsi="Times New Roman" w:cs="Times New Roman"/>
          <w:sz w:val="24"/>
          <w:szCs w:val="24"/>
        </w:rPr>
        <w:t>/</w:t>
      </w:r>
      <w:proofErr w:type="spellStart"/>
      <w:r w:rsidRPr="0094555B" w:rsidR="00624B15">
        <w:rPr>
          <w:rFonts w:ascii="Times New Roman" w:hAnsi="Times New Roman" w:cs="Times New Roman"/>
          <w:sz w:val="24"/>
          <w:szCs w:val="24"/>
        </w:rPr>
        <w:t>hr</w:t>
      </w:r>
      <w:proofErr w:type="spellEnd"/>
      <w:r w:rsidRPr="0094555B" w:rsidR="00624B15">
        <w:rPr>
          <w:rFonts w:ascii="Times New Roman" w:hAnsi="Times New Roman" w:cs="Times New Roman"/>
          <w:sz w:val="24"/>
          <w:szCs w:val="24"/>
        </w:rPr>
        <w:t>) + (</w:t>
      </w:r>
      <w:r w:rsidRPr="0094555B" w:rsidR="00D55AF0">
        <w:rPr>
          <w:rFonts w:ascii="Times New Roman" w:hAnsi="Times New Roman" w:cs="Times New Roman"/>
          <w:sz w:val="24"/>
          <w:szCs w:val="24"/>
        </w:rPr>
        <w:t>50</w:t>
      </w:r>
      <w:r w:rsidRPr="0094555B" w:rsidR="00624B15">
        <w:rPr>
          <w:rFonts w:ascii="Times New Roman" w:hAnsi="Times New Roman" w:cs="Times New Roman"/>
          <w:sz w:val="24"/>
          <w:szCs w:val="24"/>
        </w:rPr>
        <w:t xml:space="preserve"> </w:t>
      </w:r>
      <w:proofErr w:type="spellStart"/>
      <w:r w:rsidRPr="0094555B" w:rsidR="00624B15">
        <w:rPr>
          <w:rFonts w:ascii="Times New Roman" w:hAnsi="Times New Roman" w:cs="Times New Roman"/>
          <w:sz w:val="24"/>
          <w:szCs w:val="24"/>
        </w:rPr>
        <w:t>hr</w:t>
      </w:r>
      <w:proofErr w:type="spellEnd"/>
      <w:r w:rsidRPr="0094555B" w:rsidR="00624B15">
        <w:rPr>
          <w:rFonts w:ascii="Times New Roman" w:hAnsi="Times New Roman" w:cs="Times New Roman"/>
          <w:sz w:val="24"/>
          <w:szCs w:val="24"/>
        </w:rPr>
        <w:t xml:space="preserve"> x </w:t>
      </w:r>
      <w:r w:rsidRPr="0094555B" w:rsidR="00773C0B">
        <w:rPr>
          <w:rFonts w:ascii="Times New Roman" w:hAnsi="Times New Roman" w:cs="Times New Roman"/>
          <w:sz w:val="24"/>
          <w:szCs w:val="24"/>
        </w:rPr>
        <w:t>$7</w:t>
      </w:r>
      <w:r w:rsidR="0007010E">
        <w:rPr>
          <w:rFonts w:ascii="Times New Roman" w:hAnsi="Times New Roman" w:cs="Times New Roman"/>
          <w:sz w:val="24"/>
          <w:szCs w:val="24"/>
        </w:rPr>
        <w:t>5.32</w:t>
      </w:r>
      <w:r w:rsidRPr="0094555B" w:rsidR="00624B15">
        <w:rPr>
          <w:rFonts w:ascii="Times New Roman" w:hAnsi="Times New Roman" w:cs="Times New Roman"/>
          <w:sz w:val="24"/>
          <w:szCs w:val="24"/>
        </w:rPr>
        <w:t>/</w:t>
      </w:r>
      <w:proofErr w:type="spellStart"/>
      <w:r w:rsidRPr="0094555B" w:rsidR="00624B15">
        <w:rPr>
          <w:rFonts w:ascii="Times New Roman" w:hAnsi="Times New Roman" w:cs="Times New Roman"/>
          <w:sz w:val="24"/>
          <w:szCs w:val="24"/>
        </w:rPr>
        <w:t>hr</w:t>
      </w:r>
      <w:proofErr w:type="spellEnd"/>
      <w:r w:rsidRPr="0094555B" w:rsidR="00624B15">
        <w:rPr>
          <w:rFonts w:ascii="Times New Roman" w:hAnsi="Times New Roman" w:cs="Times New Roman"/>
          <w:sz w:val="24"/>
          <w:szCs w:val="24"/>
        </w:rPr>
        <w:t>) + (</w:t>
      </w:r>
      <w:r w:rsidRPr="0094555B" w:rsidR="00D55AF0">
        <w:rPr>
          <w:rFonts w:ascii="Times New Roman" w:hAnsi="Times New Roman" w:cs="Times New Roman"/>
          <w:sz w:val="24"/>
          <w:szCs w:val="24"/>
        </w:rPr>
        <w:t>25</w:t>
      </w:r>
      <w:r w:rsidRPr="0094555B" w:rsidR="00624B15">
        <w:rPr>
          <w:rFonts w:ascii="Times New Roman" w:hAnsi="Times New Roman" w:cs="Times New Roman"/>
          <w:sz w:val="24"/>
          <w:szCs w:val="24"/>
        </w:rPr>
        <w:t xml:space="preserve"> </w:t>
      </w:r>
      <w:proofErr w:type="spellStart"/>
      <w:r w:rsidRPr="0094555B" w:rsidR="00624B15">
        <w:rPr>
          <w:rFonts w:ascii="Times New Roman" w:hAnsi="Times New Roman" w:cs="Times New Roman"/>
          <w:sz w:val="24"/>
          <w:szCs w:val="24"/>
        </w:rPr>
        <w:t>hr</w:t>
      </w:r>
      <w:proofErr w:type="spellEnd"/>
      <w:r w:rsidRPr="0094555B" w:rsidR="00624B15">
        <w:rPr>
          <w:rFonts w:ascii="Times New Roman" w:hAnsi="Times New Roman" w:cs="Times New Roman"/>
          <w:sz w:val="24"/>
          <w:szCs w:val="24"/>
        </w:rPr>
        <w:t xml:space="preserve"> x </w:t>
      </w:r>
      <w:r w:rsidRPr="0094555B" w:rsidR="00827481">
        <w:rPr>
          <w:rFonts w:ascii="Times New Roman" w:hAnsi="Times New Roman" w:cs="Times New Roman"/>
          <w:sz w:val="24"/>
          <w:szCs w:val="24"/>
        </w:rPr>
        <w:t>$3</w:t>
      </w:r>
      <w:r w:rsidR="0007010E">
        <w:rPr>
          <w:rFonts w:ascii="Times New Roman" w:hAnsi="Times New Roman" w:cs="Times New Roman"/>
          <w:sz w:val="24"/>
          <w:szCs w:val="24"/>
        </w:rPr>
        <w:t>6.82</w:t>
      </w:r>
      <w:r w:rsidRPr="0094555B" w:rsidR="00624B15">
        <w:rPr>
          <w:rFonts w:ascii="Times New Roman" w:hAnsi="Times New Roman" w:cs="Times New Roman"/>
          <w:sz w:val="24"/>
          <w:szCs w:val="24"/>
        </w:rPr>
        <w:t>/</w:t>
      </w:r>
      <w:proofErr w:type="spellStart"/>
      <w:r w:rsidRPr="0094555B" w:rsidR="00624B15">
        <w:rPr>
          <w:rFonts w:ascii="Times New Roman" w:hAnsi="Times New Roman" w:cs="Times New Roman"/>
          <w:sz w:val="24"/>
          <w:szCs w:val="24"/>
        </w:rPr>
        <w:t>hr</w:t>
      </w:r>
      <w:proofErr w:type="spellEnd"/>
      <w:r w:rsidRPr="0094555B" w:rsidR="00624B15">
        <w:rPr>
          <w:rFonts w:ascii="Times New Roman" w:hAnsi="Times New Roman" w:cs="Times New Roman"/>
          <w:sz w:val="24"/>
          <w:szCs w:val="24"/>
        </w:rPr>
        <w:t xml:space="preserve">))].  </w:t>
      </w:r>
      <w:r w:rsidRPr="0094555B" w:rsidR="00624B15">
        <w:rPr>
          <w:rFonts w:ascii="Times New Roman" w:hAnsi="Times New Roman" w:cs="Times New Roman"/>
          <w:b/>
          <w:iCs/>
          <w:sz w:val="24"/>
          <w:szCs w:val="24"/>
        </w:rPr>
        <w:t>(</w:t>
      </w:r>
      <w:r w:rsidRPr="0094555B" w:rsidR="005F5165">
        <w:rPr>
          <w:rFonts w:ascii="Times New Roman" w:hAnsi="Times New Roman" w:cs="Times New Roman"/>
          <w:b/>
          <w:iCs/>
          <w:sz w:val="24"/>
          <w:szCs w:val="24"/>
        </w:rPr>
        <w:t>ESTIMATE</w:t>
      </w:r>
      <w:r w:rsidRPr="0094555B" w:rsidR="00624B15">
        <w:rPr>
          <w:rFonts w:ascii="Times New Roman" w:hAnsi="Times New Roman" w:cs="Times New Roman"/>
          <w:b/>
          <w:iCs/>
          <w:sz w:val="24"/>
          <w:szCs w:val="24"/>
        </w:rPr>
        <w:t xml:space="preserve"> 12.3</w:t>
      </w:r>
      <w:r w:rsidRPr="0094555B" w:rsidR="003D7973">
        <w:rPr>
          <w:rFonts w:ascii="Times New Roman" w:hAnsi="Times New Roman" w:cs="Times New Roman"/>
          <w:b/>
          <w:iCs/>
          <w:sz w:val="24"/>
          <w:szCs w:val="24"/>
        </w:rPr>
        <w:t>a</w:t>
      </w:r>
      <w:r w:rsidRPr="0094555B" w:rsidR="00624B15">
        <w:rPr>
          <w:rFonts w:ascii="Times New Roman" w:hAnsi="Times New Roman" w:cs="Times New Roman"/>
          <w:b/>
          <w:iCs/>
          <w:sz w:val="24"/>
          <w:szCs w:val="24"/>
        </w:rPr>
        <w:t>)</w:t>
      </w:r>
    </w:p>
    <w:p w:rsidRPr="0094555B" w:rsidR="003D7973" w:rsidP="0094555B" w:rsidRDefault="00205799" w14:paraId="7CA12C6C" w14:textId="53F60731">
      <w:pPr>
        <w:rPr>
          <w:rFonts w:ascii="Times New Roman" w:hAnsi="Times New Roman" w:cs="Times New Roman"/>
        </w:rPr>
      </w:pPr>
      <w:r w:rsidRPr="0094555B">
        <w:rPr>
          <w:rFonts w:ascii="Times New Roman" w:hAnsi="Times New Roman" w:cs="Times New Roman"/>
        </w:rPr>
        <w:t xml:space="preserve">Section </w:t>
      </w:r>
      <w:r w:rsidRPr="0094555B" w:rsidR="003D7973">
        <w:rPr>
          <w:rFonts w:ascii="Times New Roman" w:hAnsi="Times New Roman" w:cs="Times New Roman"/>
        </w:rPr>
        <w:t>§ 438.7(c)(3) permit</w:t>
      </w:r>
      <w:r w:rsidRPr="0094555B">
        <w:rPr>
          <w:rFonts w:ascii="Times New Roman" w:hAnsi="Times New Roman" w:cs="Times New Roman"/>
        </w:rPr>
        <w:t>s</w:t>
      </w:r>
      <w:r w:rsidRPr="0094555B" w:rsidR="003D7973">
        <w:rPr>
          <w:rFonts w:ascii="Times New Roman" w:hAnsi="Times New Roman" w:cs="Times New Roman"/>
        </w:rPr>
        <w:t xml:space="preserve"> CMS to require states to submit documentation attesting that any +/- 1.5% modifications to a capitation rate comply with specified regulatory requirements.  We estimate that CMS will require documentation from no more than 3 states annually and that it will take a state’s actuary 1 hour to prepare the documentation. For the 3 states that may be required to submit documentation</w:t>
      </w:r>
      <w:r w:rsidRPr="0094555B">
        <w:rPr>
          <w:rFonts w:ascii="Times New Roman" w:hAnsi="Times New Roman" w:cs="Times New Roman"/>
        </w:rPr>
        <w:t>.</w:t>
      </w:r>
      <w:r w:rsidRPr="0094555B" w:rsidR="003D7973">
        <w:rPr>
          <w:rFonts w:ascii="Times New Roman" w:hAnsi="Times New Roman" w:cs="Times New Roman"/>
        </w:rPr>
        <w:t xml:space="preserve"> </w:t>
      </w:r>
      <w:r w:rsidRPr="0094555B">
        <w:rPr>
          <w:rFonts w:ascii="Times New Roman" w:hAnsi="Times New Roman" w:cs="Times New Roman"/>
        </w:rPr>
        <w:t>I</w:t>
      </w:r>
      <w:r w:rsidRPr="0094555B" w:rsidR="003D7973">
        <w:rPr>
          <w:rFonts w:ascii="Times New Roman" w:hAnsi="Times New Roman" w:cs="Times New Roman"/>
        </w:rPr>
        <w:t xml:space="preserve">n aggregate we estimate an annual burden of </w:t>
      </w:r>
      <w:r w:rsidRPr="0094555B" w:rsidR="003D7973">
        <w:rPr>
          <w:rFonts w:ascii="Times New Roman" w:hAnsi="Times New Roman" w:cs="Times New Roman"/>
          <w:b/>
        </w:rPr>
        <w:t xml:space="preserve">3 </w:t>
      </w:r>
      <w:proofErr w:type="spellStart"/>
      <w:r w:rsidRPr="0094555B" w:rsidR="003D7973">
        <w:rPr>
          <w:rFonts w:ascii="Times New Roman" w:hAnsi="Times New Roman" w:cs="Times New Roman"/>
          <w:b/>
        </w:rPr>
        <w:t>hr</w:t>
      </w:r>
      <w:proofErr w:type="spellEnd"/>
      <w:r w:rsidRPr="0094555B" w:rsidR="003D7973">
        <w:rPr>
          <w:rFonts w:ascii="Times New Roman" w:hAnsi="Times New Roman" w:cs="Times New Roman"/>
        </w:rPr>
        <w:t xml:space="preserve"> (3 plans x 1 </w:t>
      </w:r>
      <w:proofErr w:type="spellStart"/>
      <w:r w:rsidRPr="0094555B" w:rsidR="003D7973">
        <w:rPr>
          <w:rFonts w:ascii="Times New Roman" w:hAnsi="Times New Roman" w:cs="Times New Roman"/>
        </w:rPr>
        <w:t>hr</w:t>
      </w:r>
      <w:proofErr w:type="spellEnd"/>
      <w:r w:rsidRPr="0094555B" w:rsidR="003D7973">
        <w:rPr>
          <w:rFonts w:ascii="Times New Roman" w:hAnsi="Times New Roman" w:cs="Times New Roman"/>
        </w:rPr>
        <w:t xml:space="preserve"> for an actuary) at a cost of </w:t>
      </w:r>
      <w:r w:rsidRPr="0094555B" w:rsidR="003D7973">
        <w:rPr>
          <w:rFonts w:ascii="Times New Roman" w:hAnsi="Times New Roman" w:cs="Times New Roman"/>
          <w:b/>
        </w:rPr>
        <w:t>$</w:t>
      </w:r>
      <w:r w:rsidRPr="0094555B" w:rsidR="00110722">
        <w:rPr>
          <w:rFonts w:ascii="Times New Roman" w:hAnsi="Times New Roman" w:cs="Times New Roman"/>
          <w:b/>
        </w:rPr>
        <w:t>3</w:t>
      </w:r>
      <w:r w:rsidR="0007010E">
        <w:rPr>
          <w:rFonts w:ascii="Times New Roman" w:hAnsi="Times New Roman" w:cs="Times New Roman"/>
          <w:b/>
        </w:rPr>
        <w:t>55</w:t>
      </w:r>
      <w:r w:rsidRPr="0094555B" w:rsidR="003D7973">
        <w:rPr>
          <w:rFonts w:ascii="Times New Roman" w:hAnsi="Times New Roman" w:cs="Times New Roman"/>
        </w:rPr>
        <w:t xml:space="preserve"> (3 </w:t>
      </w:r>
      <w:proofErr w:type="spellStart"/>
      <w:r w:rsidRPr="0094555B" w:rsidR="003D7973">
        <w:rPr>
          <w:rFonts w:ascii="Times New Roman" w:hAnsi="Times New Roman" w:cs="Times New Roman"/>
        </w:rPr>
        <w:t>hr</w:t>
      </w:r>
      <w:proofErr w:type="spellEnd"/>
      <w:r w:rsidRPr="0094555B" w:rsidR="003D7973">
        <w:rPr>
          <w:rFonts w:ascii="Times New Roman" w:hAnsi="Times New Roman" w:cs="Times New Roman"/>
        </w:rPr>
        <w:t xml:space="preserve"> x $11</w:t>
      </w:r>
      <w:r w:rsidR="0007010E">
        <w:rPr>
          <w:rFonts w:ascii="Times New Roman" w:hAnsi="Times New Roman" w:cs="Times New Roman"/>
        </w:rPr>
        <w:t>8.44</w:t>
      </w:r>
      <w:r w:rsidRPr="0094555B" w:rsidR="003D7973">
        <w:rPr>
          <w:rFonts w:ascii="Times New Roman" w:hAnsi="Times New Roman" w:cs="Times New Roman"/>
        </w:rPr>
        <w:t>/</w:t>
      </w:r>
      <w:proofErr w:type="spellStart"/>
      <w:r w:rsidRPr="0094555B" w:rsidR="003D7973">
        <w:rPr>
          <w:rFonts w:ascii="Times New Roman" w:hAnsi="Times New Roman" w:cs="Times New Roman"/>
        </w:rPr>
        <w:t>hr</w:t>
      </w:r>
      <w:proofErr w:type="spellEnd"/>
      <w:r w:rsidRPr="0094555B" w:rsidR="003D7973">
        <w:rPr>
          <w:rFonts w:ascii="Times New Roman" w:hAnsi="Times New Roman" w:cs="Times New Roman"/>
        </w:rPr>
        <w:t xml:space="preserve"> specialist).</w:t>
      </w:r>
      <w:r w:rsidRPr="0094555B" w:rsidR="003D7973">
        <w:rPr>
          <w:rFonts w:ascii="Times New Roman" w:hAnsi="Times New Roman" w:cs="Times New Roman"/>
          <w:b/>
          <w:iCs/>
          <w:sz w:val="24"/>
          <w:szCs w:val="24"/>
        </w:rPr>
        <w:t xml:space="preserve"> </w:t>
      </w:r>
      <w:r w:rsidRPr="0094555B" w:rsidR="003D7973">
        <w:rPr>
          <w:rFonts w:ascii="Times New Roman" w:hAnsi="Times New Roman" w:cs="Times New Roman"/>
          <w:b/>
          <w:iCs/>
        </w:rPr>
        <w:t>(</w:t>
      </w:r>
      <w:r w:rsidRPr="0094555B" w:rsidR="005F5165">
        <w:rPr>
          <w:rFonts w:ascii="Times New Roman" w:hAnsi="Times New Roman" w:cs="Times New Roman"/>
          <w:b/>
          <w:iCs/>
        </w:rPr>
        <w:t>ESTIMATE</w:t>
      </w:r>
      <w:r w:rsidRPr="0094555B" w:rsidR="003D7973">
        <w:rPr>
          <w:rFonts w:ascii="Times New Roman" w:hAnsi="Times New Roman" w:cs="Times New Roman"/>
          <w:b/>
          <w:iCs/>
        </w:rPr>
        <w:t xml:space="preserve"> 12.3b)</w:t>
      </w:r>
    </w:p>
    <w:p w:rsidRPr="0094555B" w:rsidR="00332B7B" w:rsidP="0094555B" w:rsidRDefault="00624B15" w14:paraId="6A5E83E9" w14:textId="77777777">
      <w:pPr>
        <w:rPr>
          <w:rFonts w:ascii="Times New Roman" w:hAnsi="Times New Roman" w:cs="Times New Roman"/>
          <w:sz w:val="24"/>
          <w:szCs w:val="24"/>
        </w:rPr>
      </w:pPr>
      <w:r w:rsidRPr="0094555B">
        <w:rPr>
          <w:rFonts w:ascii="Times New Roman" w:hAnsi="Times New Roman" w:cs="Times New Roman"/>
          <w:sz w:val="24"/>
          <w:szCs w:val="24"/>
          <w:u w:val="single"/>
        </w:rPr>
        <w:t>Section 438.8 Medical loss ratio standards</w:t>
      </w:r>
      <w:r w:rsidRPr="0094555B">
        <w:rPr>
          <w:rFonts w:ascii="Times New Roman" w:hAnsi="Times New Roman" w:cs="Times New Roman"/>
          <w:sz w:val="24"/>
          <w:szCs w:val="24"/>
        </w:rPr>
        <w:t xml:space="preserve"> </w:t>
      </w:r>
    </w:p>
    <w:p w:rsidRPr="0094555B" w:rsidR="00624B15" w:rsidP="0094555B" w:rsidRDefault="00624B15" w14:paraId="237D5DCF" w14:textId="0B80E1AE">
      <w:pPr>
        <w:rPr>
          <w:rFonts w:ascii="Times New Roman" w:hAnsi="Times New Roman" w:cs="Times New Roman"/>
          <w:sz w:val="24"/>
          <w:szCs w:val="24"/>
        </w:rPr>
      </w:pPr>
      <w:r w:rsidRPr="0094555B">
        <w:rPr>
          <w:rFonts w:ascii="Times New Roman" w:hAnsi="Times New Roman" w:cs="Times New Roman"/>
          <w:sz w:val="24"/>
          <w:szCs w:val="24"/>
        </w:rPr>
        <w:t xml:space="preserve">Section 438.8(c) requires that MCOs, PIHPs, and PAHPs report to the state annually their total expenditures on all claims and non-claims related activities, premium revenue, the calculated MLR, and, if applicable, any remittance owed.  </w:t>
      </w:r>
    </w:p>
    <w:p w:rsidRPr="0094555B" w:rsidR="00624B15" w:rsidP="0094555B" w:rsidRDefault="00624B15" w14:paraId="1B849921" w14:textId="741F502C">
      <w:pPr>
        <w:rPr>
          <w:rFonts w:ascii="Times New Roman" w:hAnsi="Times New Roman" w:cs="Times New Roman"/>
          <w:sz w:val="24"/>
          <w:szCs w:val="24"/>
        </w:rPr>
      </w:pPr>
      <w:r w:rsidRPr="0094555B">
        <w:rPr>
          <w:rFonts w:ascii="Times New Roman" w:hAnsi="Times New Roman" w:cs="Times New Roman"/>
          <w:sz w:val="24"/>
          <w:szCs w:val="24"/>
        </w:rPr>
        <w:t xml:space="preserve">We estimated the total number of MLR reports that MCOs, PIHPs, and PAHPs were required to submit to states amount to </w:t>
      </w:r>
      <w:r w:rsidRPr="0094555B" w:rsidR="00A83670">
        <w:rPr>
          <w:rFonts w:ascii="Times New Roman" w:hAnsi="Times New Roman" w:cs="Times New Roman"/>
          <w:sz w:val="24"/>
          <w:szCs w:val="24"/>
        </w:rPr>
        <w:t>488</w:t>
      </w:r>
      <w:r w:rsidRPr="0094555B">
        <w:rPr>
          <w:rFonts w:ascii="Times New Roman" w:hAnsi="Times New Roman" w:cs="Times New Roman"/>
          <w:sz w:val="24"/>
          <w:szCs w:val="24"/>
        </w:rPr>
        <w:t xml:space="preserve"> contracts.  All MCOs, PIHPs, and PAHPs will need to report the information required under §438.8 regardless of their credibility status.</w:t>
      </w:r>
    </w:p>
    <w:p w:rsidRPr="0094555B" w:rsidR="00624B15" w:rsidP="0094555B" w:rsidRDefault="002A52FF" w14:paraId="39C58E7C" w14:textId="71C830D6">
      <w:pPr>
        <w:rPr>
          <w:rFonts w:ascii="Times New Roman" w:hAnsi="Times New Roman" w:cs="Times New Roman"/>
          <w:sz w:val="24"/>
          <w:szCs w:val="24"/>
        </w:rPr>
      </w:pPr>
      <w:r w:rsidRPr="0094555B">
        <w:rPr>
          <w:rFonts w:ascii="Times New Roman" w:hAnsi="Times New Roman" w:cs="Times New Roman"/>
          <w:sz w:val="24"/>
          <w:szCs w:val="24"/>
        </w:rPr>
        <w:t xml:space="preserve">We estimate calculating the MLR and developing the report </w:t>
      </w:r>
      <w:r w:rsidRPr="0094555B" w:rsidR="000A4165">
        <w:rPr>
          <w:rFonts w:ascii="Times New Roman" w:hAnsi="Times New Roman" w:cs="Times New Roman"/>
          <w:sz w:val="24"/>
          <w:szCs w:val="24"/>
        </w:rPr>
        <w:t xml:space="preserve">will </w:t>
      </w:r>
      <w:r w:rsidRPr="0094555B">
        <w:rPr>
          <w:rFonts w:ascii="Times New Roman" w:hAnsi="Times New Roman" w:cs="Times New Roman"/>
          <w:sz w:val="24"/>
          <w:szCs w:val="24"/>
        </w:rPr>
        <w:t>take each plan</w:t>
      </w:r>
      <w:r w:rsidRPr="0094555B" w:rsidR="00624B15">
        <w:rPr>
          <w:rFonts w:ascii="Times New Roman" w:hAnsi="Times New Roman" w:cs="Times New Roman"/>
          <w:sz w:val="24"/>
          <w:szCs w:val="24"/>
        </w:rPr>
        <w:t xml:space="preserve"> approximately 53 </w:t>
      </w:r>
      <w:proofErr w:type="spellStart"/>
      <w:r w:rsidRPr="0094555B" w:rsidR="00624B15">
        <w:rPr>
          <w:rFonts w:ascii="Times New Roman" w:hAnsi="Times New Roman" w:cs="Times New Roman"/>
          <w:sz w:val="24"/>
          <w:szCs w:val="24"/>
        </w:rPr>
        <w:t>hr</w:t>
      </w:r>
      <w:proofErr w:type="spellEnd"/>
      <w:r w:rsidRPr="0094555B" w:rsidR="00F721CA">
        <w:rPr>
          <w:rFonts w:ascii="Times New Roman" w:hAnsi="Times New Roman" w:cs="Times New Roman"/>
          <w:sz w:val="24"/>
          <w:szCs w:val="24"/>
        </w:rPr>
        <w:t>, including the time to submit the report</w:t>
      </w:r>
      <w:r w:rsidRPr="0094555B" w:rsidR="00624B15">
        <w:rPr>
          <w:rFonts w:ascii="Times New Roman" w:hAnsi="Times New Roman" w:cs="Times New Roman"/>
          <w:sz w:val="24"/>
          <w:szCs w:val="24"/>
        </w:rPr>
        <w:t xml:space="preserve">.  </w:t>
      </w:r>
      <w:r w:rsidRPr="0094555B" w:rsidR="000A4165">
        <w:rPr>
          <w:rFonts w:ascii="Times New Roman" w:hAnsi="Times New Roman" w:cs="Times New Roman"/>
          <w:sz w:val="24"/>
          <w:szCs w:val="24"/>
        </w:rPr>
        <w:t>W</w:t>
      </w:r>
      <w:r w:rsidRPr="0094555B" w:rsidR="00624B15">
        <w:rPr>
          <w:rFonts w:ascii="Times New Roman" w:hAnsi="Times New Roman" w:cs="Times New Roman"/>
          <w:sz w:val="24"/>
          <w:szCs w:val="24"/>
        </w:rPr>
        <w:t xml:space="preserve">e estimate an annual private sector burden of </w:t>
      </w:r>
      <w:r w:rsidRPr="0094555B" w:rsidR="004077FF">
        <w:rPr>
          <w:rFonts w:ascii="Times New Roman" w:hAnsi="Times New Roman" w:cs="Times New Roman"/>
          <w:b/>
          <w:sz w:val="24"/>
          <w:szCs w:val="24"/>
        </w:rPr>
        <w:t>25,864</w:t>
      </w:r>
      <w:r w:rsidRPr="0094555B" w:rsidR="00624B15">
        <w:rPr>
          <w:rFonts w:ascii="Times New Roman" w:hAnsi="Times New Roman" w:cs="Times New Roman"/>
          <w:b/>
          <w:sz w:val="24"/>
          <w:szCs w:val="24"/>
        </w:rPr>
        <w:t xml:space="preserve"> </w:t>
      </w:r>
      <w:proofErr w:type="spellStart"/>
      <w:r w:rsidRPr="0094555B" w:rsidR="00624B15">
        <w:rPr>
          <w:rFonts w:ascii="Times New Roman" w:hAnsi="Times New Roman" w:cs="Times New Roman"/>
          <w:b/>
          <w:sz w:val="24"/>
          <w:szCs w:val="24"/>
        </w:rPr>
        <w:t>hr</w:t>
      </w:r>
      <w:proofErr w:type="spellEnd"/>
      <w:r w:rsidRPr="0094555B" w:rsidR="00624B15">
        <w:rPr>
          <w:rFonts w:ascii="Times New Roman" w:hAnsi="Times New Roman" w:cs="Times New Roman"/>
          <w:sz w:val="24"/>
          <w:szCs w:val="24"/>
        </w:rPr>
        <w:t xml:space="preserve"> (488 contracts x 53 </w:t>
      </w:r>
      <w:proofErr w:type="spellStart"/>
      <w:r w:rsidRPr="0094555B" w:rsidR="00624B15">
        <w:rPr>
          <w:rFonts w:ascii="Times New Roman" w:hAnsi="Times New Roman" w:cs="Times New Roman"/>
          <w:sz w:val="24"/>
          <w:szCs w:val="24"/>
        </w:rPr>
        <w:t>hr</w:t>
      </w:r>
      <w:proofErr w:type="spellEnd"/>
      <w:r w:rsidRPr="0094555B" w:rsidR="00624B15">
        <w:rPr>
          <w:rFonts w:ascii="Times New Roman" w:hAnsi="Times New Roman" w:cs="Times New Roman"/>
          <w:sz w:val="24"/>
          <w:szCs w:val="24"/>
        </w:rPr>
        <w:t xml:space="preserve">) and a total of </w:t>
      </w:r>
      <w:r w:rsidRPr="0094555B" w:rsidR="00624B15">
        <w:rPr>
          <w:rFonts w:ascii="Times New Roman" w:hAnsi="Times New Roman" w:cs="Times New Roman"/>
          <w:b/>
          <w:sz w:val="24"/>
          <w:szCs w:val="24"/>
        </w:rPr>
        <w:t>$</w:t>
      </w:r>
      <w:r w:rsidRPr="0094555B" w:rsidR="00110722">
        <w:rPr>
          <w:rFonts w:ascii="Times New Roman" w:hAnsi="Times New Roman" w:cs="Times New Roman"/>
          <w:b/>
          <w:sz w:val="24"/>
          <w:szCs w:val="24"/>
        </w:rPr>
        <w:t>2,</w:t>
      </w:r>
      <w:r w:rsidR="0021018F">
        <w:rPr>
          <w:rFonts w:ascii="Times New Roman" w:hAnsi="Times New Roman" w:cs="Times New Roman"/>
          <w:b/>
          <w:sz w:val="24"/>
          <w:szCs w:val="24"/>
        </w:rPr>
        <w:t>53</w:t>
      </w:r>
      <w:r w:rsidR="00EC73B8">
        <w:rPr>
          <w:rFonts w:ascii="Times New Roman" w:hAnsi="Times New Roman" w:cs="Times New Roman"/>
          <w:b/>
          <w:sz w:val="24"/>
          <w:szCs w:val="24"/>
        </w:rPr>
        <w:t>4,184</w:t>
      </w:r>
      <w:r w:rsidRPr="0094555B" w:rsidR="00624B15">
        <w:rPr>
          <w:rFonts w:ascii="Times New Roman" w:hAnsi="Times New Roman" w:cs="Times New Roman"/>
          <w:sz w:val="24"/>
          <w:szCs w:val="24"/>
        </w:rPr>
        <w:t xml:space="preserve"> [488 contracts x ((32 </w:t>
      </w:r>
      <w:proofErr w:type="spellStart"/>
      <w:r w:rsidRPr="0094555B" w:rsidR="00624B15">
        <w:rPr>
          <w:rFonts w:ascii="Times New Roman" w:hAnsi="Times New Roman" w:cs="Times New Roman"/>
          <w:sz w:val="24"/>
          <w:szCs w:val="24"/>
        </w:rPr>
        <w:t>hr</w:t>
      </w:r>
      <w:proofErr w:type="spellEnd"/>
      <w:r w:rsidRPr="0094555B" w:rsidR="00624B15">
        <w:rPr>
          <w:rFonts w:ascii="Times New Roman" w:hAnsi="Times New Roman" w:cs="Times New Roman"/>
          <w:sz w:val="24"/>
          <w:szCs w:val="24"/>
        </w:rPr>
        <w:t xml:space="preserve"> x $</w:t>
      </w:r>
      <w:r w:rsidRPr="0094555B" w:rsidR="00110722">
        <w:rPr>
          <w:rFonts w:ascii="Times New Roman" w:hAnsi="Times New Roman" w:cs="Times New Roman"/>
          <w:sz w:val="24"/>
          <w:szCs w:val="24"/>
        </w:rPr>
        <w:t>10</w:t>
      </w:r>
      <w:r w:rsidR="0007010E">
        <w:rPr>
          <w:rFonts w:ascii="Times New Roman" w:hAnsi="Times New Roman" w:cs="Times New Roman"/>
          <w:sz w:val="24"/>
          <w:szCs w:val="24"/>
        </w:rPr>
        <w:t>5.72</w:t>
      </w:r>
      <w:r w:rsidRPr="0094555B" w:rsidR="00624B15">
        <w:rPr>
          <w:rFonts w:ascii="Times New Roman" w:hAnsi="Times New Roman" w:cs="Times New Roman"/>
          <w:sz w:val="24"/>
          <w:szCs w:val="24"/>
        </w:rPr>
        <w:t>/</w:t>
      </w:r>
      <w:proofErr w:type="spellStart"/>
      <w:r w:rsidRPr="0094555B" w:rsidR="00624B15">
        <w:rPr>
          <w:rFonts w:ascii="Times New Roman" w:hAnsi="Times New Roman" w:cs="Times New Roman"/>
          <w:sz w:val="24"/>
          <w:szCs w:val="24"/>
        </w:rPr>
        <w:t>hr</w:t>
      </w:r>
      <w:proofErr w:type="spellEnd"/>
      <w:r w:rsidRPr="0094555B" w:rsidR="000A4165">
        <w:rPr>
          <w:rFonts w:ascii="Times New Roman" w:hAnsi="Times New Roman" w:cs="Times New Roman"/>
          <w:sz w:val="24"/>
          <w:szCs w:val="24"/>
        </w:rPr>
        <w:t xml:space="preserve"> for a </w:t>
      </w:r>
      <w:r w:rsidRPr="0094555B" w:rsidR="00BA0633">
        <w:rPr>
          <w:rFonts w:ascii="Times New Roman" w:hAnsi="Times New Roman" w:cs="Times New Roman"/>
          <w:sz w:val="24"/>
          <w:szCs w:val="24"/>
        </w:rPr>
        <w:t>computer programmer</w:t>
      </w:r>
      <w:r w:rsidRPr="0094555B" w:rsidR="00624B15">
        <w:rPr>
          <w:rFonts w:ascii="Times New Roman" w:hAnsi="Times New Roman" w:cs="Times New Roman"/>
          <w:sz w:val="24"/>
          <w:szCs w:val="24"/>
        </w:rPr>
        <w:t xml:space="preserve">) + (16 </w:t>
      </w:r>
      <w:proofErr w:type="spellStart"/>
      <w:r w:rsidRPr="0094555B" w:rsidR="00624B15">
        <w:rPr>
          <w:rFonts w:ascii="Times New Roman" w:hAnsi="Times New Roman" w:cs="Times New Roman"/>
          <w:sz w:val="24"/>
          <w:szCs w:val="24"/>
        </w:rPr>
        <w:t>hr</w:t>
      </w:r>
      <w:proofErr w:type="spellEnd"/>
      <w:r w:rsidRPr="0094555B" w:rsidR="00624B15">
        <w:rPr>
          <w:rFonts w:ascii="Times New Roman" w:hAnsi="Times New Roman" w:cs="Times New Roman"/>
          <w:sz w:val="24"/>
          <w:szCs w:val="24"/>
        </w:rPr>
        <w:t xml:space="preserve"> x </w:t>
      </w:r>
      <w:r w:rsidRPr="0094555B" w:rsidR="00773C0B">
        <w:rPr>
          <w:rFonts w:ascii="Times New Roman" w:hAnsi="Times New Roman" w:cs="Times New Roman"/>
          <w:sz w:val="24"/>
          <w:szCs w:val="24"/>
        </w:rPr>
        <w:t>$</w:t>
      </w:r>
      <w:r w:rsidRPr="0094555B" w:rsidR="00110722">
        <w:rPr>
          <w:rFonts w:ascii="Times New Roman" w:hAnsi="Times New Roman" w:cs="Times New Roman"/>
          <w:sz w:val="24"/>
          <w:szCs w:val="24"/>
        </w:rPr>
        <w:t>7</w:t>
      </w:r>
      <w:r w:rsidR="0007010E">
        <w:rPr>
          <w:rFonts w:ascii="Times New Roman" w:hAnsi="Times New Roman" w:cs="Times New Roman"/>
          <w:sz w:val="24"/>
          <w:szCs w:val="24"/>
        </w:rPr>
        <w:t>5.32</w:t>
      </w:r>
      <w:r w:rsidRPr="0094555B" w:rsidR="00624B15">
        <w:rPr>
          <w:rFonts w:ascii="Times New Roman" w:hAnsi="Times New Roman" w:cs="Times New Roman"/>
          <w:sz w:val="24"/>
          <w:szCs w:val="24"/>
        </w:rPr>
        <w:t>/</w:t>
      </w:r>
      <w:proofErr w:type="spellStart"/>
      <w:r w:rsidRPr="0094555B" w:rsidR="00624B15">
        <w:rPr>
          <w:rFonts w:ascii="Times New Roman" w:hAnsi="Times New Roman" w:cs="Times New Roman"/>
          <w:sz w:val="24"/>
          <w:szCs w:val="24"/>
        </w:rPr>
        <w:t>hr</w:t>
      </w:r>
      <w:proofErr w:type="spellEnd"/>
      <w:r w:rsidRPr="0094555B" w:rsidR="000A4165">
        <w:rPr>
          <w:rFonts w:ascii="Times New Roman" w:hAnsi="Times New Roman" w:cs="Times New Roman"/>
          <w:sz w:val="24"/>
          <w:szCs w:val="24"/>
        </w:rPr>
        <w:t xml:space="preserve"> for </w:t>
      </w:r>
      <w:r w:rsidRPr="0094555B" w:rsidR="001B75AE">
        <w:rPr>
          <w:rFonts w:ascii="Times New Roman" w:hAnsi="Times New Roman" w:cs="Times New Roman"/>
          <w:sz w:val="24"/>
          <w:szCs w:val="24"/>
        </w:rPr>
        <w:t>a business operations specialist</w:t>
      </w:r>
      <w:r w:rsidRPr="0094555B" w:rsidR="00624B15">
        <w:rPr>
          <w:rFonts w:ascii="Times New Roman" w:hAnsi="Times New Roman" w:cs="Times New Roman"/>
          <w:sz w:val="24"/>
          <w:szCs w:val="24"/>
        </w:rPr>
        <w:t xml:space="preserve">) + (5 </w:t>
      </w:r>
      <w:proofErr w:type="spellStart"/>
      <w:r w:rsidRPr="0094555B" w:rsidR="00624B15">
        <w:rPr>
          <w:rFonts w:ascii="Times New Roman" w:hAnsi="Times New Roman" w:cs="Times New Roman"/>
          <w:sz w:val="24"/>
          <w:szCs w:val="24"/>
        </w:rPr>
        <w:t>hr</w:t>
      </w:r>
      <w:proofErr w:type="spellEnd"/>
      <w:r w:rsidRPr="0094555B" w:rsidR="00624B15">
        <w:rPr>
          <w:rFonts w:ascii="Times New Roman" w:hAnsi="Times New Roman" w:cs="Times New Roman"/>
          <w:sz w:val="24"/>
          <w:szCs w:val="24"/>
        </w:rPr>
        <w:t xml:space="preserve"> x </w:t>
      </w:r>
      <w:r w:rsidRPr="0094555B" w:rsidR="00827481">
        <w:rPr>
          <w:rFonts w:ascii="Times New Roman" w:hAnsi="Times New Roman" w:cs="Times New Roman"/>
          <w:sz w:val="24"/>
          <w:szCs w:val="24"/>
        </w:rPr>
        <w:t>$</w:t>
      </w:r>
      <w:r w:rsidRPr="0094555B" w:rsidR="00110722">
        <w:rPr>
          <w:rFonts w:ascii="Times New Roman" w:hAnsi="Times New Roman" w:cs="Times New Roman"/>
          <w:sz w:val="24"/>
          <w:szCs w:val="24"/>
        </w:rPr>
        <w:t>1</w:t>
      </w:r>
      <w:r w:rsidR="0007010E">
        <w:rPr>
          <w:rFonts w:ascii="Times New Roman" w:hAnsi="Times New Roman" w:cs="Times New Roman"/>
          <w:sz w:val="24"/>
          <w:szCs w:val="24"/>
        </w:rPr>
        <w:t>20.90</w:t>
      </w:r>
      <w:r w:rsidRPr="0094555B" w:rsidR="00624B15">
        <w:rPr>
          <w:rFonts w:ascii="Times New Roman" w:hAnsi="Times New Roman" w:cs="Times New Roman"/>
          <w:sz w:val="24"/>
          <w:szCs w:val="24"/>
        </w:rPr>
        <w:t>/</w:t>
      </w:r>
      <w:proofErr w:type="spellStart"/>
      <w:r w:rsidRPr="0094555B" w:rsidR="00624B15">
        <w:rPr>
          <w:rFonts w:ascii="Times New Roman" w:hAnsi="Times New Roman" w:cs="Times New Roman"/>
          <w:sz w:val="24"/>
          <w:szCs w:val="24"/>
        </w:rPr>
        <w:t>hr</w:t>
      </w:r>
      <w:proofErr w:type="spellEnd"/>
      <w:r w:rsidRPr="0094555B" w:rsidR="000A4165">
        <w:rPr>
          <w:rFonts w:ascii="Times New Roman" w:hAnsi="Times New Roman" w:cs="Times New Roman"/>
          <w:sz w:val="24"/>
          <w:szCs w:val="24"/>
        </w:rPr>
        <w:t xml:space="preserve"> for a </w:t>
      </w:r>
      <w:r w:rsidRPr="0094555B" w:rsidR="00814CB8">
        <w:rPr>
          <w:rFonts w:ascii="Times New Roman" w:hAnsi="Times New Roman" w:cs="Times New Roman"/>
          <w:sz w:val="24"/>
          <w:szCs w:val="24"/>
        </w:rPr>
        <w:t>general and operations manager</w:t>
      </w:r>
      <w:r w:rsidRPr="0094555B" w:rsidR="005579C1">
        <w:rPr>
          <w:rFonts w:ascii="Times New Roman" w:hAnsi="Times New Roman" w:cs="Times New Roman"/>
          <w:sz w:val="24"/>
          <w:szCs w:val="24"/>
        </w:rPr>
        <w:t>)</w:t>
      </w:r>
      <w:r w:rsidRPr="0094555B" w:rsidR="00624B15">
        <w:rPr>
          <w:rFonts w:ascii="Times New Roman" w:hAnsi="Times New Roman" w:cs="Times New Roman"/>
          <w:sz w:val="24"/>
          <w:szCs w:val="24"/>
        </w:rPr>
        <w:t xml:space="preserve">].   We expect that states will permit MCOs, PIHPs, and PAHPs to submit the report electronically. </w:t>
      </w:r>
      <w:r w:rsidRPr="0094555B" w:rsidR="00624B15">
        <w:rPr>
          <w:rFonts w:ascii="Times New Roman" w:hAnsi="Times New Roman" w:cs="Times New Roman"/>
          <w:b/>
          <w:iCs/>
          <w:sz w:val="24"/>
          <w:szCs w:val="24"/>
        </w:rPr>
        <w:t>(</w:t>
      </w:r>
      <w:r w:rsidRPr="0094555B" w:rsidR="005F5165">
        <w:rPr>
          <w:rFonts w:ascii="Times New Roman" w:hAnsi="Times New Roman" w:cs="Times New Roman"/>
          <w:b/>
          <w:iCs/>
          <w:sz w:val="24"/>
          <w:szCs w:val="24"/>
        </w:rPr>
        <w:t>ESTIMATE</w:t>
      </w:r>
      <w:r w:rsidRPr="0094555B" w:rsidR="00624B15">
        <w:rPr>
          <w:rFonts w:ascii="Times New Roman" w:hAnsi="Times New Roman" w:cs="Times New Roman"/>
          <w:b/>
          <w:iCs/>
          <w:sz w:val="24"/>
          <w:szCs w:val="24"/>
        </w:rPr>
        <w:t xml:space="preserve"> 12.5)</w:t>
      </w:r>
    </w:p>
    <w:p w:rsidRPr="0094555B" w:rsidR="00624B15" w:rsidP="0094555B" w:rsidRDefault="00624B15" w14:paraId="6AF7FB71" w14:textId="77777777">
      <w:pPr>
        <w:rPr>
          <w:rFonts w:ascii="Times New Roman" w:hAnsi="Times New Roman" w:cs="Times New Roman"/>
          <w:sz w:val="24"/>
          <w:szCs w:val="24"/>
        </w:rPr>
      </w:pPr>
      <w:r w:rsidRPr="0094555B">
        <w:rPr>
          <w:rFonts w:ascii="Times New Roman" w:hAnsi="Times New Roman" w:cs="Times New Roman"/>
          <w:sz w:val="24"/>
          <w:szCs w:val="24"/>
        </w:rPr>
        <w:t>Section 438.8(m) requires the MCO or PIHP to recalculate its MLR for any year in which a retroactive capitation change is made.  As such retroactive adjustments are not a common practice, we estimate that no more than 3 plans per year may have to recalculate their MLR do this.</w:t>
      </w:r>
    </w:p>
    <w:p w:rsidRPr="0094555B" w:rsidR="00332B7B" w:rsidP="0094555B" w:rsidRDefault="00624B15" w14:paraId="1522890B" w14:textId="77777777">
      <w:pPr>
        <w:rPr>
          <w:rFonts w:ascii="Times New Roman" w:hAnsi="Times New Roman" w:cs="Times New Roman"/>
          <w:sz w:val="24"/>
          <w:szCs w:val="24"/>
        </w:rPr>
      </w:pPr>
      <w:r w:rsidRPr="0094555B">
        <w:rPr>
          <w:rFonts w:ascii="Times New Roman" w:hAnsi="Times New Roman" w:cs="Times New Roman"/>
          <w:sz w:val="24"/>
          <w:szCs w:val="24"/>
          <w:u w:val="single"/>
        </w:rPr>
        <w:t>Section 438.10 Information Requirements</w:t>
      </w:r>
      <w:r w:rsidRPr="0094555B">
        <w:rPr>
          <w:rFonts w:ascii="Times New Roman" w:hAnsi="Times New Roman" w:cs="Times New Roman"/>
          <w:sz w:val="24"/>
          <w:szCs w:val="24"/>
        </w:rPr>
        <w:t xml:space="preserve"> </w:t>
      </w:r>
    </w:p>
    <w:p w:rsidRPr="0094555B" w:rsidR="00624B15" w:rsidP="0094555B" w:rsidRDefault="00624B15" w14:paraId="46761A6F" w14:textId="55CF84B2">
      <w:pPr>
        <w:rPr>
          <w:rFonts w:ascii="Times New Roman" w:hAnsi="Times New Roman" w:cs="Times New Roman"/>
          <w:sz w:val="24"/>
          <w:szCs w:val="24"/>
        </w:rPr>
      </w:pPr>
      <w:r w:rsidRPr="0094555B">
        <w:rPr>
          <w:rFonts w:ascii="Times New Roman" w:hAnsi="Times New Roman" w:cs="Times New Roman"/>
          <w:sz w:val="24"/>
          <w:szCs w:val="24"/>
        </w:rPr>
        <w:t xml:space="preserve">Section 438.10(c)(3) requires states to operate a website that provides the information required in §438.10(f).  Since states already have websites for their Medicaid programs and most also </w:t>
      </w:r>
      <w:r w:rsidRPr="0094555B">
        <w:rPr>
          <w:rFonts w:ascii="Times New Roman" w:hAnsi="Times New Roman" w:cs="Times New Roman"/>
          <w:sz w:val="24"/>
          <w:szCs w:val="24"/>
        </w:rPr>
        <w:lastRenderedPageBreak/>
        <w:t>include information about their managed care program, most states will only have to make minor revisions to their existing website.</w:t>
      </w:r>
    </w:p>
    <w:p w:rsidRPr="0094555B" w:rsidR="00624B15" w:rsidP="0094555B" w:rsidRDefault="00624B15" w14:paraId="3C60327C" w14:textId="1C8034FE">
      <w:pPr>
        <w:rPr>
          <w:rFonts w:ascii="Times New Roman" w:hAnsi="Times New Roman" w:cs="Times New Roman"/>
          <w:sz w:val="24"/>
          <w:szCs w:val="24"/>
        </w:rPr>
      </w:pPr>
      <w:r w:rsidRPr="0094555B">
        <w:rPr>
          <w:rFonts w:ascii="Times New Roman" w:hAnsi="Times New Roman" w:cs="Times New Roman"/>
          <w:sz w:val="24"/>
          <w:szCs w:val="24"/>
        </w:rPr>
        <w:t xml:space="preserve">We also estimate 3 </w:t>
      </w:r>
      <w:proofErr w:type="spellStart"/>
      <w:r w:rsidRPr="0094555B">
        <w:rPr>
          <w:rFonts w:ascii="Times New Roman" w:hAnsi="Times New Roman" w:cs="Times New Roman"/>
          <w:sz w:val="24"/>
          <w:szCs w:val="24"/>
        </w:rPr>
        <w:t>hr</w:t>
      </w:r>
      <w:proofErr w:type="spellEnd"/>
      <w:r w:rsidRPr="0094555B">
        <w:rPr>
          <w:rFonts w:ascii="Times New Roman" w:hAnsi="Times New Roman" w:cs="Times New Roman"/>
          <w:sz w:val="24"/>
          <w:szCs w:val="24"/>
        </w:rPr>
        <w:t xml:space="preserve"> for a computer programmer to periodically add or update documents and links on the site.  </w:t>
      </w:r>
      <w:r w:rsidRPr="0094555B" w:rsidR="00872BFA">
        <w:rPr>
          <w:rFonts w:ascii="Times New Roman" w:hAnsi="Times New Roman" w:cs="Times New Roman"/>
          <w:sz w:val="24"/>
          <w:szCs w:val="24"/>
        </w:rPr>
        <w:t>W</w:t>
      </w:r>
      <w:r w:rsidRPr="0094555B">
        <w:rPr>
          <w:rFonts w:ascii="Times New Roman" w:hAnsi="Times New Roman" w:cs="Times New Roman"/>
          <w:sz w:val="24"/>
          <w:szCs w:val="24"/>
        </w:rPr>
        <w:t xml:space="preserve">e estimate an annual state burden of </w:t>
      </w:r>
      <w:r w:rsidRPr="0094555B">
        <w:rPr>
          <w:rFonts w:ascii="Times New Roman" w:hAnsi="Times New Roman" w:cs="Times New Roman"/>
          <w:b/>
          <w:sz w:val="24"/>
          <w:szCs w:val="24"/>
        </w:rPr>
        <w:t>12</w:t>
      </w:r>
      <w:r w:rsidRPr="0094555B" w:rsidR="00110722">
        <w:rPr>
          <w:rFonts w:ascii="Times New Roman" w:hAnsi="Times New Roman" w:cs="Times New Roman"/>
          <w:b/>
          <w:sz w:val="24"/>
          <w:szCs w:val="24"/>
        </w:rPr>
        <w:t>3</w:t>
      </w:r>
      <w:r w:rsidRPr="0094555B">
        <w:rPr>
          <w:rFonts w:ascii="Times New Roman" w:hAnsi="Times New Roman" w:cs="Times New Roman"/>
          <w:b/>
          <w:sz w:val="24"/>
          <w:szCs w:val="24"/>
        </w:rPr>
        <w:t xml:space="preserve"> </w:t>
      </w:r>
      <w:proofErr w:type="spellStart"/>
      <w:r w:rsidRPr="0094555B">
        <w:rPr>
          <w:rFonts w:ascii="Times New Roman" w:hAnsi="Times New Roman" w:cs="Times New Roman"/>
          <w:b/>
          <w:sz w:val="24"/>
          <w:szCs w:val="24"/>
        </w:rPr>
        <w:t>hr</w:t>
      </w:r>
      <w:proofErr w:type="spellEnd"/>
      <w:r w:rsidRPr="0094555B">
        <w:rPr>
          <w:rFonts w:ascii="Times New Roman" w:hAnsi="Times New Roman" w:cs="Times New Roman"/>
          <w:sz w:val="24"/>
          <w:szCs w:val="24"/>
        </w:rPr>
        <w:t xml:space="preserve"> (4</w:t>
      </w:r>
      <w:r w:rsidRPr="0094555B" w:rsidR="00110722">
        <w:rPr>
          <w:rFonts w:ascii="Times New Roman" w:hAnsi="Times New Roman" w:cs="Times New Roman"/>
          <w:sz w:val="24"/>
          <w:szCs w:val="24"/>
        </w:rPr>
        <w:t>1</w:t>
      </w:r>
      <w:r w:rsidRPr="0094555B">
        <w:rPr>
          <w:rFonts w:ascii="Times New Roman" w:hAnsi="Times New Roman" w:cs="Times New Roman"/>
          <w:sz w:val="24"/>
          <w:szCs w:val="24"/>
        </w:rPr>
        <w:t xml:space="preserve"> states x 3 </w:t>
      </w:r>
      <w:proofErr w:type="spellStart"/>
      <w:r w:rsidRPr="0094555B">
        <w:rPr>
          <w:rFonts w:ascii="Times New Roman" w:hAnsi="Times New Roman" w:cs="Times New Roman"/>
          <w:sz w:val="24"/>
          <w:szCs w:val="24"/>
        </w:rPr>
        <w:t>hr</w:t>
      </w:r>
      <w:proofErr w:type="spellEnd"/>
      <w:r w:rsidRPr="0094555B">
        <w:rPr>
          <w:rFonts w:ascii="Times New Roman" w:hAnsi="Times New Roman" w:cs="Times New Roman"/>
          <w:sz w:val="24"/>
          <w:szCs w:val="24"/>
        </w:rPr>
        <w:t xml:space="preserve">) and </w:t>
      </w:r>
      <w:r w:rsidRPr="0094555B">
        <w:rPr>
          <w:rFonts w:ascii="Times New Roman" w:hAnsi="Times New Roman" w:cs="Times New Roman"/>
          <w:b/>
          <w:sz w:val="24"/>
          <w:szCs w:val="24"/>
        </w:rPr>
        <w:t>$</w:t>
      </w:r>
      <w:r w:rsidRPr="0094555B" w:rsidR="00E84941">
        <w:rPr>
          <w:rFonts w:ascii="Times New Roman" w:hAnsi="Times New Roman" w:cs="Times New Roman"/>
          <w:b/>
          <w:sz w:val="24"/>
          <w:szCs w:val="24"/>
        </w:rPr>
        <w:t>1</w:t>
      </w:r>
      <w:r w:rsidR="00BE1559">
        <w:rPr>
          <w:rFonts w:ascii="Times New Roman" w:hAnsi="Times New Roman" w:cs="Times New Roman"/>
          <w:b/>
          <w:sz w:val="24"/>
          <w:szCs w:val="24"/>
        </w:rPr>
        <w:t>3,004</w:t>
      </w:r>
      <w:r w:rsidRPr="0094555B">
        <w:rPr>
          <w:rFonts w:ascii="Times New Roman" w:hAnsi="Times New Roman" w:cs="Times New Roman"/>
          <w:sz w:val="24"/>
          <w:szCs w:val="24"/>
        </w:rPr>
        <w:t xml:space="preserve"> (12</w:t>
      </w:r>
      <w:r w:rsidRPr="0094555B" w:rsidR="00110722">
        <w:rPr>
          <w:rFonts w:ascii="Times New Roman" w:hAnsi="Times New Roman" w:cs="Times New Roman"/>
          <w:sz w:val="24"/>
          <w:szCs w:val="24"/>
        </w:rPr>
        <w:t>3</w:t>
      </w:r>
      <w:r w:rsidRPr="0094555B">
        <w:rPr>
          <w:rFonts w:ascii="Times New Roman" w:hAnsi="Times New Roman" w:cs="Times New Roman"/>
          <w:sz w:val="24"/>
          <w:szCs w:val="24"/>
        </w:rPr>
        <w:t xml:space="preserve"> </w:t>
      </w:r>
      <w:proofErr w:type="spellStart"/>
      <w:r w:rsidRPr="0094555B">
        <w:rPr>
          <w:rFonts w:ascii="Times New Roman" w:hAnsi="Times New Roman" w:cs="Times New Roman"/>
          <w:sz w:val="24"/>
          <w:szCs w:val="24"/>
        </w:rPr>
        <w:t>hr</w:t>
      </w:r>
      <w:proofErr w:type="spellEnd"/>
      <w:r w:rsidRPr="0094555B">
        <w:rPr>
          <w:rFonts w:ascii="Times New Roman" w:hAnsi="Times New Roman" w:cs="Times New Roman"/>
          <w:sz w:val="24"/>
          <w:szCs w:val="24"/>
        </w:rPr>
        <w:t xml:space="preserve"> x $</w:t>
      </w:r>
      <w:r w:rsidRPr="0094555B" w:rsidR="00110722">
        <w:rPr>
          <w:rFonts w:ascii="Times New Roman" w:hAnsi="Times New Roman" w:cs="Times New Roman"/>
          <w:sz w:val="24"/>
          <w:szCs w:val="24"/>
        </w:rPr>
        <w:t>10</w:t>
      </w:r>
      <w:r w:rsidR="0021018F">
        <w:rPr>
          <w:rFonts w:ascii="Times New Roman" w:hAnsi="Times New Roman" w:cs="Times New Roman"/>
          <w:sz w:val="24"/>
          <w:szCs w:val="24"/>
        </w:rPr>
        <w:t>5.72</w:t>
      </w:r>
      <w:r w:rsidRPr="0094555B">
        <w:rPr>
          <w:rFonts w:ascii="Times New Roman" w:hAnsi="Times New Roman" w:cs="Times New Roman"/>
          <w:sz w:val="24"/>
          <w:szCs w:val="24"/>
        </w:rPr>
        <w:t>/</w:t>
      </w:r>
      <w:proofErr w:type="spellStart"/>
      <w:r w:rsidRPr="0094555B">
        <w:rPr>
          <w:rFonts w:ascii="Times New Roman" w:hAnsi="Times New Roman" w:cs="Times New Roman"/>
          <w:sz w:val="24"/>
          <w:szCs w:val="24"/>
        </w:rPr>
        <w:t>hr</w:t>
      </w:r>
      <w:proofErr w:type="spellEnd"/>
      <w:r w:rsidRPr="0094555B">
        <w:rPr>
          <w:rFonts w:ascii="Times New Roman" w:hAnsi="Times New Roman" w:cs="Times New Roman"/>
          <w:sz w:val="24"/>
          <w:szCs w:val="24"/>
        </w:rPr>
        <w:t xml:space="preserve">). </w:t>
      </w:r>
      <w:r w:rsidRPr="0094555B">
        <w:rPr>
          <w:rFonts w:ascii="Times New Roman" w:hAnsi="Times New Roman" w:cs="Times New Roman"/>
          <w:b/>
          <w:iCs/>
          <w:sz w:val="24"/>
          <w:szCs w:val="24"/>
        </w:rPr>
        <w:t>(</w:t>
      </w:r>
      <w:r w:rsidRPr="0094555B" w:rsidR="005F5165">
        <w:rPr>
          <w:rFonts w:ascii="Times New Roman" w:hAnsi="Times New Roman" w:cs="Times New Roman"/>
          <w:b/>
          <w:iCs/>
          <w:sz w:val="24"/>
          <w:szCs w:val="24"/>
        </w:rPr>
        <w:t>ESTIMATE</w:t>
      </w:r>
      <w:r w:rsidRPr="0094555B">
        <w:rPr>
          <w:rFonts w:ascii="Times New Roman" w:hAnsi="Times New Roman" w:cs="Times New Roman"/>
          <w:b/>
          <w:iCs/>
          <w:sz w:val="24"/>
          <w:szCs w:val="24"/>
        </w:rPr>
        <w:t xml:space="preserve"> 12.6b)</w:t>
      </w:r>
    </w:p>
    <w:p w:rsidRPr="0094555B" w:rsidR="00624B15" w:rsidP="0094555B" w:rsidRDefault="0035492C" w14:paraId="7BBC5EF3" w14:textId="5F29EEE7">
      <w:pPr>
        <w:rPr>
          <w:rFonts w:ascii="Times New Roman" w:hAnsi="Times New Roman" w:cs="Times New Roman"/>
          <w:sz w:val="24"/>
          <w:szCs w:val="24"/>
        </w:rPr>
      </w:pPr>
      <w:r w:rsidRPr="0094555B">
        <w:rPr>
          <w:rFonts w:ascii="Times New Roman" w:hAnsi="Times New Roman" w:cs="Times New Roman"/>
          <w:sz w:val="24"/>
          <w:szCs w:val="24"/>
        </w:rPr>
        <w:t xml:space="preserve">Section 438.10(c)(4)(ii) </w:t>
      </w:r>
      <w:r w:rsidRPr="0094555B" w:rsidR="00872BFA">
        <w:rPr>
          <w:rFonts w:ascii="Times New Roman" w:hAnsi="Times New Roman" w:cs="Times New Roman"/>
          <w:sz w:val="24"/>
          <w:szCs w:val="24"/>
        </w:rPr>
        <w:t xml:space="preserve">requires </w:t>
      </w:r>
      <w:r w:rsidRPr="0094555B">
        <w:rPr>
          <w:rFonts w:ascii="Times New Roman" w:hAnsi="Times New Roman" w:cs="Times New Roman"/>
          <w:sz w:val="24"/>
          <w:szCs w:val="24"/>
        </w:rPr>
        <w:t xml:space="preserve">that states </w:t>
      </w:r>
      <w:r w:rsidRPr="0094555B" w:rsidR="00872BFA">
        <w:rPr>
          <w:rFonts w:ascii="Times New Roman" w:hAnsi="Times New Roman" w:cs="Times New Roman"/>
          <w:sz w:val="24"/>
          <w:szCs w:val="24"/>
        </w:rPr>
        <w:t xml:space="preserve">provide </w:t>
      </w:r>
      <w:r w:rsidRPr="0094555B">
        <w:rPr>
          <w:rFonts w:ascii="Times New Roman" w:hAnsi="Times New Roman" w:cs="Times New Roman"/>
          <w:sz w:val="24"/>
          <w:szCs w:val="24"/>
        </w:rPr>
        <w:t xml:space="preserve">model enrollee handbooks and notices.  We estimate 2 </w:t>
      </w:r>
      <w:proofErr w:type="spellStart"/>
      <w:r w:rsidRPr="0094555B">
        <w:rPr>
          <w:rFonts w:ascii="Times New Roman" w:hAnsi="Times New Roman" w:cs="Times New Roman"/>
          <w:sz w:val="24"/>
          <w:szCs w:val="24"/>
        </w:rPr>
        <w:t>hr</w:t>
      </w:r>
      <w:proofErr w:type="spellEnd"/>
      <w:r w:rsidRPr="0094555B">
        <w:rPr>
          <w:rFonts w:ascii="Times New Roman" w:hAnsi="Times New Roman" w:cs="Times New Roman"/>
          <w:sz w:val="24"/>
          <w:szCs w:val="24"/>
        </w:rPr>
        <w:t xml:space="preserve"> per year for a business operations specialist to </w:t>
      </w:r>
      <w:r w:rsidRPr="0094555B" w:rsidR="00872BFA">
        <w:rPr>
          <w:rFonts w:ascii="Times New Roman" w:hAnsi="Times New Roman" w:cs="Times New Roman"/>
          <w:sz w:val="24"/>
          <w:szCs w:val="24"/>
        </w:rPr>
        <w:t xml:space="preserve">update </w:t>
      </w:r>
      <w:r w:rsidRPr="0094555B">
        <w:rPr>
          <w:rFonts w:ascii="Times New Roman" w:hAnsi="Times New Roman" w:cs="Times New Roman"/>
          <w:sz w:val="24"/>
          <w:szCs w:val="24"/>
        </w:rPr>
        <w:t xml:space="preserve">these documents, if needed.  </w:t>
      </w:r>
      <w:r w:rsidRPr="0094555B" w:rsidR="00872BFA">
        <w:rPr>
          <w:rFonts w:ascii="Times New Roman" w:hAnsi="Times New Roman" w:cs="Times New Roman"/>
          <w:sz w:val="24"/>
          <w:szCs w:val="24"/>
        </w:rPr>
        <w:t>W</w:t>
      </w:r>
      <w:r w:rsidRPr="0094555B" w:rsidR="00624B15">
        <w:rPr>
          <w:rFonts w:ascii="Times New Roman" w:hAnsi="Times New Roman" w:cs="Times New Roman"/>
          <w:sz w:val="24"/>
          <w:szCs w:val="24"/>
        </w:rPr>
        <w:t xml:space="preserve">e </w:t>
      </w:r>
      <w:r w:rsidRPr="0094555B" w:rsidR="00917B41">
        <w:rPr>
          <w:rFonts w:ascii="Times New Roman" w:hAnsi="Times New Roman" w:cs="Times New Roman"/>
          <w:sz w:val="24"/>
          <w:szCs w:val="24"/>
        </w:rPr>
        <w:t>e</w:t>
      </w:r>
      <w:r w:rsidRPr="0094555B" w:rsidR="00624B15">
        <w:rPr>
          <w:rFonts w:ascii="Times New Roman" w:hAnsi="Times New Roman" w:cs="Times New Roman"/>
          <w:sz w:val="24"/>
          <w:szCs w:val="24"/>
        </w:rPr>
        <w:t xml:space="preserve">stimate an annual burden of </w:t>
      </w:r>
      <w:r w:rsidRPr="0094555B" w:rsidR="00624B15">
        <w:rPr>
          <w:rFonts w:ascii="Times New Roman" w:hAnsi="Times New Roman" w:cs="Times New Roman"/>
          <w:b/>
          <w:sz w:val="24"/>
          <w:szCs w:val="24"/>
        </w:rPr>
        <w:t xml:space="preserve">40 </w:t>
      </w:r>
      <w:proofErr w:type="spellStart"/>
      <w:r w:rsidRPr="0094555B" w:rsidR="00624B15">
        <w:rPr>
          <w:rFonts w:ascii="Times New Roman" w:hAnsi="Times New Roman" w:cs="Times New Roman"/>
          <w:b/>
          <w:sz w:val="24"/>
          <w:szCs w:val="24"/>
        </w:rPr>
        <w:t>hr</w:t>
      </w:r>
      <w:proofErr w:type="spellEnd"/>
      <w:r w:rsidRPr="0094555B" w:rsidR="00624B15">
        <w:rPr>
          <w:rFonts w:ascii="Times New Roman" w:hAnsi="Times New Roman" w:cs="Times New Roman"/>
          <w:sz w:val="24"/>
          <w:szCs w:val="24"/>
        </w:rPr>
        <w:t xml:space="preserve"> (20 states x 2 </w:t>
      </w:r>
      <w:proofErr w:type="spellStart"/>
      <w:r w:rsidRPr="0094555B" w:rsidR="00624B15">
        <w:rPr>
          <w:rFonts w:ascii="Times New Roman" w:hAnsi="Times New Roman" w:cs="Times New Roman"/>
          <w:sz w:val="24"/>
          <w:szCs w:val="24"/>
        </w:rPr>
        <w:t>hr</w:t>
      </w:r>
      <w:proofErr w:type="spellEnd"/>
      <w:r w:rsidRPr="0094555B" w:rsidR="00624B15">
        <w:rPr>
          <w:rFonts w:ascii="Times New Roman" w:hAnsi="Times New Roman" w:cs="Times New Roman"/>
          <w:sz w:val="24"/>
          <w:szCs w:val="24"/>
        </w:rPr>
        <w:t xml:space="preserve">) and </w:t>
      </w:r>
      <w:r w:rsidRPr="0094555B" w:rsidR="00624B15">
        <w:rPr>
          <w:rFonts w:ascii="Times New Roman" w:hAnsi="Times New Roman" w:cs="Times New Roman"/>
          <w:b/>
          <w:sz w:val="24"/>
          <w:szCs w:val="24"/>
        </w:rPr>
        <w:t>$</w:t>
      </w:r>
      <w:r w:rsidR="0021018F">
        <w:rPr>
          <w:rFonts w:ascii="Times New Roman" w:hAnsi="Times New Roman" w:cs="Times New Roman"/>
          <w:b/>
          <w:sz w:val="24"/>
          <w:szCs w:val="24"/>
        </w:rPr>
        <w:t>3,013</w:t>
      </w:r>
      <w:r w:rsidRPr="0094555B" w:rsidR="00FB5238">
        <w:rPr>
          <w:rFonts w:ascii="Times New Roman" w:hAnsi="Times New Roman" w:cs="Times New Roman"/>
          <w:b/>
          <w:sz w:val="24"/>
          <w:szCs w:val="24"/>
        </w:rPr>
        <w:t xml:space="preserve"> </w:t>
      </w:r>
      <w:r w:rsidRPr="0094555B" w:rsidR="00624B15">
        <w:rPr>
          <w:rFonts w:ascii="Times New Roman" w:hAnsi="Times New Roman" w:cs="Times New Roman"/>
          <w:sz w:val="24"/>
          <w:szCs w:val="24"/>
        </w:rPr>
        <w:t xml:space="preserve">(40 </w:t>
      </w:r>
      <w:proofErr w:type="spellStart"/>
      <w:r w:rsidRPr="0094555B" w:rsidR="00624B15">
        <w:rPr>
          <w:rFonts w:ascii="Times New Roman" w:hAnsi="Times New Roman" w:cs="Times New Roman"/>
          <w:sz w:val="24"/>
          <w:szCs w:val="24"/>
        </w:rPr>
        <w:t>hr</w:t>
      </w:r>
      <w:proofErr w:type="spellEnd"/>
      <w:r w:rsidRPr="0094555B" w:rsidR="00624B15">
        <w:rPr>
          <w:rFonts w:ascii="Times New Roman" w:hAnsi="Times New Roman" w:cs="Times New Roman"/>
          <w:sz w:val="24"/>
          <w:szCs w:val="24"/>
        </w:rPr>
        <w:t xml:space="preserve"> x </w:t>
      </w:r>
      <w:r w:rsidRPr="0094555B" w:rsidR="00773C0B">
        <w:rPr>
          <w:rFonts w:ascii="Times New Roman" w:hAnsi="Times New Roman" w:cs="Times New Roman"/>
          <w:sz w:val="24"/>
          <w:szCs w:val="24"/>
        </w:rPr>
        <w:t>$</w:t>
      </w:r>
      <w:r w:rsidRPr="0094555B" w:rsidR="00110722">
        <w:rPr>
          <w:rFonts w:ascii="Times New Roman" w:hAnsi="Times New Roman" w:cs="Times New Roman"/>
          <w:sz w:val="24"/>
          <w:szCs w:val="24"/>
        </w:rPr>
        <w:t>7</w:t>
      </w:r>
      <w:r w:rsidR="0021018F">
        <w:rPr>
          <w:rFonts w:ascii="Times New Roman" w:hAnsi="Times New Roman" w:cs="Times New Roman"/>
          <w:sz w:val="24"/>
          <w:szCs w:val="24"/>
        </w:rPr>
        <w:t>5.32</w:t>
      </w:r>
      <w:r w:rsidRPr="0094555B" w:rsidR="00624B15">
        <w:rPr>
          <w:rFonts w:ascii="Times New Roman" w:hAnsi="Times New Roman" w:cs="Times New Roman"/>
          <w:sz w:val="24"/>
          <w:szCs w:val="24"/>
        </w:rPr>
        <w:t>/</w:t>
      </w:r>
      <w:proofErr w:type="spellStart"/>
      <w:r w:rsidRPr="0094555B" w:rsidR="00624B15">
        <w:rPr>
          <w:rFonts w:ascii="Times New Roman" w:hAnsi="Times New Roman" w:cs="Times New Roman"/>
          <w:sz w:val="24"/>
          <w:szCs w:val="24"/>
        </w:rPr>
        <w:t>hr</w:t>
      </w:r>
      <w:proofErr w:type="spellEnd"/>
      <w:r w:rsidRPr="0094555B" w:rsidR="00624B15">
        <w:rPr>
          <w:rFonts w:ascii="Times New Roman" w:hAnsi="Times New Roman" w:cs="Times New Roman"/>
          <w:sz w:val="24"/>
          <w:szCs w:val="24"/>
        </w:rPr>
        <w:t xml:space="preserve">). </w:t>
      </w:r>
      <w:r w:rsidRPr="0094555B" w:rsidR="00624B15">
        <w:rPr>
          <w:rFonts w:ascii="Times New Roman" w:hAnsi="Times New Roman" w:cs="Times New Roman"/>
          <w:b/>
          <w:iCs/>
          <w:sz w:val="24"/>
          <w:szCs w:val="24"/>
        </w:rPr>
        <w:t>(</w:t>
      </w:r>
      <w:r w:rsidRPr="0094555B" w:rsidR="005F5165">
        <w:rPr>
          <w:rFonts w:ascii="Times New Roman" w:hAnsi="Times New Roman" w:cs="Times New Roman"/>
          <w:b/>
          <w:iCs/>
          <w:sz w:val="24"/>
          <w:szCs w:val="24"/>
        </w:rPr>
        <w:t>ESTIMATE</w:t>
      </w:r>
      <w:r w:rsidRPr="0094555B" w:rsidR="00624B15">
        <w:rPr>
          <w:rFonts w:ascii="Times New Roman" w:hAnsi="Times New Roman" w:cs="Times New Roman"/>
          <w:b/>
          <w:iCs/>
          <w:sz w:val="24"/>
          <w:szCs w:val="24"/>
        </w:rPr>
        <w:t xml:space="preserve"> 12.8b)</w:t>
      </w:r>
    </w:p>
    <w:p w:rsidRPr="0094555B" w:rsidR="00624B15" w:rsidP="0094555B" w:rsidRDefault="0035492C" w14:paraId="660FC9F3" w14:textId="16D96C00">
      <w:pPr>
        <w:rPr>
          <w:rFonts w:ascii="Times New Roman" w:hAnsi="Times New Roman" w:cs="Times New Roman"/>
          <w:sz w:val="24"/>
          <w:szCs w:val="24"/>
        </w:rPr>
      </w:pPr>
      <w:bookmarkStart w:name="_Hlk514234597" w:id="51"/>
      <w:r w:rsidRPr="0094555B">
        <w:rPr>
          <w:rFonts w:ascii="Times New Roman" w:hAnsi="Times New Roman" w:cs="Times New Roman"/>
          <w:sz w:val="24"/>
          <w:szCs w:val="24"/>
        </w:rPr>
        <w:t xml:space="preserve">Section 438.10(e)(1) </w:t>
      </w:r>
      <w:r w:rsidRPr="0094555B" w:rsidR="00E90B52">
        <w:rPr>
          <w:rFonts w:ascii="Times New Roman" w:hAnsi="Times New Roman" w:cs="Times New Roman"/>
          <w:sz w:val="24"/>
          <w:szCs w:val="24"/>
        </w:rPr>
        <w:t xml:space="preserve">requires </w:t>
      </w:r>
      <w:r w:rsidRPr="0094555B">
        <w:rPr>
          <w:rFonts w:ascii="Times New Roman" w:hAnsi="Times New Roman" w:cs="Times New Roman"/>
          <w:sz w:val="24"/>
          <w:szCs w:val="24"/>
        </w:rPr>
        <w:t xml:space="preserve">states </w:t>
      </w:r>
      <w:r w:rsidRPr="0094555B" w:rsidR="00E90B52">
        <w:rPr>
          <w:rFonts w:ascii="Times New Roman" w:hAnsi="Times New Roman" w:cs="Times New Roman"/>
          <w:sz w:val="24"/>
          <w:szCs w:val="24"/>
        </w:rPr>
        <w:t xml:space="preserve">to </w:t>
      </w:r>
      <w:r w:rsidRPr="0094555B">
        <w:rPr>
          <w:rFonts w:ascii="Times New Roman" w:hAnsi="Times New Roman" w:cs="Times New Roman"/>
          <w:sz w:val="24"/>
          <w:szCs w:val="24"/>
        </w:rPr>
        <w:t>provide required information in paper or electronic format</w:t>
      </w:r>
      <w:r w:rsidRPr="0094555B" w:rsidR="00E90B52">
        <w:rPr>
          <w:rFonts w:ascii="Times New Roman" w:hAnsi="Times New Roman" w:cs="Times New Roman"/>
          <w:sz w:val="24"/>
          <w:szCs w:val="24"/>
        </w:rPr>
        <w:t xml:space="preserve"> to prospective enrollees</w:t>
      </w:r>
      <w:r w:rsidRPr="0094555B">
        <w:rPr>
          <w:rFonts w:ascii="Times New Roman" w:hAnsi="Times New Roman" w:cs="Times New Roman"/>
          <w:sz w:val="24"/>
          <w:szCs w:val="24"/>
        </w:rPr>
        <w:t xml:space="preserve">.  </w:t>
      </w:r>
      <w:r w:rsidRPr="0094555B" w:rsidR="00DE5C57">
        <w:rPr>
          <w:rFonts w:ascii="Times New Roman" w:hAnsi="Times New Roman" w:cs="Times New Roman"/>
          <w:sz w:val="24"/>
          <w:szCs w:val="24"/>
        </w:rPr>
        <w:t>We</w:t>
      </w:r>
      <w:r w:rsidRPr="0094555B" w:rsidR="00624B15">
        <w:rPr>
          <w:rFonts w:ascii="Times New Roman" w:hAnsi="Times New Roman" w:cs="Times New Roman"/>
          <w:sz w:val="24"/>
          <w:szCs w:val="24"/>
        </w:rPr>
        <w:t xml:space="preserve"> estimate 1 min </w:t>
      </w:r>
      <w:r w:rsidRPr="0094555B" w:rsidR="00733EA7">
        <w:rPr>
          <w:rFonts w:ascii="Times New Roman" w:hAnsi="Times New Roman" w:cs="Times New Roman"/>
          <w:sz w:val="24"/>
          <w:szCs w:val="24"/>
        </w:rPr>
        <w:t xml:space="preserve">(0.0167 </w:t>
      </w:r>
      <w:proofErr w:type="spellStart"/>
      <w:r w:rsidRPr="0094555B" w:rsidR="00733EA7">
        <w:rPr>
          <w:rFonts w:ascii="Times New Roman" w:hAnsi="Times New Roman" w:cs="Times New Roman"/>
          <w:sz w:val="24"/>
          <w:szCs w:val="24"/>
        </w:rPr>
        <w:t>hr</w:t>
      </w:r>
      <w:proofErr w:type="spellEnd"/>
      <w:r w:rsidRPr="0094555B" w:rsidR="00733EA7">
        <w:rPr>
          <w:rFonts w:ascii="Times New Roman" w:hAnsi="Times New Roman" w:cs="Times New Roman"/>
          <w:sz w:val="24"/>
          <w:szCs w:val="24"/>
        </w:rPr>
        <w:t xml:space="preserve">) </w:t>
      </w:r>
      <w:r w:rsidRPr="0094555B" w:rsidR="00624B15">
        <w:rPr>
          <w:rFonts w:ascii="Times New Roman" w:hAnsi="Times New Roman" w:cs="Times New Roman"/>
          <w:sz w:val="24"/>
          <w:szCs w:val="24"/>
        </w:rPr>
        <w:t xml:space="preserve">per mailing </w:t>
      </w:r>
      <w:r w:rsidRPr="0094555B" w:rsidR="00733EA7">
        <w:rPr>
          <w:rFonts w:ascii="Times New Roman" w:hAnsi="Times New Roman" w:cs="Times New Roman"/>
          <w:sz w:val="24"/>
          <w:szCs w:val="24"/>
        </w:rPr>
        <w:t xml:space="preserve">to acknowledge automated mailing processes. In aggregate we estimate an annual state burden of </w:t>
      </w:r>
      <w:r w:rsidRPr="0094555B" w:rsidR="00110722">
        <w:rPr>
          <w:rFonts w:ascii="Times New Roman" w:hAnsi="Times New Roman" w:cs="Times New Roman"/>
          <w:b/>
          <w:sz w:val="24"/>
          <w:szCs w:val="24"/>
        </w:rPr>
        <w:t>36,432</w:t>
      </w:r>
      <w:r w:rsidRPr="0094555B" w:rsidR="00624B15">
        <w:rPr>
          <w:rFonts w:ascii="Times New Roman" w:hAnsi="Times New Roman" w:cs="Times New Roman"/>
          <w:sz w:val="24"/>
          <w:szCs w:val="24"/>
        </w:rPr>
        <w:t xml:space="preserve"> </w:t>
      </w:r>
      <w:proofErr w:type="spellStart"/>
      <w:r w:rsidRPr="0094555B" w:rsidR="00624B15">
        <w:rPr>
          <w:rFonts w:ascii="Times New Roman" w:hAnsi="Times New Roman" w:cs="Times New Roman"/>
          <w:b/>
          <w:sz w:val="24"/>
          <w:szCs w:val="24"/>
        </w:rPr>
        <w:t>hr</w:t>
      </w:r>
      <w:proofErr w:type="spellEnd"/>
      <w:r w:rsidRPr="0094555B" w:rsidR="00624B15">
        <w:rPr>
          <w:rFonts w:ascii="Times New Roman" w:hAnsi="Times New Roman" w:cs="Times New Roman"/>
          <w:b/>
          <w:sz w:val="24"/>
          <w:szCs w:val="24"/>
        </w:rPr>
        <w:t xml:space="preserve"> </w:t>
      </w:r>
      <w:r w:rsidRPr="0094555B" w:rsidR="00293A9B">
        <w:rPr>
          <w:rFonts w:ascii="Times New Roman" w:hAnsi="Times New Roman" w:cs="Times New Roman"/>
          <w:sz w:val="24"/>
          <w:szCs w:val="24"/>
        </w:rPr>
        <w:t xml:space="preserve">for </w:t>
      </w:r>
      <w:r w:rsidRPr="0094555B" w:rsidR="001D529A">
        <w:rPr>
          <w:rFonts w:ascii="Times New Roman" w:hAnsi="Times New Roman" w:cs="Times New Roman"/>
          <w:sz w:val="24"/>
          <w:szCs w:val="24"/>
        </w:rPr>
        <w:t>2,181,540</w:t>
      </w:r>
      <w:r w:rsidRPr="0094555B" w:rsidR="00624B15">
        <w:rPr>
          <w:rFonts w:ascii="Times New Roman" w:hAnsi="Times New Roman" w:cs="Times New Roman"/>
          <w:sz w:val="24"/>
          <w:szCs w:val="24"/>
        </w:rPr>
        <w:t xml:space="preserve"> enrollees (</w:t>
      </w:r>
      <w:r w:rsidRPr="0094555B" w:rsidR="001D529A">
        <w:rPr>
          <w:rFonts w:ascii="Times New Roman" w:hAnsi="Times New Roman" w:cs="Times New Roman"/>
          <w:sz w:val="24"/>
          <w:szCs w:val="24"/>
        </w:rPr>
        <w:t>66,107,287</w:t>
      </w:r>
      <w:r w:rsidRPr="0094555B" w:rsidR="00624B15">
        <w:rPr>
          <w:rFonts w:ascii="Times New Roman" w:hAnsi="Times New Roman" w:cs="Times New Roman"/>
          <w:sz w:val="24"/>
          <w:szCs w:val="24"/>
        </w:rPr>
        <w:t xml:space="preserve"> total enrollees x </w:t>
      </w:r>
      <w:r w:rsidRPr="0094555B" w:rsidR="00A06E70">
        <w:rPr>
          <w:rFonts w:ascii="Times New Roman" w:hAnsi="Times New Roman" w:cs="Times New Roman"/>
          <w:sz w:val="24"/>
          <w:szCs w:val="24"/>
        </w:rPr>
        <w:t>0</w:t>
      </w:r>
      <w:r w:rsidRPr="0094555B" w:rsidR="00624B15">
        <w:rPr>
          <w:rFonts w:ascii="Times New Roman" w:hAnsi="Times New Roman" w:cs="Times New Roman"/>
          <w:sz w:val="24"/>
          <w:szCs w:val="24"/>
        </w:rPr>
        <w:t xml:space="preserve">.033 growth rate) at </w:t>
      </w:r>
      <w:r w:rsidRPr="0094555B" w:rsidR="00733EA7">
        <w:rPr>
          <w:rFonts w:ascii="Times New Roman" w:hAnsi="Times New Roman" w:cs="Times New Roman"/>
          <w:sz w:val="24"/>
          <w:szCs w:val="24"/>
        </w:rPr>
        <w:t>a cost of</w:t>
      </w:r>
      <w:r w:rsidRPr="0094555B" w:rsidR="00624B15">
        <w:rPr>
          <w:rFonts w:ascii="Times New Roman" w:hAnsi="Times New Roman" w:cs="Times New Roman"/>
          <w:sz w:val="24"/>
          <w:szCs w:val="24"/>
        </w:rPr>
        <w:t xml:space="preserve"> $</w:t>
      </w:r>
      <w:r w:rsidRPr="0094555B" w:rsidR="00DE5C57">
        <w:rPr>
          <w:rFonts w:ascii="Times New Roman" w:hAnsi="Times New Roman" w:cs="Times New Roman"/>
          <w:b/>
          <w:sz w:val="24"/>
          <w:szCs w:val="24"/>
        </w:rPr>
        <w:t>1,</w:t>
      </w:r>
      <w:r w:rsidR="0021018F">
        <w:rPr>
          <w:rFonts w:ascii="Times New Roman" w:hAnsi="Times New Roman" w:cs="Times New Roman"/>
          <w:b/>
          <w:sz w:val="24"/>
          <w:szCs w:val="24"/>
        </w:rPr>
        <w:t>180,397</w:t>
      </w:r>
      <w:r w:rsidRPr="0094555B" w:rsidR="00624B15">
        <w:rPr>
          <w:rFonts w:ascii="Times New Roman" w:hAnsi="Times New Roman" w:cs="Times New Roman"/>
          <w:sz w:val="24"/>
          <w:szCs w:val="24"/>
        </w:rPr>
        <w:t xml:space="preserve"> (</w:t>
      </w:r>
      <w:r w:rsidRPr="0094555B" w:rsidR="00110722">
        <w:rPr>
          <w:rFonts w:ascii="Times New Roman" w:hAnsi="Times New Roman" w:cs="Times New Roman"/>
          <w:sz w:val="24"/>
          <w:szCs w:val="24"/>
        </w:rPr>
        <w:t>36,432</w:t>
      </w:r>
      <w:r w:rsidRPr="0094555B" w:rsidR="00624B15">
        <w:rPr>
          <w:rFonts w:ascii="Times New Roman" w:hAnsi="Times New Roman" w:cs="Times New Roman"/>
          <w:sz w:val="24"/>
          <w:szCs w:val="24"/>
        </w:rPr>
        <w:t xml:space="preserve"> </w:t>
      </w:r>
      <w:proofErr w:type="spellStart"/>
      <w:r w:rsidRPr="0094555B" w:rsidR="00624B15">
        <w:rPr>
          <w:rFonts w:ascii="Times New Roman" w:hAnsi="Times New Roman" w:cs="Times New Roman"/>
          <w:sz w:val="24"/>
          <w:szCs w:val="24"/>
        </w:rPr>
        <w:t>hr</w:t>
      </w:r>
      <w:proofErr w:type="spellEnd"/>
      <w:r w:rsidRPr="0094555B" w:rsidR="00624B15">
        <w:rPr>
          <w:rFonts w:ascii="Times New Roman" w:hAnsi="Times New Roman" w:cs="Times New Roman"/>
          <w:sz w:val="24"/>
          <w:szCs w:val="24"/>
        </w:rPr>
        <w:t xml:space="preserve"> x </w:t>
      </w:r>
      <w:r w:rsidRPr="0094555B" w:rsidR="00827481">
        <w:rPr>
          <w:rFonts w:ascii="Times New Roman" w:hAnsi="Times New Roman" w:cs="Times New Roman"/>
          <w:sz w:val="24"/>
          <w:szCs w:val="24"/>
        </w:rPr>
        <w:t>$</w:t>
      </w:r>
      <w:r w:rsidRPr="0094555B" w:rsidR="00110722">
        <w:rPr>
          <w:rFonts w:ascii="Times New Roman" w:hAnsi="Times New Roman" w:cs="Times New Roman"/>
          <w:sz w:val="24"/>
          <w:szCs w:val="24"/>
        </w:rPr>
        <w:t>3</w:t>
      </w:r>
      <w:r w:rsidR="0021018F">
        <w:rPr>
          <w:rFonts w:ascii="Times New Roman" w:hAnsi="Times New Roman" w:cs="Times New Roman"/>
          <w:sz w:val="24"/>
          <w:szCs w:val="24"/>
        </w:rPr>
        <w:t>2.40</w:t>
      </w:r>
      <w:r w:rsidRPr="0094555B" w:rsidR="00624B15">
        <w:rPr>
          <w:rFonts w:ascii="Times New Roman" w:hAnsi="Times New Roman" w:cs="Times New Roman"/>
          <w:sz w:val="24"/>
          <w:szCs w:val="24"/>
        </w:rPr>
        <w:t>/</w:t>
      </w:r>
      <w:proofErr w:type="spellStart"/>
      <w:r w:rsidRPr="0094555B" w:rsidR="00624B15">
        <w:rPr>
          <w:rFonts w:ascii="Times New Roman" w:hAnsi="Times New Roman" w:cs="Times New Roman"/>
          <w:sz w:val="24"/>
          <w:szCs w:val="24"/>
        </w:rPr>
        <w:t>hr</w:t>
      </w:r>
      <w:proofErr w:type="spellEnd"/>
      <w:r w:rsidRPr="0094555B" w:rsidR="00624B15">
        <w:rPr>
          <w:rFonts w:ascii="Times New Roman" w:hAnsi="Times New Roman" w:cs="Times New Roman"/>
          <w:sz w:val="24"/>
          <w:szCs w:val="24"/>
        </w:rPr>
        <w:t xml:space="preserve">). </w:t>
      </w:r>
      <w:r w:rsidRPr="0094555B" w:rsidR="00624B15">
        <w:rPr>
          <w:rFonts w:ascii="Times New Roman" w:hAnsi="Times New Roman" w:cs="Times New Roman"/>
          <w:b/>
          <w:iCs/>
          <w:sz w:val="24"/>
          <w:szCs w:val="24"/>
        </w:rPr>
        <w:t>(</w:t>
      </w:r>
      <w:r w:rsidRPr="0094555B" w:rsidR="005F5165">
        <w:rPr>
          <w:rFonts w:ascii="Times New Roman" w:hAnsi="Times New Roman" w:cs="Times New Roman"/>
          <w:b/>
          <w:iCs/>
          <w:sz w:val="24"/>
          <w:szCs w:val="24"/>
        </w:rPr>
        <w:t>ESTIMATE</w:t>
      </w:r>
      <w:r w:rsidRPr="0094555B" w:rsidR="00624B15">
        <w:rPr>
          <w:rFonts w:ascii="Times New Roman" w:hAnsi="Times New Roman" w:cs="Times New Roman"/>
          <w:b/>
          <w:iCs/>
          <w:sz w:val="24"/>
          <w:szCs w:val="24"/>
        </w:rPr>
        <w:t xml:space="preserve"> 12.10b)</w:t>
      </w:r>
    </w:p>
    <w:bookmarkEnd w:id="51"/>
    <w:p w:rsidRPr="0094555B" w:rsidR="00624B15" w:rsidP="0094555B" w:rsidRDefault="00E01233" w14:paraId="24F9C015" w14:textId="7BA3BBA8">
      <w:pPr>
        <w:rPr>
          <w:rFonts w:ascii="Times New Roman" w:hAnsi="Times New Roman" w:cs="Times New Roman"/>
          <w:sz w:val="24"/>
          <w:szCs w:val="24"/>
        </w:rPr>
      </w:pPr>
      <w:r w:rsidRPr="0094555B">
        <w:rPr>
          <w:rFonts w:ascii="Times New Roman" w:hAnsi="Times New Roman" w:cs="Times New Roman"/>
          <w:sz w:val="24"/>
          <w:szCs w:val="24"/>
        </w:rPr>
        <w:t xml:space="preserve">Section 438.10(g)(1) requires that MCOs, PIHPs, PAHPs, and PCCMs </w:t>
      </w:r>
      <w:r w:rsidRPr="0094555B" w:rsidR="00E90B52">
        <w:rPr>
          <w:rFonts w:ascii="Times New Roman" w:hAnsi="Times New Roman" w:cs="Times New Roman"/>
          <w:sz w:val="24"/>
          <w:szCs w:val="24"/>
        </w:rPr>
        <w:t xml:space="preserve">(when required) </w:t>
      </w:r>
      <w:r w:rsidRPr="0094555B">
        <w:rPr>
          <w:rFonts w:ascii="Times New Roman" w:hAnsi="Times New Roman" w:cs="Times New Roman"/>
          <w:sz w:val="24"/>
          <w:szCs w:val="24"/>
        </w:rPr>
        <w:t xml:space="preserve">provide an enrollee handbook. </w:t>
      </w:r>
      <w:r w:rsidRPr="0094555B" w:rsidR="00624B15">
        <w:rPr>
          <w:rFonts w:ascii="Times New Roman" w:hAnsi="Times New Roman" w:cs="Times New Roman"/>
          <w:sz w:val="24"/>
          <w:szCs w:val="24"/>
        </w:rPr>
        <w:t xml:space="preserve">With regard to new enrollees, they must receive a handbook within a reasonable time after receiving notice of the beneficiary’s enrollment.  We assume a 3.3 percent enrollee growth rate thus </w:t>
      </w:r>
      <w:r w:rsidRPr="0094555B" w:rsidR="0027659B">
        <w:rPr>
          <w:rFonts w:ascii="Times New Roman" w:hAnsi="Times New Roman" w:cs="Times New Roman"/>
          <w:sz w:val="24"/>
          <w:szCs w:val="24"/>
        </w:rPr>
        <w:t>2,</w:t>
      </w:r>
      <w:r w:rsidRPr="0094555B" w:rsidR="001D529A">
        <w:rPr>
          <w:rFonts w:ascii="Times New Roman" w:hAnsi="Times New Roman" w:cs="Times New Roman"/>
          <w:sz w:val="24"/>
          <w:szCs w:val="24"/>
        </w:rPr>
        <w:t>181,540</w:t>
      </w:r>
      <w:r w:rsidRPr="0094555B">
        <w:rPr>
          <w:rFonts w:ascii="Times New Roman" w:hAnsi="Times New Roman" w:cs="Times New Roman"/>
          <w:sz w:val="24"/>
          <w:szCs w:val="24"/>
        </w:rPr>
        <w:t xml:space="preserve"> </w:t>
      </w:r>
      <w:r w:rsidRPr="0094555B" w:rsidR="00624B15">
        <w:rPr>
          <w:rFonts w:ascii="Times New Roman" w:hAnsi="Times New Roman" w:cs="Times New Roman"/>
          <w:sz w:val="24"/>
          <w:szCs w:val="24"/>
        </w:rPr>
        <w:t>enrollees (</w:t>
      </w:r>
      <w:r w:rsidRPr="0094555B" w:rsidR="00C00770">
        <w:rPr>
          <w:rFonts w:ascii="Times New Roman" w:hAnsi="Times New Roman" w:cs="Times New Roman"/>
          <w:sz w:val="24"/>
          <w:szCs w:val="24"/>
        </w:rPr>
        <w:t>0</w:t>
      </w:r>
      <w:r w:rsidRPr="0094555B" w:rsidR="001D529A">
        <w:rPr>
          <w:rFonts w:ascii="Times New Roman" w:hAnsi="Times New Roman" w:cs="Times New Roman"/>
          <w:sz w:val="24"/>
          <w:szCs w:val="24"/>
        </w:rPr>
        <w:t>.033</w:t>
      </w:r>
      <w:r w:rsidRPr="0094555B" w:rsidR="00624B15">
        <w:rPr>
          <w:rFonts w:ascii="Times New Roman" w:hAnsi="Times New Roman" w:cs="Times New Roman"/>
          <w:sz w:val="24"/>
          <w:szCs w:val="24"/>
        </w:rPr>
        <w:t xml:space="preserve"> </w:t>
      </w:r>
      <w:r w:rsidRPr="0094555B" w:rsidR="00AF4F7E">
        <w:rPr>
          <w:rFonts w:ascii="Times New Roman" w:hAnsi="Times New Roman" w:cs="Times New Roman"/>
          <w:sz w:val="24"/>
          <w:szCs w:val="24"/>
        </w:rPr>
        <w:t>x</w:t>
      </w:r>
      <w:r w:rsidRPr="0094555B" w:rsidR="00624B15">
        <w:rPr>
          <w:rFonts w:ascii="Times New Roman" w:hAnsi="Times New Roman" w:cs="Times New Roman"/>
          <w:sz w:val="24"/>
          <w:szCs w:val="24"/>
        </w:rPr>
        <w:t xml:space="preserve"> </w:t>
      </w:r>
      <w:r w:rsidRPr="0094555B" w:rsidR="001D529A">
        <w:rPr>
          <w:rFonts w:ascii="Times New Roman" w:hAnsi="Times New Roman" w:cs="Times New Roman"/>
          <w:sz w:val="24"/>
          <w:szCs w:val="24"/>
        </w:rPr>
        <w:t>66,107,287</w:t>
      </w:r>
      <w:r w:rsidRPr="0094555B" w:rsidR="00AF4F7E">
        <w:rPr>
          <w:rFonts w:ascii="Times New Roman" w:hAnsi="Times New Roman" w:cs="Times New Roman"/>
          <w:sz w:val="24"/>
          <w:szCs w:val="24"/>
        </w:rPr>
        <w:t xml:space="preserve"> enrollees</w:t>
      </w:r>
      <w:r w:rsidRPr="0094555B" w:rsidR="00624B15">
        <w:rPr>
          <w:rFonts w:ascii="Times New Roman" w:hAnsi="Times New Roman" w:cs="Times New Roman"/>
          <w:sz w:val="24"/>
          <w:szCs w:val="24"/>
        </w:rPr>
        <w:t xml:space="preserve">) will need to receive a handbook each year.  We estimate 1 min </w:t>
      </w:r>
      <w:r w:rsidRPr="0094555B" w:rsidR="00BD6509">
        <w:rPr>
          <w:rFonts w:ascii="Times New Roman" w:hAnsi="Times New Roman" w:cs="Times New Roman"/>
          <w:sz w:val="24"/>
          <w:szCs w:val="24"/>
        </w:rPr>
        <w:t xml:space="preserve">(0.0167 </w:t>
      </w:r>
      <w:proofErr w:type="spellStart"/>
      <w:r w:rsidRPr="0094555B" w:rsidR="00BD6509">
        <w:rPr>
          <w:rFonts w:ascii="Times New Roman" w:hAnsi="Times New Roman" w:cs="Times New Roman"/>
          <w:sz w:val="24"/>
          <w:szCs w:val="24"/>
        </w:rPr>
        <w:t>hr</w:t>
      </w:r>
      <w:proofErr w:type="spellEnd"/>
      <w:r w:rsidRPr="0094555B" w:rsidR="00BD6509">
        <w:rPr>
          <w:rFonts w:ascii="Times New Roman" w:hAnsi="Times New Roman" w:cs="Times New Roman"/>
          <w:sz w:val="24"/>
          <w:szCs w:val="24"/>
        </w:rPr>
        <w:t xml:space="preserve">) </w:t>
      </w:r>
      <w:r w:rsidRPr="0094555B" w:rsidR="00624B15">
        <w:rPr>
          <w:rFonts w:ascii="Times New Roman" w:hAnsi="Times New Roman" w:cs="Times New Roman"/>
          <w:sz w:val="24"/>
          <w:szCs w:val="24"/>
        </w:rPr>
        <w:t xml:space="preserve">by a mail clerk at </w:t>
      </w:r>
      <w:r w:rsidRPr="0094555B" w:rsidR="00827481">
        <w:rPr>
          <w:rFonts w:ascii="Times New Roman" w:hAnsi="Times New Roman" w:cs="Times New Roman"/>
          <w:sz w:val="24"/>
          <w:szCs w:val="24"/>
        </w:rPr>
        <w:t>$3</w:t>
      </w:r>
      <w:r w:rsidR="0021018F">
        <w:rPr>
          <w:rFonts w:ascii="Times New Roman" w:hAnsi="Times New Roman" w:cs="Times New Roman"/>
          <w:sz w:val="24"/>
          <w:szCs w:val="24"/>
        </w:rPr>
        <w:t>2.40</w:t>
      </w:r>
      <w:r w:rsidRPr="0094555B" w:rsidR="00624B15">
        <w:rPr>
          <w:rFonts w:ascii="Times New Roman" w:hAnsi="Times New Roman" w:cs="Times New Roman"/>
          <w:sz w:val="24"/>
          <w:szCs w:val="24"/>
        </w:rPr>
        <w:t>/</w:t>
      </w:r>
      <w:proofErr w:type="spellStart"/>
      <w:r w:rsidRPr="0094555B" w:rsidR="00624B15">
        <w:rPr>
          <w:rFonts w:ascii="Times New Roman" w:hAnsi="Times New Roman" w:cs="Times New Roman"/>
          <w:sz w:val="24"/>
          <w:szCs w:val="24"/>
        </w:rPr>
        <w:t>hr</w:t>
      </w:r>
      <w:proofErr w:type="spellEnd"/>
      <w:r w:rsidRPr="0094555B" w:rsidR="00624B15">
        <w:rPr>
          <w:rFonts w:ascii="Times New Roman" w:hAnsi="Times New Roman" w:cs="Times New Roman"/>
          <w:sz w:val="24"/>
          <w:szCs w:val="24"/>
        </w:rPr>
        <w:t xml:space="preserve"> to mail the handbook</w:t>
      </w:r>
      <w:r w:rsidRPr="0094555B" w:rsidR="00A904D2">
        <w:rPr>
          <w:rFonts w:ascii="Times New Roman" w:hAnsi="Times New Roman" w:cs="Times New Roman"/>
          <w:sz w:val="24"/>
          <w:szCs w:val="24"/>
        </w:rPr>
        <w:t xml:space="preserve">. </w:t>
      </w:r>
      <w:r w:rsidRPr="0094555B" w:rsidR="00624B15">
        <w:rPr>
          <w:rFonts w:ascii="Times New Roman" w:hAnsi="Times New Roman" w:cs="Times New Roman"/>
          <w:sz w:val="24"/>
          <w:szCs w:val="24"/>
        </w:rPr>
        <w:t xml:space="preserve">We estimate </w:t>
      </w:r>
      <w:r w:rsidRPr="0094555B" w:rsidR="00A904D2">
        <w:rPr>
          <w:rFonts w:ascii="Times New Roman" w:hAnsi="Times New Roman" w:cs="Times New Roman"/>
          <w:sz w:val="24"/>
          <w:szCs w:val="24"/>
        </w:rPr>
        <w:t xml:space="preserve">an </w:t>
      </w:r>
      <w:r w:rsidRPr="0094555B" w:rsidR="00624B15">
        <w:rPr>
          <w:rFonts w:ascii="Times New Roman" w:hAnsi="Times New Roman" w:cs="Times New Roman"/>
          <w:sz w:val="24"/>
          <w:szCs w:val="24"/>
        </w:rPr>
        <w:t xml:space="preserve">annual </w:t>
      </w:r>
      <w:r w:rsidRPr="0094555B" w:rsidR="002528BD">
        <w:rPr>
          <w:rFonts w:ascii="Times New Roman" w:hAnsi="Times New Roman" w:cs="Times New Roman"/>
          <w:sz w:val="24"/>
          <w:szCs w:val="24"/>
        </w:rPr>
        <w:t>private sector</w:t>
      </w:r>
      <w:r w:rsidRPr="0094555B" w:rsidR="00624B15">
        <w:rPr>
          <w:rFonts w:ascii="Times New Roman" w:hAnsi="Times New Roman" w:cs="Times New Roman"/>
          <w:sz w:val="24"/>
          <w:szCs w:val="24"/>
        </w:rPr>
        <w:t xml:space="preserve"> </w:t>
      </w:r>
      <w:r w:rsidRPr="0094555B" w:rsidR="00A904D2">
        <w:rPr>
          <w:rFonts w:ascii="Times New Roman" w:hAnsi="Times New Roman" w:cs="Times New Roman"/>
          <w:sz w:val="24"/>
          <w:szCs w:val="24"/>
        </w:rPr>
        <w:t xml:space="preserve">burden of </w:t>
      </w:r>
      <w:r w:rsidRPr="0094555B" w:rsidR="00A904D2">
        <w:rPr>
          <w:rFonts w:ascii="Times New Roman" w:hAnsi="Times New Roman" w:cs="Times New Roman"/>
          <w:b/>
          <w:sz w:val="24"/>
          <w:szCs w:val="24"/>
        </w:rPr>
        <w:t xml:space="preserve">36,432 </w:t>
      </w:r>
      <w:proofErr w:type="spellStart"/>
      <w:r w:rsidRPr="0094555B" w:rsidR="00A904D2">
        <w:rPr>
          <w:rFonts w:ascii="Times New Roman" w:hAnsi="Times New Roman" w:cs="Times New Roman"/>
          <w:b/>
          <w:sz w:val="24"/>
          <w:szCs w:val="24"/>
        </w:rPr>
        <w:t>hr</w:t>
      </w:r>
      <w:proofErr w:type="spellEnd"/>
      <w:r w:rsidRPr="0094555B" w:rsidR="00A904D2">
        <w:rPr>
          <w:rFonts w:ascii="Times New Roman" w:hAnsi="Times New Roman" w:cs="Times New Roman"/>
          <w:sz w:val="24"/>
          <w:szCs w:val="24"/>
        </w:rPr>
        <w:t xml:space="preserve"> (2,181,540 enrollees x 0.0167 </w:t>
      </w:r>
      <w:proofErr w:type="spellStart"/>
      <w:r w:rsidRPr="0094555B" w:rsidR="00A904D2">
        <w:rPr>
          <w:rFonts w:ascii="Times New Roman" w:hAnsi="Times New Roman" w:cs="Times New Roman"/>
          <w:sz w:val="24"/>
          <w:szCs w:val="24"/>
        </w:rPr>
        <w:t>hr</w:t>
      </w:r>
      <w:proofErr w:type="spellEnd"/>
      <w:r w:rsidRPr="0094555B" w:rsidR="00A904D2">
        <w:rPr>
          <w:rFonts w:ascii="Times New Roman" w:hAnsi="Times New Roman" w:cs="Times New Roman"/>
          <w:sz w:val="24"/>
          <w:szCs w:val="24"/>
        </w:rPr>
        <w:t xml:space="preserve">) at a cost of </w:t>
      </w:r>
      <w:r w:rsidRPr="0094555B" w:rsidR="006B157E">
        <w:rPr>
          <w:rFonts w:ascii="Times New Roman" w:hAnsi="Times New Roman" w:cs="Times New Roman"/>
          <w:sz w:val="24"/>
          <w:szCs w:val="24"/>
        </w:rPr>
        <w:t>$</w:t>
      </w:r>
      <w:r w:rsidRPr="0094555B" w:rsidR="00B450C8">
        <w:rPr>
          <w:rFonts w:ascii="Times New Roman" w:hAnsi="Times New Roman" w:cs="Times New Roman"/>
          <w:b/>
          <w:sz w:val="24"/>
          <w:szCs w:val="24"/>
        </w:rPr>
        <w:t>1,1</w:t>
      </w:r>
      <w:r w:rsidR="0021018F">
        <w:rPr>
          <w:rFonts w:ascii="Times New Roman" w:hAnsi="Times New Roman" w:cs="Times New Roman"/>
          <w:b/>
          <w:sz w:val="24"/>
          <w:szCs w:val="24"/>
        </w:rPr>
        <w:t>80,397</w:t>
      </w:r>
      <w:r w:rsidRPr="0094555B" w:rsidR="0027659B">
        <w:rPr>
          <w:rFonts w:ascii="Times New Roman" w:hAnsi="Times New Roman" w:cs="Times New Roman"/>
          <w:sz w:val="24"/>
          <w:szCs w:val="24"/>
        </w:rPr>
        <w:t xml:space="preserve"> </w:t>
      </w:r>
      <w:r w:rsidRPr="0094555B" w:rsidR="00624B15">
        <w:rPr>
          <w:rFonts w:ascii="Times New Roman" w:hAnsi="Times New Roman" w:cs="Times New Roman"/>
          <w:sz w:val="24"/>
          <w:szCs w:val="24"/>
        </w:rPr>
        <w:t>(</w:t>
      </w:r>
      <w:r w:rsidRPr="0094555B" w:rsidR="00B450C8">
        <w:rPr>
          <w:rFonts w:ascii="Times New Roman" w:hAnsi="Times New Roman" w:cs="Times New Roman"/>
          <w:sz w:val="24"/>
          <w:szCs w:val="24"/>
        </w:rPr>
        <w:t>36,432</w:t>
      </w:r>
      <w:r w:rsidRPr="0094555B" w:rsidR="00624B15">
        <w:rPr>
          <w:rFonts w:ascii="Times New Roman" w:hAnsi="Times New Roman" w:cs="Times New Roman"/>
          <w:sz w:val="24"/>
          <w:szCs w:val="24"/>
        </w:rPr>
        <w:t xml:space="preserve"> </w:t>
      </w:r>
      <w:proofErr w:type="spellStart"/>
      <w:r w:rsidRPr="0094555B" w:rsidR="00624B15">
        <w:rPr>
          <w:rFonts w:ascii="Times New Roman" w:hAnsi="Times New Roman" w:cs="Times New Roman"/>
          <w:sz w:val="24"/>
          <w:szCs w:val="24"/>
        </w:rPr>
        <w:t>hr</w:t>
      </w:r>
      <w:proofErr w:type="spellEnd"/>
      <w:r w:rsidRPr="0094555B" w:rsidR="00624B15">
        <w:rPr>
          <w:rFonts w:ascii="Times New Roman" w:hAnsi="Times New Roman" w:cs="Times New Roman"/>
          <w:sz w:val="24"/>
          <w:szCs w:val="24"/>
        </w:rPr>
        <w:t xml:space="preserve"> X </w:t>
      </w:r>
      <w:r w:rsidRPr="0094555B" w:rsidR="006B157E">
        <w:rPr>
          <w:rFonts w:ascii="Times New Roman" w:hAnsi="Times New Roman" w:cs="Times New Roman"/>
          <w:sz w:val="24"/>
          <w:szCs w:val="24"/>
        </w:rPr>
        <w:t>$</w:t>
      </w:r>
      <w:r w:rsidRPr="0094555B" w:rsidR="00B450C8">
        <w:rPr>
          <w:rFonts w:ascii="Times New Roman" w:hAnsi="Times New Roman" w:cs="Times New Roman"/>
          <w:sz w:val="24"/>
          <w:szCs w:val="24"/>
        </w:rPr>
        <w:t>3</w:t>
      </w:r>
      <w:r w:rsidR="0021018F">
        <w:rPr>
          <w:rFonts w:ascii="Times New Roman" w:hAnsi="Times New Roman" w:cs="Times New Roman"/>
          <w:sz w:val="24"/>
          <w:szCs w:val="24"/>
        </w:rPr>
        <w:t>2.40</w:t>
      </w:r>
      <w:r w:rsidRPr="0094555B" w:rsidR="00624B15">
        <w:rPr>
          <w:rFonts w:ascii="Times New Roman" w:hAnsi="Times New Roman" w:cs="Times New Roman"/>
          <w:sz w:val="24"/>
          <w:szCs w:val="24"/>
        </w:rPr>
        <w:t>/</w:t>
      </w:r>
      <w:proofErr w:type="spellStart"/>
      <w:r w:rsidRPr="0094555B" w:rsidR="00624B15">
        <w:rPr>
          <w:rFonts w:ascii="Times New Roman" w:hAnsi="Times New Roman" w:cs="Times New Roman"/>
          <w:sz w:val="24"/>
          <w:szCs w:val="24"/>
        </w:rPr>
        <w:t>hr</w:t>
      </w:r>
      <w:proofErr w:type="spellEnd"/>
      <w:r w:rsidRPr="0094555B" w:rsidR="00624B15">
        <w:rPr>
          <w:rFonts w:ascii="Times New Roman" w:hAnsi="Times New Roman" w:cs="Times New Roman"/>
          <w:sz w:val="24"/>
          <w:szCs w:val="24"/>
        </w:rPr>
        <w:t xml:space="preserve">). </w:t>
      </w:r>
      <w:r w:rsidRPr="0094555B" w:rsidR="00624B15">
        <w:rPr>
          <w:rFonts w:ascii="Times New Roman" w:hAnsi="Times New Roman" w:cs="Times New Roman"/>
          <w:b/>
          <w:iCs/>
          <w:sz w:val="24"/>
          <w:szCs w:val="24"/>
        </w:rPr>
        <w:t>(</w:t>
      </w:r>
      <w:r w:rsidRPr="0094555B" w:rsidR="005F5165">
        <w:rPr>
          <w:rFonts w:ascii="Times New Roman" w:hAnsi="Times New Roman" w:cs="Times New Roman"/>
          <w:b/>
          <w:iCs/>
          <w:sz w:val="24"/>
          <w:szCs w:val="24"/>
        </w:rPr>
        <w:t>ESTIMATE</w:t>
      </w:r>
      <w:r w:rsidRPr="0094555B" w:rsidR="00624B15">
        <w:rPr>
          <w:rFonts w:ascii="Times New Roman" w:hAnsi="Times New Roman" w:cs="Times New Roman"/>
          <w:b/>
          <w:iCs/>
          <w:sz w:val="24"/>
          <w:szCs w:val="24"/>
        </w:rPr>
        <w:t xml:space="preserve"> 12.12)</w:t>
      </w:r>
    </w:p>
    <w:p w:rsidRPr="0094555B" w:rsidR="00624B15" w:rsidP="0094555B" w:rsidRDefault="00624B15" w14:paraId="1C4AACBD" w14:textId="047E59E4">
      <w:pPr>
        <w:rPr>
          <w:rFonts w:ascii="Times New Roman" w:hAnsi="Times New Roman" w:cs="Times New Roman"/>
          <w:sz w:val="24"/>
          <w:szCs w:val="24"/>
        </w:rPr>
      </w:pPr>
      <w:r w:rsidRPr="0094555B">
        <w:rPr>
          <w:rFonts w:ascii="Times New Roman" w:hAnsi="Times New Roman" w:cs="Times New Roman"/>
          <w:sz w:val="24"/>
          <w:szCs w:val="24"/>
        </w:rPr>
        <w:t xml:space="preserve">Since all the </w:t>
      </w:r>
      <w:r w:rsidRPr="0094555B" w:rsidR="006B157E">
        <w:rPr>
          <w:rFonts w:ascii="Times New Roman" w:hAnsi="Times New Roman" w:cs="Times New Roman"/>
          <w:sz w:val="24"/>
          <w:szCs w:val="24"/>
        </w:rPr>
        <w:t xml:space="preserve">496 managed care plans </w:t>
      </w:r>
      <w:r w:rsidRPr="0094555B">
        <w:rPr>
          <w:rFonts w:ascii="Times New Roman" w:hAnsi="Times New Roman" w:cs="Times New Roman"/>
          <w:sz w:val="24"/>
          <w:szCs w:val="24"/>
        </w:rPr>
        <w:t xml:space="preserve">will need to keep their handbook up to date, we estimate it will take 1 </w:t>
      </w:r>
      <w:proofErr w:type="spellStart"/>
      <w:r w:rsidRPr="0094555B">
        <w:rPr>
          <w:rFonts w:ascii="Times New Roman" w:hAnsi="Times New Roman" w:cs="Times New Roman"/>
          <w:sz w:val="24"/>
          <w:szCs w:val="24"/>
        </w:rPr>
        <w:t>hr</w:t>
      </w:r>
      <w:proofErr w:type="spellEnd"/>
      <w:r w:rsidRPr="0094555B">
        <w:rPr>
          <w:rFonts w:ascii="Times New Roman" w:hAnsi="Times New Roman" w:cs="Times New Roman"/>
          <w:sz w:val="24"/>
          <w:szCs w:val="24"/>
        </w:rPr>
        <w:t xml:space="preserve"> at </w:t>
      </w:r>
      <w:r w:rsidRPr="0094555B" w:rsidR="00773C0B">
        <w:rPr>
          <w:rFonts w:ascii="Times New Roman" w:hAnsi="Times New Roman" w:cs="Times New Roman"/>
          <w:sz w:val="24"/>
          <w:szCs w:val="24"/>
        </w:rPr>
        <w:t>$7</w:t>
      </w:r>
      <w:r w:rsidRPr="0094555B" w:rsidR="00B450C8">
        <w:rPr>
          <w:rFonts w:ascii="Times New Roman" w:hAnsi="Times New Roman" w:cs="Times New Roman"/>
          <w:sz w:val="24"/>
          <w:szCs w:val="24"/>
        </w:rPr>
        <w:t>2.62</w:t>
      </w:r>
      <w:r w:rsidRPr="0094555B">
        <w:rPr>
          <w:rFonts w:ascii="Times New Roman" w:hAnsi="Times New Roman" w:cs="Times New Roman"/>
          <w:sz w:val="24"/>
          <w:szCs w:val="24"/>
        </w:rPr>
        <w:t>/</w:t>
      </w:r>
      <w:proofErr w:type="spellStart"/>
      <w:r w:rsidRPr="0094555B">
        <w:rPr>
          <w:rFonts w:ascii="Times New Roman" w:hAnsi="Times New Roman" w:cs="Times New Roman"/>
          <w:sz w:val="24"/>
          <w:szCs w:val="24"/>
        </w:rPr>
        <w:t>hr</w:t>
      </w:r>
      <w:proofErr w:type="spellEnd"/>
      <w:r w:rsidRPr="0094555B">
        <w:rPr>
          <w:rFonts w:ascii="Times New Roman" w:hAnsi="Times New Roman" w:cs="Times New Roman"/>
          <w:sz w:val="24"/>
          <w:szCs w:val="24"/>
        </w:rPr>
        <w:t xml:space="preserve"> for a business operations specialist to update the document.  While the updates are necessary when program changes occur, we estimate 1 </w:t>
      </w:r>
      <w:proofErr w:type="spellStart"/>
      <w:r w:rsidRPr="0094555B">
        <w:rPr>
          <w:rFonts w:ascii="Times New Roman" w:hAnsi="Times New Roman" w:cs="Times New Roman"/>
          <w:sz w:val="24"/>
          <w:szCs w:val="24"/>
        </w:rPr>
        <w:t>hr</w:t>
      </w:r>
      <w:proofErr w:type="spellEnd"/>
      <w:r w:rsidRPr="0094555B">
        <w:rPr>
          <w:rFonts w:ascii="Times New Roman" w:hAnsi="Times New Roman" w:cs="Times New Roman"/>
          <w:sz w:val="24"/>
          <w:szCs w:val="24"/>
        </w:rPr>
        <w:t xml:space="preserve"> since each change may only take a few minutes to make.  In aggregate, we estimate an annual private sector burden of </w:t>
      </w:r>
      <w:r w:rsidRPr="0094555B">
        <w:rPr>
          <w:rFonts w:ascii="Times New Roman" w:hAnsi="Times New Roman" w:cs="Times New Roman"/>
          <w:b/>
          <w:sz w:val="24"/>
          <w:szCs w:val="24"/>
        </w:rPr>
        <w:t xml:space="preserve">496 </w:t>
      </w:r>
      <w:proofErr w:type="spellStart"/>
      <w:r w:rsidRPr="0094555B">
        <w:rPr>
          <w:rFonts w:ascii="Times New Roman" w:hAnsi="Times New Roman" w:cs="Times New Roman"/>
          <w:b/>
          <w:sz w:val="24"/>
          <w:szCs w:val="24"/>
        </w:rPr>
        <w:t>hr</w:t>
      </w:r>
      <w:proofErr w:type="spellEnd"/>
      <w:r w:rsidRPr="0094555B">
        <w:rPr>
          <w:rFonts w:ascii="Times New Roman" w:hAnsi="Times New Roman" w:cs="Times New Roman"/>
          <w:sz w:val="24"/>
          <w:szCs w:val="24"/>
        </w:rPr>
        <w:t xml:space="preserve"> (496 entities x 1 </w:t>
      </w:r>
      <w:proofErr w:type="spellStart"/>
      <w:r w:rsidRPr="0094555B">
        <w:rPr>
          <w:rFonts w:ascii="Times New Roman" w:hAnsi="Times New Roman" w:cs="Times New Roman"/>
          <w:sz w:val="24"/>
          <w:szCs w:val="24"/>
        </w:rPr>
        <w:t>hr</w:t>
      </w:r>
      <w:proofErr w:type="spellEnd"/>
      <w:r w:rsidRPr="0094555B">
        <w:rPr>
          <w:rFonts w:ascii="Times New Roman" w:hAnsi="Times New Roman" w:cs="Times New Roman"/>
          <w:sz w:val="24"/>
          <w:szCs w:val="24"/>
        </w:rPr>
        <w:t xml:space="preserve">) and </w:t>
      </w:r>
      <w:r w:rsidRPr="0094555B">
        <w:rPr>
          <w:rFonts w:ascii="Times New Roman" w:hAnsi="Times New Roman" w:cs="Times New Roman"/>
          <w:b/>
          <w:sz w:val="24"/>
          <w:szCs w:val="24"/>
        </w:rPr>
        <w:t>$</w:t>
      </w:r>
      <w:r w:rsidRPr="0094555B" w:rsidR="00B450C8">
        <w:rPr>
          <w:rFonts w:ascii="Times New Roman" w:hAnsi="Times New Roman" w:cs="Times New Roman"/>
          <w:b/>
          <w:sz w:val="24"/>
          <w:szCs w:val="24"/>
        </w:rPr>
        <w:t>3</w:t>
      </w:r>
      <w:r w:rsidR="0021018F">
        <w:rPr>
          <w:rFonts w:ascii="Times New Roman" w:hAnsi="Times New Roman" w:cs="Times New Roman"/>
          <w:b/>
          <w:sz w:val="24"/>
          <w:szCs w:val="24"/>
        </w:rPr>
        <w:t>7,359</w:t>
      </w:r>
      <w:r w:rsidRPr="0094555B">
        <w:rPr>
          <w:rFonts w:ascii="Times New Roman" w:hAnsi="Times New Roman" w:cs="Times New Roman"/>
          <w:b/>
          <w:sz w:val="24"/>
          <w:szCs w:val="24"/>
        </w:rPr>
        <w:t xml:space="preserve"> </w:t>
      </w:r>
      <w:r w:rsidRPr="0094555B">
        <w:rPr>
          <w:rFonts w:ascii="Times New Roman" w:hAnsi="Times New Roman" w:cs="Times New Roman"/>
          <w:sz w:val="24"/>
          <w:szCs w:val="24"/>
        </w:rPr>
        <w:t xml:space="preserve">(496 </w:t>
      </w:r>
      <w:proofErr w:type="spellStart"/>
      <w:r w:rsidRPr="0094555B">
        <w:rPr>
          <w:rFonts w:ascii="Times New Roman" w:hAnsi="Times New Roman" w:cs="Times New Roman"/>
          <w:sz w:val="24"/>
          <w:szCs w:val="24"/>
        </w:rPr>
        <w:t>hr</w:t>
      </w:r>
      <w:proofErr w:type="spellEnd"/>
      <w:r w:rsidRPr="0094555B">
        <w:rPr>
          <w:rFonts w:ascii="Times New Roman" w:hAnsi="Times New Roman" w:cs="Times New Roman"/>
          <w:sz w:val="24"/>
          <w:szCs w:val="24"/>
        </w:rPr>
        <w:t xml:space="preserve"> x </w:t>
      </w:r>
      <w:r w:rsidRPr="0094555B" w:rsidR="00773C0B">
        <w:rPr>
          <w:rFonts w:ascii="Times New Roman" w:hAnsi="Times New Roman" w:cs="Times New Roman"/>
          <w:sz w:val="24"/>
          <w:szCs w:val="24"/>
        </w:rPr>
        <w:t>$</w:t>
      </w:r>
      <w:r w:rsidRPr="0094555B" w:rsidR="00B450C8">
        <w:rPr>
          <w:rFonts w:ascii="Times New Roman" w:hAnsi="Times New Roman" w:cs="Times New Roman"/>
          <w:sz w:val="24"/>
          <w:szCs w:val="24"/>
        </w:rPr>
        <w:t>7</w:t>
      </w:r>
      <w:r w:rsidR="0021018F">
        <w:rPr>
          <w:rFonts w:ascii="Times New Roman" w:hAnsi="Times New Roman" w:cs="Times New Roman"/>
          <w:sz w:val="24"/>
          <w:szCs w:val="24"/>
        </w:rPr>
        <w:t>5.32</w:t>
      </w:r>
      <w:r w:rsidRPr="0094555B">
        <w:rPr>
          <w:rFonts w:ascii="Times New Roman" w:hAnsi="Times New Roman" w:cs="Times New Roman"/>
          <w:sz w:val="24"/>
          <w:szCs w:val="24"/>
        </w:rPr>
        <w:t>/</w:t>
      </w:r>
      <w:proofErr w:type="spellStart"/>
      <w:r w:rsidRPr="0094555B">
        <w:rPr>
          <w:rFonts w:ascii="Times New Roman" w:hAnsi="Times New Roman" w:cs="Times New Roman"/>
          <w:sz w:val="24"/>
          <w:szCs w:val="24"/>
        </w:rPr>
        <w:t>hr</w:t>
      </w:r>
      <w:proofErr w:type="spellEnd"/>
      <w:r w:rsidRPr="0094555B">
        <w:rPr>
          <w:rFonts w:ascii="Times New Roman" w:hAnsi="Times New Roman" w:cs="Times New Roman"/>
          <w:sz w:val="24"/>
          <w:szCs w:val="24"/>
        </w:rPr>
        <w:t>).</w:t>
      </w:r>
      <w:r w:rsidRPr="0094555B">
        <w:rPr>
          <w:rFonts w:ascii="Times New Roman" w:hAnsi="Times New Roman" w:cs="Times New Roman"/>
          <w:b/>
          <w:sz w:val="24"/>
          <w:szCs w:val="24"/>
        </w:rPr>
        <w:t xml:space="preserve"> </w:t>
      </w:r>
      <w:r w:rsidRPr="0094555B">
        <w:rPr>
          <w:rFonts w:ascii="Times New Roman" w:hAnsi="Times New Roman" w:cs="Times New Roman"/>
          <w:b/>
          <w:iCs/>
          <w:sz w:val="24"/>
          <w:szCs w:val="24"/>
        </w:rPr>
        <w:t>(</w:t>
      </w:r>
      <w:r w:rsidRPr="0094555B" w:rsidR="005F5165">
        <w:rPr>
          <w:rFonts w:ascii="Times New Roman" w:hAnsi="Times New Roman" w:cs="Times New Roman"/>
          <w:b/>
          <w:iCs/>
          <w:sz w:val="24"/>
          <w:szCs w:val="24"/>
        </w:rPr>
        <w:t>ESTIMATE</w:t>
      </w:r>
      <w:r w:rsidRPr="0094555B">
        <w:rPr>
          <w:rFonts w:ascii="Times New Roman" w:hAnsi="Times New Roman" w:cs="Times New Roman"/>
          <w:b/>
          <w:iCs/>
          <w:sz w:val="24"/>
          <w:szCs w:val="24"/>
        </w:rPr>
        <w:t xml:space="preserve"> 12.13)</w:t>
      </w:r>
    </w:p>
    <w:p w:rsidRPr="0094555B" w:rsidR="00332B7B" w:rsidP="0094555B" w:rsidRDefault="00624B15" w14:paraId="1E2E9053" w14:textId="77777777">
      <w:pPr>
        <w:rPr>
          <w:rFonts w:ascii="Times New Roman" w:hAnsi="Times New Roman" w:cs="Times New Roman"/>
          <w:sz w:val="24"/>
          <w:szCs w:val="24"/>
          <w:u w:val="single"/>
        </w:rPr>
      </w:pPr>
      <w:r w:rsidRPr="0094555B">
        <w:rPr>
          <w:rFonts w:ascii="Times New Roman" w:hAnsi="Times New Roman" w:cs="Times New Roman"/>
          <w:sz w:val="24"/>
          <w:szCs w:val="24"/>
          <w:u w:val="single"/>
        </w:rPr>
        <w:t>Section 438.12 Provider discrimination prohibited</w:t>
      </w:r>
    </w:p>
    <w:p w:rsidRPr="0094555B" w:rsidR="00624B15" w:rsidP="0094555B" w:rsidRDefault="00624B15" w14:paraId="009A6655" w14:textId="529B14F7">
      <w:pPr>
        <w:rPr>
          <w:rFonts w:ascii="Times New Roman" w:hAnsi="Times New Roman" w:cs="Times New Roman"/>
          <w:iCs/>
          <w:sz w:val="24"/>
          <w:szCs w:val="24"/>
        </w:rPr>
      </w:pPr>
      <w:r w:rsidRPr="0094555B">
        <w:rPr>
          <w:rFonts w:ascii="Times New Roman" w:hAnsi="Times New Roman" w:cs="Times New Roman"/>
          <w:sz w:val="24"/>
          <w:szCs w:val="24"/>
        </w:rPr>
        <w:t xml:space="preserve">This section requires that if an MCO, PIHP, or PAHP declines to include individual or groups of providers in its network, it must give the affected providers written notice of the reason for its decision.  </w:t>
      </w:r>
      <w:r w:rsidRPr="0094555B">
        <w:rPr>
          <w:rFonts w:ascii="Times New Roman" w:hAnsi="Times New Roman" w:cs="Times New Roman"/>
          <w:iCs/>
          <w:sz w:val="24"/>
          <w:szCs w:val="24"/>
        </w:rPr>
        <w:t xml:space="preserve">The burden associated with this requirement is the time it takes the MCO, PIHP, or PAHP to furnish the providers with the requisite notice.  We estimate that it takes 1 min </w:t>
      </w:r>
      <w:r w:rsidRPr="0094555B" w:rsidR="00A7772F">
        <w:rPr>
          <w:rFonts w:ascii="Times New Roman" w:hAnsi="Times New Roman" w:cs="Times New Roman"/>
          <w:sz w:val="24"/>
          <w:szCs w:val="24"/>
        </w:rPr>
        <w:t xml:space="preserve">(0.0167 </w:t>
      </w:r>
      <w:proofErr w:type="spellStart"/>
      <w:r w:rsidRPr="0094555B" w:rsidR="00A7772F">
        <w:rPr>
          <w:rFonts w:ascii="Times New Roman" w:hAnsi="Times New Roman" w:cs="Times New Roman"/>
          <w:sz w:val="24"/>
          <w:szCs w:val="24"/>
        </w:rPr>
        <w:t>hr</w:t>
      </w:r>
      <w:proofErr w:type="spellEnd"/>
      <w:r w:rsidRPr="0094555B" w:rsidR="00A7772F">
        <w:rPr>
          <w:rFonts w:ascii="Times New Roman" w:hAnsi="Times New Roman" w:cs="Times New Roman"/>
          <w:sz w:val="24"/>
          <w:szCs w:val="24"/>
        </w:rPr>
        <w:t xml:space="preserve">) </w:t>
      </w:r>
      <w:r w:rsidRPr="0094555B">
        <w:rPr>
          <w:rFonts w:ascii="Times New Roman" w:hAnsi="Times New Roman" w:cs="Times New Roman"/>
          <w:iCs/>
          <w:sz w:val="24"/>
          <w:szCs w:val="24"/>
        </w:rPr>
        <w:t>to draft and furnish such notice.  We estimate that on average each 488 MCOs, PIHPs, and PAHPs will need to produce 10 notices per year.</w:t>
      </w:r>
      <w:r w:rsidRPr="0094555B">
        <w:rPr>
          <w:rFonts w:ascii="Times New Roman" w:hAnsi="Times New Roman" w:cs="Times New Roman"/>
          <w:sz w:val="24"/>
          <w:szCs w:val="24"/>
        </w:rPr>
        <w:t xml:space="preserve"> </w:t>
      </w:r>
      <w:r w:rsidRPr="0094555B">
        <w:rPr>
          <w:rFonts w:ascii="Times New Roman" w:hAnsi="Times New Roman" w:cs="Times New Roman"/>
          <w:iCs/>
          <w:sz w:val="24"/>
          <w:szCs w:val="24"/>
        </w:rPr>
        <w:t xml:space="preserve">In aggregate, we estimate an annual private sector burden of </w:t>
      </w:r>
      <w:r w:rsidRPr="0094555B">
        <w:rPr>
          <w:rFonts w:ascii="Times New Roman" w:hAnsi="Times New Roman" w:cs="Times New Roman"/>
          <w:b/>
          <w:iCs/>
          <w:sz w:val="24"/>
          <w:szCs w:val="24"/>
        </w:rPr>
        <w:t xml:space="preserve">81 </w:t>
      </w:r>
      <w:proofErr w:type="spellStart"/>
      <w:r w:rsidRPr="0094555B">
        <w:rPr>
          <w:rFonts w:ascii="Times New Roman" w:hAnsi="Times New Roman" w:cs="Times New Roman"/>
          <w:b/>
          <w:iCs/>
          <w:sz w:val="24"/>
          <w:szCs w:val="24"/>
        </w:rPr>
        <w:t>hr</w:t>
      </w:r>
      <w:proofErr w:type="spellEnd"/>
      <w:r w:rsidRPr="0094555B">
        <w:rPr>
          <w:rFonts w:ascii="Times New Roman" w:hAnsi="Times New Roman" w:cs="Times New Roman"/>
          <w:iCs/>
          <w:sz w:val="24"/>
          <w:szCs w:val="24"/>
        </w:rPr>
        <w:t xml:space="preserve"> (488 entities x 10 notices x </w:t>
      </w:r>
      <w:r w:rsidRPr="0094555B" w:rsidR="00A7772F">
        <w:rPr>
          <w:rFonts w:ascii="Times New Roman" w:hAnsi="Times New Roman" w:cs="Times New Roman"/>
          <w:sz w:val="24"/>
          <w:szCs w:val="24"/>
        </w:rPr>
        <w:t xml:space="preserve">0.0167 </w:t>
      </w:r>
      <w:proofErr w:type="spellStart"/>
      <w:r w:rsidRPr="0094555B" w:rsidR="00A7772F">
        <w:rPr>
          <w:rFonts w:ascii="Times New Roman" w:hAnsi="Times New Roman" w:cs="Times New Roman"/>
          <w:sz w:val="24"/>
          <w:szCs w:val="24"/>
        </w:rPr>
        <w:t>hr</w:t>
      </w:r>
      <w:proofErr w:type="spellEnd"/>
      <w:r w:rsidRPr="0094555B">
        <w:rPr>
          <w:rFonts w:ascii="Times New Roman" w:hAnsi="Times New Roman" w:cs="Times New Roman"/>
          <w:iCs/>
          <w:sz w:val="24"/>
          <w:szCs w:val="24"/>
        </w:rPr>
        <w:t xml:space="preserve">) at a cost of </w:t>
      </w:r>
      <w:r w:rsidRPr="0094555B">
        <w:rPr>
          <w:rFonts w:ascii="Times New Roman" w:hAnsi="Times New Roman" w:cs="Times New Roman"/>
          <w:b/>
          <w:iCs/>
          <w:sz w:val="24"/>
          <w:szCs w:val="24"/>
        </w:rPr>
        <w:t>$</w:t>
      </w:r>
      <w:r w:rsidRPr="0094555B" w:rsidR="00B450C8">
        <w:rPr>
          <w:rFonts w:ascii="Times New Roman" w:hAnsi="Times New Roman" w:cs="Times New Roman"/>
          <w:b/>
          <w:iCs/>
          <w:sz w:val="24"/>
          <w:szCs w:val="24"/>
        </w:rPr>
        <w:t>2,</w:t>
      </w:r>
      <w:r w:rsidR="0021018F">
        <w:rPr>
          <w:rFonts w:ascii="Times New Roman" w:hAnsi="Times New Roman" w:cs="Times New Roman"/>
          <w:b/>
          <w:iCs/>
          <w:sz w:val="24"/>
          <w:szCs w:val="24"/>
        </w:rPr>
        <w:t>624</w:t>
      </w:r>
      <w:r w:rsidRPr="0094555B" w:rsidR="00A7215A">
        <w:rPr>
          <w:rFonts w:ascii="Times New Roman" w:hAnsi="Times New Roman" w:cs="Times New Roman"/>
          <w:b/>
          <w:iCs/>
          <w:sz w:val="24"/>
          <w:szCs w:val="24"/>
        </w:rPr>
        <w:t xml:space="preserve"> </w:t>
      </w:r>
      <w:r w:rsidRPr="0094555B">
        <w:rPr>
          <w:rFonts w:ascii="Times New Roman" w:hAnsi="Times New Roman" w:cs="Times New Roman"/>
          <w:iCs/>
          <w:sz w:val="24"/>
          <w:szCs w:val="24"/>
        </w:rPr>
        <w:t xml:space="preserve">(81 </w:t>
      </w:r>
      <w:proofErr w:type="spellStart"/>
      <w:r w:rsidRPr="0094555B">
        <w:rPr>
          <w:rFonts w:ascii="Times New Roman" w:hAnsi="Times New Roman" w:cs="Times New Roman"/>
          <w:iCs/>
          <w:sz w:val="24"/>
          <w:szCs w:val="24"/>
        </w:rPr>
        <w:t>hr</w:t>
      </w:r>
      <w:proofErr w:type="spellEnd"/>
      <w:r w:rsidRPr="0094555B">
        <w:rPr>
          <w:rFonts w:ascii="Times New Roman" w:hAnsi="Times New Roman" w:cs="Times New Roman"/>
          <w:iCs/>
          <w:sz w:val="24"/>
          <w:szCs w:val="24"/>
        </w:rPr>
        <w:t xml:space="preserve"> x </w:t>
      </w:r>
      <w:r w:rsidRPr="0094555B" w:rsidR="00827481">
        <w:rPr>
          <w:rFonts w:ascii="Times New Roman" w:hAnsi="Times New Roman" w:cs="Times New Roman"/>
          <w:iCs/>
          <w:sz w:val="24"/>
          <w:szCs w:val="24"/>
        </w:rPr>
        <w:t>$</w:t>
      </w:r>
      <w:r w:rsidRPr="0094555B" w:rsidR="00B450C8">
        <w:rPr>
          <w:rFonts w:ascii="Times New Roman" w:hAnsi="Times New Roman" w:cs="Times New Roman"/>
          <w:iCs/>
          <w:sz w:val="24"/>
          <w:szCs w:val="24"/>
        </w:rPr>
        <w:t>3</w:t>
      </w:r>
      <w:r w:rsidR="0021018F">
        <w:rPr>
          <w:rFonts w:ascii="Times New Roman" w:hAnsi="Times New Roman" w:cs="Times New Roman"/>
          <w:iCs/>
          <w:sz w:val="24"/>
          <w:szCs w:val="24"/>
        </w:rPr>
        <w:t>2.40</w:t>
      </w:r>
      <w:r w:rsidRPr="0094555B">
        <w:rPr>
          <w:rFonts w:ascii="Times New Roman" w:hAnsi="Times New Roman" w:cs="Times New Roman"/>
          <w:iCs/>
          <w:sz w:val="24"/>
          <w:szCs w:val="24"/>
        </w:rPr>
        <w:t>/</w:t>
      </w:r>
      <w:proofErr w:type="spellStart"/>
      <w:r w:rsidRPr="0094555B">
        <w:rPr>
          <w:rFonts w:ascii="Times New Roman" w:hAnsi="Times New Roman" w:cs="Times New Roman"/>
          <w:iCs/>
          <w:sz w:val="24"/>
          <w:szCs w:val="24"/>
        </w:rPr>
        <w:t>hr</w:t>
      </w:r>
      <w:proofErr w:type="spellEnd"/>
      <w:r w:rsidRPr="0094555B">
        <w:rPr>
          <w:rFonts w:ascii="Times New Roman" w:hAnsi="Times New Roman" w:cs="Times New Roman"/>
          <w:iCs/>
          <w:sz w:val="24"/>
          <w:szCs w:val="24"/>
        </w:rPr>
        <w:t xml:space="preserve">). </w:t>
      </w:r>
      <w:r w:rsidRPr="0094555B">
        <w:rPr>
          <w:rFonts w:ascii="Times New Roman" w:hAnsi="Times New Roman" w:cs="Times New Roman"/>
          <w:b/>
          <w:iCs/>
          <w:sz w:val="24"/>
          <w:szCs w:val="24"/>
        </w:rPr>
        <w:t>(</w:t>
      </w:r>
      <w:r w:rsidRPr="0094555B" w:rsidR="005F5165">
        <w:rPr>
          <w:rFonts w:ascii="Times New Roman" w:hAnsi="Times New Roman" w:cs="Times New Roman"/>
          <w:b/>
          <w:iCs/>
          <w:sz w:val="24"/>
          <w:szCs w:val="24"/>
        </w:rPr>
        <w:t>ESTIMATE</w:t>
      </w:r>
      <w:r w:rsidRPr="0094555B">
        <w:rPr>
          <w:rFonts w:ascii="Times New Roman" w:hAnsi="Times New Roman" w:cs="Times New Roman"/>
          <w:b/>
          <w:iCs/>
          <w:sz w:val="24"/>
          <w:szCs w:val="24"/>
        </w:rPr>
        <w:t xml:space="preserve"> 12.15)</w:t>
      </w:r>
    </w:p>
    <w:p w:rsidRPr="0094555B" w:rsidR="00725D07" w:rsidP="0094555B" w:rsidRDefault="00332B7B" w14:paraId="040A6D9D" w14:textId="77777777">
      <w:pPr>
        <w:rPr>
          <w:rFonts w:ascii="Times New Roman" w:hAnsi="Times New Roman" w:cs="Times New Roman"/>
          <w:sz w:val="24"/>
          <w:szCs w:val="24"/>
        </w:rPr>
      </w:pPr>
      <w:r w:rsidRPr="0094555B">
        <w:rPr>
          <w:rFonts w:ascii="Times New Roman" w:hAnsi="Times New Roman" w:cs="Times New Roman"/>
          <w:sz w:val="24"/>
          <w:szCs w:val="24"/>
          <w:u w:val="single"/>
        </w:rPr>
        <w:t xml:space="preserve">Section 438.14 </w:t>
      </w:r>
      <w:r w:rsidRPr="0094555B" w:rsidR="00624B15">
        <w:rPr>
          <w:rFonts w:ascii="Times New Roman" w:hAnsi="Times New Roman" w:cs="Times New Roman"/>
          <w:sz w:val="24"/>
          <w:szCs w:val="24"/>
          <w:u w:val="single"/>
        </w:rPr>
        <w:t>Requirements that apply to MCO, PIHP, PAHP, PCCM, and PCCM entity contracts involving Indians, Indian health care providers (IHCPs), and Indian managed care entities (IMCEs)</w:t>
      </w:r>
      <w:r w:rsidRPr="0094555B" w:rsidR="00624B15">
        <w:rPr>
          <w:rFonts w:ascii="Times New Roman" w:hAnsi="Times New Roman" w:cs="Times New Roman"/>
          <w:sz w:val="24"/>
          <w:szCs w:val="24"/>
        </w:rPr>
        <w:t xml:space="preserve"> </w:t>
      </w:r>
    </w:p>
    <w:p w:rsidRPr="0094555B" w:rsidR="00624B15" w:rsidP="0094555B" w:rsidRDefault="00624B15" w14:paraId="1511F005" w14:textId="39D50481">
      <w:pPr>
        <w:rPr>
          <w:rFonts w:ascii="Times New Roman" w:hAnsi="Times New Roman" w:cs="Times New Roman"/>
          <w:sz w:val="24"/>
          <w:szCs w:val="24"/>
        </w:rPr>
      </w:pPr>
      <w:r w:rsidRPr="0094555B">
        <w:rPr>
          <w:rFonts w:ascii="Times New Roman" w:hAnsi="Times New Roman" w:cs="Times New Roman"/>
          <w:sz w:val="24"/>
          <w:szCs w:val="24"/>
        </w:rPr>
        <w:lastRenderedPageBreak/>
        <w:t xml:space="preserve">Section 438.14(c) requires states to make supplemental payments to Indian providers if the MCO, PIHP, PAHP, and PCCM entity does not pay at least the amount paid to Indian providers under the FFS program.  There are approximately 31 states with 463 managed care entities with Indian providers.  This type of payment arrangement typically involves the managed care entity sending a report to the state that then calculates and pays the amount owed to the Indian health care provider. </w:t>
      </w:r>
      <w:r w:rsidRPr="0094555B" w:rsidR="00067C17">
        <w:rPr>
          <w:rFonts w:ascii="Times New Roman" w:hAnsi="Times New Roman" w:cs="Times New Roman"/>
          <w:sz w:val="24"/>
          <w:szCs w:val="24"/>
        </w:rPr>
        <w:t>Note: this process is not necessary when the MCO, PIHP, PAHP, or PCCM entity pays the ICHP at least the full amount owed under this regulation.</w:t>
      </w:r>
      <w:r w:rsidRPr="0094555B">
        <w:rPr>
          <w:rFonts w:ascii="Times New Roman" w:hAnsi="Times New Roman" w:cs="Times New Roman"/>
          <w:sz w:val="24"/>
          <w:szCs w:val="24"/>
        </w:rPr>
        <w:t xml:space="preserve"> </w:t>
      </w:r>
      <w:r w:rsidRPr="0094555B" w:rsidR="0024674F">
        <w:rPr>
          <w:rFonts w:ascii="Times New Roman" w:hAnsi="Times New Roman" w:cs="Times New Roman"/>
          <w:sz w:val="24"/>
          <w:szCs w:val="24"/>
        </w:rPr>
        <w:t xml:space="preserve">We </w:t>
      </w:r>
      <w:r w:rsidRPr="0094555B">
        <w:rPr>
          <w:rFonts w:ascii="Times New Roman" w:hAnsi="Times New Roman" w:cs="Times New Roman"/>
          <w:sz w:val="24"/>
          <w:szCs w:val="24"/>
        </w:rPr>
        <w:t xml:space="preserve">estimate an annual state burden of </w:t>
      </w:r>
      <w:r w:rsidRPr="0094555B">
        <w:rPr>
          <w:rFonts w:ascii="Times New Roman" w:hAnsi="Times New Roman" w:cs="Times New Roman"/>
          <w:b/>
          <w:sz w:val="24"/>
          <w:szCs w:val="24"/>
        </w:rPr>
        <w:t xml:space="preserve">300 </w:t>
      </w:r>
      <w:proofErr w:type="spellStart"/>
      <w:r w:rsidRPr="0094555B">
        <w:rPr>
          <w:rFonts w:ascii="Times New Roman" w:hAnsi="Times New Roman" w:cs="Times New Roman"/>
          <w:b/>
          <w:sz w:val="24"/>
          <w:szCs w:val="24"/>
        </w:rPr>
        <w:t>hr</w:t>
      </w:r>
      <w:proofErr w:type="spellEnd"/>
      <w:r w:rsidRPr="0094555B">
        <w:rPr>
          <w:rFonts w:ascii="Times New Roman" w:hAnsi="Times New Roman" w:cs="Times New Roman"/>
          <w:sz w:val="24"/>
          <w:szCs w:val="24"/>
        </w:rPr>
        <w:t xml:space="preserve"> (25 states x 12 </w:t>
      </w:r>
      <w:proofErr w:type="spellStart"/>
      <w:r w:rsidRPr="0094555B">
        <w:rPr>
          <w:rFonts w:ascii="Times New Roman" w:hAnsi="Times New Roman" w:cs="Times New Roman"/>
          <w:sz w:val="24"/>
          <w:szCs w:val="24"/>
        </w:rPr>
        <w:t>hr</w:t>
      </w:r>
      <w:proofErr w:type="spellEnd"/>
      <w:r w:rsidRPr="0094555B">
        <w:rPr>
          <w:rFonts w:ascii="Times New Roman" w:hAnsi="Times New Roman" w:cs="Times New Roman"/>
          <w:sz w:val="24"/>
          <w:szCs w:val="24"/>
        </w:rPr>
        <w:t xml:space="preserve">) and </w:t>
      </w:r>
      <w:r w:rsidRPr="0094555B">
        <w:rPr>
          <w:rFonts w:ascii="Times New Roman" w:hAnsi="Times New Roman" w:cs="Times New Roman"/>
          <w:b/>
          <w:sz w:val="24"/>
          <w:szCs w:val="24"/>
        </w:rPr>
        <w:t>$2</w:t>
      </w:r>
      <w:r w:rsidR="005A0F0F">
        <w:rPr>
          <w:rFonts w:ascii="Times New Roman" w:hAnsi="Times New Roman" w:cs="Times New Roman"/>
          <w:b/>
          <w:sz w:val="24"/>
          <w:szCs w:val="24"/>
        </w:rPr>
        <w:t>2,596</w:t>
      </w:r>
      <w:r w:rsidRPr="0094555B" w:rsidR="00B450C8">
        <w:rPr>
          <w:rFonts w:ascii="Times New Roman" w:hAnsi="Times New Roman" w:cs="Times New Roman"/>
          <w:sz w:val="24"/>
          <w:szCs w:val="24"/>
        </w:rPr>
        <w:t xml:space="preserve"> </w:t>
      </w:r>
      <w:r w:rsidRPr="0094555B">
        <w:rPr>
          <w:rFonts w:ascii="Times New Roman" w:hAnsi="Times New Roman" w:cs="Times New Roman"/>
          <w:sz w:val="24"/>
          <w:szCs w:val="24"/>
        </w:rPr>
        <w:t xml:space="preserve">(300 </w:t>
      </w:r>
      <w:proofErr w:type="spellStart"/>
      <w:r w:rsidRPr="0094555B">
        <w:rPr>
          <w:rFonts w:ascii="Times New Roman" w:hAnsi="Times New Roman" w:cs="Times New Roman"/>
          <w:sz w:val="24"/>
          <w:szCs w:val="24"/>
        </w:rPr>
        <w:t>hr</w:t>
      </w:r>
      <w:proofErr w:type="spellEnd"/>
      <w:r w:rsidRPr="0094555B">
        <w:rPr>
          <w:rFonts w:ascii="Times New Roman" w:hAnsi="Times New Roman" w:cs="Times New Roman"/>
          <w:sz w:val="24"/>
          <w:szCs w:val="24"/>
        </w:rPr>
        <w:t xml:space="preserve"> x </w:t>
      </w:r>
      <w:r w:rsidRPr="0094555B" w:rsidR="00773C0B">
        <w:rPr>
          <w:rFonts w:ascii="Times New Roman" w:hAnsi="Times New Roman" w:cs="Times New Roman"/>
          <w:sz w:val="24"/>
          <w:szCs w:val="24"/>
        </w:rPr>
        <w:t>$7</w:t>
      </w:r>
      <w:r w:rsidR="000D5530">
        <w:rPr>
          <w:rFonts w:ascii="Times New Roman" w:hAnsi="Times New Roman" w:cs="Times New Roman"/>
          <w:sz w:val="24"/>
          <w:szCs w:val="24"/>
        </w:rPr>
        <w:t>5.32</w:t>
      </w:r>
      <w:r w:rsidRPr="0094555B">
        <w:rPr>
          <w:rFonts w:ascii="Times New Roman" w:hAnsi="Times New Roman" w:cs="Times New Roman"/>
          <w:sz w:val="24"/>
          <w:szCs w:val="24"/>
        </w:rPr>
        <w:t>/</w:t>
      </w:r>
      <w:proofErr w:type="spellStart"/>
      <w:r w:rsidRPr="0094555B">
        <w:rPr>
          <w:rFonts w:ascii="Times New Roman" w:hAnsi="Times New Roman" w:cs="Times New Roman"/>
          <w:sz w:val="24"/>
          <w:szCs w:val="24"/>
        </w:rPr>
        <w:t>hr</w:t>
      </w:r>
      <w:proofErr w:type="spellEnd"/>
      <w:r w:rsidRPr="0094555B">
        <w:rPr>
          <w:rFonts w:ascii="Times New Roman" w:hAnsi="Times New Roman" w:cs="Times New Roman"/>
          <w:sz w:val="24"/>
          <w:szCs w:val="24"/>
        </w:rPr>
        <w:t xml:space="preserve">). </w:t>
      </w:r>
      <w:r w:rsidRPr="0094555B">
        <w:rPr>
          <w:rFonts w:ascii="Times New Roman" w:hAnsi="Times New Roman" w:cs="Times New Roman"/>
          <w:b/>
          <w:iCs/>
          <w:sz w:val="24"/>
          <w:szCs w:val="24"/>
        </w:rPr>
        <w:t>(</w:t>
      </w:r>
      <w:r w:rsidRPr="0094555B" w:rsidR="005F5165">
        <w:rPr>
          <w:rFonts w:ascii="Times New Roman" w:hAnsi="Times New Roman" w:cs="Times New Roman"/>
          <w:b/>
          <w:iCs/>
          <w:sz w:val="24"/>
          <w:szCs w:val="24"/>
        </w:rPr>
        <w:t>ESTIMATE</w:t>
      </w:r>
      <w:r w:rsidRPr="0094555B">
        <w:rPr>
          <w:rFonts w:ascii="Times New Roman" w:hAnsi="Times New Roman" w:cs="Times New Roman"/>
          <w:b/>
          <w:iCs/>
          <w:sz w:val="24"/>
          <w:szCs w:val="24"/>
        </w:rPr>
        <w:t xml:space="preserve"> 12.16b)</w:t>
      </w:r>
    </w:p>
    <w:p w:rsidRPr="0094555B" w:rsidR="00332B7B" w:rsidP="0094555B" w:rsidRDefault="00624B15" w14:paraId="2F5F451E" w14:textId="13E04B83">
      <w:pPr>
        <w:rPr>
          <w:rFonts w:ascii="Times New Roman" w:hAnsi="Times New Roman" w:cs="Times New Roman"/>
          <w:sz w:val="24"/>
          <w:szCs w:val="24"/>
        </w:rPr>
      </w:pPr>
      <w:r w:rsidRPr="0094555B">
        <w:rPr>
          <w:rFonts w:ascii="Times New Roman" w:hAnsi="Times New Roman" w:cs="Times New Roman"/>
          <w:sz w:val="24"/>
          <w:szCs w:val="24"/>
          <w:u w:val="single"/>
        </w:rPr>
        <w:t xml:space="preserve">Section 438.50 State </w:t>
      </w:r>
      <w:r w:rsidRPr="0094555B" w:rsidR="00725D07">
        <w:rPr>
          <w:rFonts w:ascii="Times New Roman" w:hAnsi="Times New Roman" w:cs="Times New Roman"/>
          <w:sz w:val="24"/>
          <w:szCs w:val="24"/>
          <w:u w:val="single"/>
        </w:rPr>
        <w:t>P</w:t>
      </w:r>
      <w:r w:rsidRPr="0094555B">
        <w:rPr>
          <w:rFonts w:ascii="Times New Roman" w:hAnsi="Times New Roman" w:cs="Times New Roman"/>
          <w:sz w:val="24"/>
          <w:szCs w:val="24"/>
          <w:u w:val="single"/>
        </w:rPr>
        <w:t>lan requirements</w:t>
      </w:r>
      <w:r w:rsidRPr="0094555B">
        <w:rPr>
          <w:rFonts w:ascii="Times New Roman" w:hAnsi="Times New Roman" w:cs="Times New Roman"/>
          <w:sz w:val="24"/>
          <w:szCs w:val="24"/>
        </w:rPr>
        <w:t xml:space="preserve"> </w:t>
      </w:r>
    </w:p>
    <w:p w:rsidRPr="0094555B" w:rsidR="00624B15" w:rsidP="0094555B" w:rsidRDefault="00624B15" w14:paraId="4915919D" w14:textId="3C23401C">
      <w:pPr>
        <w:rPr>
          <w:rFonts w:ascii="Times New Roman" w:hAnsi="Times New Roman" w:cs="Times New Roman"/>
          <w:iCs/>
          <w:sz w:val="24"/>
          <w:szCs w:val="24"/>
        </w:rPr>
      </w:pPr>
      <w:r w:rsidRPr="0094555B">
        <w:rPr>
          <w:rFonts w:ascii="Times New Roman" w:hAnsi="Times New Roman" w:cs="Times New Roman"/>
          <w:sz w:val="24"/>
          <w:szCs w:val="24"/>
        </w:rPr>
        <w:t xml:space="preserve">Each State must have a process for the design and initial implementation of the State plan that involves the public and must have methods in place to ensure ongoing public involvement once the State plan has been implemented.  </w:t>
      </w:r>
      <w:r w:rsidRPr="0094555B">
        <w:rPr>
          <w:rFonts w:ascii="Times New Roman" w:hAnsi="Times New Roman" w:cs="Times New Roman"/>
          <w:iCs/>
          <w:sz w:val="24"/>
          <w:szCs w:val="24"/>
        </w:rPr>
        <w:t xml:space="preserve">The burden associated with this section includes the time associated with developing the process for public involvement.  </w:t>
      </w:r>
    </w:p>
    <w:p w:rsidRPr="0094555B" w:rsidR="00332B7B" w:rsidP="0094555B" w:rsidRDefault="00624B15" w14:paraId="4F62A18E" w14:textId="77777777">
      <w:pPr>
        <w:rPr>
          <w:rFonts w:ascii="Times New Roman" w:hAnsi="Times New Roman" w:cs="Times New Roman"/>
          <w:bCs/>
          <w:sz w:val="24"/>
          <w:szCs w:val="24"/>
        </w:rPr>
      </w:pPr>
      <w:r w:rsidRPr="0094555B">
        <w:rPr>
          <w:rFonts w:ascii="Times New Roman" w:hAnsi="Times New Roman" w:cs="Times New Roman"/>
          <w:bCs/>
          <w:sz w:val="24"/>
          <w:szCs w:val="24"/>
          <w:u w:val="single"/>
        </w:rPr>
        <w:t>Section 438.54 Managed care enrollment</w:t>
      </w:r>
      <w:r w:rsidRPr="0094555B">
        <w:rPr>
          <w:rFonts w:ascii="Times New Roman" w:hAnsi="Times New Roman" w:cs="Times New Roman"/>
          <w:bCs/>
          <w:sz w:val="24"/>
          <w:szCs w:val="24"/>
        </w:rPr>
        <w:t xml:space="preserve"> </w:t>
      </w:r>
    </w:p>
    <w:p w:rsidRPr="0094555B" w:rsidR="00624B15" w:rsidP="0094555B" w:rsidRDefault="00624B15" w14:paraId="5B5913C5" w14:textId="3029D1CE">
      <w:pPr>
        <w:rPr>
          <w:rFonts w:ascii="Times New Roman" w:hAnsi="Times New Roman" w:cs="Times New Roman"/>
          <w:bCs/>
          <w:sz w:val="24"/>
          <w:szCs w:val="24"/>
        </w:rPr>
      </w:pPr>
      <w:r w:rsidRPr="0094555B">
        <w:rPr>
          <w:rFonts w:ascii="Times New Roman" w:hAnsi="Times New Roman" w:cs="Times New Roman"/>
          <w:bCs/>
          <w:sz w:val="24"/>
          <w:szCs w:val="24"/>
        </w:rPr>
        <w:t>Section 438.54(c)(3) and (d)(3) requires states to notify the potential enrollee of the implications of not making an active choice during the allotted choice period.  This information should be included in the notice of eligibility determination (or annual redetermination) required under §445.912, thus no additional burden is estimated here.</w:t>
      </w:r>
    </w:p>
    <w:p w:rsidRPr="0094555B" w:rsidR="00624B15" w:rsidP="0094555B" w:rsidRDefault="00624B15" w14:paraId="03584AC1" w14:textId="2ECA16DA">
      <w:pPr>
        <w:rPr>
          <w:rFonts w:ascii="Times New Roman" w:hAnsi="Times New Roman" w:cs="Times New Roman"/>
          <w:bCs/>
          <w:sz w:val="24"/>
          <w:szCs w:val="24"/>
        </w:rPr>
      </w:pPr>
      <w:r w:rsidRPr="0094555B">
        <w:rPr>
          <w:rFonts w:ascii="Times New Roman" w:hAnsi="Times New Roman" w:cs="Times New Roman"/>
          <w:bCs/>
          <w:sz w:val="24"/>
          <w:szCs w:val="24"/>
        </w:rPr>
        <w:t xml:space="preserve">Section 438.54(c)(8) requires states to send a notice to enrollees in voluntary programs that utilize a passive enrollment process confirming their managed care enrollment when the enrollee’s initial opportunity to select a delivery system has ended.  We assume 15 states will continue using a passive enrollment process, with a total of </w:t>
      </w:r>
      <w:r w:rsidRPr="0094555B" w:rsidR="00701857">
        <w:rPr>
          <w:rFonts w:ascii="Times New Roman" w:hAnsi="Times New Roman" w:cs="Times New Roman"/>
          <w:bCs/>
          <w:sz w:val="24"/>
          <w:szCs w:val="24"/>
        </w:rPr>
        <w:t>21,000,000</w:t>
      </w:r>
      <w:r w:rsidRPr="0094555B">
        <w:rPr>
          <w:rFonts w:ascii="Times New Roman" w:hAnsi="Times New Roman" w:cs="Times New Roman"/>
          <w:bCs/>
          <w:sz w:val="24"/>
          <w:szCs w:val="24"/>
        </w:rPr>
        <w:t xml:space="preserve"> enrollees.  Assuming that 5 percent of these will be new each year, and of those, approximately 75 percent will not </w:t>
      </w:r>
      <w:proofErr w:type="gramStart"/>
      <w:r w:rsidRPr="0094555B">
        <w:rPr>
          <w:rFonts w:ascii="Times New Roman" w:hAnsi="Times New Roman" w:cs="Times New Roman"/>
          <w:bCs/>
          <w:sz w:val="24"/>
          <w:szCs w:val="24"/>
        </w:rPr>
        <w:t>take action</w:t>
      </w:r>
      <w:proofErr w:type="gramEnd"/>
      <w:r w:rsidRPr="0094555B">
        <w:rPr>
          <w:rFonts w:ascii="Times New Roman" w:hAnsi="Times New Roman" w:cs="Times New Roman"/>
          <w:bCs/>
          <w:sz w:val="24"/>
          <w:szCs w:val="24"/>
        </w:rPr>
        <w:t xml:space="preserve"> within the allotted time and will remain enrolled in the managed care plan passively assigned by the state (</w:t>
      </w:r>
      <w:r w:rsidRPr="0094555B" w:rsidR="00452EBB">
        <w:rPr>
          <w:rFonts w:ascii="Times New Roman" w:hAnsi="Times New Roman" w:cs="Times New Roman"/>
          <w:bCs/>
          <w:sz w:val="24"/>
          <w:szCs w:val="24"/>
        </w:rPr>
        <w:t>787,500</w:t>
      </w:r>
      <w:r w:rsidRPr="0094555B">
        <w:rPr>
          <w:rFonts w:ascii="Times New Roman" w:hAnsi="Times New Roman" w:cs="Times New Roman"/>
          <w:bCs/>
          <w:sz w:val="24"/>
          <w:szCs w:val="24"/>
        </w:rPr>
        <w:t xml:space="preserve">) we estimate 1 min </w:t>
      </w:r>
      <w:r w:rsidRPr="0094555B" w:rsidR="00A7772F">
        <w:rPr>
          <w:rFonts w:ascii="Times New Roman" w:hAnsi="Times New Roman" w:cs="Times New Roman"/>
          <w:sz w:val="24"/>
          <w:szCs w:val="24"/>
        </w:rPr>
        <w:t xml:space="preserve">(0.0167 </w:t>
      </w:r>
      <w:proofErr w:type="spellStart"/>
      <w:r w:rsidRPr="0094555B" w:rsidR="00A7772F">
        <w:rPr>
          <w:rFonts w:ascii="Times New Roman" w:hAnsi="Times New Roman" w:cs="Times New Roman"/>
          <w:sz w:val="24"/>
          <w:szCs w:val="24"/>
        </w:rPr>
        <w:t>hr</w:t>
      </w:r>
      <w:proofErr w:type="spellEnd"/>
      <w:r w:rsidRPr="0094555B" w:rsidR="00A7772F">
        <w:rPr>
          <w:rFonts w:ascii="Times New Roman" w:hAnsi="Times New Roman" w:cs="Times New Roman"/>
          <w:sz w:val="24"/>
          <w:szCs w:val="24"/>
        </w:rPr>
        <w:t xml:space="preserve">) </w:t>
      </w:r>
      <w:r w:rsidRPr="0094555B">
        <w:rPr>
          <w:rFonts w:ascii="Times New Roman" w:hAnsi="Times New Roman" w:cs="Times New Roman"/>
          <w:bCs/>
          <w:sz w:val="24"/>
          <w:szCs w:val="24"/>
        </w:rPr>
        <w:t xml:space="preserve">per notification by a mail clerk at </w:t>
      </w:r>
      <w:r w:rsidRPr="0094555B" w:rsidR="00827481">
        <w:rPr>
          <w:rFonts w:ascii="Times New Roman" w:hAnsi="Times New Roman" w:cs="Times New Roman"/>
          <w:bCs/>
          <w:sz w:val="24"/>
          <w:szCs w:val="24"/>
        </w:rPr>
        <w:t>$3</w:t>
      </w:r>
      <w:r w:rsidR="000D5530">
        <w:rPr>
          <w:rFonts w:ascii="Times New Roman" w:hAnsi="Times New Roman" w:cs="Times New Roman"/>
          <w:bCs/>
          <w:sz w:val="24"/>
          <w:szCs w:val="24"/>
        </w:rPr>
        <w:t>2.40</w:t>
      </w:r>
      <w:r w:rsidRPr="0094555B">
        <w:rPr>
          <w:rFonts w:ascii="Times New Roman" w:hAnsi="Times New Roman" w:cs="Times New Roman"/>
          <w:bCs/>
          <w:sz w:val="24"/>
          <w:szCs w:val="24"/>
        </w:rPr>
        <w:t xml:space="preserve">/hr.  In aggregate, we estimate an annual state burden of </w:t>
      </w:r>
      <w:r w:rsidRPr="0094555B">
        <w:rPr>
          <w:rFonts w:ascii="Times New Roman" w:hAnsi="Times New Roman" w:cs="Times New Roman"/>
          <w:b/>
          <w:bCs/>
          <w:sz w:val="24"/>
          <w:szCs w:val="24"/>
        </w:rPr>
        <w:t>13,</w:t>
      </w:r>
      <w:r w:rsidRPr="0094555B" w:rsidR="00B450C8">
        <w:rPr>
          <w:rFonts w:ascii="Times New Roman" w:hAnsi="Times New Roman" w:cs="Times New Roman"/>
          <w:b/>
          <w:bCs/>
          <w:sz w:val="24"/>
          <w:szCs w:val="24"/>
        </w:rPr>
        <w:t xml:space="preserve">151 </w:t>
      </w:r>
      <w:r w:rsidRPr="0094555B">
        <w:rPr>
          <w:rFonts w:ascii="Times New Roman" w:hAnsi="Times New Roman" w:cs="Times New Roman"/>
          <w:b/>
          <w:bCs/>
          <w:sz w:val="24"/>
          <w:szCs w:val="24"/>
        </w:rPr>
        <w:t>hours</w:t>
      </w:r>
      <w:r w:rsidRPr="0094555B">
        <w:rPr>
          <w:rFonts w:ascii="Times New Roman" w:hAnsi="Times New Roman" w:cs="Times New Roman"/>
          <w:bCs/>
          <w:sz w:val="24"/>
          <w:szCs w:val="24"/>
        </w:rPr>
        <w:t xml:space="preserve"> (</w:t>
      </w:r>
      <w:r w:rsidRPr="0094555B" w:rsidR="00452EBB">
        <w:rPr>
          <w:rFonts w:ascii="Times New Roman" w:hAnsi="Times New Roman" w:cs="Times New Roman"/>
          <w:bCs/>
          <w:sz w:val="24"/>
          <w:szCs w:val="24"/>
        </w:rPr>
        <w:t>787,500</w:t>
      </w:r>
      <w:r w:rsidRPr="0094555B">
        <w:rPr>
          <w:rFonts w:ascii="Times New Roman" w:hAnsi="Times New Roman" w:cs="Times New Roman"/>
          <w:bCs/>
          <w:sz w:val="24"/>
          <w:szCs w:val="24"/>
        </w:rPr>
        <w:t xml:space="preserve"> enrollees x </w:t>
      </w:r>
      <w:r w:rsidRPr="0094555B" w:rsidR="00A7772F">
        <w:rPr>
          <w:rFonts w:ascii="Times New Roman" w:hAnsi="Times New Roman" w:cs="Times New Roman"/>
          <w:sz w:val="24"/>
          <w:szCs w:val="24"/>
        </w:rPr>
        <w:t xml:space="preserve">0.0167 </w:t>
      </w:r>
      <w:proofErr w:type="spellStart"/>
      <w:r w:rsidRPr="0094555B" w:rsidR="00A7772F">
        <w:rPr>
          <w:rFonts w:ascii="Times New Roman" w:hAnsi="Times New Roman" w:cs="Times New Roman"/>
          <w:sz w:val="24"/>
          <w:szCs w:val="24"/>
        </w:rPr>
        <w:t>hr</w:t>
      </w:r>
      <w:proofErr w:type="spellEnd"/>
      <w:r w:rsidRPr="0094555B">
        <w:rPr>
          <w:rFonts w:ascii="Times New Roman" w:hAnsi="Times New Roman" w:cs="Times New Roman"/>
          <w:bCs/>
          <w:sz w:val="24"/>
          <w:szCs w:val="24"/>
        </w:rPr>
        <w:t xml:space="preserve">) and </w:t>
      </w:r>
      <w:r w:rsidRPr="0094555B">
        <w:rPr>
          <w:rFonts w:ascii="Times New Roman" w:hAnsi="Times New Roman" w:cs="Times New Roman"/>
          <w:b/>
          <w:bCs/>
          <w:sz w:val="24"/>
          <w:szCs w:val="24"/>
        </w:rPr>
        <w:t>$</w:t>
      </w:r>
      <w:r w:rsidRPr="0094555B" w:rsidR="00B450C8">
        <w:rPr>
          <w:rFonts w:ascii="Times New Roman" w:hAnsi="Times New Roman" w:cs="Times New Roman"/>
          <w:b/>
          <w:bCs/>
          <w:sz w:val="24"/>
          <w:szCs w:val="24"/>
        </w:rPr>
        <w:t>4</w:t>
      </w:r>
      <w:r w:rsidR="000D5530">
        <w:rPr>
          <w:rFonts w:ascii="Times New Roman" w:hAnsi="Times New Roman" w:cs="Times New Roman"/>
          <w:b/>
          <w:bCs/>
          <w:sz w:val="24"/>
          <w:szCs w:val="24"/>
        </w:rPr>
        <w:t>26,092</w:t>
      </w:r>
      <w:r w:rsidRPr="0094555B">
        <w:rPr>
          <w:rFonts w:ascii="Times New Roman" w:hAnsi="Times New Roman" w:cs="Times New Roman"/>
          <w:bCs/>
          <w:sz w:val="24"/>
          <w:szCs w:val="24"/>
        </w:rPr>
        <w:t xml:space="preserve"> (13,</w:t>
      </w:r>
      <w:r w:rsidRPr="0094555B" w:rsidR="00773E01">
        <w:rPr>
          <w:rFonts w:ascii="Times New Roman" w:hAnsi="Times New Roman" w:cs="Times New Roman"/>
          <w:bCs/>
          <w:sz w:val="24"/>
          <w:szCs w:val="24"/>
        </w:rPr>
        <w:t>151</w:t>
      </w:r>
      <w:r w:rsidRPr="0094555B">
        <w:rPr>
          <w:rFonts w:ascii="Times New Roman" w:hAnsi="Times New Roman" w:cs="Times New Roman"/>
          <w:bCs/>
          <w:sz w:val="24"/>
          <w:szCs w:val="24"/>
        </w:rPr>
        <w:t xml:space="preserve"> </w:t>
      </w:r>
      <w:proofErr w:type="spellStart"/>
      <w:r w:rsidRPr="0094555B">
        <w:rPr>
          <w:rFonts w:ascii="Times New Roman" w:hAnsi="Times New Roman" w:cs="Times New Roman"/>
          <w:bCs/>
          <w:sz w:val="24"/>
          <w:szCs w:val="24"/>
        </w:rPr>
        <w:t>hr</w:t>
      </w:r>
      <w:proofErr w:type="spellEnd"/>
      <w:r w:rsidRPr="0094555B">
        <w:rPr>
          <w:rFonts w:ascii="Times New Roman" w:hAnsi="Times New Roman" w:cs="Times New Roman"/>
          <w:bCs/>
          <w:sz w:val="24"/>
          <w:szCs w:val="24"/>
        </w:rPr>
        <w:t xml:space="preserve"> x </w:t>
      </w:r>
      <w:r w:rsidRPr="0094555B" w:rsidR="00827481">
        <w:rPr>
          <w:rFonts w:ascii="Times New Roman" w:hAnsi="Times New Roman" w:cs="Times New Roman"/>
          <w:bCs/>
          <w:sz w:val="24"/>
          <w:szCs w:val="24"/>
        </w:rPr>
        <w:t>$</w:t>
      </w:r>
      <w:r w:rsidRPr="0094555B" w:rsidR="00B450C8">
        <w:rPr>
          <w:rFonts w:ascii="Times New Roman" w:hAnsi="Times New Roman" w:cs="Times New Roman"/>
          <w:bCs/>
          <w:sz w:val="24"/>
          <w:szCs w:val="24"/>
        </w:rPr>
        <w:t>3</w:t>
      </w:r>
      <w:r w:rsidR="000D5530">
        <w:rPr>
          <w:rFonts w:ascii="Times New Roman" w:hAnsi="Times New Roman" w:cs="Times New Roman"/>
          <w:bCs/>
          <w:sz w:val="24"/>
          <w:szCs w:val="24"/>
        </w:rPr>
        <w:t>2.40</w:t>
      </w:r>
      <w:r w:rsidRPr="0094555B">
        <w:rPr>
          <w:rFonts w:ascii="Times New Roman" w:hAnsi="Times New Roman" w:cs="Times New Roman"/>
          <w:bCs/>
          <w:sz w:val="24"/>
          <w:szCs w:val="24"/>
        </w:rPr>
        <w:t>/</w:t>
      </w:r>
      <w:proofErr w:type="spellStart"/>
      <w:r w:rsidRPr="0094555B">
        <w:rPr>
          <w:rFonts w:ascii="Times New Roman" w:hAnsi="Times New Roman" w:cs="Times New Roman"/>
          <w:bCs/>
          <w:sz w:val="24"/>
          <w:szCs w:val="24"/>
        </w:rPr>
        <w:t>hr</w:t>
      </w:r>
      <w:proofErr w:type="spellEnd"/>
      <w:r w:rsidRPr="0094555B">
        <w:rPr>
          <w:rFonts w:ascii="Times New Roman" w:hAnsi="Times New Roman" w:cs="Times New Roman"/>
          <w:bCs/>
          <w:sz w:val="24"/>
          <w:szCs w:val="24"/>
        </w:rPr>
        <w:t xml:space="preserve">). </w:t>
      </w:r>
      <w:r w:rsidRPr="0094555B">
        <w:rPr>
          <w:rFonts w:ascii="Times New Roman" w:hAnsi="Times New Roman" w:cs="Times New Roman"/>
          <w:b/>
          <w:iCs/>
          <w:sz w:val="24"/>
          <w:szCs w:val="24"/>
        </w:rPr>
        <w:t>(</w:t>
      </w:r>
      <w:r w:rsidRPr="0094555B" w:rsidR="005F5165">
        <w:rPr>
          <w:rFonts w:ascii="Times New Roman" w:hAnsi="Times New Roman" w:cs="Times New Roman"/>
          <w:b/>
          <w:iCs/>
          <w:sz w:val="24"/>
          <w:szCs w:val="24"/>
        </w:rPr>
        <w:t>ESTIMATE</w:t>
      </w:r>
      <w:r w:rsidRPr="0094555B">
        <w:rPr>
          <w:rFonts w:ascii="Times New Roman" w:hAnsi="Times New Roman" w:cs="Times New Roman"/>
          <w:b/>
          <w:iCs/>
          <w:sz w:val="24"/>
          <w:szCs w:val="24"/>
        </w:rPr>
        <w:t xml:space="preserve"> 12.18)</w:t>
      </w:r>
    </w:p>
    <w:p w:rsidRPr="0094555B" w:rsidR="00332B7B" w:rsidP="0094555B" w:rsidRDefault="00624B15" w14:paraId="3DA116C3" w14:textId="77777777">
      <w:pPr>
        <w:rPr>
          <w:rFonts w:ascii="Times New Roman" w:hAnsi="Times New Roman" w:cs="Times New Roman"/>
          <w:bCs/>
          <w:sz w:val="24"/>
          <w:szCs w:val="24"/>
        </w:rPr>
      </w:pPr>
      <w:r w:rsidRPr="0094555B">
        <w:rPr>
          <w:rFonts w:ascii="Times New Roman" w:hAnsi="Times New Roman" w:cs="Times New Roman"/>
          <w:bCs/>
          <w:sz w:val="24"/>
          <w:szCs w:val="24"/>
          <w:u w:val="single"/>
        </w:rPr>
        <w:t>Section 438.56 Disenrollment: requirements and limitations</w:t>
      </w:r>
      <w:r w:rsidRPr="0094555B">
        <w:rPr>
          <w:rFonts w:ascii="Times New Roman" w:hAnsi="Times New Roman" w:cs="Times New Roman"/>
          <w:bCs/>
          <w:sz w:val="24"/>
          <w:szCs w:val="24"/>
        </w:rPr>
        <w:t xml:space="preserve"> </w:t>
      </w:r>
    </w:p>
    <w:p w:rsidRPr="0094555B" w:rsidR="0085343E" w:rsidP="0094555B" w:rsidRDefault="00624B15" w14:paraId="5DF1BBDE" w14:textId="348C8538">
      <w:pPr>
        <w:rPr>
          <w:rFonts w:ascii="Times New Roman" w:hAnsi="Times New Roman" w:cs="Times New Roman"/>
          <w:bCs/>
          <w:sz w:val="24"/>
          <w:szCs w:val="24"/>
        </w:rPr>
      </w:pPr>
      <w:r w:rsidRPr="0094555B">
        <w:rPr>
          <w:rFonts w:ascii="Times New Roman" w:hAnsi="Times New Roman" w:cs="Times New Roman"/>
          <w:bCs/>
          <w:sz w:val="24"/>
          <w:szCs w:val="24"/>
        </w:rPr>
        <w:t>Under</w:t>
      </w:r>
      <w:r w:rsidRPr="0094555B">
        <w:rPr>
          <w:rFonts w:ascii="Times New Roman" w:hAnsi="Times New Roman" w:cs="Times New Roman"/>
          <w:sz w:val="24"/>
          <w:szCs w:val="24"/>
        </w:rPr>
        <w:t xml:space="preserve"> paragraph (f), a State that restricts disenrollment under this section must provide that enrollees and their representatives are given written notice of disenrollment rights at least 60 days before the start of each enrollment period.  </w:t>
      </w:r>
      <w:r w:rsidRPr="0094555B">
        <w:rPr>
          <w:rFonts w:ascii="Times New Roman" w:hAnsi="Times New Roman" w:cs="Times New Roman"/>
          <w:bCs/>
          <w:sz w:val="24"/>
          <w:szCs w:val="24"/>
        </w:rPr>
        <w:t>This information should be included in the notice of annual redetermination required under § 445.912, thus no additional burden is estimated here.</w:t>
      </w:r>
    </w:p>
    <w:p w:rsidRPr="0094555B" w:rsidR="00A7772F" w:rsidP="0094555B" w:rsidRDefault="0085343E" w14:paraId="5C31ACC9" w14:textId="77777777">
      <w:pPr>
        <w:rPr>
          <w:rFonts w:ascii="Times New Roman" w:hAnsi="Times New Roman" w:cs="Times New Roman"/>
          <w:u w:val="single"/>
        </w:rPr>
      </w:pPr>
      <w:r w:rsidRPr="0094555B">
        <w:rPr>
          <w:rFonts w:ascii="Times New Roman" w:hAnsi="Times New Roman" w:cs="Times New Roman"/>
          <w:u w:val="single"/>
        </w:rPr>
        <w:t>Section 438.62 Continued Services to Enrollees</w:t>
      </w:r>
    </w:p>
    <w:p w:rsidRPr="0094555B" w:rsidR="00624B15" w:rsidP="0094555B" w:rsidRDefault="00624B15" w14:paraId="212D4CE1" w14:textId="657051B8">
      <w:pPr>
        <w:rPr>
          <w:rFonts w:ascii="Times New Roman" w:hAnsi="Times New Roman" w:cs="Times New Roman"/>
          <w:iCs/>
          <w:sz w:val="24"/>
          <w:szCs w:val="24"/>
        </w:rPr>
      </w:pPr>
      <w:r w:rsidRPr="0094555B">
        <w:rPr>
          <w:rFonts w:ascii="Times New Roman" w:hAnsi="Times New Roman" w:cs="Times New Roman"/>
          <w:iCs/>
          <w:sz w:val="24"/>
          <w:szCs w:val="24"/>
        </w:rPr>
        <w:t xml:space="preserve">For </w:t>
      </w:r>
      <w:r w:rsidRPr="0094555B" w:rsidR="0085343E">
        <w:rPr>
          <w:rFonts w:ascii="Times New Roman" w:hAnsi="Times New Roman" w:cs="Times New Roman"/>
          <w:iCs/>
          <w:sz w:val="24"/>
          <w:szCs w:val="24"/>
        </w:rPr>
        <w:t xml:space="preserve">implementation of </w:t>
      </w:r>
      <w:r w:rsidRPr="0094555B">
        <w:rPr>
          <w:rFonts w:ascii="Times New Roman" w:hAnsi="Times New Roman" w:cs="Times New Roman"/>
          <w:iCs/>
          <w:sz w:val="24"/>
          <w:szCs w:val="24"/>
        </w:rPr>
        <w:t>transitions</w:t>
      </w:r>
      <w:r w:rsidRPr="0094555B" w:rsidR="0085343E">
        <w:rPr>
          <w:rFonts w:ascii="Times New Roman" w:hAnsi="Times New Roman" w:cs="Times New Roman"/>
          <w:iCs/>
          <w:sz w:val="24"/>
          <w:szCs w:val="24"/>
        </w:rPr>
        <w:t xml:space="preserve"> of care</w:t>
      </w:r>
      <w:r w:rsidRPr="0094555B">
        <w:rPr>
          <w:rFonts w:ascii="Times New Roman" w:hAnsi="Times New Roman" w:cs="Times New Roman"/>
          <w:iCs/>
          <w:sz w:val="24"/>
          <w:szCs w:val="24"/>
        </w:rPr>
        <w:t xml:space="preserve">, we estimate 10 min per request </w:t>
      </w:r>
      <w:r w:rsidRPr="0094555B" w:rsidR="00A7772F">
        <w:rPr>
          <w:rFonts w:ascii="Times New Roman" w:hAnsi="Times New Roman" w:cs="Times New Roman"/>
          <w:sz w:val="24"/>
          <w:szCs w:val="24"/>
        </w:rPr>
        <w:t xml:space="preserve">(0.1667 </w:t>
      </w:r>
      <w:proofErr w:type="spellStart"/>
      <w:r w:rsidRPr="0094555B" w:rsidR="00A7772F">
        <w:rPr>
          <w:rFonts w:ascii="Times New Roman" w:hAnsi="Times New Roman" w:cs="Times New Roman"/>
          <w:sz w:val="24"/>
          <w:szCs w:val="24"/>
        </w:rPr>
        <w:t>hr</w:t>
      </w:r>
      <w:proofErr w:type="spellEnd"/>
      <w:r w:rsidRPr="0094555B" w:rsidR="00A7772F">
        <w:rPr>
          <w:rFonts w:ascii="Times New Roman" w:hAnsi="Times New Roman" w:cs="Times New Roman"/>
          <w:sz w:val="24"/>
          <w:szCs w:val="24"/>
        </w:rPr>
        <w:t xml:space="preserve">) </w:t>
      </w:r>
      <w:r w:rsidRPr="0094555B">
        <w:rPr>
          <w:rFonts w:ascii="Times New Roman" w:hAnsi="Times New Roman" w:cs="Times New Roman"/>
          <w:iCs/>
          <w:sz w:val="24"/>
          <w:szCs w:val="24"/>
        </w:rPr>
        <w:t xml:space="preserve">at </w:t>
      </w:r>
      <w:r w:rsidRPr="0094555B" w:rsidR="00773C0B">
        <w:rPr>
          <w:rFonts w:ascii="Times New Roman" w:hAnsi="Times New Roman" w:cs="Times New Roman"/>
          <w:iCs/>
          <w:sz w:val="24"/>
          <w:szCs w:val="24"/>
        </w:rPr>
        <w:t>$7</w:t>
      </w:r>
      <w:r w:rsidRPr="0094555B" w:rsidR="00B450C8">
        <w:rPr>
          <w:rFonts w:ascii="Times New Roman" w:hAnsi="Times New Roman" w:cs="Times New Roman"/>
          <w:iCs/>
          <w:sz w:val="24"/>
          <w:szCs w:val="24"/>
        </w:rPr>
        <w:t>4.48</w:t>
      </w:r>
      <w:r w:rsidRPr="0094555B">
        <w:rPr>
          <w:rFonts w:ascii="Times New Roman" w:hAnsi="Times New Roman" w:cs="Times New Roman"/>
          <w:iCs/>
          <w:sz w:val="24"/>
          <w:szCs w:val="24"/>
        </w:rPr>
        <w:t>/</w:t>
      </w:r>
      <w:proofErr w:type="spellStart"/>
      <w:r w:rsidRPr="0094555B">
        <w:rPr>
          <w:rFonts w:ascii="Times New Roman" w:hAnsi="Times New Roman" w:cs="Times New Roman"/>
          <w:iCs/>
          <w:sz w:val="24"/>
          <w:szCs w:val="24"/>
        </w:rPr>
        <w:t>hr</w:t>
      </w:r>
      <w:proofErr w:type="spellEnd"/>
      <w:r w:rsidRPr="0094555B">
        <w:rPr>
          <w:rFonts w:ascii="Times New Roman" w:hAnsi="Times New Roman" w:cs="Times New Roman"/>
          <w:iCs/>
          <w:sz w:val="24"/>
          <w:szCs w:val="24"/>
        </w:rPr>
        <w:t xml:space="preserve"> for a registered nurse to access the stored </w:t>
      </w:r>
      <w:r w:rsidRPr="0094555B" w:rsidR="0085343E">
        <w:rPr>
          <w:rFonts w:ascii="Times New Roman" w:hAnsi="Times New Roman" w:cs="Times New Roman"/>
          <w:iCs/>
          <w:sz w:val="24"/>
          <w:szCs w:val="24"/>
        </w:rPr>
        <w:t xml:space="preserve">utilization and/or claims </w:t>
      </w:r>
      <w:r w:rsidRPr="0094555B">
        <w:rPr>
          <w:rFonts w:ascii="Times New Roman" w:hAnsi="Times New Roman" w:cs="Times New Roman"/>
          <w:iCs/>
          <w:sz w:val="24"/>
          <w:szCs w:val="24"/>
        </w:rPr>
        <w:t>data and take appropriate action.  We also estimate that approximately 0.5 percent of enrollees (</w:t>
      </w:r>
      <w:r w:rsidRPr="0094555B" w:rsidR="00881983">
        <w:rPr>
          <w:rFonts w:ascii="Times New Roman" w:hAnsi="Times New Roman" w:cs="Times New Roman"/>
          <w:iCs/>
          <w:sz w:val="24"/>
          <w:szCs w:val="24"/>
        </w:rPr>
        <w:t>330,536</w:t>
      </w:r>
      <w:r w:rsidRPr="0094555B" w:rsidR="00187BD6">
        <w:rPr>
          <w:rFonts w:ascii="Times New Roman" w:hAnsi="Times New Roman" w:cs="Times New Roman"/>
          <w:iCs/>
          <w:sz w:val="24"/>
          <w:szCs w:val="24"/>
        </w:rPr>
        <w:t xml:space="preserve"> = 66,107,287 enrollees x 0.005</w:t>
      </w:r>
      <w:r w:rsidRPr="0094555B">
        <w:rPr>
          <w:rFonts w:ascii="Times New Roman" w:hAnsi="Times New Roman" w:cs="Times New Roman"/>
          <w:iCs/>
          <w:sz w:val="24"/>
          <w:szCs w:val="24"/>
        </w:rPr>
        <w:t xml:space="preserve">) may meet the state defined criteria for serious detriment to health </w:t>
      </w:r>
      <w:r w:rsidRPr="0094555B">
        <w:rPr>
          <w:rFonts w:ascii="Times New Roman" w:hAnsi="Times New Roman" w:cs="Times New Roman"/>
          <w:iCs/>
          <w:sz w:val="24"/>
          <w:szCs w:val="24"/>
        </w:rPr>
        <w:lastRenderedPageBreak/>
        <w:t xml:space="preserve">and/or risk of hospitalization or institutionalization.  In aggregate, we estimate an annual private sector burden of </w:t>
      </w:r>
      <w:r w:rsidRPr="0094555B" w:rsidR="00A7772F">
        <w:rPr>
          <w:rFonts w:ascii="Times New Roman" w:hAnsi="Times New Roman" w:cs="Times New Roman"/>
          <w:b/>
          <w:iCs/>
          <w:sz w:val="24"/>
          <w:szCs w:val="24"/>
        </w:rPr>
        <w:t>5</w:t>
      </w:r>
      <w:r w:rsidRPr="0094555B" w:rsidR="005C5A0F">
        <w:rPr>
          <w:rFonts w:ascii="Times New Roman" w:hAnsi="Times New Roman" w:cs="Times New Roman"/>
          <w:b/>
          <w:iCs/>
          <w:sz w:val="24"/>
          <w:szCs w:val="24"/>
        </w:rPr>
        <w:t>5,100</w:t>
      </w:r>
      <w:r w:rsidRPr="0094555B">
        <w:rPr>
          <w:rFonts w:ascii="Times New Roman" w:hAnsi="Times New Roman" w:cs="Times New Roman"/>
          <w:b/>
          <w:iCs/>
          <w:sz w:val="24"/>
          <w:szCs w:val="24"/>
        </w:rPr>
        <w:t xml:space="preserve"> </w:t>
      </w:r>
      <w:proofErr w:type="spellStart"/>
      <w:r w:rsidRPr="0094555B">
        <w:rPr>
          <w:rFonts w:ascii="Times New Roman" w:hAnsi="Times New Roman" w:cs="Times New Roman"/>
          <w:b/>
          <w:iCs/>
          <w:sz w:val="24"/>
          <w:szCs w:val="24"/>
        </w:rPr>
        <w:t>hr</w:t>
      </w:r>
      <w:proofErr w:type="spellEnd"/>
      <w:r w:rsidRPr="0094555B">
        <w:rPr>
          <w:rFonts w:ascii="Times New Roman" w:hAnsi="Times New Roman" w:cs="Times New Roman"/>
          <w:iCs/>
          <w:sz w:val="24"/>
          <w:szCs w:val="24"/>
        </w:rPr>
        <w:t xml:space="preserve"> (</w:t>
      </w:r>
      <w:r w:rsidRPr="0094555B" w:rsidR="00322AC7">
        <w:rPr>
          <w:rFonts w:ascii="Times New Roman" w:hAnsi="Times New Roman" w:cs="Times New Roman"/>
          <w:iCs/>
          <w:sz w:val="24"/>
          <w:szCs w:val="24"/>
        </w:rPr>
        <w:t>330,536</w:t>
      </w:r>
      <w:r w:rsidRPr="0094555B">
        <w:rPr>
          <w:rFonts w:ascii="Times New Roman" w:hAnsi="Times New Roman" w:cs="Times New Roman"/>
          <w:iCs/>
          <w:sz w:val="24"/>
          <w:szCs w:val="24"/>
        </w:rPr>
        <w:t xml:space="preserve"> enrollees x </w:t>
      </w:r>
      <w:r w:rsidRPr="0094555B" w:rsidR="00A7772F">
        <w:rPr>
          <w:rFonts w:ascii="Times New Roman" w:hAnsi="Times New Roman" w:cs="Times New Roman"/>
          <w:sz w:val="24"/>
          <w:szCs w:val="24"/>
        </w:rPr>
        <w:t xml:space="preserve">0.1667 </w:t>
      </w:r>
      <w:proofErr w:type="spellStart"/>
      <w:r w:rsidRPr="0094555B" w:rsidR="00A7772F">
        <w:rPr>
          <w:rFonts w:ascii="Times New Roman" w:hAnsi="Times New Roman" w:cs="Times New Roman"/>
          <w:sz w:val="24"/>
          <w:szCs w:val="24"/>
        </w:rPr>
        <w:t>hr</w:t>
      </w:r>
      <w:proofErr w:type="spellEnd"/>
      <w:r w:rsidRPr="0094555B">
        <w:rPr>
          <w:rFonts w:ascii="Times New Roman" w:hAnsi="Times New Roman" w:cs="Times New Roman"/>
          <w:iCs/>
          <w:sz w:val="24"/>
          <w:szCs w:val="24"/>
        </w:rPr>
        <w:t xml:space="preserve">) and </w:t>
      </w:r>
      <w:r w:rsidRPr="0094555B">
        <w:rPr>
          <w:rFonts w:ascii="Times New Roman" w:hAnsi="Times New Roman" w:cs="Times New Roman"/>
          <w:b/>
          <w:iCs/>
          <w:sz w:val="24"/>
          <w:szCs w:val="24"/>
        </w:rPr>
        <w:t>$</w:t>
      </w:r>
      <w:r w:rsidRPr="0094555B" w:rsidR="00083889">
        <w:rPr>
          <w:rFonts w:ascii="Times New Roman" w:hAnsi="Times New Roman" w:cs="Times New Roman"/>
          <w:b/>
          <w:iCs/>
          <w:sz w:val="24"/>
          <w:szCs w:val="24"/>
        </w:rPr>
        <w:t>4,</w:t>
      </w:r>
      <w:r w:rsidR="000D5530">
        <w:rPr>
          <w:rFonts w:ascii="Times New Roman" w:hAnsi="Times New Roman" w:cs="Times New Roman"/>
          <w:b/>
          <w:iCs/>
          <w:sz w:val="24"/>
          <w:szCs w:val="24"/>
        </w:rPr>
        <w:t>239,394</w:t>
      </w:r>
      <w:r w:rsidRPr="0094555B">
        <w:rPr>
          <w:rFonts w:ascii="Times New Roman" w:hAnsi="Times New Roman" w:cs="Times New Roman"/>
          <w:iCs/>
          <w:sz w:val="24"/>
          <w:szCs w:val="24"/>
        </w:rPr>
        <w:t xml:space="preserve"> (5</w:t>
      </w:r>
      <w:r w:rsidRPr="0094555B" w:rsidR="005C5A0F">
        <w:rPr>
          <w:rFonts w:ascii="Times New Roman" w:hAnsi="Times New Roman" w:cs="Times New Roman"/>
          <w:iCs/>
          <w:sz w:val="24"/>
          <w:szCs w:val="24"/>
        </w:rPr>
        <w:t>5,100</w:t>
      </w:r>
      <w:r w:rsidRPr="0094555B">
        <w:rPr>
          <w:rFonts w:ascii="Times New Roman" w:hAnsi="Times New Roman" w:cs="Times New Roman"/>
          <w:iCs/>
          <w:sz w:val="24"/>
          <w:szCs w:val="24"/>
        </w:rPr>
        <w:t xml:space="preserve"> </w:t>
      </w:r>
      <w:proofErr w:type="spellStart"/>
      <w:r w:rsidRPr="0094555B">
        <w:rPr>
          <w:rFonts w:ascii="Times New Roman" w:hAnsi="Times New Roman" w:cs="Times New Roman"/>
          <w:iCs/>
          <w:sz w:val="24"/>
          <w:szCs w:val="24"/>
        </w:rPr>
        <w:t>hr</w:t>
      </w:r>
      <w:proofErr w:type="spellEnd"/>
      <w:r w:rsidRPr="0094555B">
        <w:rPr>
          <w:rFonts w:ascii="Times New Roman" w:hAnsi="Times New Roman" w:cs="Times New Roman"/>
          <w:iCs/>
          <w:sz w:val="24"/>
          <w:szCs w:val="24"/>
        </w:rPr>
        <w:t xml:space="preserve"> x </w:t>
      </w:r>
      <w:r w:rsidRPr="0094555B" w:rsidR="00773C0B">
        <w:rPr>
          <w:rFonts w:ascii="Times New Roman" w:hAnsi="Times New Roman" w:cs="Times New Roman"/>
          <w:iCs/>
          <w:sz w:val="24"/>
          <w:szCs w:val="24"/>
        </w:rPr>
        <w:t>$7</w:t>
      </w:r>
      <w:r w:rsidR="000D5530">
        <w:rPr>
          <w:rFonts w:ascii="Times New Roman" w:hAnsi="Times New Roman" w:cs="Times New Roman"/>
          <w:iCs/>
          <w:sz w:val="24"/>
          <w:szCs w:val="24"/>
        </w:rPr>
        <w:t>6.94</w:t>
      </w:r>
      <w:r w:rsidRPr="0094555B">
        <w:rPr>
          <w:rFonts w:ascii="Times New Roman" w:hAnsi="Times New Roman" w:cs="Times New Roman"/>
          <w:iCs/>
          <w:sz w:val="24"/>
          <w:szCs w:val="24"/>
        </w:rPr>
        <w:t>/</w:t>
      </w:r>
      <w:proofErr w:type="spellStart"/>
      <w:r w:rsidRPr="0094555B">
        <w:rPr>
          <w:rFonts w:ascii="Times New Roman" w:hAnsi="Times New Roman" w:cs="Times New Roman"/>
          <w:iCs/>
          <w:sz w:val="24"/>
          <w:szCs w:val="24"/>
        </w:rPr>
        <w:t>hr</w:t>
      </w:r>
      <w:proofErr w:type="spellEnd"/>
      <w:r w:rsidRPr="0094555B">
        <w:rPr>
          <w:rFonts w:ascii="Times New Roman" w:hAnsi="Times New Roman" w:cs="Times New Roman"/>
          <w:iCs/>
          <w:sz w:val="24"/>
          <w:szCs w:val="24"/>
        </w:rPr>
        <w:t xml:space="preserve">). </w:t>
      </w:r>
      <w:r w:rsidRPr="0094555B">
        <w:rPr>
          <w:rFonts w:ascii="Times New Roman" w:hAnsi="Times New Roman" w:cs="Times New Roman"/>
          <w:b/>
          <w:iCs/>
          <w:sz w:val="24"/>
          <w:szCs w:val="24"/>
        </w:rPr>
        <w:t>(</w:t>
      </w:r>
      <w:r w:rsidRPr="0094555B" w:rsidR="005F5165">
        <w:rPr>
          <w:rFonts w:ascii="Times New Roman" w:hAnsi="Times New Roman" w:cs="Times New Roman"/>
          <w:b/>
          <w:iCs/>
          <w:sz w:val="24"/>
          <w:szCs w:val="24"/>
        </w:rPr>
        <w:t>ESTIMATE</w:t>
      </w:r>
      <w:r w:rsidRPr="0094555B">
        <w:rPr>
          <w:rFonts w:ascii="Times New Roman" w:hAnsi="Times New Roman" w:cs="Times New Roman"/>
          <w:b/>
          <w:iCs/>
          <w:sz w:val="24"/>
          <w:szCs w:val="24"/>
        </w:rPr>
        <w:t xml:space="preserve"> 12.21)</w:t>
      </w:r>
    </w:p>
    <w:p w:rsidRPr="0094555B" w:rsidR="00332B7B" w:rsidP="0094555B" w:rsidRDefault="00792E5E" w14:paraId="6160D731" w14:textId="367800A3">
      <w:pPr>
        <w:rPr>
          <w:rFonts w:ascii="Times New Roman" w:hAnsi="Times New Roman" w:cs="Times New Roman"/>
          <w:iCs/>
          <w:sz w:val="24"/>
          <w:szCs w:val="24"/>
        </w:rPr>
      </w:pPr>
      <w:r w:rsidRPr="0094555B">
        <w:rPr>
          <w:rFonts w:ascii="Times New Roman" w:hAnsi="Times New Roman" w:cs="Times New Roman"/>
          <w:sz w:val="24"/>
          <w:szCs w:val="24"/>
          <w:u w:val="single"/>
        </w:rPr>
        <w:t>Section 438.66 State monitoring requirements</w:t>
      </w:r>
    </w:p>
    <w:p w:rsidRPr="0094555B" w:rsidR="00624B15" w:rsidP="0094555B" w:rsidRDefault="00624B15" w14:paraId="421610D9" w14:textId="432D11E9">
      <w:pPr>
        <w:rPr>
          <w:rFonts w:ascii="Times New Roman" w:hAnsi="Times New Roman" w:cs="Times New Roman"/>
          <w:iCs/>
          <w:sz w:val="24"/>
          <w:szCs w:val="24"/>
        </w:rPr>
      </w:pPr>
      <w:r w:rsidRPr="0094555B">
        <w:rPr>
          <w:rFonts w:ascii="Times New Roman" w:hAnsi="Times New Roman" w:cs="Times New Roman"/>
          <w:iCs/>
          <w:sz w:val="24"/>
          <w:szCs w:val="24"/>
        </w:rPr>
        <w:t xml:space="preserve">Section 438.66(d)(1) through (3) requires that states include a desk review of documents and an on-site review for all readiness reviews when certain events occur.  For preparation and execution of the readiness review, we estimate 5 </w:t>
      </w:r>
      <w:proofErr w:type="spellStart"/>
      <w:r w:rsidRPr="0094555B">
        <w:rPr>
          <w:rFonts w:ascii="Times New Roman" w:hAnsi="Times New Roman" w:cs="Times New Roman"/>
          <w:iCs/>
          <w:sz w:val="24"/>
          <w:szCs w:val="24"/>
        </w:rPr>
        <w:t>hr</w:t>
      </w:r>
      <w:proofErr w:type="spellEnd"/>
      <w:r w:rsidRPr="0094555B">
        <w:rPr>
          <w:rFonts w:ascii="Times New Roman" w:hAnsi="Times New Roman" w:cs="Times New Roman"/>
          <w:iCs/>
          <w:sz w:val="24"/>
          <w:szCs w:val="24"/>
        </w:rPr>
        <w:t xml:space="preserve"> (at </w:t>
      </w:r>
      <w:r w:rsidRPr="0094555B" w:rsidR="00827481">
        <w:rPr>
          <w:rFonts w:ascii="Times New Roman" w:hAnsi="Times New Roman" w:cs="Times New Roman"/>
          <w:iCs/>
          <w:sz w:val="24"/>
          <w:szCs w:val="24"/>
        </w:rPr>
        <w:t>$</w:t>
      </w:r>
      <w:r w:rsidRPr="0094555B" w:rsidR="00305677">
        <w:rPr>
          <w:rFonts w:ascii="Times New Roman" w:hAnsi="Times New Roman" w:cs="Times New Roman"/>
          <w:iCs/>
          <w:sz w:val="24"/>
          <w:szCs w:val="24"/>
        </w:rPr>
        <w:t>1</w:t>
      </w:r>
      <w:r w:rsidR="000D5530">
        <w:rPr>
          <w:rFonts w:ascii="Times New Roman" w:hAnsi="Times New Roman" w:cs="Times New Roman"/>
          <w:iCs/>
          <w:sz w:val="24"/>
          <w:szCs w:val="24"/>
        </w:rPr>
        <w:t>20.90</w:t>
      </w:r>
      <w:r w:rsidRPr="0094555B">
        <w:rPr>
          <w:rFonts w:ascii="Times New Roman" w:hAnsi="Times New Roman" w:cs="Times New Roman"/>
          <w:iCs/>
          <w:sz w:val="24"/>
          <w:szCs w:val="24"/>
        </w:rPr>
        <w:t>/</w:t>
      </w:r>
      <w:proofErr w:type="spellStart"/>
      <w:r w:rsidRPr="0094555B">
        <w:rPr>
          <w:rFonts w:ascii="Times New Roman" w:hAnsi="Times New Roman" w:cs="Times New Roman"/>
          <w:iCs/>
          <w:sz w:val="24"/>
          <w:szCs w:val="24"/>
        </w:rPr>
        <w:t>hr</w:t>
      </w:r>
      <w:proofErr w:type="spellEnd"/>
      <w:r w:rsidRPr="0094555B">
        <w:rPr>
          <w:rFonts w:ascii="Times New Roman" w:hAnsi="Times New Roman" w:cs="Times New Roman"/>
          <w:iCs/>
          <w:sz w:val="24"/>
          <w:szCs w:val="24"/>
        </w:rPr>
        <w:t xml:space="preserve">) for a general and operations manager, 30 </w:t>
      </w:r>
      <w:proofErr w:type="spellStart"/>
      <w:r w:rsidRPr="0094555B">
        <w:rPr>
          <w:rFonts w:ascii="Times New Roman" w:hAnsi="Times New Roman" w:cs="Times New Roman"/>
          <w:iCs/>
          <w:sz w:val="24"/>
          <w:szCs w:val="24"/>
        </w:rPr>
        <w:t>hr</w:t>
      </w:r>
      <w:proofErr w:type="spellEnd"/>
      <w:r w:rsidRPr="0094555B">
        <w:rPr>
          <w:rFonts w:ascii="Times New Roman" w:hAnsi="Times New Roman" w:cs="Times New Roman"/>
          <w:iCs/>
          <w:sz w:val="24"/>
          <w:szCs w:val="24"/>
        </w:rPr>
        <w:t xml:space="preserve"> (at </w:t>
      </w:r>
      <w:r w:rsidRPr="0094555B" w:rsidR="00773C0B">
        <w:rPr>
          <w:rFonts w:ascii="Times New Roman" w:hAnsi="Times New Roman" w:cs="Times New Roman"/>
          <w:iCs/>
          <w:sz w:val="24"/>
          <w:szCs w:val="24"/>
        </w:rPr>
        <w:t>$</w:t>
      </w:r>
      <w:r w:rsidRPr="0094555B" w:rsidR="00305677">
        <w:rPr>
          <w:rFonts w:ascii="Times New Roman" w:hAnsi="Times New Roman" w:cs="Times New Roman"/>
          <w:iCs/>
          <w:sz w:val="24"/>
          <w:szCs w:val="24"/>
        </w:rPr>
        <w:t>7</w:t>
      </w:r>
      <w:r w:rsidR="000D5530">
        <w:rPr>
          <w:rFonts w:ascii="Times New Roman" w:hAnsi="Times New Roman" w:cs="Times New Roman"/>
          <w:iCs/>
          <w:sz w:val="24"/>
          <w:szCs w:val="24"/>
        </w:rPr>
        <w:t>5.32</w:t>
      </w:r>
      <w:r w:rsidRPr="0094555B">
        <w:rPr>
          <w:rFonts w:ascii="Times New Roman" w:hAnsi="Times New Roman" w:cs="Times New Roman"/>
          <w:iCs/>
          <w:sz w:val="24"/>
          <w:szCs w:val="24"/>
        </w:rPr>
        <w:t>/</w:t>
      </w:r>
      <w:proofErr w:type="spellStart"/>
      <w:r w:rsidRPr="0094555B">
        <w:rPr>
          <w:rFonts w:ascii="Times New Roman" w:hAnsi="Times New Roman" w:cs="Times New Roman"/>
          <w:iCs/>
          <w:sz w:val="24"/>
          <w:szCs w:val="24"/>
        </w:rPr>
        <w:t>hr</w:t>
      </w:r>
      <w:proofErr w:type="spellEnd"/>
      <w:r w:rsidRPr="0094555B">
        <w:rPr>
          <w:rFonts w:ascii="Times New Roman" w:hAnsi="Times New Roman" w:cs="Times New Roman"/>
          <w:iCs/>
          <w:sz w:val="24"/>
          <w:szCs w:val="24"/>
        </w:rPr>
        <w:t xml:space="preserve">) for a business operations specialist, and 5 </w:t>
      </w:r>
      <w:proofErr w:type="spellStart"/>
      <w:r w:rsidRPr="0094555B">
        <w:rPr>
          <w:rFonts w:ascii="Times New Roman" w:hAnsi="Times New Roman" w:cs="Times New Roman"/>
          <w:iCs/>
          <w:sz w:val="24"/>
          <w:szCs w:val="24"/>
        </w:rPr>
        <w:t>hr</w:t>
      </w:r>
      <w:proofErr w:type="spellEnd"/>
      <w:r w:rsidRPr="0094555B">
        <w:rPr>
          <w:rFonts w:ascii="Times New Roman" w:hAnsi="Times New Roman" w:cs="Times New Roman"/>
          <w:iCs/>
          <w:sz w:val="24"/>
          <w:szCs w:val="24"/>
        </w:rPr>
        <w:t xml:space="preserve"> (at $</w:t>
      </w:r>
      <w:r w:rsidRPr="0094555B" w:rsidR="00305677">
        <w:rPr>
          <w:rFonts w:ascii="Times New Roman" w:hAnsi="Times New Roman" w:cs="Times New Roman"/>
          <w:iCs/>
          <w:sz w:val="24"/>
          <w:szCs w:val="24"/>
        </w:rPr>
        <w:t>10</w:t>
      </w:r>
      <w:r w:rsidR="000D5530">
        <w:rPr>
          <w:rFonts w:ascii="Times New Roman" w:hAnsi="Times New Roman" w:cs="Times New Roman"/>
          <w:iCs/>
          <w:sz w:val="24"/>
          <w:szCs w:val="24"/>
        </w:rPr>
        <w:t>5.72</w:t>
      </w:r>
      <w:r w:rsidRPr="0094555B">
        <w:rPr>
          <w:rFonts w:ascii="Times New Roman" w:hAnsi="Times New Roman" w:cs="Times New Roman"/>
          <w:iCs/>
          <w:sz w:val="24"/>
          <w:szCs w:val="24"/>
        </w:rPr>
        <w:t>/</w:t>
      </w:r>
      <w:proofErr w:type="spellStart"/>
      <w:r w:rsidRPr="0094555B">
        <w:rPr>
          <w:rFonts w:ascii="Times New Roman" w:hAnsi="Times New Roman" w:cs="Times New Roman"/>
          <w:iCs/>
          <w:sz w:val="24"/>
          <w:szCs w:val="24"/>
        </w:rPr>
        <w:t>hr</w:t>
      </w:r>
      <w:proofErr w:type="spellEnd"/>
      <w:r w:rsidRPr="0094555B">
        <w:rPr>
          <w:rFonts w:ascii="Times New Roman" w:hAnsi="Times New Roman" w:cs="Times New Roman"/>
          <w:iCs/>
          <w:sz w:val="24"/>
          <w:szCs w:val="24"/>
        </w:rPr>
        <w:t xml:space="preserve">) for a computer programmer.  The time and staff types are estimated for a new program or new entity review and may vary downward when the review is triggered by one of the other events listed in paragraph (d)(1).  Given the varying likelihood of the 3 events listed in paragraph (d)(1), we will use an average estimate of 20 states per year having one of the triggering events.  In aggregate, we estimate an annual state burden of </w:t>
      </w:r>
      <w:r w:rsidRPr="0094555B">
        <w:rPr>
          <w:rFonts w:ascii="Times New Roman" w:hAnsi="Times New Roman" w:cs="Times New Roman"/>
          <w:b/>
          <w:iCs/>
          <w:sz w:val="24"/>
          <w:szCs w:val="24"/>
        </w:rPr>
        <w:t xml:space="preserve">800 </w:t>
      </w:r>
      <w:proofErr w:type="spellStart"/>
      <w:r w:rsidRPr="0094555B">
        <w:rPr>
          <w:rFonts w:ascii="Times New Roman" w:hAnsi="Times New Roman" w:cs="Times New Roman"/>
          <w:b/>
          <w:iCs/>
          <w:sz w:val="24"/>
          <w:szCs w:val="24"/>
        </w:rPr>
        <w:t>hr</w:t>
      </w:r>
      <w:proofErr w:type="spellEnd"/>
      <w:r w:rsidRPr="0094555B">
        <w:rPr>
          <w:rFonts w:ascii="Times New Roman" w:hAnsi="Times New Roman" w:cs="Times New Roman"/>
          <w:iCs/>
          <w:sz w:val="24"/>
          <w:szCs w:val="24"/>
        </w:rPr>
        <w:t xml:space="preserve"> (20 states x 40 </w:t>
      </w:r>
      <w:proofErr w:type="spellStart"/>
      <w:r w:rsidRPr="0094555B">
        <w:rPr>
          <w:rFonts w:ascii="Times New Roman" w:hAnsi="Times New Roman" w:cs="Times New Roman"/>
          <w:iCs/>
          <w:sz w:val="24"/>
          <w:szCs w:val="24"/>
        </w:rPr>
        <w:t>hr</w:t>
      </w:r>
      <w:proofErr w:type="spellEnd"/>
      <w:r w:rsidRPr="0094555B">
        <w:rPr>
          <w:rFonts w:ascii="Times New Roman" w:hAnsi="Times New Roman" w:cs="Times New Roman"/>
          <w:iCs/>
          <w:sz w:val="24"/>
          <w:szCs w:val="24"/>
        </w:rPr>
        <w:t xml:space="preserve">) and </w:t>
      </w:r>
      <w:r w:rsidRPr="0094555B">
        <w:rPr>
          <w:rFonts w:ascii="Times New Roman" w:hAnsi="Times New Roman" w:cs="Times New Roman"/>
          <w:b/>
          <w:iCs/>
          <w:sz w:val="24"/>
          <w:szCs w:val="24"/>
        </w:rPr>
        <w:t>$6</w:t>
      </w:r>
      <w:r w:rsidR="000D5530">
        <w:rPr>
          <w:rFonts w:ascii="Times New Roman" w:hAnsi="Times New Roman" w:cs="Times New Roman"/>
          <w:b/>
          <w:iCs/>
          <w:sz w:val="24"/>
          <w:szCs w:val="24"/>
        </w:rPr>
        <w:t>7,8</w:t>
      </w:r>
      <w:r w:rsidR="00416F24">
        <w:rPr>
          <w:rFonts w:ascii="Times New Roman" w:hAnsi="Times New Roman" w:cs="Times New Roman"/>
          <w:b/>
          <w:iCs/>
          <w:sz w:val="24"/>
          <w:szCs w:val="24"/>
        </w:rPr>
        <w:t>80</w:t>
      </w:r>
      <w:r w:rsidRPr="0094555B" w:rsidR="005C5A0F">
        <w:rPr>
          <w:rFonts w:ascii="Times New Roman" w:hAnsi="Times New Roman" w:cs="Times New Roman"/>
          <w:b/>
          <w:sz w:val="24"/>
          <w:szCs w:val="24"/>
        </w:rPr>
        <w:t xml:space="preserve"> </w:t>
      </w:r>
      <w:r w:rsidRPr="0094555B">
        <w:rPr>
          <w:rFonts w:ascii="Times New Roman" w:hAnsi="Times New Roman" w:cs="Times New Roman"/>
          <w:iCs/>
          <w:sz w:val="24"/>
          <w:szCs w:val="24"/>
        </w:rPr>
        <w:t xml:space="preserve">[20 states x ((5 x </w:t>
      </w:r>
      <w:r w:rsidRPr="0094555B" w:rsidR="00827481">
        <w:rPr>
          <w:rFonts w:ascii="Times New Roman" w:hAnsi="Times New Roman" w:cs="Times New Roman"/>
          <w:iCs/>
          <w:sz w:val="24"/>
          <w:szCs w:val="24"/>
        </w:rPr>
        <w:t>$</w:t>
      </w:r>
      <w:r w:rsidRPr="0094555B" w:rsidR="00305677">
        <w:rPr>
          <w:rFonts w:ascii="Times New Roman" w:hAnsi="Times New Roman" w:cs="Times New Roman"/>
          <w:iCs/>
          <w:sz w:val="24"/>
          <w:szCs w:val="24"/>
        </w:rPr>
        <w:t>1</w:t>
      </w:r>
      <w:r w:rsidR="000D5530">
        <w:rPr>
          <w:rFonts w:ascii="Times New Roman" w:hAnsi="Times New Roman" w:cs="Times New Roman"/>
          <w:iCs/>
          <w:sz w:val="24"/>
          <w:szCs w:val="24"/>
        </w:rPr>
        <w:t>20.90</w:t>
      </w:r>
      <w:r w:rsidRPr="0094555B">
        <w:rPr>
          <w:rFonts w:ascii="Times New Roman" w:hAnsi="Times New Roman" w:cs="Times New Roman"/>
          <w:iCs/>
          <w:sz w:val="24"/>
          <w:szCs w:val="24"/>
        </w:rPr>
        <w:t>/</w:t>
      </w:r>
      <w:proofErr w:type="spellStart"/>
      <w:r w:rsidRPr="0094555B">
        <w:rPr>
          <w:rFonts w:ascii="Times New Roman" w:hAnsi="Times New Roman" w:cs="Times New Roman"/>
          <w:iCs/>
          <w:sz w:val="24"/>
          <w:szCs w:val="24"/>
        </w:rPr>
        <w:t>hr</w:t>
      </w:r>
      <w:proofErr w:type="spellEnd"/>
      <w:r w:rsidRPr="0094555B">
        <w:rPr>
          <w:rFonts w:ascii="Times New Roman" w:hAnsi="Times New Roman" w:cs="Times New Roman"/>
          <w:iCs/>
          <w:sz w:val="24"/>
          <w:szCs w:val="24"/>
        </w:rPr>
        <w:t xml:space="preserve">) +(30 x </w:t>
      </w:r>
      <w:r w:rsidRPr="0094555B" w:rsidR="00773C0B">
        <w:rPr>
          <w:rFonts w:ascii="Times New Roman" w:hAnsi="Times New Roman" w:cs="Times New Roman"/>
          <w:iCs/>
          <w:sz w:val="24"/>
          <w:szCs w:val="24"/>
        </w:rPr>
        <w:t>$</w:t>
      </w:r>
      <w:r w:rsidRPr="0094555B" w:rsidR="00305677">
        <w:rPr>
          <w:rFonts w:ascii="Times New Roman" w:hAnsi="Times New Roman" w:cs="Times New Roman"/>
          <w:iCs/>
          <w:sz w:val="24"/>
          <w:szCs w:val="24"/>
        </w:rPr>
        <w:t>7</w:t>
      </w:r>
      <w:r w:rsidR="000D5530">
        <w:rPr>
          <w:rFonts w:ascii="Times New Roman" w:hAnsi="Times New Roman" w:cs="Times New Roman"/>
          <w:iCs/>
          <w:sz w:val="24"/>
          <w:szCs w:val="24"/>
        </w:rPr>
        <w:t>5.32</w:t>
      </w:r>
      <w:r w:rsidRPr="0094555B">
        <w:rPr>
          <w:rFonts w:ascii="Times New Roman" w:hAnsi="Times New Roman" w:cs="Times New Roman"/>
          <w:iCs/>
          <w:sz w:val="24"/>
          <w:szCs w:val="24"/>
        </w:rPr>
        <w:t>/</w:t>
      </w:r>
      <w:proofErr w:type="spellStart"/>
      <w:r w:rsidRPr="0094555B">
        <w:rPr>
          <w:rFonts w:ascii="Times New Roman" w:hAnsi="Times New Roman" w:cs="Times New Roman"/>
          <w:iCs/>
          <w:sz w:val="24"/>
          <w:szCs w:val="24"/>
        </w:rPr>
        <w:t>hr</w:t>
      </w:r>
      <w:proofErr w:type="spellEnd"/>
      <w:r w:rsidRPr="0094555B">
        <w:rPr>
          <w:rFonts w:ascii="Times New Roman" w:hAnsi="Times New Roman" w:cs="Times New Roman"/>
          <w:iCs/>
          <w:sz w:val="24"/>
          <w:szCs w:val="24"/>
        </w:rPr>
        <w:t>) + (5 x $</w:t>
      </w:r>
      <w:r w:rsidRPr="0094555B" w:rsidR="00C472DA">
        <w:rPr>
          <w:rFonts w:ascii="Times New Roman" w:hAnsi="Times New Roman" w:cs="Times New Roman"/>
          <w:iCs/>
          <w:sz w:val="24"/>
          <w:szCs w:val="24"/>
        </w:rPr>
        <w:t>10</w:t>
      </w:r>
      <w:r w:rsidR="000D5530">
        <w:rPr>
          <w:rFonts w:ascii="Times New Roman" w:hAnsi="Times New Roman" w:cs="Times New Roman"/>
          <w:iCs/>
          <w:sz w:val="24"/>
          <w:szCs w:val="24"/>
        </w:rPr>
        <w:t>5.72</w:t>
      </w:r>
      <w:r w:rsidRPr="0094555B">
        <w:rPr>
          <w:rFonts w:ascii="Times New Roman" w:hAnsi="Times New Roman" w:cs="Times New Roman"/>
          <w:iCs/>
          <w:sz w:val="24"/>
          <w:szCs w:val="24"/>
        </w:rPr>
        <w:t>/</w:t>
      </w:r>
      <w:proofErr w:type="spellStart"/>
      <w:r w:rsidRPr="0094555B">
        <w:rPr>
          <w:rFonts w:ascii="Times New Roman" w:hAnsi="Times New Roman" w:cs="Times New Roman"/>
          <w:iCs/>
          <w:sz w:val="24"/>
          <w:szCs w:val="24"/>
        </w:rPr>
        <w:t>hr</w:t>
      </w:r>
      <w:proofErr w:type="spellEnd"/>
      <w:r w:rsidRPr="0094555B">
        <w:rPr>
          <w:rFonts w:ascii="Times New Roman" w:hAnsi="Times New Roman" w:cs="Times New Roman"/>
          <w:iCs/>
          <w:sz w:val="24"/>
          <w:szCs w:val="24"/>
        </w:rPr>
        <w:t>))].</w:t>
      </w:r>
      <w:r w:rsidRPr="0094555B">
        <w:rPr>
          <w:rFonts w:ascii="Times New Roman" w:hAnsi="Times New Roman" w:cs="Times New Roman"/>
          <w:b/>
          <w:iCs/>
          <w:sz w:val="24"/>
          <w:szCs w:val="24"/>
        </w:rPr>
        <w:t xml:space="preserve"> (</w:t>
      </w:r>
      <w:r w:rsidRPr="0094555B" w:rsidR="005F5165">
        <w:rPr>
          <w:rFonts w:ascii="Times New Roman" w:hAnsi="Times New Roman" w:cs="Times New Roman"/>
          <w:b/>
          <w:iCs/>
          <w:sz w:val="24"/>
          <w:szCs w:val="24"/>
        </w:rPr>
        <w:t>ESTIMATE</w:t>
      </w:r>
      <w:r w:rsidRPr="0094555B">
        <w:rPr>
          <w:rFonts w:ascii="Times New Roman" w:hAnsi="Times New Roman" w:cs="Times New Roman"/>
          <w:b/>
          <w:iCs/>
          <w:sz w:val="24"/>
          <w:szCs w:val="24"/>
        </w:rPr>
        <w:t xml:space="preserve"> 12.24)</w:t>
      </w:r>
    </w:p>
    <w:p w:rsidRPr="0094555B" w:rsidR="00624B15" w:rsidP="0094555B" w:rsidRDefault="00624B15" w14:paraId="63911F02" w14:textId="7B2DA364">
      <w:pPr>
        <w:rPr>
          <w:rFonts w:ascii="Times New Roman" w:hAnsi="Times New Roman" w:cs="Times New Roman"/>
          <w:iCs/>
          <w:sz w:val="24"/>
          <w:szCs w:val="24"/>
        </w:rPr>
      </w:pPr>
      <w:r w:rsidRPr="0094555B">
        <w:rPr>
          <w:rFonts w:ascii="Times New Roman" w:hAnsi="Times New Roman" w:cs="Times New Roman"/>
          <w:iCs/>
          <w:sz w:val="24"/>
          <w:szCs w:val="24"/>
        </w:rPr>
        <w:t xml:space="preserve">For MCO, PIHP, PAHP, or PCCM preparation </w:t>
      </w:r>
      <w:r w:rsidRPr="0094555B" w:rsidR="00792E5E">
        <w:rPr>
          <w:rFonts w:ascii="Times New Roman" w:hAnsi="Times New Roman" w:cs="Times New Roman"/>
          <w:iCs/>
          <w:sz w:val="24"/>
          <w:szCs w:val="24"/>
        </w:rPr>
        <w:t xml:space="preserve">for </w:t>
      </w:r>
      <w:r w:rsidRPr="0094555B">
        <w:rPr>
          <w:rFonts w:ascii="Times New Roman" w:hAnsi="Times New Roman" w:cs="Times New Roman"/>
          <w:iCs/>
          <w:sz w:val="24"/>
          <w:szCs w:val="24"/>
        </w:rPr>
        <w:t>and execution</w:t>
      </w:r>
      <w:r w:rsidRPr="0094555B" w:rsidR="00792E5E">
        <w:rPr>
          <w:rFonts w:ascii="Times New Roman" w:hAnsi="Times New Roman" w:cs="Times New Roman"/>
          <w:iCs/>
          <w:sz w:val="24"/>
          <w:szCs w:val="24"/>
        </w:rPr>
        <w:t xml:space="preserve"> of a review by the state</w:t>
      </w:r>
      <w:r w:rsidRPr="0094555B">
        <w:rPr>
          <w:rFonts w:ascii="Times New Roman" w:hAnsi="Times New Roman" w:cs="Times New Roman"/>
          <w:iCs/>
          <w:sz w:val="24"/>
          <w:szCs w:val="24"/>
        </w:rPr>
        <w:t xml:space="preserve">, we estimate 5 </w:t>
      </w:r>
      <w:proofErr w:type="spellStart"/>
      <w:r w:rsidRPr="0094555B">
        <w:rPr>
          <w:rFonts w:ascii="Times New Roman" w:hAnsi="Times New Roman" w:cs="Times New Roman"/>
          <w:iCs/>
          <w:sz w:val="24"/>
          <w:szCs w:val="24"/>
        </w:rPr>
        <w:t>hr</w:t>
      </w:r>
      <w:proofErr w:type="spellEnd"/>
      <w:r w:rsidRPr="0094555B">
        <w:rPr>
          <w:rFonts w:ascii="Times New Roman" w:hAnsi="Times New Roman" w:cs="Times New Roman"/>
          <w:iCs/>
          <w:sz w:val="24"/>
          <w:szCs w:val="24"/>
        </w:rPr>
        <w:t xml:space="preserve"> (at </w:t>
      </w:r>
      <w:r w:rsidRPr="0094555B" w:rsidR="00827481">
        <w:rPr>
          <w:rFonts w:ascii="Times New Roman" w:hAnsi="Times New Roman" w:cs="Times New Roman"/>
          <w:iCs/>
          <w:sz w:val="24"/>
          <w:szCs w:val="24"/>
        </w:rPr>
        <w:t>$</w:t>
      </w:r>
      <w:r w:rsidR="00416F24">
        <w:rPr>
          <w:rFonts w:ascii="Times New Roman" w:hAnsi="Times New Roman" w:cs="Times New Roman"/>
          <w:iCs/>
          <w:sz w:val="24"/>
          <w:szCs w:val="24"/>
        </w:rPr>
        <w:t>1</w:t>
      </w:r>
      <w:r w:rsidR="000D5530">
        <w:rPr>
          <w:rFonts w:ascii="Times New Roman" w:hAnsi="Times New Roman" w:cs="Times New Roman"/>
          <w:iCs/>
          <w:sz w:val="24"/>
          <w:szCs w:val="24"/>
        </w:rPr>
        <w:t>20.90</w:t>
      </w:r>
      <w:r w:rsidRPr="0094555B">
        <w:rPr>
          <w:rFonts w:ascii="Times New Roman" w:hAnsi="Times New Roman" w:cs="Times New Roman"/>
          <w:iCs/>
          <w:sz w:val="24"/>
          <w:szCs w:val="24"/>
        </w:rPr>
        <w:t>/</w:t>
      </w:r>
      <w:proofErr w:type="spellStart"/>
      <w:r w:rsidRPr="0094555B">
        <w:rPr>
          <w:rFonts w:ascii="Times New Roman" w:hAnsi="Times New Roman" w:cs="Times New Roman"/>
          <w:iCs/>
          <w:sz w:val="24"/>
          <w:szCs w:val="24"/>
        </w:rPr>
        <w:t>hr</w:t>
      </w:r>
      <w:proofErr w:type="spellEnd"/>
      <w:r w:rsidRPr="0094555B">
        <w:rPr>
          <w:rFonts w:ascii="Times New Roman" w:hAnsi="Times New Roman" w:cs="Times New Roman"/>
          <w:iCs/>
          <w:sz w:val="24"/>
          <w:szCs w:val="24"/>
        </w:rPr>
        <w:t xml:space="preserve">) for a general and operations manager, 30 </w:t>
      </w:r>
      <w:proofErr w:type="spellStart"/>
      <w:r w:rsidRPr="0094555B">
        <w:rPr>
          <w:rFonts w:ascii="Times New Roman" w:hAnsi="Times New Roman" w:cs="Times New Roman"/>
          <w:iCs/>
          <w:sz w:val="24"/>
          <w:szCs w:val="24"/>
        </w:rPr>
        <w:t>hr</w:t>
      </w:r>
      <w:proofErr w:type="spellEnd"/>
      <w:r w:rsidRPr="0094555B">
        <w:rPr>
          <w:rFonts w:ascii="Times New Roman" w:hAnsi="Times New Roman" w:cs="Times New Roman"/>
          <w:iCs/>
          <w:sz w:val="24"/>
          <w:szCs w:val="24"/>
        </w:rPr>
        <w:t xml:space="preserve"> (at </w:t>
      </w:r>
      <w:r w:rsidRPr="0094555B" w:rsidR="00773C0B">
        <w:rPr>
          <w:rFonts w:ascii="Times New Roman" w:hAnsi="Times New Roman" w:cs="Times New Roman"/>
          <w:iCs/>
          <w:sz w:val="24"/>
          <w:szCs w:val="24"/>
        </w:rPr>
        <w:t>$7</w:t>
      </w:r>
      <w:r w:rsidR="000D5530">
        <w:rPr>
          <w:rFonts w:ascii="Times New Roman" w:hAnsi="Times New Roman" w:cs="Times New Roman"/>
          <w:iCs/>
          <w:sz w:val="24"/>
          <w:szCs w:val="24"/>
        </w:rPr>
        <w:t>75.32</w:t>
      </w:r>
      <w:r w:rsidRPr="0094555B">
        <w:rPr>
          <w:rFonts w:ascii="Times New Roman" w:hAnsi="Times New Roman" w:cs="Times New Roman"/>
          <w:iCs/>
          <w:sz w:val="24"/>
          <w:szCs w:val="24"/>
        </w:rPr>
        <w:t>/</w:t>
      </w:r>
      <w:proofErr w:type="spellStart"/>
      <w:r w:rsidRPr="0094555B">
        <w:rPr>
          <w:rFonts w:ascii="Times New Roman" w:hAnsi="Times New Roman" w:cs="Times New Roman"/>
          <w:iCs/>
          <w:sz w:val="24"/>
          <w:szCs w:val="24"/>
        </w:rPr>
        <w:t>hr</w:t>
      </w:r>
      <w:proofErr w:type="spellEnd"/>
      <w:r w:rsidRPr="0094555B">
        <w:rPr>
          <w:rFonts w:ascii="Times New Roman" w:hAnsi="Times New Roman" w:cs="Times New Roman"/>
          <w:iCs/>
          <w:sz w:val="24"/>
          <w:szCs w:val="24"/>
        </w:rPr>
        <w:t xml:space="preserve">) for a business operations specialist, and 5 </w:t>
      </w:r>
      <w:proofErr w:type="spellStart"/>
      <w:r w:rsidRPr="0094555B">
        <w:rPr>
          <w:rFonts w:ascii="Times New Roman" w:hAnsi="Times New Roman" w:cs="Times New Roman"/>
          <w:iCs/>
          <w:sz w:val="24"/>
          <w:szCs w:val="24"/>
        </w:rPr>
        <w:t>hr</w:t>
      </w:r>
      <w:proofErr w:type="spellEnd"/>
      <w:r w:rsidRPr="0094555B">
        <w:rPr>
          <w:rFonts w:ascii="Times New Roman" w:hAnsi="Times New Roman" w:cs="Times New Roman"/>
          <w:iCs/>
          <w:sz w:val="24"/>
          <w:szCs w:val="24"/>
        </w:rPr>
        <w:t xml:space="preserve"> (at $</w:t>
      </w:r>
      <w:r w:rsidRPr="0094555B" w:rsidR="00C472DA">
        <w:rPr>
          <w:rFonts w:ascii="Times New Roman" w:hAnsi="Times New Roman" w:cs="Times New Roman"/>
          <w:iCs/>
          <w:sz w:val="24"/>
          <w:szCs w:val="24"/>
        </w:rPr>
        <w:t>10</w:t>
      </w:r>
      <w:r w:rsidR="000D5530">
        <w:rPr>
          <w:rFonts w:ascii="Times New Roman" w:hAnsi="Times New Roman" w:cs="Times New Roman"/>
          <w:iCs/>
          <w:sz w:val="24"/>
          <w:szCs w:val="24"/>
        </w:rPr>
        <w:t>5.72</w:t>
      </w:r>
      <w:r w:rsidRPr="0094555B">
        <w:rPr>
          <w:rFonts w:ascii="Times New Roman" w:hAnsi="Times New Roman" w:cs="Times New Roman"/>
          <w:iCs/>
          <w:sz w:val="24"/>
          <w:szCs w:val="24"/>
        </w:rPr>
        <w:t>/</w:t>
      </w:r>
      <w:proofErr w:type="spellStart"/>
      <w:r w:rsidRPr="0094555B">
        <w:rPr>
          <w:rFonts w:ascii="Times New Roman" w:hAnsi="Times New Roman" w:cs="Times New Roman"/>
          <w:iCs/>
          <w:sz w:val="24"/>
          <w:szCs w:val="24"/>
        </w:rPr>
        <w:t>hr</w:t>
      </w:r>
      <w:proofErr w:type="spellEnd"/>
      <w:r w:rsidRPr="0094555B">
        <w:rPr>
          <w:rFonts w:ascii="Times New Roman" w:hAnsi="Times New Roman" w:cs="Times New Roman"/>
          <w:iCs/>
          <w:sz w:val="24"/>
          <w:szCs w:val="24"/>
        </w:rPr>
        <w:t xml:space="preserve">) for a computer programmer.  In aggregate, we estimate an annual private sector burden of </w:t>
      </w:r>
      <w:r w:rsidRPr="0094555B">
        <w:rPr>
          <w:rFonts w:ascii="Times New Roman" w:hAnsi="Times New Roman" w:cs="Times New Roman"/>
          <w:b/>
          <w:iCs/>
          <w:sz w:val="24"/>
          <w:szCs w:val="24"/>
        </w:rPr>
        <w:t xml:space="preserve">800 </w:t>
      </w:r>
      <w:proofErr w:type="spellStart"/>
      <w:r w:rsidRPr="0094555B">
        <w:rPr>
          <w:rFonts w:ascii="Times New Roman" w:hAnsi="Times New Roman" w:cs="Times New Roman"/>
          <w:b/>
          <w:iCs/>
          <w:sz w:val="24"/>
          <w:szCs w:val="24"/>
        </w:rPr>
        <w:t>hr</w:t>
      </w:r>
      <w:proofErr w:type="spellEnd"/>
      <w:r w:rsidRPr="0094555B">
        <w:rPr>
          <w:rFonts w:ascii="Times New Roman" w:hAnsi="Times New Roman" w:cs="Times New Roman"/>
          <w:iCs/>
          <w:sz w:val="24"/>
          <w:szCs w:val="24"/>
        </w:rPr>
        <w:t xml:space="preserve"> (20 entities x 40 </w:t>
      </w:r>
      <w:proofErr w:type="spellStart"/>
      <w:r w:rsidRPr="0094555B">
        <w:rPr>
          <w:rFonts w:ascii="Times New Roman" w:hAnsi="Times New Roman" w:cs="Times New Roman"/>
          <w:iCs/>
          <w:sz w:val="24"/>
          <w:szCs w:val="24"/>
        </w:rPr>
        <w:t>hr</w:t>
      </w:r>
      <w:proofErr w:type="spellEnd"/>
      <w:r w:rsidRPr="0094555B">
        <w:rPr>
          <w:rFonts w:ascii="Times New Roman" w:hAnsi="Times New Roman" w:cs="Times New Roman"/>
          <w:iCs/>
          <w:sz w:val="24"/>
          <w:szCs w:val="24"/>
        </w:rPr>
        <w:t xml:space="preserve">) and </w:t>
      </w:r>
      <w:r w:rsidRPr="0094555B">
        <w:rPr>
          <w:rFonts w:ascii="Times New Roman" w:hAnsi="Times New Roman" w:cs="Times New Roman"/>
          <w:b/>
          <w:iCs/>
          <w:sz w:val="24"/>
          <w:szCs w:val="24"/>
        </w:rPr>
        <w:t>$6</w:t>
      </w:r>
      <w:r w:rsidR="000D5530">
        <w:rPr>
          <w:rFonts w:ascii="Times New Roman" w:hAnsi="Times New Roman" w:cs="Times New Roman"/>
          <w:b/>
          <w:iCs/>
          <w:sz w:val="24"/>
          <w:szCs w:val="24"/>
        </w:rPr>
        <w:t>7,8</w:t>
      </w:r>
      <w:r w:rsidR="00416F24">
        <w:rPr>
          <w:rFonts w:ascii="Times New Roman" w:hAnsi="Times New Roman" w:cs="Times New Roman"/>
          <w:b/>
          <w:iCs/>
          <w:sz w:val="24"/>
          <w:szCs w:val="24"/>
        </w:rPr>
        <w:t>80</w:t>
      </w:r>
      <w:r w:rsidRPr="0094555B">
        <w:rPr>
          <w:rFonts w:ascii="Times New Roman" w:hAnsi="Times New Roman" w:cs="Times New Roman"/>
          <w:iCs/>
          <w:sz w:val="24"/>
          <w:szCs w:val="24"/>
        </w:rPr>
        <w:t xml:space="preserve"> [20 entities x ((5 x </w:t>
      </w:r>
      <w:r w:rsidRPr="0094555B" w:rsidR="00827481">
        <w:rPr>
          <w:rFonts w:ascii="Times New Roman" w:hAnsi="Times New Roman" w:cs="Times New Roman"/>
          <w:iCs/>
          <w:sz w:val="24"/>
          <w:szCs w:val="24"/>
        </w:rPr>
        <w:t>$1</w:t>
      </w:r>
      <w:r w:rsidR="000D5530">
        <w:rPr>
          <w:rFonts w:ascii="Times New Roman" w:hAnsi="Times New Roman" w:cs="Times New Roman"/>
          <w:iCs/>
          <w:sz w:val="24"/>
          <w:szCs w:val="24"/>
        </w:rPr>
        <w:t>20.90</w:t>
      </w:r>
      <w:r w:rsidRPr="0094555B">
        <w:rPr>
          <w:rFonts w:ascii="Times New Roman" w:hAnsi="Times New Roman" w:cs="Times New Roman"/>
          <w:iCs/>
          <w:sz w:val="24"/>
          <w:szCs w:val="24"/>
        </w:rPr>
        <w:t>/</w:t>
      </w:r>
      <w:proofErr w:type="spellStart"/>
      <w:r w:rsidRPr="0094555B">
        <w:rPr>
          <w:rFonts w:ascii="Times New Roman" w:hAnsi="Times New Roman" w:cs="Times New Roman"/>
          <w:iCs/>
          <w:sz w:val="24"/>
          <w:szCs w:val="24"/>
        </w:rPr>
        <w:t>hr</w:t>
      </w:r>
      <w:proofErr w:type="spellEnd"/>
      <w:r w:rsidRPr="0094555B">
        <w:rPr>
          <w:rFonts w:ascii="Times New Roman" w:hAnsi="Times New Roman" w:cs="Times New Roman"/>
          <w:iCs/>
          <w:sz w:val="24"/>
          <w:szCs w:val="24"/>
        </w:rPr>
        <w:t xml:space="preserve">) + (30 x </w:t>
      </w:r>
      <w:r w:rsidRPr="0094555B" w:rsidR="00773C0B">
        <w:rPr>
          <w:rFonts w:ascii="Times New Roman" w:hAnsi="Times New Roman" w:cs="Times New Roman"/>
          <w:iCs/>
          <w:sz w:val="24"/>
          <w:szCs w:val="24"/>
        </w:rPr>
        <w:t>$7</w:t>
      </w:r>
      <w:r w:rsidR="000D5530">
        <w:rPr>
          <w:rFonts w:ascii="Times New Roman" w:hAnsi="Times New Roman" w:cs="Times New Roman"/>
          <w:iCs/>
          <w:sz w:val="24"/>
          <w:szCs w:val="24"/>
        </w:rPr>
        <w:t>5.32</w:t>
      </w:r>
      <w:r w:rsidRPr="0094555B">
        <w:rPr>
          <w:rFonts w:ascii="Times New Roman" w:hAnsi="Times New Roman" w:cs="Times New Roman"/>
          <w:iCs/>
          <w:sz w:val="24"/>
          <w:szCs w:val="24"/>
        </w:rPr>
        <w:t>/</w:t>
      </w:r>
      <w:proofErr w:type="spellStart"/>
      <w:r w:rsidRPr="0094555B">
        <w:rPr>
          <w:rFonts w:ascii="Times New Roman" w:hAnsi="Times New Roman" w:cs="Times New Roman"/>
          <w:iCs/>
          <w:sz w:val="24"/>
          <w:szCs w:val="24"/>
        </w:rPr>
        <w:t>hr</w:t>
      </w:r>
      <w:proofErr w:type="spellEnd"/>
      <w:r w:rsidRPr="0094555B">
        <w:rPr>
          <w:rFonts w:ascii="Times New Roman" w:hAnsi="Times New Roman" w:cs="Times New Roman"/>
          <w:iCs/>
          <w:sz w:val="24"/>
          <w:szCs w:val="24"/>
        </w:rPr>
        <w:t>) + (5 x $</w:t>
      </w:r>
      <w:r w:rsidRPr="0094555B" w:rsidR="00C472DA">
        <w:rPr>
          <w:rFonts w:ascii="Times New Roman" w:hAnsi="Times New Roman" w:cs="Times New Roman"/>
          <w:iCs/>
          <w:sz w:val="24"/>
          <w:szCs w:val="24"/>
        </w:rPr>
        <w:t>10</w:t>
      </w:r>
      <w:r w:rsidR="000D5530">
        <w:rPr>
          <w:rFonts w:ascii="Times New Roman" w:hAnsi="Times New Roman" w:cs="Times New Roman"/>
          <w:iCs/>
          <w:sz w:val="24"/>
          <w:szCs w:val="24"/>
        </w:rPr>
        <w:t>5.72</w:t>
      </w:r>
      <w:r w:rsidRPr="0094555B">
        <w:rPr>
          <w:rFonts w:ascii="Times New Roman" w:hAnsi="Times New Roman" w:cs="Times New Roman"/>
          <w:iCs/>
          <w:sz w:val="24"/>
          <w:szCs w:val="24"/>
        </w:rPr>
        <w:t>/</w:t>
      </w:r>
      <w:proofErr w:type="spellStart"/>
      <w:r w:rsidRPr="0094555B">
        <w:rPr>
          <w:rFonts w:ascii="Times New Roman" w:hAnsi="Times New Roman" w:cs="Times New Roman"/>
          <w:iCs/>
          <w:sz w:val="24"/>
          <w:szCs w:val="24"/>
        </w:rPr>
        <w:t>hr</w:t>
      </w:r>
      <w:proofErr w:type="spellEnd"/>
      <w:r w:rsidRPr="0094555B">
        <w:rPr>
          <w:rFonts w:ascii="Times New Roman" w:hAnsi="Times New Roman" w:cs="Times New Roman"/>
          <w:iCs/>
          <w:sz w:val="24"/>
          <w:szCs w:val="24"/>
        </w:rPr>
        <w:t xml:space="preserve">))]. </w:t>
      </w:r>
      <w:r w:rsidRPr="0094555B">
        <w:rPr>
          <w:rFonts w:ascii="Times New Roman" w:hAnsi="Times New Roman" w:cs="Times New Roman"/>
          <w:b/>
          <w:iCs/>
          <w:sz w:val="24"/>
          <w:szCs w:val="24"/>
        </w:rPr>
        <w:t>(</w:t>
      </w:r>
      <w:r w:rsidRPr="0094555B" w:rsidR="005F5165">
        <w:rPr>
          <w:rFonts w:ascii="Times New Roman" w:hAnsi="Times New Roman" w:cs="Times New Roman"/>
          <w:b/>
          <w:iCs/>
          <w:sz w:val="24"/>
          <w:szCs w:val="24"/>
        </w:rPr>
        <w:t>ESTIMATE</w:t>
      </w:r>
      <w:r w:rsidRPr="0094555B">
        <w:rPr>
          <w:rFonts w:ascii="Times New Roman" w:hAnsi="Times New Roman" w:cs="Times New Roman"/>
          <w:b/>
          <w:iCs/>
          <w:sz w:val="24"/>
          <w:szCs w:val="24"/>
        </w:rPr>
        <w:t xml:space="preserve"> 12.25)</w:t>
      </w:r>
    </w:p>
    <w:p w:rsidRPr="0094555B" w:rsidR="00624B15" w:rsidP="0094555B" w:rsidRDefault="00624B15" w14:paraId="515F892F" w14:textId="6001EDCE">
      <w:pPr>
        <w:rPr>
          <w:rFonts w:ascii="Times New Roman" w:hAnsi="Times New Roman" w:cs="Times New Roman"/>
          <w:iCs/>
          <w:sz w:val="24"/>
          <w:szCs w:val="24"/>
        </w:rPr>
      </w:pPr>
      <w:r w:rsidRPr="0094555B">
        <w:rPr>
          <w:rFonts w:ascii="Times New Roman" w:hAnsi="Times New Roman" w:cs="Times New Roman"/>
          <w:iCs/>
          <w:sz w:val="24"/>
          <w:szCs w:val="24"/>
        </w:rPr>
        <w:t xml:space="preserve">Section 438.66(e)(1) and (2) requires that states submit an annual program assessment report to CMS covering the topics listed in §438.66(e)(2).  The data collected for §438.66(b) and the utilization of the data in §438.66(c) will be used to compile this report.  We estimate an annual state burden of 6 </w:t>
      </w:r>
      <w:proofErr w:type="spellStart"/>
      <w:r w:rsidRPr="0094555B">
        <w:rPr>
          <w:rFonts w:ascii="Times New Roman" w:hAnsi="Times New Roman" w:cs="Times New Roman"/>
          <w:iCs/>
          <w:sz w:val="24"/>
          <w:szCs w:val="24"/>
        </w:rPr>
        <w:t>hr</w:t>
      </w:r>
      <w:proofErr w:type="spellEnd"/>
      <w:r w:rsidRPr="0094555B">
        <w:rPr>
          <w:rFonts w:ascii="Times New Roman" w:hAnsi="Times New Roman" w:cs="Times New Roman"/>
          <w:iCs/>
          <w:sz w:val="24"/>
          <w:szCs w:val="24"/>
        </w:rPr>
        <w:t xml:space="preserve"> at </w:t>
      </w:r>
      <w:r w:rsidRPr="0094555B" w:rsidR="00773C0B">
        <w:rPr>
          <w:rFonts w:ascii="Times New Roman" w:hAnsi="Times New Roman" w:cs="Times New Roman"/>
          <w:iCs/>
          <w:sz w:val="24"/>
          <w:szCs w:val="24"/>
        </w:rPr>
        <w:t>$7</w:t>
      </w:r>
      <w:r w:rsidRPr="0094555B" w:rsidR="00C472DA">
        <w:rPr>
          <w:rFonts w:ascii="Times New Roman" w:hAnsi="Times New Roman" w:cs="Times New Roman"/>
          <w:iCs/>
          <w:sz w:val="24"/>
          <w:szCs w:val="24"/>
        </w:rPr>
        <w:t>2.62</w:t>
      </w:r>
      <w:r w:rsidRPr="0094555B">
        <w:rPr>
          <w:rFonts w:ascii="Times New Roman" w:hAnsi="Times New Roman" w:cs="Times New Roman"/>
          <w:iCs/>
          <w:sz w:val="24"/>
          <w:szCs w:val="24"/>
        </w:rPr>
        <w:t>/</w:t>
      </w:r>
      <w:proofErr w:type="spellStart"/>
      <w:r w:rsidRPr="0094555B">
        <w:rPr>
          <w:rFonts w:ascii="Times New Roman" w:hAnsi="Times New Roman" w:cs="Times New Roman"/>
          <w:iCs/>
          <w:sz w:val="24"/>
          <w:szCs w:val="24"/>
        </w:rPr>
        <w:t>hr</w:t>
      </w:r>
      <w:proofErr w:type="spellEnd"/>
      <w:r w:rsidRPr="0094555B">
        <w:rPr>
          <w:rFonts w:ascii="Times New Roman" w:hAnsi="Times New Roman" w:cs="Times New Roman"/>
          <w:iCs/>
          <w:sz w:val="24"/>
          <w:szCs w:val="24"/>
        </w:rPr>
        <w:t xml:space="preserve"> for a business operations specialist to compile and submit this report to CMS.  In aggregate, we estimate an annual state burden of </w:t>
      </w:r>
      <w:r w:rsidRPr="0094555B">
        <w:rPr>
          <w:rFonts w:ascii="Times New Roman" w:hAnsi="Times New Roman" w:cs="Times New Roman"/>
          <w:b/>
          <w:iCs/>
          <w:sz w:val="24"/>
          <w:szCs w:val="24"/>
        </w:rPr>
        <w:t>2</w:t>
      </w:r>
      <w:r w:rsidRPr="0094555B" w:rsidR="00C472DA">
        <w:rPr>
          <w:rFonts w:ascii="Times New Roman" w:hAnsi="Times New Roman" w:cs="Times New Roman"/>
          <w:b/>
          <w:iCs/>
          <w:sz w:val="24"/>
          <w:szCs w:val="24"/>
        </w:rPr>
        <w:t>46</w:t>
      </w:r>
      <w:r w:rsidRPr="0094555B">
        <w:rPr>
          <w:rFonts w:ascii="Times New Roman" w:hAnsi="Times New Roman" w:cs="Times New Roman"/>
          <w:b/>
          <w:iCs/>
          <w:sz w:val="24"/>
          <w:szCs w:val="24"/>
        </w:rPr>
        <w:t xml:space="preserve"> </w:t>
      </w:r>
      <w:proofErr w:type="spellStart"/>
      <w:r w:rsidRPr="0094555B">
        <w:rPr>
          <w:rFonts w:ascii="Times New Roman" w:hAnsi="Times New Roman" w:cs="Times New Roman"/>
          <w:b/>
          <w:iCs/>
          <w:sz w:val="24"/>
          <w:szCs w:val="24"/>
        </w:rPr>
        <w:t>hr</w:t>
      </w:r>
      <w:proofErr w:type="spellEnd"/>
      <w:r w:rsidRPr="0094555B">
        <w:rPr>
          <w:rFonts w:ascii="Times New Roman" w:hAnsi="Times New Roman" w:cs="Times New Roman"/>
          <w:iCs/>
          <w:sz w:val="24"/>
          <w:szCs w:val="24"/>
        </w:rPr>
        <w:t xml:space="preserve"> (4</w:t>
      </w:r>
      <w:r w:rsidRPr="0094555B" w:rsidR="00C472DA">
        <w:rPr>
          <w:rFonts w:ascii="Times New Roman" w:hAnsi="Times New Roman" w:cs="Times New Roman"/>
          <w:iCs/>
          <w:sz w:val="24"/>
          <w:szCs w:val="24"/>
        </w:rPr>
        <w:t>1</w:t>
      </w:r>
      <w:r w:rsidRPr="0094555B">
        <w:rPr>
          <w:rFonts w:ascii="Times New Roman" w:hAnsi="Times New Roman" w:cs="Times New Roman"/>
          <w:iCs/>
          <w:sz w:val="24"/>
          <w:szCs w:val="24"/>
        </w:rPr>
        <w:t xml:space="preserve"> states x 6 </w:t>
      </w:r>
      <w:proofErr w:type="spellStart"/>
      <w:r w:rsidRPr="0094555B">
        <w:rPr>
          <w:rFonts w:ascii="Times New Roman" w:hAnsi="Times New Roman" w:cs="Times New Roman"/>
          <w:iCs/>
          <w:sz w:val="24"/>
          <w:szCs w:val="24"/>
        </w:rPr>
        <w:t>hr</w:t>
      </w:r>
      <w:proofErr w:type="spellEnd"/>
      <w:r w:rsidRPr="0094555B">
        <w:rPr>
          <w:rFonts w:ascii="Times New Roman" w:hAnsi="Times New Roman" w:cs="Times New Roman"/>
          <w:iCs/>
          <w:sz w:val="24"/>
          <w:szCs w:val="24"/>
        </w:rPr>
        <w:t xml:space="preserve">) and </w:t>
      </w:r>
      <w:r w:rsidRPr="0094555B">
        <w:rPr>
          <w:rFonts w:ascii="Times New Roman" w:hAnsi="Times New Roman" w:cs="Times New Roman"/>
          <w:b/>
          <w:iCs/>
          <w:sz w:val="24"/>
          <w:szCs w:val="24"/>
        </w:rPr>
        <w:t>$1</w:t>
      </w:r>
      <w:r w:rsidR="000D5530">
        <w:rPr>
          <w:rFonts w:ascii="Times New Roman" w:hAnsi="Times New Roman" w:cs="Times New Roman"/>
          <w:b/>
          <w:iCs/>
          <w:sz w:val="24"/>
          <w:szCs w:val="24"/>
        </w:rPr>
        <w:t>8,529</w:t>
      </w:r>
      <w:r w:rsidRPr="0094555B">
        <w:rPr>
          <w:rFonts w:ascii="Times New Roman" w:hAnsi="Times New Roman" w:cs="Times New Roman"/>
          <w:iCs/>
          <w:sz w:val="24"/>
          <w:szCs w:val="24"/>
        </w:rPr>
        <w:t xml:space="preserve"> (2</w:t>
      </w:r>
      <w:r w:rsidRPr="0094555B" w:rsidR="00C472DA">
        <w:rPr>
          <w:rFonts w:ascii="Times New Roman" w:hAnsi="Times New Roman" w:cs="Times New Roman"/>
          <w:iCs/>
          <w:sz w:val="24"/>
          <w:szCs w:val="24"/>
        </w:rPr>
        <w:t>46</w:t>
      </w:r>
      <w:r w:rsidRPr="0094555B">
        <w:rPr>
          <w:rFonts w:ascii="Times New Roman" w:hAnsi="Times New Roman" w:cs="Times New Roman"/>
          <w:iCs/>
          <w:sz w:val="24"/>
          <w:szCs w:val="24"/>
        </w:rPr>
        <w:t xml:space="preserve"> </w:t>
      </w:r>
      <w:proofErr w:type="spellStart"/>
      <w:r w:rsidRPr="0094555B">
        <w:rPr>
          <w:rFonts w:ascii="Times New Roman" w:hAnsi="Times New Roman" w:cs="Times New Roman"/>
          <w:iCs/>
          <w:sz w:val="24"/>
          <w:szCs w:val="24"/>
        </w:rPr>
        <w:t>hr</w:t>
      </w:r>
      <w:proofErr w:type="spellEnd"/>
      <w:r w:rsidRPr="0094555B">
        <w:rPr>
          <w:rFonts w:ascii="Times New Roman" w:hAnsi="Times New Roman" w:cs="Times New Roman"/>
          <w:iCs/>
          <w:sz w:val="24"/>
          <w:szCs w:val="24"/>
        </w:rPr>
        <w:t xml:space="preserve"> x </w:t>
      </w:r>
      <w:r w:rsidRPr="0094555B" w:rsidR="00773C0B">
        <w:rPr>
          <w:rFonts w:ascii="Times New Roman" w:hAnsi="Times New Roman" w:cs="Times New Roman"/>
          <w:iCs/>
          <w:sz w:val="24"/>
          <w:szCs w:val="24"/>
        </w:rPr>
        <w:t>$7</w:t>
      </w:r>
      <w:r w:rsidR="000D5530">
        <w:rPr>
          <w:rFonts w:ascii="Times New Roman" w:hAnsi="Times New Roman" w:cs="Times New Roman"/>
          <w:iCs/>
          <w:sz w:val="24"/>
          <w:szCs w:val="24"/>
        </w:rPr>
        <w:t>5.32</w:t>
      </w:r>
      <w:r w:rsidRPr="0094555B">
        <w:rPr>
          <w:rFonts w:ascii="Times New Roman" w:hAnsi="Times New Roman" w:cs="Times New Roman"/>
          <w:iCs/>
          <w:sz w:val="24"/>
          <w:szCs w:val="24"/>
        </w:rPr>
        <w:t>/</w:t>
      </w:r>
      <w:proofErr w:type="spellStart"/>
      <w:r w:rsidRPr="0094555B">
        <w:rPr>
          <w:rFonts w:ascii="Times New Roman" w:hAnsi="Times New Roman" w:cs="Times New Roman"/>
          <w:iCs/>
          <w:sz w:val="24"/>
          <w:szCs w:val="24"/>
        </w:rPr>
        <w:t>hr</w:t>
      </w:r>
      <w:proofErr w:type="spellEnd"/>
      <w:r w:rsidRPr="0094555B">
        <w:rPr>
          <w:rFonts w:ascii="Times New Roman" w:hAnsi="Times New Roman" w:cs="Times New Roman"/>
          <w:iCs/>
          <w:sz w:val="24"/>
          <w:szCs w:val="24"/>
        </w:rPr>
        <w:t xml:space="preserve">). </w:t>
      </w:r>
      <w:r w:rsidRPr="0094555B">
        <w:rPr>
          <w:rFonts w:ascii="Times New Roman" w:hAnsi="Times New Roman" w:cs="Times New Roman"/>
          <w:b/>
          <w:iCs/>
          <w:sz w:val="24"/>
          <w:szCs w:val="24"/>
        </w:rPr>
        <w:t>(</w:t>
      </w:r>
      <w:r w:rsidRPr="0094555B" w:rsidR="005F5165">
        <w:rPr>
          <w:rFonts w:ascii="Times New Roman" w:hAnsi="Times New Roman" w:cs="Times New Roman"/>
          <w:b/>
          <w:iCs/>
          <w:sz w:val="24"/>
          <w:szCs w:val="24"/>
        </w:rPr>
        <w:t>ESTIMATE</w:t>
      </w:r>
      <w:r w:rsidRPr="0094555B">
        <w:rPr>
          <w:rFonts w:ascii="Times New Roman" w:hAnsi="Times New Roman" w:cs="Times New Roman"/>
          <w:b/>
          <w:iCs/>
          <w:sz w:val="24"/>
          <w:szCs w:val="24"/>
        </w:rPr>
        <w:t xml:space="preserve"> 12.26)</w:t>
      </w:r>
    </w:p>
    <w:p w:rsidRPr="0094555B" w:rsidR="00332B7B" w:rsidP="0094555B" w:rsidRDefault="00624B15" w14:paraId="75C6B380" w14:textId="77777777">
      <w:pPr>
        <w:rPr>
          <w:rFonts w:ascii="Times New Roman" w:hAnsi="Times New Roman" w:cs="Times New Roman"/>
          <w:sz w:val="24"/>
          <w:szCs w:val="24"/>
        </w:rPr>
      </w:pPr>
      <w:r w:rsidRPr="0094555B">
        <w:rPr>
          <w:rFonts w:ascii="Times New Roman" w:hAnsi="Times New Roman" w:cs="Times New Roman"/>
          <w:sz w:val="24"/>
          <w:szCs w:val="24"/>
          <w:u w:val="single"/>
        </w:rPr>
        <w:t>Section 438.68 Network adequacy standards</w:t>
      </w:r>
      <w:r w:rsidRPr="0094555B">
        <w:rPr>
          <w:rFonts w:ascii="Times New Roman" w:hAnsi="Times New Roman" w:cs="Times New Roman"/>
          <w:sz w:val="24"/>
          <w:szCs w:val="24"/>
        </w:rPr>
        <w:t xml:space="preserve"> </w:t>
      </w:r>
    </w:p>
    <w:p w:rsidRPr="0094555B" w:rsidR="00624B15" w:rsidP="0094555B" w:rsidRDefault="00624B15" w14:paraId="591EBAC5" w14:textId="6FCEA75E">
      <w:pPr>
        <w:rPr>
          <w:rFonts w:ascii="Times New Roman" w:hAnsi="Times New Roman" w:cs="Times New Roman"/>
          <w:iCs/>
          <w:sz w:val="24"/>
          <w:szCs w:val="24"/>
        </w:rPr>
      </w:pPr>
      <w:r w:rsidRPr="0094555B">
        <w:rPr>
          <w:rFonts w:ascii="Times New Roman" w:hAnsi="Times New Roman" w:cs="Times New Roman"/>
          <w:sz w:val="24"/>
          <w:szCs w:val="24"/>
        </w:rPr>
        <w:t>Section</w:t>
      </w:r>
      <w:r w:rsidRPr="0094555B">
        <w:rPr>
          <w:rFonts w:ascii="Times New Roman" w:hAnsi="Times New Roman" w:cs="Times New Roman"/>
          <w:iCs/>
          <w:sz w:val="24"/>
          <w:szCs w:val="24"/>
        </w:rPr>
        <w:t xml:space="preserve"> 438.68(a) requires that states set network adequacy standards that each MCO, PIHP and PAHP must follow.  Section 438.68(b) and (c) would require that states set </w:t>
      </w:r>
      <w:r w:rsidRPr="0094555B" w:rsidR="00881983">
        <w:rPr>
          <w:rFonts w:ascii="Times New Roman" w:hAnsi="Times New Roman" w:cs="Times New Roman"/>
          <w:iCs/>
          <w:sz w:val="24"/>
          <w:szCs w:val="24"/>
        </w:rPr>
        <w:t xml:space="preserve">quantitative </w:t>
      </w:r>
      <w:r w:rsidRPr="0094555B">
        <w:rPr>
          <w:rFonts w:ascii="Times New Roman" w:hAnsi="Times New Roman" w:cs="Times New Roman"/>
          <w:iCs/>
          <w:sz w:val="24"/>
          <w:szCs w:val="24"/>
        </w:rPr>
        <w:t xml:space="preserve">standards for specific provider types and must develop network standards for LTSS if the MCO, PIHP or PAHP has those benefits covered through their contract.  </w:t>
      </w:r>
    </w:p>
    <w:p w:rsidRPr="0094555B" w:rsidR="00624B15" w:rsidP="0094555B" w:rsidRDefault="00624B15" w14:paraId="07AA4F74" w14:textId="5E37A47D">
      <w:pPr>
        <w:rPr>
          <w:rFonts w:ascii="Times New Roman" w:hAnsi="Times New Roman" w:cs="Times New Roman"/>
          <w:iCs/>
          <w:sz w:val="24"/>
          <w:szCs w:val="24"/>
        </w:rPr>
      </w:pPr>
      <w:r w:rsidRPr="0094555B">
        <w:rPr>
          <w:rFonts w:ascii="Times New Roman" w:hAnsi="Times New Roman" w:cs="Times New Roman"/>
          <w:iCs/>
          <w:sz w:val="24"/>
          <w:szCs w:val="24"/>
        </w:rPr>
        <w:t>States’ review and reporting on exceptions granted through the process developed in §438.68(d) is estimated under §438.6</w:t>
      </w:r>
      <w:r w:rsidRPr="0094555B" w:rsidR="00881983">
        <w:rPr>
          <w:rFonts w:ascii="Times New Roman" w:hAnsi="Times New Roman" w:cs="Times New Roman"/>
          <w:iCs/>
          <w:sz w:val="24"/>
          <w:szCs w:val="24"/>
        </w:rPr>
        <w:t>8</w:t>
      </w:r>
      <w:r w:rsidRPr="0094555B">
        <w:rPr>
          <w:rFonts w:ascii="Times New Roman" w:hAnsi="Times New Roman" w:cs="Times New Roman"/>
          <w:iCs/>
          <w:sz w:val="24"/>
          <w:szCs w:val="24"/>
        </w:rPr>
        <w:t xml:space="preserve"> so we do not estimate any additional burden for this requirement.</w:t>
      </w:r>
      <w:r w:rsidRPr="0094555B" w:rsidR="0029791B">
        <w:rPr>
          <w:rFonts w:ascii="Times New Roman" w:hAnsi="Times New Roman" w:cs="Times New Roman"/>
          <w:iCs/>
          <w:sz w:val="24"/>
          <w:szCs w:val="24"/>
        </w:rPr>
        <w:t xml:space="preserve"> </w:t>
      </w:r>
    </w:p>
    <w:p w:rsidRPr="0094555B" w:rsidR="00332B7B" w:rsidP="0094555B" w:rsidRDefault="00624B15" w14:paraId="5B256F35" w14:textId="77777777">
      <w:pPr>
        <w:rPr>
          <w:rFonts w:ascii="Times New Roman" w:hAnsi="Times New Roman" w:cs="Times New Roman"/>
          <w:sz w:val="24"/>
          <w:szCs w:val="24"/>
        </w:rPr>
      </w:pPr>
      <w:r w:rsidRPr="0094555B">
        <w:rPr>
          <w:rFonts w:ascii="Times New Roman" w:hAnsi="Times New Roman" w:cs="Times New Roman"/>
          <w:sz w:val="24"/>
          <w:szCs w:val="24"/>
          <w:u w:val="single"/>
        </w:rPr>
        <w:t>Section 438.70 Stakeholder engagement when LTSS is delivered through a managed care program</w:t>
      </w:r>
      <w:r w:rsidRPr="0094555B">
        <w:rPr>
          <w:rFonts w:ascii="Times New Roman" w:hAnsi="Times New Roman" w:cs="Times New Roman"/>
          <w:sz w:val="24"/>
          <w:szCs w:val="24"/>
        </w:rPr>
        <w:t xml:space="preserve"> </w:t>
      </w:r>
    </w:p>
    <w:p w:rsidRPr="0094555B" w:rsidR="00624B15" w:rsidP="0094555B" w:rsidRDefault="00624B15" w14:paraId="2BB6C8D8" w14:textId="6585DABD">
      <w:pPr>
        <w:rPr>
          <w:rFonts w:ascii="Times New Roman" w:hAnsi="Times New Roman" w:cs="Times New Roman"/>
          <w:sz w:val="24"/>
          <w:szCs w:val="24"/>
        </w:rPr>
      </w:pPr>
      <w:r w:rsidRPr="0094555B">
        <w:rPr>
          <w:rFonts w:ascii="Times New Roman" w:hAnsi="Times New Roman" w:cs="Times New Roman"/>
          <w:sz w:val="24"/>
          <w:szCs w:val="24"/>
        </w:rPr>
        <w:t>Section 438.70(c) requires that states continue to solicit and address public input for oversight purposes.  Existing MLTSS programs already meet this requirement and we estimate no more than 14 new programs will be established by states.</w:t>
      </w:r>
    </w:p>
    <w:p w:rsidRPr="0094555B" w:rsidR="00624B15" w:rsidP="0094555B" w:rsidRDefault="00624B15" w14:paraId="1E43C6AF" w14:textId="73E788F4">
      <w:pPr>
        <w:rPr>
          <w:rFonts w:ascii="Times New Roman" w:hAnsi="Times New Roman" w:cs="Times New Roman"/>
          <w:sz w:val="24"/>
          <w:szCs w:val="24"/>
        </w:rPr>
      </w:pPr>
      <w:r w:rsidRPr="0094555B">
        <w:rPr>
          <w:rFonts w:ascii="Times New Roman" w:hAnsi="Times New Roman" w:cs="Times New Roman"/>
          <w:sz w:val="24"/>
          <w:szCs w:val="24"/>
        </w:rPr>
        <w:lastRenderedPageBreak/>
        <w:t xml:space="preserve">We estimate an annual state burden of 4 </w:t>
      </w:r>
      <w:proofErr w:type="spellStart"/>
      <w:r w:rsidRPr="0094555B">
        <w:rPr>
          <w:rFonts w:ascii="Times New Roman" w:hAnsi="Times New Roman" w:cs="Times New Roman"/>
          <w:sz w:val="24"/>
          <w:szCs w:val="24"/>
        </w:rPr>
        <w:t>hr</w:t>
      </w:r>
      <w:proofErr w:type="spellEnd"/>
      <w:r w:rsidRPr="0094555B">
        <w:rPr>
          <w:rFonts w:ascii="Times New Roman" w:hAnsi="Times New Roman" w:cs="Times New Roman"/>
          <w:sz w:val="24"/>
          <w:szCs w:val="24"/>
        </w:rPr>
        <w:t xml:space="preserve"> at </w:t>
      </w:r>
      <w:r w:rsidRPr="0094555B" w:rsidR="00773C0B">
        <w:rPr>
          <w:rFonts w:ascii="Times New Roman" w:hAnsi="Times New Roman" w:cs="Times New Roman"/>
          <w:sz w:val="24"/>
          <w:szCs w:val="24"/>
        </w:rPr>
        <w:t>$7</w:t>
      </w:r>
      <w:r w:rsidR="00B337D7">
        <w:rPr>
          <w:rFonts w:ascii="Times New Roman" w:hAnsi="Times New Roman" w:cs="Times New Roman"/>
          <w:sz w:val="24"/>
          <w:szCs w:val="24"/>
        </w:rPr>
        <w:t>5.32</w:t>
      </w:r>
      <w:r w:rsidRPr="0094555B">
        <w:rPr>
          <w:rFonts w:ascii="Times New Roman" w:hAnsi="Times New Roman" w:cs="Times New Roman"/>
          <w:sz w:val="24"/>
          <w:szCs w:val="24"/>
        </w:rPr>
        <w:t>/</w:t>
      </w:r>
      <w:proofErr w:type="spellStart"/>
      <w:r w:rsidRPr="0094555B">
        <w:rPr>
          <w:rFonts w:ascii="Times New Roman" w:hAnsi="Times New Roman" w:cs="Times New Roman"/>
          <w:sz w:val="24"/>
          <w:szCs w:val="24"/>
        </w:rPr>
        <w:t>hr</w:t>
      </w:r>
      <w:proofErr w:type="spellEnd"/>
      <w:r w:rsidRPr="0094555B">
        <w:rPr>
          <w:rFonts w:ascii="Times New Roman" w:hAnsi="Times New Roman" w:cs="Times New Roman"/>
          <w:sz w:val="24"/>
          <w:szCs w:val="24"/>
        </w:rPr>
        <w:t xml:space="preserve"> for a business operations specialist to perform this task.  In aggregate, we estimate </w:t>
      </w:r>
      <w:r w:rsidRPr="0094555B" w:rsidR="005C5A0F">
        <w:rPr>
          <w:rFonts w:ascii="Times New Roman" w:hAnsi="Times New Roman" w:cs="Times New Roman"/>
          <w:sz w:val="24"/>
          <w:szCs w:val="24"/>
        </w:rPr>
        <w:t xml:space="preserve">an annual state burden of </w:t>
      </w:r>
      <w:r w:rsidRPr="0094555B">
        <w:rPr>
          <w:rFonts w:ascii="Times New Roman" w:hAnsi="Times New Roman" w:cs="Times New Roman"/>
          <w:b/>
          <w:sz w:val="24"/>
          <w:szCs w:val="24"/>
        </w:rPr>
        <w:t xml:space="preserve">56 </w:t>
      </w:r>
      <w:proofErr w:type="spellStart"/>
      <w:r w:rsidRPr="0094555B">
        <w:rPr>
          <w:rFonts w:ascii="Times New Roman" w:hAnsi="Times New Roman" w:cs="Times New Roman"/>
          <w:b/>
          <w:sz w:val="24"/>
          <w:szCs w:val="24"/>
        </w:rPr>
        <w:t>hr</w:t>
      </w:r>
      <w:proofErr w:type="spellEnd"/>
      <w:r w:rsidRPr="0094555B">
        <w:rPr>
          <w:rFonts w:ascii="Times New Roman" w:hAnsi="Times New Roman" w:cs="Times New Roman"/>
          <w:sz w:val="24"/>
          <w:szCs w:val="24"/>
        </w:rPr>
        <w:t xml:space="preserve"> (14 states x 4 </w:t>
      </w:r>
      <w:proofErr w:type="spellStart"/>
      <w:r w:rsidRPr="0094555B">
        <w:rPr>
          <w:rFonts w:ascii="Times New Roman" w:hAnsi="Times New Roman" w:cs="Times New Roman"/>
          <w:sz w:val="24"/>
          <w:szCs w:val="24"/>
        </w:rPr>
        <w:t>hr</w:t>
      </w:r>
      <w:proofErr w:type="spellEnd"/>
      <w:r w:rsidRPr="0094555B">
        <w:rPr>
          <w:rFonts w:ascii="Times New Roman" w:hAnsi="Times New Roman" w:cs="Times New Roman"/>
          <w:sz w:val="24"/>
          <w:szCs w:val="24"/>
        </w:rPr>
        <w:t xml:space="preserve">) and </w:t>
      </w:r>
      <w:r w:rsidRPr="0094555B">
        <w:rPr>
          <w:rFonts w:ascii="Times New Roman" w:hAnsi="Times New Roman" w:cs="Times New Roman"/>
          <w:b/>
          <w:sz w:val="24"/>
          <w:szCs w:val="24"/>
        </w:rPr>
        <w:t>$</w:t>
      </w:r>
      <w:r w:rsidRPr="0094555B" w:rsidR="00C472DA">
        <w:rPr>
          <w:rFonts w:ascii="Times New Roman" w:hAnsi="Times New Roman" w:cs="Times New Roman"/>
          <w:b/>
          <w:sz w:val="24"/>
          <w:szCs w:val="24"/>
        </w:rPr>
        <w:t>4</w:t>
      </w:r>
      <w:r w:rsidRPr="0094555B" w:rsidR="000C24E5">
        <w:rPr>
          <w:rFonts w:ascii="Times New Roman" w:hAnsi="Times New Roman" w:cs="Times New Roman"/>
          <w:b/>
          <w:sz w:val="24"/>
          <w:szCs w:val="24"/>
        </w:rPr>
        <w:t>,</w:t>
      </w:r>
      <w:r w:rsidR="00B337D7">
        <w:rPr>
          <w:rFonts w:ascii="Times New Roman" w:hAnsi="Times New Roman" w:cs="Times New Roman"/>
          <w:b/>
          <w:sz w:val="24"/>
          <w:szCs w:val="24"/>
        </w:rPr>
        <w:t>218</w:t>
      </w:r>
      <w:r w:rsidRPr="0094555B">
        <w:rPr>
          <w:rFonts w:ascii="Times New Roman" w:hAnsi="Times New Roman" w:cs="Times New Roman"/>
          <w:sz w:val="24"/>
          <w:szCs w:val="24"/>
        </w:rPr>
        <w:t xml:space="preserve"> (</w:t>
      </w:r>
      <w:r w:rsidRPr="0094555B" w:rsidR="00C472DA">
        <w:rPr>
          <w:rFonts w:ascii="Times New Roman" w:hAnsi="Times New Roman" w:cs="Times New Roman"/>
          <w:sz w:val="24"/>
          <w:szCs w:val="24"/>
        </w:rPr>
        <w:t>56</w:t>
      </w:r>
      <w:r w:rsidRPr="0094555B">
        <w:rPr>
          <w:rFonts w:ascii="Times New Roman" w:hAnsi="Times New Roman" w:cs="Times New Roman"/>
          <w:sz w:val="24"/>
          <w:szCs w:val="24"/>
        </w:rPr>
        <w:t xml:space="preserve"> </w:t>
      </w:r>
      <w:proofErr w:type="spellStart"/>
      <w:r w:rsidRPr="0094555B">
        <w:rPr>
          <w:rFonts w:ascii="Times New Roman" w:hAnsi="Times New Roman" w:cs="Times New Roman"/>
          <w:sz w:val="24"/>
          <w:szCs w:val="24"/>
        </w:rPr>
        <w:t>hr</w:t>
      </w:r>
      <w:proofErr w:type="spellEnd"/>
      <w:r w:rsidRPr="0094555B">
        <w:rPr>
          <w:rFonts w:ascii="Times New Roman" w:hAnsi="Times New Roman" w:cs="Times New Roman"/>
          <w:sz w:val="24"/>
          <w:szCs w:val="24"/>
        </w:rPr>
        <w:t xml:space="preserve"> x </w:t>
      </w:r>
      <w:r w:rsidRPr="0094555B" w:rsidR="00773C0B">
        <w:rPr>
          <w:rFonts w:ascii="Times New Roman" w:hAnsi="Times New Roman" w:cs="Times New Roman"/>
          <w:sz w:val="24"/>
          <w:szCs w:val="24"/>
        </w:rPr>
        <w:t>$7</w:t>
      </w:r>
      <w:r w:rsidR="00B337D7">
        <w:rPr>
          <w:rFonts w:ascii="Times New Roman" w:hAnsi="Times New Roman" w:cs="Times New Roman"/>
          <w:sz w:val="24"/>
          <w:szCs w:val="24"/>
        </w:rPr>
        <w:t>5.32</w:t>
      </w:r>
      <w:r w:rsidRPr="0094555B">
        <w:rPr>
          <w:rFonts w:ascii="Times New Roman" w:hAnsi="Times New Roman" w:cs="Times New Roman"/>
          <w:sz w:val="24"/>
          <w:szCs w:val="24"/>
        </w:rPr>
        <w:t>/</w:t>
      </w:r>
      <w:proofErr w:type="spellStart"/>
      <w:r w:rsidRPr="0094555B">
        <w:rPr>
          <w:rFonts w:ascii="Times New Roman" w:hAnsi="Times New Roman" w:cs="Times New Roman"/>
          <w:sz w:val="24"/>
          <w:szCs w:val="24"/>
        </w:rPr>
        <w:t>hr</w:t>
      </w:r>
      <w:proofErr w:type="spellEnd"/>
      <w:r w:rsidRPr="0094555B">
        <w:rPr>
          <w:rFonts w:ascii="Times New Roman" w:hAnsi="Times New Roman" w:cs="Times New Roman"/>
          <w:sz w:val="24"/>
          <w:szCs w:val="24"/>
        </w:rPr>
        <w:t xml:space="preserve">). </w:t>
      </w:r>
      <w:r w:rsidRPr="0094555B">
        <w:rPr>
          <w:rFonts w:ascii="Times New Roman" w:hAnsi="Times New Roman" w:cs="Times New Roman"/>
          <w:b/>
          <w:iCs/>
          <w:sz w:val="24"/>
          <w:szCs w:val="24"/>
        </w:rPr>
        <w:t>(</w:t>
      </w:r>
      <w:r w:rsidRPr="0094555B" w:rsidR="005F5165">
        <w:rPr>
          <w:rFonts w:ascii="Times New Roman" w:hAnsi="Times New Roman" w:cs="Times New Roman"/>
          <w:b/>
          <w:iCs/>
          <w:sz w:val="24"/>
          <w:szCs w:val="24"/>
        </w:rPr>
        <w:t>ESTIMATE</w:t>
      </w:r>
      <w:r w:rsidRPr="0094555B">
        <w:rPr>
          <w:rFonts w:ascii="Times New Roman" w:hAnsi="Times New Roman" w:cs="Times New Roman"/>
          <w:b/>
          <w:iCs/>
          <w:sz w:val="24"/>
          <w:szCs w:val="24"/>
        </w:rPr>
        <w:t xml:space="preserve"> 12.30)</w:t>
      </w:r>
    </w:p>
    <w:p w:rsidRPr="0094555B" w:rsidR="00332B7B" w:rsidP="0094555B" w:rsidRDefault="00332B7B" w14:paraId="21756822" w14:textId="3637E320">
      <w:pPr>
        <w:rPr>
          <w:rFonts w:ascii="Times New Roman" w:hAnsi="Times New Roman" w:cs="Times New Roman"/>
          <w:iCs/>
          <w:sz w:val="24"/>
          <w:szCs w:val="24"/>
          <w:u w:val="single"/>
        </w:rPr>
      </w:pPr>
      <w:r w:rsidRPr="0094555B">
        <w:rPr>
          <w:rFonts w:ascii="Times New Roman" w:hAnsi="Times New Roman" w:cs="Times New Roman"/>
          <w:iCs/>
          <w:sz w:val="24"/>
          <w:szCs w:val="24"/>
          <w:u w:val="single"/>
        </w:rPr>
        <w:t xml:space="preserve">Section 438.71 </w:t>
      </w:r>
      <w:r w:rsidRPr="0094555B" w:rsidR="00725D07">
        <w:rPr>
          <w:rFonts w:ascii="Times New Roman" w:hAnsi="Times New Roman" w:cs="Times New Roman"/>
          <w:iCs/>
          <w:sz w:val="24"/>
          <w:szCs w:val="24"/>
          <w:u w:val="single"/>
        </w:rPr>
        <w:t>Beneficiary support system</w:t>
      </w:r>
    </w:p>
    <w:p w:rsidR="00FD4FE0" w:rsidP="0094555B" w:rsidRDefault="00624B15" w14:paraId="156E8E71" w14:textId="77777777">
      <w:pPr>
        <w:rPr>
          <w:rFonts w:ascii="Times New Roman" w:hAnsi="Times New Roman" w:cs="Times New Roman"/>
          <w:iCs/>
          <w:sz w:val="24"/>
          <w:szCs w:val="24"/>
        </w:rPr>
      </w:pPr>
      <w:r w:rsidRPr="0094555B">
        <w:rPr>
          <w:rFonts w:ascii="Times New Roman" w:hAnsi="Times New Roman" w:cs="Times New Roman"/>
          <w:iCs/>
          <w:sz w:val="24"/>
          <w:szCs w:val="24"/>
        </w:rPr>
        <w:t>Section 438.71(b) requires that the system include choice counseling for enrollees, outreach for enrollees, and education and problem resolution for services, coverage, and access to LTSS.  This system must be accessible in multiple ways including at a minimum, by telephone and email.  Some in-person assistance may need to be provided in certain circumstances.  Most states will likely use the call center created in §438.71(a) to handle the majority of these responsibilities and use existing community-based outreach/education and ombudsman staff, whether state employees or contractors, for the occasional in person request.  The use of existing staff will add no additional burden as it is part of standard operating costs for operating a Medicaid program.</w:t>
      </w:r>
    </w:p>
    <w:p w:rsidR="00A25E7D" w:rsidP="0094555B" w:rsidRDefault="00FD4FE0" w14:paraId="4B9A1676" w14:textId="4642B00A">
      <w:pPr>
        <w:rPr>
          <w:rFonts w:ascii="Times New Roman" w:hAnsi="Times New Roman" w:cs="Times New Roman"/>
          <w:iCs/>
          <w:sz w:val="24"/>
          <w:szCs w:val="24"/>
        </w:rPr>
      </w:pPr>
      <w:r>
        <w:rPr>
          <w:rFonts w:ascii="Times New Roman" w:hAnsi="Times New Roman" w:cs="Times New Roman"/>
          <w:iCs/>
          <w:sz w:val="24"/>
          <w:szCs w:val="24"/>
        </w:rPr>
        <w:t>Section 438.74 Oversight of minimum</w:t>
      </w:r>
      <w:r w:rsidR="00A25E7D">
        <w:rPr>
          <w:rFonts w:ascii="Times New Roman" w:hAnsi="Times New Roman" w:cs="Times New Roman"/>
          <w:iCs/>
          <w:sz w:val="24"/>
          <w:szCs w:val="24"/>
        </w:rPr>
        <w:t xml:space="preserve"> medical loss ratio</w:t>
      </w:r>
      <w:r>
        <w:rPr>
          <w:rFonts w:ascii="Times New Roman" w:hAnsi="Times New Roman" w:cs="Times New Roman"/>
          <w:iCs/>
          <w:sz w:val="24"/>
          <w:szCs w:val="24"/>
        </w:rPr>
        <w:t xml:space="preserve"> </w:t>
      </w:r>
      <w:r w:rsidR="00A25E7D">
        <w:rPr>
          <w:rFonts w:ascii="Times New Roman" w:hAnsi="Times New Roman" w:cs="Times New Roman"/>
          <w:iCs/>
          <w:sz w:val="24"/>
          <w:szCs w:val="24"/>
        </w:rPr>
        <w:t>(</w:t>
      </w:r>
      <w:r>
        <w:rPr>
          <w:rFonts w:ascii="Times New Roman" w:hAnsi="Times New Roman" w:cs="Times New Roman"/>
          <w:iCs/>
          <w:sz w:val="24"/>
          <w:szCs w:val="24"/>
        </w:rPr>
        <w:t>MLR</w:t>
      </w:r>
      <w:r w:rsidR="00A25E7D">
        <w:rPr>
          <w:rFonts w:ascii="Times New Roman" w:hAnsi="Times New Roman" w:cs="Times New Roman"/>
          <w:iCs/>
          <w:sz w:val="24"/>
          <w:szCs w:val="24"/>
        </w:rPr>
        <w:t>)</w:t>
      </w:r>
      <w:r>
        <w:rPr>
          <w:rFonts w:ascii="Times New Roman" w:hAnsi="Times New Roman" w:cs="Times New Roman"/>
          <w:iCs/>
          <w:sz w:val="24"/>
          <w:szCs w:val="24"/>
        </w:rPr>
        <w:t xml:space="preserve"> </w:t>
      </w:r>
    </w:p>
    <w:p w:rsidRPr="0094555B" w:rsidR="00624B15" w:rsidP="0094555B" w:rsidRDefault="00A25E7D" w14:paraId="21E82FCD" w14:textId="1EAF5D7E">
      <w:pPr>
        <w:rPr>
          <w:rFonts w:ascii="Times New Roman" w:hAnsi="Times New Roman" w:cs="Times New Roman"/>
          <w:iCs/>
          <w:sz w:val="24"/>
          <w:szCs w:val="24"/>
        </w:rPr>
      </w:pPr>
      <w:r>
        <w:rPr>
          <w:rFonts w:ascii="Times New Roman" w:hAnsi="Times New Roman" w:cs="Times New Roman"/>
          <w:iCs/>
          <w:sz w:val="24"/>
          <w:szCs w:val="24"/>
        </w:rPr>
        <w:t>Section 438.74(a) requires states to submit an annual report to CMS that summarizes the MLR reports received from their managed care plans (see estimate 12.5</w:t>
      </w:r>
      <w:r w:rsidR="00944C72">
        <w:rPr>
          <w:rFonts w:ascii="Times New Roman" w:hAnsi="Times New Roman" w:cs="Times New Roman"/>
          <w:iCs/>
          <w:sz w:val="24"/>
          <w:szCs w:val="24"/>
        </w:rPr>
        <w:t xml:space="preserve"> for managed care plan burden estimate</w:t>
      </w:r>
      <w:r>
        <w:rPr>
          <w:rFonts w:ascii="Times New Roman" w:hAnsi="Times New Roman" w:cs="Times New Roman"/>
          <w:iCs/>
          <w:sz w:val="24"/>
          <w:szCs w:val="24"/>
        </w:rPr>
        <w:t xml:space="preserve">).  Section 438.74(b) requires states that </w:t>
      </w:r>
      <w:r w:rsidR="001D0A9E">
        <w:rPr>
          <w:rFonts w:ascii="Times New Roman" w:hAnsi="Times New Roman" w:cs="Times New Roman"/>
          <w:iCs/>
          <w:sz w:val="24"/>
          <w:szCs w:val="24"/>
        </w:rPr>
        <w:t>collect</w:t>
      </w:r>
      <w:r>
        <w:rPr>
          <w:rFonts w:ascii="Times New Roman" w:hAnsi="Times New Roman" w:cs="Times New Roman"/>
          <w:iCs/>
          <w:sz w:val="24"/>
          <w:szCs w:val="24"/>
        </w:rPr>
        <w:t xml:space="preserve"> a remittance from their plans to </w:t>
      </w:r>
      <w:r w:rsidR="001D0A9E">
        <w:rPr>
          <w:rFonts w:ascii="Times New Roman" w:hAnsi="Times New Roman" w:cs="Times New Roman"/>
          <w:iCs/>
          <w:sz w:val="24"/>
          <w:szCs w:val="24"/>
        </w:rPr>
        <w:t>submit a separate report</w:t>
      </w:r>
      <w:r w:rsidR="00377FAC">
        <w:rPr>
          <w:rFonts w:ascii="Times New Roman" w:hAnsi="Times New Roman" w:cs="Times New Roman"/>
          <w:iCs/>
          <w:sz w:val="24"/>
          <w:szCs w:val="24"/>
        </w:rPr>
        <w:t xml:space="preserve"> (with the report required in 438.74(a))</w:t>
      </w:r>
      <w:r w:rsidR="001D0A9E">
        <w:rPr>
          <w:rFonts w:ascii="Times New Roman" w:hAnsi="Times New Roman" w:cs="Times New Roman"/>
          <w:iCs/>
          <w:sz w:val="24"/>
          <w:szCs w:val="24"/>
        </w:rPr>
        <w:t xml:space="preserve"> to CMS describing the methodology used to determine the state and federal share of the remittance.</w:t>
      </w:r>
      <w:r>
        <w:rPr>
          <w:rFonts w:ascii="Times New Roman" w:hAnsi="Times New Roman" w:cs="Times New Roman"/>
          <w:iCs/>
          <w:sz w:val="24"/>
          <w:szCs w:val="24"/>
        </w:rPr>
        <w:t xml:space="preserve">  </w:t>
      </w:r>
      <w:r w:rsidR="002877D0">
        <w:rPr>
          <w:rFonts w:ascii="Times New Roman" w:hAnsi="Times New Roman" w:cs="Times New Roman"/>
          <w:iCs/>
          <w:sz w:val="24"/>
          <w:szCs w:val="24"/>
        </w:rPr>
        <w:t xml:space="preserve">This burden estimate was omitted from the prior package as CMS did not originally intend to specify a reporting format.  After receiving additional state feedback, </w:t>
      </w:r>
      <w:r w:rsidR="001A21E2">
        <w:rPr>
          <w:rFonts w:ascii="Times New Roman" w:hAnsi="Times New Roman" w:cs="Times New Roman"/>
          <w:iCs/>
          <w:sz w:val="24"/>
          <w:szCs w:val="24"/>
        </w:rPr>
        <w:t>CMS is providing a template for t</w:t>
      </w:r>
      <w:r w:rsidR="004F0CAE">
        <w:rPr>
          <w:rFonts w:ascii="Times New Roman" w:hAnsi="Times New Roman" w:cs="Times New Roman"/>
          <w:iCs/>
          <w:sz w:val="24"/>
          <w:szCs w:val="24"/>
        </w:rPr>
        <w:t>his</w:t>
      </w:r>
      <w:r w:rsidR="00944C72">
        <w:rPr>
          <w:rFonts w:ascii="Times New Roman" w:hAnsi="Times New Roman" w:cs="Times New Roman"/>
          <w:iCs/>
          <w:sz w:val="24"/>
          <w:szCs w:val="24"/>
        </w:rPr>
        <w:t xml:space="preserve"> </w:t>
      </w:r>
      <w:r w:rsidR="004F0CAE">
        <w:rPr>
          <w:rFonts w:ascii="Times New Roman" w:hAnsi="Times New Roman" w:cs="Times New Roman"/>
          <w:iCs/>
          <w:sz w:val="24"/>
          <w:szCs w:val="24"/>
        </w:rPr>
        <w:t>report</w:t>
      </w:r>
      <w:r w:rsidR="00944C72">
        <w:rPr>
          <w:rFonts w:ascii="Times New Roman" w:hAnsi="Times New Roman" w:cs="Times New Roman"/>
          <w:iCs/>
          <w:sz w:val="24"/>
          <w:szCs w:val="24"/>
        </w:rPr>
        <w:t xml:space="preserve"> to enable states to more easily submit the needed level of detailed data to CMS for tracking, comparison, and analysis to ensure regulatory compliance</w:t>
      </w:r>
      <w:r w:rsidR="004F0CAE">
        <w:rPr>
          <w:rFonts w:ascii="Times New Roman" w:hAnsi="Times New Roman" w:cs="Times New Roman"/>
          <w:iCs/>
          <w:sz w:val="24"/>
          <w:szCs w:val="24"/>
        </w:rPr>
        <w:t>.  For states to complete the reporting template annually</w:t>
      </w:r>
      <w:r w:rsidR="001D0A9E">
        <w:rPr>
          <w:rFonts w:ascii="Times New Roman" w:hAnsi="Times New Roman" w:cs="Times New Roman"/>
          <w:iCs/>
          <w:sz w:val="24"/>
          <w:szCs w:val="24"/>
        </w:rPr>
        <w:t>, we</w:t>
      </w:r>
      <w:r w:rsidRPr="001D0A9E" w:rsidR="001D0A9E">
        <w:rPr>
          <w:rFonts w:ascii="Times New Roman" w:hAnsi="Times New Roman" w:cs="Times New Roman"/>
          <w:iCs/>
          <w:sz w:val="24"/>
          <w:szCs w:val="24"/>
        </w:rPr>
        <w:t xml:space="preserve"> estimate an annual </w:t>
      </w:r>
      <w:r w:rsidR="001D0A9E">
        <w:rPr>
          <w:rFonts w:ascii="Times New Roman" w:hAnsi="Times New Roman" w:cs="Times New Roman"/>
          <w:iCs/>
          <w:sz w:val="24"/>
          <w:szCs w:val="24"/>
        </w:rPr>
        <w:t>state</w:t>
      </w:r>
      <w:r w:rsidRPr="001D0A9E" w:rsidR="001D0A9E">
        <w:rPr>
          <w:rFonts w:ascii="Times New Roman" w:hAnsi="Times New Roman" w:cs="Times New Roman"/>
          <w:iCs/>
          <w:sz w:val="24"/>
          <w:szCs w:val="24"/>
        </w:rPr>
        <w:t xml:space="preserve"> burden of </w:t>
      </w:r>
      <w:r w:rsidR="001D0A9E">
        <w:rPr>
          <w:rFonts w:ascii="Times New Roman" w:hAnsi="Times New Roman" w:cs="Times New Roman"/>
          <w:iCs/>
          <w:sz w:val="24"/>
          <w:szCs w:val="24"/>
        </w:rPr>
        <w:t>5</w:t>
      </w:r>
      <w:r w:rsidRPr="001D0A9E" w:rsidR="001D0A9E">
        <w:rPr>
          <w:rFonts w:ascii="Times New Roman" w:hAnsi="Times New Roman" w:cs="Times New Roman"/>
          <w:iCs/>
          <w:sz w:val="24"/>
          <w:szCs w:val="24"/>
        </w:rPr>
        <w:t xml:space="preserve"> </w:t>
      </w:r>
      <w:proofErr w:type="spellStart"/>
      <w:r w:rsidRPr="001D0A9E" w:rsidR="001D0A9E">
        <w:rPr>
          <w:rFonts w:ascii="Times New Roman" w:hAnsi="Times New Roman" w:cs="Times New Roman"/>
          <w:iCs/>
          <w:sz w:val="24"/>
          <w:szCs w:val="24"/>
        </w:rPr>
        <w:t>hr</w:t>
      </w:r>
      <w:proofErr w:type="spellEnd"/>
      <w:r w:rsidRPr="001D0A9E" w:rsidR="001D0A9E">
        <w:rPr>
          <w:rFonts w:ascii="Times New Roman" w:hAnsi="Times New Roman" w:cs="Times New Roman"/>
          <w:iCs/>
          <w:sz w:val="24"/>
          <w:szCs w:val="24"/>
        </w:rPr>
        <w:t xml:space="preserve"> at $</w:t>
      </w:r>
      <w:r w:rsidR="001D0A9E">
        <w:rPr>
          <w:rFonts w:ascii="Times New Roman" w:hAnsi="Times New Roman" w:cs="Times New Roman"/>
          <w:iCs/>
          <w:sz w:val="24"/>
          <w:szCs w:val="24"/>
        </w:rPr>
        <w:t>75.32</w:t>
      </w:r>
      <w:r w:rsidRPr="001D0A9E" w:rsidR="001D0A9E">
        <w:rPr>
          <w:rFonts w:ascii="Times New Roman" w:hAnsi="Times New Roman" w:cs="Times New Roman"/>
          <w:iCs/>
          <w:sz w:val="24"/>
          <w:szCs w:val="24"/>
        </w:rPr>
        <w:t>/</w:t>
      </w:r>
      <w:proofErr w:type="spellStart"/>
      <w:r w:rsidRPr="001D0A9E" w:rsidR="001D0A9E">
        <w:rPr>
          <w:rFonts w:ascii="Times New Roman" w:hAnsi="Times New Roman" w:cs="Times New Roman"/>
          <w:iCs/>
          <w:sz w:val="24"/>
          <w:szCs w:val="24"/>
        </w:rPr>
        <w:t>hr</w:t>
      </w:r>
      <w:proofErr w:type="spellEnd"/>
      <w:r w:rsidRPr="001D0A9E" w:rsidR="001D0A9E">
        <w:rPr>
          <w:rFonts w:ascii="Times New Roman" w:hAnsi="Times New Roman" w:cs="Times New Roman"/>
          <w:iCs/>
          <w:sz w:val="24"/>
          <w:szCs w:val="24"/>
        </w:rPr>
        <w:t xml:space="preserve"> for a business operations specialist.  In aggregate, we estimate </w:t>
      </w:r>
      <w:r w:rsidRPr="00944C72" w:rsidR="001D0A9E">
        <w:rPr>
          <w:rFonts w:ascii="Times New Roman" w:hAnsi="Times New Roman" w:cs="Times New Roman"/>
          <w:b/>
          <w:iCs/>
          <w:sz w:val="24"/>
          <w:szCs w:val="24"/>
        </w:rPr>
        <w:t xml:space="preserve">205 </w:t>
      </w:r>
      <w:proofErr w:type="spellStart"/>
      <w:r w:rsidRPr="00944C72" w:rsidR="001D0A9E">
        <w:rPr>
          <w:rFonts w:ascii="Times New Roman" w:hAnsi="Times New Roman" w:cs="Times New Roman"/>
          <w:b/>
          <w:iCs/>
          <w:sz w:val="24"/>
          <w:szCs w:val="24"/>
        </w:rPr>
        <w:t>hr</w:t>
      </w:r>
      <w:proofErr w:type="spellEnd"/>
      <w:r w:rsidRPr="001D0A9E" w:rsidR="001D0A9E">
        <w:rPr>
          <w:rFonts w:ascii="Times New Roman" w:hAnsi="Times New Roman" w:cs="Times New Roman"/>
          <w:iCs/>
          <w:sz w:val="24"/>
          <w:szCs w:val="24"/>
        </w:rPr>
        <w:t xml:space="preserve"> (</w:t>
      </w:r>
      <w:r w:rsidR="001D0A9E">
        <w:rPr>
          <w:rFonts w:ascii="Times New Roman" w:hAnsi="Times New Roman" w:cs="Times New Roman"/>
          <w:iCs/>
          <w:sz w:val="24"/>
          <w:szCs w:val="24"/>
        </w:rPr>
        <w:t>41</w:t>
      </w:r>
      <w:r w:rsidRPr="001D0A9E" w:rsidR="001D0A9E">
        <w:rPr>
          <w:rFonts w:ascii="Times New Roman" w:hAnsi="Times New Roman" w:cs="Times New Roman"/>
          <w:iCs/>
          <w:sz w:val="24"/>
          <w:szCs w:val="24"/>
        </w:rPr>
        <w:t xml:space="preserve"> states x </w:t>
      </w:r>
      <w:r w:rsidR="001D0A9E">
        <w:rPr>
          <w:rFonts w:ascii="Times New Roman" w:hAnsi="Times New Roman" w:cs="Times New Roman"/>
          <w:iCs/>
          <w:sz w:val="24"/>
          <w:szCs w:val="24"/>
        </w:rPr>
        <w:t>5</w:t>
      </w:r>
      <w:r w:rsidRPr="001D0A9E" w:rsidR="001D0A9E">
        <w:rPr>
          <w:rFonts w:ascii="Times New Roman" w:hAnsi="Times New Roman" w:cs="Times New Roman"/>
          <w:iCs/>
          <w:sz w:val="24"/>
          <w:szCs w:val="24"/>
        </w:rPr>
        <w:t xml:space="preserve"> </w:t>
      </w:r>
      <w:proofErr w:type="spellStart"/>
      <w:r w:rsidRPr="001D0A9E" w:rsidR="001D0A9E">
        <w:rPr>
          <w:rFonts w:ascii="Times New Roman" w:hAnsi="Times New Roman" w:cs="Times New Roman"/>
          <w:iCs/>
          <w:sz w:val="24"/>
          <w:szCs w:val="24"/>
        </w:rPr>
        <w:t>hr</w:t>
      </w:r>
      <w:proofErr w:type="spellEnd"/>
      <w:r w:rsidRPr="001D0A9E" w:rsidR="001D0A9E">
        <w:rPr>
          <w:rFonts w:ascii="Times New Roman" w:hAnsi="Times New Roman" w:cs="Times New Roman"/>
          <w:iCs/>
          <w:sz w:val="24"/>
          <w:szCs w:val="24"/>
        </w:rPr>
        <w:t xml:space="preserve">) and </w:t>
      </w:r>
      <w:r w:rsidRPr="00944C72" w:rsidR="001D0A9E">
        <w:rPr>
          <w:rFonts w:ascii="Times New Roman" w:hAnsi="Times New Roman" w:cs="Times New Roman"/>
          <w:b/>
          <w:iCs/>
          <w:sz w:val="24"/>
          <w:szCs w:val="24"/>
        </w:rPr>
        <w:t>$15,44</w:t>
      </w:r>
      <w:r w:rsidR="006E3CD5">
        <w:rPr>
          <w:rFonts w:ascii="Times New Roman" w:hAnsi="Times New Roman" w:cs="Times New Roman"/>
          <w:iCs/>
          <w:sz w:val="24"/>
          <w:szCs w:val="24"/>
        </w:rPr>
        <w:t>1</w:t>
      </w:r>
      <w:r w:rsidRPr="001D0A9E" w:rsidR="001D0A9E">
        <w:rPr>
          <w:rFonts w:ascii="Times New Roman" w:hAnsi="Times New Roman" w:cs="Times New Roman"/>
          <w:iCs/>
          <w:sz w:val="24"/>
          <w:szCs w:val="24"/>
        </w:rPr>
        <w:t xml:space="preserve"> (</w:t>
      </w:r>
      <w:r w:rsidR="001D0A9E">
        <w:rPr>
          <w:rFonts w:ascii="Times New Roman" w:hAnsi="Times New Roman" w:cs="Times New Roman"/>
          <w:iCs/>
          <w:sz w:val="24"/>
          <w:szCs w:val="24"/>
        </w:rPr>
        <w:t xml:space="preserve">205 </w:t>
      </w:r>
      <w:proofErr w:type="spellStart"/>
      <w:r w:rsidRPr="001D0A9E" w:rsidR="001D0A9E">
        <w:rPr>
          <w:rFonts w:ascii="Times New Roman" w:hAnsi="Times New Roman" w:cs="Times New Roman"/>
          <w:iCs/>
          <w:sz w:val="24"/>
          <w:szCs w:val="24"/>
        </w:rPr>
        <w:t>hr</w:t>
      </w:r>
      <w:proofErr w:type="spellEnd"/>
      <w:r w:rsidRPr="001D0A9E" w:rsidR="001D0A9E">
        <w:rPr>
          <w:rFonts w:ascii="Times New Roman" w:hAnsi="Times New Roman" w:cs="Times New Roman"/>
          <w:iCs/>
          <w:sz w:val="24"/>
          <w:szCs w:val="24"/>
        </w:rPr>
        <w:t xml:space="preserve"> x $</w:t>
      </w:r>
      <w:r w:rsidR="001D0A9E">
        <w:rPr>
          <w:rFonts w:ascii="Times New Roman" w:hAnsi="Times New Roman" w:cs="Times New Roman"/>
          <w:iCs/>
          <w:sz w:val="24"/>
          <w:szCs w:val="24"/>
        </w:rPr>
        <w:t>75.32</w:t>
      </w:r>
      <w:r w:rsidRPr="001D0A9E" w:rsidR="001D0A9E">
        <w:rPr>
          <w:rFonts w:ascii="Times New Roman" w:hAnsi="Times New Roman" w:cs="Times New Roman"/>
          <w:iCs/>
          <w:sz w:val="24"/>
          <w:szCs w:val="24"/>
        </w:rPr>
        <w:t>/</w:t>
      </w:r>
      <w:proofErr w:type="spellStart"/>
      <w:r w:rsidRPr="001D0A9E" w:rsidR="001D0A9E">
        <w:rPr>
          <w:rFonts w:ascii="Times New Roman" w:hAnsi="Times New Roman" w:cs="Times New Roman"/>
          <w:iCs/>
          <w:sz w:val="24"/>
          <w:szCs w:val="24"/>
        </w:rPr>
        <w:t>hr</w:t>
      </w:r>
      <w:proofErr w:type="spellEnd"/>
      <w:r w:rsidRPr="001D0A9E" w:rsidR="001D0A9E">
        <w:rPr>
          <w:rFonts w:ascii="Times New Roman" w:hAnsi="Times New Roman" w:cs="Times New Roman"/>
          <w:iCs/>
          <w:sz w:val="24"/>
          <w:szCs w:val="24"/>
        </w:rPr>
        <w:t>). (</w:t>
      </w:r>
      <w:r w:rsidRPr="004F0CAE" w:rsidR="001D0A9E">
        <w:rPr>
          <w:rFonts w:ascii="Times New Roman" w:hAnsi="Times New Roman" w:cs="Times New Roman"/>
          <w:b/>
          <w:iCs/>
          <w:sz w:val="24"/>
          <w:szCs w:val="24"/>
        </w:rPr>
        <w:t>ESTIMATE 12.65</w:t>
      </w:r>
      <w:r w:rsidRPr="001D0A9E" w:rsidR="001D0A9E">
        <w:rPr>
          <w:rFonts w:ascii="Times New Roman" w:hAnsi="Times New Roman" w:cs="Times New Roman"/>
          <w:iCs/>
          <w:sz w:val="24"/>
          <w:szCs w:val="24"/>
        </w:rPr>
        <w:t>)</w:t>
      </w:r>
      <w:r>
        <w:rPr>
          <w:rFonts w:ascii="Times New Roman" w:hAnsi="Times New Roman" w:cs="Times New Roman"/>
          <w:iCs/>
          <w:sz w:val="24"/>
          <w:szCs w:val="24"/>
        </w:rPr>
        <w:t xml:space="preserve"> </w:t>
      </w:r>
      <w:r w:rsidRPr="0094555B" w:rsidR="00624B15">
        <w:rPr>
          <w:rFonts w:ascii="Times New Roman" w:hAnsi="Times New Roman" w:cs="Times New Roman"/>
          <w:iCs/>
          <w:sz w:val="24"/>
          <w:szCs w:val="24"/>
        </w:rPr>
        <w:t xml:space="preserve">  </w:t>
      </w:r>
    </w:p>
    <w:p w:rsidRPr="0094555B" w:rsidR="00332B7B" w:rsidP="0094555B" w:rsidRDefault="00624B15" w14:paraId="7887179E" w14:textId="77777777">
      <w:pPr>
        <w:rPr>
          <w:rFonts w:ascii="Times New Roman" w:hAnsi="Times New Roman" w:cs="Times New Roman"/>
          <w:sz w:val="24"/>
          <w:szCs w:val="24"/>
        </w:rPr>
      </w:pPr>
      <w:r w:rsidRPr="0094555B">
        <w:rPr>
          <w:rFonts w:ascii="Times New Roman" w:hAnsi="Times New Roman" w:cs="Times New Roman"/>
          <w:sz w:val="24"/>
          <w:szCs w:val="24"/>
          <w:u w:val="single"/>
        </w:rPr>
        <w:t>Section 438.102 Provider-enrollee communications</w:t>
      </w:r>
      <w:r w:rsidRPr="0094555B">
        <w:rPr>
          <w:rFonts w:ascii="Times New Roman" w:hAnsi="Times New Roman" w:cs="Times New Roman"/>
          <w:sz w:val="24"/>
          <w:szCs w:val="24"/>
        </w:rPr>
        <w:t xml:space="preserve">  </w:t>
      </w:r>
    </w:p>
    <w:p w:rsidRPr="0094555B" w:rsidR="00624B15" w:rsidP="0094555B" w:rsidRDefault="00624B15" w14:paraId="637E7FFF" w14:textId="672B05B6">
      <w:pPr>
        <w:rPr>
          <w:rFonts w:ascii="Times New Roman" w:hAnsi="Times New Roman" w:cs="Times New Roman"/>
          <w:sz w:val="24"/>
          <w:szCs w:val="24"/>
        </w:rPr>
      </w:pPr>
      <w:r w:rsidRPr="0094555B">
        <w:rPr>
          <w:rFonts w:ascii="Times New Roman" w:hAnsi="Times New Roman" w:cs="Times New Roman"/>
          <w:sz w:val="24"/>
          <w:szCs w:val="24"/>
        </w:rPr>
        <w:t>Section 438.102(a)(2) states that MCOs, PIHPs, and PAHPs are not required to cover, furnish, or pay for a particular counseling or referral service if the MCO, PIHP, or PAHP objects to the provision of that service on moral or religious grounds; and that written information on these policies is available to (1) prospective enrollees, before and during enrollment and, (2) current enrollees, within 90 days after adopting the policy with respect to an any particular service.  The burden associated with the provisions of this information is included in the burden for 438.10(e) and 438.10(g).</w:t>
      </w:r>
    </w:p>
    <w:p w:rsidRPr="0094555B" w:rsidR="00624B15" w:rsidP="0094555B" w:rsidRDefault="00624B15" w14:paraId="07014024" w14:textId="0B8D3CD1">
      <w:pPr>
        <w:rPr>
          <w:rFonts w:ascii="Times New Roman" w:hAnsi="Times New Roman" w:cs="Times New Roman"/>
          <w:sz w:val="24"/>
          <w:szCs w:val="24"/>
        </w:rPr>
      </w:pPr>
      <w:r w:rsidRPr="0094555B">
        <w:rPr>
          <w:rFonts w:ascii="Times New Roman" w:hAnsi="Times New Roman" w:cs="Times New Roman"/>
          <w:sz w:val="24"/>
          <w:szCs w:val="24"/>
        </w:rPr>
        <w:t xml:space="preserve">Section 438.102(a)(2) specifies that MCOs, PIHPs, and PAHPs are not required to cover, furnish, or pay for a particular counseling or referral service if the MCO, PIHP, or PAHP objects to the provision of that service on moral or religious grounds; and that written information on these policies is made available to: prospective enrollees, before and during enrollment; and current enrollees, within 90 days after adopting the policy with respect to an any particular </w:t>
      </w:r>
      <w:r w:rsidRPr="0094555B">
        <w:rPr>
          <w:rFonts w:ascii="Times New Roman" w:hAnsi="Times New Roman" w:cs="Times New Roman"/>
          <w:sz w:val="24"/>
          <w:szCs w:val="24"/>
        </w:rPr>
        <w:lastRenderedPageBreak/>
        <w:t xml:space="preserve">service.  We believe the burden associated with this requirement affects no more than 3 MCOs or PIHPs annually since it applies only to the services they discontinue providing on moral or religious grounds </w:t>
      </w:r>
      <w:r w:rsidRPr="0094555B" w:rsidR="00281A8C">
        <w:rPr>
          <w:rFonts w:ascii="Times New Roman" w:hAnsi="Times New Roman" w:cs="Times New Roman"/>
          <w:sz w:val="24"/>
          <w:szCs w:val="24"/>
        </w:rPr>
        <w:t xml:space="preserve">provided to a very small subset of their enrollees </w:t>
      </w:r>
      <w:r w:rsidRPr="0094555B">
        <w:rPr>
          <w:rFonts w:ascii="Times New Roman" w:hAnsi="Times New Roman" w:cs="Times New Roman"/>
          <w:sz w:val="24"/>
          <w:szCs w:val="24"/>
        </w:rPr>
        <w:t xml:space="preserve">during the contract period.  PAHPs are excluded from this estimate because they generally do not provide services that would be affected by this provision.  In aggregate, we estimate an annual private sector burden of </w:t>
      </w:r>
      <w:r w:rsidRPr="0094555B" w:rsidR="00281A8C">
        <w:rPr>
          <w:rFonts w:ascii="Times New Roman" w:hAnsi="Times New Roman" w:cs="Times New Roman"/>
          <w:b/>
          <w:sz w:val="24"/>
          <w:szCs w:val="24"/>
        </w:rPr>
        <w:t>1</w:t>
      </w:r>
      <w:r w:rsidRPr="0094555B" w:rsidR="005F5CB6">
        <w:rPr>
          <w:rFonts w:ascii="Times New Roman" w:hAnsi="Times New Roman" w:cs="Times New Roman"/>
          <w:b/>
          <w:sz w:val="24"/>
          <w:szCs w:val="24"/>
        </w:rPr>
        <w:t>,253</w:t>
      </w:r>
      <w:r w:rsidRPr="0094555B">
        <w:rPr>
          <w:rFonts w:ascii="Times New Roman" w:hAnsi="Times New Roman" w:cs="Times New Roman"/>
          <w:b/>
          <w:sz w:val="24"/>
          <w:szCs w:val="24"/>
        </w:rPr>
        <w:t xml:space="preserve"> </w:t>
      </w:r>
      <w:proofErr w:type="spellStart"/>
      <w:r w:rsidRPr="0094555B">
        <w:rPr>
          <w:rFonts w:ascii="Times New Roman" w:hAnsi="Times New Roman" w:cs="Times New Roman"/>
          <w:b/>
          <w:sz w:val="24"/>
          <w:szCs w:val="24"/>
        </w:rPr>
        <w:t>hr</w:t>
      </w:r>
      <w:proofErr w:type="spellEnd"/>
      <w:r w:rsidRPr="0094555B">
        <w:rPr>
          <w:rFonts w:ascii="Times New Roman" w:hAnsi="Times New Roman" w:cs="Times New Roman"/>
          <w:sz w:val="24"/>
          <w:szCs w:val="24"/>
        </w:rPr>
        <w:t xml:space="preserve"> (3 entities x </w:t>
      </w:r>
      <w:r w:rsidRPr="0094555B" w:rsidR="00281A8C">
        <w:rPr>
          <w:rFonts w:ascii="Times New Roman" w:hAnsi="Times New Roman" w:cs="Times New Roman"/>
          <w:sz w:val="24"/>
          <w:szCs w:val="24"/>
        </w:rPr>
        <w:t>25,000</w:t>
      </w:r>
      <w:r w:rsidRPr="0094555B">
        <w:rPr>
          <w:rFonts w:ascii="Times New Roman" w:hAnsi="Times New Roman" w:cs="Times New Roman"/>
          <w:sz w:val="24"/>
          <w:szCs w:val="24"/>
        </w:rPr>
        <w:t xml:space="preserve"> x </w:t>
      </w:r>
      <w:r w:rsidRPr="0094555B" w:rsidR="00460CE6">
        <w:rPr>
          <w:rFonts w:ascii="Times New Roman" w:hAnsi="Times New Roman" w:cs="Times New Roman"/>
          <w:sz w:val="24"/>
          <w:szCs w:val="24"/>
        </w:rPr>
        <w:t>0.0</w:t>
      </w:r>
      <w:r w:rsidRPr="0094555B">
        <w:rPr>
          <w:rFonts w:ascii="Times New Roman" w:hAnsi="Times New Roman" w:cs="Times New Roman"/>
          <w:sz w:val="24"/>
          <w:szCs w:val="24"/>
        </w:rPr>
        <w:t>1</w:t>
      </w:r>
      <w:r w:rsidRPr="0094555B" w:rsidR="00460CE6">
        <w:rPr>
          <w:rFonts w:ascii="Times New Roman" w:hAnsi="Times New Roman" w:cs="Times New Roman"/>
          <w:sz w:val="24"/>
          <w:szCs w:val="24"/>
        </w:rPr>
        <w:t>67</w:t>
      </w:r>
      <w:r w:rsidRPr="0094555B">
        <w:rPr>
          <w:rFonts w:ascii="Times New Roman" w:hAnsi="Times New Roman" w:cs="Times New Roman"/>
          <w:sz w:val="24"/>
          <w:szCs w:val="24"/>
        </w:rPr>
        <w:t xml:space="preserve"> </w:t>
      </w:r>
      <w:proofErr w:type="spellStart"/>
      <w:r w:rsidRPr="0094555B" w:rsidR="00460CE6">
        <w:rPr>
          <w:rFonts w:ascii="Times New Roman" w:hAnsi="Times New Roman" w:cs="Times New Roman"/>
          <w:sz w:val="24"/>
          <w:szCs w:val="24"/>
        </w:rPr>
        <w:t>hr</w:t>
      </w:r>
      <w:proofErr w:type="spellEnd"/>
      <w:r w:rsidRPr="0094555B">
        <w:rPr>
          <w:rFonts w:ascii="Times New Roman" w:hAnsi="Times New Roman" w:cs="Times New Roman"/>
          <w:sz w:val="24"/>
          <w:szCs w:val="24"/>
        </w:rPr>
        <w:t xml:space="preserve">) and </w:t>
      </w:r>
      <w:r w:rsidRPr="0094555B">
        <w:rPr>
          <w:rFonts w:ascii="Times New Roman" w:hAnsi="Times New Roman" w:cs="Times New Roman"/>
          <w:b/>
          <w:sz w:val="24"/>
          <w:szCs w:val="24"/>
        </w:rPr>
        <w:t>$</w:t>
      </w:r>
      <w:r w:rsidR="0048164E">
        <w:rPr>
          <w:rFonts w:ascii="Times New Roman" w:hAnsi="Times New Roman" w:cs="Times New Roman"/>
          <w:b/>
          <w:sz w:val="24"/>
          <w:szCs w:val="24"/>
        </w:rPr>
        <w:t>40,597</w:t>
      </w:r>
      <w:r w:rsidRPr="0094555B" w:rsidR="0059764E">
        <w:rPr>
          <w:rFonts w:ascii="Times New Roman" w:hAnsi="Times New Roman" w:cs="Times New Roman"/>
          <w:b/>
          <w:sz w:val="24"/>
          <w:szCs w:val="24"/>
        </w:rPr>
        <w:t xml:space="preserve"> </w:t>
      </w:r>
      <w:r w:rsidRPr="0094555B">
        <w:rPr>
          <w:rFonts w:ascii="Times New Roman" w:hAnsi="Times New Roman" w:cs="Times New Roman"/>
          <w:sz w:val="24"/>
          <w:szCs w:val="24"/>
        </w:rPr>
        <w:t>(</w:t>
      </w:r>
      <w:r w:rsidRPr="0094555B" w:rsidR="00281A8C">
        <w:rPr>
          <w:rFonts w:ascii="Times New Roman" w:hAnsi="Times New Roman" w:cs="Times New Roman"/>
          <w:sz w:val="24"/>
          <w:szCs w:val="24"/>
        </w:rPr>
        <w:t>1</w:t>
      </w:r>
      <w:r w:rsidRPr="0094555B" w:rsidR="0059764E">
        <w:rPr>
          <w:rFonts w:ascii="Times New Roman" w:hAnsi="Times New Roman" w:cs="Times New Roman"/>
          <w:sz w:val="24"/>
          <w:szCs w:val="24"/>
        </w:rPr>
        <w:t>,</w:t>
      </w:r>
      <w:r w:rsidRPr="0094555B" w:rsidR="005F5CB6">
        <w:rPr>
          <w:rFonts w:ascii="Times New Roman" w:hAnsi="Times New Roman" w:cs="Times New Roman"/>
          <w:sz w:val="24"/>
          <w:szCs w:val="24"/>
        </w:rPr>
        <w:t>253</w:t>
      </w:r>
      <w:r w:rsidRPr="0094555B">
        <w:rPr>
          <w:rFonts w:ascii="Times New Roman" w:hAnsi="Times New Roman" w:cs="Times New Roman"/>
          <w:sz w:val="24"/>
          <w:szCs w:val="24"/>
        </w:rPr>
        <w:t xml:space="preserve"> </w:t>
      </w:r>
      <w:proofErr w:type="spellStart"/>
      <w:r w:rsidRPr="0094555B">
        <w:rPr>
          <w:rFonts w:ascii="Times New Roman" w:hAnsi="Times New Roman" w:cs="Times New Roman"/>
          <w:sz w:val="24"/>
          <w:szCs w:val="24"/>
        </w:rPr>
        <w:t>hr</w:t>
      </w:r>
      <w:proofErr w:type="spellEnd"/>
      <w:r w:rsidRPr="0094555B">
        <w:rPr>
          <w:rFonts w:ascii="Times New Roman" w:hAnsi="Times New Roman" w:cs="Times New Roman"/>
          <w:sz w:val="24"/>
          <w:szCs w:val="24"/>
        </w:rPr>
        <w:t xml:space="preserve"> x $</w:t>
      </w:r>
      <w:r w:rsidRPr="0094555B" w:rsidR="0059764E">
        <w:rPr>
          <w:rFonts w:ascii="Times New Roman" w:hAnsi="Times New Roman" w:cs="Times New Roman"/>
          <w:sz w:val="24"/>
          <w:szCs w:val="24"/>
        </w:rPr>
        <w:t>3</w:t>
      </w:r>
      <w:r w:rsidR="0048164E">
        <w:rPr>
          <w:rFonts w:ascii="Times New Roman" w:hAnsi="Times New Roman" w:cs="Times New Roman"/>
          <w:sz w:val="24"/>
          <w:szCs w:val="24"/>
        </w:rPr>
        <w:t>2.40</w:t>
      </w:r>
      <w:r w:rsidRPr="0094555B">
        <w:rPr>
          <w:rFonts w:ascii="Times New Roman" w:hAnsi="Times New Roman" w:cs="Times New Roman"/>
          <w:sz w:val="24"/>
          <w:szCs w:val="24"/>
        </w:rPr>
        <w:t>/</w:t>
      </w:r>
      <w:proofErr w:type="spellStart"/>
      <w:r w:rsidRPr="0094555B">
        <w:rPr>
          <w:rFonts w:ascii="Times New Roman" w:hAnsi="Times New Roman" w:cs="Times New Roman"/>
          <w:sz w:val="24"/>
          <w:szCs w:val="24"/>
        </w:rPr>
        <w:t>hr</w:t>
      </w:r>
      <w:proofErr w:type="spellEnd"/>
      <w:r w:rsidRPr="0094555B">
        <w:rPr>
          <w:rFonts w:ascii="Times New Roman" w:hAnsi="Times New Roman" w:cs="Times New Roman"/>
          <w:sz w:val="24"/>
          <w:szCs w:val="24"/>
        </w:rPr>
        <w:t xml:space="preserve">). </w:t>
      </w:r>
      <w:r w:rsidRPr="0094555B">
        <w:rPr>
          <w:rFonts w:ascii="Times New Roman" w:hAnsi="Times New Roman" w:cs="Times New Roman"/>
          <w:b/>
          <w:iCs/>
          <w:sz w:val="24"/>
          <w:szCs w:val="24"/>
        </w:rPr>
        <w:t>(</w:t>
      </w:r>
      <w:r w:rsidRPr="0094555B" w:rsidR="005F5165">
        <w:rPr>
          <w:rFonts w:ascii="Times New Roman" w:hAnsi="Times New Roman" w:cs="Times New Roman"/>
          <w:b/>
          <w:iCs/>
          <w:sz w:val="24"/>
          <w:szCs w:val="24"/>
        </w:rPr>
        <w:t>ESTIMATE</w:t>
      </w:r>
      <w:r w:rsidRPr="0094555B">
        <w:rPr>
          <w:rFonts w:ascii="Times New Roman" w:hAnsi="Times New Roman" w:cs="Times New Roman"/>
          <w:b/>
          <w:iCs/>
          <w:sz w:val="24"/>
          <w:szCs w:val="24"/>
        </w:rPr>
        <w:t xml:space="preserve"> 12.32)</w:t>
      </w:r>
    </w:p>
    <w:p w:rsidRPr="0094555B" w:rsidR="00332B7B" w:rsidP="0094555B" w:rsidRDefault="00624B15" w14:paraId="3215E282" w14:textId="77777777">
      <w:pPr>
        <w:rPr>
          <w:rFonts w:ascii="Times New Roman" w:hAnsi="Times New Roman" w:cs="Times New Roman"/>
          <w:sz w:val="24"/>
          <w:szCs w:val="24"/>
        </w:rPr>
      </w:pPr>
      <w:r w:rsidRPr="0094555B">
        <w:rPr>
          <w:rFonts w:ascii="Times New Roman" w:hAnsi="Times New Roman" w:cs="Times New Roman"/>
          <w:sz w:val="24"/>
          <w:szCs w:val="24"/>
          <w:u w:val="single"/>
        </w:rPr>
        <w:t>Section 438.110 Member advisory committee</w:t>
      </w:r>
      <w:r w:rsidRPr="0094555B">
        <w:rPr>
          <w:rFonts w:ascii="Times New Roman" w:hAnsi="Times New Roman" w:cs="Times New Roman"/>
          <w:sz w:val="24"/>
          <w:szCs w:val="24"/>
        </w:rPr>
        <w:t xml:space="preserve"> </w:t>
      </w:r>
    </w:p>
    <w:p w:rsidRPr="0094555B" w:rsidR="00624B15" w:rsidP="0094555B" w:rsidRDefault="00624B15" w14:paraId="56066B23" w14:textId="26C01325">
      <w:pPr>
        <w:rPr>
          <w:rFonts w:ascii="Times New Roman" w:hAnsi="Times New Roman" w:cs="Times New Roman"/>
          <w:iCs/>
          <w:sz w:val="24"/>
          <w:szCs w:val="24"/>
        </w:rPr>
      </w:pPr>
      <w:r w:rsidRPr="0094555B">
        <w:rPr>
          <w:rFonts w:ascii="Times New Roman" w:hAnsi="Times New Roman" w:cs="Times New Roman"/>
          <w:sz w:val="24"/>
          <w:szCs w:val="24"/>
        </w:rPr>
        <w:t>Section</w:t>
      </w:r>
      <w:r w:rsidRPr="0094555B">
        <w:rPr>
          <w:rFonts w:ascii="Times New Roman" w:hAnsi="Times New Roman" w:cs="Times New Roman"/>
          <w:iCs/>
          <w:sz w:val="24"/>
          <w:szCs w:val="24"/>
        </w:rPr>
        <w:t xml:space="preserve"> 438.110(a) requires that each MCO, PIHP, and PAHP establish and maintain a member advisory board if the LTSS population is covered under the contract.  </w:t>
      </w:r>
      <w:bookmarkStart w:name="_Hlk83720563" w:id="52"/>
      <w:r w:rsidRPr="0094555B">
        <w:rPr>
          <w:rFonts w:ascii="Times New Roman" w:hAnsi="Times New Roman" w:cs="Times New Roman"/>
          <w:iCs/>
          <w:sz w:val="24"/>
          <w:szCs w:val="24"/>
        </w:rPr>
        <w:t xml:space="preserve">We estimate an annual private sector burden of 6 </w:t>
      </w:r>
      <w:proofErr w:type="spellStart"/>
      <w:r w:rsidRPr="0094555B">
        <w:rPr>
          <w:rFonts w:ascii="Times New Roman" w:hAnsi="Times New Roman" w:cs="Times New Roman"/>
          <w:iCs/>
          <w:sz w:val="24"/>
          <w:szCs w:val="24"/>
        </w:rPr>
        <w:t>hr</w:t>
      </w:r>
      <w:proofErr w:type="spellEnd"/>
      <w:r w:rsidRPr="0094555B">
        <w:rPr>
          <w:rFonts w:ascii="Times New Roman" w:hAnsi="Times New Roman" w:cs="Times New Roman"/>
          <w:iCs/>
          <w:sz w:val="24"/>
          <w:szCs w:val="24"/>
        </w:rPr>
        <w:t xml:space="preserve"> at </w:t>
      </w:r>
      <w:r w:rsidRPr="0094555B" w:rsidR="00773C0B">
        <w:rPr>
          <w:rFonts w:ascii="Times New Roman" w:hAnsi="Times New Roman" w:cs="Times New Roman"/>
          <w:iCs/>
          <w:sz w:val="24"/>
          <w:szCs w:val="24"/>
        </w:rPr>
        <w:t>$7</w:t>
      </w:r>
      <w:r w:rsidR="0048164E">
        <w:rPr>
          <w:rFonts w:ascii="Times New Roman" w:hAnsi="Times New Roman" w:cs="Times New Roman"/>
          <w:iCs/>
          <w:sz w:val="24"/>
          <w:szCs w:val="24"/>
        </w:rPr>
        <w:t>5.32</w:t>
      </w:r>
      <w:r w:rsidRPr="0094555B">
        <w:rPr>
          <w:rFonts w:ascii="Times New Roman" w:hAnsi="Times New Roman" w:cs="Times New Roman"/>
          <w:iCs/>
          <w:sz w:val="24"/>
          <w:szCs w:val="24"/>
        </w:rPr>
        <w:t>/</w:t>
      </w:r>
      <w:proofErr w:type="spellStart"/>
      <w:r w:rsidRPr="0094555B">
        <w:rPr>
          <w:rFonts w:ascii="Times New Roman" w:hAnsi="Times New Roman" w:cs="Times New Roman"/>
          <w:iCs/>
          <w:sz w:val="24"/>
          <w:szCs w:val="24"/>
        </w:rPr>
        <w:t>hr</w:t>
      </w:r>
      <w:proofErr w:type="spellEnd"/>
      <w:r w:rsidRPr="0094555B">
        <w:rPr>
          <w:rFonts w:ascii="Times New Roman" w:hAnsi="Times New Roman" w:cs="Times New Roman"/>
          <w:iCs/>
          <w:sz w:val="24"/>
          <w:szCs w:val="24"/>
        </w:rPr>
        <w:t xml:space="preserve"> for a business operations specialist to maintain the operation of the committee (hold meetings, distribute materials to members, and maintain minutes) for up to 14 new programs.  Existing programs already meet this requirement.  In aggregate, we estimate </w:t>
      </w:r>
      <w:r w:rsidRPr="0094555B">
        <w:rPr>
          <w:rFonts w:ascii="Times New Roman" w:hAnsi="Times New Roman" w:cs="Times New Roman"/>
          <w:b/>
          <w:iCs/>
          <w:sz w:val="24"/>
          <w:szCs w:val="24"/>
        </w:rPr>
        <w:t xml:space="preserve">84 </w:t>
      </w:r>
      <w:proofErr w:type="spellStart"/>
      <w:r w:rsidRPr="0094555B">
        <w:rPr>
          <w:rFonts w:ascii="Times New Roman" w:hAnsi="Times New Roman" w:cs="Times New Roman"/>
          <w:b/>
          <w:iCs/>
          <w:sz w:val="24"/>
          <w:szCs w:val="24"/>
        </w:rPr>
        <w:t>hr</w:t>
      </w:r>
      <w:proofErr w:type="spellEnd"/>
      <w:r w:rsidRPr="0094555B">
        <w:rPr>
          <w:rFonts w:ascii="Times New Roman" w:hAnsi="Times New Roman" w:cs="Times New Roman"/>
          <w:iCs/>
          <w:sz w:val="24"/>
          <w:szCs w:val="24"/>
        </w:rPr>
        <w:t xml:space="preserve"> (14 states x 6 </w:t>
      </w:r>
      <w:proofErr w:type="spellStart"/>
      <w:r w:rsidRPr="0094555B">
        <w:rPr>
          <w:rFonts w:ascii="Times New Roman" w:hAnsi="Times New Roman" w:cs="Times New Roman"/>
          <w:iCs/>
          <w:sz w:val="24"/>
          <w:szCs w:val="24"/>
        </w:rPr>
        <w:t>hr</w:t>
      </w:r>
      <w:proofErr w:type="spellEnd"/>
      <w:r w:rsidRPr="0094555B">
        <w:rPr>
          <w:rFonts w:ascii="Times New Roman" w:hAnsi="Times New Roman" w:cs="Times New Roman"/>
          <w:iCs/>
          <w:sz w:val="24"/>
          <w:szCs w:val="24"/>
        </w:rPr>
        <w:t xml:space="preserve">) and </w:t>
      </w:r>
      <w:r w:rsidRPr="0094555B">
        <w:rPr>
          <w:rFonts w:ascii="Times New Roman" w:hAnsi="Times New Roman" w:cs="Times New Roman"/>
          <w:b/>
          <w:iCs/>
          <w:sz w:val="24"/>
          <w:szCs w:val="24"/>
        </w:rPr>
        <w:t>$</w:t>
      </w:r>
      <w:r w:rsidRPr="0094555B" w:rsidR="00281A8C">
        <w:rPr>
          <w:rFonts w:ascii="Times New Roman" w:hAnsi="Times New Roman" w:cs="Times New Roman"/>
          <w:b/>
          <w:iCs/>
          <w:sz w:val="24"/>
          <w:szCs w:val="24"/>
        </w:rPr>
        <w:t>6,</w:t>
      </w:r>
      <w:r w:rsidR="0048164E">
        <w:rPr>
          <w:rFonts w:ascii="Times New Roman" w:hAnsi="Times New Roman" w:cs="Times New Roman"/>
          <w:b/>
          <w:iCs/>
          <w:sz w:val="24"/>
          <w:szCs w:val="24"/>
        </w:rPr>
        <w:t>327</w:t>
      </w:r>
      <w:r w:rsidRPr="0094555B">
        <w:rPr>
          <w:rFonts w:ascii="Times New Roman" w:hAnsi="Times New Roman" w:cs="Times New Roman"/>
          <w:iCs/>
          <w:sz w:val="24"/>
          <w:szCs w:val="24"/>
        </w:rPr>
        <w:t xml:space="preserve"> (84hr x </w:t>
      </w:r>
      <w:r w:rsidRPr="0094555B" w:rsidR="00773C0B">
        <w:rPr>
          <w:rFonts w:ascii="Times New Roman" w:hAnsi="Times New Roman" w:cs="Times New Roman"/>
          <w:iCs/>
          <w:sz w:val="24"/>
          <w:szCs w:val="24"/>
        </w:rPr>
        <w:t>$7</w:t>
      </w:r>
      <w:r w:rsidR="0048164E">
        <w:rPr>
          <w:rFonts w:ascii="Times New Roman" w:hAnsi="Times New Roman" w:cs="Times New Roman"/>
          <w:iCs/>
          <w:sz w:val="24"/>
          <w:szCs w:val="24"/>
        </w:rPr>
        <w:t>5.32</w:t>
      </w:r>
      <w:r w:rsidRPr="0094555B">
        <w:rPr>
          <w:rFonts w:ascii="Times New Roman" w:hAnsi="Times New Roman" w:cs="Times New Roman"/>
          <w:iCs/>
          <w:sz w:val="24"/>
          <w:szCs w:val="24"/>
        </w:rPr>
        <w:t>/</w:t>
      </w:r>
      <w:proofErr w:type="spellStart"/>
      <w:r w:rsidRPr="0094555B">
        <w:rPr>
          <w:rFonts w:ascii="Times New Roman" w:hAnsi="Times New Roman" w:cs="Times New Roman"/>
          <w:iCs/>
          <w:sz w:val="24"/>
          <w:szCs w:val="24"/>
        </w:rPr>
        <w:t>hr</w:t>
      </w:r>
      <w:proofErr w:type="spellEnd"/>
      <w:r w:rsidRPr="0094555B">
        <w:rPr>
          <w:rFonts w:ascii="Times New Roman" w:hAnsi="Times New Roman" w:cs="Times New Roman"/>
          <w:iCs/>
          <w:sz w:val="24"/>
          <w:szCs w:val="24"/>
        </w:rPr>
        <w:t xml:space="preserve">). </w:t>
      </w:r>
      <w:r w:rsidRPr="0094555B">
        <w:rPr>
          <w:rFonts w:ascii="Times New Roman" w:hAnsi="Times New Roman" w:cs="Times New Roman"/>
          <w:b/>
          <w:iCs/>
          <w:sz w:val="24"/>
          <w:szCs w:val="24"/>
        </w:rPr>
        <w:t>(</w:t>
      </w:r>
      <w:r w:rsidRPr="0094555B" w:rsidR="005F5165">
        <w:rPr>
          <w:rFonts w:ascii="Times New Roman" w:hAnsi="Times New Roman" w:cs="Times New Roman"/>
          <w:b/>
          <w:iCs/>
          <w:sz w:val="24"/>
          <w:szCs w:val="24"/>
        </w:rPr>
        <w:t>ESTIMATE</w:t>
      </w:r>
      <w:r w:rsidRPr="0094555B">
        <w:rPr>
          <w:rFonts w:ascii="Times New Roman" w:hAnsi="Times New Roman" w:cs="Times New Roman"/>
          <w:b/>
          <w:iCs/>
          <w:sz w:val="24"/>
          <w:szCs w:val="24"/>
        </w:rPr>
        <w:t xml:space="preserve"> 12.33)</w:t>
      </w:r>
      <w:bookmarkEnd w:id="52"/>
    </w:p>
    <w:p w:rsidRPr="0094555B" w:rsidR="00332B7B" w:rsidP="0094555B" w:rsidRDefault="00644841" w14:paraId="3495857D" w14:textId="34807F80">
      <w:pPr>
        <w:rPr>
          <w:rFonts w:ascii="Times New Roman" w:hAnsi="Times New Roman" w:cs="Times New Roman"/>
          <w:sz w:val="24"/>
          <w:szCs w:val="24"/>
        </w:rPr>
      </w:pPr>
      <w:r w:rsidRPr="0094555B">
        <w:rPr>
          <w:rFonts w:ascii="Times New Roman" w:hAnsi="Times New Roman" w:cs="Times New Roman"/>
          <w:sz w:val="24"/>
          <w:szCs w:val="24"/>
          <w:u w:val="single"/>
        </w:rPr>
        <w:t>Section 438.207 Assurance of adequate capacity and services</w:t>
      </w:r>
    </w:p>
    <w:p w:rsidR="00624B15" w:rsidP="0094555B" w:rsidRDefault="00332B7B" w14:paraId="507398A9" w14:textId="2FFF6E9C">
      <w:pPr>
        <w:rPr>
          <w:rFonts w:ascii="Times New Roman" w:hAnsi="Times New Roman" w:cs="Times New Roman"/>
          <w:b/>
          <w:iCs/>
          <w:sz w:val="24"/>
          <w:szCs w:val="24"/>
        </w:rPr>
      </w:pPr>
      <w:r w:rsidRPr="0094555B">
        <w:rPr>
          <w:rFonts w:ascii="Times New Roman" w:hAnsi="Times New Roman" w:cs="Times New Roman"/>
          <w:sz w:val="24"/>
          <w:szCs w:val="24"/>
        </w:rPr>
        <w:t xml:space="preserve">Section </w:t>
      </w:r>
      <w:r w:rsidRPr="0094555B" w:rsidR="00644841">
        <w:rPr>
          <w:rFonts w:ascii="Times New Roman" w:hAnsi="Times New Roman" w:cs="Times New Roman"/>
          <w:sz w:val="24"/>
          <w:szCs w:val="24"/>
        </w:rPr>
        <w:t xml:space="preserve">438.207(b) through (c) require MCOs, PIHPs, and PAHPs to submit documentation to the state of their compliance with §438.207(a).  </w:t>
      </w:r>
      <w:r w:rsidRPr="0094555B" w:rsidR="00624B15">
        <w:rPr>
          <w:rFonts w:ascii="Times New Roman" w:hAnsi="Times New Roman" w:cs="Times New Roman"/>
          <w:sz w:val="24"/>
          <w:szCs w:val="24"/>
        </w:rPr>
        <w:t xml:space="preserve">We estimate an annual private sector burden of 2 </w:t>
      </w:r>
      <w:proofErr w:type="spellStart"/>
      <w:r w:rsidRPr="0094555B" w:rsidR="00624B15">
        <w:rPr>
          <w:rFonts w:ascii="Times New Roman" w:hAnsi="Times New Roman" w:cs="Times New Roman"/>
          <w:sz w:val="24"/>
          <w:szCs w:val="24"/>
        </w:rPr>
        <w:t>hr</w:t>
      </w:r>
      <w:proofErr w:type="spellEnd"/>
      <w:r w:rsidRPr="0094555B" w:rsidR="00624B15">
        <w:rPr>
          <w:rFonts w:ascii="Times New Roman" w:hAnsi="Times New Roman" w:cs="Times New Roman"/>
          <w:sz w:val="24"/>
          <w:szCs w:val="24"/>
        </w:rPr>
        <w:t xml:space="preserve"> to compile and submit the information necessary to meet the requirements in §438.207(b) through (</w:t>
      </w:r>
      <w:r w:rsidRPr="0094555B" w:rsidR="009353FD">
        <w:rPr>
          <w:rFonts w:ascii="Times New Roman" w:hAnsi="Times New Roman" w:cs="Times New Roman"/>
          <w:sz w:val="24"/>
          <w:szCs w:val="24"/>
        </w:rPr>
        <w:t>c</w:t>
      </w:r>
      <w:r w:rsidRPr="0094555B" w:rsidR="00624B15">
        <w:rPr>
          <w:rFonts w:ascii="Times New Roman" w:hAnsi="Times New Roman" w:cs="Times New Roman"/>
          <w:sz w:val="24"/>
          <w:szCs w:val="24"/>
        </w:rPr>
        <w:t xml:space="preserve">).  For compilation and submission, we estimate </w:t>
      </w:r>
      <w:r w:rsidRPr="0094555B" w:rsidR="00624B15">
        <w:rPr>
          <w:rFonts w:ascii="Times New Roman" w:hAnsi="Times New Roman" w:cs="Times New Roman"/>
          <w:b/>
          <w:sz w:val="24"/>
          <w:szCs w:val="24"/>
        </w:rPr>
        <w:t xml:space="preserve">934 </w:t>
      </w:r>
      <w:proofErr w:type="spellStart"/>
      <w:r w:rsidRPr="0094555B" w:rsidR="00624B15">
        <w:rPr>
          <w:rFonts w:ascii="Times New Roman" w:hAnsi="Times New Roman" w:cs="Times New Roman"/>
          <w:b/>
          <w:sz w:val="24"/>
          <w:szCs w:val="24"/>
        </w:rPr>
        <w:t>hr</w:t>
      </w:r>
      <w:proofErr w:type="spellEnd"/>
      <w:r w:rsidRPr="0094555B" w:rsidR="00624B15">
        <w:rPr>
          <w:rFonts w:ascii="Times New Roman" w:hAnsi="Times New Roman" w:cs="Times New Roman"/>
          <w:sz w:val="24"/>
          <w:szCs w:val="24"/>
        </w:rPr>
        <w:t xml:space="preserve"> (467 entities x 2 </w:t>
      </w:r>
      <w:proofErr w:type="spellStart"/>
      <w:r w:rsidRPr="0094555B" w:rsidR="00624B15">
        <w:rPr>
          <w:rFonts w:ascii="Times New Roman" w:hAnsi="Times New Roman" w:cs="Times New Roman"/>
          <w:sz w:val="24"/>
          <w:szCs w:val="24"/>
        </w:rPr>
        <w:t>hr</w:t>
      </w:r>
      <w:proofErr w:type="spellEnd"/>
      <w:r w:rsidRPr="0094555B" w:rsidR="00624B15">
        <w:rPr>
          <w:rFonts w:ascii="Times New Roman" w:hAnsi="Times New Roman" w:cs="Times New Roman"/>
          <w:sz w:val="24"/>
          <w:szCs w:val="24"/>
        </w:rPr>
        <w:t xml:space="preserve">) and </w:t>
      </w:r>
      <w:r w:rsidRPr="0094555B" w:rsidR="00624B15">
        <w:rPr>
          <w:rFonts w:ascii="Times New Roman" w:hAnsi="Times New Roman" w:cs="Times New Roman"/>
          <w:b/>
          <w:sz w:val="24"/>
          <w:szCs w:val="24"/>
        </w:rPr>
        <w:t>$</w:t>
      </w:r>
      <w:r w:rsidR="0048164E">
        <w:rPr>
          <w:rFonts w:ascii="Times New Roman" w:hAnsi="Times New Roman" w:cs="Times New Roman"/>
          <w:b/>
          <w:sz w:val="24"/>
          <w:szCs w:val="24"/>
        </w:rPr>
        <w:t>70,349</w:t>
      </w:r>
      <w:r w:rsidRPr="0094555B" w:rsidR="00281A8C">
        <w:rPr>
          <w:rFonts w:ascii="Times New Roman" w:hAnsi="Times New Roman" w:cs="Times New Roman"/>
          <w:b/>
          <w:sz w:val="24"/>
          <w:szCs w:val="24"/>
        </w:rPr>
        <w:t xml:space="preserve"> </w:t>
      </w:r>
      <w:r w:rsidRPr="0094555B" w:rsidR="00624B15">
        <w:rPr>
          <w:rFonts w:ascii="Times New Roman" w:hAnsi="Times New Roman" w:cs="Times New Roman"/>
          <w:sz w:val="24"/>
          <w:szCs w:val="24"/>
        </w:rPr>
        <w:t xml:space="preserve">(934 </w:t>
      </w:r>
      <w:proofErr w:type="spellStart"/>
      <w:r w:rsidRPr="0094555B" w:rsidR="00624B15">
        <w:rPr>
          <w:rFonts w:ascii="Times New Roman" w:hAnsi="Times New Roman" w:cs="Times New Roman"/>
          <w:sz w:val="24"/>
          <w:szCs w:val="24"/>
        </w:rPr>
        <w:t>hr</w:t>
      </w:r>
      <w:proofErr w:type="spellEnd"/>
      <w:r w:rsidRPr="0094555B" w:rsidR="00624B15">
        <w:rPr>
          <w:rFonts w:ascii="Times New Roman" w:hAnsi="Times New Roman" w:cs="Times New Roman"/>
          <w:sz w:val="24"/>
          <w:szCs w:val="24"/>
        </w:rPr>
        <w:t xml:space="preserve"> x </w:t>
      </w:r>
      <w:r w:rsidRPr="0094555B" w:rsidR="00773C0B">
        <w:rPr>
          <w:rFonts w:ascii="Times New Roman" w:hAnsi="Times New Roman" w:cs="Times New Roman"/>
          <w:sz w:val="24"/>
          <w:szCs w:val="24"/>
        </w:rPr>
        <w:t>$7</w:t>
      </w:r>
      <w:r w:rsidR="0048164E">
        <w:rPr>
          <w:rFonts w:ascii="Times New Roman" w:hAnsi="Times New Roman" w:cs="Times New Roman"/>
          <w:sz w:val="24"/>
          <w:szCs w:val="24"/>
        </w:rPr>
        <w:t>5.32</w:t>
      </w:r>
      <w:r w:rsidRPr="0094555B" w:rsidR="00624B15">
        <w:rPr>
          <w:rFonts w:ascii="Times New Roman" w:hAnsi="Times New Roman" w:cs="Times New Roman"/>
          <w:sz w:val="24"/>
          <w:szCs w:val="24"/>
        </w:rPr>
        <w:t>/</w:t>
      </w:r>
      <w:proofErr w:type="spellStart"/>
      <w:r w:rsidRPr="0094555B" w:rsidR="00624B15">
        <w:rPr>
          <w:rFonts w:ascii="Times New Roman" w:hAnsi="Times New Roman" w:cs="Times New Roman"/>
          <w:sz w:val="24"/>
          <w:szCs w:val="24"/>
        </w:rPr>
        <w:t>hr</w:t>
      </w:r>
      <w:proofErr w:type="spellEnd"/>
      <w:r w:rsidRPr="0094555B" w:rsidR="00624B15">
        <w:rPr>
          <w:rFonts w:ascii="Times New Roman" w:hAnsi="Times New Roman" w:cs="Times New Roman"/>
          <w:sz w:val="24"/>
          <w:szCs w:val="24"/>
        </w:rPr>
        <w:t xml:space="preserve">). </w:t>
      </w:r>
      <w:bookmarkStart w:name="_Hlk83721573" w:id="53"/>
      <w:r w:rsidRPr="0094555B" w:rsidR="00624B15">
        <w:rPr>
          <w:rFonts w:ascii="Times New Roman" w:hAnsi="Times New Roman" w:cs="Times New Roman"/>
          <w:b/>
          <w:iCs/>
          <w:sz w:val="24"/>
          <w:szCs w:val="24"/>
        </w:rPr>
        <w:t>(</w:t>
      </w:r>
      <w:r w:rsidRPr="0094555B" w:rsidR="005F5165">
        <w:rPr>
          <w:rFonts w:ascii="Times New Roman" w:hAnsi="Times New Roman" w:cs="Times New Roman"/>
          <w:b/>
          <w:iCs/>
          <w:sz w:val="24"/>
          <w:szCs w:val="24"/>
        </w:rPr>
        <w:t>ESTIMATE</w:t>
      </w:r>
      <w:r w:rsidRPr="0094555B" w:rsidR="00624B15">
        <w:rPr>
          <w:rFonts w:ascii="Times New Roman" w:hAnsi="Times New Roman" w:cs="Times New Roman"/>
          <w:b/>
          <w:iCs/>
          <w:sz w:val="24"/>
          <w:szCs w:val="24"/>
        </w:rPr>
        <w:t xml:space="preserve"> 12.34b)</w:t>
      </w:r>
      <w:bookmarkEnd w:id="53"/>
    </w:p>
    <w:p w:rsidRPr="00466B5F" w:rsidR="00466B5F" w:rsidP="00466B5F" w:rsidRDefault="005A5F68" w14:paraId="1F7410DE" w14:textId="0F7980F4">
      <w:pPr>
        <w:pStyle w:val="BodyText"/>
        <w:rPr>
          <w:rFonts w:ascii="Times New Roman" w:hAnsi="Times New Roman" w:cs="Times New Roman"/>
          <w:sz w:val="24"/>
          <w:szCs w:val="24"/>
        </w:rPr>
      </w:pPr>
      <w:r>
        <w:rPr>
          <w:rFonts w:ascii="Times New Roman" w:hAnsi="Times New Roman" w:cs="Times New Roman"/>
          <w:bCs/>
          <w:sz w:val="24"/>
          <w:szCs w:val="24"/>
        </w:rPr>
        <w:t xml:space="preserve">Section </w:t>
      </w:r>
      <w:r w:rsidRPr="005A5F68" w:rsidR="00466B5F">
        <w:rPr>
          <w:rFonts w:ascii="Times New Roman" w:hAnsi="Times New Roman" w:cs="Times New Roman"/>
          <w:bCs/>
          <w:sz w:val="24"/>
          <w:szCs w:val="24"/>
        </w:rPr>
        <w:t>438.207(d)</w:t>
      </w:r>
      <w:r w:rsidRPr="00466B5F" w:rsidR="00466B5F">
        <w:rPr>
          <w:rFonts w:ascii="Times New Roman" w:hAnsi="Times New Roman" w:cs="Times New Roman"/>
          <w:b/>
          <w:bCs/>
          <w:sz w:val="24"/>
          <w:szCs w:val="24"/>
        </w:rPr>
        <w:t xml:space="preserve"> </w:t>
      </w:r>
      <w:r w:rsidRPr="00466B5F" w:rsidR="00466B5F">
        <w:rPr>
          <w:rFonts w:ascii="Times New Roman" w:hAnsi="Times New Roman" w:cs="Times New Roman"/>
          <w:sz w:val="24"/>
          <w:szCs w:val="24"/>
        </w:rPr>
        <w:t xml:space="preserve">requires </w:t>
      </w:r>
      <w:r w:rsidR="00377FAC">
        <w:rPr>
          <w:rFonts w:ascii="Times New Roman" w:hAnsi="Times New Roman" w:cs="Times New Roman"/>
          <w:sz w:val="24"/>
          <w:szCs w:val="24"/>
        </w:rPr>
        <w:t>s</w:t>
      </w:r>
      <w:r w:rsidRPr="00466B5F" w:rsidR="00466B5F">
        <w:rPr>
          <w:rFonts w:ascii="Times New Roman" w:hAnsi="Times New Roman" w:cs="Times New Roman"/>
          <w:sz w:val="24"/>
          <w:szCs w:val="24"/>
        </w:rPr>
        <w:t>tate</w:t>
      </w:r>
      <w:r w:rsidR="00377FAC">
        <w:rPr>
          <w:rFonts w:ascii="Times New Roman" w:hAnsi="Times New Roman" w:cs="Times New Roman"/>
          <w:sz w:val="24"/>
          <w:szCs w:val="24"/>
        </w:rPr>
        <w:t>s</w:t>
      </w:r>
      <w:r w:rsidRPr="00466B5F" w:rsidR="00466B5F">
        <w:rPr>
          <w:rFonts w:ascii="Times New Roman" w:hAnsi="Times New Roman" w:cs="Times New Roman"/>
          <w:sz w:val="24"/>
          <w:szCs w:val="24"/>
        </w:rPr>
        <w:t xml:space="preserve"> t</w:t>
      </w:r>
      <w:r w:rsidR="00377FAC">
        <w:rPr>
          <w:rFonts w:ascii="Times New Roman" w:hAnsi="Times New Roman" w:cs="Times New Roman"/>
          <w:sz w:val="24"/>
          <w:szCs w:val="24"/>
        </w:rPr>
        <w:t>o</w:t>
      </w:r>
      <w:r w:rsidRPr="00466B5F" w:rsidR="00466B5F">
        <w:rPr>
          <w:rFonts w:ascii="Times New Roman" w:hAnsi="Times New Roman" w:cs="Times New Roman"/>
          <w:sz w:val="24"/>
          <w:szCs w:val="24"/>
        </w:rPr>
        <w:t xml:space="preserve"> submit an assurance of compliance to CMS that the</w:t>
      </w:r>
      <w:r w:rsidR="004F0CAE">
        <w:rPr>
          <w:rFonts w:ascii="Times New Roman" w:hAnsi="Times New Roman" w:cs="Times New Roman"/>
          <w:sz w:val="24"/>
          <w:szCs w:val="24"/>
        </w:rPr>
        <w:t>ir</w:t>
      </w:r>
      <w:r w:rsidRPr="00466B5F" w:rsidR="00466B5F">
        <w:rPr>
          <w:rFonts w:ascii="Times New Roman" w:hAnsi="Times New Roman" w:cs="Times New Roman"/>
          <w:sz w:val="24"/>
          <w:szCs w:val="24"/>
        </w:rPr>
        <w:t xml:space="preserve"> MCO</w:t>
      </w:r>
      <w:r w:rsidR="004F0CAE">
        <w:rPr>
          <w:rFonts w:ascii="Times New Roman" w:hAnsi="Times New Roman" w:cs="Times New Roman"/>
          <w:sz w:val="24"/>
          <w:szCs w:val="24"/>
        </w:rPr>
        <w:t>s</w:t>
      </w:r>
      <w:r w:rsidRPr="00466B5F" w:rsidR="00466B5F">
        <w:rPr>
          <w:rFonts w:ascii="Times New Roman" w:hAnsi="Times New Roman" w:cs="Times New Roman"/>
          <w:sz w:val="24"/>
          <w:szCs w:val="24"/>
        </w:rPr>
        <w:t>, PIHP</w:t>
      </w:r>
      <w:r w:rsidR="004F0CAE">
        <w:rPr>
          <w:rFonts w:ascii="Times New Roman" w:hAnsi="Times New Roman" w:cs="Times New Roman"/>
          <w:sz w:val="24"/>
          <w:szCs w:val="24"/>
        </w:rPr>
        <w:t>s</w:t>
      </w:r>
      <w:r w:rsidRPr="00466B5F" w:rsidR="00466B5F">
        <w:rPr>
          <w:rFonts w:ascii="Times New Roman" w:hAnsi="Times New Roman" w:cs="Times New Roman"/>
          <w:sz w:val="24"/>
          <w:szCs w:val="24"/>
        </w:rPr>
        <w:t xml:space="preserve">, </w:t>
      </w:r>
      <w:r w:rsidR="004F0CAE">
        <w:rPr>
          <w:rFonts w:ascii="Times New Roman" w:hAnsi="Times New Roman" w:cs="Times New Roman"/>
          <w:sz w:val="24"/>
          <w:szCs w:val="24"/>
        </w:rPr>
        <w:t>and</w:t>
      </w:r>
      <w:r w:rsidRPr="00466B5F" w:rsidR="00466B5F">
        <w:rPr>
          <w:rFonts w:ascii="Times New Roman" w:hAnsi="Times New Roman" w:cs="Times New Roman"/>
          <w:sz w:val="24"/>
          <w:szCs w:val="24"/>
        </w:rPr>
        <w:t xml:space="preserve"> PAHP</w:t>
      </w:r>
      <w:r w:rsidR="004F0CAE">
        <w:rPr>
          <w:rFonts w:ascii="Times New Roman" w:hAnsi="Times New Roman" w:cs="Times New Roman"/>
          <w:sz w:val="24"/>
          <w:szCs w:val="24"/>
        </w:rPr>
        <w:t>s</w:t>
      </w:r>
      <w:r w:rsidRPr="00466B5F" w:rsidR="00466B5F">
        <w:rPr>
          <w:rFonts w:ascii="Times New Roman" w:hAnsi="Times New Roman" w:cs="Times New Roman"/>
          <w:sz w:val="24"/>
          <w:szCs w:val="24"/>
        </w:rPr>
        <w:t xml:space="preserve"> meet the State's requirements for availability of services</w:t>
      </w:r>
      <w:r w:rsidR="004F0CAE">
        <w:rPr>
          <w:rFonts w:ascii="Times New Roman" w:hAnsi="Times New Roman" w:cs="Times New Roman"/>
          <w:sz w:val="24"/>
          <w:szCs w:val="24"/>
        </w:rPr>
        <w:t xml:space="preserve">.  </w:t>
      </w:r>
      <w:r w:rsidRPr="00466B5F" w:rsidR="00466B5F">
        <w:rPr>
          <w:rFonts w:ascii="Times New Roman" w:hAnsi="Times New Roman" w:cs="Times New Roman"/>
          <w:sz w:val="24"/>
          <w:szCs w:val="24"/>
        </w:rPr>
        <w:t xml:space="preserve">The submission to CMS must include documentation of an analysis </w:t>
      </w:r>
      <w:r w:rsidR="00794504">
        <w:rPr>
          <w:rFonts w:ascii="Times New Roman" w:hAnsi="Times New Roman" w:cs="Times New Roman"/>
          <w:sz w:val="24"/>
          <w:szCs w:val="24"/>
        </w:rPr>
        <w:t xml:space="preserve">by the state </w:t>
      </w:r>
      <w:r w:rsidRPr="00466B5F" w:rsidR="00466B5F">
        <w:rPr>
          <w:rFonts w:ascii="Times New Roman" w:hAnsi="Times New Roman" w:cs="Times New Roman"/>
          <w:sz w:val="24"/>
          <w:szCs w:val="24"/>
        </w:rPr>
        <w:t>that supports the assurance of the adequacy of the network for each contracted MCO, PIHP or PAHP</w:t>
      </w:r>
      <w:r w:rsidR="00794504">
        <w:rPr>
          <w:rFonts w:ascii="Times New Roman" w:hAnsi="Times New Roman" w:cs="Times New Roman"/>
          <w:sz w:val="24"/>
          <w:szCs w:val="24"/>
        </w:rPr>
        <w:t xml:space="preserve"> and the accessibility of covered services</w:t>
      </w:r>
      <w:r w:rsidRPr="00466B5F" w:rsidR="00466B5F">
        <w:rPr>
          <w:rFonts w:ascii="Times New Roman" w:hAnsi="Times New Roman" w:cs="Times New Roman"/>
          <w:sz w:val="24"/>
          <w:szCs w:val="24"/>
        </w:rPr>
        <w:t xml:space="preserve">.  </w:t>
      </w:r>
      <w:r w:rsidR="002877D0">
        <w:rPr>
          <w:rFonts w:ascii="Times New Roman" w:hAnsi="Times New Roman" w:cs="Times New Roman"/>
          <w:sz w:val="24"/>
          <w:szCs w:val="24"/>
        </w:rPr>
        <w:t xml:space="preserve">This burden estimate was omitted from the prior PRA package as CMS did not intend to provide a reporting template.  However, after </w:t>
      </w:r>
      <w:r w:rsidR="0024243B">
        <w:rPr>
          <w:rFonts w:ascii="Times New Roman" w:hAnsi="Times New Roman" w:cs="Times New Roman"/>
          <w:sz w:val="24"/>
          <w:szCs w:val="24"/>
        </w:rPr>
        <w:t xml:space="preserve">receiving additional state feedback, </w:t>
      </w:r>
      <w:r w:rsidR="004F0CAE">
        <w:rPr>
          <w:rFonts w:ascii="Times New Roman" w:hAnsi="Times New Roman" w:cs="Times New Roman"/>
          <w:sz w:val="24"/>
          <w:szCs w:val="24"/>
        </w:rPr>
        <w:t xml:space="preserve">CMS is providing a reporting template for states to use </w:t>
      </w:r>
      <w:r w:rsidR="00944C72">
        <w:rPr>
          <w:rFonts w:ascii="Times New Roman" w:hAnsi="Times New Roman" w:cs="Times New Roman"/>
          <w:sz w:val="24"/>
          <w:szCs w:val="24"/>
        </w:rPr>
        <w:t>to fulfill</w:t>
      </w:r>
      <w:r w:rsidR="004F0CAE">
        <w:rPr>
          <w:rFonts w:ascii="Times New Roman" w:hAnsi="Times New Roman" w:cs="Times New Roman"/>
          <w:sz w:val="24"/>
          <w:szCs w:val="24"/>
        </w:rPr>
        <w:t xml:space="preserve"> this requirement</w:t>
      </w:r>
      <w:r w:rsidR="00944C72">
        <w:rPr>
          <w:rFonts w:ascii="Times New Roman" w:hAnsi="Times New Roman" w:cs="Times New Roman"/>
          <w:sz w:val="24"/>
          <w:szCs w:val="24"/>
        </w:rPr>
        <w:t xml:space="preserve"> to enable states to easily and consistently submit the necessary level of detailed data to CMS for tracking, analysis, and program monitoring</w:t>
      </w:r>
      <w:r w:rsidR="004F0CAE">
        <w:rPr>
          <w:rFonts w:ascii="Times New Roman" w:hAnsi="Times New Roman" w:cs="Times New Roman"/>
          <w:sz w:val="24"/>
          <w:szCs w:val="24"/>
        </w:rPr>
        <w:t xml:space="preserve">.  </w:t>
      </w:r>
      <w:r w:rsidR="00F51276">
        <w:rPr>
          <w:rFonts w:ascii="Times New Roman" w:hAnsi="Times New Roman" w:cs="Times New Roman"/>
          <w:sz w:val="24"/>
          <w:szCs w:val="24"/>
        </w:rPr>
        <w:t xml:space="preserve">We estimate an annual state burden of </w:t>
      </w:r>
      <w:r w:rsidRPr="00466B5F" w:rsidR="00466B5F">
        <w:rPr>
          <w:rFonts w:ascii="Times New Roman" w:hAnsi="Times New Roman" w:cs="Times New Roman"/>
          <w:sz w:val="24"/>
          <w:szCs w:val="24"/>
        </w:rPr>
        <w:t xml:space="preserve">3 hours for a </w:t>
      </w:r>
      <w:r w:rsidR="004F0CAE">
        <w:rPr>
          <w:rFonts w:ascii="Times New Roman" w:hAnsi="Times New Roman" w:cs="Times New Roman"/>
          <w:sz w:val="24"/>
          <w:szCs w:val="24"/>
        </w:rPr>
        <w:t>business operations specialist</w:t>
      </w:r>
      <w:r w:rsidR="00F51276">
        <w:rPr>
          <w:rFonts w:ascii="Times New Roman" w:hAnsi="Times New Roman" w:cs="Times New Roman"/>
          <w:sz w:val="24"/>
          <w:szCs w:val="24"/>
        </w:rPr>
        <w:t xml:space="preserve"> at $75.32/hr</w:t>
      </w:r>
      <w:r w:rsidR="004F0CAE">
        <w:rPr>
          <w:rFonts w:ascii="Times New Roman" w:hAnsi="Times New Roman" w:cs="Times New Roman"/>
          <w:sz w:val="24"/>
          <w:szCs w:val="24"/>
        </w:rPr>
        <w:t xml:space="preserve">. </w:t>
      </w:r>
      <w:r w:rsidR="00097C7A">
        <w:rPr>
          <w:rFonts w:ascii="Times New Roman" w:hAnsi="Times New Roman" w:cs="Times New Roman"/>
          <w:sz w:val="24"/>
          <w:szCs w:val="24"/>
        </w:rPr>
        <w:t xml:space="preserve"> Although states may need to submit a revision to this report at other times during a year (specified at 438.207(c)), we believe these submissions will be infrequent and </w:t>
      </w:r>
      <w:r w:rsidR="004B3F24">
        <w:rPr>
          <w:rFonts w:ascii="Times New Roman" w:hAnsi="Times New Roman" w:cs="Times New Roman"/>
          <w:sz w:val="24"/>
          <w:szCs w:val="24"/>
        </w:rPr>
        <w:t xml:space="preserve">require minimal updating to the template; therefore, the burden estimated here in inclusive of occasional revisions. </w:t>
      </w:r>
      <w:r w:rsidR="004F0CAE">
        <w:rPr>
          <w:rFonts w:ascii="Times New Roman" w:hAnsi="Times New Roman" w:cs="Times New Roman"/>
          <w:sz w:val="24"/>
          <w:szCs w:val="24"/>
        </w:rPr>
        <w:t xml:space="preserve"> </w:t>
      </w:r>
      <w:r w:rsidR="004B3F24">
        <w:rPr>
          <w:rFonts w:ascii="Times New Roman" w:hAnsi="Times New Roman" w:cs="Times New Roman"/>
          <w:sz w:val="24"/>
          <w:szCs w:val="24"/>
        </w:rPr>
        <w:t>I</w:t>
      </w:r>
      <w:r w:rsidR="00097C7A">
        <w:rPr>
          <w:rFonts w:ascii="Times New Roman" w:hAnsi="Times New Roman" w:cs="Times New Roman"/>
          <w:sz w:val="24"/>
          <w:szCs w:val="24"/>
        </w:rPr>
        <w:t>n aggregate, w</w:t>
      </w:r>
      <w:r w:rsidRPr="004F0CAE" w:rsidR="004F0CAE">
        <w:rPr>
          <w:rFonts w:ascii="Times New Roman" w:hAnsi="Times New Roman" w:cs="Times New Roman"/>
          <w:sz w:val="24"/>
          <w:szCs w:val="24"/>
        </w:rPr>
        <w:t>e estimate an annual state burden</w:t>
      </w:r>
      <w:r w:rsidR="004F0CAE">
        <w:rPr>
          <w:rFonts w:ascii="Times New Roman" w:hAnsi="Times New Roman" w:cs="Times New Roman"/>
          <w:sz w:val="24"/>
          <w:szCs w:val="24"/>
        </w:rPr>
        <w:t xml:space="preserve"> of </w:t>
      </w:r>
      <w:r w:rsidRPr="0048164E" w:rsidR="004F0CAE">
        <w:rPr>
          <w:rFonts w:ascii="Times New Roman" w:hAnsi="Times New Roman" w:cs="Times New Roman"/>
          <w:b/>
          <w:sz w:val="24"/>
          <w:szCs w:val="24"/>
        </w:rPr>
        <w:t xml:space="preserve">123 </w:t>
      </w:r>
      <w:proofErr w:type="spellStart"/>
      <w:r w:rsidRPr="0048164E" w:rsidR="004F0CAE">
        <w:rPr>
          <w:rFonts w:ascii="Times New Roman" w:hAnsi="Times New Roman" w:cs="Times New Roman"/>
          <w:b/>
          <w:sz w:val="24"/>
          <w:szCs w:val="24"/>
        </w:rPr>
        <w:t>hrs</w:t>
      </w:r>
      <w:proofErr w:type="spellEnd"/>
      <w:r w:rsidR="004F0CAE">
        <w:rPr>
          <w:rFonts w:ascii="Times New Roman" w:hAnsi="Times New Roman" w:cs="Times New Roman"/>
          <w:sz w:val="24"/>
          <w:szCs w:val="24"/>
        </w:rPr>
        <w:t xml:space="preserve"> (41 state x 3 </w:t>
      </w:r>
      <w:proofErr w:type="spellStart"/>
      <w:r w:rsidR="004F0CAE">
        <w:rPr>
          <w:rFonts w:ascii="Times New Roman" w:hAnsi="Times New Roman" w:cs="Times New Roman"/>
          <w:sz w:val="24"/>
          <w:szCs w:val="24"/>
        </w:rPr>
        <w:t>hrs</w:t>
      </w:r>
      <w:proofErr w:type="spellEnd"/>
      <w:r w:rsidR="004F0CAE">
        <w:rPr>
          <w:rFonts w:ascii="Times New Roman" w:hAnsi="Times New Roman" w:cs="Times New Roman"/>
          <w:sz w:val="24"/>
          <w:szCs w:val="24"/>
        </w:rPr>
        <w:t>)</w:t>
      </w:r>
      <w:r w:rsidRPr="00466B5F" w:rsidR="00466B5F">
        <w:rPr>
          <w:rFonts w:ascii="Times New Roman" w:hAnsi="Times New Roman" w:cs="Times New Roman"/>
          <w:sz w:val="24"/>
          <w:szCs w:val="24"/>
        </w:rPr>
        <w:t xml:space="preserve"> </w:t>
      </w:r>
      <w:r w:rsidR="004F0CAE">
        <w:rPr>
          <w:rFonts w:ascii="Times New Roman" w:hAnsi="Times New Roman" w:cs="Times New Roman"/>
          <w:sz w:val="24"/>
          <w:szCs w:val="24"/>
        </w:rPr>
        <w:t xml:space="preserve">and </w:t>
      </w:r>
      <w:r w:rsidRPr="0048164E" w:rsidR="00466B5F">
        <w:rPr>
          <w:rFonts w:ascii="Times New Roman" w:hAnsi="Times New Roman" w:cs="Times New Roman"/>
          <w:b/>
          <w:sz w:val="24"/>
          <w:szCs w:val="24"/>
        </w:rPr>
        <w:t>$</w:t>
      </w:r>
      <w:r w:rsidR="006E3CD5">
        <w:rPr>
          <w:rFonts w:ascii="Times New Roman" w:hAnsi="Times New Roman" w:cs="Times New Roman"/>
          <w:b/>
          <w:sz w:val="24"/>
          <w:szCs w:val="24"/>
        </w:rPr>
        <w:t>9,264</w:t>
      </w:r>
      <w:r w:rsidRPr="00466B5F" w:rsidR="00466B5F">
        <w:rPr>
          <w:rFonts w:ascii="Times New Roman" w:hAnsi="Times New Roman" w:cs="Times New Roman"/>
          <w:sz w:val="24"/>
          <w:szCs w:val="24"/>
        </w:rPr>
        <w:t xml:space="preserve"> </w:t>
      </w:r>
      <w:r w:rsidR="004F0CAE">
        <w:rPr>
          <w:rFonts w:ascii="Times New Roman" w:hAnsi="Times New Roman" w:cs="Times New Roman"/>
          <w:sz w:val="24"/>
          <w:szCs w:val="24"/>
        </w:rPr>
        <w:t xml:space="preserve">(123 </w:t>
      </w:r>
      <w:proofErr w:type="spellStart"/>
      <w:r w:rsidR="004F0CAE">
        <w:rPr>
          <w:rFonts w:ascii="Times New Roman" w:hAnsi="Times New Roman" w:cs="Times New Roman"/>
          <w:sz w:val="24"/>
          <w:szCs w:val="24"/>
        </w:rPr>
        <w:t>hrs</w:t>
      </w:r>
      <w:proofErr w:type="spellEnd"/>
      <w:r w:rsidR="004F0CAE">
        <w:rPr>
          <w:rFonts w:ascii="Times New Roman" w:hAnsi="Times New Roman" w:cs="Times New Roman"/>
          <w:sz w:val="24"/>
          <w:szCs w:val="24"/>
        </w:rPr>
        <w:t xml:space="preserve"> x $7</w:t>
      </w:r>
      <w:r w:rsidR="0048164E">
        <w:rPr>
          <w:rFonts w:ascii="Times New Roman" w:hAnsi="Times New Roman" w:cs="Times New Roman"/>
          <w:sz w:val="24"/>
          <w:szCs w:val="24"/>
        </w:rPr>
        <w:t>5.32</w:t>
      </w:r>
      <w:r w:rsidR="004F0CAE">
        <w:rPr>
          <w:rFonts w:ascii="Times New Roman" w:hAnsi="Times New Roman" w:cs="Times New Roman"/>
          <w:sz w:val="24"/>
          <w:szCs w:val="24"/>
        </w:rPr>
        <w:t>/</w:t>
      </w:r>
      <w:proofErr w:type="spellStart"/>
      <w:r w:rsidR="004F0CAE">
        <w:rPr>
          <w:rFonts w:ascii="Times New Roman" w:hAnsi="Times New Roman" w:cs="Times New Roman"/>
          <w:sz w:val="24"/>
          <w:szCs w:val="24"/>
        </w:rPr>
        <w:t>hr</w:t>
      </w:r>
      <w:proofErr w:type="spellEnd"/>
      <w:r w:rsidR="004F0CAE">
        <w:rPr>
          <w:rFonts w:ascii="Times New Roman" w:hAnsi="Times New Roman" w:cs="Times New Roman"/>
          <w:sz w:val="24"/>
          <w:szCs w:val="24"/>
        </w:rPr>
        <w:t>)</w:t>
      </w:r>
      <w:r w:rsidR="00466B5F">
        <w:rPr>
          <w:rFonts w:ascii="Times New Roman" w:hAnsi="Times New Roman" w:cs="Times New Roman"/>
          <w:sz w:val="24"/>
          <w:szCs w:val="24"/>
        </w:rPr>
        <w:t xml:space="preserve">  </w:t>
      </w:r>
      <w:r w:rsidRPr="0094555B" w:rsidR="00466B5F">
        <w:rPr>
          <w:rFonts w:ascii="Times New Roman" w:hAnsi="Times New Roman" w:cs="Times New Roman"/>
          <w:b/>
          <w:iCs/>
          <w:sz w:val="24"/>
          <w:szCs w:val="24"/>
        </w:rPr>
        <w:t>(ESTIMATE 12.34</w:t>
      </w:r>
      <w:r w:rsidR="00466B5F">
        <w:rPr>
          <w:rFonts w:ascii="Times New Roman" w:hAnsi="Times New Roman" w:cs="Times New Roman"/>
          <w:b/>
          <w:iCs/>
          <w:sz w:val="24"/>
          <w:szCs w:val="24"/>
        </w:rPr>
        <w:t>c</w:t>
      </w:r>
      <w:r w:rsidRPr="0094555B" w:rsidR="00466B5F">
        <w:rPr>
          <w:rFonts w:ascii="Times New Roman" w:hAnsi="Times New Roman" w:cs="Times New Roman"/>
          <w:b/>
          <w:iCs/>
          <w:sz w:val="24"/>
          <w:szCs w:val="24"/>
        </w:rPr>
        <w:t>)</w:t>
      </w:r>
    </w:p>
    <w:p w:rsidRPr="0094555B" w:rsidR="00332B7B" w:rsidP="0094555B" w:rsidRDefault="00624B15" w14:paraId="0F2BACF2" w14:textId="77777777">
      <w:pPr>
        <w:rPr>
          <w:rFonts w:ascii="Times New Roman" w:hAnsi="Times New Roman" w:cs="Times New Roman"/>
          <w:bCs/>
          <w:sz w:val="24"/>
          <w:szCs w:val="24"/>
        </w:rPr>
      </w:pPr>
      <w:r w:rsidRPr="0094555B">
        <w:rPr>
          <w:rFonts w:ascii="Times New Roman" w:hAnsi="Times New Roman" w:cs="Times New Roman"/>
          <w:bCs/>
          <w:sz w:val="24"/>
          <w:szCs w:val="24"/>
          <w:u w:val="single"/>
        </w:rPr>
        <w:t>Section 438.208 Coordination and continuity of care</w:t>
      </w:r>
      <w:r w:rsidRPr="0094555B" w:rsidR="001D12AA">
        <w:rPr>
          <w:rFonts w:ascii="Times New Roman" w:hAnsi="Times New Roman" w:cs="Times New Roman"/>
          <w:bCs/>
          <w:sz w:val="24"/>
          <w:szCs w:val="24"/>
          <w:u w:val="single"/>
        </w:rPr>
        <w:t>.</w:t>
      </w:r>
      <w:r w:rsidRPr="0094555B">
        <w:rPr>
          <w:rFonts w:ascii="Times New Roman" w:hAnsi="Times New Roman" w:cs="Times New Roman"/>
          <w:bCs/>
          <w:sz w:val="24"/>
          <w:szCs w:val="24"/>
        </w:rPr>
        <w:t xml:space="preserve"> </w:t>
      </w:r>
    </w:p>
    <w:p w:rsidRPr="0094555B" w:rsidR="00624B15" w:rsidP="0094555B" w:rsidRDefault="00624B15" w14:paraId="7DB46023" w14:textId="51988DFE">
      <w:pPr>
        <w:rPr>
          <w:rFonts w:ascii="Times New Roman" w:hAnsi="Times New Roman" w:cs="Times New Roman"/>
          <w:bCs/>
          <w:sz w:val="24"/>
          <w:szCs w:val="24"/>
        </w:rPr>
      </w:pPr>
      <w:r w:rsidRPr="0094555B">
        <w:rPr>
          <w:rFonts w:ascii="Times New Roman" w:hAnsi="Times New Roman" w:cs="Times New Roman"/>
          <w:bCs/>
          <w:sz w:val="24"/>
          <w:szCs w:val="24"/>
        </w:rPr>
        <w:t xml:space="preserve">Section 438.208(b)(2)(iii) requires that MCOs, PIHPs and PAHPs coordinate service delivery with the services the enrollee receives in the FFS program (carved out services).  This involves using data from the state to perform the needed coordination activities.  The exchange of data </w:t>
      </w:r>
      <w:r w:rsidRPr="0094555B">
        <w:rPr>
          <w:rFonts w:ascii="Times New Roman" w:hAnsi="Times New Roman" w:cs="Times New Roman"/>
          <w:bCs/>
          <w:sz w:val="24"/>
          <w:szCs w:val="24"/>
        </w:rPr>
        <w:lastRenderedPageBreak/>
        <w:t xml:space="preserve">and the reports needed to perform the coordination activity is addressed in the requirements in §438.62(b)(2).  Since only a small percentage of enrollees receive carved out services and need assistance with coordination, we estimate </w:t>
      </w:r>
      <w:r w:rsidRPr="0094555B" w:rsidR="009975FB">
        <w:rPr>
          <w:rFonts w:ascii="Times New Roman" w:hAnsi="Times New Roman" w:cs="Times New Roman"/>
          <w:bCs/>
          <w:sz w:val="24"/>
          <w:szCs w:val="24"/>
        </w:rPr>
        <w:t>3,030,655</w:t>
      </w:r>
      <w:r w:rsidRPr="0094555B" w:rsidR="00BC56BD">
        <w:rPr>
          <w:rFonts w:ascii="Times New Roman" w:hAnsi="Times New Roman" w:cs="Times New Roman"/>
          <w:bCs/>
          <w:sz w:val="24"/>
          <w:szCs w:val="24"/>
        </w:rPr>
        <w:t xml:space="preserve"> </w:t>
      </w:r>
      <w:r w:rsidRPr="0094555B">
        <w:rPr>
          <w:rFonts w:ascii="Times New Roman" w:hAnsi="Times New Roman" w:cs="Times New Roman"/>
          <w:bCs/>
          <w:sz w:val="24"/>
          <w:szCs w:val="24"/>
        </w:rPr>
        <w:t>of all MCO, PIHP, and PAHP enrollees (</w:t>
      </w:r>
      <w:r w:rsidRPr="0094555B" w:rsidR="009975FB">
        <w:rPr>
          <w:rFonts w:ascii="Times New Roman" w:hAnsi="Times New Roman" w:cs="Times New Roman"/>
          <w:bCs/>
          <w:sz w:val="24"/>
          <w:szCs w:val="24"/>
        </w:rPr>
        <w:t xml:space="preserve">five percent </w:t>
      </w:r>
      <w:r w:rsidRPr="0094555B">
        <w:rPr>
          <w:rFonts w:ascii="Times New Roman" w:hAnsi="Times New Roman" w:cs="Times New Roman"/>
          <w:bCs/>
          <w:sz w:val="24"/>
          <w:szCs w:val="24"/>
        </w:rPr>
        <w:t xml:space="preserve">of </w:t>
      </w:r>
      <w:r w:rsidRPr="0094555B" w:rsidR="009353FD">
        <w:rPr>
          <w:rFonts w:ascii="Times New Roman" w:hAnsi="Times New Roman" w:cs="Times New Roman"/>
          <w:bCs/>
          <w:sz w:val="24"/>
          <w:szCs w:val="24"/>
        </w:rPr>
        <w:t>60,613,099</w:t>
      </w:r>
      <w:r w:rsidRPr="0094555B">
        <w:rPr>
          <w:rFonts w:ascii="Times New Roman" w:hAnsi="Times New Roman" w:cs="Times New Roman"/>
          <w:bCs/>
          <w:sz w:val="24"/>
          <w:szCs w:val="24"/>
        </w:rPr>
        <w:t xml:space="preserve"> MCO, PIHP, and PAHP enrollees) will be affected.  We estimate an </w:t>
      </w:r>
      <w:r w:rsidRPr="0094555B" w:rsidR="004428F7">
        <w:rPr>
          <w:rFonts w:ascii="Times New Roman" w:hAnsi="Times New Roman" w:cs="Times New Roman"/>
          <w:bCs/>
          <w:sz w:val="24"/>
          <w:szCs w:val="24"/>
        </w:rPr>
        <w:t>annual</w:t>
      </w:r>
      <w:r w:rsidRPr="0094555B">
        <w:rPr>
          <w:rFonts w:ascii="Times New Roman" w:hAnsi="Times New Roman" w:cs="Times New Roman"/>
          <w:bCs/>
          <w:sz w:val="24"/>
          <w:szCs w:val="24"/>
        </w:rPr>
        <w:t xml:space="preserve"> private sector burden of 10 min per enrollee </w:t>
      </w:r>
      <w:r w:rsidRPr="0094555B" w:rsidR="004B6CE3">
        <w:rPr>
          <w:rFonts w:ascii="Times New Roman" w:hAnsi="Times New Roman" w:cs="Times New Roman"/>
          <w:bCs/>
          <w:sz w:val="24"/>
          <w:szCs w:val="24"/>
        </w:rPr>
        <w:t>(</w:t>
      </w:r>
      <w:r w:rsidRPr="0094555B" w:rsidR="004B6CE3">
        <w:rPr>
          <w:rFonts w:ascii="Times New Roman" w:hAnsi="Times New Roman" w:cs="Times New Roman"/>
          <w:sz w:val="24"/>
          <w:szCs w:val="24"/>
        </w:rPr>
        <w:t xml:space="preserve">0.1667 </w:t>
      </w:r>
      <w:proofErr w:type="spellStart"/>
      <w:r w:rsidRPr="0094555B" w:rsidR="004B6CE3">
        <w:rPr>
          <w:rFonts w:ascii="Times New Roman" w:hAnsi="Times New Roman" w:cs="Times New Roman"/>
          <w:sz w:val="24"/>
          <w:szCs w:val="24"/>
        </w:rPr>
        <w:t>hr</w:t>
      </w:r>
      <w:proofErr w:type="spellEnd"/>
      <w:r w:rsidRPr="0094555B" w:rsidR="004B6CE3">
        <w:rPr>
          <w:rFonts w:ascii="Times New Roman" w:hAnsi="Times New Roman" w:cs="Times New Roman"/>
          <w:sz w:val="24"/>
          <w:szCs w:val="24"/>
        </w:rPr>
        <w:t>)</w:t>
      </w:r>
      <w:r w:rsidRPr="0094555B" w:rsidR="004B6CE3">
        <w:rPr>
          <w:rFonts w:ascii="Times New Roman" w:hAnsi="Times New Roman" w:cs="Times New Roman"/>
          <w:bCs/>
          <w:sz w:val="24"/>
          <w:szCs w:val="24"/>
        </w:rPr>
        <w:t xml:space="preserve"> </w:t>
      </w:r>
      <w:r w:rsidRPr="0094555B">
        <w:rPr>
          <w:rFonts w:ascii="Times New Roman" w:hAnsi="Times New Roman" w:cs="Times New Roman"/>
          <w:bCs/>
          <w:sz w:val="24"/>
          <w:szCs w:val="24"/>
        </w:rPr>
        <w:t xml:space="preserve">at </w:t>
      </w:r>
      <w:r w:rsidRPr="0094555B" w:rsidR="00827481">
        <w:rPr>
          <w:rFonts w:ascii="Times New Roman" w:hAnsi="Times New Roman" w:cs="Times New Roman"/>
          <w:bCs/>
          <w:sz w:val="24"/>
          <w:szCs w:val="24"/>
        </w:rPr>
        <w:t>$</w:t>
      </w:r>
      <w:r w:rsidRPr="0094555B" w:rsidR="00C06070">
        <w:rPr>
          <w:rFonts w:ascii="Times New Roman" w:hAnsi="Times New Roman" w:cs="Times New Roman"/>
          <w:bCs/>
          <w:sz w:val="24"/>
          <w:szCs w:val="24"/>
        </w:rPr>
        <w:t>5</w:t>
      </w:r>
      <w:r w:rsidR="0048164E">
        <w:rPr>
          <w:rFonts w:ascii="Times New Roman" w:hAnsi="Times New Roman" w:cs="Times New Roman"/>
          <w:bCs/>
          <w:sz w:val="24"/>
          <w:szCs w:val="24"/>
        </w:rPr>
        <w:t>8.14</w:t>
      </w:r>
      <w:r w:rsidRPr="0094555B">
        <w:rPr>
          <w:rFonts w:ascii="Times New Roman" w:hAnsi="Times New Roman" w:cs="Times New Roman"/>
          <w:bCs/>
          <w:sz w:val="24"/>
          <w:szCs w:val="24"/>
        </w:rPr>
        <w:t>/</w:t>
      </w:r>
      <w:proofErr w:type="spellStart"/>
      <w:r w:rsidRPr="0094555B">
        <w:rPr>
          <w:rFonts w:ascii="Times New Roman" w:hAnsi="Times New Roman" w:cs="Times New Roman"/>
          <w:bCs/>
          <w:sz w:val="24"/>
          <w:szCs w:val="24"/>
        </w:rPr>
        <w:t>hr</w:t>
      </w:r>
      <w:proofErr w:type="spellEnd"/>
      <w:r w:rsidRPr="0094555B">
        <w:rPr>
          <w:rFonts w:ascii="Times New Roman" w:hAnsi="Times New Roman" w:cs="Times New Roman"/>
          <w:bCs/>
          <w:sz w:val="24"/>
          <w:szCs w:val="24"/>
        </w:rPr>
        <w:t xml:space="preserve"> for a healthcare social worker to perform the care coordination activities.  In aggregate, we estimate </w:t>
      </w:r>
      <w:r w:rsidRPr="0094555B" w:rsidR="00C06070">
        <w:rPr>
          <w:rFonts w:ascii="Times New Roman" w:hAnsi="Times New Roman" w:cs="Times New Roman"/>
          <w:b/>
          <w:bCs/>
          <w:sz w:val="24"/>
          <w:szCs w:val="24"/>
        </w:rPr>
        <w:t>505,210</w:t>
      </w:r>
      <w:r w:rsidRPr="0094555B">
        <w:rPr>
          <w:rFonts w:ascii="Times New Roman" w:hAnsi="Times New Roman" w:cs="Times New Roman"/>
          <w:b/>
          <w:bCs/>
          <w:sz w:val="24"/>
          <w:szCs w:val="24"/>
        </w:rPr>
        <w:t xml:space="preserve"> </w:t>
      </w:r>
      <w:proofErr w:type="spellStart"/>
      <w:r w:rsidRPr="0094555B">
        <w:rPr>
          <w:rFonts w:ascii="Times New Roman" w:hAnsi="Times New Roman" w:cs="Times New Roman"/>
          <w:b/>
          <w:bCs/>
          <w:sz w:val="24"/>
          <w:szCs w:val="24"/>
        </w:rPr>
        <w:t>hr</w:t>
      </w:r>
      <w:proofErr w:type="spellEnd"/>
      <w:r w:rsidRPr="0094555B">
        <w:rPr>
          <w:rFonts w:ascii="Times New Roman" w:hAnsi="Times New Roman" w:cs="Times New Roman"/>
          <w:bCs/>
          <w:sz w:val="24"/>
          <w:szCs w:val="24"/>
        </w:rPr>
        <w:t xml:space="preserve"> (</w:t>
      </w:r>
      <w:r w:rsidRPr="0094555B" w:rsidR="00C06070">
        <w:rPr>
          <w:rFonts w:ascii="Times New Roman" w:hAnsi="Times New Roman" w:cs="Times New Roman"/>
          <w:bCs/>
          <w:sz w:val="24"/>
          <w:szCs w:val="24"/>
        </w:rPr>
        <w:t>3,030,655</w:t>
      </w:r>
      <w:r w:rsidRPr="0094555B">
        <w:rPr>
          <w:rFonts w:ascii="Times New Roman" w:hAnsi="Times New Roman" w:cs="Times New Roman"/>
          <w:bCs/>
          <w:sz w:val="24"/>
          <w:szCs w:val="24"/>
        </w:rPr>
        <w:t xml:space="preserve"> enrollees x </w:t>
      </w:r>
      <w:r w:rsidRPr="0094555B" w:rsidR="004B6CE3">
        <w:rPr>
          <w:rFonts w:ascii="Times New Roman" w:hAnsi="Times New Roman" w:cs="Times New Roman"/>
          <w:sz w:val="24"/>
          <w:szCs w:val="24"/>
        </w:rPr>
        <w:t xml:space="preserve">0.1667 </w:t>
      </w:r>
      <w:proofErr w:type="spellStart"/>
      <w:r w:rsidRPr="0094555B" w:rsidR="004B6CE3">
        <w:rPr>
          <w:rFonts w:ascii="Times New Roman" w:hAnsi="Times New Roman" w:cs="Times New Roman"/>
          <w:sz w:val="24"/>
          <w:szCs w:val="24"/>
        </w:rPr>
        <w:t>hr</w:t>
      </w:r>
      <w:proofErr w:type="spellEnd"/>
      <w:r w:rsidRPr="0094555B">
        <w:rPr>
          <w:rFonts w:ascii="Times New Roman" w:hAnsi="Times New Roman" w:cs="Times New Roman"/>
          <w:bCs/>
          <w:sz w:val="24"/>
          <w:szCs w:val="24"/>
        </w:rPr>
        <w:t>) and</w:t>
      </w:r>
      <w:r w:rsidRPr="0094555B" w:rsidR="004F0F53">
        <w:rPr>
          <w:rFonts w:ascii="Times New Roman" w:hAnsi="Times New Roman" w:cs="Times New Roman"/>
          <w:b/>
          <w:bCs/>
          <w:sz w:val="24"/>
          <w:szCs w:val="24"/>
        </w:rPr>
        <w:t xml:space="preserve"> $</w:t>
      </w:r>
      <w:r w:rsidRPr="0094555B" w:rsidR="00C06070">
        <w:rPr>
          <w:rFonts w:ascii="Times New Roman" w:hAnsi="Times New Roman" w:cs="Times New Roman"/>
          <w:b/>
          <w:bCs/>
          <w:sz w:val="24"/>
          <w:szCs w:val="24"/>
        </w:rPr>
        <w:t>2</w:t>
      </w:r>
      <w:r w:rsidR="0048164E">
        <w:rPr>
          <w:rFonts w:ascii="Times New Roman" w:hAnsi="Times New Roman" w:cs="Times New Roman"/>
          <w:b/>
          <w:bCs/>
          <w:sz w:val="24"/>
          <w:szCs w:val="24"/>
        </w:rPr>
        <w:t>9,372,909</w:t>
      </w:r>
      <w:r w:rsidRPr="0094555B">
        <w:rPr>
          <w:rFonts w:ascii="Times New Roman" w:hAnsi="Times New Roman" w:cs="Times New Roman"/>
          <w:bCs/>
          <w:sz w:val="24"/>
          <w:szCs w:val="24"/>
        </w:rPr>
        <w:t xml:space="preserve"> (</w:t>
      </w:r>
      <w:r w:rsidRPr="0094555B" w:rsidR="00FE4825">
        <w:rPr>
          <w:rFonts w:ascii="Times New Roman" w:hAnsi="Times New Roman" w:cs="Times New Roman"/>
          <w:bCs/>
          <w:sz w:val="24"/>
          <w:szCs w:val="24"/>
        </w:rPr>
        <w:t>505,210</w:t>
      </w:r>
      <w:r w:rsidRPr="0094555B">
        <w:rPr>
          <w:rFonts w:ascii="Times New Roman" w:hAnsi="Times New Roman" w:cs="Times New Roman"/>
          <w:bCs/>
          <w:sz w:val="24"/>
          <w:szCs w:val="24"/>
        </w:rPr>
        <w:t xml:space="preserve"> </w:t>
      </w:r>
      <w:proofErr w:type="spellStart"/>
      <w:r w:rsidRPr="0094555B">
        <w:rPr>
          <w:rFonts w:ascii="Times New Roman" w:hAnsi="Times New Roman" w:cs="Times New Roman"/>
          <w:bCs/>
          <w:sz w:val="24"/>
          <w:szCs w:val="24"/>
        </w:rPr>
        <w:t>hr</w:t>
      </w:r>
      <w:proofErr w:type="spellEnd"/>
      <w:r w:rsidRPr="0094555B">
        <w:rPr>
          <w:rFonts w:ascii="Times New Roman" w:hAnsi="Times New Roman" w:cs="Times New Roman"/>
          <w:bCs/>
          <w:sz w:val="24"/>
          <w:szCs w:val="24"/>
        </w:rPr>
        <w:t xml:space="preserve"> x </w:t>
      </w:r>
      <w:r w:rsidRPr="0094555B" w:rsidR="00827481">
        <w:rPr>
          <w:rFonts w:ascii="Times New Roman" w:hAnsi="Times New Roman" w:cs="Times New Roman"/>
          <w:bCs/>
          <w:sz w:val="24"/>
          <w:szCs w:val="24"/>
        </w:rPr>
        <w:t>$</w:t>
      </w:r>
      <w:r w:rsidRPr="0094555B" w:rsidR="00C06070">
        <w:rPr>
          <w:rFonts w:ascii="Times New Roman" w:hAnsi="Times New Roman" w:cs="Times New Roman"/>
          <w:bCs/>
          <w:sz w:val="24"/>
          <w:szCs w:val="24"/>
        </w:rPr>
        <w:t>5</w:t>
      </w:r>
      <w:r w:rsidR="0048164E">
        <w:rPr>
          <w:rFonts w:ascii="Times New Roman" w:hAnsi="Times New Roman" w:cs="Times New Roman"/>
          <w:bCs/>
          <w:sz w:val="24"/>
          <w:szCs w:val="24"/>
        </w:rPr>
        <w:t>8.14</w:t>
      </w:r>
      <w:r w:rsidRPr="0094555B">
        <w:rPr>
          <w:rFonts w:ascii="Times New Roman" w:hAnsi="Times New Roman" w:cs="Times New Roman"/>
          <w:bCs/>
          <w:sz w:val="24"/>
          <w:szCs w:val="24"/>
        </w:rPr>
        <w:t>/</w:t>
      </w:r>
      <w:proofErr w:type="spellStart"/>
      <w:r w:rsidRPr="0094555B">
        <w:rPr>
          <w:rFonts w:ascii="Times New Roman" w:hAnsi="Times New Roman" w:cs="Times New Roman"/>
          <w:bCs/>
          <w:sz w:val="24"/>
          <w:szCs w:val="24"/>
        </w:rPr>
        <w:t>hr</w:t>
      </w:r>
      <w:proofErr w:type="spellEnd"/>
      <w:r w:rsidRPr="0094555B">
        <w:rPr>
          <w:rFonts w:ascii="Times New Roman" w:hAnsi="Times New Roman" w:cs="Times New Roman"/>
          <w:bCs/>
          <w:sz w:val="24"/>
          <w:szCs w:val="24"/>
        </w:rPr>
        <w:t xml:space="preserve">). </w:t>
      </w:r>
      <w:r w:rsidRPr="0094555B">
        <w:rPr>
          <w:rFonts w:ascii="Times New Roman" w:hAnsi="Times New Roman" w:cs="Times New Roman"/>
          <w:b/>
          <w:iCs/>
          <w:sz w:val="24"/>
          <w:szCs w:val="24"/>
        </w:rPr>
        <w:t>(</w:t>
      </w:r>
      <w:r w:rsidRPr="0094555B" w:rsidR="005F5165">
        <w:rPr>
          <w:rFonts w:ascii="Times New Roman" w:hAnsi="Times New Roman" w:cs="Times New Roman"/>
          <w:b/>
          <w:iCs/>
          <w:sz w:val="24"/>
          <w:szCs w:val="24"/>
        </w:rPr>
        <w:t>ESTIMATE</w:t>
      </w:r>
      <w:r w:rsidRPr="0094555B">
        <w:rPr>
          <w:rFonts w:ascii="Times New Roman" w:hAnsi="Times New Roman" w:cs="Times New Roman"/>
          <w:b/>
          <w:iCs/>
          <w:sz w:val="24"/>
          <w:szCs w:val="24"/>
        </w:rPr>
        <w:t xml:space="preserve"> 12.35)</w:t>
      </w:r>
      <w:r w:rsidRPr="0094555B" w:rsidR="00281A8C">
        <w:rPr>
          <w:rFonts w:ascii="Times New Roman" w:hAnsi="Times New Roman" w:cs="Times New Roman"/>
          <w:b/>
          <w:iCs/>
          <w:sz w:val="24"/>
          <w:szCs w:val="24"/>
        </w:rPr>
        <w:t xml:space="preserve"> </w:t>
      </w:r>
    </w:p>
    <w:p w:rsidRPr="0094555B" w:rsidR="00011EE1" w:rsidP="0094555B" w:rsidRDefault="00624B15" w14:paraId="46759519" w14:textId="3DDACE12">
      <w:pPr>
        <w:rPr>
          <w:rFonts w:ascii="Times New Roman" w:hAnsi="Times New Roman" w:cs="Times New Roman"/>
          <w:b/>
          <w:iCs/>
          <w:sz w:val="24"/>
          <w:szCs w:val="24"/>
        </w:rPr>
      </w:pPr>
      <w:r w:rsidRPr="0094555B">
        <w:rPr>
          <w:rFonts w:ascii="Times New Roman" w:hAnsi="Times New Roman" w:cs="Times New Roman"/>
          <w:bCs/>
          <w:sz w:val="24"/>
          <w:szCs w:val="24"/>
        </w:rPr>
        <w:t xml:space="preserve">We estimate that in a given year, only </w:t>
      </w:r>
      <w:r w:rsidRPr="0094555B" w:rsidR="00B665DA">
        <w:rPr>
          <w:rFonts w:ascii="Times New Roman" w:hAnsi="Times New Roman" w:cs="Times New Roman"/>
          <w:bCs/>
          <w:sz w:val="24"/>
          <w:szCs w:val="24"/>
        </w:rPr>
        <w:t xml:space="preserve">3.3 </w:t>
      </w:r>
      <w:r w:rsidRPr="0094555B">
        <w:rPr>
          <w:rFonts w:ascii="Times New Roman" w:hAnsi="Times New Roman" w:cs="Times New Roman"/>
          <w:bCs/>
          <w:sz w:val="24"/>
          <w:szCs w:val="24"/>
        </w:rPr>
        <w:t>percent (</w:t>
      </w:r>
      <w:r w:rsidRPr="0094555B" w:rsidR="00766543">
        <w:rPr>
          <w:rFonts w:ascii="Times New Roman" w:hAnsi="Times New Roman" w:cs="Times New Roman"/>
          <w:bCs/>
          <w:sz w:val="24"/>
          <w:szCs w:val="24"/>
        </w:rPr>
        <w:t>2,000,232</w:t>
      </w:r>
      <w:r w:rsidRPr="0094555B">
        <w:rPr>
          <w:rFonts w:ascii="Times New Roman" w:hAnsi="Times New Roman" w:cs="Times New Roman"/>
          <w:bCs/>
          <w:sz w:val="24"/>
          <w:szCs w:val="24"/>
        </w:rPr>
        <w:t xml:space="preserve">) of </w:t>
      </w:r>
      <w:r w:rsidRPr="0094555B" w:rsidR="00B665DA">
        <w:rPr>
          <w:rFonts w:ascii="Times New Roman" w:hAnsi="Times New Roman" w:cs="Times New Roman"/>
          <w:bCs/>
          <w:sz w:val="24"/>
          <w:szCs w:val="24"/>
        </w:rPr>
        <w:t>all</w:t>
      </w:r>
      <w:r w:rsidRPr="0094555B">
        <w:rPr>
          <w:rFonts w:ascii="Times New Roman" w:hAnsi="Times New Roman" w:cs="Times New Roman"/>
          <w:bCs/>
          <w:sz w:val="24"/>
          <w:szCs w:val="24"/>
        </w:rPr>
        <w:t xml:space="preserve"> MCO</w:t>
      </w:r>
      <w:r w:rsidRPr="0094555B" w:rsidR="00281A8C">
        <w:rPr>
          <w:rFonts w:ascii="Times New Roman" w:hAnsi="Times New Roman" w:cs="Times New Roman"/>
          <w:bCs/>
          <w:sz w:val="24"/>
          <w:szCs w:val="24"/>
        </w:rPr>
        <w:t>,</w:t>
      </w:r>
      <w:r w:rsidRPr="0094555B">
        <w:rPr>
          <w:rFonts w:ascii="Times New Roman" w:hAnsi="Times New Roman" w:cs="Times New Roman"/>
          <w:bCs/>
          <w:sz w:val="24"/>
          <w:szCs w:val="24"/>
        </w:rPr>
        <w:t>PIHP</w:t>
      </w:r>
      <w:r w:rsidRPr="0094555B" w:rsidR="00281A8C">
        <w:rPr>
          <w:rFonts w:ascii="Times New Roman" w:hAnsi="Times New Roman" w:cs="Times New Roman"/>
          <w:bCs/>
          <w:sz w:val="24"/>
          <w:szCs w:val="24"/>
        </w:rPr>
        <w:t>,</w:t>
      </w:r>
      <w:r w:rsidRPr="0094555B">
        <w:rPr>
          <w:rFonts w:ascii="Times New Roman" w:hAnsi="Times New Roman" w:cs="Times New Roman"/>
          <w:bCs/>
          <w:sz w:val="24"/>
          <w:szCs w:val="24"/>
        </w:rPr>
        <w:t xml:space="preserve"> </w:t>
      </w:r>
      <w:r w:rsidRPr="0094555B" w:rsidR="00281A8C">
        <w:rPr>
          <w:rFonts w:ascii="Times New Roman" w:hAnsi="Times New Roman" w:cs="Times New Roman"/>
          <w:bCs/>
          <w:sz w:val="24"/>
          <w:szCs w:val="24"/>
        </w:rPr>
        <w:t>and</w:t>
      </w:r>
      <w:r w:rsidRPr="0094555B">
        <w:rPr>
          <w:rFonts w:ascii="Times New Roman" w:hAnsi="Times New Roman" w:cs="Times New Roman"/>
          <w:bCs/>
          <w:sz w:val="24"/>
          <w:szCs w:val="24"/>
        </w:rPr>
        <w:t xml:space="preserve"> PAHP</w:t>
      </w:r>
      <w:r w:rsidRPr="0094555B" w:rsidR="009353FD">
        <w:rPr>
          <w:rFonts w:ascii="Times New Roman" w:hAnsi="Times New Roman" w:cs="Times New Roman"/>
          <w:bCs/>
          <w:sz w:val="24"/>
          <w:szCs w:val="24"/>
        </w:rPr>
        <w:t>s</w:t>
      </w:r>
      <w:r w:rsidRPr="0094555B">
        <w:rPr>
          <w:rFonts w:ascii="Times New Roman" w:hAnsi="Times New Roman" w:cs="Times New Roman"/>
          <w:bCs/>
          <w:sz w:val="24"/>
          <w:szCs w:val="24"/>
        </w:rPr>
        <w:t xml:space="preserve"> enrollees are new to a managed care plan.  We estimate an annual private sector burden of 10 min on average </w:t>
      </w:r>
      <w:r w:rsidRPr="0094555B" w:rsidR="00CB380F">
        <w:rPr>
          <w:rFonts w:ascii="Times New Roman" w:hAnsi="Times New Roman" w:cs="Times New Roman"/>
          <w:bCs/>
          <w:sz w:val="24"/>
          <w:szCs w:val="24"/>
        </w:rPr>
        <w:t>(</w:t>
      </w:r>
      <w:r w:rsidRPr="0094555B" w:rsidR="00CB380F">
        <w:rPr>
          <w:rFonts w:ascii="Times New Roman" w:hAnsi="Times New Roman" w:cs="Times New Roman"/>
          <w:sz w:val="24"/>
          <w:szCs w:val="24"/>
        </w:rPr>
        <w:t xml:space="preserve">0.1667 </w:t>
      </w:r>
      <w:proofErr w:type="spellStart"/>
      <w:r w:rsidRPr="0094555B" w:rsidR="00CB380F">
        <w:rPr>
          <w:rFonts w:ascii="Times New Roman" w:hAnsi="Times New Roman" w:cs="Times New Roman"/>
          <w:sz w:val="24"/>
          <w:szCs w:val="24"/>
        </w:rPr>
        <w:t>hr</w:t>
      </w:r>
      <w:proofErr w:type="spellEnd"/>
      <w:r w:rsidRPr="0094555B" w:rsidR="00CB380F">
        <w:rPr>
          <w:rFonts w:ascii="Times New Roman" w:hAnsi="Times New Roman" w:cs="Times New Roman"/>
          <w:sz w:val="24"/>
          <w:szCs w:val="24"/>
        </w:rPr>
        <w:t>)</w:t>
      </w:r>
      <w:r w:rsidRPr="0094555B" w:rsidR="00CB380F">
        <w:rPr>
          <w:rFonts w:ascii="Times New Roman" w:hAnsi="Times New Roman" w:cs="Times New Roman"/>
          <w:bCs/>
          <w:sz w:val="24"/>
          <w:szCs w:val="24"/>
        </w:rPr>
        <w:t xml:space="preserve"> </w:t>
      </w:r>
      <w:r w:rsidRPr="0094555B">
        <w:rPr>
          <w:rFonts w:ascii="Times New Roman" w:hAnsi="Times New Roman" w:cs="Times New Roman"/>
          <w:bCs/>
          <w:sz w:val="24"/>
          <w:szCs w:val="24"/>
        </w:rPr>
        <w:t xml:space="preserve">at </w:t>
      </w:r>
      <w:r w:rsidRPr="0094555B" w:rsidR="00827481">
        <w:rPr>
          <w:rFonts w:ascii="Times New Roman" w:hAnsi="Times New Roman" w:cs="Times New Roman"/>
          <w:bCs/>
          <w:sz w:val="24"/>
          <w:szCs w:val="24"/>
        </w:rPr>
        <w:t>$35.</w:t>
      </w:r>
      <w:r w:rsidRPr="0094555B" w:rsidR="0057770A">
        <w:rPr>
          <w:rFonts w:ascii="Times New Roman" w:hAnsi="Times New Roman" w:cs="Times New Roman"/>
          <w:bCs/>
          <w:sz w:val="24"/>
          <w:szCs w:val="24"/>
        </w:rPr>
        <w:t>88</w:t>
      </w:r>
      <w:r w:rsidRPr="0094555B">
        <w:rPr>
          <w:rFonts w:ascii="Times New Roman" w:hAnsi="Times New Roman" w:cs="Times New Roman"/>
          <w:bCs/>
          <w:sz w:val="24"/>
          <w:szCs w:val="24"/>
        </w:rPr>
        <w:t>/</w:t>
      </w:r>
      <w:proofErr w:type="spellStart"/>
      <w:r w:rsidRPr="0094555B">
        <w:rPr>
          <w:rFonts w:ascii="Times New Roman" w:hAnsi="Times New Roman" w:cs="Times New Roman"/>
          <w:bCs/>
          <w:sz w:val="24"/>
          <w:szCs w:val="24"/>
        </w:rPr>
        <w:t>hr</w:t>
      </w:r>
      <w:proofErr w:type="spellEnd"/>
      <w:r w:rsidRPr="0094555B">
        <w:rPr>
          <w:rFonts w:ascii="Times New Roman" w:hAnsi="Times New Roman" w:cs="Times New Roman"/>
          <w:bCs/>
          <w:sz w:val="24"/>
          <w:szCs w:val="24"/>
        </w:rPr>
        <w:t xml:space="preserve"> for a customer service representative to complete the screening.  In aggregate, we estimate </w:t>
      </w:r>
      <w:r w:rsidRPr="0094555B" w:rsidR="00766543">
        <w:rPr>
          <w:rFonts w:ascii="Times New Roman" w:hAnsi="Times New Roman" w:cs="Times New Roman"/>
          <w:b/>
          <w:bCs/>
          <w:sz w:val="24"/>
          <w:szCs w:val="24"/>
        </w:rPr>
        <w:t>333,439</w:t>
      </w:r>
      <w:r w:rsidRPr="0094555B">
        <w:rPr>
          <w:rFonts w:ascii="Times New Roman" w:hAnsi="Times New Roman" w:cs="Times New Roman"/>
          <w:b/>
          <w:bCs/>
          <w:sz w:val="24"/>
          <w:szCs w:val="24"/>
        </w:rPr>
        <w:t xml:space="preserve"> </w:t>
      </w:r>
      <w:proofErr w:type="spellStart"/>
      <w:r w:rsidRPr="0094555B">
        <w:rPr>
          <w:rFonts w:ascii="Times New Roman" w:hAnsi="Times New Roman" w:cs="Times New Roman"/>
          <w:b/>
          <w:bCs/>
          <w:sz w:val="24"/>
          <w:szCs w:val="24"/>
        </w:rPr>
        <w:t>hr</w:t>
      </w:r>
      <w:proofErr w:type="spellEnd"/>
      <w:r w:rsidRPr="0094555B">
        <w:rPr>
          <w:rFonts w:ascii="Times New Roman" w:hAnsi="Times New Roman" w:cs="Times New Roman"/>
          <w:bCs/>
          <w:sz w:val="24"/>
          <w:szCs w:val="24"/>
        </w:rPr>
        <w:t xml:space="preserve"> (</w:t>
      </w:r>
      <w:r w:rsidRPr="0094555B" w:rsidR="009353FD">
        <w:rPr>
          <w:rFonts w:ascii="Times New Roman" w:hAnsi="Times New Roman" w:cs="Times New Roman"/>
          <w:bCs/>
          <w:sz w:val="24"/>
          <w:szCs w:val="24"/>
        </w:rPr>
        <w:t>2,000,232</w:t>
      </w:r>
      <w:r w:rsidRPr="0094555B" w:rsidR="00AC643F">
        <w:rPr>
          <w:rFonts w:ascii="Times New Roman" w:hAnsi="Times New Roman" w:cs="Times New Roman"/>
          <w:bCs/>
          <w:sz w:val="24"/>
          <w:szCs w:val="24"/>
        </w:rPr>
        <w:t xml:space="preserve"> enrollees x </w:t>
      </w:r>
      <w:r w:rsidRPr="0094555B" w:rsidR="00CB380F">
        <w:rPr>
          <w:rFonts w:ascii="Times New Roman" w:hAnsi="Times New Roman" w:cs="Times New Roman"/>
          <w:sz w:val="24"/>
          <w:szCs w:val="24"/>
        </w:rPr>
        <w:t xml:space="preserve">0.1667 </w:t>
      </w:r>
      <w:proofErr w:type="spellStart"/>
      <w:r w:rsidRPr="0094555B" w:rsidR="00CB380F">
        <w:rPr>
          <w:rFonts w:ascii="Times New Roman" w:hAnsi="Times New Roman" w:cs="Times New Roman"/>
          <w:sz w:val="24"/>
          <w:szCs w:val="24"/>
        </w:rPr>
        <w:t>hr</w:t>
      </w:r>
      <w:proofErr w:type="spellEnd"/>
      <w:r w:rsidRPr="0094555B" w:rsidR="00AC643F">
        <w:rPr>
          <w:rFonts w:ascii="Times New Roman" w:hAnsi="Times New Roman" w:cs="Times New Roman"/>
          <w:bCs/>
          <w:sz w:val="24"/>
          <w:szCs w:val="24"/>
        </w:rPr>
        <w:t>) and $</w:t>
      </w:r>
      <w:r w:rsidRPr="0094555B" w:rsidR="0057770A">
        <w:rPr>
          <w:rFonts w:ascii="Times New Roman" w:hAnsi="Times New Roman" w:cs="Times New Roman"/>
          <w:b/>
          <w:bCs/>
          <w:sz w:val="24"/>
          <w:szCs w:val="24"/>
        </w:rPr>
        <w:t>1</w:t>
      </w:r>
      <w:r w:rsidR="0048164E">
        <w:rPr>
          <w:rFonts w:ascii="Times New Roman" w:hAnsi="Times New Roman" w:cs="Times New Roman"/>
          <w:b/>
          <w:bCs/>
          <w:sz w:val="24"/>
          <w:szCs w:val="24"/>
        </w:rPr>
        <w:t>2,343,912</w:t>
      </w:r>
      <w:r w:rsidRPr="0094555B">
        <w:rPr>
          <w:rFonts w:ascii="Times New Roman" w:hAnsi="Times New Roman" w:cs="Times New Roman"/>
          <w:bCs/>
          <w:sz w:val="24"/>
          <w:szCs w:val="24"/>
        </w:rPr>
        <w:t xml:space="preserve"> (</w:t>
      </w:r>
      <w:r w:rsidRPr="0094555B" w:rsidR="00766543">
        <w:rPr>
          <w:rFonts w:ascii="Times New Roman" w:hAnsi="Times New Roman" w:cs="Times New Roman"/>
          <w:bCs/>
          <w:sz w:val="24"/>
          <w:szCs w:val="24"/>
        </w:rPr>
        <w:t>33</w:t>
      </w:r>
      <w:r w:rsidRPr="0094555B" w:rsidR="00C318DE">
        <w:rPr>
          <w:rFonts w:ascii="Times New Roman" w:hAnsi="Times New Roman" w:cs="Times New Roman"/>
          <w:bCs/>
          <w:sz w:val="24"/>
          <w:szCs w:val="24"/>
        </w:rPr>
        <w:t>3,439</w:t>
      </w:r>
      <w:r w:rsidRPr="0094555B" w:rsidR="00AC643F">
        <w:rPr>
          <w:rFonts w:ascii="Times New Roman" w:hAnsi="Times New Roman" w:cs="Times New Roman"/>
          <w:bCs/>
          <w:sz w:val="24"/>
          <w:szCs w:val="24"/>
        </w:rPr>
        <w:t xml:space="preserve"> </w:t>
      </w:r>
      <w:proofErr w:type="spellStart"/>
      <w:r w:rsidRPr="0094555B">
        <w:rPr>
          <w:rFonts w:ascii="Times New Roman" w:hAnsi="Times New Roman" w:cs="Times New Roman"/>
          <w:bCs/>
          <w:sz w:val="24"/>
          <w:szCs w:val="24"/>
        </w:rPr>
        <w:t>hr</w:t>
      </w:r>
      <w:proofErr w:type="spellEnd"/>
      <w:r w:rsidRPr="0094555B">
        <w:rPr>
          <w:rFonts w:ascii="Times New Roman" w:hAnsi="Times New Roman" w:cs="Times New Roman"/>
          <w:bCs/>
          <w:sz w:val="24"/>
          <w:szCs w:val="24"/>
        </w:rPr>
        <w:t xml:space="preserve"> x </w:t>
      </w:r>
      <w:r w:rsidRPr="0094555B" w:rsidR="00827481">
        <w:rPr>
          <w:rFonts w:ascii="Times New Roman" w:hAnsi="Times New Roman" w:cs="Times New Roman"/>
          <w:bCs/>
          <w:sz w:val="24"/>
          <w:szCs w:val="24"/>
        </w:rPr>
        <w:t>$3</w:t>
      </w:r>
      <w:r w:rsidR="0048164E">
        <w:rPr>
          <w:rFonts w:ascii="Times New Roman" w:hAnsi="Times New Roman" w:cs="Times New Roman"/>
          <w:bCs/>
          <w:sz w:val="24"/>
          <w:szCs w:val="24"/>
        </w:rPr>
        <w:t>7.02</w:t>
      </w:r>
      <w:r w:rsidRPr="0094555B">
        <w:rPr>
          <w:rFonts w:ascii="Times New Roman" w:hAnsi="Times New Roman" w:cs="Times New Roman"/>
          <w:bCs/>
          <w:sz w:val="24"/>
          <w:szCs w:val="24"/>
        </w:rPr>
        <w:t>/</w:t>
      </w:r>
      <w:proofErr w:type="spellStart"/>
      <w:r w:rsidRPr="0094555B">
        <w:rPr>
          <w:rFonts w:ascii="Times New Roman" w:hAnsi="Times New Roman" w:cs="Times New Roman"/>
          <w:bCs/>
          <w:sz w:val="24"/>
          <w:szCs w:val="24"/>
        </w:rPr>
        <w:t>hr</w:t>
      </w:r>
      <w:proofErr w:type="spellEnd"/>
      <w:r w:rsidRPr="0094555B">
        <w:rPr>
          <w:rFonts w:ascii="Times New Roman" w:hAnsi="Times New Roman" w:cs="Times New Roman"/>
          <w:bCs/>
          <w:sz w:val="24"/>
          <w:szCs w:val="24"/>
        </w:rPr>
        <w:t xml:space="preserve">). </w:t>
      </w:r>
      <w:r w:rsidRPr="0094555B">
        <w:rPr>
          <w:rFonts w:ascii="Times New Roman" w:hAnsi="Times New Roman" w:cs="Times New Roman"/>
          <w:b/>
          <w:iCs/>
          <w:sz w:val="24"/>
          <w:szCs w:val="24"/>
        </w:rPr>
        <w:t>(</w:t>
      </w:r>
      <w:r w:rsidRPr="0094555B" w:rsidR="005F5165">
        <w:rPr>
          <w:rFonts w:ascii="Times New Roman" w:hAnsi="Times New Roman" w:cs="Times New Roman"/>
          <w:b/>
          <w:iCs/>
          <w:sz w:val="24"/>
          <w:szCs w:val="24"/>
        </w:rPr>
        <w:t>ESTIMATE</w:t>
      </w:r>
      <w:r w:rsidRPr="0094555B">
        <w:rPr>
          <w:rFonts w:ascii="Times New Roman" w:hAnsi="Times New Roman" w:cs="Times New Roman"/>
          <w:b/>
          <w:iCs/>
          <w:sz w:val="24"/>
          <w:szCs w:val="24"/>
        </w:rPr>
        <w:t xml:space="preserve"> 12.37)</w:t>
      </w:r>
    </w:p>
    <w:p w:rsidRPr="0094555B" w:rsidR="00624B15" w:rsidP="0094555B" w:rsidRDefault="00624B15" w14:paraId="19FE87BA" w14:textId="6C5C8241">
      <w:pPr>
        <w:rPr>
          <w:rFonts w:ascii="Times New Roman" w:hAnsi="Times New Roman" w:cs="Times New Roman"/>
          <w:bCs/>
          <w:sz w:val="24"/>
          <w:szCs w:val="24"/>
        </w:rPr>
      </w:pPr>
      <w:r w:rsidRPr="0094555B">
        <w:rPr>
          <w:rFonts w:ascii="Times New Roman" w:hAnsi="Times New Roman" w:cs="Times New Roman"/>
          <w:bCs/>
          <w:sz w:val="24"/>
          <w:szCs w:val="24"/>
        </w:rPr>
        <w:t xml:space="preserve">Section 438.208(b)(4) requires that MCOs, PIHPs, and PAHPs share with other MCOs, PIHPs, and PAHPs serving the enrollee the results of its identification and assessment of any enrollee with special health care needs so that those activities are not duplicated.  The burden associated with this requirement is the time it takes each MCO, PIHP or PAHP to disclose information on new enrollees to the MCO, PIHP or PAHP providing a carved-out service.  This would most likely be accomplished by developing a report to collect the data and electronically posting the completed report for the other MCO, PIHP, or PAHP to retrieve. </w:t>
      </w:r>
    </w:p>
    <w:p w:rsidRPr="0094555B" w:rsidR="00624B15" w:rsidP="0094555B" w:rsidRDefault="00624B15" w14:paraId="0DEC9853" w14:textId="747EA016">
      <w:pPr>
        <w:rPr>
          <w:rFonts w:ascii="Times New Roman" w:hAnsi="Times New Roman" w:cs="Times New Roman"/>
          <w:bCs/>
          <w:sz w:val="24"/>
          <w:szCs w:val="24"/>
        </w:rPr>
      </w:pPr>
      <w:r w:rsidRPr="0094555B">
        <w:rPr>
          <w:rFonts w:ascii="Times New Roman" w:hAnsi="Times New Roman" w:cs="Times New Roman"/>
          <w:bCs/>
          <w:sz w:val="24"/>
          <w:szCs w:val="24"/>
        </w:rPr>
        <w:t xml:space="preserve">Section 438.208(c)(2) and (3) currently require that MCOs, PIHPs and PAHPs complete an assessment and treatment plan for all enrollees that have special health care needs; the 2016 final rule added “enrollees who require LTSS” to this section.  These assessments and treatment plans should be performed by providers or MCO, PIHP or PAHP staff that meet the qualifications required by the state.  We believe the burden associated with this requirement is the time it takes to gather the information during the assessment.  (Treatment plans are generally developed while the assessment </w:t>
      </w:r>
      <w:r w:rsidRPr="0094555B" w:rsidR="00EC2906">
        <w:rPr>
          <w:rFonts w:ascii="Times New Roman" w:hAnsi="Times New Roman" w:cs="Times New Roman"/>
          <w:bCs/>
          <w:sz w:val="24"/>
          <w:szCs w:val="24"/>
        </w:rPr>
        <w:t>occurs,</w:t>
      </w:r>
      <w:r w:rsidRPr="0094555B">
        <w:rPr>
          <w:rFonts w:ascii="Times New Roman" w:hAnsi="Times New Roman" w:cs="Times New Roman"/>
          <w:bCs/>
          <w:sz w:val="24"/>
          <w:szCs w:val="24"/>
        </w:rPr>
        <w:t xml:space="preserve"> so we are not estimating any additional time beyond the time of the assessment).    </w:t>
      </w:r>
    </w:p>
    <w:p w:rsidRPr="0094555B" w:rsidR="00624B15" w:rsidP="0094555B" w:rsidRDefault="00624B15" w14:paraId="489C4F57" w14:textId="2CCADD87">
      <w:pPr>
        <w:rPr>
          <w:rFonts w:ascii="Times New Roman" w:hAnsi="Times New Roman" w:cs="Times New Roman"/>
          <w:b/>
          <w:iCs/>
          <w:sz w:val="24"/>
          <w:szCs w:val="24"/>
        </w:rPr>
      </w:pPr>
      <w:r w:rsidRPr="0094555B">
        <w:rPr>
          <w:rFonts w:ascii="Times New Roman" w:hAnsi="Times New Roman" w:cs="Times New Roman"/>
          <w:bCs/>
          <w:sz w:val="24"/>
          <w:szCs w:val="24"/>
        </w:rPr>
        <w:t xml:space="preserve">While this is an existing requirement, we estimate 1 percent of the total enrollment of </w:t>
      </w:r>
      <w:r w:rsidRPr="0094555B" w:rsidR="006F20ED">
        <w:rPr>
          <w:rFonts w:ascii="Times New Roman" w:hAnsi="Times New Roman" w:cs="Times New Roman"/>
          <w:bCs/>
          <w:sz w:val="24"/>
          <w:szCs w:val="24"/>
        </w:rPr>
        <w:t>60,613,099</w:t>
      </w:r>
      <w:r w:rsidRPr="0094555B">
        <w:rPr>
          <w:rFonts w:ascii="Times New Roman" w:hAnsi="Times New Roman" w:cs="Times New Roman"/>
          <w:bCs/>
          <w:sz w:val="24"/>
          <w:szCs w:val="24"/>
        </w:rPr>
        <w:t xml:space="preserve"> in MCOs and PIHPs (</w:t>
      </w:r>
      <w:r w:rsidRPr="0094555B" w:rsidR="006F20ED">
        <w:rPr>
          <w:rFonts w:ascii="Times New Roman" w:hAnsi="Times New Roman" w:cs="Times New Roman"/>
          <w:bCs/>
          <w:sz w:val="24"/>
          <w:szCs w:val="24"/>
        </w:rPr>
        <w:t>60,613,099</w:t>
      </w:r>
      <w:r w:rsidRPr="0094555B">
        <w:rPr>
          <w:rFonts w:ascii="Times New Roman" w:hAnsi="Times New Roman" w:cs="Times New Roman"/>
          <w:bCs/>
          <w:sz w:val="24"/>
          <w:szCs w:val="24"/>
        </w:rPr>
        <w:t xml:space="preserve"> x </w:t>
      </w:r>
      <w:r w:rsidRPr="0094555B" w:rsidR="00490D2E">
        <w:rPr>
          <w:rFonts w:ascii="Times New Roman" w:hAnsi="Times New Roman" w:cs="Times New Roman"/>
          <w:bCs/>
          <w:sz w:val="24"/>
          <w:szCs w:val="24"/>
        </w:rPr>
        <w:t>0</w:t>
      </w:r>
      <w:r w:rsidRPr="0094555B">
        <w:rPr>
          <w:rFonts w:ascii="Times New Roman" w:hAnsi="Times New Roman" w:cs="Times New Roman"/>
          <w:bCs/>
          <w:sz w:val="24"/>
          <w:szCs w:val="24"/>
        </w:rPr>
        <w:t>.01</w:t>
      </w:r>
      <w:r w:rsidRPr="0094555B" w:rsidR="00490D2E">
        <w:rPr>
          <w:rFonts w:ascii="Times New Roman" w:hAnsi="Times New Roman" w:cs="Times New Roman"/>
          <w:bCs/>
          <w:sz w:val="24"/>
          <w:szCs w:val="24"/>
        </w:rPr>
        <w:t xml:space="preserve"> </w:t>
      </w:r>
      <w:r w:rsidRPr="0094555B">
        <w:rPr>
          <w:rFonts w:ascii="Times New Roman" w:hAnsi="Times New Roman" w:cs="Times New Roman"/>
          <w:bCs/>
          <w:sz w:val="24"/>
          <w:szCs w:val="24"/>
        </w:rPr>
        <w:t>=</w:t>
      </w:r>
      <w:r w:rsidRPr="0094555B" w:rsidR="00490D2E">
        <w:rPr>
          <w:rFonts w:ascii="Times New Roman" w:hAnsi="Times New Roman" w:cs="Times New Roman"/>
          <w:bCs/>
          <w:sz w:val="24"/>
          <w:szCs w:val="24"/>
        </w:rPr>
        <w:t xml:space="preserve"> </w:t>
      </w:r>
      <w:r w:rsidRPr="0094555B" w:rsidR="006F20ED">
        <w:rPr>
          <w:rFonts w:ascii="Times New Roman" w:hAnsi="Times New Roman" w:cs="Times New Roman"/>
          <w:bCs/>
          <w:sz w:val="24"/>
          <w:szCs w:val="24"/>
        </w:rPr>
        <w:t>606,131</w:t>
      </w:r>
      <w:r w:rsidRPr="0094555B">
        <w:rPr>
          <w:rFonts w:ascii="Times New Roman" w:hAnsi="Times New Roman" w:cs="Times New Roman"/>
          <w:bCs/>
          <w:sz w:val="24"/>
          <w:szCs w:val="24"/>
        </w:rPr>
        <w:t xml:space="preserve">) </w:t>
      </w:r>
      <w:r w:rsidRPr="0094555B" w:rsidR="006F20ED">
        <w:rPr>
          <w:rFonts w:ascii="Times New Roman" w:hAnsi="Times New Roman" w:cs="Times New Roman"/>
          <w:bCs/>
          <w:sz w:val="24"/>
          <w:szCs w:val="24"/>
        </w:rPr>
        <w:t>will require an assessment and treatment plan</w:t>
      </w:r>
      <w:r w:rsidRPr="0094555B">
        <w:rPr>
          <w:rFonts w:ascii="Times New Roman" w:hAnsi="Times New Roman" w:cs="Times New Roman"/>
          <w:bCs/>
          <w:sz w:val="24"/>
          <w:szCs w:val="24"/>
        </w:rPr>
        <w:t xml:space="preserve">.  We estimate an annual private sector burden of 1 </w:t>
      </w:r>
      <w:proofErr w:type="spellStart"/>
      <w:r w:rsidRPr="0094555B">
        <w:rPr>
          <w:rFonts w:ascii="Times New Roman" w:hAnsi="Times New Roman" w:cs="Times New Roman"/>
          <w:bCs/>
          <w:sz w:val="24"/>
          <w:szCs w:val="24"/>
        </w:rPr>
        <w:t>hr</w:t>
      </w:r>
      <w:proofErr w:type="spellEnd"/>
      <w:r w:rsidRPr="0094555B">
        <w:rPr>
          <w:rFonts w:ascii="Times New Roman" w:hAnsi="Times New Roman" w:cs="Times New Roman"/>
          <w:bCs/>
          <w:sz w:val="24"/>
          <w:szCs w:val="24"/>
        </w:rPr>
        <w:t xml:space="preserve"> (on average) at </w:t>
      </w:r>
      <w:r w:rsidRPr="0094555B" w:rsidR="00773C0B">
        <w:rPr>
          <w:rFonts w:ascii="Times New Roman" w:hAnsi="Times New Roman" w:cs="Times New Roman"/>
          <w:bCs/>
          <w:sz w:val="24"/>
          <w:szCs w:val="24"/>
        </w:rPr>
        <w:t>$7</w:t>
      </w:r>
      <w:r w:rsidRPr="0094555B" w:rsidR="0057770A">
        <w:rPr>
          <w:rFonts w:ascii="Times New Roman" w:hAnsi="Times New Roman" w:cs="Times New Roman"/>
          <w:bCs/>
          <w:sz w:val="24"/>
          <w:szCs w:val="24"/>
        </w:rPr>
        <w:t>4.48</w:t>
      </w:r>
      <w:r w:rsidRPr="0094555B">
        <w:rPr>
          <w:rFonts w:ascii="Times New Roman" w:hAnsi="Times New Roman" w:cs="Times New Roman"/>
          <w:bCs/>
          <w:sz w:val="24"/>
          <w:szCs w:val="24"/>
        </w:rPr>
        <w:t>/</w:t>
      </w:r>
      <w:proofErr w:type="spellStart"/>
      <w:r w:rsidRPr="0094555B">
        <w:rPr>
          <w:rFonts w:ascii="Times New Roman" w:hAnsi="Times New Roman" w:cs="Times New Roman"/>
          <w:bCs/>
          <w:sz w:val="24"/>
          <w:szCs w:val="24"/>
        </w:rPr>
        <w:t>hr</w:t>
      </w:r>
      <w:proofErr w:type="spellEnd"/>
      <w:r w:rsidRPr="0094555B">
        <w:rPr>
          <w:rFonts w:ascii="Times New Roman" w:hAnsi="Times New Roman" w:cs="Times New Roman"/>
          <w:bCs/>
          <w:sz w:val="24"/>
          <w:szCs w:val="24"/>
        </w:rPr>
        <w:t xml:space="preserve"> for a registered nurse to complete the assessment and treatment planning.  In aggregate, we estimate an additional </w:t>
      </w:r>
      <w:r w:rsidRPr="0094555B" w:rsidR="006F20ED">
        <w:rPr>
          <w:rFonts w:ascii="Times New Roman" w:hAnsi="Times New Roman" w:cs="Times New Roman"/>
          <w:b/>
          <w:bCs/>
          <w:sz w:val="24"/>
          <w:szCs w:val="24"/>
        </w:rPr>
        <w:t>606,131</w:t>
      </w:r>
      <w:r w:rsidRPr="0094555B" w:rsidR="0057770A">
        <w:rPr>
          <w:rFonts w:ascii="Times New Roman" w:hAnsi="Times New Roman" w:cs="Times New Roman"/>
          <w:b/>
          <w:bCs/>
          <w:sz w:val="24"/>
          <w:szCs w:val="24"/>
        </w:rPr>
        <w:t xml:space="preserve"> </w:t>
      </w:r>
      <w:proofErr w:type="spellStart"/>
      <w:r w:rsidRPr="0094555B">
        <w:rPr>
          <w:rFonts w:ascii="Times New Roman" w:hAnsi="Times New Roman" w:cs="Times New Roman"/>
          <w:b/>
          <w:bCs/>
          <w:sz w:val="24"/>
          <w:szCs w:val="24"/>
        </w:rPr>
        <w:t>hr</w:t>
      </w:r>
      <w:proofErr w:type="spellEnd"/>
      <w:r w:rsidRPr="0094555B">
        <w:rPr>
          <w:rFonts w:ascii="Times New Roman" w:hAnsi="Times New Roman" w:cs="Times New Roman"/>
          <w:bCs/>
          <w:sz w:val="24"/>
          <w:szCs w:val="24"/>
        </w:rPr>
        <w:t xml:space="preserve"> (</w:t>
      </w:r>
      <w:r w:rsidRPr="0094555B" w:rsidR="006F20ED">
        <w:rPr>
          <w:rFonts w:ascii="Times New Roman" w:hAnsi="Times New Roman" w:cs="Times New Roman"/>
          <w:bCs/>
          <w:sz w:val="24"/>
          <w:szCs w:val="24"/>
        </w:rPr>
        <w:t>606,131</w:t>
      </w:r>
      <w:r w:rsidRPr="0094555B">
        <w:rPr>
          <w:rFonts w:ascii="Times New Roman" w:hAnsi="Times New Roman" w:cs="Times New Roman"/>
          <w:bCs/>
          <w:sz w:val="24"/>
          <w:szCs w:val="24"/>
        </w:rPr>
        <w:t xml:space="preserve"> enrollees x 1 </w:t>
      </w:r>
      <w:proofErr w:type="spellStart"/>
      <w:r w:rsidRPr="0094555B">
        <w:rPr>
          <w:rFonts w:ascii="Times New Roman" w:hAnsi="Times New Roman" w:cs="Times New Roman"/>
          <w:bCs/>
          <w:sz w:val="24"/>
          <w:szCs w:val="24"/>
        </w:rPr>
        <w:t>hr</w:t>
      </w:r>
      <w:proofErr w:type="spellEnd"/>
      <w:r w:rsidRPr="0094555B">
        <w:rPr>
          <w:rFonts w:ascii="Times New Roman" w:hAnsi="Times New Roman" w:cs="Times New Roman"/>
          <w:bCs/>
          <w:sz w:val="24"/>
          <w:szCs w:val="24"/>
        </w:rPr>
        <w:t xml:space="preserve">) and </w:t>
      </w:r>
      <w:r w:rsidRPr="0094555B">
        <w:rPr>
          <w:rFonts w:ascii="Times New Roman" w:hAnsi="Times New Roman" w:cs="Times New Roman"/>
          <w:b/>
          <w:bCs/>
          <w:sz w:val="24"/>
          <w:szCs w:val="24"/>
        </w:rPr>
        <w:t>$</w:t>
      </w:r>
      <w:r w:rsidRPr="0094555B" w:rsidR="0057770A">
        <w:rPr>
          <w:rFonts w:ascii="Times New Roman" w:hAnsi="Times New Roman" w:cs="Times New Roman"/>
          <w:b/>
          <w:bCs/>
          <w:sz w:val="24"/>
          <w:szCs w:val="24"/>
        </w:rPr>
        <w:t>4</w:t>
      </w:r>
      <w:r w:rsidR="0048164E">
        <w:rPr>
          <w:rFonts w:ascii="Times New Roman" w:hAnsi="Times New Roman" w:cs="Times New Roman"/>
          <w:b/>
          <w:bCs/>
          <w:sz w:val="24"/>
          <w:szCs w:val="24"/>
        </w:rPr>
        <w:t>6,635,719</w:t>
      </w:r>
      <w:r w:rsidRPr="0094555B">
        <w:rPr>
          <w:rFonts w:ascii="Times New Roman" w:hAnsi="Times New Roman" w:cs="Times New Roman"/>
          <w:bCs/>
          <w:sz w:val="24"/>
          <w:szCs w:val="24"/>
        </w:rPr>
        <w:t xml:space="preserve"> (</w:t>
      </w:r>
      <w:r w:rsidRPr="0094555B" w:rsidR="006F20ED">
        <w:rPr>
          <w:rFonts w:ascii="Times New Roman" w:hAnsi="Times New Roman" w:cs="Times New Roman"/>
          <w:bCs/>
          <w:sz w:val="24"/>
          <w:szCs w:val="24"/>
        </w:rPr>
        <w:t>606,131</w:t>
      </w:r>
      <w:r w:rsidRPr="0094555B">
        <w:rPr>
          <w:rFonts w:ascii="Times New Roman" w:hAnsi="Times New Roman" w:cs="Times New Roman"/>
          <w:bCs/>
          <w:sz w:val="24"/>
          <w:szCs w:val="24"/>
        </w:rPr>
        <w:t xml:space="preserve"> </w:t>
      </w:r>
      <w:proofErr w:type="spellStart"/>
      <w:r w:rsidRPr="0094555B">
        <w:rPr>
          <w:rFonts w:ascii="Times New Roman" w:hAnsi="Times New Roman" w:cs="Times New Roman"/>
          <w:bCs/>
          <w:sz w:val="24"/>
          <w:szCs w:val="24"/>
        </w:rPr>
        <w:t>hr</w:t>
      </w:r>
      <w:proofErr w:type="spellEnd"/>
      <w:r w:rsidRPr="0094555B">
        <w:rPr>
          <w:rFonts w:ascii="Times New Roman" w:hAnsi="Times New Roman" w:cs="Times New Roman"/>
          <w:bCs/>
          <w:sz w:val="24"/>
          <w:szCs w:val="24"/>
        </w:rPr>
        <w:t xml:space="preserve"> x </w:t>
      </w:r>
      <w:r w:rsidRPr="0094555B" w:rsidR="00773C0B">
        <w:rPr>
          <w:rFonts w:ascii="Times New Roman" w:hAnsi="Times New Roman" w:cs="Times New Roman"/>
          <w:bCs/>
          <w:sz w:val="24"/>
          <w:szCs w:val="24"/>
        </w:rPr>
        <w:t>$</w:t>
      </w:r>
      <w:r w:rsidRPr="0094555B" w:rsidR="0057770A">
        <w:rPr>
          <w:rFonts w:ascii="Times New Roman" w:hAnsi="Times New Roman" w:cs="Times New Roman"/>
          <w:bCs/>
          <w:sz w:val="24"/>
          <w:szCs w:val="24"/>
        </w:rPr>
        <w:t>7</w:t>
      </w:r>
      <w:r w:rsidR="0048164E">
        <w:rPr>
          <w:rFonts w:ascii="Times New Roman" w:hAnsi="Times New Roman" w:cs="Times New Roman"/>
          <w:bCs/>
          <w:sz w:val="24"/>
          <w:szCs w:val="24"/>
        </w:rPr>
        <w:t>6.94</w:t>
      </w:r>
      <w:r w:rsidRPr="0094555B">
        <w:rPr>
          <w:rFonts w:ascii="Times New Roman" w:hAnsi="Times New Roman" w:cs="Times New Roman"/>
          <w:bCs/>
          <w:sz w:val="24"/>
          <w:szCs w:val="24"/>
        </w:rPr>
        <w:t>/</w:t>
      </w:r>
      <w:proofErr w:type="spellStart"/>
      <w:r w:rsidRPr="0094555B">
        <w:rPr>
          <w:rFonts w:ascii="Times New Roman" w:hAnsi="Times New Roman" w:cs="Times New Roman"/>
          <w:bCs/>
          <w:sz w:val="24"/>
          <w:szCs w:val="24"/>
        </w:rPr>
        <w:t>hr</w:t>
      </w:r>
      <w:proofErr w:type="spellEnd"/>
      <w:r w:rsidRPr="0094555B">
        <w:rPr>
          <w:rFonts w:ascii="Times New Roman" w:hAnsi="Times New Roman" w:cs="Times New Roman"/>
          <w:bCs/>
          <w:sz w:val="24"/>
          <w:szCs w:val="24"/>
        </w:rPr>
        <w:t xml:space="preserve">). </w:t>
      </w:r>
      <w:r w:rsidRPr="0094555B">
        <w:rPr>
          <w:rFonts w:ascii="Times New Roman" w:hAnsi="Times New Roman" w:cs="Times New Roman"/>
          <w:b/>
          <w:iCs/>
          <w:sz w:val="24"/>
          <w:szCs w:val="24"/>
        </w:rPr>
        <w:t>(</w:t>
      </w:r>
      <w:r w:rsidRPr="0094555B" w:rsidR="005F5165">
        <w:rPr>
          <w:rFonts w:ascii="Times New Roman" w:hAnsi="Times New Roman" w:cs="Times New Roman"/>
          <w:b/>
          <w:iCs/>
          <w:sz w:val="24"/>
          <w:szCs w:val="24"/>
        </w:rPr>
        <w:t>ESTIMATE</w:t>
      </w:r>
      <w:r w:rsidRPr="0094555B">
        <w:rPr>
          <w:rFonts w:ascii="Times New Roman" w:hAnsi="Times New Roman" w:cs="Times New Roman"/>
          <w:b/>
          <w:iCs/>
          <w:sz w:val="24"/>
          <w:szCs w:val="24"/>
        </w:rPr>
        <w:t xml:space="preserve"> 12.39)</w:t>
      </w:r>
    </w:p>
    <w:p w:rsidRPr="0094555B" w:rsidR="002C19D6" w:rsidP="0094555B" w:rsidRDefault="002C19D6" w14:paraId="0057A11C" w14:textId="77777777">
      <w:pPr>
        <w:pStyle w:val="BodyText"/>
      </w:pPr>
    </w:p>
    <w:p w:rsidRPr="0094555B" w:rsidR="00332B7B" w:rsidP="0094555B" w:rsidRDefault="00624B15" w14:paraId="463A3ACB" w14:textId="77777777">
      <w:pPr>
        <w:rPr>
          <w:rFonts w:ascii="Times New Roman" w:hAnsi="Times New Roman" w:cs="Times New Roman"/>
          <w:bCs/>
          <w:sz w:val="24"/>
          <w:szCs w:val="24"/>
        </w:rPr>
      </w:pPr>
      <w:r w:rsidRPr="0094555B">
        <w:rPr>
          <w:rFonts w:ascii="Times New Roman" w:hAnsi="Times New Roman" w:cs="Times New Roman"/>
          <w:bCs/>
          <w:sz w:val="24"/>
          <w:szCs w:val="24"/>
          <w:u w:val="single"/>
        </w:rPr>
        <w:t>Section 438.214 Provider selection</w:t>
      </w:r>
      <w:r w:rsidRPr="0094555B">
        <w:rPr>
          <w:rFonts w:ascii="Times New Roman" w:hAnsi="Times New Roman" w:cs="Times New Roman"/>
          <w:bCs/>
          <w:sz w:val="24"/>
          <w:szCs w:val="24"/>
        </w:rPr>
        <w:t xml:space="preserve"> </w:t>
      </w:r>
    </w:p>
    <w:p w:rsidRPr="0094555B" w:rsidR="00624B15" w:rsidP="0094555B" w:rsidRDefault="00624B15" w14:paraId="30522867" w14:textId="6ACC99EE">
      <w:pPr>
        <w:rPr>
          <w:rFonts w:ascii="Times New Roman" w:hAnsi="Times New Roman" w:cs="Times New Roman"/>
          <w:b/>
          <w:iCs/>
          <w:sz w:val="24"/>
          <w:szCs w:val="24"/>
        </w:rPr>
      </w:pPr>
      <w:r w:rsidRPr="0094555B">
        <w:rPr>
          <w:rFonts w:ascii="Times New Roman" w:hAnsi="Times New Roman" w:cs="Times New Roman"/>
          <w:bCs/>
          <w:sz w:val="24"/>
          <w:szCs w:val="24"/>
        </w:rPr>
        <w:t>Under</w:t>
      </w:r>
      <w:r w:rsidRPr="0094555B">
        <w:rPr>
          <w:rFonts w:ascii="Times New Roman" w:hAnsi="Times New Roman" w:cs="Times New Roman"/>
          <w:sz w:val="24"/>
          <w:szCs w:val="24"/>
        </w:rPr>
        <w:t xml:space="preserve"> this section, each State must ensure, through its contracts, that each MCO, PIHP, or PAHP implements written policies and procedures for selection and retention of providers.  </w:t>
      </w:r>
      <w:r w:rsidRPr="0094555B">
        <w:rPr>
          <w:rFonts w:ascii="Times New Roman" w:hAnsi="Times New Roman" w:cs="Times New Roman"/>
          <w:iCs/>
          <w:sz w:val="24"/>
          <w:szCs w:val="24"/>
        </w:rPr>
        <w:t xml:space="preserve">The burden </w:t>
      </w:r>
      <w:r w:rsidRPr="0094555B">
        <w:rPr>
          <w:rFonts w:ascii="Times New Roman" w:hAnsi="Times New Roman" w:cs="Times New Roman"/>
          <w:iCs/>
          <w:sz w:val="24"/>
          <w:szCs w:val="24"/>
        </w:rPr>
        <w:lastRenderedPageBreak/>
        <w:t>associated with this requirement is the usual and customary recordkeeping collection associated with maintaining documentation</w:t>
      </w:r>
      <w:r w:rsidRPr="0094555B">
        <w:rPr>
          <w:rFonts w:ascii="Times New Roman" w:hAnsi="Times New Roman" w:cs="Times New Roman"/>
          <w:b/>
          <w:iCs/>
          <w:sz w:val="24"/>
          <w:szCs w:val="24"/>
        </w:rPr>
        <w:t>.</w:t>
      </w:r>
    </w:p>
    <w:p w:rsidRPr="0094555B" w:rsidR="00332B7B" w:rsidP="0094555B" w:rsidRDefault="00624B15" w14:paraId="5ACBDFB1" w14:textId="77777777">
      <w:pPr>
        <w:rPr>
          <w:rFonts w:ascii="Times New Roman" w:hAnsi="Times New Roman" w:cs="Times New Roman"/>
          <w:sz w:val="24"/>
          <w:szCs w:val="24"/>
        </w:rPr>
      </w:pPr>
      <w:r w:rsidRPr="0094555B">
        <w:rPr>
          <w:rFonts w:ascii="Times New Roman" w:hAnsi="Times New Roman" w:cs="Times New Roman"/>
          <w:sz w:val="24"/>
          <w:szCs w:val="24"/>
          <w:u w:val="single"/>
        </w:rPr>
        <w:t>Section 438.236 Practice guidelines</w:t>
      </w:r>
      <w:r w:rsidRPr="0094555B">
        <w:rPr>
          <w:rFonts w:ascii="Times New Roman" w:hAnsi="Times New Roman" w:cs="Times New Roman"/>
          <w:sz w:val="24"/>
          <w:szCs w:val="24"/>
        </w:rPr>
        <w:t xml:space="preserve"> </w:t>
      </w:r>
    </w:p>
    <w:p w:rsidRPr="0094555B" w:rsidR="00624B15" w:rsidP="0094555B" w:rsidRDefault="00624B15" w14:paraId="128558F8" w14:textId="5DD1F5B4">
      <w:pPr>
        <w:rPr>
          <w:rFonts w:ascii="Times New Roman" w:hAnsi="Times New Roman" w:cs="Times New Roman"/>
          <w:sz w:val="24"/>
          <w:szCs w:val="24"/>
        </w:rPr>
      </w:pPr>
      <w:r w:rsidRPr="0094555B">
        <w:rPr>
          <w:rFonts w:ascii="Times New Roman" w:hAnsi="Times New Roman" w:cs="Times New Roman"/>
          <w:sz w:val="24"/>
          <w:szCs w:val="24"/>
        </w:rPr>
        <w:t>Under paragraph (c) of this section, each MCO, PIHP, and PAHP must disseminate guidelines to its affected providers and, upon request, to enrollees and potential enrollees.</w:t>
      </w:r>
    </w:p>
    <w:p w:rsidRPr="0094555B" w:rsidR="00624B15" w:rsidP="0094555B" w:rsidRDefault="00624B15" w14:paraId="20B2D99E" w14:textId="77777777">
      <w:pPr>
        <w:rPr>
          <w:rFonts w:ascii="Times New Roman" w:hAnsi="Times New Roman" w:cs="Times New Roman"/>
          <w:iCs/>
          <w:sz w:val="24"/>
          <w:szCs w:val="24"/>
        </w:rPr>
      </w:pPr>
      <w:r w:rsidRPr="0094555B">
        <w:rPr>
          <w:rFonts w:ascii="Times New Roman" w:hAnsi="Times New Roman" w:cs="Times New Roman"/>
          <w:iCs/>
          <w:sz w:val="24"/>
          <w:szCs w:val="24"/>
        </w:rPr>
        <w:t>The burden associated with this requirement is the time required to disseminate the guidelines.  As this is done electronically, we estimate no additional burden here.</w:t>
      </w:r>
    </w:p>
    <w:p w:rsidRPr="0094555B" w:rsidR="00332B7B" w:rsidP="0094555B" w:rsidRDefault="00624B15" w14:paraId="5AB220E2" w14:textId="381D8F12">
      <w:pPr>
        <w:rPr>
          <w:rFonts w:ascii="Times New Roman" w:hAnsi="Times New Roman" w:cs="Times New Roman"/>
          <w:sz w:val="24"/>
          <w:szCs w:val="24"/>
        </w:rPr>
      </w:pPr>
      <w:r w:rsidRPr="0094555B">
        <w:rPr>
          <w:rFonts w:ascii="Times New Roman" w:hAnsi="Times New Roman" w:cs="Times New Roman"/>
          <w:sz w:val="24"/>
          <w:szCs w:val="24"/>
          <w:u w:val="single"/>
        </w:rPr>
        <w:t xml:space="preserve">Section 438.404 </w:t>
      </w:r>
      <w:r w:rsidRPr="0094555B" w:rsidR="00E51BC7">
        <w:rPr>
          <w:rFonts w:ascii="Times New Roman" w:hAnsi="Times New Roman" w:cs="Times New Roman"/>
          <w:sz w:val="24"/>
          <w:szCs w:val="24"/>
          <w:u w:val="single"/>
        </w:rPr>
        <w:t>Timely and adequate notice of adverse benefit determination</w:t>
      </w:r>
    </w:p>
    <w:p w:rsidRPr="0094555B" w:rsidR="00624B15" w:rsidP="0094555B" w:rsidRDefault="00624B15" w14:paraId="30D54B44" w14:textId="2576D410">
      <w:pPr>
        <w:rPr>
          <w:rFonts w:ascii="Times New Roman" w:hAnsi="Times New Roman" w:cs="Times New Roman"/>
          <w:sz w:val="24"/>
          <w:szCs w:val="24"/>
        </w:rPr>
      </w:pPr>
      <w:r w:rsidRPr="0094555B">
        <w:rPr>
          <w:rFonts w:ascii="Times New Roman" w:hAnsi="Times New Roman" w:cs="Times New Roman"/>
          <w:sz w:val="24"/>
          <w:szCs w:val="24"/>
        </w:rPr>
        <w:t>Section 438.404(a) adds PAHPs as an entity that must give the enrollee timely written notice.  It also sets forth the requirements of that notice.  Consistent with the requirements for MCOs and PIHPs, PAHPs must give the enrollee timely written notice if it intends to: deny, limit, reduce, or terminate a service; deny payment; deny the request of an enrollee in a rural area with one plan to go out of network to obtain a service; or fails to furnish, arrange, provide, or pay for a service in a timely manner.</w:t>
      </w:r>
    </w:p>
    <w:p w:rsidRPr="0094555B" w:rsidR="00332B7B" w:rsidP="0094555B" w:rsidRDefault="00624B15" w14:paraId="592CEA87" w14:textId="77777777">
      <w:pPr>
        <w:rPr>
          <w:rFonts w:ascii="Times New Roman" w:hAnsi="Times New Roman" w:cs="Times New Roman"/>
          <w:sz w:val="24"/>
          <w:szCs w:val="24"/>
        </w:rPr>
      </w:pPr>
      <w:r w:rsidRPr="0094555B">
        <w:rPr>
          <w:rFonts w:ascii="Times New Roman" w:hAnsi="Times New Roman" w:cs="Times New Roman"/>
          <w:sz w:val="24"/>
          <w:szCs w:val="24"/>
          <w:u w:val="single"/>
        </w:rPr>
        <w:t>Section 438.406 Handling of grievances and appeals</w:t>
      </w:r>
      <w:r w:rsidRPr="0094555B">
        <w:rPr>
          <w:rFonts w:ascii="Times New Roman" w:hAnsi="Times New Roman" w:cs="Times New Roman"/>
          <w:sz w:val="24"/>
          <w:szCs w:val="24"/>
        </w:rPr>
        <w:t xml:space="preserve"> </w:t>
      </w:r>
    </w:p>
    <w:p w:rsidRPr="0094555B" w:rsidR="00624B15" w:rsidP="0094555B" w:rsidRDefault="00624B15" w14:paraId="2066471B" w14:textId="4F67B8E4">
      <w:pPr>
        <w:rPr>
          <w:rFonts w:ascii="Times New Roman" w:hAnsi="Times New Roman" w:cs="Times New Roman"/>
          <w:iCs/>
          <w:sz w:val="24"/>
          <w:szCs w:val="24"/>
        </w:rPr>
      </w:pPr>
      <w:r w:rsidRPr="0094555B">
        <w:rPr>
          <w:rFonts w:ascii="Times New Roman" w:hAnsi="Times New Roman" w:cs="Times New Roman"/>
          <w:sz w:val="24"/>
          <w:szCs w:val="24"/>
        </w:rPr>
        <w:t xml:space="preserve">In summary, §438.406 states that each MCO and PIHP must acknowledge receipt of each grievance and appeal.  </w:t>
      </w:r>
      <w:r w:rsidRPr="0094555B">
        <w:rPr>
          <w:rFonts w:ascii="Times New Roman" w:hAnsi="Times New Roman" w:cs="Times New Roman"/>
          <w:iCs/>
          <w:sz w:val="24"/>
          <w:szCs w:val="24"/>
        </w:rPr>
        <w:t>The above information collection requirement is not subject to the PRA.  It is exempt under 5 CFR 1320.4(a) because it occurs as part of an administrative action.</w:t>
      </w:r>
    </w:p>
    <w:p w:rsidRPr="0094555B" w:rsidR="00624B15" w:rsidP="0094555B" w:rsidRDefault="00624B15" w14:paraId="0EC291A2" w14:textId="77777777">
      <w:pPr>
        <w:rPr>
          <w:rFonts w:ascii="Times New Roman" w:hAnsi="Times New Roman" w:cs="Times New Roman"/>
          <w:iCs/>
          <w:sz w:val="24"/>
          <w:szCs w:val="24"/>
        </w:rPr>
      </w:pPr>
      <w:r w:rsidRPr="0094555B">
        <w:rPr>
          <w:rFonts w:ascii="Times New Roman" w:hAnsi="Times New Roman" w:cs="Times New Roman"/>
          <w:iCs/>
          <w:sz w:val="24"/>
          <w:szCs w:val="24"/>
        </w:rPr>
        <w:t xml:space="preserve">Section 438.406(b)(5) modifies the language for evidence standards for appeals to mirror the private market evidence standards.  This aligns the text with commercial requirements but does not alter the meaning; therefore, this imposes no additional burden.  </w:t>
      </w:r>
    </w:p>
    <w:p w:rsidRPr="0094555B" w:rsidR="00332B7B" w:rsidP="0094555B" w:rsidRDefault="00624B15" w14:paraId="7A7BE116" w14:textId="77777777">
      <w:pPr>
        <w:rPr>
          <w:rFonts w:ascii="Times New Roman" w:hAnsi="Times New Roman" w:cs="Times New Roman"/>
          <w:sz w:val="24"/>
          <w:szCs w:val="24"/>
        </w:rPr>
      </w:pPr>
      <w:r w:rsidRPr="0094555B">
        <w:rPr>
          <w:rFonts w:ascii="Times New Roman" w:hAnsi="Times New Roman" w:cs="Times New Roman"/>
          <w:sz w:val="24"/>
          <w:szCs w:val="24"/>
          <w:u w:val="single"/>
        </w:rPr>
        <w:t>Section 438.408 Resolution and notification: grievances and appeals</w:t>
      </w:r>
      <w:r w:rsidRPr="0094555B">
        <w:rPr>
          <w:rFonts w:ascii="Times New Roman" w:hAnsi="Times New Roman" w:cs="Times New Roman"/>
          <w:sz w:val="24"/>
          <w:szCs w:val="24"/>
        </w:rPr>
        <w:t xml:space="preserve"> </w:t>
      </w:r>
    </w:p>
    <w:p w:rsidRPr="0094555B" w:rsidR="00624B15" w:rsidP="0094555B" w:rsidRDefault="00624B15" w14:paraId="5959AE85" w14:textId="01A6E3C0">
      <w:pPr>
        <w:rPr>
          <w:rFonts w:ascii="Times New Roman" w:hAnsi="Times New Roman" w:cs="Times New Roman"/>
          <w:sz w:val="24"/>
          <w:szCs w:val="24"/>
        </w:rPr>
      </w:pPr>
      <w:r w:rsidRPr="0094555B">
        <w:rPr>
          <w:rFonts w:ascii="Times New Roman" w:hAnsi="Times New Roman" w:cs="Times New Roman"/>
          <w:sz w:val="24"/>
          <w:szCs w:val="24"/>
        </w:rPr>
        <w:t xml:space="preserve">Section §438.408 states that for grievances filed in writing or related to quality of care, the MCO or PIHP must notify the enrollee in writing of its decision within specified timeframes.  </w:t>
      </w:r>
      <w:r w:rsidRPr="0094555B">
        <w:rPr>
          <w:rFonts w:ascii="Times New Roman" w:hAnsi="Times New Roman" w:cs="Times New Roman"/>
          <w:iCs/>
          <w:sz w:val="24"/>
          <w:szCs w:val="24"/>
        </w:rPr>
        <w:t>Except as noted below, these provisions are exempt under 5 CFR 1320.4(a) because they occur as part of an administrative action.</w:t>
      </w:r>
    </w:p>
    <w:p w:rsidRPr="0094555B" w:rsidR="00624B15" w:rsidP="0094555B" w:rsidRDefault="00624B15" w14:paraId="03D5A756" w14:textId="77777777">
      <w:pPr>
        <w:rPr>
          <w:rFonts w:ascii="Times New Roman" w:hAnsi="Times New Roman" w:cs="Times New Roman"/>
          <w:sz w:val="24"/>
          <w:szCs w:val="24"/>
        </w:rPr>
      </w:pPr>
      <w:r w:rsidRPr="0094555B">
        <w:rPr>
          <w:rFonts w:ascii="Times New Roman" w:hAnsi="Times New Roman" w:cs="Times New Roman"/>
          <w:sz w:val="24"/>
          <w:szCs w:val="24"/>
        </w:rPr>
        <w:t xml:space="preserve">Section 438.408(b)(2) would change the timeframe an entity has to reach a determination from 45 days to 30 days to align with Medicare.  Most insurers offer more than one line of business, and therefore we believe this timeframe will allow MCOs, PIHPs, and PAHPs to be consistent with their usual and customary business practices. </w:t>
      </w:r>
    </w:p>
    <w:p w:rsidRPr="0094555B" w:rsidR="00624B15" w:rsidP="0094555B" w:rsidRDefault="00624B15" w14:paraId="368133B5" w14:textId="77777777">
      <w:pPr>
        <w:rPr>
          <w:rFonts w:ascii="Times New Roman" w:hAnsi="Times New Roman" w:cs="Times New Roman"/>
          <w:sz w:val="24"/>
          <w:szCs w:val="24"/>
        </w:rPr>
      </w:pPr>
      <w:r w:rsidRPr="0094555B">
        <w:rPr>
          <w:rFonts w:ascii="Times New Roman" w:hAnsi="Times New Roman" w:cs="Times New Roman"/>
          <w:sz w:val="24"/>
          <w:szCs w:val="24"/>
        </w:rPr>
        <w:t xml:space="preserve">Section 438.408(b)(3) would change the timeframe an entity has to reach a determination in an expedited appeal from 3 days to 72 </w:t>
      </w:r>
      <w:proofErr w:type="spellStart"/>
      <w:r w:rsidRPr="0094555B">
        <w:rPr>
          <w:rFonts w:ascii="Times New Roman" w:hAnsi="Times New Roman" w:cs="Times New Roman"/>
          <w:sz w:val="24"/>
          <w:szCs w:val="24"/>
        </w:rPr>
        <w:t>hr</w:t>
      </w:r>
      <w:proofErr w:type="spellEnd"/>
      <w:r w:rsidRPr="0094555B">
        <w:rPr>
          <w:rFonts w:ascii="Times New Roman" w:hAnsi="Times New Roman" w:cs="Times New Roman"/>
          <w:sz w:val="24"/>
          <w:szCs w:val="24"/>
        </w:rPr>
        <w:t xml:space="preserve"> to align with Medicare and the private market.  Most insurers offer more than one line of business, and therefore we believe this timeframe will make Medicaid consistent with usual and customary business practices.  </w:t>
      </w:r>
    </w:p>
    <w:p w:rsidRPr="0094555B" w:rsidR="00624B15" w:rsidP="0094555B" w:rsidRDefault="00624B15" w14:paraId="15A979B4" w14:textId="77777777">
      <w:pPr>
        <w:rPr>
          <w:rFonts w:ascii="Times New Roman" w:hAnsi="Times New Roman" w:cs="Times New Roman"/>
          <w:sz w:val="24"/>
          <w:szCs w:val="24"/>
        </w:rPr>
      </w:pPr>
      <w:r w:rsidRPr="0094555B">
        <w:rPr>
          <w:rFonts w:ascii="Times New Roman" w:hAnsi="Times New Roman" w:cs="Times New Roman"/>
          <w:sz w:val="24"/>
          <w:szCs w:val="24"/>
        </w:rPr>
        <w:t xml:space="preserve">Section 438.408(f)(1) and (2) would require that an enrollee exhaust the appeals process before proceeding to the state fair hearing process, and change the timeframe in which a beneficiary </w:t>
      </w:r>
      <w:r w:rsidRPr="0094555B">
        <w:rPr>
          <w:rFonts w:ascii="Times New Roman" w:hAnsi="Times New Roman" w:cs="Times New Roman"/>
          <w:sz w:val="24"/>
          <w:szCs w:val="24"/>
        </w:rPr>
        <w:lastRenderedPageBreak/>
        <w:t>must request a state fair hearing to 120 days.  This aligns with the private market and since many insurers offer more than one line of business, we believe aligning these timeframes will make Medicaid consistent with their usual and customary business practices.</w:t>
      </w:r>
    </w:p>
    <w:p w:rsidRPr="0094555B" w:rsidR="00332B7B" w:rsidP="0094555B" w:rsidRDefault="00624B15" w14:paraId="5E8EC5C2" w14:textId="77777777">
      <w:pPr>
        <w:rPr>
          <w:rFonts w:ascii="Times New Roman" w:hAnsi="Times New Roman" w:cs="Times New Roman"/>
          <w:sz w:val="24"/>
          <w:szCs w:val="24"/>
        </w:rPr>
      </w:pPr>
      <w:r w:rsidRPr="0094555B">
        <w:rPr>
          <w:rFonts w:ascii="Times New Roman" w:hAnsi="Times New Roman" w:cs="Times New Roman"/>
          <w:sz w:val="24"/>
          <w:szCs w:val="24"/>
          <w:u w:val="single"/>
        </w:rPr>
        <w:t>Section 438.410 Expedited resolution of appeals</w:t>
      </w:r>
      <w:r w:rsidRPr="0094555B">
        <w:rPr>
          <w:rFonts w:ascii="Times New Roman" w:hAnsi="Times New Roman" w:cs="Times New Roman"/>
          <w:sz w:val="24"/>
          <w:szCs w:val="24"/>
        </w:rPr>
        <w:t xml:space="preserve"> </w:t>
      </w:r>
    </w:p>
    <w:p w:rsidRPr="0094555B" w:rsidR="00624B15" w:rsidP="0094555B" w:rsidRDefault="00624B15" w14:paraId="21AEA4CA" w14:textId="70148713">
      <w:pPr>
        <w:rPr>
          <w:rFonts w:ascii="Times New Roman" w:hAnsi="Times New Roman" w:cs="Times New Roman"/>
          <w:sz w:val="24"/>
          <w:szCs w:val="24"/>
        </w:rPr>
      </w:pPr>
      <w:r w:rsidRPr="0094555B">
        <w:rPr>
          <w:rFonts w:ascii="Times New Roman" w:hAnsi="Times New Roman" w:cs="Times New Roman"/>
          <w:sz w:val="24"/>
          <w:szCs w:val="24"/>
        </w:rPr>
        <w:t>Section 438.410(c) of this section requires each MCO, PIHP, and PAHP to provide written notice to an enrollee whose request for expedited resolution is denied.</w:t>
      </w:r>
    </w:p>
    <w:p w:rsidRPr="0094555B" w:rsidR="00624B15" w:rsidP="0094555B" w:rsidRDefault="00624B15" w14:paraId="43F4AE47" w14:textId="77777777">
      <w:pPr>
        <w:rPr>
          <w:rFonts w:ascii="Times New Roman" w:hAnsi="Times New Roman" w:cs="Times New Roman"/>
          <w:iCs/>
          <w:sz w:val="24"/>
          <w:szCs w:val="24"/>
        </w:rPr>
      </w:pPr>
      <w:r w:rsidRPr="0094555B">
        <w:rPr>
          <w:rFonts w:ascii="Times New Roman" w:hAnsi="Times New Roman" w:cs="Times New Roman"/>
          <w:iCs/>
          <w:sz w:val="24"/>
          <w:szCs w:val="24"/>
        </w:rPr>
        <w:t>The above information collection requirement is not subject to the PRA.  It is exempt under 5 CFR 1320.4(a) because it occurs as part of an administrative action.</w:t>
      </w:r>
    </w:p>
    <w:p w:rsidRPr="0094555B" w:rsidR="00332B7B" w:rsidP="0094555B" w:rsidRDefault="00624B15" w14:paraId="04657990" w14:textId="15A89AE9">
      <w:pPr>
        <w:rPr>
          <w:rFonts w:ascii="Times New Roman" w:hAnsi="Times New Roman" w:cs="Times New Roman"/>
          <w:sz w:val="24"/>
          <w:szCs w:val="24"/>
        </w:rPr>
      </w:pPr>
      <w:r w:rsidRPr="0094555B">
        <w:rPr>
          <w:rFonts w:ascii="Times New Roman" w:hAnsi="Times New Roman" w:cs="Times New Roman"/>
          <w:sz w:val="24"/>
          <w:szCs w:val="24"/>
          <w:u w:val="single"/>
        </w:rPr>
        <w:t xml:space="preserve">Section 438.414 </w:t>
      </w:r>
      <w:r w:rsidRPr="0094555B" w:rsidR="00E51BC7">
        <w:rPr>
          <w:rFonts w:ascii="Times New Roman" w:hAnsi="Times New Roman" w:cs="Times New Roman"/>
          <w:sz w:val="24"/>
          <w:szCs w:val="24"/>
          <w:u w:val="single"/>
        </w:rPr>
        <w:t>Information about the grievance and appeal system to providers and subcontractors</w:t>
      </w:r>
    </w:p>
    <w:p w:rsidRPr="0094555B" w:rsidR="00624B15" w:rsidP="0094555B" w:rsidRDefault="00624B15" w14:paraId="1CCEABEB" w14:textId="50EF38DE">
      <w:pPr>
        <w:rPr>
          <w:rFonts w:ascii="Times New Roman" w:hAnsi="Times New Roman" w:cs="Times New Roman"/>
          <w:sz w:val="24"/>
          <w:szCs w:val="24"/>
        </w:rPr>
      </w:pPr>
      <w:r w:rsidRPr="0094555B">
        <w:rPr>
          <w:rFonts w:ascii="Times New Roman" w:hAnsi="Times New Roman" w:cs="Times New Roman"/>
          <w:sz w:val="24"/>
          <w:szCs w:val="24"/>
        </w:rPr>
        <w:t xml:space="preserve">Section 438.414 requires the MCO or PIHP to provide the information specified at §438.10(g)(2)(xi) about the grievance system to all providers and subcontractors at the time they enter into a contract.  </w:t>
      </w:r>
      <w:r w:rsidRPr="0094555B">
        <w:rPr>
          <w:rFonts w:ascii="Times New Roman" w:hAnsi="Times New Roman" w:cs="Times New Roman"/>
          <w:iCs/>
          <w:sz w:val="24"/>
          <w:szCs w:val="24"/>
        </w:rPr>
        <w:t>The burden for this is included in §438.10.</w:t>
      </w:r>
    </w:p>
    <w:p w:rsidRPr="0094555B" w:rsidR="00332B7B" w:rsidP="0094555B" w:rsidRDefault="00624B15" w14:paraId="513B324A" w14:textId="6D1CAAA7">
      <w:pPr>
        <w:rPr>
          <w:rFonts w:ascii="Times New Roman" w:hAnsi="Times New Roman" w:cs="Times New Roman"/>
          <w:sz w:val="24"/>
          <w:szCs w:val="24"/>
        </w:rPr>
      </w:pPr>
      <w:r w:rsidRPr="0094555B">
        <w:rPr>
          <w:rFonts w:ascii="Times New Roman" w:hAnsi="Times New Roman" w:cs="Times New Roman"/>
          <w:sz w:val="24"/>
          <w:szCs w:val="24"/>
          <w:u w:val="single"/>
        </w:rPr>
        <w:t>Section 438.416 Recordkeeping requirements</w:t>
      </w:r>
      <w:r w:rsidRPr="0094555B">
        <w:rPr>
          <w:rFonts w:ascii="Times New Roman" w:hAnsi="Times New Roman" w:cs="Times New Roman"/>
          <w:sz w:val="24"/>
          <w:szCs w:val="24"/>
        </w:rPr>
        <w:t xml:space="preserve"> </w:t>
      </w:r>
    </w:p>
    <w:p w:rsidRPr="0094555B" w:rsidR="00624B15" w:rsidP="0094555B" w:rsidRDefault="00624B15" w14:paraId="355F08E1" w14:textId="5D4001AE">
      <w:pPr>
        <w:rPr>
          <w:rFonts w:ascii="Times New Roman" w:hAnsi="Times New Roman" w:cs="Times New Roman"/>
          <w:sz w:val="24"/>
          <w:szCs w:val="24"/>
        </w:rPr>
      </w:pPr>
      <w:r w:rsidRPr="0094555B">
        <w:rPr>
          <w:rFonts w:ascii="Times New Roman" w:hAnsi="Times New Roman" w:cs="Times New Roman"/>
          <w:sz w:val="24"/>
          <w:szCs w:val="24"/>
        </w:rPr>
        <w:t xml:space="preserve">As the required elements will be stored and tracked electronically, </w:t>
      </w:r>
      <w:r w:rsidRPr="0094555B" w:rsidR="00F3211B">
        <w:rPr>
          <w:rFonts w:ascii="Times New Roman" w:hAnsi="Times New Roman" w:cs="Times New Roman"/>
          <w:sz w:val="24"/>
          <w:szCs w:val="24"/>
        </w:rPr>
        <w:t>we estimate that approximately t</w:t>
      </w:r>
      <w:r w:rsidRPr="0094555B" w:rsidR="00384087">
        <w:rPr>
          <w:rFonts w:ascii="Times New Roman" w:hAnsi="Times New Roman" w:cs="Times New Roman"/>
          <w:sz w:val="24"/>
          <w:szCs w:val="24"/>
        </w:rPr>
        <w:t>wo</w:t>
      </w:r>
      <w:r w:rsidRPr="0094555B" w:rsidR="00F3211B">
        <w:rPr>
          <w:rFonts w:ascii="Times New Roman" w:hAnsi="Times New Roman" w:cs="Times New Roman"/>
          <w:sz w:val="24"/>
          <w:szCs w:val="24"/>
        </w:rPr>
        <w:t xml:space="preserve"> percent of 6</w:t>
      </w:r>
      <w:r w:rsidRPr="0094555B" w:rsidR="00384087">
        <w:rPr>
          <w:rFonts w:ascii="Times New Roman" w:hAnsi="Times New Roman" w:cs="Times New Roman"/>
          <w:sz w:val="24"/>
          <w:szCs w:val="24"/>
        </w:rPr>
        <w:t xml:space="preserve">6,107,287 MCO, </w:t>
      </w:r>
      <w:r w:rsidRPr="0094555B" w:rsidR="00F3211B">
        <w:rPr>
          <w:rFonts w:ascii="Times New Roman" w:hAnsi="Times New Roman" w:cs="Times New Roman"/>
          <w:sz w:val="24"/>
          <w:szCs w:val="24"/>
        </w:rPr>
        <w:t>PIHP</w:t>
      </w:r>
      <w:r w:rsidRPr="0094555B" w:rsidR="00384087">
        <w:rPr>
          <w:rFonts w:ascii="Times New Roman" w:hAnsi="Times New Roman" w:cs="Times New Roman"/>
          <w:sz w:val="24"/>
          <w:szCs w:val="24"/>
        </w:rPr>
        <w:t>, and PAHP</w:t>
      </w:r>
      <w:r w:rsidRPr="0094555B" w:rsidR="00F3211B">
        <w:rPr>
          <w:rFonts w:ascii="Times New Roman" w:hAnsi="Times New Roman" w:cs="Times New Roman"/>
          <w:sz w:val="24"/>
          <w:szCs w:val="24"/>
        </w:rPr>
        <w:t xml:space="preserve"> enrollees </w:t>
      </w:r>
      <w:r w:rsidRPr="0094555B" w:rsidR="00622CF2">
        <w:rPr>
          <w:rFonts w:ascii="Times New Roman" w:hAnsi="Times New Roman" w:cs="Times New Roman"/>
          <w:sz w:val="24"/>
          <w:szCs w:val="24"/>
        </w:rPr>
        <w:t xml:space="preserve">(66,107,287 x 0.02 = 1,322,146 grievances) </w:t>
      </w:r>
      <w:r w:rsidRPr="0094555B" w:rsidR="00F3211B">
        <w:rPr>
          <w:rFonts w:ascii="Times New Roman" w:hAnsi="Times New Roman" w:cs="Times New Roman"/>
          <w:sz w:val="24"/>
          <w:szCs w:val="24"/>
        </w:rPr>
        <w:t>file a grievance or appeal.  W</w:t>
      </w:r>
      <w:r w:rsidRPr="0094555B">
        <w:rPr>
          <w:rFonts w:ascii="Times New Roman" w:hAnsi="Times New Roman" w:cs="Times New Roman"/>
          <w:sz w:val="24"/>
          <w:szCs w:val="24"/>
        </w:rPr>
        <w:t xml:space="preserve">e estimate 1 min per grievance and appeal at </w:t>
      </w:r>
      <w:r w:rsidRPr="0094555B" w:rsidR="00827481">
        <w:rPr>
          <w:rFonts w:ascii="Times New Roman" w:hAnsi="Times New Roman" w:cs="Times New Roman"/>
          <w:sz w:val="24"/>
          <w:szCs w:val="24"/>
        </w:rPr>
        <w:t>$35.</w:t>
      </w:r>
      <w:r w:rsidRPr="0094555B" w:rsidR="0057770A">
        <w:rPr>
          <w:rFonts w:ascii="Times New Roman" w:hAnsi="Times New Roman" w:cs="Times New Roman"/>
          <w:sz w:val="24"/>
          <w:szCs w:val="24"/>
        </w:rPr>
        <w:t>50</w:t>
      </w:r>
      <w:r w:rsidRPr="0094555B">
        <w:rPr>
          <w:rFonts w:ascii="Times New Roman" w:hAnsi="Times New Roman" w:cs="Times New Roman"/>
          <w:sz w:val="24"/>
          <w:szCs w:val="24"/>
        </w:rPr>
        <w:t>/</w:t>
      </w:r>
      <w:proofErr w:type="spellStart"/>
      <w:r w:rsidRPr="0094555B">
        <w:rPr>
          <w:rFonts w:ascii="Times New Roman" w:hAnsi="Times New Roman" w:cs="Times New Roman"/>
          <w:sz w:val="24"/>
          <w:szCs w:val="24"/>
        </w:rPr>
        <w:t>hr</w:t>
      </w:r>
      <w:proofErr w:type="spellEnd"/>
      <w:r w:rsidRPr="0094555B">
        <w:rPr>
          <w:rFonts w:ascii="Times New Roman" w:hAnsi="Times New Roman" w:cs="Times New Roman"/>
          <w:sz w:val="24"/>
          <w:szCs w:val="24"/>
        </w:rPr>
        <w:t xml:space="preserve"> for an office and administrative support worker to maintain each grievance and appeals record.  In aggregate, we estimate an annual private sector burden of </w:t>
      </w:r>
      <w:r w:rsidRPr="0094555B" w:rsidR="00384087">
        <w:rPr>
          <w:rFonts w:ascii="Times New Roman" w:hAnsi="Times New Roman" w:cs="Times New Roman"/>
          <w:b/>
          <w:sz w:val="24"/>
          <w:szCs w:val="24"/>
        </w:rPr>
        <w:t>22,0</w:t>
      </w:r>
      <w:r w:rsidRPr="0094555B" w:rsidR="0057770A">
        <w:rPr>
          <w:rFonts w:ascii="Times New Roman" w:hAnsi="Times New Roman" w:cs="Times New Roman"/>
          <w:b/>
          <w:sz w:val="24"/>
          <w:szCs w:val="24"/>
        </w:rPr>
        <w:t>80</w:t>
      </w:r>
      <w:r w:rsidRPr="0094555B">
        <w:rPr>
          <w:rFonts w:ascii="Times New Roman" w:hAnsi="Times New Roman" w:cs="Times New Roman"/>
          <w:b/>
          <w:sz w:val="24"/>
          <w:szCs w:val="24"/>
        </w:rPr>
        <w:t xml:space="preserve"> </w:t>
      </w:r>
      <w:proofErr w:type="spellStart"/>
      <w:r w:rsidRPr="0094555B">
        <w:rPr>
          <w:rFonts w:ascii="Times New Roman" w:hAnsi="Times New Roman" w:cs="Times New Roman"/>
          <w:b/>
          <w:sz w:val="24"/>
          <w:szCs w:val="24"/>
        </w:rPr>
        <w:t>hr</w:t>
      </w:r>
      <w:proofErr w:type="spellEnd"/>
      <w:r w:rsidRPr="0094555B">
        <w:rPr>
          <w:rFonts w:ascii="Times New Roman" w:hAnsi="Times New Roman" w:cs="Times New Roman"/>
          <w:sz w:val="24"/>
          <w:szCs w:val="24"/>
        </w:rPr>
        <w:t xml:space="preserve"> (</w:t>
      </w:r>
      <w:r w:rsidRPr="0094555B" w:rsidR="00384087">
        <w:rPr>
          <w:rFonts w:ascii="Times New Roman" w:hAnsi="Times New Roman" w:cs="Times New Roman"/>
          <w:sz w:val="24"/>
          <w:szCs w:val="24"/>
        </w:rPr>
        <w:t>1,322,146</w:t>
      </w:r>
      <w:r w:rsidRPr="0094555B">
        <w:rPr>
          <w:rFonts w:ascii="Times New Roman" w:hAnsi="Times New Roman" w:cs="Times New Roman"/>
          <w:sz w:val="24"/>
          <w:szCs w:val="24"/>
        </w:rPr>
        <w:t xml:space="preserve"> grievances</w:t>
      </w:r>
      <w:r w:rsidRPr="0094555B" w:rsidR="00D67AAE">
        <w:rPr>
          <w:rFonts w:ascii="Times New Roman" w:hAnsi="Times New Roman" w:cs="Times New Roman"/>
          <w:sz w:val="24"/>
          <w:szCs w:val="24"/>
        </w:rPr>
        <w:t xml:space="preserve"> </w:t>
      </w:r>
      <w:r w:rsidRPr="0094555B">
        <w:rPr>
          <w:rFonts w:ascii="Times New Roman" w:hAnsi="Times New Roman" w:cs="Times New Roman"/>
          <w:sz w:val="24"/>
          <w:szCs w:val="24"/>
        </w:rPr>
        <w:t xml:space="preserve">x 1 min) and </w:t>
      </w:r>
      <w:r w:rsidRPr="0094555B">
        <w:rPr>
          <w:rFonts w:ascii="Times New Roman" w:hAnsi="Times New Roman" w:cs="Times New Roman"/>
          <w:b/>
          <w:sz w:val="24"/>
          <w:szCs w:val="24"/>
        </w:rPr>
        <w:t>$</w:t>
      </w:r>
      <w:r w:rsidR="0048164E">
        <w:rPr>
          <w:rFonts w:ascii="Times New Roman" w:hAnsi="Times New Roman" w:cs="Times New Roman"/>
          <w:b/>
          <w:sz w:val="24"/>
          <w:szCs w:val="24"/>
        </w:rPr>
        <w:t>812,986</w:t>
      </w:r>
      <w:r w:rsidRPr="0094555B">
        <w:rPr>
          <w:rFonts w:ascii="Times New Roman" w:hAnsi="Times New Roman" w:cs="Times New Roman"/>
          <w:sz w:val="24"/>
          <w:szCs w:val="24"/>
        </w:rPr>
        <w:t xml:space="preserve"> (</w:t>
      </w:r>
      <w:r w:rsidRPr="0094555B" w:rsidR="0057770A">
        <w:rPr>
          <w:rFonts w:ascii="Times New Roman" w:hAnsi="Times New Roman" w:cs="Times New Roman"/>
          <w:sz w:val="24"/>
          <w:szCs w:val="24"/>
        </w:rPr>
        <w:t>22,080</w:t>
      </w:r>
      <w:r w:rsidRPr="0094555B">
        <w:rPr>
          <w:rFonts w:ascii="Times New Roman" w:hAnsi="Times New Roman" w:cs="Times New Roman"/>
          <w:sz w:val="24"/>
          <w:szCs w:val="24"/>
        </w:rPr>
        <w:t xml:space="preserve"> </w:t>
      </w:r>
      <w:proofErr w:type="spellStart"/>
      <w:r w:rsidRPr="0094555B">
        <w:rPr>
          <w:rFonts w:ascii="Times New Roman" w:hAnsi="Times New Roman" w:cs="Times New Roman"/>
          <w:sz w:val="24"/>
          <w:szCs w:val="24"/>
        </w:rPr>
        <w:t>hr</w:t>
      </w:r>
      <w:proofErr w:type="spellEnd"/>
      <w:r w:rsidRPr="0094555B">
        <w:rPr>
          <w:rFonts w:ascii="Times New Roman" w:hAnsi="Times New Roman" w:cs="Times New Roman"/>
          <w:sz w:val="24"/>
          <w:szCs w:val="24"/>
        </w:rPr>
        <w:t xml:space="preserve"> x </w:t>
      </w:r>
      <w:r w:rsidRPr="0094555B" w:rsidR="00827481">
        <w:rPr>
          <w:rFonts w:ascii="Times New Roman" w:hAnsi="Times New Roman" w:cs="Times New Roman"/>
          <w:sz w:val="24"/>
          <w:szCs w:val="24"/>
        </w:rPr>
        <w:t>$3</w:t>
      </w:r>
      <w:r w:rsidR="0048164E">
        <w:rPr>
          <w:rFonts w:ascii="Times New Roman" w:hAnsi="Times New Roman" w:cs="Times New Roman"/>
          <w:sz w:val="24"/>
          <w:szCs w:val="24"/>
        </w:rPr>
        <w:t>6.82</w:t>
      </w:r>
      <w:r w:rsidRPr="0094555B">
        <w:rPr>
          <w:rFonts w:ascii="Times New Roman" w:hAnsi="Times New Roman" w:cs="Times New Roman"/>
          <w:sz w:val="24"/>
          <w:szCs w:val="24"/>
        </w:rPr>
        <w:t>/</w:t>
      </w:r>
      <w:proofErr w:type="spellStart"/>
      <w:r w:rsidRPr="0094555B">
        <w:rPr>
          <w:rFonts w:ascii="Times New Roman" w:hAnsi="Times New Roman" w:cs="Times New Roman"/>
          <w:sz w:val="24"/>
          <w:szCs w:val="24"/>
        </w:rPr>
        <w:t>hr</w:t>
      </w:r>
      <w:proofErr w:type="spellEnd"/>
      <w:r w:rsidRPr="0094555B">
        <w:rPr>
          <w:rFonts w:ascii="Times New Roman" w:hAnsi="Times New Roman" w:cs="Times New Roman"/>
          <w:sz w:val="24"/>
          <w:szCs w:val="24"/>
        </w:rPr>
        <w:t xml:space="preserve">). </w:t>
      </w:r>
      <w:r w:rsidRPr="0094555B">
        <w:rPr>
          <w:rFonts w:ascii="Times New Roman" w:hAnsi="Times New Roman" w:cs="Times New Roman"/>
          <w:b/>
          <w:sz w:val="24"/>
          <w:szCs w:val="24"/>
        </w:rPr>
        <w:t>(</w:t>
      </w:r>
      <w:r w:rsidRPr="0094555B" w:rsidR="005F5165">
        <w:rPr>
          <w:rFonts w:ascii="Times New Roman" w:hAnsi="Times New Roman" w:cs="Times New Roman"/>
          <w:b/>
          <w:sz w:val="24"/>
          <w:szCs w:val="24"/>
        </w:rPr>
        <w:t>ESTIMATE</w:t>
      </w:r>
      <w:r w:rsidRPr="0094555B">
        <w:rPr>
          <w:rFonts w:ascii="Times New Roman" w:hAnsi="Times New Roman" w:cs="Times New Roman"/>
          <w:b/>
          <w:sz w:val="24"/>
          <w:szCs w:val="24"/>
        </w:rPr>
        <w:t xml:space="preserve"> 12.50)</w:t>
      </w:r>
    </w:p>
    <w:p w:rsidRPr="0094555B" w:rsidR="00EF2944" w:rsidP="0094555B" w:rsidRDefault="00624B15" w14:paraId="3377909A" w14:textId="4C982706">
      <w:pPr>
        <w:rPr>
          <w:rFonts w:ascii="Times New Roman" w:hAnsi="Times New Roman" w:cs="Times New Roman"/>
          <w:sz w:val="24"/>
          <w:szCs w:val="24"/>
          <w:u w:val="single"/>
        </w:rPr>
      </w:pPr>
      <w:r w:rsidRPr="0094555B">
        <w:rPr>
          <w:rFonts w:ascii="Times New Roman" w:hAnsi="Times New Roman" w:cs="Times New Roman"/>
          <w:sz w:val="24"/>
          <w:szCs w:val="24"/>
          <w:u w:val="single"/>
        </w:rPr>
        <w:t>Section 438.420 Continuation of benefits while the MCO</w:t>
      </w:r>
      <w:r w:rsidRPr="0094555B" w:rsidR="00EF2944">
        <w:rPr>
          <w:rFonts w:ascii="Times New Roman" w:hAnsi="Times New Roman" w:cs="Times New Roman"/>
          <w:sz w:val="24"/>
          <w:szCs w:val="24"/>
          <w:u w:val="single"/>
        </w:rPr>
        <w:t>, PIHP, or PAHP appeal and the S</w:t>
      </w:r>
      <w:r w:rsidRPr="0094555B">
        <w:rPr>
          <w:rFonts w:ascii="Times New Roman" w:hAnsi="Times New Roman" w:cs="Times New Roman"/>
          <w:sz w:val="24"/>
          <w:szCs w:val="24"/>
          <w:u w:val="single"/>
        </w:rPr>
        <w:t xml:space="preserve">tate fair hearing are pending </w:t>
      </w:r>
    </w:p>
    <w:p w:rsidRPr="0094555B" w:rsidR="00624B15" w:rsidP="0094555B" w:rsidRDefault="00624B15" w14:paraId="19E47CF4" w14:textId="420E2393">
      <w:pPr>
        <w:rPr>
          <w:rFonts w:ascii="Times New Roman" w:hAnsi="Times New Roman" w:cs="Times New Roman"/>
          <w:bCs/>
          <w:sz w:val="24"/>
          <w:szCs w:val="24"/>
        </w:rPr>
      </w:pPr>
      <w:r w:rsidRPr="0094555B">
        <w:rPr>
          <w:rFonts w:ascii="Times New Roman" w:hAnsi="Times New Roman" w:cs="Times New Roman"/>
          <w:sz w:val="24"/>
          <w:szCs w:val="24"/>
        </w:rPr>
        <w:t>Section</w:t>
      </w:r>
      <w:r w:rsidRPr="0094555B">
        <w:rPr>
          <w:rFonts w:ascii="Times New Roman" w:hAnsi="Times New Roman" w:cs="Times New Roman"/>
          <w:bCs/>
          <w:sz w:val="24"/>
          <w:szCs w:val="24"/>
        </w:rPr>
        <w:t xml:space="preserve"> 438.420(c)(4) removes the time period or service limit of a previously authorized service has been met as a criteria for defining the duration of continued benefits and adds “PAHP” as a conforming change to §438.400.  This action requires that MCOs and PIHPs revise current policies and procedures to reflect having only 3 criteria instead of 4.  PAHPs would incorporate the options in §438.420(c)(1) through (3) when developing their system under §438.402 and thus the elimination of §438.420 (c)(4) would have no impact on PAHPs.</w:t>
      </w:r>
    </w:p>
    <w:p w:rsidRPr="0094555B" w:rsidR="00624B15" w:rsidP="0094555B" w:rsidRDefault="00624B15" w14:paraId="53C6E328" w14:textId="77777777">
      <w:pPr>
        <w:rPr>
          <w:rFonts w:ascii="Times New Roman" w:hAnsi="Times New Roman" w:cs="Times New Roman"/>
          <w:sz w:val="24"/>
          <w:szCs w:val="24"/>
        </w:rPr>
      </w:pPr>
      <w:r w:rsidRPr="0094555B">
        <w:rPr>
          <w:rFonts w:ascii="Times New Roman" w:hAnsi="Times New Roman" w:cs="Times New Roman"/>
          <w:bCs/>
          <w:sz w:val="24"/>
          <w:szCs w:val="24"/>
        </w:rPr>
        <w:t>Section 438.420(d) adds PAHPs to the list of entities that can recover costs if the adverse determination is upheld.  PAHPs are required to include the policies and procedures necessary to recover costs when developing their system under §438.402 and thus will not incur additional burden.</w:t>
      </w:r>
    </w:p>
    <w:p w:rsidRPr="0094555B" w:rsidR="00332B7B" w:rsidP="0094555B" w:rsidRDefault="00332B7B" w14:paraId="6F589A12" w14:textId="24D5C3C1">
      <w:pPr>
        <w:rPr>
          <w:rFonts w:ascii="Times New Roman" w:hAnsi="Times New Roman" w:cs="Times New Roman"/>
          <w:sz w:val="24"/>
          <w:szCs w:val="24"/>
          <w:u w:val="single"/>
        </w:rPr>
      </w:pPr>
      <w:r w:rsidRPr="0094555B">
        <w:rPr>
          <w:rFonts w:ascii="Times New Roman" w:hAnsi="Times New Roman" w:cs="Times New Roman"/>
          <w:sz w:val="24"/>
          <w:szCs w:val="24"/>
          <w:u w:val="single"/>
        </w:rPr>
        <w:t xml:space="preserve">Section 438.602 </w:t>
      </w:r>
      <w:r w:rsidRPr="0094555B" w:rsidR="00D91515">
        <w:rPr>
          <w:rFonts w:ascii="Times New Roman" w:hAnsi="Times New Roman" w:cs="Times New Roman"/>
          <w:sz w:val="24"/>
          <w:szCs w:val="24"/>
          <w:u w:val="single"/>
        </w:rPr>
        <w:t>State responsibilities.</w:t>
      </w:r>
    </w:p>
    <w:p w:rsidRPr="0094555B" w:rsidR="00624B15" w:rsidP="0094555B" w:rsidRDefault="00624B15" w14:paraId="6C47C997" w14:textId="7AB71458">
      <w:pPr>
        <w:rPr>
          <w:rFonts w:ascii="Times New Roman" w:hAnsi="Times New Roman" w:cs="Times New Roman"/>
          <w:sz w:val="24"/>
          <w:szCs w:val="24"/>
        </w:rPr>
      </w:pPr>
      <w:r w:rsidRPr="0094555B">
        <w:rPr>
          <w:rFonts w:ascii="Times New Roman" w:hAnsi="Times New Roman" w:cs="Times New Roman"/>
          <w:sz w:val="24"/>
          <w:szCs w:val="24"/>
        </w:rPr>
        <w:t xml:space="preserve">Section 438.602(e) requires states to conduct or contract for audits of MCO, PIHP, and PAHP encounter and financial data once every 3 years.  As validation of encounter data is also required in §438.818(a), we assume no additional burden.  For the financial audits, states could use internal staff or an existing contractual resource, such as their actuarial firm.  For internal staff, </w:t>
      </w:r>
      <w:r w:rsidRPr="0094555B">
        <w:rPr>
          <w:rFonts w:ascii="Times New Roman" w:hAnsi="Times New Roman" w:cs="Times New Roman"/>
          <w:sz w:val="24"/>
          <w:szCs w:val="24"/>
        </w:rPr>
        <w:lastRenderedPageBreak/>
        <w:t xml:space="preserve">we estimate an annual state burden of 20 </w:t>
      </w:r>
      <w:proofErr w:type="spellStart"/>
      <w:r w:rsidRPr="0094555B">
        <w:rPr>
          <w:rFonts w:ascii="Times New Roman" w:hAnsi="Times New Roman" w:cs="Times New Roman"/>
          <w:sz w:val="24"/>
          <w:szCs w:val="24"/>
        </w:rPr>
        <w:t>hr</w:t>
      </w:r>
      <w:proofErr w:type="spellEnd"/>
      <w:r w:rsidRPr="0094555B">
        <w:rPr>
          <w:rFonts w:ascii="Times New Roman" w:hAnsi="Times New Roman" w:cs="Times New Roman"/>
          <w:sz w:val="24"/>
          <w:szCs w:val="24"/>
        </w:rPr>
        <w:t xml:space="preserve"> at </w:t>
      </w:r>
      <w:r w:rsidRPr="0094555B" w:rsidR="00773C0B">
        <w:rPr>
          <w:rFonts w:ascii="Times New Roman" w:hAnsi="Times New Roman" w:cs="Times New Roman"/>
          <w:sz w:val="24"/>
          <w:szCs w:val="24"/>
        </w:rPr>
        <w:t>$7</w:t>
      </w:r>
      <w:r w:rsidRPr="0094555B" w:rsidR="0057770A">
        <w:rPr>
          <w:rFonts w:ascii="Times New Roman" w:hAnsi="Times New Roman" w:cs="Times New Roman"/>
          <w:sz w:val="24"/>
          <w:szCs w:val="24"/>
        </w:rPr>
        <w:t>6.46</w:t>
      </w:r>
      <w:r w:rsidRPr="0094555B">
        <w:rPr>
          <w:rFonts w:ascii="Times New Roman" w:hAnsi="Times New Roman" w:cs="Times New Roman"/>
          <w:sz w:val="24"/>
          <w:szCs w:val="24"/>
        </w:rPr>
        <w:t>/</w:t>
      </w:r>
      <w:proofErr w:type="spellStart"/>
      <w:r w:rsidRPr="0094555B">
        <w:rPr>
          <w:rFonts w:ascii="Times New Roman" w:hAnsi="Times New Roman" w:cs="Times New Roman"/>
          <w:sz w:val="24"/>
          <w:szCs w:val="24"/>
        </w:rPr>
        <w:t>hr</w:t>
      </w:r>
      <w:proofErr w:type="spellEnd"/>
      <w:r w:rsidRPr="0094555B">
        <w:rPr>
          <w:rFonts w:ascii="Times New Roman" w:hAnsi="Times New Roman" w:cs="Times New Roman"/>
          <w:sz w:val="24"/>
          <w:szCs w:val="24"/>
        </w:rPr>
        <w:t xml:space="preserve"> for an accountant.  In aggregate, we estimate </w:t>
      </w:r>
      <w:r w:rsidRPr="0094555B" w:rsidR="00D67AAE">
        <w:rPr>
          <w:rFonts w:ascii="Times New Roman" w:hAnsi="Times New Roman" w:cs="Times New Roman"/>
          <w:sz w:val="24"/>
          <w:szCs w:val="24"/>
        </w:rPr>
        <w:t>an annual state burden of</w:t>
      </w:r>
      <w:r w:rsidRPr="0094555B" w:rsidR="00D67AAE">
        <w:rPr>
          <w:rFonts w:ascii="Times New Roman" w:hAnsi="Times New Roman" w:cs="Times New Roman"/>
          <w:b/>
          <w:sz w:val="24"/>
          <w:szCs w:val="24"/>
        </w:rPr>
        <w:t xml:space="preserve"> </w:t>
      </w:r>
      <w:r w:rsidRPr="0094555B">
        <w:rPr>
          <w:rFonts w:ascii="Times New Roman" w:hAnsi="Times New Roman" w:cs="Times New Roman"/>
          <w:b/>
          <w:sz w:val="24"/>
          <w:szCs w:val="24"/>
        </w:rPr>
        <w:t>3,4</w:t>
      </w:r>
      <w:r w:rsidRPr="0094555B" w:rsidR="00A436FB">
        <w:rPr>
          <w:rFonts w:ascii="Times New Roman" w:hAnsi="Times New Roman" w:cs="Times New Roman"/>
          <w:b/>
          <w:sz w:val="24"/>
          <w:szCs w:val="24"/>
        </w:rPr>
        <w:t>13</w:t>
      </w:r>
      <w:r w:rsidRPr="0094555B">
        <w:rPr>
          <w:rFonts w:ascii="Times New Roman" w:hAnsi="Times New Roman" w:cs="Times New Roman"/>
          <w:b/>
          <w:sz w:val="24"/>
          <w:szCs w:val="24"/>
        </w:rPr>
        <w:t xml:space="preserve"> </w:t>
      </w:r>
      <w:proofErr w:type="spellStart"/>
      <w:r w:rsidRPr="0094555B">
        <w:rPr>
          <w:rFonts w:ascii="Times New Roman" w:hAnsi="Times New Roman" w:cs="Times New Roman"/>
          <w:b/>
          <w:sz w:val="24"/>
          <w:szCs w:val="24"/>
        </w:rPr>
        <w:t>hr</w:t>
      </w:r>
      <w:proofErr w:type="spellEnd"/>
      <w:r w:rsidRPr="0094555B">
        <w:rPr>
          <w:rFonts w:ascii="Times New Roman" w:hAnsi="Times New Roman" w:cs="Times New Roman"/>
          <w:sz w:val="24"/>
          <w:szCs w:val="24"/>
        </w:rPr>
        <w:t xml:space="preserve"> </w:t>
      </w:r>
      <w:r w:rsidRPr="0094555B" w:rsidR="0037031A">
        <w:rPr>
          <w:rFonts w:ascii="Times New Roman" w:hAnsi="Times New Roman" w:cs="Times New Roman"/>
          <w:sz w:val="24"/>
          <w:szCs w:val="24"/>
        </w:rPr>
        <w:t>[(</w:t>
      </w:r>
      <w:r w:rsidRPr="0094555B" w:rsidR="006601DA">
        <w:rPr>
          <w:rFonts w:ascii="Times New Roman" w:hAnsi="Times New Roman" w:cs="Times New Roman"/>
          <w:sz w:val="24"/>
          <w:szCs w:val="24"/>
        </w:rPr>
        <w:t>51</w:t>
      </w:r>
      <w:r w:rsidRPr="0094555B" w:rsidR="0057770A">
        <w:rPr>
          <w:rFonts w:ascii="Times New Roman" w:hAnsi="Times New Roman" w:cs="Times New Roman"/>
          <w:sz w:val="24"/>
          <w:szCs w:val="24"/>
        </w:rPr>
        <w:t>2</w:t>
      </w:r>
      <w:r w:rsidRPr="0094555B" w:rsidR="006601DA">
        <w:rPr>
          <w:rFonts w:ascii="Times New Roman" w:hAnsi="Times New Roman" w:cs="Times New Roman"/>
          <w:sz w:val="24"/>
          <w:szCs w:val="24"/>
        </w:rPr>
        <w:t xml:space="preserve"> MCOs, PIHPs, PAHPs</w:t>
      </w:r>
      <w:r w:rsidRPr="0094555B">
        <w:rPr>
          <w:rFonts w:ascii="Times New Roman" w:hAnsi="Times New Roman" w:cs="Times New Roman"/>
          <w:sz w:val="24"/>
          <w:szCs w:val="24"/>
        </w:rPr>
        <w:t xml:space="preserve"> x 20 </w:t>
      </w:r>
      <w:proofErr w:type="spellStart"/>
      <w:r w:rsidRPr="0094555B">
        <w:rPr>
          <w:rFonts w:ascii="Times New Roman" w:hAnsi="Times New Roman" w:cs="Times New Roman"/>
          <w:sz w:val="24"/>
          <w:szCs w:val="24"/>
        </w:rPr>
        <w:t>hr</w:t>
      </w:r>
      <w:proofErr w:type="spellEnd"/>
      <w:r w:rsidRPr="0094555B">
        <w:rPr>
          <w:rFonts w:ascii="Times New Roman" w:hAnsi="Times New Roman" w:cs="Times New Roman"/>
          <w:sz w:val="24"/>
          <w:szCs w:val="24"/>
        </w:rPr>
        <w:t>)/3</w:t>
      </w:r>
      <w:r w:rsidRPr="0094555B" w:rsidR="0037031A">
        <w:rPr>
          <w:rFonts w:ascii="Times New Roman" w:hAnsi="Times New Roman" w:cs="Times New Roman"/>
          <w:sz w:val="24"/>
          <w:szCs w:val="24"/>
        </w:rPr>
        <w:t>]</w:t>
      </w:r>
      <w:r w:rsidRPr="0094555B">
        <w:rPr>
          <w:rFonts w:ascii="Times New Roman" w:hAnsi="Times New Roman" w:cs="Times New Roman"/>
          <w:sz w:val="24"/>
          <w:szCs w:val="24"/>
        </w:rPr>
        <w:t xml:space="preserve"> and </w:t>
      </w:r>
      <w:r w:rsidRPr="0094555B" w:rsidR="006601DA">
        <w:rPr>
          <w:rFonts w:ascii="Times New Roman" w:hAnsi="Times New Roman" w:cs="Times New Roman"/>
          <w:b/>
          <w:sz w:val="24"/>
          <w:szCs w:val="24"/>
        </w:rPr>
        <w:t>$</w:t>
      </w:r>
      <w:r w:rsidRPr="0094555B" w:rsidR="00023556">
        <w:rPr>
          <w:rFonts w:ascii="Times New Roman" w:hAnsi="Times New Roman" w:cs="Times New Roman"/>
          <w:b/>
          <w:sz w:val="24"/>
          <w:szCs w:val="24"/>
        </w:rPr>
        <w:t>26</w:t>
      </w:r>
      <w:r w:rsidR="0048164E">
        <w:rPr>
          <w:rFonts w:ascii="Times New Roman" w:hAnsi="Times New Roman" w:cs="Times New Roman"/>
          <w:b/>
          <w:sz w:val="24"/>
          <w:szCs w:val="24"/>
        </w:rPr>
        <w:t>7,989</w:t>
      </w:r>
      <w:r w:rsidRPr="0094555B" w:rsidR="006601DA">
        <w:rPr>
          <w:rFonts w:ascii="Times New Roman" w:hAnsi="Times New Roman" w:cs="Times New Roman"/>
          <w:b/>
          <w:sz w:val="24"/>
          <w:szCs w:val="24"/>
        </w:rPr>
        <w:t xml:space="preserve"> </w:t>
      </w:r>
      <w:r w:rsidRPr="0094555B">
        <w:rPr>
          <w:rFonts w:ascii="Times New Roman" w:hAnsi="Times New Roman" w:cs="Times New Roman"/>
          <w:sz w:val="24"/>
          <w:szCs w:val="24"/>
        </w:rPr>
        <w:t>(3,4</w:t>
      </w:r>
      <w:r w:rsidRPr="0094555B" w:rsidR="0057770A">
        <w:rPr>
          <w:rFonts w:ascii="Times New Roman" w:hAnsi="Times New Roman" w:cs="Times New Roman"/>
          <w:sz w:val="24"/>
          <w:szCs w:val="24"/>
        </w:rPr>
        <w:t>13</w:t>
      </w:r>
      <w:r w:rsidRPr="0094555B">
        <w:rPr>
          <w:rFonts w:ascii="Times New Roman" w:hAnsi="Times New Roman" w:cs="Times New Roman"/>
          <w:sz w:val="24"/>
          <w:szCs w:val="24"/>
        </w:rPr>
        <w:t xml:space="preserve"> </w:t>
      </w:r>
      <w:proofErr w:type="spellStart"/>
      <w:r w:rsidRPr="0094555B">
        <w:rPr>
          <w:rFonts w:ascii="Times New Roman" w:hAnsi="Times New Roman" w:cs="Times New Roman"/>
          <w:sz w:val="24"/>
          <w:szCs w:val="24"/>
        </w:rPr>
        <w:t>hr</w:t>
      </w:r>
      <w:proofErr w:type="spellEnd"/>
      <w:r w:rsidRPr="0094555B">
        <w:rPr>
          <w:rFonts w:ascii="Times New Roman" w:hAnsi="Times New Roman" w:cs="Times New Roman"/>
          <w:sz w:val="24"/>
          <w:szCs w:val="24"/>
        </w:rPr>
        <w:t xml:space="preserve"> x </w:t>
      </w:r>
      <w:r w:rsidRPr="0094555B" w:rsidR="00773C0B">
        <w:rPr>
          <w:rFonts w:ascii="Times New Roman" w:hAnsi="Times New Roman" w:cs="Times New Roman"/>
          <w:sz w:val="24"/>
          <w:szCs w:val="24"/>
        </w:rPr>
        <w:t>$7</w:t>
      </w:r>
      <w:r w:rsidR="0048164E">
        <w:rPr>
          <w:rFonts w:ascii="Times New Roman" w:hAnsi="Times New Roman" w:cs="Times New Roman"/>
          <w:sz w:val="24"/>
          <w:szCs w:val="24"/>
        </w:rPr>
        <w:t>8.52</w:t>
      </w:r>
      <w:r w:rsidRPr="0094555B">
        <w:rPr>
          <w:rFonts w:ascii="Times New Roman" w:hAnsi="Times New Roman" w:cs="Times New Roman"/>
          <w:sz w:val="24"/>
          <w:szCs w:val="24"/>
        </w:rPr>
        <w:t>/</w:t>
      </w:r>
      <w:proofErr w:type="spellStart"/>
      <w:r w:rsidRPr="0094555B">
        <w:rPr>
          <w:rFonts w:ascii="Times New Roman" w:hAnsi="Times New Roman" w:cs="Times New Roman"/>
          <w:sz w:val="24"/>
          <w:szCs w:val="24"/>
        </w:rPr>
        <w:t>hr</w:t>
      </w:r>
      <w:proofErr w:type="spellEnd"/>
      <w:r w:rsidRPr="0094555B">
        <w:rPr>
          <w:rFonts w:ascii="Times New Roman" w:hAnsi="Times New Roman" w:cs="Times New Roman"/>
          <w:sz w:val="24"/>
          <w:szCs w:val="24"/>
        </w:rPr>
        <w:t xml:space="preserve">). </w:t>
      </w:r>
      <w:r w:rsidRPr="0094555B">
        <w:rPr>
          <w:rFonts w:ascii="Times New Roman" w:hAnsi="Times New Roman" w:cs="Times New Roman"/>
          <w:b/>
          <w:sz w:val="24"/>
          <w:szCs w:val="24"/>
        </w:rPr>
        <w:t>(</w:t>
      </w:r>
      <w:r w:rsidRPr="0094555B" w:rsidR="005F5165">
        <w:rPr>
          <w:rFonts w:ascii="Times New Roman" w:hAnsi="Times New Roman" w:cs="Times New Roman"/>
          <w:b/>
          <w:sz w:val="24"/>
          <w:szCs w:val="24"/>
        </w:rPr>
        <w:t>ESTIMATE</w:t>
      </w:r>
      <w:r w:rsidRPr="0094555B">
        <w:rPr>
          <w:rFonts w:ascii="Times New Roman" w:hAnsi="Times New Roman" w:cs="Times New Roman"/>
          <w:b/>
          <w:sz w:val="24"/>
          <w:szCs w:val="24"/>
        </w:rPr>
        <w:t xml:space="preserve"> 12.54)</w:t>
      </w:r>
    </w:p>
    <w:p w:rsidRPr="0094555B" w:rsidR="00624B15" w:rsidP="0094555B" w:rsidRDefault="00624B15" w14:paraId="190D8F0F" w14:textId="42E0F445">
      <w:pPr>
        <w:rPr>
          <w:rFonts w:ascii="Times New Roman" w:hAnsi="Times New Roman" w:cs="Times New Roman"/>
          <w:sz w:val="24"/>
          <w:szCs w:val="24"/>
        </w:rPr>
      </w:pPr>
      <w:r w:rsidRPr="0094555B">
        <w:rPr>
          <w:rFonts w:ascii="Times New Roman" w:hAnsi="Times New Roman" w:cs="Times New Roman"/>
          <w:sz w:val="24"/>
          <w:szCs w:val="24"/>
        </w:rPr>
        <w:t xml:space="preserve">Section 438.602(g) requires states to post the MCO’s, PIHP’s, and PAHP’s contracts, data from §438.604, and audits from §438.602(e) on their website.  As most of these activities will only occur no more frequently than annually, we estimate an annual state burden of 1 </w:t>
      </w:r>
      <w:proofErr w:type="spellStart"/>
      <w:r w:rsidRPr="0094555B">
        <w:rPr>
          <w:rFonts w:ascii="Times New Roman" w:hAnsi="Times New Roman" w:cs="Times New Roman"/>
          <w:sz w:val="24"/>
          <w:szCs w:val="24"/>
        </w:rPr>
        <w:t>hr</w:t>
      </w:r>
      <w:proofErr w:type="spellEnd"/>
      <w:r w:rsidRPr="0094555B">
        <w:rPr>
          <w:rFonts w:ascii="Times New Roman" w:hAnsi="Times New Roman" w:cs="Times New Roman"/>
          <w:sz w:val="24"/>
          <w:szCs w:val="24"/>
        </w:rPr>
        <w:t xml:space="preserve"> at $</w:t>
      </w:r>
      <w:r w:rsidRPr="0094555B" w:rsidR="0057770A">
        <w:rPr>
          <w:rFonts w:ascii="Times New Roman" w:hAnsi="Times New Roman" w:cs="Times New Roman"/>
          <w:sz w:val="24"/>
          <w:szCs w:val="24"/>
        </w:rPr>
        <w:t>102.88</w:t>
      </w:r>
      <w:r w:rsidRPr="0094555B">
        <w:rPr>
          <w:rFonts w:ascii="Times New Roman" w:hAnsi="Times New Roman" w:cs="Times New Roman"/>
          <w:sz w:val="24"/>
          <w:szCs w:val="24"/>
        </w:rPr>
        <w:t>/</w:t>
      </w:r>
      <w:proofErr w:type="spellStart"/>
      <w:r w:rsidRPr="0094555B">
        <w:rPr>
          <w:rFonts w:ascii="Times New Roman" w:hAnsi="Times New Roman" w:cs="Times New Roman"/>
          <w:sz w:val="24"/>
          <w:szCs w:val="24"/>
        </w:rPr>
        <w:t>hr</w:t>
      </w:r>
      <w:proofErr w:type="spellEnd"/>
      <w:r w:rsidRPr="0094555B">
        <w:rPr>
          <w:rFonts w:ascii="Times New Roman" w:hAnsi="Times New Roman" w:cs="Times New Roman"/>
          <w:sz w:val="24"/>
          <w:szCs w:val="24"/>
        </w:rPr>
        <w:t xml:space="preserve"> for a computer programmer to post the documents.  In aggregate, we estimate </w:t>
      </w:r>
      <w:r w:rsidRPr="0094555B">
        <w:rPr>
          <w:rFonts w:ascii="Times New Roman" w:hAnsi="Times New Roman" w:cs="Times New Roman"/>
          <w:b/>
          <w:sz w:val="24"/>
          <w:szCs w:val="24"/>
        </w:rPr>
        <w:t xml:space="preserve">40 </w:t>
      </w:r>
      <w:proofErr w:type="spellStart"/>
      <w:r w:rsidRPr="0094555B">
        <w:rPr>
          <w:rFonts w:ascii="Times New Roman" w:hAnsi="Times New Roman" w:cs="Times New Roman"/>
          <w:b/>
          <w:sz w:val="24"/>
          <w:szCs w:val="24"/>
        </w:rPr>
        <w:t>hr</w:t>
      </w:r>
      <w:proofErr w:type="spellEnd"/>
      <w:r w:rsidRPr="0094555B">
        <w:rPr>
          <w:rFonts w:ascii="Times New Roman" w:hAnsi="Times New Roman" w:cs="Times New Roman"/>
          <w:sz w:val="24"/>
          <w:szCs w:val="24"/>
        </w:rPr>
        <w:t xml:space="preserve"> (40 states x 1 </w:t>
      </w:r>
      <w:proofErr w:type="spellStart"/>
      <w:r w:rsidRPr="0094555B">
        <w:rPr>
          <w:rFonts w:ascii="Times New Roman" w:hAnsi="Times New Roman" w:cs="Times New Roman"/>
          <w:sz w:val="24"/>
          <w:szCs w:val="24"/>
        </w:rPr>
        <w:t>hr</w:t>
      </w:r>
      <w:proofErr w:type="spellEnd"/>
      <w:r w:rsidRPr="0094555B">
        <w:rPr>
          <w:rFonts w:ascii="Times New Roman" w:hAnsi="Times New Roman" w:cs="Times New Roman"/>
          <w:sz w:val="24"/>
          <w:szCs w:val="24"/>
        </w:rPr>
        <w:t xml:space="preserve">) and </w:t>
      </w:r>
      <w:r w:rsidRPr="0094555B">
        <w:rPr>
          <w:rFonts w:ascii="Times New Roman" w:hAnsi="Times New Roman" w:cs="Times New Roman"/>
          <w:b/>
          <w:sz w:val="24"/>
          <w:szCs w:val="24"/>
        </w:rPr>
        <w:t>$</w:t>
      </w:r>
      <w:r w:rsidRPr="0094555B" w:rsidR="00023556">
        <w:rPr>
          <w:rFonts w:ascii="Times New Roman" w:hAnsi="Times New Roman" w:cs="Times New Roman"/>
          <w:b/>
          <w:sz w:val="24"/>
          <w:szCs w:val="24"/>
        </w:rPr>
        <w:t>4</w:t>
      </w:r>
      <w:r w:rsidRPr="0094555B" w:rsidR="00957F3E">
        <w:rPr>
          <w:rFonts w:ascii="Times New Roman" w:hAnsi="Times New Roman" w:cs="Times New Roman"/>
          <w:b/>
          <w:sz w:val="24"/>
          <w:szCs w:val="24"/>
        </w:rPr>
        <w:t>,</w:t>
      </w:r>
      <w:r w:rsidR="0048164E">
        <w:rPr>
          <w:rFonts w:ascii="Times New Roman" w:hAnsi="Times New Roman" w:cs="Times New Roman"/>
          <w:b/>
          <w:sz w:val="24"/>
          <w:szCs w:val="24"/>
        </w:rPr>
        <w:t>229</w:t>
      </w:r>
      <w:r w:rsidRPr="0094555B">
        <w:rPr>
          <w:rFonts w:ascii="Times New Roman" w:hAnsi="Times New Roman" w:cs="Times New Roman"/>
          <w:sz w:val="24"/>
          <w:szCs w:val="24"/>
        </w:rPr>
        <w:t xml:space="preserve"> (40 </w:t>
      </w:r>
      <w:proofErr w:type="spellStart"/>
      <w:r w:rsidRPr="0094555B">
        <w:rPr>
          <w:rFonts w:ascii="Times New Roman" w:hAnsi="Times New Roman" w:cs="Times New Roman"/>
          <w:sz w:val="24"/>
          <w:szCs w:val="24"/>
        </w:rPr>
        <w:t>hr</w:t>
      </w:r>
      <w:proofErr w:type="spellEnd"/>
      <w:r w:rsidRPr="0094555B">
        <w:rPr>
          <w:rFonts w:ascii="Times New Roman" w:hAnsi="Times New Roman" w:cs="Times New Roman"/>
          <w:sz w:val="24"/>
          <w:szCs w:val="24"/>
        </w:rPr>
        <w:t xml:space="preserve"> x $</w:t>
      </w:r>
      <w:r w:rsidRPr="0094555B" w:rsidR="00366530">
        <w:rPr>
          <w:rFonts w:ascii="Times New Roman" w:hAnsi="Times New Roman" w:cs="Times New Roman"/>
          <w:sz w:val="24"/>
          <w:szCs w:val="24"/>
        </w:rPr>
        <w:t>10</w:t>
      </w:r>
      <w:r w:rsidR="0018555E">
        <w:rPr>
          <w:rFonts w:ascii="Times New Roman" w:hAnsi="Times New Roman" w:cs="Times New Roman"/>
          <w:sz w:val="24"/>
          <w:szCs w:val="24"/>
        </w:rPr>
        <w:t>5.72</w:t>
      </w:r>
      <w:r w:rsidRPr="0094555B">
        <w:rPr>
          <w:rFonts w:ascii="Times New Roman" w:hAnsi="Times New Roman" w:cs="Times New Roman"/>
          <w:sz w:val="24"/>
          <w:szCs w:val="24"/>
        </w:rPr>
        <w:t>/</w:t>
      </w:r>
      <w:proofErr w:type="spellStart"/>
      <w:r w:rsidRPr="0094555B">
        <w:rPr>
          <w:rFonts w:ascii="Times New Roman" w:hAnsi="Times New Roman" w:cs="Times New Roman"/>
          <w:sz w:val="24"/>
          <w:szCs w:val="24"/>
        </w:rPr>
        <w:t>hr</w:t>
      </w:r>
      <w:proofErr w:type="spellEnd"/>
      <w:r w:rsidRPr="0094555B">
        <w:rPr>
          <w:rFonts w:ascii="Times New Roman" w:hAnsi="Times New Roman" w:cs="Times New Roman"/>
          <w:sz w:val="24"/>
          <w:szCs w:val="24"/>
        </w:rPr>
        <w:t>).</w:t>
      </w:r>
      <w:r w:rsidRPr="0094555B">
        <w:rPr>
          <w:rFonts w:ascii="Times New Roman" w:hAnsi="Times New Roman" w:cs="Times New Roman"/>
          <w:b/>
          <w:sz w:val="24"/>
          <w:szCs w:val="24"/>
        </w:rPr>
        <w:t xml:space="preserve"> (</w:t>
      </w:r>
      <w:r w:rsidRPr="0094555B" w:rsidR="005F5165">
        <w:rPr>
          <w:rFonts w:ascii="Times New Roman" w:hAnsi="Times New Roman" w:cs="Times New Roman"/>
          <w:b/>
          <w:sz w:val="24"/>
          <w:szCs w:val="24"/>
        </w:rPr>
        <w:t>ESTIMATE</w:t>
      </w:r>
      <w:r w:rsidRPr="0094555B">
        <w:rPr>
          <w:rFonts w:ascii="Times New Roman" w:hAnsi="Times New Roman" w:cs="Times New Roman"/>
          <w:b/>
          <w:sz w:val="24"/>
          <w:szCs w:val="24"/>
        </w:rPr>
        <w:t xml:space="preserve"> 12.55)</w:t>
      </w:r>
    </w:p>
    <w:p w:rsidRPr="0094555B" w:rsidR="00332B7B" w:rsidP="0094555B" w:rsidRDefault="00332B7B" w14:paraId="39420225" w14:textId="3235B899">
      <w:pPr>
        <w:rPr>
          <w:rFonts w:ascii="Times New Roman" w:hAnsi="Times New Roman" w:cs="Times New Roman"/>
          <w:sz w:val="24"/>
          <w:szCs w:val="24"/>
          <w:u w:val="single"/>
        </w:rPr>
      </w:pPr>
      <w:r w:rsidRPr="0094555B">
        <w:rPr>
          <w:rFonts w:ascii="Times New Roman" w:hAnsi="Times New Roman" w:cs="Times New Roman"/>
          <w:sz w:val="24"/>
          <w:szCs w:val="24"/>
          <w:u w:val="single"/>
        </w:rPr>
        <w:t xml:space="preserve">Section 438.604 </w:t>
      </w:r>
      <w:r w:rsidRPr="0094555B" w:rsidR="001171EF">
        <w:rPr>
          <w:rFonts w:ascii="Times New Roman" w:hAnsi="Times New Roman" w:cs="Times New Roman"/>
          <w:sz w:val="24"/>
          <w:szCs w:val="24"/>
          <w:u w:val="single"/>
        </w:rPr>
        <w:t>Data, information, and documentation that must be submitted</w:t>
      </w:r>
    </w:p>
    <w:p w:rsidRPr="0094555B" w:rsidR="00624B15" w:rsidP="0094555B" w:rsidRDefault="00624B15" w14:paraId="3835E6D3" w14:textId="2139E624">
      <w:pPr>
        <w:rPr>
          <w:rStyle w:val="footnoteref"/>
          <w:rFonts w:ascii="Times New Roman" w:hAnsi="Times New Roman" w:cs="Times New Roman"/>
          <w:sz w:val="24"/>
          <w:szCs w:val="24"/>
        </w:rPr>
      </w:pPr>
      <w:r w:rsidRPr="0094555B">
        <w:rPr>
          <w:rFonts w:ascii="Times New Roman" w:hAnsi="Times New Roman" w:cs="Times New Roman"/>
          <w:sz w:val="24"/>
          <w:szCs w:val="24"/>
        </w:rPr>
        <w:t>This section details the type of information the state must require by contract from the MCO, PIHP, PAHP, PCCM, or PCCM entity.  The burden to amend all contracts is included in 438.3.</w:t>
      </w:r>
    </w:p>
    <w:p w:rsidRPr="0094555B" w:rsidR="00332B7B" w:rsidP="0094555B" w:rsidRDefault="00624B15" w14:paraId="64BA65F3" w14:textId="77777777">
      <w:pPr>
        <w:rPr>
          <w:rStyle w:val="footnoteref"/>
          <w:rFonts w:ascii="Times New Roman" w:hAnsi="Times New Roman" w:cs="Times New Roman"/>
          <w:sz w:val="24"/>
          <w:szCs w:val="24"/>
        </w:rPr>
      </w:pPr>
      <w:r w:rsidRPr="0094555B">
        <w:rPr>
          <w:rStyle w:val="footnoteref"/>
          <w:rFonts w:ascii="Times New Roman" w:hAnsi="Times New Roman" w:cs="Times New Roman"/>
          <w:sz w:val="24"/>
          <w:szCs w:val="24"/>
          <w:u w:val="single"/>
        </w:rPr>
        <w:t>Section 438.608 Program integrity requirements under the contract</w:t>
      </w:r>
      <w:r w:rsidRPr="0094555B">
        <w:rPr>
          <w:rStyle w:val="footnoteref"/>
          <w:rFonts w:ascii="Times New Roman" w:hAnsi="Times New Roman" w:cs="Times New Roman"/>
          <w:sz w:val="24"/>
          <w:szCs w:val="24"/>
        </w:rPr>
        <w:t xml:space="preserve"> </w:t>
      </w:r>
    </w:p>
    <w:p w:rsidRPr="0094555B" w:rsidR="00624B15" w:rsidP="0094555B" w:rsidRDefault="00624B15" w14:paraId="06E50539" w14:textId="2F477E06">
      <w:pPr>
        <w:rPr>
          <w:rStyle w:val="footnoteref"/>
          <w:rFonts w:ascii="Times New Roman" w:hAnsi="Times New Roman" w:cs="Times New Roman"/>
          <w:sz w:val="24"/>
          <w:szCs w:val="24"/>
        </w:rPr>
      </w:pPr>
      <w:r w:rsidRPr="0094555B">
        <w:rPr>
          <w:rStyle w:val="footnoteref"/>
          <w:rFonts w:ascii="Times New Roman" w:hAnsi="Times New Roman" w:cs="Times New Roman"/>
          <w:sz w:val="24"/>
          <w:szCs w:val="24"/>
        </w:rPr>
        <w:t xml:space="preserve">Section 438.608(a) requires that MCOs, PIHPs, and PAHPs to have administrative and management arrangements or procedures which are designed to guard against fraud and abuse.  The arrangements or procedures must include a compliance program as set forth under §438.608(a)(1), provisions for reporting under §438.608(a)(2), provisions for notification under §438.608(a)(3), provisions for verification methods under §438.608(a)(4), and provisions for written policies under §438.608(a)(5). </w:t>
      </w:r>
    </w:p>
    <w:p w:rsidRPr="0094555B" w:rsidR="00624B15" w:rsidP="0094555B" w:rsidRDefault="00624B15" w14:paraId="1B0603A5" w14:textId="77777777">
      <w:pPr>
        <w:rPr>
          <w:rStyle w:val="footnoteref"/>
          <w:rFonts w:ascii="Times New Roman" w:hAnsi="Times New Roman" w:cs="Times New Roman"/>
          <w:sz w:val="24"/>
          <w:szCs w:val="24"/>
        </w:rPr>
      </w:pPr>
      <w:r w:rsidRPr="0094555B">
        <w:rPr>
          <w:rStyle w:val="footnoteref"/>
          <w:rFonts w:ascii="Times New Roman" w:hAnsi="Times New Roman" w:cs="Times New Roman"/>
          <w:sz w:val="24"/>
          <w:szCs w:val="24"/>
        </w:rPr>
        <w:t xml:space="preserve">The compliance program under §438.608(a)(1), must include:  written policies, procedures, and standards of conduct that articulate the organization's commitment to comply with all applicable federal and state standards and requirements under the contract; the designation of a Compliance Officer; the establishment of a Regulatory Compliance Committee on the Board of Directors; effective training and education for the organization's management and its employees; and provisions for internal monitoring and a prompt and effective response to noncompliance with the requirements under the contract. </w:t>
      </w:r>
    </w:p>
    <w:p w:rsidRPr="0094555B" w:rsidR="00624B15" w:rsidP="0094555B" w:rsidRDefault="00624B15" w14:paraId="6F81789D" w14:textId="078AEDEE">
      <w:pPr>
        <w:rPr>
          <w:rStyle w:val="footnoteref"/>
          <w:rFonts w:ascii="Times New Roman" w:hAnsi="Times New Roman" w:cs="Times New Roman"/>
          <w:sz w:val="24"/>
          <w:szCs w:val="24"/>
        </w:rPr>
      </w:pPr>
      <w:r w:rsidRPr="0094555B">
        <w:rPr>
          <w:rStyle w:val="footnoteref"/>
          <w:rFonts w:ascii="Times New Roman" w:hAnsi="Times New Roman" w:cs="Times New Roman"/>
          <w:sz w:val="24"/>
          <w:szCs w:val="24"/>
        </w:rPr>
        <w:t xml:space="preserve">Section 438.608(a)(2) and (3) requires the reporting of overpayments and enrollee fraud.  As these would be done via an email from the MCO, PIHP, or PAHP to the state and do not occur very often, we estimate an annual private sector burden of 2 </w:t>
      </w:r>
      <w:proofErr w:type="spellStart"/>
      <w:r w:rsidRPr="0094555B">
        <w:rPr>
          <w:rStyle w:val="footnoteref"/>
          <w:rFonts w:ascii="Times New Roman" w:hAnsi="Times New Roman" w:cs="Times New Roman"/>
          <w:sz w:val="24"/>
          <w:szCs w:val="24"/>
        </w:rPr>
        <w:t>hr</w:t>
      </w:r>
      <w:proofErr w:type="spellEnd"/>
      <w:r w:rsidRPr="0094555B">
        <w:rPr>
          <w:rStyle w:val="footnoteref"/>
          <w:rFonts w:ascii="Times New Roman" w:hAnsi="Times New Roman" w:cs="Times New Roman"/>
          <w:sz w:val="24"/>
          <w:szCs w:val="24"/>
        </w:rPr>
        <w:t xml:space="preserve"> at </w:t>
      </w:r>
      <w:r w:rsidRPr="0094555B" w:rsidR="00773C0B">
        <w:rPr>
          <w:rStyle w:val="footnoteref"/>
          <w:rFonts w:ascii="Times New Roman" w:hAnsi="Times New Roman" w:cs="Times New Roman"/>
          <w:sz w:val="24"/>
          <w:szCs w:val="24"/>
        </w:rPr>
        <w:t>$7</w:t>
      </w:r>
      <w:r w:rsidRPr="0094555B" w:rsidR="00023556">
        <w:rPr>
          <w:rStyle w:val="footnoteref"/>
          <w:rFonts w:ascii="Times New Roman" w:hAnsi="Times New Roman" w:cs="Times New Roman"/>
          <w:sz w:val="24"/>
          <w:szCs w:val="24"/>
        </w:rPr>
        <w:t>2.62</w:t>
      </w:r>
      <w:r w:rsidRPr="0094555B">
        <w:rPr>
          <w:rStyle w:val="footnoteref"/>
          <w:rFonts w:ascii="Times New Roman" w:hAnsi="Times New Roman" w:cs="Times New Roman"/>
          <w:sz w:val="24"/>
          <w:szCs w:val="24"/>
        </w:rPr>
        <w:t>/</w:t>
      </w:r>
      <w:proofErr w:type="spellStart"/>
      <w:r w:rsidRPr="0094555B">
        <w:rPr>
          <w:rStyle w:val="footnoteref"/>
          <w:rFonts w:ascii="Times New Roman" w:hAnsi="Times New Roman" w:cs="Times New Roman"/>
          <w:sz w:val="24"/>
          <w:szCs w:val="24"/>
        </w:rPr>
        <w:t>hr</w:t>
      </w:r>
      <w:proofErr w:type="spellEnd"/>
      <w:r w:rsidRPr="0094555B">
        <w:rPr>
          <w:rStyle w:val="footnoteref"/>
          <w:rFonts w:ascii="Times New Roman" w:hAnsi="Times New Roman" w:cs="Times New Roman"/>
          <w:sz w:val="24"/>
          <w:szCs w:val="24"/>
        </w:rPr>
        <w:t xml:space="preserve"> for a business operations specialist.  In aggregate, we estimate </w:t>
      </w:r>
      <w:r w:rsidRPr="0094555B">
        <w:rPr>
          <w:rStyle w:val="footnoteref"/>
          <w:rFonts w:ascii="Times New Roman" w:hAnsi="Times New Roman" w:cs="Times New Roman"/>
          <w:b/>
          <w:sz w:val="24"/>
          <w:szCs w:val="24"/>
        </w:rPr>
        <w:t xml:space="preserve">1,104 </w:t>
      </w:r>
      <w:proofErr w:type="spellStart"/>
      <w:r w:rsidRPr="0094555B">
        <w:rPr>
          <w:rStyle w:val="footnoteref"/>
          <w:rFonts w:ascii="Times New Roman" w:hAnsi="Times New Roman" w:cs="Times New Roman"/>
          <w:b/>
          <w:sz w:val="24"/>
          <w:szCs w:val="24"/>
        </w:rPr>
        <w:t>hr</w:t>
      </w:r>
      <w:proofErr w:type="spellEnd"/>
      <w:r w:rsidRPr="0094555B">
        <w:rPr>
          <w:rStyle w:val="footnoteref"/>
          <w:rFonts w:ascii="Times New Roman" w:hAnsi="Times New Roman" w:cs="Times New Roman"/>
          <w:sz w:val="24"/>
          <w:szCs w:val="24"/>
        </w:rPr>
        <w:t xml:space="preserve"> (552 entities x 2 </w:t>
      </w:r>
      <w:proofErr w:type="spellStart"/>
      <w:r w:rsidRPr="0094555B">
        <w:rPr>
          <w:rStyle w:val="footnoteref"/>
          <w:rFonts w:ascii="Times New Roman" w:hAnsi="Times New Roman" w:cs="Times New Roman"/>
          <w:sz w:val="24"/>
          <w:szCs w:val="24"/>
        </w:rPr>
        <w:t>hr</w:t>
      </w:r>
      <w:proofErr w:type="spellEnd"/>
      <w:r w:rsidRPr="0094555B">
        <w:rPr>
          <w:rStyle w:val="footnoteref"/>
          <w:rFonts w:ascii="Times New Roman" w:hAnsi="Times New Roman" w:cs="Times New Roman"/>
          <w:sz w:val="24"/>
          <w:szCs w:val="24"/>
        </w:rPr>
        <w:t xml:space="preserve">) and </w:t>
      </w:r>
      <w:r w:rsidRPr="0094555B">
        <w:rPr>
          <w:rStyle w:val="footnoteref"/>
          <w:rFonts w:ascii="Times New Roman" w:hAnsi="Times New Roman" w:cs="Times New Roman"/>
          <w:b/>
          <w:sz w:val="24"/>
          <w:szCs w:val="24"/>
        </w:rPr>
        <w:t>$</w:t>
      </w:r>
      <w:r w:rsidRPr="0094555B" w:rsidR="00023556">
        <w:rPr>
          <w:rStyle w:val="footnoteref"/>
          <w:rFonts w:ascii="Times New Roman" w:hAnsi="Times New Roman" w:cs="Times New Roman"/>
          <w:b/>
          <w:sz w:val="24"/>
          <w:szCs w:val="24"/>
        </w:rPr>
        <w:t>8</w:t>
      </w:r>
      <w:r w:rsidR="0018555E">
        <w:rPr>
          <w:rStyle w:val="footnoteref"/>
          <w:rFonts w:ascii="Times New Roman" w:hAnsi="Times New Roman" w:cs="Times New Roman"/>
          <w:b/>
          <w:sz w:val="24"/>
          <w:szCs w:val="24"/>
        </w:rPr>
        <w:t>3,153</w:t>
      </w:r>
      <w:r w:rsidRPr="0094555B" w:rsidR="00023556">
        <w:rPr>
          <w:rStyle w:val="footnoteref"/>
          <w:rFonts w:ascii="Times New Roman" w:hAnsi="Times New Roman" w:cs="Times New Roman"/>
          <w:sz w:val="24"/>
          <w:szCs w:val="24"/>
        </w:rPr>
        <w:t xml:space="preserve"> </w:t>
      </w:r>
      <w:r w:rsidRPr="0094555B">
        <w:rPr>
          <w:rStyle w:val="footnoteref"/>
          <w:rFonts w:ascii="Times New Roman" w:hAnsi="Times New Roman" w:cs="Times New Roman"/>
          <w:sz w:val="24"/>
          <w:szCs w:val="24"/>
        </w:rPr>
        <w:t xml:space="preserve">(1,104 </w:t>
      </w:r>
      <w:proofErr w:type="spellStart"/>
      <w:r w:rsidRPr="0094555B">
        <w:rPr>
          <w:rStyle w:val="footnoteref"/>
          <w:rFonts w:ascii="Times New Roman" w:hAnsi="Times New Roman" w:cs="Times New Roman"/>
          <w:sz w:val="24"/>
          <w:szCs w:val="24"/>
        </w:rPr>
        <w:t>hr</w:t>
      </w:r>
      <w:proofErr w:type="spellEnd"/>
      <w:r w:rsidRPr="0094555B">
        <w:rPr>
          <w:rStyle w:val="footnoteref"/>
          <w:rFonts w:ascii="Times New Roman" w:hAnsi="Times New Roman" w:cs="Times New Roman"/>
          <w:sz w:val="24"/>
          <w:szCs w:val="24"/>
        </w:rPr>
        <w:t xml:space="preserve"> x </w:t>
      </w:r>
      <w:r w:rsidRPr="0094555B" w:rsidR="00773C0B">
        <w:rPr>
          <w:rStyle w:val="footnoteref"/>
          <w:rFonts w:ascii="Times New Roman" w:hAnsi="Times New Roman" w:cs="Times New Roman"/>
          <w:sz w:val="24"/>
          <w:szCs w:val="24"/>
        </w:rPr>
        <w:t>$7</w:t>
      </w:r>
      <w:r w:rsidR="0018555E">
        <w:rPr>
          <w:rStyle w:val="footnoteref"/>
          <w:rFonts w:ascii="Times New Roman" w:hAnsi="Times New Roman" w:cs="Times New Roman"/>
          <w:sz w:val="24"/>
          <w:szCs w:val="24"/>
        </w:rPr>
        <w:t>5.32</w:t>
      </w:r>
      <w:r w:rsidRPr="0094555B">
        <w:rPr>
          <w:rStyle w:val="footnoteref"/>
          <w:rFonts w:ascii="Times New Roman" w:hAnsi="Times New Roman" w:cs="Times New Roman"/>
          <w:sz w:val="24"/>
          <w:szCs w:val="24"/>
        </w:rPr>
        <w:t>/</w:t>
      </w:r>
      <w:proofErr w:type="spellStart"/>
      <w:r w:rsidRPr="0094555B">
        <w:rPr>
          <w:rStyle w:val="footnoteref"/>
          <w:rFonts w:ascii="Times New Roman" w:hAnsi="Times New Roman" w:cs="Times New Roman"/>
          <w:sz w:val="24"/>
          <w:szCs w:val="24"/>
        </w:rPr>
        <w:t>hr</w:t>
      </w:r>
      <w:proofErr w:type="spellEnd"/>
      <w:r w:rsidRPr="0094555B">
        <w:rPr>
          <w:rStyle w:val="footnoteref"/>
          <w:rFonts w:ascii="Times New Roman" w:hAnsi="Times New Roman" w:cs="Times New Roman"/>
          <w:sz w:val="24"/>
          <w:szCs w:val="24"/>
        </w:rPr>
        <w:t xml:space="preserve">). </w:t>
      </w:r>
      <w:r w:rsidRPr="0094555B">
        <w:rPr>
          <w:rFonts w:ascii="Times New Roman" w:hAnsi="Times New Roman" w:cs="Times New Roman"/>
          <w:b/>
          <w:sz w:val="24"/>
          <w:szCs w:val="24"/>
        </w:rPr>
        <w:t>(</w:t>
      </w:r>
      <w:r w:rsidRPr="0094555B" w:rsidR="005F5165">
        <w:rPr>
          <w:rFonts w:ascii="Times New Roman" w:hAnsi="Times New Roman" w:cs="Times New Roman"/>
          <w:b/>
          <w:sz w:val="24"/>
          <w:szCs w:val="24"/>
        </w:rPr>
        <w:t>ESTIMATE</w:t>
      </w:r>
      <w:r w:rsidRPr="0094555B">
        <w:rPr>
          <w:rFonts w:ascii="Times New Roman" w:hAnsi="Times New Roman" w:cs="Times New Roman"/>
          <w:b/>
          <w:sz w:val="24"/>
          <w:szCs w:val="24"/>
        </w:rPr>
        <w:t xml:space="preserve"> 12.57)</w:t>
      </w:r>
    </w:p>
    <w:p w:rsidRPr="0094555B" w:rsidR="00624B15" w:rsidP="0094555B" w:rsidRDefault="00624B15" w14:paraId="54FD004B" w14:textId="799AC6FC">
      <w:pPr>
        <w:rPr>
          <w:rStyle w:val="footnoteref"/>
          <w:rFonts w:ascii="Times New Roman" w:hAnsi="Times New Roman" w:cs="Times New Roman"/>
          <w:sz w:val="24"/>
          <w:szCs w:val="24"/>
        </w:rPr>
      </w:pPr>
      <w:r w:rsidRPr="0094555B">
        <w:rPr>
          <w:rStyle w:val="footnoteref"/>
          <w:rFonts w:ascii="Times New Roman" w:hAnsi="Times New Roman" w:cs="Times New Roman"/>
          <w:sz w:val="24"/>
          <w:szCs w:val="24"/>
        </w:rPr>
        <w:t xml:space="preserve">Section 438.608(a)(4) requires that the MCO, PIHP, or PAHP use a sampling methodology to verify receipt of services.  Given that this is already required of all states in their FFS programs, many states already require their MCOs, PIHPs, and PAHPs to do this.  Additionally, many managed care plans perform this as part of usual and customary business practice.  Therefore, we estimate only approximately 200 MCOs, PIHPs, or PAHPs may need to implement this as a new procedure.  As this typically involves mailing a letter or sending an email to the enrollee, we estimate that 200 MCOs, PIHPs, or PAHPs will mail to 100 enrollees each.  We estimate an annual private sector burden of 1 min at </w:t>
      </w:r>
      <w:r w:rsidRPr="0094555B" w:rsidR="00827481">
        <w:rPr>
          <w:rStyle w:val="footnoteref"/>
          <w:rFonts w:ascii="Times New Roman" w:hAnsi="Times New Roman" w:cs="Times New Roman"/>
          <w:sz w:val="24"/>
          <w:szCs w:val="24"/>
        </w:rPr>
        <w:t>$</w:t>
      </w:r>
      <w:r w:rsidRPr="0094555B" w:rsidR="00023556">
        <w:rPr>
          <w:rStyle w:val="footnoteref"/>
          <w:rFonts w:ascii="Times New Roman" w:hAnsi="Times New Roman" w:cs="Times New Roman"/>
          <w:sz w:val="24"/>
          <w:szCs w:val="24"/>
        </w:rPr>
        <w:t>31.36</w:t>
      </w:r>
      <w:r w:rsidRPr="0094555B">
        <w:rPr>
          <w:rStyle w:val="footnoteref"/>
          <w:rFonts w:ascii="Times New Roman" w:hAnsi="Times New Roman" w:cs="Times New Roman"/>
          <w:sz w:val="24"/>
          <w:szCs w:val="24"/>
        </w:rPr>
        <w:t>/</w:t>
      </w:r>
      <w:proofErr w:type="spellStart"/>
      <w:r w:rsidRPr="0094555B">
        <w:rPr>
          <w:rStyle w:val="footnoteref"/>
          <w:rFonts w:ascii="Times New Roman" w:hAnsi="Times New Roman" w:cs="Times New Roman"/>
          <w:sz w:val="24"/>
          <w:szCs w:val="24"/>
        </w:rPr>
        <w:t>hr</w:t>
      </w:r>
      <w:proofErr w:type="spellEnd"/>
      <w:r w:rsidRPr="0094555B">
        <w:rPr>
          <w:rStyle w:val="footnoteref"/>
          <w:rFonts w:ascii="Times New Roman" w:hAnsi="Times New Roman" w:cs="Times New Roman"/>
          <w:sz w:val="24"/>
          <w:szCs w:val="24"/>
        </w:rPr>
        <w:t xml:space="preserve"> for a mail clerk to send each letter.  In aggregate, we estimate </w:t>
      </w:r>
      <w:r w:rsidRPr="0094555B">
        <w:rPr>
          <w:rStyle w:val="footnoteref"/>
          <w:rFonts w:ascii="Times New Roman" w:hAnsi="Times New Roman" w:cs="Times New Roman"/>
          <w:b/>
          <w:sz w:val="24"/>
          <w:szCs w:val="24"/>
        </w:rPr>
        <w:t>33</w:t>
      </w:r>
      <w:r w:rsidRPr="0094555B" w:rsidR="00AF13D1">
        <w:rPr>
          <w:rStyle w:val="footnoteref"/>
          <w:rFonts w:ascii="Times New Roman" w:hAnsi="Times New Roman" w:cs="Times New Roman"/>
          <w:b/>
          <w:sz w:val="24"/>
          <w:szCs w:val="24"/>
        </w:rPr>
        <w:t>4</w:t>
      </w:r>
      <w:r w:rsidRPr="0094555B">
        <w:rPr>
          <w:rStyle w:val="footnoteref"/>
          <w:rFonts w:ascii="Times New Roman" w:hAnsi="Times New Roman" w:cs="Times New Roman"/>
          <w:b/>
          <w:sz w:val="24"/>
          <w:szCs w:val="24"/>
        </w:rPr>
        <w:t xml:space="preserve"> </w:t>
      </w:r>
      <w:proofErr w:type="spellStart"/>
      <w:r w:rsidRPr="0094555B">
        <w:rPr>
          <w:rStyle w:val="footnoteref"/>
          <w:rFonts w:ascii="Times New Roman" w:hAnsi="Times New Roman" w:cs="Times New Roman"/>
          <w:b/>
          <w:sz w:val="24"/>
          <w:szCs w:val="24"/>
        </w:rPr>
        <w:t>hr</w:t>
      </w:r>
      <w:proofErr w:type="spellEnd"/>
      <w:r w:rsidRPr="0094555B">
        <w:rPr>
          <w:rStyle w:val="footnoteref"/>
          <w:rFonts w:ascii="Times New Roman" w:hAnsi="Times New Roman" w:cs="Times New Roman"/>
          <w:sz w:val="24"/>
          <w:szCs w:val="24"/>
        </w:rPr>
        <w:t xml:space="preserve"> (20,000 letters x </w:t>
      </w:r>
      <w:r w:rsidRPr="0094555B" w:rsidR="005306D7">
        <w:rPr>
          <w:rStyle w:val="footnoteref"/>
          <w:rFonts w:ascii="Times New Roman" w:hAnsi="Times New Roman" w:cs="Times New Roman"/>
          <w:sz w:val="24"/>
          <w:szCs w:val="24"/>
        </w:rPr>
        <w:t>0.0</w:t>
      </w:r>
      <w:r w:rsidRPr="0094555B">
        <w:rPr>
          <w:rStyle w:val="footnoteref"/>
          <w:rFonts w:ascii="Times New Roman" w:hAnsi="Times New Roman" w:cs="Times New Roman"/>
          <w:sz w:val="24"/>
          <w:szCs w:val="24"/>
        </w:rPr>
        <w:t>1</w:t>
      </w:r>
      <w:r w:rsidRPr="0094555B" w:rsidR="005306D7">
        <w:rPr>
          <w:rStyle w:val="footnoteref"/>
          <w:rFonts w:ascii="Times New Roman" w:hAnsi="Times New Roman" w:cs="Times New Roman"/>
          <w:sz w:val="24"/>
          <w:szCs w:val="24"/>
        </w:rPr>
        <w:t>67</w:t>
      </w:r>
      <w:r w:rsidRPr="0094555B">
        <w:rPr>
          <w:rStyle w:val="footnoteref"/>
          <w:rFonts w:ascii="Times New Roman" w:hAnsi="Times New Roman" w:cs="Times New Roman"/>
          <w:sz w:val="24"/>
          <w:szCs w:val="24"/>
        </w:rPr>
        <w:t xml:space="preserve"> </w:t>
      </w:r>
      <w:proofErr w:type="spellStart"/>
      <w:r w:rsidRPr="0094555B" w:rsidR="005306D7">
        <w:rPr>
          <w:rStyle w:val="footnoteref"/>
          <w:rFonts w:ascii="Times New Roman" w:hAnsi="Times New Roman" w:cs="Times New Roman"/>
          <w:sz w:val="24"/>
          <w:szCs w:val="24"/>
        </w:rPr>
        <w:t>hr</w:t>
      </w:r>
      <w:proofErr w:type="spellEnd"/>
      <w:r w:rsidRPr="0094555B">
        <w:rPr>
          <w:rStyle w:val="footnoteref"/>
          <w:rFonts w:ascii="Times New Roman" w:hAnsi="Times New Roman" w:cs="Times New Roman"/>
          <w:sz w:val="24"/>
          <w:szCs w:val="24"/>
        </w:rPr>
        <w:t xml:space="preserve">/letter) and </w:t>
      </w:r>
      <w:r w:rsidRPr="0094555B">
        <w:rPr>
          <w:rStyle w:val="footnoteref"/>
          <w:rFonts w:ascii="Times New Roman" w:hAnsi="Times New Roman" w:cs="Times New Roman"/>
          <w:b/>
          <w:sz w:val="24"/>
          <w:szCs w:val="24"/>
        </w:rPr>
        <w:t>$10,</w:t>
      </w:r>
      <w:r w:rsidR="0018555E">
        <w:rPr>
          <w:rStyle w:val="footnoteref"/>
          <w:rFonts w:ascii="Times New Roman" w:hAnsi="Times New Roman" w:cs="Times New Roman"/>
          <w:b/>
          <w:sz w:val="24"/>
          <w:szCs w:val="24"/>
        </w:rPr>
        <w:t>822</w:t>
      </w:r>
      <w:r w:rsidRPr="0094555B">
        <w:rPr>
          <w:rStyle w:val="footnoteref"/>
          <w:rFonts w:ascii="Times New Roman" w:hAnsi="Times New Roman" w:cs="Times New Roman"/>
          <w:sz w:val="24"/>
          <w:szCs w:val="24"/>
        </w:rPr>
        <w:t xml:space="preserve"> (33</w:t>
      </w:r>
      <w:r w:rsidRPr="0094555B" w:rsidR="00AF13D1">
        <w:rPr>
          <w:rStyle w:val="footnoteref"/>
          <w:rFonts w:ascii="Times New Roman" w:hAnsi="Times New Roman" w:cs="Times New Roman"/>
          <w:sz w:val="24"/>
          <w:szCs w:val="24"/>
        </w:rPr>
        <w:t>4</w:t>
      </w:r>
      <w:r w:rsidRPr="0094555B">
        <w:rPr>
          <w:rStyle w:val="footnoteref"/>
          <w:rFonts w:ascii="Times New Roman" w:hAnsi="Times New Roman" w:cs="Times New Roman"/>
          <w:sz w:val="24"/>
          <w:szCs w:val="24"/>
        </w:rPr>
        <w:t xml:space="preserve"> </w:t>
      </w:r>
      <w:proofErr w:type="spellStart"/>
      <w:r w:rsidRPr="0094555B">
        <w:rPr>
          <w:rStyle w:val="footnoteref"/>
          <w:rFonts w:ascii="Times New Roman" w:hAnsi="Times New Roman" w:cs="Times New Roman"/>
          <w:sz w:val="24"/>
          <w:szCs w:val="24"/>
        </w:rPr>
        <w:t>hr</w:t>
      </w:r>
      <w:proofErr w:type="spellEnd"/>
      <w:r w:rsidRPr="0094555B">
        <w:rPr>
          <w:rStyle w:val="footnoteref"/>
          <w:rFonts w:ascii="Times New Roman" w:hAnsi="Times New Roman" w:cs="Times New Roman"/>
          <w:sz w:val="24"/>
          <w:szCs w:val="24"/>
        </w:rPr>
        <w:t xml:space="preserve"> x </w:t>
      </w:r>
      <w:r w:rsidRPr="0094555B" w:rsidR="00827481">
        <w:rPr>
          <w:rStyle w:val="footnoteref"/>
          <w:rFonts w:ascii="Times New Roman" w:hAnsi="Times New Roman" w:cs="Times New Roman"/>
          <w:sz w:val="24"/>
          <w:szCs w:val="24"/>
        </w:rPr>
        <w:lastRenderedPageBreak/>
        <w:t>$3</w:t>
      </w:r>
      <w:r w:rsidR="0018555E">
        <w:rPr>
          <w:rStyle w:val="footnoteref"/>
          <w:rFonts w:ascii="Times New Roman" w:hAnsi="Times New Roman" w:cs="Times New Roman"/>
          <w:sz w:val="24"/>
          <w:szCs w:val="24"/>
        </w:rPr>
        <w:t>2.40</w:t>
      </w:r>
      <w:r w:rsidRPr="0094555B">
        <w:rPr>
          <w:rStyle w:val="footnoteref"/>
          <w:rFonts w:ascii="Times New Roman" w:hAnsi="Times New Roman" w:cs="Times New Roman"/>
          <w:sz w:val="24"/>
          <w:szCs w:val="24"/>
        </w:rPr>
        <w:t>/</w:t>
      </w:r>
      <w:proofErr w:type="spellStart"/>
      <w:r w:rsidRPr="0094555B">
        <w:rPr>
          <w:rStyle w:val="footnoteref"/>
          <w:rFonts w:ascii="Times New Roman" w:hAnsi="Times New Roman" w:cs="Times New Roman"/>
          <w:sz w:val="24"/>
          <w:szCs w:val="24"/>
        </w:rPr>
        <w:t>hr</w:t>
      </w:r>
      <w:proofErr w:type="spellEnd"/>
      <w:r w:rsidRPr="0094555B">
        <w:rPr>
          <w:rStyle w:val="footnoteref"/>
          <w:rFonts w:ascii="Times New Roman" w:hAnsi="Times New Roman" w:cs="Times New Roman"/>
          <w:sz w:val="24"/>
          <w:szCs w:val="24"/>
        </w:rPr>
        <w:t xml:space="preserve">).  This estimate will be significantly reduced as the use of email increases. </w:t>
      </w:r>
      <w:r w:rsidRPr="0094555B">
        <w:rPr>
          <w:rFonts w:ascii="Times New Roman" w:hAnsi="Times New Roman" w:cs="Times New Roman"/>
          <w:b/>
          <w:sz w:val="24"/>
          <w:szCs w:val="24"/>
        </w:rPr>
        <w:t>(</w:t>
      </w:r>
      <w:r w:rsidRPr="0094555B" w:rsidR="005F5165">
        <w:rPr>
          <w:rFonts w:ascii="Times New Roman" w:hAnsi="Times New Roman" w:cs="Times New Roman"/>
          <w:b/>
          <w:sz w:val="24"/>
          <w:szCs w:val="24"/>
        </w:rPr>
        <w:t>ESTIMATE</w:t>
      </w:r>
      <w:r w:rsidRPr="0094555B">
        <w:rPr>
          <w:rFonts w:ascii="Times New Roman" w:hAnsi="Times New Roman" w:cs="Times New Roman"/>
          <w:b/>
          <w:sz w:val="24"/>
          <w:szCs w:val="24"/>
        </w:rPr>
        <w:t xml:space="preserve"> 12.58)</w:t>
      </w:r>
    </w:p>
    <w:p w:rsidRPr="0094555B" w:rsidR="00332B7B" w:rsidP="0094555B" w:rsidRDefault="00624B15" w14:paraId="6BB669A9" w14:textId="77777777">
      <w:pPr>
        <w:rPr>
          <w:rFonts w:ascii="Times New Roman" w:hAnsi="Times New Roman" w:cs="Times New Roman"/>
          <w:sz w:val="24"/>
          <w:szCs w:val="24"/>
        </w:rPr>
      </w:pPr>
      <w:r w:rsidRPr="0094555B">
        <w:rPr>
          <w:rFonts w:ascii="Times New Roman" w:hAnsi="Times New Roman" w:cs="Times New Roman"/>
          <w:sz w:val="24"/>
          <w:szCs w:val="24"/>
          <w:u w:val="single"/>
        </w:rPr>
        <w:t>Section 438.710 Notice of sanction and pre-termination hearing</w:t>
      </w:r>
      <w:r w:rsidRPr="0094555B">
        <w:rPr>
          <w:rFonts w:ascii="Times New Roman" w:hAnsi="Times New Roman" w:cs="Times New Roman"/>
          <w:sz w:val="24"/>
          <w:szCs w:val="24"/>
        </w:rPr>
        <w:t xml:space="preserve"> </w:t>
      </w:r>
    </w:p>
    <w:p w:rsidRPr="0094555B" w:rsidR="00624B15" w:rsidP="0094555B" w:rsidRDefault="00624B15" w14:paraId="653CEFD4" w14:textId="30BA074A">
      <w:pPr>
        <w:rPr>
          <w:rFonts w:ascii="Times New Roman" w:hAnsi="Times New Roman" w:cs="Times New Roman"/>
          <w:iCs/>
          <w:sz w:val="24"/>
          <w:szCs w:val="24"/>
        </w:rPr>
      </w:pPr>
      <w:r w:rsidRPr="0094555B">
        <w:rPr>
          <w:rFonts w:ascii="Times New Roman" w:hAnsi="Times New Roman" w:cs="Times New Roman"/>
          <w:sz w:val="24"/>
          <w:szCs w:val="24"/>
        </w:rPr>
        <w:t>Before</w:t>
      </w:r>
      <w:r w:rsidRPr="0094555B">
        <w:rPr>
          <w:rFonts w:ascii="Times New Roman" w:hAnsi="Times New Roman" w:cs="Times New Roman"/>
          <w:iCs/>
          <w:sz w:val="24"/>
          <w:szCs w:val="24"/>
        </w:rPr>
        <w:t xml:space="preserve"> imposing any of the sanctions specified in subpart I, §438.710(a) would require that the state give the affected MCO, PIHP, PAHP or PCCM written notice that explains the basis and nature of the sanction. Section 438.710(b)(2) states that before terminating an MCO’s, PIHP’s, PAHP’s or PCCM’s contract, the state would be required to: (i) give the MCO or PCCM written notice of its intent to terminate, the reason for termination, the time and place of the hearing, (ii) give the entity written notice (after the hearing) of the decision affirming or reversing the proposed termination of the contract and, for an affirming decision, the effective date of termination, and (iii) give enrollees of the MCO or PCCM notice (for an affirming decision) of the termination and information, consistent with §438.10, on their options for receiving Medicaid services following the effective date of termination.  The above information collection requirement is not subject to the PRA.  It is exempt under 5 CFR 1320.4(a) because it occurs as part of an administrative action. </w:t>
      </w:r>
    </w:p>
    <w:p w:rsidRPr="0094555B" w:rsidR="00332B7B" w:rsidP="0094555B" w:rsidRDefault="00624B15" w14:paraId="71ADB088" w14:textId="77777777">
      <w:pPr>
        <w:rPr>
          <w:rFonts w:ascii="Times New Roman" w:hAnsi="Times New Roman" w:cs="Times New Roman"/>
          <w:sz w:val="24"/>
          <w:szCs w:val="24"/>
        </w:rPr>
      </w:pPr>
      <w:r w:rsidRPr="0094555B">
        <w:rPr>
          <w:rFonts w:ascii="Times New Roman" w:hAnsi="Times New Roman" w:cs="Times New Roman"/>
          <w:sz w:val="24"/>
          <w:szCs w:val="24"/>
          <w:u w:val="single"/>
        </w:rPr>
        <w:t>Section 438.722 Disenrollment during termination hearing process</w:t>
      </w:r>
      <w:r w:rsidRPr="0094555B">
        <w:rPr>
          <w:rFonts w:ascii="Times New Roman" w:hAnsi="Times New Roman" w:cs="Times New Roman"/>
          <w:sz w:val="24"/>
          <w:szCs w:val="24"/>
        </w:rPr>
        <w:t xml:space="preserve"> </w:t>
      </w:r>
    </w:p>
    <w:p w:rsidRPr="0094555B" w:rsidR="00624B15" w:rsidP="0094555B" w:rsidRDefault="00624B15" w14:paraId="6DC98782" w14:textId="22C16E35">
      <w:pPr>
        <w:rPr>
          <w:rFonts w:ascii="Times New Roman" w:hAnsi="Times New Roman" w:cs="Times New Roman"/>
          <w:sz w:val="24"/>
          <w:szCs w:val="24"/>
        </w:rPr>
      </w:pPr>
      <w:r w:rsidRPr="0094555B">
        <w:rPr>
          <w:rFonts w:ascii="Times New Roman" w:hAnsi="Times New Roman" w:cs="Times New Roman"/>
          <w:sz w:val="24"/>
          <w:szCs w:val="24"/>
        </w:rPr>
        <w:t xml:space="preserve">After a state has notified an MCO, PIHP, PAHP or PCCM of its intention to terminate its contract, §438.722(a) provides that the state may give the entity’s enrollees written notice of the state's intent to terminate its contract.  States already have the authority to terminate contracts according to state law and some have previously already opted to provide written notice to MCO and PCCM enrollees when exercising this authority.  </w:t>
      </w:r>
    </w:p>
    <w:p w:rsidRPr="0094555B" w:rsidR="00624B15" w:rsidP="0094555B" w:rsidRDefault="00624B15" w14:paraId="67606ADA" w14:textId="7DEE6B06">
      <w:pPr>
        <w:rPr>
          <w:rFonts w:ascii="Times New Roman" w:hAnsi="Times New Roman" w:cs="Times New Roman"/>
          <w:sz w:val="24"/>
          <w:szCs w:val="24"/>
        </w:rPr>
      </w:pPr>
      <w:r w:rsidRPr="0094555B">
        <w:rPr>
          <w:rFonts w:ascii="Times New Roman" w:hAnsi="Times New Roman" w:cs="Times New Roman"/>
          <w:sz w:val="24"/>
          <w:szCs w:val="24"/>
        </w:rPr>
        <w:t xml:space="preserve">We estimate that no more than 12 states may terminate 1 contract per year.  We also estimate an annual state burden of 1 </w:t>
      </w:r>
      <w:proofErr w:type="spellStart"/>
      <w:r w:rsidRPr="0094555B">
        <w:rPr>
          <w:rFonts w:ascii="Times New Roman" w:hAnsi="Times New Roman" w:cs="Times New Roman"/>
          <w:sz w:val="24"/>
          <w:szCs w:val="24"/>
        </w:rPr>
        <w:t>hr</w:t>
      </w:r>
      <w:proofErr w:type="spellEnd"/>
      <w:r w:rsidRPr="0094555B">
        <w:rPr>
          <w:rFonts w:ascii="Times New Roman" w:hAnsi="Times New Roman" w:cs="Times New Roman"/>
          <w:sz w:val="24"/>
          <w:szCs w:val="24"/>
        </w:rPr>
        <w:t xml:space="preserve"> at </w:t>
      </w:r>
      <w:r w:rsidRPr="0094555B" w:rsidR="00773C0B">
        <w:rPr>
          <w:rFonts w:ascii="Times New Roman" w:hAnsi="Times New Roman" w:cs="Times New Roman"/>
          <w:sz w:val="24"/>
          <w:szCs w:val="24"/>
        </w:rPr>
        <w:t>$7</w:t>
      </w:r>
      <w:r w:rsidRPr="0094555B" w:rsidR="00023556">
        <w:rPr>
          <w:rFonts w:ascii="Times New Roman" w:hAnsi="Times New Roman" w:cs="Times New Roman"/>
          <w:sz w:val="24"/>
          <w:szCs w:val="24"/>
        </w:rPr>
        <w:t>2.62</w:t>
      </w:r>
      <w:r w:rsidRPr="0094555B">
        <w:rPr>
          <w:rFonts w:ascii="Times New Roman" w:hAnsi="Times New Roman" w:cs="Times New Roman"/>
          <w:sz w:val="24"/>
          <w:szCs w:val="24"/>
        </w:rPr>
        <w:t>/</w:t>
      </w:r>
      <w:proofErr w:type="spellStart"/>
      <w:r w:rsidRPr="0094555B">
        <w:rPr>
          <w:rFonts w:ascii="Times New Roman" w:hAnsi="Times New Roman" w:cs="Times New Roman"/>
          <w:sz w:val="24"/>
          <w:szCs w:val="24"/>
        </w:rPr>
        <w:t>hr</w:t>
      </w:r>
      <w:proofErr w:type="spellEnd"/>
      <w:r w:rsidRPr="0094555B">
        <w:rPr>
          <w:rFonts w:ascii="Times New Roman" w:hAnsi="Times New Roman" w:cs="Times New Roman"/>
          <w:sz w:val="24"/>
          <w:szCs w:val="24"/>
        </w:rPr>
        <w:t xml:space="preserve"> for a business operations specialist to prepare the notice.  In aggregate, we estimate a state burden of </w:t>
      </w:r>
      <w:r w:rsidRPr="0094555B">
        <w:rPr>
          <w:rFonts w:ascii="Times New Roman" w:hAnsi="Times New Roman" w:cs="Times New Roman"/>
          <w:b/>
          <w:sz w:val="24"/>
          <w:szCs w:val="24"/>
        </w:rPr>
        <w:t xml:space="preserve">12 </w:t>
      </w:r>
      <w:proofErr w:type="spellStart"/>
      <w:r w:rsidRPr="0094555B">
        <w:rPr>
          <w:rFonts w:ascii="Times New Roman" w:hAnsi="Times New Roman" w:cs="Times New Roman"/>
          <w:b/>
          <w:sz w:val="24"/>
          <w:szCs w:val="24"/>
        </w:rPr>
        <w:t>hr</w:t>
      </w:r>
      <w:proofErr w:type="spellEnd"/>
      <w:r w:rsidRPr="0094555B">
        <w:rPr>
          <w:rFonts w:ascii="Times New Roman" w:hAnsi="Times New Roman" w:cs="Times New Roman"/>
          <w:sz w:val="24"/>
          <w:szCs w:val="24"/>
        </w:rPr>
        <w:t xml:space="preserve"> (12 states x 1 </w:t>
      </w:r>
      <w:proofErr w:type="spellStart"/>
      <w:r w:rsidRPr="0094555B">
        <w:rPr>
          <w:rFonts w:ascii="Times New Roman" w:hAnsi="Times New Roman" w:cs="Times New Roman"/>
          <w:sz w:val="24"/>
          <w:szCs w:val="24"/>
        </w:rPr>
        <w:t>hr</w:t>
      </w:r>
      <w:proofErr w:type="spellEnd"/>
      <w:r w:rsidRPr="0094555B">
        <w:rPr>
          <w:rFonts w:ascii="Times New Roman" w:hAnsi="Times New Roman" w:cs="Times New Roman"/>
          <w:sz w:val="24"/>
          <w:szCs w:val="24"/>
        </w:rPr>
        <w:t xml:space="preserve">) and </w:t>
      </w:r>
      <w:r w:rsidRPr="0094555B">
        <w:rPr>
          <w:rFonts w:ascii="Times New Roman" w:hAnsi="Times New Roman" w:cs="Times New Roman"/>
          <w:b/>
          <w:sz w:val="24"/>
          <w:szCs w:val="24"/>
        </w:rPr>
        <w:t>$</w:t>
      </w:r>
      <w:r w:rsidR="0018555E">
        <w:rPr>
          <w:rFonts w:ascii="Times New Roman" w:hAnsi="Times New Roman" w:cs="Times New Roman"/>
          <w:b/>
          <w:sz w:val="24"/>
          <w:szCs w:val="24"/>
        </w:rPr>
        <w:t>904</w:t>
      </w:r>
      <w:r w:rsidRPr="0094555B">
        <w:rPr>
          <w:rFonts w:ascii="Times New Roman" w:hAnsi="Times New Roman" w:cs="Times New Roman"/>
          <w:sz w:val="24"/>
          <w:szCs w:val="24"/>
        </w:rPr>
        <w:t xml:space="preserve"> (12 </w:t>
      </w:r>
      <w:proofErr w:type="spellStart"/>
      <w:r w:rsidRPr="0094555B">
        <w:rPr>
          <w:rFonts w:ascii="Times New Roman" w:hAnsi="Times New Roman" w:cs="Times New Roman"/>
          <w:sz w:val="24"/>
          <w:szCs w:val="24"/>
        </w:rPr>
        <w:t>hr</w:t>
      </w:r>
      <w:proofErr w:type="spellEnd"/>
      <w:r w:rsidRPr="0094555B">
        <w:rPr>
          <w:rFonts w:ascii="Times New Roman" w:hAnsi="Times New Roman" w:cs="Times New Roman"/>
          <w:sz w:val="24"/>
          <w:szCs w:val="24"/>
        </w:rPr>
        <w:t xml:space="preserve"> x </w:t>
      </w:r>
      <w:r w:rsidRPr="0094555B" w:rsidR="00773C0B">
        <w:rPr>
          <w:rFonts w:ascii="Times New Roman" w:hAnsi="Times New Roman" w:cs="Times New Roman"/>
          <w:sz w:val="24"/>
          <w:szCs w:val="24"/>
        </w:rPr>
        <w:t>$7</w:t>
      </w:r>
      <w:r w:rsidR="0018555E">
        <w:rPr>
          <w:rFonts w:ascii="Times New Roman" w:hAnsi="Times New Roman" w:cs="Times New Roman"/>
          <w:sz w:val="24"/>
          <w:szCs w:val="24"/>
        </w:rPr>
        <w:t>5.32</w:t>
      </w:r>
      <w:r w:rsidRPr="0094555B">
        <w:rPr>
          <w:rFonts w:ascii="Times New Roman" w:hAnsi="Times New Roman" w:cs="Times New Roman"/>
          <w:sz w:val="24"/>
          <w:szCs w:val="24"/>
        </w:rPr>
        <w:t>/</w:t>
      </w:r>
      <w:proofErr w:type="spellStart"/>
      <w:r w:rsidRPr="0094555B">
        <w:rPr>
          <w:rFonts w:ascii="Times New Roman" w:hAnsi="Times New Roman" w:cs="Times New Roman"/>
          <w:sz w:val="24"/>
          <w:szCs w:val="24"/>
        </w:rPr>
        <w:t>hr</w:t>
      </w:r>
      <w:proofErr w:type="spellEnd"/>
      <w:r w:rsidRPr="0094555B">
        <w:rPr>
          <w:rFonts w:ascii="Times New Roman" w:hAnsi="Times New Roman" w:cs="Times New Roman"/>
          <w:sz w:val="24"/>
          <w:szCs w:val="24"/>
        </w:rPr>
        <w:t xml:space="preserve">).  </w:t>
      </w:r>
      <w:r w:rsidRPr="0094555B">
        <w:rPr>
          <w:rFonts w:ascii="Times New Roman" w:hAnsi="Times New Roman" w:cs="Times New Roman"/>
          <w:b/>
          <w:sz w:val="24"/>
          <w:szCs w:val="24"/>
        </w:rPr>
        <w:t>(</w:t>
      </w:r>
      <w:r w:rsidRPr="0094555B" w:rsidR="005F5165">
        <w:rPr>
          <w:rFonts w:ascii="Times New Roman" w:hAnsi="Times New Roman" w:cs="Times New Roman"/>
          <w:b/>
          <w:sz w:val="24"/>
          <w:szCs w:val="24"/>
        </w:rPr>
        <w:t>ESTIMATE</w:t>
      </w:r>
      <w:r w:rsidRPr="0094555B">
        <w:rPr>
          <w:rFonts w:ascii="Times New Roman" w:hAnsi="Times New Roman" w:cs="Times New Roman"/>
          <w:b/>
          <w:sz w:val="24"/>
          <w:szCs w:val="24"/>
        </w:rPr>
        <w:t xml:space="preserve"> 12.60)</w:t>
      </w:r>
    </w:p>
    <w:p w:rsidRPr="0094555B" w:rsidR="00624B15" w:rsidP="0094555B" w:rsidRDefault="00624B15" w14:paraId="78F02B4C" w14:textId="39F00D2D">
      <w:pPr>
        <w:rPr>
          <w:rFonts w:ascii="Times New Roman" w:hAnsi="Times New Roman" w:cs="Times New Roman"/>
          <w:sz w:val="24"/>
          <w:szCs w:val="24"/>
        </w:rPr>
      </w:pPr>
      <w:r w:rsidRPr="0094555B">
        <w:rPr>
          <w:rFonts w:ascii="Times New Roman" w:hAnsi="Times New Roman" w:cs="Times New Roman"/>
          <w:sz w:val="24"/>
          <w:szCs w:val="24"/>
        </w:rPr>
        <w:t>To send the notice, we estimate 1 min per beneficiary</w:t>
      </w:r>
      <w:r w:rsidRPr="0094555B" w:rsidR="00546849">
        <w:rPr>
          <w:rFonts w:ascii="Times New Roman" w:hAnsi="Times New Roman" w:cs="Times New Roman"/>
          <w:sz w:val="24"/>
          <w:szCs w:val="24"/>
        </w:rPr>
        <w:t xml:space="preserve"> (0.0167 </w:t>
      </w:r>
      <w:proofErr w:type="spellStart"/>
      <w:r w:rsidRPr="0094555B" w:rsidR="00546849">
        <w:rPr>
          <w:rFonts w:ascii="Times New Roman" w:hAnsi="Times New Roman" w:cs="Times New Roman"/>
          <w:sz w:val="24"/>
          <w:szCs w:val="24"/>
        </w:rPr>
        <w:t>hr</w:t>
      </w:r>
      <w:proofErr w:type="spellEnd"/>
      <w:r w:rsidRPr="0094555B">
        <w:rPr>
          <w:rFonts w:ascii="Times New Roman" w:hAnsi="Times New Roman" w:cs="Times New Roman"/>
          <w:sz w:val="24"/>
          <w:szCs w:val="24"/>
        </w:rPr>
        <w:t xml:space="preserve">) at </w:t>
      </w:r>
      <w:r w:rsidRPr="0094555B" w:rsidR="00827481">
        <w:rPr>
          <w:rFonts w:ascii="Times New Roman" w:hAnsi="Times New Roman" w:cs="Times New Roman"/>
          <w:sz w:val="24"/>
          <w:szCs w:val="24"/>
        </w:rPr>
        <w:t>$3</w:t>
      </w:r>
      <w:r w:rsidRPr="0094555B" w:rsidR="00023556">
        <w:rPr>
          <w:rFonts w:ascii="Times New Roman" w:hAnsi="Times New Roman" w:cs="Times New Roman"/>
          <w:sz w:val="24"/>
          <w:szCs w:val="24"/>
        </w:rPr>
        <w:t>1.36</w:t>
      </w:r>
      <w:r w:rsidRPr="0094555B">
        <w:rPr>
          <w:rFonts w:ascii="Times New Roman" w:hAnsi="Times New Roman" w:cs="Times New Roman"/>
          <w:sz w:val="24"/>
          <w:szCs w:val="24"/>
        </w:rPr>
        <w:t>/</w:t>
      </w:r>
      <w:proofErr w:type="spellStart"/>
      <w:r w:rsidRPr="0094555B">
        <w:rPr>
          <w:rFonts w:ascii="Times New Roman" w:hAnsi="Times New Roman" w:cs="Times New Roman"/>
          <w:sz w:val="24"/>
          <w:szCs w:val="24"/>
        </w:rPr>
        <w:t>hr</w:t>
      </w:r>
      <w:proofErr w:type="spellEnd"/>
      <w:r w:rsidRPr="0094555B">
        <w:rPr>
          <w:rFonts w:ascii="Times New Roman" w:hAnsi="Times New Roman" w:cs="Times New Roman"/>
          <w:sz w:val="24"/>
          <w:szCs w:val="24"/>
        </w:rPr>
        <w:t xml:space="preserve"> for a mail clerk.  We estimate an aggregate annual state burden of </w:t>
      </w:r>
      <w:r w:rsidRPr="0094555B" w:rsidR="00023556">
        <w:rPr>
          <w:rFonts w:ascii="Times New Roman" w:hAnsi="Times New Roman" w:cs="Times New Roman"/>
          <w:b/>
          <w:sz w:val="24"/>
          <w:szCs w:val="24"/>
        </w:rPr>
        <w:t>20,040</w:t>
      </w:r>
      <w:r w:rsidRPr="0094555B">
        <w:rPr>
          <w:rFonts w:ascii="Times New Roman" w:hAnsi="Times New Roman" w:cs="Times New Roman"/>
          <w:b/>
          <w:sz w:val="24"/>
          <w:szCs w:val="24"/>
        </w:rPr>
        <w:t xml:space="preserve"> </w:t>
      </w:r>
      <w:proofErr w:type="spellStart"/>
      <w:r w:rsidRPr="0094555B">
        <w:rPr>
          <w:rFonts w:ascii="Times New Roman" w:hAnsi="Times New Roman" w:cs="Times New Roman"/>
          <w:b/>
          <w:sz w:val="24"/>
          <w:szCs w:val="24"/>
        </w:rPr>
        <w:t>hr</w:t>
      </w:r>
      <w:proofErr w:type="spellEnd"/>
      <w:r w:rsidRPr="0094555B">
        <w:rPr>
          <w:rFonts w:ascii="Times New Roman" w:hAnsi="Times New Roman" w:cs="Times New Roman"/>
          <w:sz w:val="24"/>
          <w:szCs w:val="24"/>
        </w:rPr>
        <w:t xml:space="preserve"> (12 states x </w:t>
      </w:r>
      <w:r w:rsidRPr="0094555B" w:rsidR="00023556">
        <w:rPr>
          <w:rFonts w:ascii="Times New Roman" w:hAnsi="Times New Roman" w:cs="Times New Roman"/>
          <w:sz w:val="24"/>
          <w:szCs w:val="24"/>
        </w:rPr>
        <w:t>100,000</w:t>
      </w:r>
      <w:r w:rsidRPr="0094555B">
        <w:rPr>
          <w:rFonts w:ascii="Times New Roman" w:hAnsi="Times New Roman" w:cs="Times New Roman"/>
          <w:sz w:val="24"/>
          <w:szCs w:val="24"/>
        </w:rPr>
        <w:t xml:space="preserve"> enrollees</w:t>
      </w:r>
      <w:r w:rsidRPr="0094555B" w:rsidR="00176171">
        <w:rPr>
          <w:rFonts w:ascii="Times New Roman" w:hAnsi="Times New Roman" w:cs="Times New Roman"/>
          <w:sz w:val="24"/>
          <w:szCs w:val="24"/>
        </w:rPr>
        <w:t xml:space="preserve"> x 0.0167 </w:t>
      </w:r>
      <w:proofErr w:type="spellStart"/>
      <w:r w:rsidRPr="0094555B" w:rsidR="00176171">
        <w:rPr>
          <w:rFonts w:ascii="Times New Roman" w:hAnsi="Times New Roman" w:cs="Times New Roman"/>
          <w:sz w:val="24"/>
          <w:szCs w:val="24"/>
        </w:rPr>
        <w:t>hr</w:t>
      </w:r>
      <w:proofErr w:type="spellEnd"/>
      <w:r w:rsidRPr="0094555B">
        <w:rPr>
          <w:rFonts w:ascii="Times New Roman" w:hAnsi="Times New Roman" w:cs="Times New Roman"/>
          <w:sz w:val="24"/>
          <w:szCs w:val="24"/>
        </w:rPr>
        <w:t xml:space="preserve">) and </w:t>
      </w:r>
      <w:r w:rsidRPr="0094555B">
        <w:rPr>
          <w:rFonts w:ascii="Times New Roman" w:hAnsi="Times New Roman" w:cs="Times New Roman"/>
          <w:b/>
          <w:sz w:val="24"/>
          <w:szCs w:val="24"/>
        </w:rPr>
        <w:t>$</w:t>
      </w:r>
      <w:r w:rsidRPr="0094555B" w:rsidR="00023556">
        <w:rPr>
          <w:rFonts w:ascii="Times New Roman" w:hAnsi="Times New Roman" w:cs="Times New Roman"/>
          <w:b/>
          <w:sz w:val="24"/>
          <w:szCs w:val="24"/>
        </w:rPr>
        <w:t>6</w:t>
      </w:r>
      <w:r w:rsidR="0018555E">
        <w:rPr>
          <w:rFonts w:ascii="Times New Roman" w:hAnsi="Times New Roman" w:cs="Times New Roman"/>
          <w:b/>
          <w:sz w:val="24"/>
          <w:szCs w:val="24"/>
        </w:rPr>
        <w:t>49,296</w:t>
      </w:r>
      <w:r w:rsidRPr="0094555B">
        <w:rPr>
          <w:rFonts w:ascii="Times New Roman" w:hAnsi="Times New Roman" w:cs="Times New Roman"/>
          <w:sz w:val="24"/>
          <w:szCs w:val="24"/>
        </w:rPr>
        <w:t xml:space="preserve"> (</w:t>
      </w:r>
      <w:r w:rsidRPr="0094555B" w:rsidR="00023556">
        <w:rPr>
          <w:rFonts w:ascii="Times New Roman" w:hAnsi="Times New Roman" w:cs="Times New Roman"/>
          <w:sz w:val="24"/>
          <w:szCs w:val="24"/>
        </w:rPr>
        <w:t>20,040</w:t>
      </w:r>
      <w:r w:rsidRPr="0094555B">
        <w:rPr>
          <w:rFonts w:ascii="Times New Roman" w:hAnsi="Times New Roman" w:cs="Times New Roman"/>
          <w:sz w:val="24"/>
          <w:szCs w:val="24"/>
        </w:rPr>
        <w:t xml:space="preserve"> </w:t>
      </w:r>
      <w:proofErr w:type="spellStart"/>
      <w:r w:rsidRPr="0094555B">
        <w:rPr>
          <w:rFonts w:ascii="Times New Roman" w:hAnsi="Times New Roman" w:cs="Times New Roman"/>
          <w:sz w:val="24"/>
          <w:szCs w:val="24"/>
        </w:rPr>
        <w:t>hr</w:t>
      </w:r>
      <w:proofErr w:type="spellEnd"/>
      <w:r w:rsidRPr="0094555B">
        <w:rPr>
          <w:rFonts w:ascii="Times New Roman" w:hAnsi="Times New Roman" w:cs="Times New Roman"/>
          <w:sz w:val="24"/>
          <w:szCs w:val="24"/>
        </w:rPr>
        <w:t xml:space="preserve"> x </w:t>
      </w:r>
      <w:r w:rsidRPr="0094555B" w:rsidR="00827481">
        <w:rPr>
          <w:rFonts w:ascii="Times New Roman" w:hAnsi="Times New Roman" w:cs="Times New Roman"/>
          <w:sz w:val="24"/>
          <w:szCs w:val="24"/>
        </w:rPr>
        <w:t>$3</w:t>
      </w:r>
      <w:r w:rsidR="0018555E">
        <w:rPr>
          <w:rFonts w:ascii="Times New Roman" w:hAnsi="Times New Roman" w:cs="Times New Roman"/>
          <w:sz w:val="24"/>
          <w:szCs w:val="24"/>
        </w:rPr>
        <w:t>2.40</w:t>
      </w:r>
      <w:r w:rsidRPr="0094555B">
        <w:rPr>
          <w:rFonts w:ascii="Times New Roman" w:hAnsi="Times New Roman" w:cs="Times New Roman"/>
          <w:sz w:val="24"/>
          <w:szCs w:val="24"/>
        </w:rPr>
        <w:t>/</w:t>
      </w:r>
      <w:proofErr w:type="spellStart"/>
      <w:r w:rsidRPr="0094555B">
        <w:rPr>
          <w:rFonts w:ascii="Times New Roman" w:hAnsi="Times New Roman" w:cs="Times New Roman"/>
          <w:sz w:val="24"/>
          <w:szCs w:val="24"/>
        </w:rPr>
        <w:t>hr</w:t>
      </w:r>
      <w:proofErr w:type="spellEnd"/>
      <w:r w:rsidRPr="0094555B">
        <w:rPr>
          <w:rFonts w:ascii="Times New Roman" w:hAnsi="Times New Roman" w:cs="Times New Roman"/>
          <w:sz w:val="24"/>
          <w:szCs w:val="24"/>
        </w:rPr>
        <w:t xml:space="preserve">). </w:t>
      </w:r>
      <w:r w:rsidRPr="0094555B">
        <w:rPr>
          <w:rFonts w:ascii="Times New Roman" w:hAnsi="Times New Roman" w:cs="Times New Roman"/>
          <w:b/>
          <w:sz w:val="24"/>
          <w:szCs w:val="24"/>
        </w:rPr>
        <w:t>(</w:t>
      </w:r>
      <w:r w:rsidRPr="0094555B" w:rsidR="005F5165">
        <w:rPr>
          <w:rFonts w:ascii="Times New Roman" w:hAnsi="Times New Roman" w:cs="Times New Roman"/>
          <w:b/>
          <w:sz w:val="24"/>
          <w:szCs w:val="24"/>
        </w:rPr>
        <w:t>ESTIMATE</w:t>
      </w:r>
      <w:r w:rsidRPr="0094555B">
        <w:rPr>
          <w:rFonts w:ascii="Times New Roman" w:hAnsi="Times New Roman" w:cs="Times New Roman"/>
          <w:b/>
          <w:sz w:val="24"/>
          <w:szCs w:val="24"/>
        </w:rPr>
        <w:t xml:space="preserve"> 12.61)</w:t>
      </w:r>
    </w:p>
    <w:p w:rsidRPr="0094555B" w:rsidR="00332B7B" w:rsidP="0094555B" w:rsidRDefault="00624B15" w14:paraId="2020B129" w14:textId="77777777">
      <w:pPr>
        <w:rPr>
          <w:rFonts w:ascii="Times New Roman" w:hAnsi="Times New Roman" w:cs="Times New Roman"/>
          <w:sz w:val="24"/>
          <w:szCs w:val="24"/>
          <w:u w:val="single"/>
        </w:rPr>
      </w:pPr>
      <w:r w:rsidRPr="0094555B">
        <w:rPr>
          <w:rFonts w:ascii="Times New Roman" w:hAnsi="Times New Roman" w:cs="Times New Roman"/>
          <w:sz w:val="24"/>
          <w:szCs w:val="24"/>
          <w:u w:val="single"/>
        </w:rPr>
        <w:t xml:space="preserve">Section 438.724 Notice to CMS </w:t>
      </w:r>
    </w:p>
    <w:p w:rsidRPr="0094555B" w:rsidR="00624B15" w:rsidP="0094555B" w:rsidRDefault="00624B15" w14:paraId="30B9F759" w14:textId="1CB32860">
      <w:pPr>
        <w:rPr>
          <w:rFonts w:ascii="Times New Roman" w:hAnsi="Times New Roman" w:cs="Times New Roman"/>
          <w:iCs/>
          <w:sz w:val="24"/>
          <w:szCs w:val="24"/>
        </w:rPr>
      </w:pPr>
      <w:r w:rsidRPr="0094555B">
        <w:rPr>
          <w:rFonts w:ascii="Times New Roman" w:hAnsi="Times New Roman" w:cs="Times New Roman"/>
          <w:sz w:val="24"/>
          <w:szCs w:val="24"/>
        </w:rPr>
        <w:t xml:space="preserve">Section 438.724 requires that the State give the CMS written notice whenever it imposes or lifts a sanction.  The notice must specify the affected MCO, the kind of sanction, and the reason for the State's decision to impose or lift a sanction.  </w:t>
      </w:r>
      <w:r w:rsidRPr="0094555B">
        <w:rPr>
          <w:rFonts w:ascii="Times New Roman" w:hAnsi="Times New Roman" w:cs="Times New Roman"/>
          <w:iCs/>
          <w:sz w:val="24"/>
          <w:szCs w:val="24"/>
        </w:rPr>
        <w:t xml:space="preserve">We anticipate that no more than 15 states impose or lift a sanction in any year.  As this would be done via email, we estimate no burden for this. </w:t>
      </w:r>
    </w:p>
    <w:p w:rsidRPr="0094555B" w:rsidR="00624B15" w:rsidP="0094555B" w:rsidRDefault="00624B15" w14:paraId="6952EB2B" w14:textId="77777777">
      <w:pPr>
        <w:rPr>
          <w:rFonts w:ascii="Times New Roman" w:hAnsi="Times New Roman" w:cs="Times New Roman"/>
          <w:bCs/>
          <w:iCs/>
          <w:sz w:val="24"/>
          <w:szCs w:val="24"/>
        </w:rPr>
      </w:pPr>
      <w:r w:rsidRPr="0094555B">
        <w:rPr>
          <w:rFonts w:ascii="Times New Roman" w:hAnsi="Times New Roman" w:cs="Times New Roman"/>
          <w:iCs/>
          <w:sz w:val="24"/>
          <w:szCs w:val="24"/>
        </w:rPr>
        <w:t>Section 438.724 would require that the state provide written notice to their CMS whenever it imposes or lifts a sanction on a PCCM or PCCM entity.  Given the limited scope of benefits provided by a PCCM or PCCM entity, we anticipate that no more than 3 states may impose or lift a sanction on a PCCM or PCCM entity in any year.  With fewer than 10 respondents, t</w:t>
      </w:r>
      <w:r w:rsidRPr="0094555B">
        <w:rPr>
          <w:rFonts w:ascii="Times New Roman" w:hAnsi="Times New Roman" w:cs="Times New Roman"/>
          <w:bCs/>
          <w:iCs/>
          <w:sz w:val="24"/>
          <w:szCs w:val="24"/>
        </w:rPr>
        <w:t xml:space="preserve">he </w:t>
      </w:r>
      <w:r w:rsidRPr="0094555B">
        <w:rPr>
          <w:rFonts w:ascii="Times New Roman" w:hAnsi="Times New Roman" w:cs="Times New Roman"/>
          <w:bCs/>
          <w:iCs/>
          <w:sz w:val="24"/>
          <w:szCs w:val="24"/>
        </w:rPr>
        <w:lastRenderedPageBreak/>
        <w:t>information collection requirements are exempt (5 CFR 1320.3(c)) from the requirements of the Paperwork Reduction Act of 1995 (44 U.S.C. 3501 et seq.).</w:t>
      </w:r>
    </w:p>
    <w:p w:rsidRPr="0094555B" w:rsidR="00332B7B" w:rsidP="0094555B" w:rsidRDefault="00624B15" w14:paraId="0E621DFC" w14:textId="77777777">
      <w:pPr>
        <w:rPr>
          <w:rFonts w:ascii="Times New Roman" w:hAnsi="Times New Roman" w:cs="Times New Roman"/>
          <w:sz w:val="24"/>
          <w:szCs w:val="24"/>
        </w:rPr>
      </w:pPr>
      <w:r w:rsidRPr="0094555B">
        <w:rPr>
          <w:rFonts w:ascii="Times New Roman" w:hAnsi="Times New Roman" w:cs="Times New Roman"/>
          <w:sz w:val="24"/>
          <w:szCs w:val="24"/>
          <w:u w:val="single"/>
        </w:rPr>
        <w:t>Section 438.730 Sanction by CMS: special rules for MCOs</w:t>
      </w:r>
      <w:r w:rsidRPr="0094555B">
        <w:rPr>
          <w:rFonts w:ascii="Times New Roman" w:hAnsi="Times New Roman" w:cs="Times New Roman"/>
          <w:sz w:val="24"/>
          <w:szCs w:val="24"/>
        </w:rPr>
        <w:t xml:space="preserve"> </w:t>
      </w:r>
    </w:p>
    <w:p w:rsidRPr="0094555B" w:rsidR="00624B15" w:rsidP="0094555B" w:rsidRDefault="00624B15" w14:paraId="2D14C8A8" w14:textId="3E6A483D">
      <w:pPr>
        <w:rPr>
          <w:rFonts w:ascii="Times New Roman" w:hAnsi="Times New Roman" w:cs="Times New Roman"/>
          <w:sz w:val="24"/>
          <w:szCs w:val="24"/>
        </w:rPr>
      </w:pPr>
      <w:r w:rsidRPr="0094555B">
        <w:rPr>
          <w:rFonts w:ascii="Times New Roman" w:hAnsi="Times New Roman" w:cs="Times New Roman"/>
          <w:sz w:val="24"/>
          <w:szCs w:val="24"/>
        </w:rPr>
        <w:t>Section 438.730(b) would require that if CMS accepts a state agency’s recommendation for a sanction, the state agency would be required to give the MCO written notice of the proposed sanction. Section 438.730(c) would require that if the MCO submits a timely response to the notice of sanction, the state agency must give the MCO a concise written decision setting forth the factual and legal basis for the decision.  If CMS reverses the state's decision, the state must send a copy to the MCO.</w:t>
      </w:r>
    </w:p>
    <w:p w:rsidRPr="0094555B" w:rsidR="00624B15" w:rsidP="0094555B" w:rsidRDefault="00624B15" w14:paraId="1162AE6D" w14:textId="77777777">
      <w:pPr>
        <w:rPr>
          <w:rFonts w:ascii="Times New Roman" w:hAnsi="Times New Roman" w:cs="Times New Roman"/>
          <w:iCs/>
          <w:sz w:val="24"/>
          <w:szCs w:val="24"/>
        </w:rPr>
      </w:pPr>
      <w:r w:rsidRPr="0094555B">
        <w:rPr>
          <w:rFonts w:ascii="Times New Roman" w:hAnsi="Times New Roman" w:cs="Times New Roman"/>
          <w:sz w:val="24"/>
          <w:szCs w:val="24"/>
        </w:rPr>
        <w:t>The above information collection requirement is not subject to the PRA.  It is exempt under 5 CFR 1320.4(a) because it occurs as part of an administrative action.</w:t>
      </w:r>
    </w:p>
    <w:p w:rsidRPr="0094555B" w:rsidR="00332B7B" w:rsidP="0094555B" w:rsidRDefault="00624B15" w14:paraId="55E03496" w14:textId="77777777">
      <w:pPr>
        <w:rPr>
          <w:rFonts w:ascii="Times New Roman" w:hAnsi="Times New Roman" w:cs="Times New Roman"/>
          <w:sz w:val="24"/>
          <w:szCs w:val="24"/>
        </w:rPr>
      </w:pPr>
      <w:r w:rsidRPr="0094555B">
        <w:rPr>
          <w:rFonts w:ascii="Times New Roman" w:hAnsi="Times New Roman" w:cs="Times New Roman"/>
          <w:sz w:val="24"/>
          <w:szCs w:val="24"/>
          <w:u w:val="single"/>
        </w:rPr>
        <w:t>Section 438.810 Expenditures for enrollment broker services</w:t>
      </w:r>
      <w:r w:rsidRPr="0094555B">
        <w:rPr>
          <w:rFonts w:ascii="Times New Roman" w:hAnsi="Times New Roman" w:cs="Times New Roman"/>
          <w:sz w:val="24"/>
          <w:szCs w:val="24"/>
        </w:rPr>
        <w:t xml:space="preserve"> </w:t>
      </w:r>
    </w:p>
    <w:p w:rsidRPr="0094555B" w:rsidR="00624B15" w:rsidP="0094555B" w:rsidRDefault="00624B15" w14:paraId="11CA3376" w14:textId="60D7E7B0">
      <w:pPr>
        <w:rPr>
          <w:rFonts w:ascii="Times New Roman" w:hAnsi="Times New Roman" w:cs="Times New Roman"/>
          <w:sz w:val="24"/>
          <w:szCs w:val="24"/>
        </w:rPr>
      </w:pPr>
      <w:r w:rsidRPr="0094555B">
        <w:rPr>
          <w:rFonts w:ascii="Times New Roman" w:hAnsi="Times New Roman" w:cs="Times New Roman"/>
          <w:sz w:val="24"/>
          <w:szCs w:val="24"/>
        </w:rPr>
        <w:t xml:space="preserve">Section 438.810(c) requires that a State contracting with an enrollment broker must submit the contract or memorandum of agreement (MOA) for services performed by the broker to CMS for review and approval.  </w:t>
      </w:r>
      <w:r w:rsidRPr="0094555B">
        <w:rPr>
          <w:rFonts w:ascii="Times New Roman" w:hAnsi="Times New Roman" w:cs="Times New Roman"/>
          <w:iCs/>
          <w:sz w:val="24"/>
          <w:szCs w:val="24"/>
        </w:rPr>
        <w:t>As this is done electronically, there is no burden estimated here.</w:t>
      </w:r>
    </w:p>
    <w:p w:rsidRPr="0094555B" w:rsidR="00332B7B" w:rsidP="0094555B" w:rsidRDefault="00624B15" w14:paraId="695F6615" w14:textId="77777777">
      <w:pPr>
        <w:rPr>
          <w:rFonts w:ascii="Times New Roman" w:hAnsi="Times New Roman" w:cs="Times New Roman"/>
          <w:color w:val="000000"/>
          <w:sz w:val="24"/>
          <w:szCs w:val="24"/>
        </w:rPr>
      </w:pPr>
      <w:r w:rsidRPr="0094555B">
        <w:rPr>
          <w:rFonts w:ascii="Times New Roman" w:hAnsi="Times New Roman" w:cs="Times New Roman"/>
          <w:color w:val="000000"/>
          <w:sz w:val="24"/>
          <w:szCs w:val="24"/>
          <w:u w:val="single"/>
        </w:rPr>
        <w:t>Section 438.818 Enrollee encounter data</w:t>
      </w:r>
      <w:r w:rsidRPr="0094555B">
        <w:rPr>
          <w:rFonts w:ascii="Times New Roman" w:hAnsi="Times New Roman" w:cs="Times New Roman"/>
          <w:color w:val="000000"/>
          <w:sz w:val="24"/>
          <w:szCs w:val="24"/>
        </w:rPr>
        <w:t xml:space="preserve"> </w:t>
      </w:r>
    </w:p>
    <w:p w:rsidRPr="0094555B" w:rsidR="00624B15" w:rsidP="0094555B" w:rsidRDefault="00624B15" w14:paraId="1525019F" w14:textId="12BFF67A">
      <w:pPr>
        <w:rPr>
          <w:rFonts w:ascii="Times New Roman" w:hAnsi="Times New Roman" w:cs="Times New Roman"/>
          <w:iCs/>
          <w:color w:val="000000"/>
          <w:sz w:val="24"/>
          <w:szCs w:val="24"/>
        </w:rPr>
      </w:pPr>
      <w:r w:rsidRPr="0094555B">
        <w:rPr>
          <w:rFonts w:ascii="Times New Roman" w:hAnsi="Times New Roman" w:cs="Times New Roman"/>
          <w:color w:val="000000"/>
          <w:sz w:val="24"/>
          <w:szCs w:val="24"/>
        </w:rPr>
        <w:t>Section</w:t>
      </w:r>
      <w:r w:rsidRPr="0094555B">
        <w:rPr>
          <w:rFonts w:ascii="Times New Roman" w:hAnsi="Times New Roman" w:cs="Times New Roman"/>
          <w:iCs/>
          <w:color w:val="000000"/>
          <w:sz w:val="24"/>
          <w:szCs w:val="24"/>
        </w:rPr>
        <w:t xml:space="preserve"> 438.818(a)(2) requires that the encounter data be validated prior to its submission.  States can perform this validation activity themselves, contract it to a vendor, or contract it to their External Quality Review Organization (EQRO).  In this regard, a state already using EQRO to validate its data at an appropriate frequency will incur no additional burden.  Since approximately 10 states already use their EQRO to validate their data, only 27 states that use </w:t>
      </w:r>
      <w:proofErr w:type="gramStart"/>
      <w:r w:rsidRPr="0094555B">
        <w:rPr>
          <w:rFonts w:ascii="Times New Roman" w:hAnsi="Times New Roman" w:cs="Times New Roman"/>
          <w:iCs/>
          <w:color w:val="000000"/>
          <w:sz w:val="24"/>
          <w:szCs w:val="24"/>
        </w:rPr>
        <w:t>a</w:t>
      </w:r>
      <w:proofErr w:type="gramEnd"/>
      <w:r w:rsidRPr="0094555B">
        <w:rPr>
          <w:rFonts w:ascii="Times New Roman" w:hAnsi="Times New Roman" w:cs="Times New Roman"/>
          <w:iCs/>
          <w:color w:val="000000"/>
          <w:sz w:val="24"/>
          <w:szCs w:val="24"/>
        </w:rPr>
        <w:t xml:space="preserve"> MCO and/or PIHP may need to take action to meet this requirement.  The method selected by the state will determine the amount of burden incurred.  We assume an equal distribution of states selecting each method, thus 9 states per method.</w:t>
      </w:r>
    </w:p>
    <w:p w:rsidRPr="0094555B" w:rsidR="00624B15" w:rsidP="0094555B" w:rsidRDefault="00624B15" w14:paraId="36500C04" w14:textId="4F8037FA">
      <w:pPr>
        <w:rPr>
          <w:rFonts w:ascii="Times New Roman" w:hAnsi="Times New Roman" w:cs="Times New Roman"/>
          <w:iCs/>
          <w:color w:val="000000"/>
          <w:sz w:val="24"/>
          <w:szCs w:val="24"/>
        </w:rPr>
      </w:pPr>
      <w:r w:rsidRPr="0094555B">
        <w:rPr>
          <w:rFonts w:ascii="Times New Roman" w:hAnsi="Times New Roman" w:cs="Times New Roman"/>
          <w:iCs/>
          <w:color w:val="000000"/>
          <w:sz w:val="24"/>
          <w:szCs w:val="24"/>
        </w:rPr>
        <w:t xml:space="preserve">For a state electing to procure a vendor, given the wide variance in state procurement processes, our burden is conservatively estimated at 150 </w:t>
      </w:r>
      <w:proofErr w:type="spellStart"/>
      <w:r w:rsidRPr="0094555B">
        <w:rPr>
          <w:rFonts w:ascii="Times New Roman" w:hAnsi="Times New Roman" w:cs="Times New Roman"/>
          <w:iCs/>
          <w:color w:val="000000"/>
          <w:sz w:val="24"/>
          <w:szCs w:val="24"/>
        </w:rPr>
        <w:t>hr</w:t>
      </w:r>
      <w:proofErr w:type="spellEnd"/>
      <w:r w:rsidRPr="0094555B">
        <w:rPr>
          <w:rFonts w:ascii="Times New Roman" w:hAnsi="Times New Roman" w:cs="Times New Roman"/>
          <w:iCs/>
          <w:color w:val="000000"/>
          <w:sz w:val="24"/>
          <w:szCs w:val="24"/>
        </w:rPr>
        <w:t xml:space="preserve"> for writing a proposal request, evaluating proposals, and implementing the selected proposal.  We estimate 125 </w:t>
      </w:r>
      <w:proofErr w:type="spellStart"/>
      <w:r w:rsidRPr="0094555B">
        <w:rPr>
          <w:rFonts w:ascii="Times New Roman" w:hAnsi="Times New Roman" w:cs="Times New Roman"/>
          <w:iCs/>
          <w:color w:val="000000"/>
          <w:sz w:val="24"/>
          <w:szCs w:val="24"/>
        </w:rPr>
        <w:t>hr</w:t>
      </w:r>
      <w:proofErr w:type="spellEnd"/>
      <w:r w:rsidRPr="0094555B">
        <w:rPr>
          <w:rFonts w:ascii="Times New Roman" w:hAnsi="Times New Roman" w:cs="Times New Roman"/>
          <w:iCs/>
          <w:color w:val="000000"/>
          <w:sz w:val="24"/>
          <w:szCs w:val="24"/>
        </w:rPr>
        <w:t xml:space="preserve"> at </w:t>
      </w:r>
      <w:r w:rsidRPr="0094555B" w:rsidR="00773C0B">
        <w:rPr>
          <w:rFonts w:ascii="Times New Roman" w:hAnsi="Times New Roman" w:cs="Times New Roman"/>
          <w:iCs/>
          <w:color w:val="000000"/>
          <w:sz w:val="24"/>
          <w:szCs w:val="24"/>
        </w:rPr>
        <w:t>$7</w:t>
      </w:r>
      <w:r w:rsidRPr="0094555B" w:rsidR="000152CF">
        <w:rPr>
          <w:rFonts w:ascii="Times New Roman" w:hAnsi="Times New Roman" w:cs="Times New Roman"/>
          <w:iCs/>
          <w:color w:val="000000"/>
          <w:sz w:val="24"/>
          <w:szCs w:val="24"/>
        </w:rPr>
        <w:t>2.62</w:t>
      </w:r>
      <w:r w:rsidRPr="0094555B">
        <w:rPr>
          <w:rFonts w:ascii="Times New Roman" w:hAnsi="Times New Roman" w:cs="Times New Roman"/>
          <w:iCs/>
          <w:color w:val="000000"/>
          <w:sz w:val="24"/>
          <w:szCs w:val="24"/>
        </w:rPr>
        <w:t>/</w:t>
      </w:r>
      <w:proofErr w:type="spellStart"/>
      <w:r w:rsidRPr="0094555B">
        <w:rPr>
          <w:rFonts w:ascii="Times New Roman" w:hAnsi="Times New Roman" w:cs="Times New Roman"/>
          <w:iCs/>
          <w:color w:val="000000"/>
          <w:sz w:val="24"/>
          <w:szCs w:val="24"/>
        </w:rPr>
        <w:t>hr</w:t>
      </w:r>
      <w:proofErr w:type="spellEnd"/>
      <w:r w:rsidRPr="0094555B">
        <w:rPr>
          <w:rFonts w:ascii="Times New Roman" w:hAnsi="Times New Roman" w:cs="Times New Roman"/>
          <w:iCs/>
          <w:color w:val="000000"/>
          <w:sz w:val="24"/>
          <w:szCs w:val="24"/>
        </w:rPr>
        <w:t xml:space="preserve"> for a business operations specialist to participate in the writing, evaluating, and implementing, and 25 </w:t>
      </w:r>
      <w:proofErr w:type="spellStart"/>
      <w:r w:rsidRPr="0094555B">
        <w:rPr>
          <w:rFonts w:ascii="Times New Roman" w:hAnsi="Times New Roman" w:cs="Times New Roman"/>
          <w:iCs/>
          <w:color w:val="000000"/>
          <w:sz w:val="24"/>
          <w:szCs w:val="24"/>
        </w:rPr>
        <w:t>hr</w:t>
      </w:r>
      <w:proofErr w:type="spellEnd"/>
      <w:r w:rsidRPr="0094555B">
        <w:rPr>
          <w:rFonts w:ascii="Times New Roman" w:hAnsi="Times New Roman" w:cs="Times New Roman"/>
          <w:iCs/>
          <w:color w:val="000000"/>
          <w:sz w:val="24"/>
          <w:szCs w:val="24"/>
        </w:rPr>
        <w:t xml:space="preserve"> at </w:t>
      </w:r>
      <w:r w:rsidRPr="0094555B" w:rsidR="00827481">
        <w:rPr>
          <w:rFonts w:ascii="Times New Roman" w:hAnsi="Times New Roman" w:cs="Times New Roman"/>
          <w:iCs/>
          <w:color w:val="000000"/>
          <w:sz w:val="24"/>
          <w:szCs w:val="24"/>
        </w:rPr>
        <w:t>$1</w:t>
      </w:r>
      <w:r w:rsidRPr="0094555B" w:rsidR="000152CF">
        <w:rPr>
          <w:rFonts w:ascii="Times New Roman" w:hAnsi="Times New Roman" w:cs="Times New Roman"/>
          <w:iCs/>
          <w:color w:val="000000"/>
          <w:sz w:val="24"/>
          <w:szCs w:val="24"/>
        </w:rPr>
        <w:t>18.30</w:t>
      </w:r>
      <w:r w:rsidRPr="0094555B">
        <w:rPr>
          <w:rFonts w:ascii="Times New Roman" w:hAnsi="Times New Roman" w:cs="Times New Roman"/>
          <w:iCs/>
          <w:color w:val="000000"/>
          <w:sz w:val="24"/>
          <w:szCs w:val="24"/>
        </w:rPr>
        <w:t>/</w:t>
      </w:r>
      <w:proofErr w:type="spellStart"/>
      <w:r w:rsidRPr="0094555B">
        <w:rPr>
          <w:rFonts w:ascii="Times New Roman" w:hAnsi="Times New Roman" w:cs="Times New Roman"/>
          <w:iCs/>
          <w:color w:val="000000"/>
          <w:sz w:val="24"/>
          <w:szCs w:val="24"/>
        </w:rPr>
        <w:t>hr</w:t>
      </w:r>
      <w:proofErr w:type="spellEnd"/>
      <w:r w:rsidRPr="0094555B">
        <w:rPr>
          <w:rFonts w:ascii="Times New Roman" w:hAnsi="Times New Roman" w:cs="Times New Roman"/>
          <w:iCs/>
          <w:color w:val="000000"/>
          <w:sz w:val="24"/>
          <w:szCs w:val="24"/>
        </w:rPr>
        <w:t xml:space="preserve"> for a general and operations manager to participate in the writing, evaluating, and implementing.  In aggregate, we estimate an annual state burden of </w:t>
      </w:r>
      <w:r w:rsidRPr="0094555B">
        <w:rPr>
          <w:rFonts w:ascii="Times New Roman" w:hAnsi="Times New Roman" w:cs="Times New Roman"/>
          <w:b/>
          <w:iCs/>
          <w:color w:val="000000"/>
          <w:sz w:val="24"/>
          <w:szCs w:val="24"/>
        </w:rPr>
        <w:t xml:space="preserve">1,350 </w:t>
      </w:r>
      <w:proofErr w:type="spellStart"/>
      <w:r w:rsidRPr="0094555B">
        <w:rPr>
          <w:rFonts w:ascii="Times New Roman" w:hAnsi="Times New Roman" w:cs="Times New Roman"/>
          <w:b/>
          <w:iCs/>
          <w:color w:val="000000"/>
          <w:sz w:val="24"/>
          <w:szCs w:val="24"/>
        </w:rPr>
        <w:t>hr</w:t>
      </w:r>
      <w:proofErr w:type="spellEnd"/>
      <w:r w:rsidRPr="0094555B">
        <w:rPr>
          <w:rFonts w:ascii="Times New Roman" w:hAnsi="Times New Roman" w:cs="Times New Roman"/>
          <w:iCs/>
          <w:color w:val="000000"/>
          <w:sz w:val="24"/>
          <w:szCs w:val="24"/>
        </w:rPr>
        <w:t xml:space="preserve"> </w:t>
      </w:r>
      <w:r w:rsidRPr="0094555B" w:rsidR="00C84E08">
        <w:rPr>
          <w:rFonts w:ascii="Times New Roman" w:hAnsi="Times New Roman" w:cs="Times New Roman"/>
          <w:iCs/>
          <w:color w:val="000000"/>
          <w:sz w:val="24"/>
          <w:szCs w:val="24"/>
        </w:rPr>
        <w:t>(</w:t>
      </w:r>
      <w:r w:rsidRPr="0094555B">
        <w:rPr>
          <w:rFonts w:ascii="Times New Roman" w:hAnsi="Times New Roman" w:cs="Times New Roman"/>
          <w:iCs/>
          <w:color w:val="000000"/>
          <w:sz w:val="24"/>
          <w:szCs w:val="24"/>
        </w:rPr>
        <w:t xml:space="preserve">9 states x 150 </w:t>
      </w:r>
      <w:proofErr w:type="spellStart"/>
      <w:r w:rsidRPr="0094555B">
        <w:rPr>
          <w:rFonts w:ascii="Times New Roman" w:hAnsi="Times New Roman" w:cs="Times New Roman"/>
          <w:iCs/>
          <w:color w:val="000000"/>
          <w:sz w:val="24"/>
          <w:szCs w:val="24"/>
        </w:rPr>
        <w:t>hr</w:t>
      </w:r>
      <w:proofErr w:type="spellEnd"/>
      <w:r w:rsidRPr="0094555B">
        <w:rPr>
          <w:rFonts w:ascii="Times New Roman" w:hAnsi="Times New Roman" w:cs="Times New Roman"/>
          <w:iCs/>
          <w:color w:val="000000"/>
          <w:sz w:val="24"/>
          <w:szCs w:val="24"/>
        </w:rPr>
        <w:t xml:space="preserve">) and </w:t>
      </w:r>
      <w:r w:rsidRPr="0094555B">
        <w:rPr>
          <w:rFonts w:ascii="Times New Roman" w:hAnsi="Times New Roman" w:cs="Times New Roman"/>
          <w:b/>
          <w:iCs/>
          <w:color w:val="000000"/>
          <w:sz w:val="24"/>
          <w:szCs w:val="24"/>
        </w:rPr>
        <w:t>$1</w:t>
      </w:r>
      <w:r w:rsidR="0018555E">
        <w:rPr>
          <w:rFonts w:ascii="Times New Roman" w:hAnsi="Times New Roman" w:cs="Times New Roman"/>
          <w:b/>
          <w:iCs/>
          <w:color w:val="000000"/>
          <w:sz w:val="24"/>
          <w:szCs w:val="24"/>
        </w:rPr>
        <w:t>11,942</w:t>
      </w:r>
      <w:r w:rsidRPr="0094555B">
        <w:rPr>
          <w:rFonts w:ascii="Times New Roman" w:hAnsi="Times New Roman" w:cs="Times New Roman"/>
          <w:iCs/>
          <w:color w:val="000000"/>
          <w:sz w:val="24"/>
          <w:szCs w:val="24"/>
        </w:rPr>
        <w:t xml:space="preserve"> </w:t>
      </w:r>
      <w:r w:rsidRPr="0094555B" w:rsidR="00C84E08">
        <w:rPr>
          <w:rFonts w:ascii="Times New Roman" w:hAnsi="Times New Roman" w:cs="Times New Roman"/>
          <w:iCs/>
          <w:color w:val="000000"/>
          <w:sz w:val="24"/>
          <w:szCs w:val="24"/>
        </w:rPr>
        <w:t>(</w:t>
      </w:r>
      <w:r w:rsidRPr="0094555B">
        <w:rPr>
          <w:rFonts w:ascii="Times New Roman" w:hAnsi="Times New Roman" w:cs="Times New Roman"/>
          <w:iCs/>
          <w:color w:val="000000"/>
          <w:sz w:val="24"/>
          <w:szCs w:val="24"/>
        </w:rPr>
        <w:t xml:space="preserve">9 states x </w:t>
      </w:r>
      <w:r w:rsidRPr="0094555B" w:rsidR="00C84E08">
        <w:rPr>
          <w:rFonts w:ascii="Times New Roman" w:hAnsi="Times New Roman" w:cs="Times New Roman"/>
          <w:iCs/>
          <w:color w:val="000000"/>
          <w:sz w:val="24"/>
          <w:szCs w:val="24"/>
        </w:rPr>
        <w:t>[</w:t>
      </w:r>
      <w:r w:rsidRPr="0094555B">
        <w:rPr>
          <w:rFonts w:ascii="Times New Roman" w:hAnsi="Times New Roman" w:cs="Times New Roman"/>
          <w:iCs/>
          <w:color w:val="000000"/>
          <w:sz w:val="24"/>
          <w:szCs w:val="24"/>
        </w:rPr>
        <w:t xml:space="preserve">(125 </w:t>
      </w:r>
      <w:proofErr w:type="spellStart"/>
      <w:r w:rsidRPr="0094555B">
        <w:rPr>
          <w:rFonts w:ascii="Times New Roman" w:hAnsi="Times New Roman" w:cs="Times New Roman"/>
          <w:iCs/>
          <w:color w:val="000000"/>
          <w:sz w:val="24"/>
          <w:szCs w:val="24"/>
        </w:rPr>
        <w:t>hr</w:t>
      </w:r>
      <w:proofErr w:type="spellEnd"/>
      <w:r w:rsidRPr="0094555B">
        <w:rPr>
          <w:rFonts w:ascii="Times New Roman" w:hAnsi="Times New Roman" w:cs="Times New Roman"/>
          <w:iCs/>
          <w:color w:val="000000"/>
          <w:sz w:val="24"/>
          <w:szCs w:val="24"/>
        </w:rPr>
        <w:t xml:space="preserve"> x </w:t>
      </w:r>
      <w:r w:rsidRPr="0094555B" w:rsidR="00773C0B">
        <w:rPr>
          <w:rFonts w:ascii="Times New Roman" w:hAnsi="Times New Roman" w:cs="Times New Roman"/>
          <w:iCs/>
          <w:color w:val="000000"/>
          <w:sz w:val="24"/>
          <w:szCs w:val="24"/>
        </w:rPr>
        <w:t>$7</w:t>
      </w:r>
      <w:r w:rsidR="0018555E">
        <w:rPr>
          <w:rFonts w:ascii="Times New Roman" w:hAnsi="Times New Roman" w:cs="Times New Roman"/>
          <w:iCs/>
          <w:color w:val="000000"/>
          <w:sz w:val="24"/>
          <w:szCs w:val="24"/>
        </w:rPr>
        <w:t>5.32</w:t>
      </w:r>
      <w:r w:rsidRPr="0094555B">
        <w:rPr>
          <w:rFonts w:ascii="Times New Roman" w:hAnsi="Times New Roman" w:cs="Times New Roman"/>
          <w:iCs/>
          <w:color w:val="000000"/>
          <w:sz w:val="24"/>
          <w:szCs w:val="24"/>
        </w:rPr>
        <w:t>/</w:t>
      </w:r>
      <w:proofErr w:type="spellStart"/>
      <w:r w:rsidRPr="0094555B">
        <w:rPr>
          <w:rFonts w:ascii="Times New Roman" w:hAnsi="Times New Roman" w:cs="Times New Roman"/>
          <w:iCs/>
          <w:color w:val="000000"/>
          <w:sz w:val="24"/>
          <w:szCs w:val="24"/>
        </w:rPr>
        <w:t>hr</w:t>
      </w:r>
      <w:proofErr w:type="spellEnd"/>
      <w:r w:rsidRPr="0094555B">
        <w:rPr>
          <w:rFonts w:ascii="Times New Roman" w:hAnsi="Times New Roman" w:cs="Times New Roman"/>
          <w:iCs/>
          <w:color w:val="000000"/>
          <w:sz w:val="24"/>
          <w:szCs w:val="24"/>
        </w:rPr>
        <w:t xml:space="preserve">) + (25 </w:t>
      </w:r>
      <w:proofErr w:type="spellStart"/>
      <w:r w:rsidRPr="0094555B">
        <w:rPr>
          <w:rFonts w:ascii="Times New Roman" w:hAnsi="Times New Roman" w:cs="Times New Roman"/>
          <w:iCs/>
          <w:color w:val="000000"/>
          <w:sz w:val="24"/>
          <w:szCs w:val="24"/>
        </w:rPr>
        <w:t>hr</w:t>
      </w:r>
      <w:proofErr w:type="spellEnd"/>
      <w:r w:rsidRPr="0094555B">
        <w:rPr>
          <w:rFonts w:ascii="Times New Roman" w:hAnsi="Times New Roman" w:cs="Times New Roman"/>
          <w:iCs/>
          <w:color w:val="000000"/>
          <w:sz w:val="24"/>
          <w:szCs w:val="24"/>
        </w:rPr>
        <w:t xml:space="preserve"> x </w:t>
      </w:r>
      <w:r w:rsidRPr="0094555B" w:rsidR="00827481">
        <w:rPr>
          <w:rFonts w:ascii="Times New Roman" w:hAnsi="Times New Roman" w:cs="Times New Roman"/>
          <w:iCs/>
          <w:color w:val="000000"/>
          <w:sz w:val="24"/>
          <w:szCs w:val="24"/>
        </w:rPr>
        <w:t>$1</w:t>
      </w:r>
      <w:r w:rsidR="0018555E">
        <w:rPr>
          <w:rFonts w:ascii="Times New Roman" w:hAnsi="Times New Roman" w:cs="Times New Roman"/>
          <w:iCs/>
          <w:color w:val="000000"/>
          <w:sz w:val="24"/>
          <w:szCs w:val="24"/>
        </w:rPr>
        <w:t>20.90</w:t>
      </w:r>
      <w:r w:rsidRPr="0094555B">
        <w:rPr>
          <w:rFonts w:ascii="Times New Roman" w:hAnsi="Times New Roman" w:cs="Times New Roman"/>
          <w:iCs/>
          <w:color w:val="000000"/>
          <w:sz w:val="24"/>
          <w:szCs w:val="24"/>
        </w:rPr>
        <w:t>/</w:t>
      </w:r>
      <w:proofErr w:type="spellStart"/>
      <w:r w:rsidRPr="0094555B">
        <w:rPr>
          <w:rFonts w:ascii="Times New Roman" w:hAnsi="Times New Roman" w:cs="Times New Roman"/>
          <w:iCs/>
          <w:color w:val="000000"/>
          <w:sz w:val="24"/>
          <w:szCs w:val="24"/>
        </w:rPr>
        <w:t>hr</w:t>
      </w:r>
      <w:proofErr w:type="spellEnd"/>
      <w:r w:rsidRPr="0094555B">
        <w:rPr>
          <w:rFonts w:ascii="Times New Roman" w:hAnsi="Times New Roman" w:cs="Times New Roman"/>
          <w:iCs/>
          <w:color w:val="000000"/>
          <w:sz w:val="24"/>
          <w:szCs w:val="24"/>
        </w:rPr>
        <w:t>)</w:t>
      </w:r>
      <w:r w:rsidRPr="0094555B" w:rsidR="00C84E08">
        <w:rPr>
          <w:rFonts w:ascii="Times New Roman" w:hAnsi="Times New Roman" w:cs="Times New Roman"/>
          <w:iCs/>
          <w:color w:val="000000"/>
          <w:sz w:val="24"/>
          <w:szCs w:val="24"/>
        </w:rPr>
        <w:t>]</w:t>
      </w:r>
      <w:r w:rsidRPr="0094555B">
        <w:rPr>
          <w:rFonts w:ascii="Times New Roman" w:hAnsi="Times New Roman" w:cs="Times New Roman"/>
          <w:iCs/>
          <w:color w:val="000000"/>
          <w:sz w:val="24"/>
          <w:szCs w:val="24"/>
        </w:rPr>
        <w:t xml:space="preserve">). </w:t>
      </w:r>
      <w:r w:rsidRPr="0094555B">
        <w:rPr>
          <w:rFonts w:ascii="Times New Roman" w:hAnsi="Times New Roman" w:cs="Times New Roman"/>
          <w:b/>
          <w:sz w:val="24"/>
          <w:szCs w:val="24"/>
        </w:rPr>
        <w:t>(</w:t>
      </w:r>
      <w:r w:rsidRPr="0094555B" w:rsidR="005F5165">
        <w:rPr>
          <w:rFonts w:ascii="Times New Roman" w:hAnsi="Times New Roman" w:cs="Times New Roman"/>
          <w:b/>
          <w:sz w:val="24"/>
          <w:szCs w:val="24"/>
        </w:rPr>
        <w:t>ESTIMATE</w:t>
      </w:r>
      <w:r w:rsidRPr="0094555B">
        <w:rPr>
          <w:rFonts w:ascii="Times New Roman" w:hAnsi="Times New Roman" w:cs="Times New Roman"/>
          <w:b/>
          <w:sz w:val="24"/>
          <w:szCs w:val="24"/>
        </w:rPr>
        <w:t xml:space="preserve"> 12.64)</w:t>
      </w:r>
    </w:p>
    <w:p w:rsidRPr="0094555B" w:rsidR="00624B15" w:rsidP="0094555B" w:rsidRDefault="00624B15" w14:paraId="37E9CB19" w14:textId="77777777">
      <w:pPr>
        <w:rPr>
          <w:rFonts w:ascii="Times New Roman" w:hAnsi="Times New Roman" w:cs="Times New Roman"/>
          <w:iCs/>
          <w:color w:val="000000"/>
          <w:sz w:val="24"/>
          <w:szCs w:val="24"/>
        </w:rPr>
      </w:pPr>
      <w:r w:rsidRPr="0094555B">
        <w:rPr>
          <w:rFonts w:ascii="Times New Roman" w:hAnsi="Times New Roman" w:cs="Times New Roman"/>
          <w:color w:val="000000"/>
          <w:sz w:val="24"/>
          <w:szCs w:val="24"/>
        </w:rPr>
        <w:t xml:space="preserve">Section 438.818(d) requires states new to managed care and not previously submitting encounter data to MSIS to submit an Implementation plan.  There are currently only 8 states that do not use </w:t>
      </w:r>
      <w:r w:rsidRPr="0094555B">
        <w:rPr>
          <w:rFonts w:ascii="Times New Roman" w:hAnsi="Times New Roman" w:cs="Times New Roman"/>
          <w:iCs/>
          <w:color w:val="000000"/>
          <w:sz w:val="24"/>
          <w:szCs w:val="24"/>
        </w:rPr>
        <w:t xml:space="preserve">managed care </w:t>
      </w:r>
      <w:r w:rsidRPr="0094555B">
        <w:rPr>
          <w:rFonts w:ascii="Times New Roman" w:hAnsi="Times New Roman" w:cs="Times New Roman"/>
          <w:color w:val="000000"/>
          <w:sz w:val="24"/>
          <w:szCs w:val="24"/>
        </w:rPr>
        <w:t xml:space="preserve">thus these would be the only states that may have to submit an Implementation plan should they adopt managed care in the future.  </w:t>
      </w:r>
      <w:r w:rsidRPr="0094555B">
        <w:rPr>
          <w:rFonts w:ascii="Times New Roman" w:hAnsi="Times New Roman" w:cs="Times New Roman"/>
          <w:iCs/>
          <w:color w:val="000000"/>
          <w:sz w:val="24"/>
          <w:szCs w:val="24"/>
        </w:rPr>
        <w:t xml:space="preserve">With fewer than 10 respondents, the information collection requirements are exempt (5 CFR 1320.3(c)) from the requirements of the Paperwork Reduction Act of 1995 (44 U.S.C. 3501 et seq.). </w:t>
      </w:r>
    </w:p>
    <w:p w:rsidRPr="0094555B" w:rsidR="00D73D13" w:rsidP="0094555B" w:rsidRDefault="00D73D13" w14:paraId="3C1300FC" w14:textId="77777777">
      <w:pPr>
        <w:pStyle w:val="BodyText"/>
        <w:rPr>
          <w:rFonts w:ascii="Times New Roman" w:hAnsi="Times New Roman" w:cs="Times New Roman"/>
          <w:b/>
          <w:i/>
          <w:sz w:val="24"/>
          <w:szCs w:val="24"/>
        </w:rPr>
      </w:pPr>
    </w:p>
    <w:p w:rsidRPr="000A5712" w:rsidR="00D73D13" w:rsidP="0094555B" w:rsidRDefault="00D73D13" w14:paraId="7205CAC6" w14:textId="11BDDEA4">
      <w:pPr>
        <w:pStyle w:val="BodyText"/>
        <w:rPr>
          <w:rFonts w:ascii="Times New Roman" w:hAnsi="Times New Roman" w:cs="Times New Roman"/>
          <w:i/>
          <w:sz w:val="24"/>
          <w:szCs w:val="24"/>
        </w:rPr>
      </w:pPr>
      <w:r w:rsidRPr="000A5712">
        <w:rPr>
          <w:rFonts w:ascii="Times New Roman" w:hAnsi="Times New Roman" w:cs="Times New Roman"/>
          <w:i/>
          <w:sz w:val="24"/>
          <w:szCs w:val="24"/>
        </w:rPr>
        <w:lastRenderedPageBreak/>
        <w:t>12.3 Burden Summary</w:t>
      </w:r>
    </w:p>
    <w:p w:rsidR="00F7522D" w:rsidP="0094555B" w:rsidRDefault="00F7522D" w14:paraId="28ED4EB5" w14:textId="77777777">
      <w:pPr>
        <w:pStyle w:val="BodyText"/>
        <w:rPr>
          <w:rFonts w:ascii="Times New Roman" w:hAnsi="Times New Roman" w:cs="Times New Roman"/>
          <w:sz w:val="24"/>
          <w:szCs w:val="24"/>
        </w:rPr>
        <w:sectPr w:rsidR="00F7522D" w:rsidSect="002B7101">
          <w:footerReference w:type="default" r:id="rId13"/>
          <w:pgSz w:w="12240" w:h="15840"/>
          <w:pgMar w:top="1440" w:right="1440" w:bottom="1440" w:left="1440" w:header="720" w:footer="720" w:gutter="0"/>
          <w:cols w:space="720"/>
          <w:docGrid w:linePitch="360"/>
        </w:sectPr>
      </w:pPr>
    </w:p>
    <w:p w:rsidRPr="0094555B" w:rsidR="00D73D13" w:rsidP="0094555B" w:rsidRDefault="00D73D13" w14:paraId="0F0E749A" w14:textId="7D00F614">
      <w:pPr>
        <w:pStyle w:val="BodyText"/>
        <w:rPr>
          <w:rFonts w:ascii="Times New Roman" w:hAnsi="Times New Roman" w:cs="Times New Roman"/>
          <w:sz w:val="24"/>
          <w:szCs w:val="24"/>
        </w:rPr>
      </w:pPr>
    </w:p>
    <w:p w:rsidRPr="00622C90" w:rsidR="00B13026" w:rsidP="0094555B" w:rsidRDefault="00B13026" w14:paraId="23822E12" w14:textId="4C64B13F">
      <w:pPr>
        <w:pStyle w:val="TableCaption"/>
        <w:spacing w:after="0"/>
        <w:rPr>
          <w:b w:val="0"/>
        </w:rPr>
      </w:pPr>
      <w:bookmarkStart w:name="_Hlk511906242" w:id="54"/>
      <w:r w:rsidRPr="00622C90">
        <w:rPr>
          <w:b w:val="0"/>
        </w:rPr>
        <w:t>Summary of Annual Burden Estimates: State Government</w:t>
      </w:r>
    </w:p>
    <w:p w:rsidR="00F14558" w:rsidP="0094555B" w:rsidRDefault="00F14558" w14:paraId="4DF0945A" w14:textId="79557EFA">
      <w:pPr>
        <w:pStyle w:val="TableCaption"/>
        <w:spacing w:after="0"/>
        <w:rPr>
          <w:b w:val="0"/>
          <w:i/>
        </w:rPr>
      </w:pPr>
      <w:r w:rsidRPr="0094555B">
        <w:rPr>
          <w:b w:val="0"/>
          <w:i/>
        </w:rPr>
        <w:t>(Response Type: R=reporting; RK=recordkeeping; TPD=third-party disclosure)</w:t>
      </w:r>
    </w:p>
    <w:p w:rsidR="00E75905" w:rsidP="0094555B" w:rsidRDefault="00E75905" w14:paraId="5FF53F6B" w14:textId="5E8EDCC9">
      <w:pPr>
        <w:pStyle w:val="TableCaption"/>
        <w:spacing w:after="0"/>
        <w:rPr>
          <w:b w:val="0"/>
          <w:i/>
        </w:rPr>
      </w:pPr>
    </w:p>
    <w:tbl>
      <w:tblPr>
        <w:tblW w:w="13130" w:type="dxa"/>
        <w:tblLayout w:type="fixed"/>
        <w:tblLook w:val="04A0" w:firstRow="1" w:lastRow="0" w:firstColumn="1" w:lastColumn="0" w:noHBand="0" w:noVBand="1"/>
      </w:tblPr>
      <w:tblGrid>
        <w:gridCol w:w="1070"/>
        <w:gridCol w:w="1319"/>
        <w:gridCol w:w="1471"/>
        <w:gridCol w:w="1242"/>
        <w:gridCol w:w="1188"/>
        <w:gridCol w:w="1745"/>
        <w:gridCol w:w="986"/>
        <w:gridCol w:w="1805"/>
        <w:gridCol w:w="1134"/>
        <w:gridCol w:w="1170"/>
      </w:tblGrid>
      <w:tr w:rsidRPr="00E75905" w:rsidR="00E75905" w:rsidTr="00E75905" w14:paraId="27A9FE35" w14:textId="77777777">
        <w:trPr>
          <w:trHeight w:val="1068"/>
        </w:trPr>
        <w:tc>
          <w:tcPr>
            <w:tcW w:w="1070"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36140B" w:rsidR="00E75905" w:rsidP="00E75905" w:rsidRDefault="00E75905" w14:paraId="65CC7E24" w14:textId="77777777">
            <w:pPr>
              <w:spacing w:after="0" w:line="240" w:lineRule="auto"/>
              <w:jc w:val="center"/>
              <w:rPr>
                <w:rFonts w:ascii="Times New Roman" w:hAnsi="Times New Roman" w:eastAsia="Times New Roman" w:cs="Times New Roman"/>
                <w:color w:val="000000"/>
                <w:sz w:val="20"/>
                <w:szCs w:val="20"/>
              </w:rPr>
            </w:pPr>
            <w:r w:rsidRPr="0036140B">
              <w:rPr>
                <w:rFonts w:ascii="Times New Roman" w:hAnsi="Times New Roman" w:eastAsia="Times New Roman" w:cs="Times New Roman"/>
                <w:color w:val="000000"/>
                <w:sz w:val="20"/>
                <w:szCs w:val="20"/>
              </w:rPr>
              <w:t>Estimate #</w:t>
            </w:r>
          </w:p>
        </w:tc>
        <w:tc>
          <w:tcPr>
            <w:tcW w:w="1319" w:type="dxa"/>
            <w:tcBorders>
              <w:top w:val="single" w:color="auto" w:sz="8" w:space="0"/>
              <w:left w:val="nil"/>
              <w:bottom w:val="single" w:color="auto" w:sz="8" w:space="0"/>
              <w:right w:val="single" w:color="auto" w:sz="8" w:space="0"/>
            </w:tcBorders>
            <w:shd w:val="clear" w:color="auto" w:fill="auto"/>
            <w:vAlign w:val="center"/>
            <w:hideMark/>
          </w:tcPr>
          <w:p w:rsidRPr="0036140B" w:rsidR="00E75905" w:rsidP="00E75905" w:rsidRDefault="00E75905" w14:paraId="7110195F" w14:textId="77777777">
            <w:pPr>
              <w:spacing w:after="0" w:line="240" w:lineRule="auto"/>
              <w:jc w:val="center"/>
              <w:rPr>
                <w:rFonts w:ascii="Times New Roman" w:hAnsi="Times New Roman" w:eastAsia="Times New Roman" w:cs="Times New Roman"/>
                <w:color w:val="000000"/>
                <w:sz w:val="20"/>
                <w:szCs w:val="20"/>
              </w:rPr>
            </w:pPr>
            <w:r w:rsidRPr="0036140B">
              <w:rPr>
                <w:rFonts w:ascii="Times New Roman" w:hAnsi="Times New Roman" w:eastAsia="Times New Roman" w:cs="Times New Roman"/>
                <w:color w:val="000000"/>
                <w:sz w:val="20"/>
                <w:szCs w:val="20"/>
              </w:rPr>
              <w:t>CFR Section</w:t>
            </w:r>
          </w:p>
        </w:tc>
        <w:tc>
          <w:tcPr>
            <w:tcW w:w="1471" w:type="dxa"/>
            <w:tcBorders>
              <w:top w:val="single" w:color="auto" w:sz="8" w:space="0"/>
              <w:left w:val="nil"/>
              <w:bottom w:val="single" w:color="auto" w:sz="8" w:space="0"/>
              <w:right w:val="single" w:color="auto" w:sz="8" w:space="0"/>
            </w:tcBorders>
            <w:shd w:val="clear" w:color="auto" w:fill="auto"/>
            <w:noWrap/>
            <w:vAlign w:val="center"/>
            <w:hideMark/>
          </w:tcPr>
          <w:p w:rsidRPr="0036140B" w:rsidR="00E75905" w:rsidP="00E75905" w:rsidRDefault="00E75905" w14:paraId="11AA39BD" w14:textId="77777777">
            <w:pPr>
              <w:spacing w:after="0" w:line="240" w:lineRule="auto"/>
              <w:jc w:val="center"/>
              <w:rPr>
                <w:rFonts w:ascii="Times New Roman" w:hAnsi="Times New Roman" w:eastAsia="Times New Roman" w:cs="Times New Roman"/>
                <w:color w:val="000000"/>
                <w:sz w:val="20"/>
                <w:szCs w:val="20"/>
              </w:rPr>
            </w:pPr>
            <w:r w:rsidRPr="0036140B">
              <w:rPr>
                <w:rFonts w:ascii="Times New Roman" w:hAnsi="Times New Roman" w:eastAsia="Times New Roman" w:cs="Times New Roman"/>
                <w:color w:val="000000"/>
                <w:sz w:val="20"/>
                <w:szCs w:val="20"/>
              </w:rPr>
              <w:t>Respondents</w:t>
            </w:r>
          </w:p>
        </w:tc>
        <w:tc>
          <w:tcPr>
            <w:tcW w:w="1242" w:type="dxa"/>
            <w:tcBorders>
              <w:top w:val="single" w:color="auto" w:sz="8" w:space="0"/>
              <w:left w:val="nil"/>
              <w:bottom w:val="single" w:color="auto" w:sz="8" w:space="0"/>
              <w:right w:val="single" w:color="auto" w:sz="8" w:space="0"/>
            </w:tcBorders>
            <w:shd w:val="clear" w:color="auto" w:fill="auto"/>
            <w:noWrap/>
            <w:vAlign w:val="center"/>
            <w:hideMark/>
          </w:tcPr>
          <w:p w:rsidRPr="0036140B" w:rsidR="00E75905" w:rsidP="00E75905" w:rsidRDefault="00E75905" w14:paraId="4A75D49C" w14:textId="77777777">
            <w:pPr>
              <w:spacing w:after="0" w:line="240" w:lineRule="auto"/>
              <w:jc w:val="center"/>
              <w:rPr>
                <w:rFonts w:ascii="Times New Roman" w:hAnsi="Times New Roman" w:eastAsia="Times New Roman" w:cs="Times New Roman"/>
                <w:color w:val="000000"/>
                <w:sz w:val="20"/>
                <w:szCs w:val="20"/>
              </w:rPr>
            </w:pPr>
            <w:r w:rsidRPr="0036140B">
              <w:rPr>
                <w:rFonts w:ascii="Times New Roman" w:hAnsi="Times New Roman" w:eastAsia="Times New Roman" w:cs="Times New Roman"/>
                <w:color w:val="000000"/>
                <w:sz w:val="20"/>
                <w:szCs w:val="20"/>
              </w:rPr>
              <w:t>Total Responses</w:t>
            </w:r>
          </w:p>
        </w:tc>
        <w:tc>
          <w:tcPr>
            <w:tcW w:w="1188" w:type="dxa"/>
            <w:tcBorders>
              <w:top w:val="single" w:color="auto" w:sz="8" w:space="0"/>
              <w:left w:val="nil"/>
              <w:bottom w:val="single" w:color="auto" w:sz="8" w:space="0"/>
              <w:right w:val="single" w:color="auto" w:sz="8" w:space="0"/>
            </w:tcBorders>
            <w:shd w:val="clear" w:color="auto" w:fill="auto"/>
            <w:vAlign w:val="center"/>
            <w:hideMark/>
          </w:tcPr>
          <w:p w:rsidRPr="0036140B" w:rsidR="00E75905" w:rsidP="00E75905" w:rsidRDefault="00E75905" w14:paraId="256A536B" w14:textId="77777777">
            <w:pPr>
              <w:spacing w:after="0" w:line="240" w:lineRule="auto"/>
              <w:jc w:val="center"/>
              <w:rPr>
                <w:rFonts w:ascii="Times New Roman" w:hAnsi="Times New Roman" w:eastAsia="Times New Roman" w:cs="Times New Roman"/>
                <w:color w:val="000000"/>
                <w:sz w:val="20"/>
                <w:szCs w:val="20"/>
              </w:rPr>
            </w:pPr>
            <w:r w:rsidRPr="0036140B">
              <w:rPr>
                <w:rFonts w:ascii="Times New Roman" w:hAnsi="Times New Roman" w:eastAsia="Times New Roman" w:cs="Times New Roman"/>
                <w:color w:val="000000"/>
                <w:sz w:val="20"/>
                <w:szCs w:val="20"/>
              </w:rPr>
              <w:t>Burden per Response (</w:t>
            </w:r>
            <w:proofErr w:type="spellStart"/>
            <w:r w:rsidRPr="0036140B">
              <w:rPr>
                <w:rFonts w:ascii="Times New Roman" w:hAnsi="Times New Roman" w:eastAsia="Times New Roman" w:cs="Times New Roman"/>
                <w:color w:val="000000"/>
                <w:sz w:val="20"/>
                <w:szCs w:val="20"/>
              </w:rPr>
              <w:t>hr</w:t>
            </w:r>
            <w:proofErr w:type="spellEnd"/>
            <w:r w:rsidRPr="0036140B">
              <w:rPr>
                <w:rFonts w:ascii="Times New Roman" w:hAnsi="Times New Roman" w:eastAsia="Times New Roman" w:cs="Times New Roman"/>
                <w:color w:val="000000"/>
                <w:sz w:val="20"/>
                <w:szCs w:val="20"/>
              </w:rPr>
              <w:t>)</w:t>
            </w:r>
          </w:p>
        </w:tc>
        <w:tc>
          <w:tcPr>
            <w:tcW w:w="1745" w:type="dxa"/>
            <w:tcBorders>
              <w:top w:val="single" w:color="auto" w:sz="8" w:space="0"/>
              <w:left w:val="nil"/>
              <w:bottom w:val="single" w:color="auto" w:sz="8" w:space="0"/>
              <w:right w:val="single" w:color="auto" w:sz="8" w:space="0"/>
            </w:tcBorders>
            <w:shd w:val="clear" w:color="auto" w:fill="auto"/>
            <w:noWrap/>
            <w:vAlign w:val="center"/>
            <w:hideMark/>
          </w:tcPr>
          <w:p w:rsidRPr="0036140B" w:rsidR="00E75905" w:rsidP="00E75905" w:rsidRDefault="00E75905" w14:paraId="7B0EF52D" w14:textId="77777777">
            <w:pPr>
              <w:spacing w:after="0" w:line="240" w:lineRule="auto"/>
              <w:jc w:val="center"/>
              <w:rPr>
                <w:rFonts w:ascii="Times New Roman" w:hAnsi="Times New Roman" w:eastAsia="Times New Roman" w:cs="Times New Roman"/>
                <w:color w:val="000000"/>
                <w:sz w:val="20"/>
                <w:szCs w:val="20"/>
              </w:rPr>
            </w:pPr>
            <w:r w:rsidRPr="0036140B">
              <w:rPr>
                <w:rFonts w:ascii="Times New Roman" w:hAnsi="Times New Roman" w:eastAsia="Times New Roman" w:cs="Times New Roman"/>
                <w:color w:val="000000"/>
                <w:sz w:val="20"/>
                <w:szCs w:val="20"/>
              </w:rPr>
              <w:t>Total Annual Time (</w:t>
            </w:r>
            <w:proofErr w:type="spellStart"/>
            <w:r w:rsidRPr="0036140B">
              <w:rPr>
                <w:rFonts w:ascii="Times New Roman" w:hAnsi="Times New Roman" w:eastAsia="Times New Roman" w:cs="Times New Roman"/>
                <w:color w:val="000000"/>
                <w:sz w:val="20"/>
                <w:szCs w:val="20"/>
              </w:rPr>
              <w:t>hr</w:t>
            </w:r>
            <w:proofErr w:type="spellEnd"/>
            <w:r w:rsidRPr="0036140B">
              <w:rPr>
                <w:rFonts w:ascii="Times New Roman" w:hAnsi="Times New Roman" w:eastAsia="Times New Roman" w:cs="Times New Roman"/>
                <w:color w:val="000000"/>
                <w:sz w:val="20"/>
                <w:szCs w:val="20"/>
              </w:rPr>
              <w:t>)</w:t>
            </w:r>
          </w:p>
        </w:tc>
        <w:tc>
          <w:tcPr>
            <w:tcW w:w="986" w:type="dxa"/>
            <w:tcBorders>
              <w:top w:val="single" w:color="auto" w:sz="8" w:space="0"/>
              <w:left w:val="nil"/>
              <w:bottom w:val="single" w:color="auto" w:sz="8" w:space="0"/>
              <w:right w:val="single" w:color="auto" w:sz="8" w:space="0"/>
            </w:tcBorders>
            <w:shd w:val="clear" w:color="auto" w:fill="auto"/>
            <w:vAlign w:val="center"/>
            <w:hideMark/>
          </w:tcPr>
          <w:p w:rsidRPr="0036140B" w:rsidR="00E75905" w:rsidP="00E75905" w:rsidRDefault="00E75905" w14:paraId="07E0C03A" w14:textId="77777777">
            <w:pPr>
              <w:spacing w:after="0" w:line="240" w:lineRule="auto"/>
              <w:jc w:val="center"/>
              <w:rPr>
                <w:rFonts w:ascii="Times New Roman" w:hAnsi="Times New Roman" w:eastAsia="Times New Roman" w:cs="Times New Roman"/>
                <w:color w:val="000000"/>
                <w:sz w:val="20"/>
                <w:szCs w:val="20"/>
              </w:rPr>
            </w:pPr>
            <w:r w:rsidRPr="0036140B">
              <w:rPr>
                <w:rFonts w:ascii="Times New Roman" w:hAnsi="Times New Roman" w:eastAsia="Times New Roman" w:cs="Times New Roman"/>
                <w:color w:val="000000"/>
                <w:sz w:val="20"/>
                <w:szCs w:val="20"/>
              </w:rPr>
              <w:t>Labor Rate ($/</w:t>
            </w:r>
            <w:proofErr w:type="spellStart"/>
            <w:r w:rsidRPr="0036140B">
              <w:rPr>
                <w:rFonts w:ascii="Times New Roman" w:hAnsi="Times New Roman" w:eastAsia="Times New Roman" w:cs="Times New Roman"/>
                <w:color w:val="000000"/>
                <w:sz w:val="20"/>
                <w:szCs w:val="20"/>
              </w:rPr>
              <w:t>hr</w:t>
            </w:r>
            <w:proofErr w:type="spellEnd"/>
            <w:r w:rsidRPr="0036140B">
              <w:rPr>
                <w:rFonts w:ascii="Times New Roman" w:hAnsi="Times New Roman" w:eastAsia="Times New Roman" w:cs="Times New Roman"/>
                <w:color w:val="000000"/>
                <w:sz w:val="20"/>
                <w:szCs w:val="20"/>
              </w:rPr>
              <w:t>)</w:t>
            </w:r>
          </w:p>
        </w:tc>
        <w:tc>
          <w:tcPr>
            <w:tcW w:w="1805" w:type="dxa"/>
            <w:tcBorders>
              <w:top w:val="single" w:color="auto" w:sz="8" w:space="0"/>
              <w:left w:val="nil"/>
              <w:bottom w:val="single" w:color="auto" w:sz="8" w:space="0"/>
              <w:right w:val="single" w:color="auto" w:sz="8" w:space="0"/>
            </w:tcBorders>
            <w:shd w:val="clear" w:color="auto" w:fill="auto"/>
            <w:noWrap/>
            <w:vAlign w:val="center"/>
            <w:hideMark/>
          </w:tcPr>
          <w:p w:rsidRPr="0036140B" w:rsidR="00E75905" w:rsidP="00E75905" w:rsidRDefault="00E75905" w14:paraId="543B34BB" w14:textId="77777777">
            <w:pPr>
              <w:spacing w:after="0" w:line="240" w:lineRule="auto"/>
              <w:jc w:val="center"/>
              <w:rPr>
                <w:rFonts w:ascii="Times New Roman" w:hAnsi="Times New Roman" w:eastAsia="Times New Roman" w:cs="Times New Roman"/>
                <w:color w:val="000000"/>
                <w:sz w:val="20"/>
                <w:szCs w:val="20"/>
              </w:rPr>
            </w:pPr>
            <w:r w:rsidRPr="0036140B">
              <w:rPr>
                <w:rFonts w:ascii="Times New Roman" w:hAnsi="Times New Roman" w:eastAsia="Times New Roman" w:cs="Times New Roman"/>
                <w:color w:val="000000"/>
                <w:sz w:val="20"/>
                <w:szCs w:val="20"/>
              </w:rPr>
              <w:t>Total Annual Cost ($)</w:t>
            </w:r>
          </w:p>
        </w:tc>
        <w:tc>
          <w:tcPr>
            <w:tcW w:w="1134" w:type="dxa"/>
            <w:tcBorders>
              <w:top w:val="single" w:color="auto" w:sz="8" w:space="0"/>
              <w:left w:val="nil"/>
              <w:bottom w:val="single" w:color="auto" w:sz="8" w:space="0"/>
              <w:right w:val="single" w:color="auto" w:sz="8" w:space="0"/>
            </w:tcBorders>
            <w:shd w:val="clear" w:color="auto" w:fill="auto"/>
            <w:vAlign w:val="center"/>
            <w:hideMark/>
          </w:tcPr>
          <w:p w:rsidRPr="0036140B" w:rsidR="00E75905" w:rsidP="00E75905" w:rsidRDefault="00E75905" w14:paraId="7E62C498" w14:textId="77777777">
            <w:pPr>
              <w:spacing w:after="0" w:line="240" w:lineRule="auto"/>
              <w:jc w:val="center"/>
              <w:rPr>
                <w:rFonts w:ascii="Times New Roman" w:hAnsi="Times New Roman" w:eastAsia="Times New Roman" w:cs="Times New Roman"/>
                <w:color w:val="000000"/>
                <w:sz w:val="20"/>
                <w:szCs w:val="20"/>
              </w:rPr>
            </w:pPr>
            <w:r w:rsidRPr="0036140B">
              <w:rPr>
                <w:rFonts w:ascii="Times New Roman" w:hAnsi="Times New Roman" w:eastAsia="Times New Roman" w:cs="Times New Roman"/>
                <w:color w:val="000000"/>
                <w:sz w:val="20"/>
                <w:szCs w:val="20"/>
              </w:rPr>
              <w:t>Response Type</w:t>
            </w:r>
          </w:p>
        </w:tc>
        <w:tc>
          <w:tcPr>
            <w:tcW w:w="1170" w:type="dxa"/>
            <w:tcBorders>
              <w:top w:val="single" w:color="auto" w:sz="8" w:space="0"/>
              <w:left w:val="nil"/>
              <w:bottom w:val="single" w:color="auto" w:sz="8" w:space="0"/>
              <w:right w:val="single" w:color="auto" w:sz="8" w:space="0"/>
            </w:tcBorders>
            <w:shd w:val="clear" w:color="auto" w:fill="auto"/>
            <w:vAlign w:val="center"/>
            <w:hideMark/>
          </w:tcPr>
          <w:p w:rsidRPr="0036140B" w:rsidR="00E75905" w:rsidP="00E75905" w:rsidRDefault="00E75905" w14:paraId="2E1CF32E" w14:textId="77777777">
            <w:pPr>
              <w:spacing w:after="0" w:line="240" w:lineRule="auto"/>
              <w:jc w:val="center"/>
              <w:rPr>
                <w:rFonts w:ascii="Times New Roman" w:hAnsi="Times New Roman" w:eastAsia="Times New Roman" w:cs="Times New Roman"/>
                <w:color w:val="000000"/>
                <w:sz w:val="20"/>
                <w:szCs w:val="20"/>
              </w:rPr>
            </w:pPr>
            <w:r w:rsidRPr="0036140B">
              <w:rPr>
                <w:rFonts w:ascii="Times New Roman" w:hAnsi="Times New Roman" w:eastAsia="Times New Roman" w:cs="Times New Roman"/>
                <w:color w:val="000000"/>
                <w:sz w:val="20"/>
                <w:szCs w:val="20"/>
              </w:rPr>
              <w:t>Frequency</w:t>
            </w:r>
          </w:p>
        </w:tc>
      </w:tr>
      <w:tr w:rsidRPr="00E75905" w:rsidR="00E75905" w:rsidTr="00E75905" w14:paraId="3656BDA4" w14:textId="77777777">
        <w:trPr>
          <w:trHeight w:val="1068"/>
        </w:trPr>
        <w:tc>
          <w:tcPr>
            <w:tcW w:w="1070" w:type="dxa"/>
            <w:tcBorders>
              <w:top w:val="nil"/>
              <w:left w:val="single" w:color="auto" w:sz="8" w:space="0"/>
              <w:bottom w:val="nil"/>
              <w:right w:val="single" w:color="auto" w:sz="8" w:space="0"/>
            </w:tcBorders>
            <w:shd w:val="clear" w:color="auto" w:fill="auto"/>
            <w:vAlign w:val="center"/>
            <w:hideMark/>
          </w:tcPr>
          <w:p w:rsidRPr="0036140B" w:rsidR="00E75905" w:rsidP="00E75905" w:rsidRDefault="00E75905" w14:paraId="3F8A1092" w14:textId="77777777">
            <w:pPr>
              <w:spacing w:after="0" w:line="240" w:lineRule="auto"/>
              <w:jc w:val="center"/>
              <w:rPr>
                <w:rFonts w:ascii="Times New Roman" w:hAnsi="Times New Roman" w:eastAsia="Times New Roman" w:cs="Times New Roman"/>
                <w:color w:val="000000"/>
                <w:sz w:val="20"/>
                <w:szCs w:val="20"/>
              </w:rPr>
            </w:pPr>
            <w:r w:rsidRPr="0036140B">
              <w:rPr>
                <w:rFonts w:ascii="Times New Roman" w:hAnsi="Times New Roman" w:eastAsia="Times New Roman" w:cs="Times New Roman"/>
                <w:color w:val="000000"/>
                <w:sz w:val="20"/>
                <w:szCs w:val="20"/>
              </w:rPr>
              <w:t>12.2</w:t>
            </w:r>
          </w:p>
        </w:tc>
        <w:tc>
          <w:tcPr>
            <w:tcW w:w="1319" w:type="dxa"/>
            <w:tcBorders>
              <w:top w:val="nil"/>
              <w:left w:val="nil"/>
              <w:bottom w:val="single" w:color="auto" w:sz="8" w:space="0"/>
              <w:right w:val="single" w:color="auto" w:sz="8" w:space="0"/>
            </w:tcBorders>
            <w:shd w:val="clear" w:color="auto" w:fill="auto"/>
            <w:vAlign w:val="center"/>
            <w:hideMark/>
          </w:tcPr>
          <w:p w:rsidRPr="0036140B" w:rsidR="00E75905" w:rsidP="00E75905" w:rsidRDefault="00E75905" w14:paraId="2EAA784C" w14:textId="77777777">
            <w:pPr>
              <w:spacing w:after="0" w:line="240" w:lineRule="auto"/>
              <w:jc w:val="center"/>
              <w:rPr>
                <w:rFonts w:ascii="Times New Roman" w:hAnsi="Times New Roman" w:eastAsia="Times New Roman" w:cs="Times New Roman"/>
                <w:color w:val="000000"/>
                <w:sz w:val="20"/>
                <w:szCs w:val="20"/>
              </w:rPr>
            </w:pPr>
            <w:r w:rsidRPr="0036140B">
              <w:rPr>
                <w:rFonts w:ascii="Times New Roman" w:hAnsi="Times New Roman" w:eastAsia="Times New Roman" w:cs="Times New Roman"/>
                <w:color w:val="000000"/>
                <w:sz w:val="20"/>
                <w:szCs w:val="20"/>
              </w:rPr>
              <w:t>438.5, Rate Standards</w:t>
            </w:r>
          </w:p>
        </w:tc>
        <w:tc>
          <w:tcPr>
            <w:tcW w:w="1471" w:type="dxa"/>
            <w:tcBorders>
              <w:top w:val="nil"/>
              <w:left w:val="nil"/>
              <w:bottom w:val="single" w:color="auto" w:sz="8" w:space="0"/>
              <w:right w:val="single" w:color="auto" w:sz="8" w:space="0"/>
            </w:tcBorders>
            <w:shd w:val="clear" w:color="auto" w:fill="auto"/>
            <w:noWrap/>
            <w:vAlign w:val="center"/>
            <w:hideMark/>
          </w:tcPr>
          <w:p w:rsidRPr="0036140B" w:rsidR="00E75905" w:rsidP="00E75905" w:rsidRDefault="00E75905" w14:paraId="5CD5CB7B" w14:textId="77777777">
            <w:pPr>
              <w:spacing w:after="0" w:line="240" w:lineRule="auto"/>
              <w:jc w:val="center"/>
              <w:rPr>
                <w:rFonts w:ascii="Times New Roman" w:hAnsi="Times New Roman" w:eastAsia="Times New Roman" w:cs="Times New Roman"/>
                <w:color w:val="000000"/>
                <w:sz w:val="20"/>
                <w:szCs w:val="20"/>
              </w:rPr>
            </w:pPr>
            <w:r w:rsidRPr="0036140B">
              <w:rPr>
                <w:rFonts w:ascii="Times New Roman" w:hAnsi="Times New Roman" w:eastAsia="Times New Roman" w:cs="Times New Roman"/>
                <w:color w:val="000000"/>
                <w:sz w:val="20"/>
                <w:szCs w:val="20"/>
              </w:rPr>
              <w:t>41</w:t>
            </w:r>
          </w:p>
        </w:tc>
        <w:tc>
          <w:tcPr>
            <w:tcW w:w="1242" w:type="dxa"/>
            <w:tcBorders>
              <w:top w:val="nil"/>
              <w:left w:val="nil"/>
              <w:bottom w:val="single" w:color="auto" w:sz="8" w:space="0"/>
              <w:right w:val="single" w:color="auto" w:sz="8" w:space="0"/>
            </w:tcBorders>
            <w:shd w:val="clear" w:color="auto" w:fill="auto"/>
            <w:noWrap/>
            <w:vAlign w:val="center"/>
            <w:hideMark/>
          </w:tcPr>
          <w:p w:rsidRPr="0036140B" w:rsidR="00E75905" w:rsidP="00E75905" w:rsidRDefault="00E75905" w14:paraId="10EC1FA7" w14:textId="77777777">
            <w:pPr>
              <w:spacing w:after="0" w:line="240" w:lineRule="auto"/>
              <w:jc w:val="center"/>
              <w:rPr>
                <w:rFonts w:ascii="Times New Roman" w:hAnsi="Times New Roman" w:eastAsia="Times New Roman" w:cs="Times New Roman"/>
                <w:color w:val="000000"/>
                <w:sz w:val="20"/>
                <w:szCs w:val="20"/>
              </w:rPr>
            </w:pPr>
            <w:r w:rsidRPr="0036140B">
              <w:rPr>
                <w:rFonts w:ascii="Times New Roman" w:hAnsi="Times New Roman" w:eastAsia="Times New Roman" w:cs="Times New Roman"/>
                <w:color w:val="000000"/>
                <w:sz w:val="20"/>
                <w:szCs w:val="20"/>
              </w:rPr>
              <w:t>50</w:t>
            </w:r>
          </w:p>
        </w:tc>
        <w:tc>
          <w:tcPr>
            <w:tcW w:w="1188" w:type="dxa"/>
            <w:tcBorders>
              <w:top w:val="nil"/>
              <w:left w:val="nil"/>
              <w:bottom w:val="single" w:color="auto" w:sz="8" w:space="0"/>
              <w:right w:val="single" w:color="auto" w:sz="8" w:space="0"/>
            </w:tcBorders>
            <w:shd w:val="clear" w:color="auto" w:fill="auto"/>
            <w:vAlign w:val="center"/>
            <w:hideMark/>
          </w:tcPr>
          <w:p w:rsidRPr="0036140B" w:rsidR="00E75905" w:rsidP="00E75905" w:rsidRDefault="00E75905" w14:paraId="4D8707B5" w14:textId="77777777">
            <w:pPr>
              <w:spacing w:after="0" w:line="240" w:lineRule="auto"/>
              <w:jc w:val="center"/>
              <w:rPr>
                <w:rFonts w:ascii="Times New Roman" w:hAnsi="Times New Roman" w:eastAsia="Times New Roman" w:cs="Times New Roman"/>
                <w:color w:val="000000"/>
                <w:sz w:val="20"/>
                <w:szCs w:val="20"/>
              </w:rPr>
            </w:pPr>
            <w:r w:rsidRPr="0036140B">
              <w:rPr>
                <w:rFonts w:ascii="Times New Roman" w:hAnsi="Times New Roman" w:eastAsia="Times New Roman" w:cs="Times New Roman"/>
                <w:color w:val="000000"/>
                <w:sz w:val="20"/>
                <w:szCs w:val="20"/>
              </w:rPr>
              <w:t>12</w:t>
            </w:r>
          </w:p>
        </w:tc>
        <w:tc>
          <w:tcPr>
            <w:tcW w:w="1745" w:type="dxa"/>
            <w:tcBorders>
              <w:top w:val="nil"/>
              <w:left w:val="nil"/>
              <w:bottom w:val="single" w:color="auto" w:sz="8" w:space="0"/>
              <w:right w:val="single" w:color="auto" w:sz="8" w:space="0"/>
            </w:tcBorders>
            <w:shd w:val="clear" w:color="auto" w:fill="auto"/>
            <w:noWrap/>
            <w:vAlign w:val="center"/>
            <w:hideMark/>
          </w:tcPr>
          <w:p w:rsidRPr="0036140B" w:rsidR="00E75905" w:rsidP="00E75905" w:rsidRDefault="00E75905" w14:paraId="503F93E1" w14:textId="77777777">
            <w:pPr>
              <w:spacing w:after="0" w:line="240" w:lineRule="auto"/>
              <w:jc w:val="center"/>
              <w:rPr>
                <w:rFonts w:ascii="Times New Roman" w:hAnsi="Times New Roman" w:eastAsia="Times New Roman" w:cs="Times New Roman"/>
                <w:color w:val="000000"/>
                <w:sz w:val="20"/>
                <w:szCs w:val="20"/>
              </w:rPr>
            </w:pPr>
            <w:r w:rsidRPr="0036140B">
              <w:rPr>
                <w:rFonts w:ascii="Times New Roman" w:hAnsi="Times New Roman" w:eastAsia="Times New Roman" w:cs="Times New Roman"/>
                <w:color w:val="000000"/>
                <w:sz w:val="20"/>
                <w:szCs w:val="20"/>
              </w:rPr>
              <w:t>600</w:t>
            </w:r>
          </w:p>
        </w:tc>
        <w:tc>
          <w:tcPr>
            <w:tcW w:w="986" w:type="dxa"/>
            <w:tcBorders>
              <w:top w:val="nil"/>
              <w:left w:val="nil"/>
              <w:bottom w:val="single" w:color="auto" w:sz="8" w:space="0"/>
              <w:right w:val="single" w:color="auto" w:sz="8" w:space="0"/>
            </w:tcBorders>
            <w:shd w:val="clear" w:color="auto" w:fill="auto"/>
            <w:vAlign w:val="center"/>
            <w:hideMark/>
          </w:tcPr>
          <w:p w:rsidRPr="0036140B" w:rsidR="00E75905" w:rsidP="00E75905" w:rsidRDefault="00E75905" w14:paraId="3218F282" w14:textId="77777777">
            <w:pPr>
              <w:spacing w:after="0" w:line="240" w:lineRule="auto"/>
              <w:jc w:val="center"/>
              <w:rPr>
                <w:rFonts w:ascii="Times New Roman" w:hAnsi="Times New Roman" w:eastAsia="Times New Roman" w:cs="Times New Roman"/>
                <w:color w:val="000000"/>
                <w:sz w:val="20"/>
                <w:szCs w:val="20"/>
              </w:rPr>
            </w:pPr>
            <w:r w:rsidRPr="0036140B">
              <w:rPr>
                <w:rFonts w:ascii="Times New Roman" w:hAnsi="Times New Roman" w:eastAsia="Times New Roman" w:cs="Times New Roman"/>
                <w:color w:val="000000"/>
                <w:sz w:val="20"/>
                <w:szCs w:val="20"/>
              </w:rPr>
              <w:t>Varies (see narrative)</w:t>
            </w:r>
          </w:p>
        </w:tc>
        <w:tc>
          <w:tcPr>
            <w:tcW w:w="1805" w:type="dxa"/>
            <w:tcBorders>
              <w:top w:val="nil"/>
              <w:left w:val="nil"/>
              <w:bottom w:val="single" w:color="auto" w:sz="8" w:space="0"/>
              <w:right w:val="single" w:color="auto" w:sz="8" w:space="0"/>
            </w:tcBorders>
            <w:shd w:val="clear" w:color="auto" w:fill="auto"/>
            <w:noWrap/>
            <w:vAlign w:val="center"/>
            <w:hideMark/>
          </w:tcPr>
          <w:p w:rsidRPr="0036140B" w:rsidR="00E75905" w:rsidP="00E75905" w:rsidRDefault="00E75905" w14:paraId="021C41EB" w14:textId="77777777">
            <w:pPr>
              <w:spacing w:after="0" w:line="240" w:lineRule="auto"/>
              <w:jc w:val="center"/>
              <w:rPr>
                <w:rFonts w:ascii="Times New Roman" w:hAnsi="Times New Roman" w:eastAsia="Times New Roman" w:cs="Times New Roman"/>
                <w:color w:val="000000"/>
                <w:sz w:val="20"/>
                <w:szCs w:val="20"/>
              </w:rPr>
            </w:pPr>
            <w:r w:rsidRPr="0036140B">
              <w:rPr>
                <w:rFonts w:ascii="Times New Roman" w:hAnsi="Times New Roman" w:eastAsia="Times New Roman" w:cs="Times New Roman"/>
                <w:color w:val="000000"/>
                <w:sz w:val="20"/>
                <w:szCs w:val="20"/>
              </w:rPr>
              <w:t>71,200</w:t>
            </w:r>
          </w:p>
        </w:tc>
        <w:tc>
          <w:tcPr>
            <w:tcW w:w="1134" w:type="dxa"/>
            <w:tcBorders>
              <w:top w:val="nil"/>
              <w:left w:val="nil"/>
              <w:bottom w:val="single" w:color="auto" w:sz="8" w:space="0"/>
              <w:right w:val="single" w:color="auto" w:sz="8" w:space="0"/>
            </w:tcBorders>
            <w:shd w:val="clear" w:color="auto" w:fill="auto"/>
            <w:vAlign w:val="center"/>
            <w:hideMark/>
          </w:tcPr>
          <w:p w:rsidRPr="0036140B" w:rsidR="00E75905" w:rsidP="00E75905" w:rsidRDefault="00E75905" w14:paraId="11197BF0" w14:textId="77777777">
            <w:pPr>
              <w:spacing w:after="0" w:line="240" w:lineRule="auto"/>
              <w:jc w:val="center"/>
              <w:rPr>
                <w:rFonts w:ascii="Times New Roman" w:hAnsi="Times New Roman" w:eastAsia="Times New Roman" w:cs="Times New Roman"/>
                <w:color w:val="000000"/>
                <w:sz w:val="20"/>
                <w:szCs w:val="20"/>
              </w:rPr>
            </w:pPr>
            <w:r w:rsidRPr="0036140B">
              <w:rPr>
                <w:rFonts w:ascii="Times New Roman" w:hAnsi="Times New Roman" w:eastAsia="Times New Roman" w:cs="Times New Roman"/>
                <w:color w:val="000000"/>
                <w:sz w:val="20"/>
                <w:szCs w:val="20"/>
              </w:rPr>
              <w:t>R</w:t>
            </w:r>
          </w:p>
        </w:tc>
        <w:tc>
          <w:tcPr>
            <w:tcW w:w="1170" w:type="dxa"/>
            <w:tcBorders>
              <w:top w:val="nil"/>
              <w:left w:val="nil"/>
              <w:bottom w:val="single" w:color="auto" w:sz="8" w:space="0"/>
              <w:right w:val="single" w:color="auto" w:sz="8" w:space="0"/>
            </w:tcBorders>
            <w:shd w:val="clear" w:color="auto" w:fill="auto"/>
            <w:vAlign w:val="center"/>
            <w:hideMark/>
          </w:tcPr>
          <w:p w:rsidRPr="0036140B" w:rsidR="00E75905" w:rsidP="00E75905" w:rsidRDefault="00E75905" w14:paraId="19B45612" w14:textId="77777777">
            <w:pPr>
              <w:spacing w:after="0" w:line="240" w:lineRule="auto"/>
              <w:jc w:val="center"/>
              <w:rPr>
                <w:rFonts w:ascii="Times New Roman" w:hAnsi="Times New Roman" w:eastAsia="Times New Roman" w:cs="Times New Roman"/>
                <w:color w:val="000000"/>
                <w:sz w:val="20"/>
                <w:szCs w:val="20"/>
              </w:rPr>
            </w:pPr>
            <w:r w:rsidRPr="0036140B">
              <w:rPr>
                <w:rFonts w:ascii="Times New Roman" w:hAnsi="Times New Roman" w:eastAsia="Times New Roman" w:cs="Times New Roman"/>
                <w:color w:val="000000"/>
                <w:sz w:val="20"/>
                <w:szCs w:val="20"/>
              </w:rPr>
              <w:t>Annual</w:t>
            </w:r>
          </w:p>
        </w:tc>
      </w:tr>
      <w:tr w:rsidRPr="00E75905" w:rsidR="00E75905" w:rsidTr="00E75905" w14:paraId="7EFB2053" w14:textId="77777777">
        <w:trPr>
          <w:trHeight w:val="1068"/>
        </w:trPr>
        <w:tc>
          <w:tcPr>
            <w:tcW w:w="1070"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36140B" w:rsidR="00E75905" w:rsidP="00E75905" w:rsidRDefault="00E75905" w14:paraId="38B612E5" w14:textId="77777777">
            <w:pPr>
              <w:spacing w:after="0" w:line="240" w:lineRule="auto"/>
              <w:jc w:val="center"/>
              <w:rPr>
                <w:rFonts w:ascii="Times New Roman" w:hAnsi="Times New Roman" w:eastAsia="Times New Roman" w:cs="Times New Roman"/>
                <w:color w:val="000000"/>
                <w:sz w:val="20"/>
                <w:szCs w:val="20"/>
              </w:rPr>
            </w:pPr>
            <w:r w:rsidRPr="0036140B">
              <w:rPr>
                <w:rFonts w:ascii="Times New Roman" w:hAnsi="Times New Roman" w:eastAsia="Times New Roman" w:cs="Times New Roman"/>
                <w:color w:val="000000"/>
                <w:sz w:val="20"/>
                <w:szCs w:val="20"/>
              </w:rPr>
              <w:t>12.3a</w:t>
            </w:r>
          </w:p>
        </w:tc>
        <w:tc>
          <w:tcPr>
            <w:tcW w:w="1319" w:type="dxa"/>
            <w:tcBorders>
              <w:top w:val="nil"/>
              <w:left w:val="nil"/>
              <w:bottom w:val="single" w:color="auto" w:sz="8" w:space="0"/>
              <w:right w:val="single" w:color="auto" w:sz="8" w:space="0"/>
            </w:tcBorders>
            <w:shd w:val="clear" w:color="auto" w:fill="auto"/>
            <w:vAlign w:val="center"/>
            <w:hideMark/>
          </w:tcPr>
          <w:p w:rsidRPr="0036140B" w:rsidR="00E75905" w:rsidP="00E75905" w:rsidRDefault="00E75905" w14:paraId="3BFFBE9F" w14:textId="77777777">
            <w:pPr>
              <w:spacing w:after="0" w:line="240" w:lineRule="auto"/>
              <w:jc w:val="center"/>
              <w:rPr>
                <w:rFonts w:ascii="Times New Roman" w:hAnsi="Times New Roman" w:eastAsia="Times New Roman" w:cs="Times New Roman"/>
                <w:color w:val="000000"/>
                <w:sz w:val="20"/>
                <w:szCs w:val="20"/>
              </w:rPr>
            </w:pPr>
            <w:r w:rsidRPr="0036140B">
              <w:rPr>
                <w:rFonts w:ascii="Times New Roman" w:hAnsi="Times New Roman" w:eastAsia="Times New Roman" w:cs="Times New Roman"/>
                <w:color w:val="000000"/>
                <w:sz w:val="20"/>
                <w:szCs w:val="20"/>
              </w:rPr>
              <w:t>438.7, Rate Certifications</w:t>
            </w:r>
          </w:p>
        </w:tc>
        <w:tc>
          <w:tcPr>
            <w:tcW w:w="1471" w:type="dxa"/>
            <w:tcBorders>
              <w:top w:val="nil"/>
              <w:left w:val="nil"/>
              <w:bottom w:val="single" w:color="auto" w:sz="8" w:space="0"/>
              <w:right w:val="single" w:color="auto" w:sz="8" w:space="0"/>
            </w:tcBorders>
            <w:shd w:val="clear" w:color="auto" w:fill="auto"/>
            <w:vAlign w:val="center"/>
            <w:hideMark/>
          </w:tcPr>
          <w:p w:rsidRPr="0036140B" w:rsidR="00E75905" w:rsidP="00E75905" w:rsidRDefault="00E75905" w14:paraId="5D40B506" w14:textId="77777777">
            <w:pPr>
              <w:spacing w:after="0" w:line="240" w:lineRule="auto"/>
              <w:jc w:val="center"/>
              <w:rPr>
                <w:rFonts w:ascii="Times New Roman" w:hAnsi="Times New Roman" w:eastAsia="Times New Roman" w:cs="Times New Roman"/>
                <w:color w:val="000000"/>
                <w:sz w:val="20"/>
                <w:szCs w:val="20"/>
              </w:rPr>
            </w:pPr>
            <w:r w:rsidRPr="0036140B">
              <w:rPr>
                <w:rFonts w:ascii="Times New Roman" w:hAnsi="Times New Roman" w:eastAsia="Times New Roman" w:cs="Times New Roman"/>
                <w:color w:val="000000"/>
                <w:sz w:val="20"/>
                <w:szCs w:val="20"/>
              </w:rPr>
              <w:t>41</w:t>
            </w:r>
          </w:p>
        </w:tc>
        <w:tc>
          <w:tcPr>
            <w:tcW w:w="1242" w:type="dxa"/>
            <w:tcBorders>
              <w:top w:val="nil"/>
              <w:left w:val="nil"/>
              <w:bottom w:val="single" w:color="auto" w:sz="8" w:space="0"/>
              <w:right w:val="single" w:color="auto" w:sz="8" w:space="0"/>
            </w:tcBorders>
            <w:shd w:val="clear" w:color="auto" w:fill="auto"/>
            <w:vAlign w:val="center"/>
            <w:hideMark/>
          </w:tcPr>
          <w:p w:rsidRPr="0036140B" w:rsidR="00E75905" w:rsidP="00E75905" w:rsidRDefault="00E75905" w14:paraId="166D8A2A" w14:textId="77777777">
            <w:pPr>
              <w:spacing w:after="0" w:line="240" w:lineRule="auto"/>
              <w:jc w:val="center"/>
              <w:rPr>
                <w:rFonts w:ascii="Times New Roman" w:hAnsi="Times New Roman" w:eastAsia="Times New Roman" w:cs="Times New Roman"/>
                <w:color w:val="000000"/>
                <w:sz w:val="20"/>
                <w:szCs w:val="20"/>
              </w:rPr>
            </w:pPr>
            <w:r w:rsidRPr="0036140B">
              <w:rPr>
                <w:rFonts w:ascii="Times New Roman" w:hAnsi="Times New Roman" w:eastAsia="Times New Roman" w:cs="Times New Roman"/>
                <w:color w:val="000000"/>
                <w:sz w:val="20"/>
                <w:szCs w:val="20"/>
              </w:rPr>
              <w:t>70</w:t>
            </w:r>
          </w:p>
        </w:tc>
        <w:tc>
          <w:tcPr>
            <w:tcW w:w="1188" w:type="dxa"/>
            <w:tcBorders>
              <w:top w:val="nil"/>
              <w:left w:val="nil"/>
              <w:bottom w:val="single" w:color="auto" w:sz="8" w:space="0"/>
              <w:right w:val="single" w:color="auto" w:sz="8" w:space="0"/>
            </w:tcBorders>
            <w:shd w:val="clear" w:color="auto" w:fill="auto"/>
            <w:vAlign w:val="center"/>
            <w:hideMark/>
          </w:tcPr>
          <w:p w:rsidRPr="0036140B" w:rsidR="00E75905" w:rsidP="00E75905" w:rsidRDefault="00E75905" w14:paraId="035A1EB7" w14:textId="77777777">
            <w:pPr>
              <w:spacing w:after="0" w:line="240" w:lineRule="auto"/>
              <w:jc w:val="center"/>
              <w:rPr>
                <w:rFonts w:ascii="Times New Roman" w:hAnsi="Times New Roman" w:eastAsia="Times New Roman" w:cs="Times New Roman"/>
                <w:color w:val="000000"/>
                <w:sz w:val="20"/>
                <w:szCs w:val="20"/>
              </w:rPr>
            </w:pPr>
            <w:r w:rsidRPr="0036140B">
              <w:rPr>
                <w:rFonts w:ascii="Times New Roman" w:hAnsi="Times New Roman" w:eastAsia="Times New Roman" w:cs="Times New Roman"/>
                <w:color w:val="000000"/>
                <w:sz w:val="20"/>
                <w:szCs w:val="20"/>
              </w:rPr>
              <w:t>230</w:t>
            </w:r>
          </w:p>
        </w:tc>
        <w:tc>
          <w:tcPr>
            <w:tcW w:w="1745" w:type="dxa"/>
            <w:tcBorders>
              <w:top w:val="nil"/>
              <w:left w:val="nil"/>
              <w:bottom w:val="single" w:color="auto" w:sz="8" w:space="0"/>
              <w:right w:val="single" w:color="auto" w:sz="8" w:space="0"/>
            </w:tcBorders>
            <w:shd w:val="clear" w:color="auto" w:fill="auto"/>
            <w:noWrap/>
            <w:vAlign w:val="center"/>
            <w:hideMark/>
          </w:tcPr>
          <w:p w:rsidRPr="0036140B" w:rsidR="00E75905" w:rsidP="00E75905" w:rsidRDefault="00E75905" w14:paraId="33590176" w14:textId="77777777">
            <w:pPr>
              <w:spacing w:after="0" w:line="240" w:lineRule="auto"/>
              <w:jc w:val="center"/>
              <w:rPr>
                <w:rFonts w:ascii="Times New Roman" w:hAnsi="Times New Roman" w:eastAsia="Times New Roman" w:cs="Times New Roman"/>
                <w:color w:val="000000"/>
                <w:sz w:val="20"/>
                <w:szCs w:val="20"/>
              </w:rPr>
            </w:pPr>
            <w:r w:rsidRPr="0036140B">
              <w:rPr>
                <w:rFonts w:ascii="Times New Roman" w:hAnsi="Times New Roman" w:eastAsia="Times New Roman" w:cs="Times New Roman"/>
                <w:color w:val="000000"/>
                <w:sz w:val="20"/>
                <w:szCs w:val="20"/>
              </w:rPr>
              <w:t>16,100</w:t>
            </w:r>
          </w:p>
        </w:tc>
        <w:tc>
          <w:tcPr>
            <w:tcW w:w="986" w:type="dxa"/>
            <w:tcBorders>
              <w:top w:val="nil"/>
              <w:left w:val="nil"/>
              <w:bottom w:val="single" w:color="auto" w:sz="8" w:space="0"/>
              <w:right w:val="single" w:color="auto" w:sz="8" w:space="0"/>
            </w:tcBorders>
            <w:shd w:val="clear" w:color="auto" w:fill="auto"/>
            <w:vAlign w:val="center"/>
            <w:hideMark/>
          </w:tcPr>
          <w:p w:rsidRPr="0036140B" w:rsidR="00E75905" w:rsidP="00E75905" w:rsidRDefault="00E75905" w14:paraId="7899E16F" w14:textId="77777777">
            <w:pPr>
              <w:spacing w:after="0" w:line="240" w:lineRule="auto"/>
              <w:jc w:val="center"/>
              <w:rPr>
                <w:rFonts w:ascii="Times New Roman" w:hAnsi="Times New Roman" w:eastAsia="Times New Roman" w:cs="Times New Roman"/>
                <w:color w:val="000000"/>
                <w:sz w:val="20"/>
                <w:szCs w:val="20"/>
              </w:rPr>
            </w:pPr>
            <w:r w:rsidRPr="0036140B">
              <w:rPr>
                <w:rFonts w:ascii="Times New Roman" w:hAnsi="Times New Roman" w:eastAsia="Times New Roman" w:cs="Times New Roman"/>
                <w:color w:val="000000"/>
                <w:sz w:val="20"/>
                <w:szCs w:val="20"/>
              </w:rPr>
              <w:t>Varies (see narrative)</w:t>
            </w:r>
          </w:p>
        </w:tc>
        <w:tc>
          <w:tcPr>
            <w:tcW w:w="1805" w:type="dxa"/>
            <w:tcBorders>
              <w:top w:val="nil"/>
              <w:left w:val="nil"/>
              <w:bottom w:val="single" w:color="auto" w:sz="8" w:space="0"/>
              <w:right w:val="single" w:color="auto" w:sz="8" w:space="0"/>
            </w:tcBorders>
            <w:shd w:val="clear" w:color="auto" w:fill="auto"/>
            <w:noWrap/>
            <w:vAlign w:val="center"/>
            <w:hideMark/>
          </w:tcPr>
          <w:p w:rsidRPr="0036140B" w:rsidR="00E75905" w:rsidP="00E75905" w:rsidRDefault="00E75905" w14:paraId="426A49CC" w14:textId="77777777">
            <w:pPr>
              <w:spacing w:after="0" w:line="240" w:lineRule="auto"/>
              <w:jc w:val="center"/>
              <w:rPr>
                <w:rFonts w:ascii="Times New Roman" w:hAnsi="Times New Roman" w:eastAsia="Times New Roman" w:cs="Times New Roman"/>
                <w:color w:val="000000"/>
                <w:sz w:val="20"/>
                <w:szCs w:val="20"/>
              </w:rPr>
            </w:pPr>
            <w:r w:rsidRPr="0036140B">
              <w:rPr>
                <w:rFonts w:ascii="Times New Roman" w:hAnsi="Times New Roman" w:eastAsia="Times New Roman" w:cs="Times New Roman"/>
                <w:color w:val="000000"/>
                <w:sz w:val="20"/>
                <w:szCs w:val="20"/>
              </w:rPr>
              <w:t>1,611,820</w:t>
            </w:r>
          </w:p>
        </w:tc>
        <w:tc>
          <w:tcPr>
            <w:tcW w:w="1134" w:type="dxa"/>
            <w:tcBorders>
              <w:top w:val="nil"/>
              <w:left w:val="nil"/>
              <w:bottom w:val="single" w:color="auto" w:sz="8" w:space="0"/>
              <w:right w:val="single" w:color="auto" w:sz="8" w:space="0"/>
            </w:tcBorders>
            <w:shd w:val="clear" w:color="auto" w:fill="auto"/>
            <w:vAlign w:val="center"/>
            <w:hideMark/>
          </w:tcPr>
          <w:p w:rsidRPr="0036140B" w:rsidR="00E75905" w:rsidP="00E75905" w:rsidRDefault="00E75905" w14:paraId="029DF54C" w14:textId="77777777">
            <w:pPr>
              <w:spacing w:after="0" w:line="240" w:lineRule="auto"/>
              <w:jc w:val="center"/>
              <w:rPr>
                <w:rFonts w:ascii="Times New Roman" w:hAnsi="Times New Roman" w:eastAsia="Times New Roman" w:cs="Times New Roman"/>
                <w:color w:val="000000"/>
                <w:sz w:val="20"/>
                <w:szCs w:val="20"/>
              </w:rPr>
            </w:pPr>
            <w:r w:rsidRPr="0036140B">
              <w:rPr>
                <w:rFonts w:ascii="Times New Roman" w:hAnsi="Times New Roman" w:eastAsia="Times New Roman" w:cs="Times New Roman"/>
                <w:color w:val="000000"/>
                <w:sz w:val="20"/>
                <w:szCs w:val="20"/>
              </w:rPr>
              <w:t>R</w:t>
            </w:r>
          </w:p>
        </w:tc>
        <w:tc>
          <w:tcPr>
            <w:tcW w:w="1170" w:type="dxa"/>
            <w:tcBorders>
              <w:top w:val="nil"/>
              <w:left w:val="nil"/>
              <w:bottom w:val="single" w:color="auto" w:sz="8" w:space="0"/>
              <w:right w:val="single" w:color="auto" w:sz="8" w:space="0"/>
            </w:tcBorders>
            <w:shd w:val="clear" w:color="auto" w:fill="auto"/>
            <w:vAlign w:val="center"/>
            <w:hideMark/>
          </w:tcPr>
          <w:p w:rsidRPr="0036140B" w:rsidR="00E75905" w:rsidP="00E75905" w:rsidRDefault="00E75905" w14:paraId="00D82474" w14:textId="77777777">
            <w:pPr>
              <w:spacing w:after="0" w:line="240" w:lineRule="auto"/>
              <w:jc w:val="center"/>
              <w:rPr>
                <w:rFonts w:ascii="Times New Roman" w:hAnsi="Times New Roman" w:eastAsia="Times New Roman" w:cs="Times New Roman"/>
                <w:color w:val="000000"/>
                <w:sz w:val="20"/>
                <w:szCs w:val="20"/>
              </w:rPr>
            </w:pPr>
            <w:r w:rsidRPr="0036140B">
              <w:rPr>
                <w:rFonts w:ascii="Times New Roman" w:hAnsi="Times New Roman" w:eastAsia="Times New Roman" w:cs="Times New Roman"/>
                <w:color w:val="000000"/>
                <w:sz w:val="20"/>
                <w:szCs w:val="20"/>
              </w:rPr>
              <w:t>Annual</w:t>
            </w:r>
          </w:p>
        </w:tc>
      </w:tr>
      <w:tr w:rsidRPr="00E75905" w:rsidR="00E75905" w:rsidTr="00E75905" w14:paraId="4AA4C97C" w14:textId="77777777">
        <w:trPr>
          <w:trHeight w:val="1068"/>
        </w:trPr>
        <w:tc>
          <w:tcPr>
            <w:tcW w:w="1070" w:type="dxa"/>
            <w:tcBorders>
              <w:top w:val="nil"/>
              <w:left w:val="single" w:color="auto" w:sz="8" w:space="0"/>
              <w:bottom w:val="single" w:color="auto" w:sz="8" w:space="0"/>
              <w:right w:val="single" w:color="auto" w:sz="8" w:space="0"/>
            </w:tcBorders>
            <w:shd w:val="clear" w:color="auto" w:fill="auto"/>
            <w:vAlign w:val="center"/>
            <w:hideMark/>
          </w:tcPr>
          <w:p w:rsidRPr="0036140B" w:rsidR="00E75905" w:rsidP="00E75905" w:rsidRDefault="00E75905" w14:paraId="03140B1C" w14:textId="77777777">
            <w:pPr>
              <w:spacing w:after="0" w:line="240" w:lineRule="auto"/>
              <w:jc w:val="center"/>
              <w:rPr>
                <w:rFonts w:ascii="Times New Roman" w:hAnsi="Times New Roman" w:eastAsia="Times New Roman" w:cs="Times New Roman"/>
                <w:color w:val="000000"/>
                <w:sz w:val="20"/>
                <w:szCs w:val="20"/>
              </w:rPr>
            </w:pPr>
            <w:r w:rsidRPr="0036140B">
              <w:rPr>
                <w:rFonts w:ascii="Times New Roman" w:hAnsi="Times New Roman" w:eastAsia="Times New Roman" w:cs="Times New Roman"/>
                <w:color w:val="000000"/>
                <w:sz w:val="20"/>
                <w:szCs w:val="20"/>
              </w:rPr>
              <w:t>12.3b</w:t>
            </w:r>
          </w:p>
        </w:tc>
        <w:tc>
          <w:tcPr>
            <w:tcW w:w="1319" w:type="dxa"/>
            <w:tcBorders>
              <w:top w:val="nil"/>
              <w:left w:val="nil"/>
              <w:bottom w:val="single" w:color="auto" w:sz="8" w:space="0"/>
              <w:right w:val="single" w:color="auto" w:sz="8" w:space="0"/>
            </w:tcBorders>
            <w:shd w:val="clear" w:color="auto" w:fill="auto"/>
            <w:vAlign w:val="center"/>
            <w:hideMark/>
          </w:tcPr>
          <w:p w:rsidRPr="0036140B" w:rsidR="00E75905" w:rsidP="00E75905" w:rsidRDefault="00E75905" w14:paraId="32FAD450" w14:textId="77777777">
            <w:pPr>
              <w:spacing w:after="0" w:line="240" w:lineRule="auto"/>
              <w:jc w:val="center"/>
              <w:rPr>
                <w:rFonts w:ascii="Times New Roman" w:hAnsi="Times New Roman" w:eastAsia="Times New Roman" w:cs="Times New Roman"/>
                <w:color w:val="000000"/>
                <w:sz w:val="20"/>
                <w:szCs w:val="20"/>
              </w:rPr>
            </w:pPr>
            <w:r w:rsidRPr="0036140B">
              <w:rPr>
                <w:rFonts w:ascii="Times New Roman" w:hAnsi="Times New Roman" w:eastAsia="Times New Roman" w:cs="Times New Roman"/>
                <w:color w:val="000000"/>
                <w:sz w:val="20"/>
                <w:szCs w:val="20"/>
              </w:rPr>
              <w:t>438.7, Rate Certifications</w:t>
            </w:r>
          </w:p>
        </w:tc>
        <w:tc>
          <w:tcPr>
            <w:tcW w:w="1471" w:type="dxa"/>
            <w:tcBorders>
              <w:top w:val="nil"/>
              <w:left w:val="nil"/>
              <w:bottom w:val="single" w:color="auto" w:sz="8" w:space="0"/>
              <w:right w:val="single" w:color="auto" w:sz="8" w:space="0"/>
            </w:tcBorders>
            <w:shd w:val="clear" w:color="auto" w:fill="auto"/>
            <w:noWrap/>
            <w:vAlign w:val="center"/>
            <w:hideMark/>
          </w:tcPr>
          <w:p w:rsidRPr="0036140B" w:rsidR="00E75905" w:rsidP="00E75905" w:rsidRDefault="00E75905" w14:paraId="5BAFE22C" w14:textId="77777777">
            <w:pPr>
              <w:spacing w:after="0" w:line="240" w:lineRule="auto"/>
              <w:jc w:val="center"/>
              <w:rPr>
                <w:rFonts w:ascii="Times New Roman" w:hAnsi="Times New Roman" w:eastAsia="Times New Roman" w:cs="Times New Roman"/>
                <w:color w:val="000000"/>
                <w:sz w:val="20"/>
                <w:szCs w:val="20"/>
              </w:rPr>
            </w:pPr>
            <w:r w:rsidRPr="0036140B">
              <w:rPr>
                <w:rFonts w:ascii="Times New Roman" w:hAnsi="Times New Roman" w:eastAsia="Times New Roman" w:cs="Times New Roman"/>
                <w:color w:val="000000"/>
                <w:sz w:val="20"/>
                <w:szCs w:val="20"/>
              </w:rPr>
              <w:t>3</w:t>
            </w:r>
          </w:p>
        </w:tc>
        <w:tc>
          <w:tcPr>
            <w:tcW w:w="1242" w:type="dxa"/>
            <w:tcBorders>
              <w:top w:val="nil"/>
              <w:left w:val="nil"/>
              <w:bottom w:val="single" w:color="auto" w:sz="8" w:space="0"/>
              <w:right w:val="single" w:color="auto" w:sz="8" w:space="0"/>
            </w:tcBorders>
            <w:shd w:val="clear" w:color="auto" w:fill="auto"/>
            <w:noWrap/>
            <w:vAlign w:val="center"/>
            <w:hideMark/>
          </w:tcPr>
          <w:p w:rsidRPr="0036140B" w:rsidR="00E75905" w:rsidP="00E75905" w:rsidRDefault="00E75905" w14:paraId="05848C0D" w14:textId="77777777">
            <w:pPr>
              <w:spacing w:after="0" w:line="240" w:lineRule="auto"/>
              <w:jc w:val="center"/>
              <w:rPr>
                <w:rFonts w:ascii="Times New Roman" w:hAnsi="Times New Roman" w:eastAsia="Times New Roman" w:cs="Times New Roman"/>
                <w:color w:val="000000"/>
                <w:sz w:val="20"/>
                <w:szCs w:val="20"/>
              </w:rPr>
            </w:pPr>
            <w:r w:rsidRPr="0036140B">
              <w:rPr>
                <w:rFonts w:ascii="Times New Roman" w:hAnsi="Times New Roman" w:eastAsia="Times New Roman" w:cs="Times New Roman"/>
                <w:color w:val="000000"/>
                <w:sz w:val="20"/>
                <w:szCs w:val="20"/>
              </w:rPr>
              <w:t>3</w:t>
            </w:r>
          </w:p>
        </w:tc>
        <w:tc>
          <w:tcPr>
            <w:tcW w:w="1188" w:type="dxa"/>
            <w:tcBorders>
              <w:top w:val="nil"/>
              <w:left w:val="nil"/>
              <w:bottom w:val="single" w:color="auto" w:sz="8" w:space="0"/>
              <w:right w:val="single" w:color="auto" w:sz="8" w:space="0"/>
            </w:tcBorders>
            <w:shd w:val="clear" w:color="auto" w:fill="auto"/>
            <w:vAlign w:val="center"/>
            <w:hideMark/>
          </w:tcPr>
          <w:p w:rsidRPr="0036140B" w:rsidR="00E75905" w:rsidP="00E75905" w:rsidRDefault="00E75905" w14:paraId="48FD8EF0" w14:textId="77777777">
            <w:pPr>
              <w:spacing w:after="0" w:line="240" w:lineRule="auto"/>
              <w:jc w:val="center"/>
              <w:rPr>
                <w:rFonts w:ascii="Times New Roman" w:hAnsi="Times New Roman" w:eastAsia="Times New Roman" w:cs="Times New Roman"/>
                <w:color w:val="000000"/>
                <w:sz w:val="20"/>
                <w:szCs w:val="20"/>
              </w:rPr>
            </w:pPr>
            <w:r w:rsidRPr="0036140B">
              <w:rPr>
                <w:rFonts w:ascii="Times New Roman" w:hAnsi="Times New Roman" w:eastAsia="Times New Roman" w:cs="Times New Roman"/>
                <w:color w:val="000000"/>
                <w:sz w:val="20"/>
                <w:szCs w:val="20"/>
              </w:rPr>
              <w:t>1</w:t>
            </w:r>
          </w:p>
        </w:tc>
        <w:tc>
          <w:tcPr>
            <w:tcW w:w="1745" w:type="dxa"/>
            <w:tcBorders>
              <w:top w:val="nil"/>
              <w:left w:val="nil"/>
              <w:bottom w:val="single" w:color="auto" w:sz="8" w:space="0"/>
              <w:right w:val="single" w:color="auto" w:sz="8" w:space="0"/>
            </w:tcBorders>
            <w:shd w:val="clear" w:color="auto" w:fill="auto"/>
            <w:noWrap/>
            <w:vAlign w:val="center"/>
            <w:hideMark/>
          </w:tcPr>
          <w:p w:rsidRPr="0036140B" w:rsidR="00E75905" w:rsidP="00E75905" w:rsidRDefault="00E75905" w14:paraId="42615A37" w14:textId="77777777">
            <w:pPr>
              <w:spacing w:after="0" w:line="240" w:lineRule="auto"/>
              <w:jc w:val="center"/>
              <w:rPr>
                <w:rFonts w:ascii="Times New Roman" w:hAnsi="Times New Roman" w:eastAsia="Times New Roman" w:cs="Times New Roman"/>
                <w:color w:val="000000"/>
                <w:sz w:val="20"/>
                <w:szCs w:val="20"/>
              </w:rPr>
            </w:pPr>
            <w:r w:rsidRPr="0036140B">
              <w:rPr>
                <w:rFonts w:ascii="Times New Roman" w:hAnsi="Times New Roman" w:eastAsia="Times New Roman" w:cs="Times New Roman"/>
                <w:color w:val="000000"/>
                <w:sz w:val="20"/>
                <w:szCs w:val="20"/>
              </w:rPr>
              <w:t>3</w:t>
            </w:r>
          </w:p>
        </w:tc>
        <w:tc>
          <w:tcPr>
            <w:tcW w:w="986" w:type="dxa"/>
            <w:tcBorders>
              <w:top w:val="nil"/>
              <w:left w:val="nil"/>
              <w:bottom w:val="single" w:color="auto" w:sz="8" w:space="0"/>
              <w:right w:val="single" w:color="auto" w:sz="8" w:space="0"/>
            </w:tcBorders>
            <w:shd w:val="clear" w:color="auto" w:fill="auto"/>
            <w:vAlign w:val="center"/>
            <w:hideMark/>
          </w:tcPr>
          <w:p w:rsidRPr="0036140B" w:rsidR="00E75905" w:rsidP="00E75905" w:rsidRDefault="00E75905" w14:paraId="2BCEBF55" w14:textId="77777777">
            <w:pPr>
              <w:spacing w:after="0" w:line="240" w:lineRule="auto"/>
              <w:jc w:val="center"/>
              <w:rPr>
                <w:rFonts w:ascii="Times New Roman" w:hAnsi="Times New Roman" w:eastAsia="Times New Roman" w:cs="Times New Roman"/>
                <w:color w:val="000000"/>
                <w:sz w:val="20"/>
                <w:szCs w:val="20"/>
              </w:rPr>
            </w:pPr>
            <w:r w:rsidRPr="0036140B">
              <w:rPr>
                <w:rFonts w:ascii="Times New Roman" w:hAnsi="Times New Roman" w:eastAsia="Times New Roman" w:cs="Times New Roman"/>
                <w:color w:val="000000"/>
                <w:sz w:val="20"/>
                <w:szCs w:val="20"/>
              </w:rPr>
              <w:t>118.44</w:t>
            </w:r>
          </w:p>
        </w:tc>
        <w:tc>
          <w:tcPr>
            <w:tcW w:w="1805" w:type="dxa"/>
            <w:tcBorders>
              <w:top w:val="nil"/>
              <w:left w:val="nil"/>
              <w:bottom w:val="single" w:color="auto" w:sz="8" w:space="0"/>
              <w:right w:val="single" w:color="auto" w:sz="8" w:space="0"/>
            </w:tcBorders>
            <w:shd w:val="clear" w:color="auto" w:fill="auto"/>
            <w:noWrap/>
            <w:vAlign w:val="center"/>
            <w:hideMark/>
          </w:tcPr>
          <w:p w:rsidRPr="0036140B" w:rsidR="00E75905" w:rsidP="00E75905" w:rsidRDefault="00E75905" w14:paraId="358EE111" w14:textId="77777777">
            <w:pPr>
              <w:spacing w:after="0" w:line="240" w:lineRule="auto"/>
              <w:jc w:val="center"/>
              <w:rPr>
                <w:rFonts w:ascii="Times New Roman" w:hAnsi="Times New Roman" w:eastAsia="Times New Roman" w:cs="Times New Roman"/>
                <w:color w:val="000000"/>
                <w:sz w:val="20"/>
                <w:szCs w:val="20"/>
              </w:rPr>
            </w:pPr>
            <w:r w:rsidRPr="0036140B">
              <w:rPr>
                <w:rFonts w:ascii="Times New Roman" w:hAnsi="Times New Roman" w:eastAsia="Times New Roman" w:cs="Times New Roman"/>
                <w:color w:val="000000"/>
                <w:sz w:val="20"/>
                <w:szCs w:val="20"/>
              </w:rPr>
              <w:t>355</w:t>
            </w:r>
          </w:p>
        </w:tc>
        <w:tc>
          <w:tcPr>
            <w:tcW w:w="1134" w:type="dxa"/>
            <w:tcBorders>
              <w:top w:val="nil"/>
              <w:left w:val="nil"/>
              <w:bottom w:val="single" w:color="auto" w:sz="8" w:space="0"/>
              <w:right w:val="single" w:color="auto" w:sz="8" w:space="0"/>
            </w:tcBorders>
            <w:shd w:val="clear" w:color="auto" w:fill="auto"/>
            <w:vAlign w:val="center"/>
            <w:hideMark/>
          </w:tcPr>
          <w:p w:rsidRPr="0036140B" w:rsidR="00E75905" w:rsidP="00E75905" w:rsidRDefault="00E75905" w14:paraId="455D2410" w14:textId="77777777">
            <w:pPr>
              <w:spacing w:after="0" w:line="240" w:lineRule="auto"/>
              <w:jc w:val="center"/>
              <w:rPr>
                <w:rFonts w:ascii="Times New Roman" w:hAnsi="Times New Roman" w:eastAsia="Times New Roman" w:cs="Times New Roman"/>
                <w:color w:val="000000"/>
                <w:sz w:val="20"/>
                <w:szCs w:val="20"/>
              </w:rPr>
            </w:pPr>
            <w:r w:rsidRPr="0036140B">
              <w:rPr>
                <w:rFonts w:ascii="Times New Roman" w:hAnsi="Times New Roman" w:eastAsia="Times New Roman" w:cs="Times New Roman"/>
                <w:color w:val="000000"/>
                <w:sz w:val="20"/>
                <w:szCs w:val="20"/>
              </w:rPr>
              <w:t>R</w:t>
            </w:r>
          </w:p>
        </w:tc>
        <w:tc>
          <w:tcPr>
            <w:tcW w:w="1170" w:type="dxa"/>
            <w:tcBorders>
              <w:top w:val="nil"/>
              <w:left w:val="nil"/>
              <w:bottom w:val="single" w:color="auto" w:sz="8" w:space="0"/>
              <w:right w:val="single" w:color="auto" w:sz="8" w:space="0"/>
            </w:tcBorders>
            <w:shd w:val="clear" w:color="auto" w:fill="auto"/>
            <w:vAlign w:val="center"/>
            <w:hideMark/>
          </w:tcPr>
          <w:p w:rsidRPr="0036140B" w:rsidR="00E75905" w:rsidP="00E75905" w:rsidRDefault="00E75905" w14:paraId="213D6051" w14:textId="77777777">
            <w:pPr>
              <w:spacing w:after="0" w:line="240" w:lineRule="auto"/>
              <w:jc w:val="center"/>
              <w:rPr>
                <w:rFonts w:ascii="Times New Roman" w:hAnsi="Times New Roman" w:eastAsia="Times New Roman" w:cs="Times New Roman"/>
                <w:color w:val="000000"/>
                <w:sz w:val="20"/>
                <w:szCs w:val="20"/>
              </w:rPr>
            </w:pPr>
            <w:r w:rsidRPr="0036140B">
              <w:rPr>
                <w:rFonts w:ascii="Times New Roman" w:hAnsi="Times New Roman" w:eastAsia="Times New Roman" w:cs="Times New Roman"/>
                <w:color w:val="000000"/>
                <w:sz w:val="20"/>
                <w:szCs w:val="20"/>
              </w:rPr>
              <w:t>Annual</w:t>
            </w:r>
          </w:p>
        </w:tc>
      </w:tr>
      <w:tr w:rsidRPr="00E75905" w:rsidR="00E75905" w:rsidTr="00E75905" w14:paraId="52F73F50" w14:textId="77777777">
        <w:trPr>
          <w:trHeight w:val="1068"/>
        </w:trPr>
        <w:tc>
          <w:tcPr>
            <w:tcW w:w="1070" w:type="dxa"/>
            <w:tcBorders>
              <w:top w:val="nil"/>
              <w:left w:val="single" w:color="auto" w:sz="8" w:space="0"/>
              <w:bottom w:val="single" w:color="auto" w:sz="8" w:space="0"/>
              <w:right w:val="single" w:color="auto" w:sz="8" w:space="0"/>
            </w:tcBorders>
            <w:shd w:val="clear" w:color="auto" w:fill="auto"/>
            <w:vAlign w:val="center"/>
            <w:hideMark/>
          </w:tcPr>
          <w:p w:rsidRPr="0036140B" w:rsidR="00E75905" w:rsidP="00E75905" w:rsidRDefault="00E75905" w14:paraId="2ED26D85" w14:textId="77777777">
            <w:pPr>
              <w:spacing w:after="0" w:line="240" w:lineRule="auto"/>
              <w:jc w:val="center"/>
              <w:rPr>
                <w:rFonts w:ascii="Times New Roman" w:hAnsi="Times New Roman" w:eastAsia="Times New Roman" w:cs="Times New Roman"/>
                <w:color w:val="000000"/>
                <w:sz w:val="20"/>
                <w:szCs w:val="20"/>
              </w:rPr>
            </w:pPr>
            <w:r w:rsidRPr="0036140B">
              <w:rPr>
                <w:rFonts w:ascii="Times New Roman" w:hAnsi="Times New Roman" w:eastAsia="Times New Roman" w:cs="Times New Roman"/>
                <w:color w:val="000000"/>
                <w:sz w:val="20"/>
                <w:szCs w:val="20"/>
              </w:rPr>
              <w:t>12.30</w:t>
            </w:r>
          </w:p>
        </w:tc>
        <w:tc>
          <w:tcPr>
            <w:tcW w:w="1319" w:type="dxa"/>
            <w:tcBorders>
              <w:top w:val="nil"/>
              <w:left w:val="nil"/>
              <w:bottom w:val="single" w:color="auto" w:sz="8" w:space="0"/>
              <w:right w:val="single" w:color="auto" w:sz="8" w:space="0"/>
            </w:tcBorders>
            <w:shd w:val="clear" w:color="auto" w:fill="auto"/>
            <w:vAlign w:val="center"/>
            <w:hideMark/>
          </w:tcPr>
          <w:p w:rsidRPr="0036140B" w:rsidR="00E75905" w:rsidP="00E75905" w:rsidRDefault="00E75905" w14:paraId="59C04821" w14:textId="77777777">
            <w:pPr>
              <w:spacing w:after="0" w:line="240" w:lineRule="auto"/>
              <w:jc w:val="center"/>
              <w:rPr>
                <w:rFonts w:ascii="Times New Roman" w:hAnsi="Times New Roman" w:eastAsia="Times New Roman" w:cs="Times New Roman"/>
                <w:color w:val="000000"/>
                <w:sz w:val="20"/>
                <w:szCs w:val="20"/>
              </w:rPr>
            </w:pPr>
            <w:r w:rsidRPr="0036140B">
              <w:rPr>
                <w:rFonts w:ascii="Times New Roman" w:hAnsi="Times New Roman" w:eastAsia="Times New Roman" w:cs="Times New Roman"/>
                <w:color w:val="000000"/>
                <w:sz w:val="20"/>
                <w:szCs w:val="20"/>
              </w:rPr>
              <w:t>438.70, MLTSS Engagement</w:t>
            </w:r>
          </w:p>
        </w:tc>
        <w:tc>
          <w:tcPr>
            <w:tcW w:w="1471" w:type="dxa"/>
            <w:tcBorders>
              <w:top w:val="nil"/>
              <w:left w:val="nil"/>
              <w:bottom w:val="single" w:color="auto" w:sz="8" w:space="0"/>
              <w:right w:val="single" w:color="auto" w:sz="8" w:space="0"/>
            </w:tcBorders>
            <w:shd w:val="clear" w:color="auto" w:fill="auto"/>
            <w:noWrap/>
            <w:vAlign w:val="center"/>
            <w:hideMark/>
          </w:tcPr>
          <w:p w:rsidRPr="0036140B" w:rsidR="00E75905" w:rsidP="00E75905" w:rsidRDefault="00E75905" w14:paraId="409BF866" w14:textId="77777777">
            <w:pPr>
              <w:spacing w:after="0" w:line="240" w:lineRule="auto"/>
              <w:jc w:val="center"/>
              <w:rPr>
                <w:rFonts w:ascii="Times New Roman" w:hAnsi="Times New Roman" w:eastAsia="Times New Roman" w:cs="Times New Roman"/>
                <w:color w:val="000000"/>
                <w:sz w:val="20"/>
                <w:szCs w:val="20"/>
              </w:rPr>
            </w:pPr>
            <w:r w:rsidRPr="0036140B">
              <w:rPr>
                <w:rFonts w:ascii="Times New Roman" w:hAnsi="Times New Roman" w:eastAsia="Times New Roman" w:cs="Times New Roman"/>
                <w:color w:val="000000"/>
                <w:sz w:val="20"/>
                <w:szCs w:val="20"/>
              </w:rPr>
              <w:t>14</w:t>
            </w:r>
          </w:p>
        </w:tc>
        <w:tc>
          <w:tcPr>
            <w:tcW w:w="1242" w:type="dxa"/>
            <w:tcBorders>
              <w:top w:val="nil"/>
              <w:left w:val="nil"/>
              <w:bottom w:val="single" w:color="auto" w:sz="8" w:space="0"/>
              <w:right w:val="single" w:color="auto" w:sz="8" w:space="0"/>
            </w:tcBorders>
            <w:shd w:val="clear" w:color="auto" w:fill="auto"/>
            <w:noWrap/>
            <w:vAlign w:val="center"/>
            <w:hideMark/>
          </w:tcPr>
          <w:p w:rsidRPr="0036140B" w:rsidR="00E75905" w:rsidP="00E75905" w:rsidRDefault="00E75905" w14:paraId="3A9535CD" w14:textId="77777777">
            <w:pPr>
              <w:spacing w:after="0" w:line="240" w:lineRule="auto"/>
              <w:jc w:val="center"/>
              <w:rPr>
                <w:rFonts w:ascii="Times New Roman" w:hAnsi="Times New Roman" w:eastAsia="Times New Roman" w:cs="Times New Roman"/>
                <w:color w:val="000000"/>
                <w:sz w:val="20"/>
                <w:szCs w:val="20"/>
              </w:rPr>
            </w:pPr>
            <w:r w:rsidRPr="0036140B">
              <w:rPr>
                <w:rFonts w:ascii="Times New Roman" w:hAnsi="Times New Roman" w:eastAsia="Times New Roman" w:cs="Times New Roman"/>
                <w:color w:val="000000"/>
                <w:sz w:val="20"/>
                <w:szCs w:val="20"/>
              </w:rPr>
              <w:t>14</w:t>
            </w:r>
          </w:p>
        </w:tc>
        <w:tc>
          <w:tcPr>
            <w:tcW w:w="1188" w:type="dxa"/>
            <w:tcBorders>
              <w:top w:val="nil"/>
              <w:left w:val="nil"/>
              <w:bottom w:val="single" w:color="auto" w:sz="8" w:space="0"/>
              <w:right w:val="single" w:color="auto" w:sz="8" w:space="0"/>
            </w:tcBorders>
            <w:shd w:val="clear" w:color="auto" w:fill="auto"/>
            <w:vAlign w:val="center"/>
            <w:hideMark/>
          </w:tcPr>
          <w:p w:rsidRPr="0036140B" w:rsidR="00E75905" w:rsidP="00E75905" w:rsidRDefault="00E75905" w14:paraId="093DBDA9" w14:textId="77777777">
            <w:pPr>
              <w:spacing w:after="0" w:line="240" w:lineRule="auto"/>
              <w:jc w:val="center"/>
              <w:rPr>
                <w:rFonts w:ascii="Times New Roman" w:hAnsi="Times New Roman" w:eastAsia="Times New Roman" w:cs="Times New Roman"/>
                <w:color w:val="000000"/>
                <w:sz w:val="20"/>
                <w:szCs w:val="20"/>
              </w:rPr>
            </w:pPr>
            <w:r w:rsidRPr="0036140B">
              <w:rPr>
                <w:rFonts w:ascii="Times New Roman" w:hAnsi="Times New Roman" w:eastAsia="Times New Roman" w:cs="Times New Roman"/>
                <w:color w:val="000000"/>
                <w:sz w:val="20"/>
                <w:szCs w:val="20"/>
              </w:rPr>
              <w:t>4</w:t>
            </w:r>
          </w:p>
        </w:tc>
        <w:tc>
          <w:tcPr>
            <w:tcW w:w="1745" w:type="dxa"/>
            <w:tcBorders>
              <w:top w:val="nil"/>
              <w:left w:val="nil"/>
              <w:bottom w:val="single" w:color="auto" w:sz="8" w:space="0"/>
              <w:right w:val="single" w:color="auto" w:sz="8" w:space="0"/>
            </w:tcBorders>
            <w:shd w:val="clear" w:color="auto" w:fill="auto"/>
            <w:noWrap/>
            <w:vAlign w:val="center"/>
            <w:hideMark/>
          </w:tcPr>
          <w:p w:rsidRPr="0036140B" w:rsidR="00E75905" w:rsidP="00E75905" w:rsidRDefault="00E75905" w14:paraId="20A1BB1D" w14:textId="77777777">
            <w:pPr>
              <w:spacing w:after="0" w:line="240" w:lineRule="auto"/>
              <w:jc w:val="center"/>
              <w:rPr>
                <w:rFonts w:ascii="Times New Roman" w:hAnsi="Times New Roman" w:eastAsia="Times New Roman" w:cs="Times New Roman"/>
                <w:color w:val="000000"/>
                <w:sz w:val="20"/>
                <w:szCs w:val="20"/>
              </w:rPr>
            </w:pPr>
            <w:r w:rsidRPr="0036140B">
              <w:rPr>
                <w:rFonts w:ascii="Times New Roman" w:hAnsi="Times New Roman" w:eastAsia="Times New Roman" w:cs="Times New Roman"/>
                <w:color w:val="000000"/>
                <w:sz w:val="20"/>
                <w:szCs w:val="20"/>
              </w:rPr>
              <w:t>56</w:t>
            </w:r>
          </w:p>
        </w:tc>
        <w:tc>
          <w:tcPr>
            <w:tcW w:w="986" w:type="dxa"/>
            <w:tcBorders>
              <w:top w:val="nil"/>
              <w:left w:val="nil"/>
              <w:bottom w:val="single" w:color="auto" w:sz="8" w:space="0"/>
              <w:right w:val="single" w:color="auto" w:sz="8" w:space="0"/>
            </w:tcBorders>
            <w:shd w:val="clear" w:color="auto" w:fill="auto"/>
            <w:vAlign w:val="center"/>
            <w:hideMark/>
          </w:tcPr>
          <w:p w:rsidRPr="0036140B" w:rsidR="00E75905" w:rsidP="00E75905" w:rsidRDefault="00E75905" w14:paraId="7793FC48" w14:textId="77777777">
            <w:pPr>
              <w:spacing w:after="0" w:line="240" w:lineRule="auto"/>
              <w:jc w:val="center"/>
              <w:rPr>
                <w:rFonts w:ascii="Times New Roman" w:hAnsi="Times New Roman" w:eastAsia="Times New Roman" w:cs="Times New Roman"/>
                <w:color w:val="000000"/>
                <w:sz w:val="20"/>
                <w:szCs w:val="20"/>
              </w:rPr>
            </w:pPr>
            <w:r w:rsidRPr="0036140B">
              <w:rPr>
                <w:rFonts w:ascii="Times New Roman" w:hAnsi="Times New Roman" w:eastAsia="Times New Roman" w:cs="Times New Roman"/>
                <w:color w:val="000000"/>
                <w:sz w:val="20"/>
                <w:szCs w:val="20"/>
              </w:rPr>
              <w:t>75.32</w:t>
            </w:r>
          </w:p>
        </w:tc>
        <w:tc>
          <w:tcPr>
            <w:tcW w:w="1805" w:type="dxa"/>
            <w:tcBorders>
              <w:top w:val="nil"/>
              <w:left w:val="nil"/>
              <w:bottom w:val="single" w:color="auto" w:sz="8" w:space="0"/>
              <w:right w:val="single" w:color="auto" w:sz="8" w:space="0"/>
            </w:tcBorders>
            <w:shd w:val="clear" w:color="auto" w:fill="auto"/>
            <w:noWrap/>
            <w:vAlign w:val="center"/>
            <w:hideMark/>
          </w:tcPr>
          <w:p w:rsidRPr="0036140B" w:rsidR="00E75905" w:rsidP="00E75905" w:rsidRDefault="00E75905" w14:paraId="03425191" w14:textId="77777777">
            <w:pPr>
              <w:spacing w:after="0" w:line="240" w:lineRule="auto"/>
              <w:jc w:val="center"/>
              <w:rPr>
                <w:rFonts w:ascii="Times New Roman" w:hAnsi="Times New Roman" w:eastAsia="Times New Roman" w:cs="Times New Roman"/>
                <w:color w:val="000000"/>
                <w:sz w:val="20"/>
                <w:szCs w:val="20"/>
              </w:rPr>
            </w:pPr>
            <w:r w:rsidRPr="0036140B">
              <w:rPr>
                <w:rFonts w:ascii="Times New Roman" w:hAnsi="Times New Roman" w:eastAsia="Times New Roman" w:cs="Times New Roman"/>
                <w:color w:val="000000"/>
                <w:sz w:val="20"/>
                <w:szCs w:val="20"/>
              </w:rPr>
              <w:t>4,218</w:t>
            </w:r>
          </w:p>
        </w:tc>
        <w:tc>
          <w:tcPr>
            <w:tcW w:w="1134" w:type="dxa"/>
            <w:tcBorders>
              <w:top w:val="nil"/>
              <w:left w:val="nil"/>
              <w:bottom w:val="single" w:color="auto" w:sz="8" w:space="0"/>
              <w:right w:val="single" w:color="auto" w:sz="8" w:space="0"/>
            </w:tcBorders>
            <w:shd w:val="clear" w:color="auto" w:fill="auto"/>
            <w:vAlign w:val="center"/>
            <w:hideMark/>
          </w:tcPr>
          <w:p w:rsidRPr="0036140B" w:rsidR="00E75905" w:rsidP="00E75905" w:rsidRDefault="00E75905" w14:paraId="223FE173" w14:textId="77777777">
            <w:pPr>
              <w:spacing w:after="0" w:line="240" w:lineRule="auto"/>
              <w:jc w:val="center"/>
              <w:rPr>
                <w:rFonts w:ascii="Times New Roman" w:hAnsi="Times New Roman" w:eastAsia="Times New Roman" w:cs="Times New Roman"/>
                <w:color w:val="000000"/>
                <w:sz w:val="20"/>
                <w:szCs w:val="20"/>
              </w:rPr>
            </w:pPr>
            <w:r w:rsidRPr="0036140B">
              <w:rPr>
                <w:rFonts w:ascii="Times New Roman" w:hAnsi="Times New Roman" w:eastAsia="Times New Roman" w:cs="Times New Roman"/>
                <w:color w:val="000000"/>
                <w:sz w:val="20"/>
                <w:szCs w:val="20"/>
              </w:rPr>
              <w:t>R</w:t>
            </w:r>
          </w:p>
        </w:tc>
        <w:tc>
          <w:tcPr>
            <w:tcW w:w="1170" w:type="dxa"/>
            <w:tcBorders>
              <w:top w:val="nil"/>
              <w:left w:val="nil"/>
              <w:bottom w:val="single" w:color="auto" w:sz="8" w:space="0"/>
              <w:right w:val="single" w:color="auto" w:sz="8" w:space="0"/>
            </w:tcBorders>
            <w:shd w:val="clear" w:color="auto" w:fill="auto"/>
            <w:vAlign w:val="center"/>
            <w:hideMark/>
          </w:tcPr>
          <w:p w:rsidRPr="0036140B" w:rsidR="00E75905" w:rsidP="00E75905" w:rsidRDefault="00E75905" w14:paraId="07B8ADFC" w14:textId="77777777">
            <w:pPr>
              <w:spacing w:after="0" w:line="240" w:lineRule="auto"/>
              <w:jc w:val="center"/>
              <w:rPr>
                <w:rFonts w:ascii="Times New Roman" w:hAnsi="Times New Roman" w:eastAsia="Times New Roman" w:cs="Times New Roman"/>
                <w:color w:val="000000"/>
                <w:sz w:val="20"/>
                <w:szCs w:val="20"/>
              </w:rPr>
            </w:pPr>
            <w:r w:rsidRPr="0036140B">
              <w:rPr>
                <w:rFonts w:ascii="Times New Roman" w:hAnsi="Times New Roman" w:eastAsia="Times New Roman" w:cs="Times New Roman"/>
                <w:color w:val="000000"/>
                <w:sz w:val="20"/>
                <w:szCs w:val="20"/>
              </w:rPr>
              <w:t>Annual</w:t>
            </w:r>
          </w:p>
        </w:tc>
      </w:tr>
      <w:tr w:rsidRPr="00E75905" w:rsidR="00E75905" w:rsidTr="00E75905" w14:paraId="2FA99B16" w14:textId="77777777">
        <w:trPr>
          <w:trHeight w:val="804"/>
        </w:trPr>
        <w:tc>
          <w:tcPr>
            <w:tcW w:w="1070" w:type="dxa"/>
            <w:tcBorders>
              <w:top w:val="nil"/>
              <w:left w:val="single" w:color="auto" w:sz="8" w:space="0"/>
              <w:bottom w:val="single" w:color="auto" w:sz="8" w:space="0"/>
              <w:right w:val="single" w:color="auto" w:sz="8" w:space="0"/>
            </w:tcBorders>
            <w:shd w:val="clear" w:color="auto" w:fill="auto"/>
            <w:vAlign w:val="center"/>
            <w:hideMark/>
          </w:tcPr>
          <w:p w:rsidRPr="0036140B" w:rsidR="00E75905" w:rsidP="00E75905" w:rsidRDefault="00E75905" w14:paraId="7244C4B0" w14:textId="77777777">
            <w:pPr>
              <w:spacing w:after="0" w:line="240" w:lineRule="auto"/>
              <w:jc w:val="center"/>
              <w:rPr>
                <w:rFonts w:ascii="Times New Roman" w:hAnsi="Times New Roman" w:eastAsia="Times New Roman" w:cs="Times New Roman"/>
                <w:color w:val="000000"/>
                <w:sz w:val="20"/>
                <w:szCs w:val="20"/>
              </w:rPr>
            </w:pPr>
            <w:r w:rsidRPr="0036140B">
              <w:rPr>
                <w:rFonts w:ascii="Times New Roman" w:hAnsi="Times New Roman" w:eastAsia="Times New Roman" w:cs="Times New Roman"/>
                <w:color w:val="000000"/>
                <w:sz w:val="20"/>
                <w:szCs w:val="20"/>
              </w:rPr>
              <w:t>12.65</w:t>
            </w:r>
          </w:p>
        </w:tc>
        <w:tc>
          <w:tcPr>
            <w:tcW w:w="1319" w:type="dxa"/>
            <w:tcBorders>
              <w:top w:val="nil"/>
              <w:left w:val="nil"/>
              <w:bottom w:val="single" w:color="auto" w:sz="8" w:space="0"/>
              <w:right w:val="single" w:color="auto" w:sz="8" w:space="0"/>
            </w:tcBorders>
            <w:shd w:val="clear" w:color="auto" w:fill="auto"/>
            <w:vAlign w:val="center"/>
            <w:hideMark/>
          </w:tcPr>
          <w:p w:rsidRPr="0036140B" w:rsidR="00E75905" w:rsidP="00E75905" w:rsidRDefault="00E75905" w14:paraId="533A91F7" w14:textId="77777777">
            <w:pPr>
              <w:spacing w:after="0" w:line="240" w:lineRule="auto"/>
              <w:jc w:val="center"/>
              <w:rPr>
                <w:rFonts w:ascii="Times New Roman" w:hAnsi="Times New Roman" w:eastAsia="Times New Roman" w:cs="Times New Roman"/>
                <w:color w:val="000000"/>
                <w:sz w:val="20"/>
                <w:szCs w:val="20"/>
              </w:rPr>
            </w:pPr>
            <w:r w:rsidRPr="0036140B">
              <w:rPr>
                <w:rFonts w:ascii="Times New Roman" w:hAnsi="Times New Roman" w:eastAsia="Times New Roman" w:cs="Times New Roman"/>
                <w:color w:val="000000"/>
                <w:sz w:val="20"/>
                <w:szCs w:val="20"/>
              </w:rPr>
              <w:t>438.74 MLR reporting</w:t>
            </w:r>
          </w:p>
        </w:tc>
        <w:tc>
          <w:tcPr>
            <w:tcW w:w="1471" w:type="dxa"/>
            <w:tcBorders>
              <w:top w:val="nil"/>
              <w:left w:val="nil"/>
              <w:bottom w:val="single" w:color="auto" w:sz="8" w:space="0"/>
              <w:right w:val="single" w:color="auto" w:sz="8" w:space="0"/>
            </w:tcBorders>
            <w:shd w:val="clear" w:color="auto" w:fill="auto"/>
            <w:noWrap/>
            <w:vAlign w:val="center"/>
            <w:hideMark/>
          </w:tcPr>
          <w:p w:rsidRPr="0036140B" w:rsidR="00E75905" w:rsidP="00E75905" w:rsidRDefault="00E75905" w14:paraId="08FE9EA7" w14:textId="77777777">
            <w:pPr>
              <w:spacing w:after="0" w:line="240" w:lineRule="auto"/>
              <w:jc w:val="center"/>
              <w:rPr>
                <w:rFonts w:ascii="Times New Roman" w:hAnsi="Times New Roman" w:eastAsia="Times New Roman" w:cs="Times New Roman"/>
                <w:color w:val="000000"/>
                <w:sz w:val="20"/>
                <w:szCs w:val="20"/>
              </w:rPr>
            </w:pPr>
            <w:r w:rsidRPr="0036140B">
              <w:rPr>
                <w:rFonts w:ascii="Times New Roman" w:hAnsi="Times New Roman" w:eastAsia="Times New Roman" w:cs="Times New Roman"/>
                <w:color w:val="000000"/>
                <w:sz w:val="20"/>
                <w:szCs w:val="20"/>
              </w:rPr>
              <w:t>41</w:t>
            </w:r>
          </w:p>
        </w:tc>
        <w:tc>
          <w:tcPr>
            <w:tcW w:w="1242" w:type="dxa"/>
            <w:tcBorders>
              <w:top w:val="nil"/>
              <w:left w:val="nil"/>
              <w:bottom w:val="single" w:color="auto" w:sz="8" w:space="0"/>
              <w:right w:val="single" w:color="auto" w:sz="8" w:space="0"/>
            </w:tcBorders>
            <w:shd w:val="clear" w:color="auto" w:fill="auto"/>
            <w:noWrap/>
            <w:vAlign w:val="center"/>
            <w:hideMark/>
          </w:tcPr>
          <w:p w:rsidRPr="0036140B" w:rsidR="00E75905" w:rsidP="00E75905" w:rsidRDefault="00E75905" w14:paraId="2B19320E" w14:textId="77777777">
            <w:pPr>
              <w:spacing w:after="0" w:line="240" w:lineRule="auto"/>
              <w:jc w:val="center"/>
              <w:rPr>
                <w:rFonts w:ascii="Times New Roman" w:hAnsi="Times New Roman" w:eastAsia="Times New Roman" w:cs="Times New Roman"/>
                <w:color w:val="000000"/>
                <w:sz w:val="20"/>
                <w:szCs w:val="20"/>
              </w:rPr>
            </w:pPr>
            <w:r w:rsidRPr="0036140B">
              <w:rPr>
                <w:rFonts w:ascii="Times New Roman" w:hAnsi="Times New Roman" w:eastAsia="Times New Roman" w:cs="Times New Roman"/>
                <w:color w:val="000000"/>
                <w:sz w:val="20"/>
                <w:szCs w:val="20"/>
              </w:rPr>
              <w:t>41</w:t>
            </w:r>
          </w:p>
        </w:tc>
        <w:tc>
          <w:tcPr>
            <w:tcW w:w="1188" w:type="dxa"/>
            <w:tcBorders>
              <w:top w:val="nil"/>
              <w:left w:val="nil"/>
              <w:bottom w:val="single" w:color="auto" w:sz="8" w:space="0"/>
              <w:right w:val="single" w:color="auto" w:sz="8" w:space="0"/>
            </w:tcBorders>
            <w:shd w:val="clear" w:color="auto" w:fill="auto"/>
            <w:vAlign w:val="center"/>
            <w:hideMark/>
          </w:tcPr>
          <w:p w:rsidRPr="0036140B" w:rsidR="00E75905" w:rsidP="00E75905" w:rsidRDefault="00E75905" w14:paraId="00A1FE35" w14:textId="77777777">
            <w:pPr>
              <w:spacing w:after="0" w:line="240" w:lineRule="auto"/>
              <w:jc w:val="center"/>
              <w:rPr>
                <w:rFonts w:ascii="Times New Roman" w:hAnsi="Times New Roman" w:eastAsia="Times New Roman" w:cs="Times New Roman"/>
                <w:color w:val="000000"/>
                <w:sz w:val="20"/>
                <w:szCs w:val="20"/>
              </w:rPr>
            </w:pPr>
            <w:r w:rsidRPr="0036140B">
              <w:rPr>
                <w:rFonts w:ascii="Times New Roman" w:hAnsi="Times New Roman" w:eastAsia="Times New Roman" w:cs="Times New Roman"/>
                <w:color w:val="000000"/>
                <w:sz w:val="20"/>
                <w:szCs w:val="20"/>
              </w:rPr>
              <w:t>5</w:t>
            </w:r>
          </w:p>
        </w:tc>
        <w:tc>
          <w:tcPr>
            <w:tcW w:w="1745" w:type="dxa"/>
            <w:tcBorders>
              <w:top w:val="nil"/>
              <w:left w:val="nil"/>
              <w:bottom w:val="single" w:color="auto" w:sz="8" w:space="0"/>
              <w:right w:val="single" w:color="auto" w:sz="8" w:space="0"/>
            </w:tcBorders>
            <w:shd w:val="clear" w:color="auto" w:fill="auto"/>
            <w:noWrap/>
            <w:vAlign w:val="center"/>
            <w:hideMark/>
          </w:tcPr>
          <w:p w:rsidRPr="0036140B" w:rsidR="00E75905" w:rsidP="00E75905" w:rsidRDefault="00E75905" w14:paraId="61A1F6CB" w14:textId="77777777">
            <w:pPr>
              <w:spacing w:after="0" w:line="240" w:lineRule="auto"/>
              <w:jc w:val="center"/>
              <w:rPr>
                <w:rFonts w:ascii="Times New Roman" w:hAnsi="Times New Roman" w:eastAsia="Times New Roman" w:cs="Times New Roman"/>
                <w:color w:val="000000"/>
                <w:sz w:val="20"/>
                <w:szCs w:val="20"/>
              </w:rPr>
            </w:pPr>
            <w:r w:rsidRPr="0036140B">
              <w:rPr>
                <w:rFonts w:ascii="Times New Roman" w:hAnsi="Times New Roman" w:eastAsia="Times New Roman" w:cs="Times New Roman"/>
                <w:color w:val="000000"/>
                <w:sz w:val="20"/>
                <w:szCs w:val="20"/>
              </w:rPr>
              <w:t>205</w:t>
            </w:r>
          </w:p>
        </w:tc>
        <w:tc>
          <w:tcPr>
            <w:tcW w:w="986" w:type="dxa"/>
            <w:tcBorders>
              <w:top w:val="nil"/>
              <w:left w:val="nil"/>
              <w:bottom w:val="single" w:color="auto" w:sz="8" w:space="0"/>
              <w:right w:val="single" w:color="auto" w:sz="8" w:space="0"/>
            </w:tcBorders>
            <w:shd w:val="clear" w:color="auto" w:fill="auto"/>
            <w:vAlign w:val="center"/>
            <w:hideMark/>
          </w:tcPr>
          <w:p w:rsidRPr="0036140B" w:rsidR="00E75905" w:rsidP="00E75905" w:rsidRDefault="00E75905" w14:paraId="1D85A4CA" w14:textId="77777777">
            <w:pPr>
              <w:spacing w:after="0" w:line="240" w:lineRule="auto"/>
              <w:jc w:val="center"/>
              <w:rPr>
                <w:rFonts w:ascii="Times New Roman" w:hAnsi="Times New Roman" w:eastAsia="Times New Roman" w:cs="Times New Roman"/>
                <w:color w:val="000000"/>
                <w:sz w:val="20"/>
                <w:szCs w:val="20"/>
              </w:rPr>
            </w:pPr>
            <w:r w:rsidRPr="0036140B">
              <w:rPr>
                <w:rFonts w:ascii="Times New Roman" w:hAnsi="Times New Roman" w:eastAsia="Times New Roman" w:cs="Times New Roman"/>
                <w:color w:val="000000"/>
                <w:sz w:val="20"/>
                <w:szCs w:val="20"/>
              </w:rPr>
              <w:t>75.32</w:t>
            </w:r>
          </w:p>
        </w:tc>
        <w:tc>
          <w:tcPr>
            <w:tcW w:w="1805" w:type="dxa"/>
            <w:tcBorders>
              <w:top w:val="nil"/>
              <w:left w:val="nil"/>
              <w:bottom w:val="single" w:color="auto" w:sz="8" w:space="0"/>
              <w:right w:val="single" w:color="auto" w:sz="8" w:space="0"/>
            </w:tcBorders>
            <w:shd w:val="clear" w:color="auto" w:fill="auto"/>
            <w:noWrap/>
            <w:vAlign w:val="center"/>
            <w:hideMark/>
          </w:tcPr>
          <w:p w:rsidRPr="0036140B" w:rsidR="00E75905" w:rsidP="00E75905" w:rsidRDefault="00E75905" w14:paraId="2B0F8C8F" w14:textId="77777777">
            <w:pPr>
              <w:spacing w:after="0" w:line="240" w:lineRule="auto"/>
              <w:jc w:val="center"/>
              <w:rPr>
                <w:rFonts w:ascii="Times New Roman" w:hAnsi="Times New Roman" w:eastAsia="Times New Roman" w:cs="Times New Roman"/>
                <w:color w:val="000000"/>
                <w:sz w:val="20"/>
                <w:szCs w:val="20"/>
              </w:rPr>
            </w:pPr>
            <w:r w:rsidRPr="0036140B">
              <w:rPr>
                <w:rFonts w:ascii="Times New Roman" w:hAnsi="Times New Roman" w:eastAsia="Times New Roman" w:cs="Times New Roman"/>
                <w:color w:val="000000"/>
                <w:sz w:val="20"/>
                <w:szCs w:val="20"/>
              </w:rPr>
              <w:t>15,441</w:t>
            </w:r>
          </w:p>
        </w:tc>
        <w:tc>
          <w:tcPr>
            <w:tcW w:w="1134" w:type="dxa"/>
            <w:tcBorders>
              <w:top w:val="nil"/>
              <w:left w:val="nil"/>
              <w:bottom w:val="single" w:color="auto" w:sz="8" w:space="0"/>
              <w:right w:val="single" w:color="auto" w:sz="8" w:space="0"/>
            </w:tcBorders>
            <w:shd w:val="clear" w:color="auto" w:fill="auto"/>
            <w:vAlign w:val="center"/>
            <w:hideMark/>
          </w:tcPr>
          <w:p w:rsidRPr="0036140B" w:rsidR="00E75905" w:rsidP="00E75905" w:rsidRDefault="00E75905" w14:paraId="0E90261D" w14:textId="77777777">
            <w:pPr>
              <w:spacing w:after="0" w:line="240" w:lineRule="auto"/>
              <w:jc w:val="center"/>
              <w:rPr>
                <w:rFonts w:ascii="Times New Roman" w:hAnsi="Times New Roman" w:eastAsia="Times New Roman" w:cs="Times New Roman"/>
                <w:color w:val="000000"/>
                <w:sz w:val="20"/>
                <w:szCs w:val="20"/>
              </w:rPr>
            </w:pPr>
            <w:r w:rsidRPr="0036140B">
              <w:rPr>
                <w:rFonts w:ascii="Times New Roman" w:hAnsi="Times New Roman" w:eastAsia="Times New Roman" w:cs="Times New Roman"/>
                <w:color w:val="000000"/>
                <w:sz w:val="20"/>
                <w:szCs w:val="20"/>
              </w:rPr>
              <w:t>R</w:t>
            </w:r>
          </w:p>
        </w:tc>
        <w:tc>
          <w:tcPr>
            <w:tcW w:w="1170" w:type="dxa"/>
            <w:tcBorders>
              <w:top w:val="nil"/>
              <w:left w:val="nil"/>
              <w:bottom w:val="single" w:color="auto" w:sz="8" w:space="0"/>
              <w:right w:val="single" w:color="auto" w:sz="8" w:space="0"/>
            </w:tcBorders>
            <w:shd w:val="clear" w:color="auto" w:fill="auto"/>
            <w:vAlign w:val="center"/>
            <w:hideMark/>
          </w:tcPr>
          <w:p w:rsidRPr="0036140B" w:rsidR="00E75905" w:rsidP="00E75905" w:rsidRDefault="00E75905" w14:paraId="4B12EA0C" w14:textId="77777777">
            <w:pPr>
              <w:spacing w:after="0" w:line="240" w:lineRule="auto"/>
              <w:jc w:val="center"/>
              <w:rPr>
                <w:rFonts w:ascii="Times New Roman" w:hAnsi="Times New Roman" w:eastAsia="Times New Roman" w:cs="Times New Roman"/>
                <w:color w:val="000000"/>
                <w:sz w:val="20"/>
                <w:szCs w:val="20"/>
              </w:rPr>
            </w:pPr>
            <w:r w:rsidRPr="0036140B">
              <w:rPr>
                <w:rFonts w:ascii="Times New Roman" w:hAnsi="Times New Roman" w:eastAsia="Times New Roman" w:cs="Times New Roman"/>
                <w:color w:val="000000"/>
                <w:sz w:val="20"/>
                <w:szCs w:val="20"/>
              </w:rPr>
              <w:t>Annual</w:t>
            </w:r>
          </w:p>
        </w:tc>
      </w:tr>
      <w:tr w:rsidRPr="00E75905" w:rsidR="00E75905" w:rsidTr="00E75905" w14:paraId="29F86534" w14:textId="77777777">
        <w:trPr>
          <w:trHeight w:val="1068"/>
        </w:trPr>
        <w:tc>
          <w:tcPr>
            <w:tcW w:w="1070" w:type="dxa"/>
            <w:tcBorders>
              <w:top w:val="nil"/>
              <w:left w:val="single" w:color="auto" w:sz="8" w:space="0"/>
              <w:bottom w:val="single" w:color="auto" w:sz="8" w:space="0"/>
              <w:right w:val="single" w:color="auto" w:sz="8" w:space="0"/>
            </w:tcBorders>
            <w:shd w:val="clear" w:color="auto" w:fill="auto"/>
            <w:vAlign w:val="center"/>
            <w:hideMark/>
          </w:tcPr>
          <w:p w:rsidRPr="0036140B" w:rsidR="00E75905" w:rsidP="00E75905" w:rsidRDefault="00E75905" w14:paraId="18AF74D5" w14:textId="77777777">
            <w:pPr>
              <w:spacing w:after="0" w:line="240" w:lineRule="auto"/>
              <w:jc w:val="center"/>
              <w:rPr>
                <w:rFonts w:ascii="Times New Roman" w:hAnsi="Times New Roman" w:eastAsia="Times New Roman" w:cs="Times New Roman"/>
                <w:color w:val="000000"/>
                <w:sz w:val="20"/>
                <w:szCs w:val="20"/>
              </w:rPr>
            </w:pPr>
            <w:r w:rsidRPr="0036140B">
              <w:rPr>
                <w:rFonts w:ascii="Times New Roman" w:hAnsi="Times New Roman" w:eastAsia="Times New Roman" w:cs="Times New Roman"/>
                <w:color w:val="000000"/>
                <w:sz w:val="20"/>
                <w:szCs w:val="20"/>
              </w:rPr>
              <w:t>12.34c</w:t>
            </w:r>
          </w:p>
        </w:tc>
        <w:tc>
          <w:tcPr>
            <w:tcW w:w="1319" w:type="dxa"/>
            <w:tcBorders>
              <w:top w:val="nil"/>
              <w:left w:val="nil"/>
              <w:bottom w:val="single" w:color="auto" w:sz="8" w:space="0"/>
              <w:right w:val="single" w:color="auto" w:sz="8" w:space="0"/>
            </w:tcBorders>
            <w:shd w:val="clear" w:color="auto" w:fill="auto"/>
            <w:vAlign w:val="center"/>
            <w:hideMark/>
          </w:tcPr>
          <w:p w:rsidRPr="0036140B" w:rsidR="00E75905" w:rsidP="00E75905" w:rsidRDefault="00E75905" w14:paraId="1E21E10E" w14:textId="77777777">
            <w:pPr>
              <w:spacing w:after="0" w:line="240" w:lineRule="auto"/>
              <w:jc w:val="center"/>
              <w:rPr>
                <w:rFonts w:ascii="Times New Roman" w:hAnsi="Times New Roman" w:eastAsia="Times New Roman" w:cs="Times New Roman"/>
                <w:color w:val="000000"/>
                <w:sz w:val="20"/>
                <w:szCs w:val="20"/>
              </w:rPr>
            </w:pPr>
            <w:r w:rsidRPr="0036140B">
              <w:rPr>
                <w:rFonts w:ascii="Times New Roman" w:hAnsi="Times New Roman" w:eastAsia="Times New Roman" w:cs="Times New Roman"/>
                <w:color w:val="000000"/>
                <w:sz w:val="20"/>
                <w:szCs w:val="20"/>
              </w:rPr>
              <w:t>438.207(d) Access reporting</w:t>
            </w:r>
          </w:p>
        </w:tc>
        <w:tc>
          <w:tcPr>
            <w:tcW w:w="1471" w:type="dxa"/>
            <w:tcBorders>
              <w:top w:val="nil"/>
              <w:left w:val="nil"/>
              <w:bottom w:val="single" w:color="auto" w:sz="8" w:space="0"/>
              <w:right w:val="single" w:color="auto" w:sz="8" w:space="0"/>
            </w:tcBorders>
            <w:shd w:val="clear" w:color="auto" w:fill="auto"/>
            <w:noWrap/>
            <w:vAlign w:val="center"/>
            <w:hideMark/>
          </w:tcPr>
          <w:p w:rsidRPr="0036140B" w:rsidR="00E75905" w:rsidP="00E75905" w:rsidRDefault="00E75905" w14:paraId="14C3891D" w14:textId="77777777">
            <w:pPr>
              <w:spacing w:after="0" w:line="240" w:lineRule="auto"/>
              <w:jc w:val="center"/>
              <w:rPr>
                <w:rFonts w:ascii="Times New Roman" w:hAnsi="Times New Roman" w:eastAsia="Times New Roman" w:cs="Times New Roman"/>
                <w:color w:val="000000"/>
                <w:sz w:val="20"/>
                <w:szCs w:val="20"/>
              </w:rPr>
            </w:pPr>
            <w:r w:rsidRPr="0036140B">
              <w:rPr>
                <w:rFonts w:ascii="Times New Roman" w:hAnsi="Times New Roman" w:eastAsia="Times New Roman" w:cs="Times New Roman"/>
                <w:color w:val="000000"/>
                <w:sz w:val="20"/>
                <w:szCs w:val="20"/>
              </w:rPr>
              <w:t>41</w:t>
            </w:r>
          </w:p>
        </w:tc>
        <w:tc>
          <w:tcPr>
            <w:tcW w:w="1242" w:type="dxa"/>
            <w:tcBorders>
              <w:top w:val="nil"/>
              <w:left w:val="nil"/>
              <w:bottom w:val="single" w:color="auto" w:sz="8" w:space="0"/>
              <w:right w:val="single" w:color="auto" w:sz="8" w:space="0"/>
            </w:tcBorders>
            <w:shd w:val="clear" w:color="auto" w:fill="auto"/>
            <w:noWrap/>
            <w:vAlign w:val="center"/>
            <w:hideMark/>
          </w:tcPr>
          <w:p w:rsidRPr="0036140B" w:rsidR="00E75905" w:rsidP="00E75905" w:rsidRDefault="00E75905" w14:paraId="2C6FEBC3" w14:textId="77777777">
            <w:pPr>
              <w:spacing w:after="0" w:line="240" w:lineRule="auto"/>
              <w:jc w:val="center"/>
              <w:rPr>
                <w:rFonts w:ascii="Times New Roman" w:hAnsi="Times New Roman" w:eastAsia="Times New Roman" w:cs="Times New Roman"/>
                <w:color w:val="000000"/>
                <w:sz w:val="20"/>
                <w:szCs w:val="20"/>
              </w:rPr>
            </w:pPr>
            <w:r w:rsidRPr="0036140B">
              <w:rPr>
                <w:rFonts w:ascii="Times New Roman" w:hAnsi="Times New Roman" w:eastAsia="Times New Roman" w:cs="Times New Roman"/>
                <w:color w:val="000000"/>
                <w:sz w:val="20"/>
                <w:szCs w:val="20"/>
              </w:rPr>
              <w:t>41</w:t>
            </w:r>
          </w:p>
        </w:tc>
        <w:tc>
          <w:tcPr>
            <w:tcW w:w="1188" w:type="dxa"/>
            <w:tcBorders>
              <w:top w:val="nil"/>
              <w:left w:val="nil"/>
              <w:bottom w:val="single" w:color="auto" w:sz="8" w:space="0"/>
              <w:right w:val="single" w:color="auto" w:sz="8" w:space="0"/>
            </w:tcBorders>
            <w:shd w:val="clear" w:color="auto" w:fill="auto"/>
            <w:vAlign w:val="center"/>
            <w:hideMark/>
          </w:tcPr>
          <w:p w:rsidRPr="0036140B" w:rsidR="00E75905" w:rsidP="00E75905" w:rsidRDefault="00E75905" w14:paraId="5CB46397" w14:textId="77777777">
            <w:pPr>
              <w:spacing w:after="0" w:line="240" w:lineRule="auto"/>
              <w:jc w:val="center"/>
              <w:rPr>
                <w:rFonts w:ascii="Times New Roman" w:hAnsi="Times New Roman" w:eastAsia="Times New Roman" w:cs="Times New Roman"/>
                <w:color w:val="000000"/>
                <w:sz w:val="20"/>
                <w:szCs w:val="20"/>
              </w:rPr>
            </w:pPr>
            <w:r w:rsidRPr="0036140B">
              <w:rPr>
                <w:rFonts w:ascii="Times New Roman" w:hAnsi="Times New Roman" w:eastAsia="Times New Roman" w:cs="Times New Roman"/>
                <w:color w:val="000000"/>
                <w:sz w:val="20"/>
                <w:szCs w:val="20"/>
              </w:rPr>
              <w:t>3</w:t>
            </w:r>
          </w:p>
        </w:tc>
        <w:tc>
          <w:tcPr>
            <w:tcW w:w="1745" w:type="dxa"/>
            <w:tcBorders>
              <w:top w:val="nil"/>
              <w:left w:val="nil"/>
              <w:bottom w:val="single" w:color="auto" w:sz="8" w:space="0"/>
              <w:right w:val="single" w:color="auto" w:sz="8" w:space="0"/>
            </w:tcBorders>
            <w:shd w:val="clear" w:color="auto" w:fill="auto"/>
            <w:noWrap/>
            <w:vAlign w:val="center"/>
            <w:hideMark/>
          </w:tcPr>
          <w:p w:rsidRPr="0036140B" w:rsidR="00E75905" w:rsidP="00E75905" w:rsidRDefault="00E75905" w14:paraId="0F5D8A33" w14:textId="77777777">
            <w:pPr>
              <w:spacing w:after="0" w:line="240" w:lineRule="auto"/>
              <w:jc w:val="center"/>
              <w:rPr>
                <w:rFonts w:ascii="Times New Roman" w:hAnsi="Times New Roman" w:eastAsia="Times New Roman" w:cs="Times New Roman"/>
                <w:color w:val="000000"/>
                <w:sz w:val="20"/>
                <w:szCs w:val="20"/>
              </w:rPr>
            </w:pPr>
            <w:r w:rsidRPr="0036140B">
              <w:rPr>
                <w:rFonts w:ascii="Times New Roman" w:hAnsi="Times New Roman" w:eastAsia="Times New Roman" w:cs="Times New Roman"/>
                <w:color w:val="000000"/>
                <w:sz w:val="20"/>
                <w:szCs w:val="20"/>
              </w:rPr>
              <w:t>123</w:t>
            </w:r>
          </w:p>
        </w:tc>
        <w:tc>
          <w:tcPr>
            <w:tcW w:w="986" w:type="dxa"/>
            <w:tcBorders>
              <w:top w:val="nil"/>
              <w:left w:val="nil"/>
              <w:bottom w:val="single" w:color="auto" w:sz="8" w:space="0"/>
              <w:right w:val="single" w:color="auto" w:sz="8" w:space="0"/>
            </w:tcBorders>
            <w:shd w:val="clear" w:color="auto" w:fill="auto"/>
            <w:vAlign w:val="center"/>
            <w:hideMark/>
          </w:tcPr>
          <w:p w:rsidRPr="0036140B" w:rsidR="00E75905" w:rsidP="00E75905" w:rsidRDefault="00E75905" w14:paraId="128B810D" w14:textId="77777777">
            <w:pPr>
              <w:spacing w:after="0" w:line="240" w:lineRule="auto"/>
              <w:jc w:val="center"/>
              <w:rPr>
                <w:rFonts w:ascii="Times New Roman" w:hAnsi="Times New Roman" w:eastAsia="Times New Roman" w:cs="Times New Roman"/>
                <w:color w:val="000000"/>
                <w:sz w:val="20"/>
                <w:szCs w:val="20"/>
              </w:rPr>
            </w:pPr>
            <w:r w:rsidRPr="0036140B">
              <w:rPr>
                <w:rFonts w:ascii="Times New Roman" w:hAnsi="Times New Roman" w:eastAsia="Times New Roman" w:cs="Times New Roman"/>
                <w:color w:val="000000"/>
                <w:sz w:val="20"/>
                <w:szCs w:val="20"/>
              </w:rPr>
              <w:t>75.32</w:t>
            </w:r>
          </w:p>
        </w:tc>
        <w:tc>
          <w:tcPr>
            <w:tcW w:w="1805" w:type="dxa"/>
            <w:tcBorders>
              <w:top w:val="nil"/>
              <w:left w:val="nil"/>
              <w:bottom w:val="single" w:color="auto" w:sz="8" w:space="0"/>
              <w:right w:val="single" w:color="auto" w:sz="8" w:space="0"/>
            </w:tcBorders>
            <w:shd w:val="clear" w:color="auto" w:fill="auto"/>
            <w:noWrap/>
            <w:vAlign w:val="center"/>
            <w:hideMark/>
          </w:tcPr>
          <w:p w:rsidRPr="0036140B" w:rsidR="00E75905" w:rsidP="00E75905" w:rsidRDefault="00E75905" w14:paraId="0CE27DE2" w14:textId="77777777">
            <w:pPr>
              <w:spacing w:after="0" w:line="240" w:lineRule="auto"/>
              <w:jc w:val="center"/>
              <w:rPr>
                <w:rFonts w:ascii="Times New Roman" w:hAnsi="Times New Roman" w:eastAsia="Times New Roman" w:cs="Times New Roman"/>
                <w:color w:val="000000"/>
                <w:sz w:val="20"/>
                <w:szCs w:val="20"/>
              </w:rPr>
            </w:pPr>
            <w:r w:rsidRPr="0036140B">
              <w:rPr>
                <w:rFonts w:ascii="Times New Roman" w:hAnsi="Times New Roman" w:eastAsia="Times New Roman" w:cs="Times New Roman"/>
                <w:color w:val="000000"/>
                <w:sz w:val="20"/>
                <w:szCs w:val="20"/>
              </w:rPr>
              <w:t>9,264</w:t>
            </w:r>
          </w:p>
        </w:tc>
        <w:tc>
          <w:tcPr>
            <w:tcW w:w="1134" w:type="dxa"/>
            <w:tcBorders>
              <w:top w:val="nil"/>
              <w:left w:val="nil"/>
              <w:bottom w:val="single" w:color="auto" w:sz="8" w:space="0"/>
              <w:right w:val="single" w:color="auto" w:sz="8" w:space="0"/>
            </w:tcBorders>
            <w:shd w:val="clear" w:color="auto" w:fill="auto"/>
            <w:vAlign w:val="center"/>
            <w:hideMark/>
          </w:tcPr>
          <w:p w:rsidRPr="0036140B" w:rsidR="00E75905" w:rsidP="00E75905" w:rsidRDefault="00E75905" w14:paraId="6803F661" w14:textId="77777777">
            <w:pPr>
              <w:spacing w:after="0" w:line="240" w:lineRule="auto"/>
              <w:jc w:val="center"/>
              <w:rPr>
                <w:rFonts w:ascii="Times New Roman" w:hAnsi="Times New Roman" w:eastAsia="Times New Roman" w:cs="Times New Roman"/>
                <w:color w:val="000000"/>
                <w:sz w:val="20"/>
                <w:szCs w:val="20"/>
              </w:rPr>
            </w:pPr>
            <w:r w:rsidRPr="0036140B">
              <w:rPr>
                <w:rFonts w:ascii="Times New Roman" w:hAnsi="Times New Roman" w:eastAsia="Times New Roman" w:cs="Times New Roman"/>
                <w:color w:val="000000"/>
                <w:sz w:val="20"/>
                <w:szCs w:val="20"/>
              </w:rPr>
              <w:t>R</w:t>
            </w:r>
          </w:p>
        </w:tc>
        <w:tc>
          <w:tcPr>
            <w:tcW w:w="1170" w:type="dxa"/>
            <w:tcBorders>
              <w:top w:val="nil"/>
              <w:left w:val="nil"/>
              <w:bottom w:val="single" w:color="auto" w:sz="8" w:space="0"/>
              <w:right w:val="single" w:color="auto" w:sz="8" w:space="0"/>
            </w:tcBorders>
            <w:shd w:val="clear" w:color="auto" w:fill="auto"/>
            <w:vAlign w:val="center"/>
            <w:hideMark/>
          </w:tcPr>
          <w:p w:rsidRPr="0036140B" w:rsidR="00E75905" w:rsidP="00E75905" w:rsidRDefault="00E75905" w14:paraId="7B0FD8AD" w14:textId="77777777">
            <w:pPr>
              <w:spacing w:after="0" w:line="240" w:lineRule="auto"/>
              <w:jc w:val="center"/>
              <w:rPr>
                <w:rFonts w:ascii="Times New Roman" w:hAnsi="Times New Roman" w:eastAsia="Times New Roman" w:cs="Times New Roman"/>
                <w:color w:val="000000"/>
                <w:sz w:val="20"/>
                <w:szCs w:val="20"/>
              </w:rPr>
            </w:pPr>
            <w:r w:rsidRPr="0036140B">
              <w:rPr>
                <w:rFonts w:ascii="Times New Roman" w:hAnsi="Times New Roman" w:eastAsia="Times New Roman" w:cs="Times New Roman"/>
                <w:color w:val="000000"/>
                <w:sz w:val="20"/>
                <w:szCs w:val="20"/>
              </w:rPr>
              <w:t>Annual</w:t>
            </w:r>
          </w:p>
        </w:tc>
      </w:tr>
      <w:tr w:rsidRPr="00E75905" w:rsidR="00E75905" w:rsidTr="00E75905" w14:paraId="4B8910DF" w14:textId="77777777">
        <w:trPr>
          <w:trHeight w:val="1068"/>
        </w:trPr>
        <w:tc>
          <w:tcPr>
            <w:tcW w:w="1070" w:type="dxa"/>
            <w:tcBorders>
              <w:top w:val="nil"/>
              <w:left w:val="single" w:color="auto" w:sz="8" w:space="0"/>
              <w:bottom w:val="single" w:color="auto" w:sz="8" w:space="0"/>
              <w:right w:val="single" w:color="auto" w:sz="8" w:space="0"/>
            </w:tcBorders>
            <w:shd w:val="clear" w:color="auto" w:fill="auto"/>
            <w:vAlign w:val="center"/>
            <w:hideMark/>
          </w:tcPr>
          <w:p w:rsidRPr="0036140B" w:rsidR="00E75905" w:rsidP="00E75905" w:rsidRDefault="00E75905" w14:paraId="394F3536" w14:textId="77777777">
            <w:pPr>
              <w:spacing w:after="0" w:line="240" w:lineRule="auto"/>
              <w:jc w:val="center"/>
              <w:rPr>
                <w:rFonts w:ascii="Times New Roman" w:hAnsi="Times New Roman" w:eastAsia="Times New Roman" w:cs="Times New Roman"/>
                <w:color w:val="000000"/>
                <w:sz w:val="20"/>
                <w:szCs w:val="20"/>
              </w:rPr>
            </w:pPr>
            <w:r w:rsidRPr="0036140B">
              <w:rPr>
                <w:rFonts w:ascii="Times New Roman" w:hAnsi="Times New Roman" w:eastAsia="Times New Roman" w:cs="Times New Roman"/>
                <w:color w:val="000000"/>
                <w:sz w:val="20"/>
                <w:szCs w:val="20"/>
              </w:rPr>
              <w:lastRenderedPageBreak/>
              <w:t>12.54</w:t>
            </w:r>
          </w:p>
        </w:tc>
        <w:tc>
          <w:tcPr>
            <w:tcW w:w="1319" w:type="dxa"/>
            <w:tcBorders>
              <w:top w:val="nil"/>
              <w:left w:val="nil"/>
              <w:bottom w:val="single" w:color="auto" w:sz="8" w:space="0"/>
              <w:right w:val="single" w:color="auto" w:sz="8" w:space="0"/>
            </w:tcBorders>
            <w:shd w:val="clear" w:color="auto" w:fill="auto"/>
            <w:vAlign w:val="center"/>
            <w:hideMark/>
          </w:tcPr>
          <w:p w:rsidRPr="0036140B" w:rsidR="00E75905" w:rsidP="00E75905" w:rsidRDefault="00E75905" w14:paraId="2EB930BC" w14:textId="77777777">
            <w:pPr>
              <w:spacing w:after="0" w:line="240" w:lineRule="auto"/>
              <w:jc w:val="center"/>
              <w:rPr>
                <w:rFonts w:ascii="Times New Roman" w:hAnsi="Times New Roman" w:eastAsia="Times New Roman" w:cs="Times New Roman"/>
                <w:color w:val="000000"/>
                <w:sz w:val="20"/>
                <w:szCs w:val="20"/>
              </w:rPr>
            </w:pPr>
            <w:r w:rsidRPr="0036140B">
              <w:rPr>
                <w:rFonts w:ascii="Times New Roman" w:hAnsi="Times New Roman" w:eastAsia="Times New Roman" w:cs="Times New Roman"/>
                <w:color w:val="000000"/>
                <w:sz w:val="20"/>
                <w:szCs w:val="20"/>
              </w:rPr>
              <w:t>438.602(e), Program Integrity</w:t>
            </w:r>
          </w:p>
        </w:tc>
        <w:tc>
          <w:tcPr>
            <w:tcW w:w="1471" w:type="dxa"/>
            <w:tcBorders>
              <w:top w:val="nil"/>
              <w:left w:val="nil"/>
              <w:bottom w:val="single" w:color="auto" w:sz="8" w:space="0"/>
              <w:right w:val="single" w:color="auto" w:sz="8" w:space="0"/>
            </w:tcBorders>
            <w:shd w:val="clear" w:color="auto" w:fill="auto"/>
            <w:noWrap/>
            <w:vAlign w:val="center"/>
            <w:hideMark/>
          </w:tcPr>
          <w:p w:rsidRPr="0036140B" w:rsidR="00E75905" w:rsidP="00E75905" w:rsidRDefault="00E75905" w14:paraId="118F6727" w14:textId="77777777">
            <w:pPr>
              <w:spacing w:after="0" w:line="240" w:lineRule="auto"/>
              <w:jc w:val="center"/>
              <w:rPr>
                <w:rFonts w:ascii="Times New Roman" w:hAnsi="Times New Roman" w:eastAsia="Times New Roman" w:cs="Times New Roman"/>
                <w:color w:val="000000"/>
                <w:sz w:val="20"/>
                <w:szCs w:val="20"/>
              </w:rPr>
            </w:pPr>
            <w:r w:rsidRPr="0036140B">
              <w:rPr>
                <w:rFonts w:ascii="Times New Roman" w:hAnsi="Times New Roman" w:eastAsia="Times New Roman" w:cs="Times New Roman"/>
                <w:color w:val="000000"/>
                <w:sz w:val="20"/>
                <w:szCs w:val="20"/>
              </w:rPr>
              <w:t>40</w:t>
            </w:r>
          </w:p>
        </w:tc>
        <w:tc>
          <w:tcPr>
            <w:tcW w:w="1242" w:type="dxa"/>
            <w:tcBorders>
              <w:top w:val="nil"/>
              <w:left w:val="nil"/>
              <w:bottom w:val="single" w:color="auto" w:sz="8" w:space="0"/>
              <w:right w:val="single" w:color="auto" w:sz="8" w:space="0"/>
            </w:tcBorders>
            <w:shd w:val="clear" w:color="auto" w:fill="auto"/>
            <w:noWrap/>
            <w:vAlign w:val="center"/>
            <w:hideMark/>
          </w:tcPr>
          <w:p w:rsidRPr="0036140B" w:rsidR="00E75905" w:rsidP="00E75905" w:rsidRDefault="00E75905" w14:paraId="45750840" w14:textId="77777777">
            <w:pPr>
              <w:spacing w:after="0" w:line="240" w:lineRule="auto"/>
              <w:jc w:val="center"/>
              <w:rPr>
                <w:rFonts w:ascii="Times New Roman" w:hAnsi="Times New Roman" w:eastAsia="Times New Roman" w:cs="Times New Roman"/>
                <w:color w:val="000000"/>
                <w:sz w:val="20"/>
                <w:szCs w:val="20"/>
              </w:rPr>
            </w:pPr>
            <w:r w:rsidRPr="0036140B">
              <w:rPr>
                <w:rFonts w:ascii="Times New Roman" w:hAnsi="Times New Roman" w:eastAsia="Times New Roman" w:cs="Times New Roman"/>
                <w:color w:val="000000"/>
                <w:sz w:val="20"/>
                <w:szCs w:val="20"/>
              </w:rPr>
              <w:t>171</w:t>
            </w:r>
          </w:p>
        </w:tc>
        <w:tc>
          <w:tcPr>
            <w:tcW w:w="1188" w:type="dxa"/>
            <w:tcBorders>
              <w:top w:val="nil"/>
              <w:left w:val="nil"/>
              <w:bottom w:val="single" w:color="auto" w:sz="8" w:space="0"/>
              <w:right w:val="single" w:color="auto" w:sz="8" w:space="0"/>
            </w:tcBorders>
            <w:shd w:val="clear" w:color="auto" w:fill="auto"/>
            <w:vAlign w:val="center"/>
            <w:hideMark/>
          </w:tcPr>
          <w:p w:rsidRPr="0036140B" w:rsidR="00E75905" w:rsidP="00E75905" w:rsidRDefault="00E75905" w14:paraId="35CA6B39" w14:textId="77777777">
            <w:pPr>
              <w:spacing w:after="0" w:line="240" w:lineRule="auto"/>
              <w:jc w:val="center"/>
              <w:rPr>
                <w:rFonts w:ascii="Times New Roman" w:hAnsi="Times New Roman" w:eastAsia="Times New Roman" w:cs="Times New Roman"/>
                <w:color w:val="000000"/>
                <w:sz w:val="20"/>
                <w:szCs w:val="20"/>
              </w:rPr>
            </w:pPr>
            <w:r w:rsidRPr="0036140B">
              <w:rPr>
                <w:rFonts w:ascii="Times New Roman" w:hAnsi="Times New Roman" w:eastAsia="Times New Roman" w:cs="Times New Roman"/>
                <w:color w:val="000000"/>
                <w:sz w:val="20"/>
                <w:szCs w:val="20"/>
              </w:rPr>
              <w:t>20</w:t>
            </w:r>
          </w:p>
        </w:tc>
        <w:tc>
          <w:tcPr>
            <w:tcW w:w="1745" w:type="dxa"/>
            <w:tcBorders>
              <w:top w:val="nil"/>
              <w:left w:val="nil"/>
              <w:bottom w:val="single" w:color="auto" w:sz="8" w:space="0"/>
              <w:right w:val="single" w:color="auto" w:sz="8" w:space="0"/>
            </w:tcBorders>
            <w:shd w:val="clear" w:color="auto" w:fill="auto"/>
            <w:noWrap/>
            <w:vAlign w:val="center"/>
            <w:hideMark/>
          </w:tcPr>
          <w:p w:rsidRPr="0036140B" w:rsidR="00E75905" w:rsidP="00E75905" w:rsidRDefault="00E75905" w14:paraId="318039BB" w14:textId="77777777">
            <w:pPr>
              <w:spacing w:after="0" w:line="240" w:lineRule="auto"/>
              <w:jc w:val="center"/>
              <w:rPr>
                <w:rFonts w:ascii="Times New Roman" w:hAnsi="Times New Roman" w:eastAsia="Times New Roman" w:cs="Times New Roman"/>
                <w:color w:val="000000"/>
                <w:sz w:val="20"/>
                <w:szCs w:val="20"/>
              </w:rPr>
            </w:pPr>
            <w:r w:rsidRPr="0036140B">
              <w:rPr>
                <w:rFonts w:ascii="Times New Roman" w:hAnsi="Times New Roman" w:eastAsia="Times New Roman" w:cs="Times New Roman"/>
                <w:color w:val="000000"/>
                <w:sz w:val="20"/>
                <w:szCs w:val="20"/>
              </w:rPr>
              <w:t>3,413</w:t>
            </w:r>
          </w:p>
        </w:tc>
        <w:tc>
          <w:tcPr>
            <w:tcW w:w="986" w:type="dxa"/>
            <w:tcBorders>
              <w:top w:val="nil"/>
              <w:left w:val="nil"/>
              <w:bottom w:val="single" w:color="auto" w:sz="8" w:space="0"/>
              <w:right w:val="single" w:color="auto" w:sz="8" w:space="0"/>
            </w:tcBorders>
            <w:shd w:val="clear" w:color="auto" w:fill="auto"/>
            <w:vAlign w:val="center"/>
            <w:hideMark/>
          </w:tcPr>
          <w:p w:rsidRPr="0036140B" w:rsidR="00E75905" w:rsidP="00E75905" w:rsidRDefault="00E75905" w14:paraId="1F33947A" w14:textId="77777777">
            <w:pPr>
              <w:spacing w:after="0" w:line="240" w:lineRule="auto"/>
              <w:jc w:val="center"/>
              <w:rPr>
                <w:rFonts w:ascii="Times New Roman" w:hAnsi="Times New Roman" w:eastAsia="Times New Roman" w:cs="Times New Roman"/>
                <w:color w:val="000000"/>
                <w:sz w:val="20"/>
                <w:szCs w:val="20"/>
              </w:rPr>
            </w:pPr>
            <w:r w:rsidRPr="0036140B">
              <w:rPr>
                <w:rFonts w:ascii="Times New Roman" w:hAnsi="Times New Roman" w:eastAsia="Times New Roman" w:cs="Times New Roman"/>
                <w:color w:val="000000"/>
                <w:sz w:val="20"/>
                <w:szCs w:val="20"/>
              </w:rPr>
              <w:t>78.52</w:t>
            </w:r>
          </w:p>
        </w:tc>
        <w:tc>
          <w:tcPr>
            <w:tcW w:w="1805" w:type="dxa"/>
            <w:tcBorders>
              <w:top w:val="nil"/>
              <w:left w:val="nil"/>
              <w:bottom w:val="single" w:color="auto" w:sz="8" w:space="0"/>
              <w:right w:val="single" w:color="auto" w:sz="8" w:space="0"/>
            </w:tcBorders>
            <w:shd w:val="clear" w:color="auto" w:fill="auto"/>
            <w:noWrap/>
            <w:vAlign w:val="center"/>
            <w:hideMark/>
          </w:tcPr>
          <w:p w:rsidRPr="0036140B" w:rsidR="00E75905" w:rsidP="00E75905" w:rsidRDefault="00E75905" w14:paraId="18D3C21F" w14:textId="77777777">
            <w:pPr>
              <w:spacing w:after="0" w:line="240" w:lineRule="auto"/>
              <w:jc w:val="center"/>
              <w:rPr>
                <w:rFonts w:ascii="Times New Roman" w:hAnsi="Times New Roman" w:eastAsia="Times New Roman" w:cs="Times New Roman"/>
                <w:color w:val="000000"/>
                <w:sz w:val="20"/>
                <w:szCs w:val="20"/>
              </w:rPr>
            </w:pPr>
            <w:r w:rsidRPr="0036140B">
              <w:rPr>
                <w:rFonts w:ascii="Times New Roman" w:hAnsi="Times New Roman" w:eastAsia="Times New Roman" w:cs="Times New Roman"/>
                <w:color w:val="000000"/>
                <w:sz w:val="20"/>
                <w:szCs w:val="20"/>
              </w:rPr>
              <w:t>267,989</w:t>
            </w:r>
          </w:p>
        </w:tc>
        <w:tc>
          <w:tcPr>
            <w:tcW w:w="1134" w:type="dxa"/>
            <w:tcBorders>
              <w:top w:val="nil"/>
              <w:left w:val="nil"/>
              <w:bottom w:val="single" w:color="auto" w:sz="8" w:space="0"/>
              <w:right w:val="single" w:color="auto" w:sz="8" w:space="0"/>
            </w:tcBorders>
            <w:shd w:val="clear" w:color="auto" w:fill="auto"/>
            <w:vAlign w:val="center"/>
            <w:hideMark/>
          </w:tcPr>
          <w:p w:rsidRPr="0036140B" w:rsidR="00E75905" w:rsidP="00E75905" w:rsidRDefault="00E75905" w14:paraId="0ECAE2C7" w14:textId="77777777">
            <w:pPr>
              <w:spacing w:after="0" w:line="240" w:lineRule="auto"/>
              <w:jc w:val="center"/>
              <w:rPr>
                <w:rFonts w:ascii="Times New Roman" w:hAnsi="Times New Roman" w:eastAsia="Times New Roman" w:cs="Times New Roman"/>
                <w:color w:val="000000"/>
                <w:sz w:val="20"/>
                <w:szCs w:val="20"/>
              </w:rPr>
            </w:pPr>
            <w:r w:rsidRPr="0036140B">
              <w:rPr>
                <w:rFonts w:ascii="Times New Roman" w:hAnsi="Times New Roman" w:eastAsia="Times New Roman" w:cs="Times New Roman"/>
                <w:color w:val="000000"/>
                <w:sz w:val="20"/>
                <w:szCs w:val="20"/>
              </w:rPr>
              <w:t>R</w:t>
            </w:r>
          </w:p>
        </w:tc>
        <w:tc>
          <w:tcPr>
            <w:tcW w:w="1170" w:type="dxa"/>
            <w:tcBorders>
              <w:top w:val="nil"/>
              <w:left w:val="nil"/>
              <w:bottom w:val="single" w:color="auto" w:sz="8" w:space="0"/>
              <w:right w:val="single" w:color="auto" w:sz="8" w:space="0"/>
            </w:tcBorders>
            <w:shd w:val="clear" w:color="auto" w:fill="auto"/>
            <w:vAlign w:val="center"/>
            <w:hideMark/>
          </w:tcPr>
          <w:p w:rsidRPr="0036140B" w:rsidR="00E75905" w:rsidP="00E75905" w:rsidRDefault="00E75905" w14:paraId="186A92A9" w14:textId="77777777">
            <w:pPr>
              <w:spacing w:after="0" w:line="240" w:lineRule="auto"/>
              <w:jc w:val="center"/>
              <w:rPr>
                <w:rFonts w:ascii="Times New Roman" w:hAnsi="Times New Roman" w:eastAsia="Times New Roman" w:cs="Times New Roman"/>
                <w:color w:val="000000"/>
                <w:sz w:val="20"/>
                <w:szCs w:val="20"/>
              </w:rPr>
            </w:pPr>
            <w:r w:rsidRPr="0036140B">
              <w:rPr>
                <w:rFonts w:ascii="Times New Roman" w:hAnsi="Times New Roman" w:eastAsia="Times New Roman" w:cs="Times New Roman"/>
                <w:color w:val="000000"/>
                <w:sz w:val="20"/>
                <w:szCs w:val="20"/>
              </w:rPr>
              <w:t>Annual</w:t>
            </w:r>
          </w:p>
        </w:tc>
      </w:tr>
      <w:tr w:rsidRPr="00E75905" w:rsidR="00E75905" w:rsidTr="00E75905" w14:paraId="08D42A6C" w14:textId="77777777">
        <w:trPr>
          <w:trHeight w:val="1068"/>
        </w:trPr>
        <w:tc>
          <w:tcPr>
            <w:tcW w:w="1070" w:type="dxa"/>
            <w:tcBorders>
              <w:top w:val="nil"/>
              <w:left w:val="single" w:color="auto" w:sz="8" w:space="0"/>
              <w:bottom w:val="single" w:color="auto" w:sz="8" w:space="0"/>
              <w:right w:val="single" w:color="auto" w:sz="8" w:space="0"/>
            </w:tcBorders>
            <w:shd w:val="clear" w:color="auto" w:fill="auto"/>
            <w:vAlign w:val="center"/>
            <w:hideMark/>
          </w:tcPr>
          <w:p w:rsidRPr="0036140B" w:rsidR="00E75905" w:rsidP="00E75905" w:rsidRDefault="00E75905" w14:paraId="64590CAF" w14:textId="77777777">
            <w:pPr>
              <w:spacing w:after="0" w:line="240" w:lineRule="auto"/>
              <w:jc w:val="center"/>
              <w:rPr>
                <w:rFonts w:ascii="Times New Roman" w:hAnsi="Times New Roman" w:eastAsia="Times New Roman" w:cs="Times New Roman"/>
                <w:color w:val="000000"/>
                <w:sz w:val="20"/>
                <w:szCs w:val="20"/>
              </w:rPr>
            </w:pPr>
            <w:r w:rsidRPr="0036140B">
              <w:rPr>
                <w:rFonts w:ascii="Times New Roman" w:hAnsi="Times New Roman" w:eastAsia="Times New Roman" w:cs="Times New Roman"/>
                <w:color w:val="000000"/>
                <w:sz w:val="20"/>
                <w:szCs w:val="20"/>
              </w:rPr>
              <w:t>12.55</w:t>
            </w:r>
          </w:p>
        </w:tc>
        <w:tc>
          <w:tcPr>
            <w:tcW w:w="1319" w:type="dxa"/>
            <w:tcBorders>
              <w:top w:val="nil"/>
              <w:left w:val="nil"/>
              <w:bottom w:val="single" w:color="auto" w:sz="8" w:space="0"/>
              <w:right w:val="single" w:color="auto" w:sz="8" w:space="0"/>
            </w:tcBorders>
            <w:shd w:val="clear" w:color="auto" w:fill="auto"/>
            <w:vAlign w:val="center"/>
            <w:hideMark/>
          </w:tcPr>
          <w:p w:rsidRPr="0036140B" w:rsidR="00E75905" w:rsidP="00E75905" w:rsidRDefault="00E75905" w14:paraId="47486EF7" w14:textId="77777777">
            <w:pPr>
              <w:spacing w:after="0" w:line="240" w:lineRule="auto"/>
              <w:jc w:val="center"/>
              <w:rPr>
                <w:rFonts w:ascii="Times New Roman" w:hAnsi="Times New Roman" w:eastAsia="Times New Roman" w:cs="Times New Roman"/>
                <w:color w:val="000000"/>
                <w:sz w:val="20"/>
                <w:szCs w:val="20"/>
              </w:rPr>
            </w:pPr>
            <w:r w:rsidRPr="0036140B">
              <w:rPr>
                <w:rFonts w:ascii="Times New Roman" w:hAnsi="Times New Roman" w:eastAsia="Times New Roman" w:cs="Times New Roman"/>
                <w:color w:val="000000"/>
                <w:sz w:val="20"/>
                <w:szCs w:val="20"/>
              </w:rPr>
              <w:t>438.602(g) Program Integrity</w:t>
            </w:r>
          </w:p>
        </w:tc>
        <w:tc>
          <w:tcPr>
            <w:tcW w:w="1471" w:type="dxa"/>
            <w:tcBorders>
              <w:top w:val="nil"/>
              <w:left w:val="nil"/>
              <w:bottom w:val="single" w:color="auto" w:sz="8" w:space="0"/>
              <w:right w:val="single" w:color="auto" w:sz="8" w:space="0"/>
            </w:tcBorders>
            <w:shd w:val="clear" w:color="auto" w:fill="auto"/>
            <w:noWrap/>
            <w:vAlign w:val="center"/>
            <w:hideMark/>
          </w:tcPr>
          <w:p w:rsidRPr="0036140B" w:rsidR="00E75905" w:rsidP="00E75905" w:rsidRDefault="00E75905" w14:paraId="40D5C7F5" w14:textId="77777777">
            <w:pPr>
              <w:spacing w:after="0" w:line="240" w:lineRule="auto"/>
              <w:jc w:val="center"/>
              <w:rPr>
                <w:rFonts w:ascii="Times New Roman" w:hAnsi="Times New Roman" w:eastAsia="Times New Roman" w:cs="Times New Roman"/>
                <w:color w:val="000000"/>
                <w:sz w:val="20"/>
                <w:szCs w:val="20"/>
              </w:rPr>
            </w:pPr>
            <w:r w:rsidRPr="0036140B">
              <w:rPr>
                <w:rFonts w:ascii="Times New Roman" w:hAnsi="Times New Roman" w:eastAsia="Times New Roman" w:cs="Times New Roman"/>
                <w:color w:val="000000"/>
                <w:sz w:val="20"/>
                <w:szCs w:val="20"/>
              </w:rPr>
              <w:t>40</w:t>
            </w:r>
          </w:p>
        </w:tc>
        <w:tc>
          <w:tcPr>
            <w:tcW w:w="1242" w:type="dxa"/>
            <w:tcBorders>
              <w:top w:val="nil"/>
              <w:left w:val="nil"/>
              <w:bottom w:val="single" w:color="auto" w:sz="8" w:space="0"/>
              <w:right w:val="single" w:color="auto" w:sz="8" w:space="0"/>
            </w:tcBorders>
            <w:shd w:val="clear" w:color="auto" w:fill="auto"/>
            <w:noWrap/>
            <w:vAlign w:val="center"/>
            <w:hideMark/>
          </w:tcPr>
          <w:p w:rsidRPr="0036140B" w:rsidR="00E75905" w:rsidP="00E75905" w:rsidRDefault="00E75905" w14:paraId="6464CDC1" w14:textId="77777777">
            <w:pPr>
              <w:spacing w:after="0" w:line="240" w:lineRule="auto"/>
              <w:jc w:val="center"/>
              <w:rPr>
                <w:rFonts w:ascii="Times New Roman" w:hAnsi="Times New Roman" w:eastAsia="Times New Roman" w:cs="Times New Roman"/>
                <w:color w:val="000000"/>
                <w:sz w:val="20"/>
                <w:szCs w:val="20"/>
              </w:rPr>
            </w:pPr>
            <w:r w:rsidRPr="0036140B">
              <w:rPr>
                <w:rFonts w:ascii="Times New Roman" w:hAnsi="Times New Roman" w:eastAsia="Times New Roman" w:cs="Times New Roman"/>
                <w:color w:val="000000"/>
                <w:sz w:val="20"/>
                <w:szCs w:val="20"/>
              </w:rPr>
              <w:t>40</w:t>
            </w:r>
          </w:p>
        </w:tc>
        <w:tc>
          <w:tcPr>
            <w:tcW w:w="1188" w:type="dxa"/>
            <w:tcBorders>
              <w:top w:val="nil"/>
              <w:left w:val="nil"/>
              <w:bottom w:val="single" w:color="auto" w:sz="8" w:space="0"/>
              <w:right w:val="single" w:color="auto" w:sz="8" w:space="0"/>
            </w:tcBorders>
            <w:shd w:val="clear" w:color="auto" w:fill="auto"/>
            <w:vAlign w:val="center"/>
            <w:hideMark/>
          </w:tcPr>
          <w:p w:rsidRPr="0036140B" w:rsidR="00E75905" w:rsidP="00E75905" w:rsidRDefault="00E75905" w14:paraId="0A365775" w14:textId="77777777">
            <w:pPr>
              <w:spacing w:after="0" w:line="240" w:lineRule="auto"/>
              <w:jc w:val="center"/>
              <w:rPr>
                <w:rFonts w:ascii="Times New Roman" w:hAnsi="Times New Roman" w:eastAsia="Times New Roman" w:cs="Times New Roman"/>
                <w:color w:val="000000"/>
                <w:sz w:val="20"/>
                <w:szCs w:val="20"/>
              </w:rPr>
            </w:pPr>
            <w:r w:rsidRPr="0036140B">
              <w:rPr>
                <w:rFonts w:ascii="Times New Roman" w:hAnsi="Times New Roman" w:eastAsia="Times New Roman" w:cs="Times New Roman"/>
                <w:color w:val="000000"/>
                <w:sz w:val="20"/>
                <w:szCs w:val="20"/>
              </w:rPr>
              <w:t>1</w:t>
            </w:r>
          </w:p>
        </w:tc>
        <w:tc>
          <w:tcPr>
            <w:tcW w:w="1745" w:type="dxa"/>
            <w:tcBorders>
              <w:top w:val="nil"/>
              <w:left w:val="nil"/>
              <w:bottom w:val="single" w:color="auto" w:sz="8" w:space="0"/>
              <w:right w:val="single" w:color="auto" w:sz="8" w:space="0"/>
            </w:tcBorders>
            <w:shd w:val="clear" w:color="auto" w:fill="auto"/>
            <w:noWrap/>
            <w:vAlign w:val="center"/>
            <w:hideMark/>
          </w:tcPr>
          <w:p w:rsidRPr="0036140B" w:rsidR="00E75905" w:rsidP="00E75905" w:rsidRDefault="00E75905" w14:paraId="61C5DE05" w14:textId="77777777">
            <w:pPr>
              <w:spacing w:after="0" w:line="240" w:lineRule="auto"/>
              <w:jc w:val="center"/>
              <w:rPr>
                <w:rFonts w:ascii="Times New Roman" w:hAnsi="Times New Roman" w:eastAsia="Times New Roman" w:cs="Times New Roman"/>
                <w:color w:val="000000"/>
                <w:sz w:val="20"/>
                <w:szCs w:val="20"/>
              </w:rPr>
            </w:pPr>
            <w:r w:rsidRPr="0036140B">
              <w:rPr>
                <w:rFonts w:ascii="Times New Roman" w:hAnsi="Times New Roman" w:eastAsia="Times New Roman" w:cs="Times New Roman"/>
                <w:color w:val="000000"/>
                <w:sz w:val="20"/>
                <w:szCs w:val="20"/>
              </w:rPr>
              <w:t>40</w:t>
            </w:r>
          </w:p>
        </w:tc>
        <w:tc>
          <w:tcPr>
            <w:tcW w:w="986" w:type="dxa"/>
            <w:tcBorders>
              <w:top w:val="nil"/>
              <w:left w:val="nil"/>
              <w:bottom w:val="single" w:color="auto" w:sz="8" w:space="0"/>
              <w:right w:val="single" w:color="auto" w:sz="8" w:space="0"/>
            </w:tcBorders>
            <w:shd w:val="clear" w:color="auto" w:fill="auto"/>
            <w:vAlign w:val="center"/>
            <w:hideMark/>
          </w:tcPr>
          <w:p w:rsidRPr="0036140B" w:rsidR="00E75905" w:rsidP="00E75905" w:rsidRDefault="00E75905" w14:paraId="7EE360B2" w14:textId="77777777">
            <w:pPr>
              <w:spacing w:after="0" w:line="240" w:lineRule="auto"/>
              <w:jc w:val="center"/>
              <w:rPr>
                <w:rFonts w:ascii="Times New Roman" w:hAnsi="Times New Roman" w:eastAsia="Times New Roman" w:cs="Times New Roman"/>
                <w:color w:val="000000"/>
                <w:sz w:val="20"/>
                <w:szCs w:val="20"/>
              </w:rPr>
            </w:pPr>
            <w:r w:rsidRPr="0036140B">
              <w:rPr>
                <w:rFonts w:ascii="Times New Roman" w:hAnsi="Times New Roman" w:eastAsia="Times New Roman" w:cs="Times New Roman"/>
                <w:color w:val="000000"/>
                <w:sz w:val="20"/>
                <w:szCs w:val="20"/>
              </w:rPr>
              <w:t>105.72</w:t>
            </w:r>
          </w:p>
        </w:tc>
        <w:tc>
          <w:tcPr>
            <w:tcW w:w="1805" w:type="dxa"/>
            <w:tcBorders>
              <w:top w:val="nil"/>
              <w:left w:val="nil"/>
              <w:bottom w:val="single" w:color="auto" w:sz="8" w:space="0"/>
              <w:right w:val="single" w:color="auto" w:sz="8" w:space="0"/>
            </w:tcBorders>
            <w:shd w:val="clear" w:color="auto" w:fill="auto"/>
            <w:noWrap/>
            <w:vAlign w:val="center"/>
            <w:hideMark/>
          </w:tcPr>
          <w:p w:rsidRPr="0036140B" w:rsidR="00E75905" w:rsidP="00E75905" w:rsidRDefault="00E75905" w14:paraId="740188AB" w14:textId="77777777">
            <w:pPr>
              <w:spacing w:after="0" w:line="240" w:lineRule="auto"/>
              <w:jc w:val="center"/>
              <w:rPr>
                <w:rFonts w:ascii="Times New Roman" w:hAnsi="Times New Roman" w:eastAsia="Times New Roman" w:cs="Times New Roman"/>
                <w:color w:val="000000"/>
                <w:sz w:val="20"/>
                <w:szCs w:val="20"/>
              </w:rPr>
            </w:pPr>
            <w:r w:rsidRPr="0036140B">
              <w:rPr>
                <w:rFonts w:ascii="Times New Roman" w:hAnsi="Times New Roman" w:eastAsia="Times New Roman" w:cs="Times New Roman"/>
                <w:color w:val="000000"/>
                <w:sz w:val="20"/>
                <w:szCs w:val="20"/>
              </w:rPr>
              <w:t>4,229</w:t>
            </w:r>
          </w:p>
        </w:tc>
        <w:tc>
          <w:tcPr>
            <w:tcW w:w="1134" w:type="dxa"/>
            <w:tcBorders>
              <w:top w:val="nil"/>
              <w:left w:val="nil"/>
              <w:bottom w:val="single" w:color="auto" w:sz="8" w:space="0"/>
              <w:right w:val="single" w:color="auto" w:sz="8" w:space="0"/>
            </w:tcBorders>
            <w:shd w:val="clear" w:color="auto" w:fill="auto"/>
            <w:vAlign w:val="center"/>
            <w:hideMark/>
          </w:tcPr>
          <w:p w:rsidRPr="0036140B" w:rsidR="00E75905" w:rsidP="00E75905" w:rsidRDefault="00E75905" w14:paraId="79E4F9A2" w14:textId="77777777">
            <w:pPr>
              <w:spacing w:after="0" w:line="240" w:lineRule="auto"/>
              <w:jc w:val="center"/>
              <w:rPr>
                <w:rFonts w:ascii="Times New Roman" w:hAnsi="Times New Roman" w:eastAsia="Times New Roman" w:cs="Times New Roman"/>
                <w:color w:val="000000"/>
                <w:sz w:val="20"/>
                <w:szCs w:val="20"/>
              </w:rPr>
            </w:pPr>
            <w:r w:rsidRPr="0036140B">
              <w:rPr>
                <w:rFonts w:ascii="Times New Roman" w:hAnsi="Times New Roman" w:eastAsia="Times New Roman" w:cs="Times New Roman"/>
                <w:color w:val="000000"/>
                <w:sz w:val="20"/>
                <w:szCs w:val="20"/>
              </w:rPr>
              <w:t>R</w:t>
            </w:r>
          </w:p>
        </w:tc>
        <w:tc>
          <w:tcPr>
            <w:tcW w:w="1170" w:type="dxa"/>
            <w:tcBorders>
              <w:top w:val="nil"/>
              <w:left w:val="nil"/>
              <w:bottom w:val="single" w:color="auto" w:sz="8" w:space="0"/>
              <w:right w:val="single" w:color="auto" w:sz="8" w:space="0"/>
            </w:tcBorders>
            <w:shd w:val="clear" w:color="auto" w:fill="auto"/>
            <w:vAlign w:val="center"/>
            <w:hideMark/>
          </w:tcPr>
          <w:p w:rsidRPr="0036140B" w:rsidR="00E75905" w:rsidP="00E75905" w:rsidRDefault="00E75905" w14:paraId="6049C33F" w14:textId="77777777">
            <w:pPr>
              <w:spacing w:after="0" w:line="240" w:lineRule="auto"/>
              <w:jc w:val="center"/>
              <w:rPr>
                <w:rFonts w:ascii="Times New Roman" w:hAnsi="Times New Roman" w:eastAsia="Times New Roman" w:cs="Times New Roman"/>
                <w:color w:val="000000"/>
                <w:sz w:val="20"/>
                <w:szCs w:val="20"/>
              </w:rPr>
            </w:pPr>
            <w:r w:rsidRPr="0036140B">
              <w:rPr>
                <w:rFonts w:ascii="Times New Roman" w:hAnsi="Times New Roman" w:eastAsia="Times New Roman" w:cs="Times New Roman"/>
                <w:color w:val="000000"/>
                <w:sz w:val="20"/>
                <w:szCs w:val="20"/>
              </w:rPr>
              <w:t>Annual</w:t>
            </w:r>
          </w:p>
        </w:tc>
      </w:tr>
      <w:tr w:rsidRPr="00E75905" w:rsidR="00E75905" w:rsidTr="00E75905" w14:paraId="6642BA09" w14:textId="77777777">
        <w:trPr>
          <w:trHeight w:val="1068"/>
        </w:trPr>
        <w:tc>
          <w:tcPr>
            <w:tcW w:w="1070" w:type="dxa"/>
            <w:tcBorders>
              <w:top w:val="nil"/>
              <w:left w:val="single" w:color="auto" w:sz="8" w:space="0"/>
              <w:bottom w:val="single" w:color="auto" w:sz="8" w:space="0"/>
              <w:right w:val="single" w:color="auto" w:sz="8" w:space="0"/>
            </w:tcBorders>
            <w:shd w:val="clear" w:color="auto" w:fill="auto"/>
            <w:vAlign w:val="center"/>
            <w:hideMark/>
          </w:tcPr>
          <w:p w:rsidRPr="0036140B" w:rsidR="00E75905" w:rsidP="00E75905" w:rsidRDefault="00E75905" w14:paraId="4E6C1F3D" w14:textId="77777777">
            <w:pPr>
              <w:spacing w:after="0" w:line="240" w:lineRule="auto"/>
              <w:jc w:val="center"/>
              <w:rPr>
                <w:rFonts w:ascii="Times New Roman" w:hAnsi="Times New Roman" w:eastAsia="Times New Roman" w:cs="Times New Roman"/>
                <w:color w:val="000000"/>
                <w:sz w:val="20"/>
                <w:szCs w:val="20"/>
              </w:rPr>
            </w:pPr>
            <w:r w:rsidRPr="0036140B">
              <w:rPr>
                <w:rFonts w:ascii="Times New Roman" w:hAnsi="Times New Roman" w:eastAsia="Times New Roman" w:cs="Times New Roman"/>
                <w:color w:val="000000"/>
                <w:sz w:val="20"/>
                <w:szCs w:val="20"/>
              </w:rPr>
              <w:t>12.64</w:t>
            </w:r>
          </w:p>
        </w:tc>
        <w:tc>
          <w:tcPr>
            <w:tcW w:w="1319" w:type="dxa"/>
            <w:tcBorders>
              <w:top w:val="nil"/>
              <w:left w:val="nil"/>
              <w:bottom w:val="single" w:color="auto" w:sz="8" w:space="0"/>
              <w:right w:val="single" w:color="auto" w:sz="8" w:space="0"/>
            </w:tcBorders>
            <w:shd w:val="clear" w:color="auto" w:fill="auto"/>
            <w:vAlign w:val="center"/>
            <w:hideMark/>
          </w:tcPr>
          <w:p w:rsidRPr="0036140B" w:rsidR="00E75905" w:rsidP="00E75905" w:rsidRDefault="00E75905" w14:paraId="24F7553B" w14:textId="77777777">
            <w:pPr>
              <w:spacing w:after="0" w:line="240" w:lineRule="auto"/>
              <w:jc w:val="center"/>
              <w:rPr>
                <w:rFonts w:ascii="Times New Roman" w:hAnsi="Times New Roman" w:eastAsia="Times New Roman" w:cs="Times New Roman"/>
                <w:color w:val="000000"/>
                <w:sz w:val="20"/>
                <w:szCs w:val="20"/>
              </w:rPr>
            </w:pPr>
            <w:r w:rsidRPr="0036140B">
              <w:rPr>
                <w:rFonts w:ascii="Times New Roman" w:hAnsi="Times New Roman" w:eastAsia="Times New Roman" w:cs="Times New Roman"/>
                <w:color w:val="000000"/>
                <w:sz w:val="20"/>
                <w:szCs w:val="20"/>
              </w:rPr>
              <w:t>438.818(a)(2), Encounter Data</w:t>
            </w:r>
          </w:p>
        </w:tc>
        <w:tc>
          <w:tcPr>
            <w:tcW w:w="1471" w:type="dxa"/>
            <w:tcBorders>
              <w:top w:val="nil"/>
              <w:left w:val="nil"/>
              <w:bottom w:val="single" w:color="auto" w:sz="8" w:space="0"/>
              <w:right w:val="single" w:color="auto" w:sz="8" w:space="0"/>
            </w:tcBorders>
            <w:shd w:val="clear" w:color="auto" w:fill="auto"/>
            <w:vAlign w:val="center"/>
            <w:hideMark/>
          </w:tcPr>
          <w:p w:rsidRPr="0036140B" w:rsidR="00E75905" w:rsidP="00E75905" w:rsidRDefault="00E75905" w14:paraId="3F8D8BC1" w14:textId="77777777">
            <w:pPr>
              <w:spacing w:after="0" w:line="240" w:lineRule="auto"/>
              <w:jc w:val="center"/>
              <w:rPr>
                <w:rFonts w:ascii="Times New Roman" w:hAnsi="Times New Roman" w:eastAsia="Times New Roman" w:cs="Times New Roman"/>
                <w:color w:val="000000"/>
                <w:sz w:val="20"/>
                <w:szCs w:val="20"/>
              </w:rPr>
            </w:pPr>
            <w:r w:rsidRPr="0036140B">
              <w:rPr>
                <w:rFonts w:ascii="Times New Roman" w:hAnsi="Times New Roman" w:eastAsia="Times New Roman" w:cs="Times New Roman"/>
                <w:color w:val="000000"/>
                <w:sz w:val="20"/>
                <w:szCs w:val="20"/>
              </w:rPr>
              <w:t>9</w:t>
            </w:r>
          </w:p>
        </w:tc>
        <w:tc>
          <w:tcPr>
            <w:tcW w:w="1242" w:type="dxa"/>
            <w:tcBorders>
              <w:top w:val="nil"/>
              <w:left w:val="nil"/>
              <w:bottom w:val="single" w:color="auto" w:sz="8" w:space="0"/>
              <w:right w:val="single" w:color="auto" w:sz="8" w:space="0"/>
            </w:tcBorders>
            <w:shd w:val="clear" w:color="auto" w:fill="auto"/>
            <w:vAlign w:val="center"/>
            <w:hideMark/>
          </w:tcPr>
          <w:p w:rsidRPr="0036140B" w:rsidR="00E75905" w:rsidP="00E75905" w:rsidRDefault="00E75905" w14:paraId="3437445B" w14:textId="77777777">
            <w:pPr>
              <w:spacing w:after="0" w:line="240" w:lineRule="auto"/>
              <w:jc w:val="center"/>
              <w:rPr>
                <w:rFonts w:ascii="Times New Roman" w:hAnsi="Times New Roman" w:eastAsia="Times New Roman" w:cs="Times New Roman"/>
                <w:color w:val="000000"/>
                <w:sz w:val="20"/>
                <w:szCs w:val="20"/>
              </w:rPr>
            </w:pPr>
            <w:r w:rsidRPr="0036140B">
              <w:rPr>
                <w:rFonts w:ascii="Times New Roman" w:hAnsi="Times New Roman" w:eastAsia="Times New Roman" w:cs="Times New Roman"/>
                <w:color w:val="000000"/>
                <w:sz w:val="20"/>
                <w:szCs w:val="20"/>
              </w:rPr>
              <w:t>9</w:t>
            </w:r>
          </w:p>
        </w:tc>
        <w:tc>
          <w:tcPr>
            <w:tcW w:w="1188" w:type="dxa"/>
            <w:tcBorders>
              <w:top w:val="nil"/>
              <w:left w:val="nil"/>
              <w:bottom w:val="single" w:color="auto" w:sz="8" w:space="0"/>
              <w:right w:val="single" w:color="auto" w:sz="8" w:space="0"/>
            </w:tcBorders>
            <w:shd w:val="clear" w:color="auto" w:fill="auto"/>
            <w:vAlign w:val="center"/>
            <w:hideMark/>
          </w:tcPr>
          <w:p w:rsidRPr="0036140B" w:rsidR="00E75905" w:rsidP="00E75905" w:rsidRDefault="00E75905" w14:paraId="47461759" w14:textId="77777777">
            <w:pPr>
              <w:spacing w:after="0" w:line="240" w:lineRule="auto"/>
              <w:jc w:val="center"/>
              <w:rPr>
                <w:rFonts w:ascii="Times New Roman" w:hAnsi="Times New Roman" w:eastAsia="Times New Roman" w:cs="Times New Roman"/>
                <w:color w:val="000000"/>
                <w:sz w:val="20"/>
                <w:szCs w:val="20"/>
              </w:rPr>
            </w:pPr>
            <w:r w:rsidRPr="0036140B">
              <w:rPr>
                <w:rFonts w:ascii="Times New Roman" w:hAnsi="Times New Roman" w:eastAsia="Times New Roman" w:cs="Times New Roman"/>
                <w:color w:val="000000"/>
                <w:sz w:val="20"/>
                <w:szCs w:val="20"/>
              </w:rPr>
              <w:t>150</w:t>
            </w:r>
          </w:p>
        </w:tc>
        <w:tc>
          <w:tcPr>
            <w:tcW w:w="1745" w:type="dxa"/>
            <w:tcBorders>
              <w:top w:val="nil"/>
              <w:left w:val="nil"/>
              <w:bottom w:val="single" w:color="auto" w:sz="8" w:space="0"/>
              <w:right w:val="single" w:color="auto" w:sz="8" w:space="0"/>
            </w:tcBorders>
            <w:shd w:val="clear" w:color="auto" w:fill="auto"/>
            <w:noWrap/>
            <w:vAlign w:val="center"/>
            <w:hideMark/>
          </w:tcPr>
          <w:p w:rsidRPr="0036140B" w:rsidR="00E75905" w:rsidP="00E75905" w:rsidRDefault="00E75905" w14:paraId="66FA8553" w14:textId="77777777">
            <w:pPr>
              <w:spacing w:after="0" w:line="240" w:lineRule="auto"/>
              <w:jc w:val="center"/>
              <w:rPr>
                <w:rFonts w:ascii="Times New Roman" w:hAnsi="Times New Roman" w:eastAsia="Times New Roman" w:cs="Times New Roman"/>
                <w:color w:val="000000"/>
                <w:sz w:val="20"/>
                <w:szCs w:val="20"/>
              </w:rPr>
            </w:pPr>
            <w:r w:rsidRPr="0036140B">
              <w:rPr>
                <w:rFonts w:ascii="Times New Roman" w:hAnsi="Times New Roman" w:eastAsia="Times New Roman" w:cs="Times New Roman"/>
                <w:color w:val="000000"/>
                <w:sz w:val="20"/>
                <w:szCs w:val="20"/>
              </w:rPr>
              <w:t>1,350</w:t>
            </w:r>
          </w:p>
        </w:tc>
        <w:tc>
          <w:tcPr>
            <w:tcW w:w="986" w:type="dxa"/>
            <w:tcBorders>
              <w:top w:val="nil"/>
              <w:left w:val="nil"/>
              <w:bottom w:val="single" w:color="auto" w:sz="8" w:space="0"/>
              <w:right w:val="single" w:color="auto" w:sz="8" w:space="0"/>
            </w:tcBorders>
            <w:shd w:val="clear" w:color="auto" w:fill="auto"/>
            <w:vAlign w:val="center"/>
            <w:hideMark/>
          </w:tcPr>
          <w:p w:rsidRPr="0036140B" w:rsidR="00E75905" w:rsidP="00E75905" w:rsidRDefault="00E75905" w14:paraId="33D9B2BF" w14:textId="77777777">
            <w:pPr>
              <w:spacing w:after="0" w:line="240" w:lineRule="auto"/>
              <w:jc w:val="center"/>
              <w:rPr>
                <w:rFonts w:ascii="Times New Roman" w:hAnsi="Times New Roman" w:eastAsia="Times New Roman" w:cs="Times New Roman"/>
                <w:color w:val="000000"/>
                <w:sz w:val="20"/>
                <w:szCs w:val="20"/>
              </w:rPr>
            </w:pPr>
            <w:r w:rsidRPr="0036140B">
              <w:rPr>
                <w:rFonts w:ascii="Times New Roman" w:hAnsi="Times New Roman" w:eastAsia="Times New Roman" w:cs="Times New Roman"/>
                <w:color w:val="000000"/>
                <w:sz w:val="20"/>
                <w:szCs w:val="20"/>
              </w:rPr>
              <w:t>Varies (see narrative)</w:t>
            </w:r>
          </w:p>
        </w:tc>
        <w:tc>
          <w:tcPr>
            <w:tcW w:w="1805" w:type="dxa"/>
            <w:tcBorders>
              <w:top w:val="nil"/>
              <w:left w:val="nil"/>
              <w:bottom w:val="single" w:color="auto" w:sz="8" w:space="0"/>
              <w:right w:val="single" w:color="auto" w:sz="8" w:space="0"/>
            </w:tcBorders>
            <w:shd w:val="clear" w:color="auto" w:fill="auto"/>
            <w:noWrap/>
            <w:vAlign w:val="center"/>
            <w:hideMark/>
          </w:tcPr>
          <w:p w:rsidRPr="0036140B" w:rsidR="00E75905" w:rsidP="00E75905" w:rsidRDefault="00E75905" w14:paraId="41AB0AF3" w14:textId="77777777">
            <w:pPr>
              <w:spacing w:after="0" w:line="240" w:lineRule="auto"/>
              <w:jc w:val="center"/>
              <w:rPr>
                <w:rFonts w:ascii="Times New Roman" w:hAnsi="Times New Roman" w:eastAsia="Times New Roman" w:cs="Times New Roman"/>
                <w:color w:val="000000"/>
                <w:sz w:val="20"/>
                <w:szCs w:val="20"/>
              </w:rPr>
            </w:pPr>
            <w:r w:rsidRPr="0036140B">
              <w:rPr>
                <w:rFonts w:ascii="Times New Roman" w:hAnsi="Times New Roman" w:eastAsia="Times New Roman" w:cs="Times New Roman"/>
                <w:color w:val="000000"/>
                <w:sz w:val="20"/>
                <w:szCs w:val="20"/>
              </w:rPr>
              <w:t>111,942</w:t>
            </w:r>
          </w:p>
        </w:tc>
        <w:tc>
          <w:tcPr>
            <w:tcW w:w="1134" w:type="dxa"/>
            <w:tcBorders>
              <w:top w:val="nil"/>
              <w:left w:val="nil"/>
              <w:bottom w:val="single" w:color="auto" w:sz="8" w:space="0"/>
              <w:right w:val="single" w:color="auto" w:sz="8" w:space="0"/>
            </w:tcBorders>
            <w:shd w:val="clear" w:color="auto" w:fill="auto"/>
            <w:vAlign w:val="center"/>
            <w:hideMark/>
          </w:tcPr>
          <w:p w:rsidRPr="0036140B" w:rsidR="00E75905" w:rsidP="00E75905" w:rsidRDefault="00E75905" w14:paraId="59CFE3A4" w14:textId="77777777">
            <w:pPr>
              <w:spacing w:after="0" w:line="240" w:lineRule="auto"/>
              <w:jc w:val="center"/>
              <w:rPr>
                <w:rFonts w:ascii="Times New Roman" w:hAnsi="Times New Roman" w:eastAsia="Times New Roman" w:cs="Times New Roman"/>
                <w:color w:val="000000"/>
                <w:sz w:val="20"/>
                <w:szCs w:val="20"/>
              </w:rPr>
            </w:pPr>
            <w:r w:rsidRPr="0036140B">
              <w:rPr>
                <w:rFonts w:ascii="Times New Roman" w:hAnsi="Times New Roman" w:eastAsia="Times New Roman" w:cs="Times New Roman"/>
                <w:color w:val="000000"/>
                <w:sz w:val="20"/>
                <w:szCs w:val="20"/>
              </w:rPr>
              <w:t>R</w:t>
            </w:r>
          </w:p>
        </w:tc>
        <w:tc>
          <w:tcPr>
            <w:tcW w:w="1170" w:type="dxa"/>
            <w:tcBorders>
              <w:top w:val="nil"/>
              <w:left w:val="nil"/>
              <w:bottom w:val="single" w:color="auto" w:sz="8" w:space="0"/>
              <w:right w:val="single" w:color="auto" w:sz="8" w:space="0"/>
            </w:tcBorders>
            <w:shd w:val="clear" w:color="auto" w:fill="auto"/>
            <w:vAlign w:val="center"/>
            <w:hideMark/>
          </w:tcPr>
          <w:p w:rsidRPr="0036140B" w:rsidR="00E75905" w:rsidP="00E75905" w:rsidRDefault="00E75905" w14:paraId="175D02D7" w14:textId="77777777">
            <w:pPr>
              <w:spacing w:after="0" w:line="240" w:lineRule="auto"/>
              <w:jc w:val="center"/>
              <w:rPr>
                <w:rFonts w:ascii="Times New Roman" w:hAnsi="Times New Roman" w:eastAsia="Times New Roman" w:cs="Times New Roman"/>
                <w:color w:val="000000"/>
                <w:sz w:val="20"/>
                <w:szCs w:val="20"/>
              </w:rPr>
            </w:pPr>
            <w:r w:rsidRPr="0036140B">
              <w:rPr>
                <w:rFonts w:ascii="Times New Roman" w:hAnsi="Times New Roman" w:eastAsia="Times New Roman" w:cs="Times New Roman"/>
                <w:color w:val="000000"/>
                <w:sz w:val="20"/>
                <w:szCs w:val="20"/>
              </w:rPr>
              <w:t>Annual</w:t>
            </w:r>
          </w:p>
        </w:tc>
      </w:tr>
      <w:tr w:rsidRPr="00E75905" w:rsidR="00E75905" w:rsidTr="00E75905" w14:paraId="39007D13" w14:textId="77777777">
        <w:trPr>
          <w:trHeight w:val="636"/>
        </w:trPr>
        <w:tc>
          <w:tcPr>
            <w:tcW w:w="2389" w:type="dxa"/>
            <w:gridSpan w:val="2"/>
            <w:tcBorders>
              <w:top w:val="single" w:color="auto" w:sz="8" w:space="0"/>
              <w:left w:val="single" w:color="auto" w:sz="8" w:space="0"/>
              <w:bottom w:val="single" w:color="auto" w:sz="8" w:space="0"/>
              <w:right w:val="single" w:color="000000" w:sz="8" w:space="0"/>
            </w:tcBorders>
            <w:shd w:val="clear" w:color="000000" w:fill="BFBFBF"/>
            <w:vAlign w:val="center"/>
            <w:hideMark/>
          </w:tcPr>
          <w:p w:rsidRPr="0036140B" w:rsidR="00E75905" w:rsidP="00E75905" w:rsidRDefault="00E75905" w14:paraId="28E7D37F" w14:textId="77777777">
            <w:pPr>
              <w:spacing w:after="0" w:line="240" w:lineRule="auto"/>
              <w:rPr>
                <w:rFonts w:ascii="Times New Roman" w:hAnsi="Times New Roman" w:eastAsia="Times New Roman" w:cs="Times New Roman"/>
                <w:i/>
                <w:iCs/>
                <w:color w:val="000000"/>
                <w:sz w:val="20"/>
                <w:szCs w:val="20"/>
              </w:rPr>
            </w:pPr>
            <w:r w:rsidRPr="0036140B">
              <w:rPr>
                <w:rFonts w:ascii="Times New Roman" w:hAnsi="Times New Roman" w:eastAsia="Times New Roman" w:cs="Times New Roman"/>
                <w:i/>
                <w:iCs/>
                <w:color w:val="000000"/>
                <w:sz w:val="20"/>
                <w:szCs w:val="20"/>
              </w:rPr>
              <w:t>Subtotal: Reporting</w:t>
            </w:r>
          </w:p>
        </w:tc>
        <w:tc>
          <w:tcPr>
            <w:tcW w:w="1471" w:type="dxa"/>
            <w:tcBorders>
              <w:top w:val="nil"/>
              <w:left w:val="nil"/>
              <w:bottom w:val="single" w:color="auto" w:sz="8" w:space="0"/>
              <w:right w:val="single" w:color="auto" w:sz="8" w:space="0"/>
            </w:tcBorders>
            <w:shd w:val="clear" w:color="000000" w:fill="BFBFBF"/>
            <w:noWrap/>
            <w:vAlign w:val="center"/>
            <w:hideMark/>
          </w:tcPr>
          <w:p w:rsidRPr="0036140B" w:rsidR="00E75905" w:rsidP="00E75905" w:rsidRDefault="00E75905" w14:paraId="60A97C03" w14:textId="77777777">
            <w:pPr>
              <w:spacing w:after="0" w:line="240" w:lineRule="auto"/>
              <w:jc w:val="center"/>
              <w:rPr>
                <w:rFonts w:ascii="Times New Roman" w:hAnsi="Times New Roman" w:eastAsia="Times New Roman" w:cs="Times New Roman"/>
                <w:i/>
                <w:iCs/>
                <w:color w:val="000000"/>
                <w:sz w:val="20"/>
                <w:szCs w:val="20"/>
              </w:rPr>
            </w:pPr>
            <w:r w:rsidRPr="0036140B">
              <w:rPr>
                <w:rFonts w:ascii="Times New Roman" w:hAnsi="Times New Roman" w:eastAsia="Times New Roman" w:cs="Times New Roman"/>
                <w:i/>
                <w:iCs/>
                <w:color w:val="000000"/>
                <w:sz w:val="20"/>
                <w:szCs w:val="20"/>
              </w:rPr>
              <w:t>41</w:t>
            </w:r>
          </w:p>
        </w:tc>
        <w:tc>
          <w:tcPr>
            <w:tcW w:w="1242" w:type="dxa"/>
            <w:tcBorders>
              <w:top w:val="nil"/>
              <w:left w:val="nil"/>
              <w:bottom w:val="single" w:color="auto" w:sz="8" w:space="0"/>
              <w:right w:val="single" w:color="auto" w:sz="8" w:space="0"/>
            </w:tcBorders>
            <w:shd w:val="clear" w:color="000000" w:fill="BFBFBF"/>
            <w:noWrap/>
            <w:vAlign w:val="center"/>
            <w:hideMark/>
          </w:tcPr>
          <w:p w:rsidRPr="0036140B" w:rsidR="00E75905" w:rsidP="00E75905" w:rsidRDefault="00E75905" w14:paraId="610766DD" w14:textId="77777777">
            <w:pPr>
              <w:spacing w:after="0" w:line="240" w:lineRule="auto"/>
              <w:jc w:val="center"/>
              <w:rPr>
                <w:rFonts w:ascii="Times New Roman" w:hAnsi="Times New Roman" w:eastAsia="Times New Roman" w:cs="Times New Roman"/>
                <w:i/>
                <w:iCs/>
                <w:color w:val="000000"/>
                <w:sz w:val="20"/>
                <w:szCs w:val="20"/>
              </w:rPr>
            </w:pPr>
            <w:r w:rsidRPr="0036140B">
              <w:rPr>
                <w:rFonts w:ascii="Times New Roman" w:hAnsi="Times New Roman" w:eastAsia="Times New Roman" w:cs="Times New Roman"/>
                <w:i/>
                <w:iCs/>
                <w:color w:val="000000"/>
                <w:sz w:val="20"/>
                <w:szCs w:val="20"/>
              </w:rPr>
              <w:t>439</w:t>
            </w:r>
          </w:p>
        </w:tc>
        <w:tc>
          <w:tcPr>
            <w:tcW w:w="1188" w:type="dxa"/>
            <w:tcBorders>
              <w:top w:val="nil"/>
              <w:left w:val="nil"/>
              <w:bottom w:val="single" w:color="auto" w:sz="8" w:space="0"/>
              <w:right w:val="single" w:color="auto" w:sz="8" w:space="0"/>
            </w:tcBorders>
            <w:shd w:val="clear" w:color="000000" w:fill="BFBFBF"/>
            <w:vAlign w:val="center"/>
            <w:hideMark/>
          </w:tcPr>
          <w:p w:rsidRPr="0036140B" w:rsidR="00E75905" w:rsidP="00E75905" w:rsidRDefault="00E75905" w14:paraId="74021C13" w14:textId="77777777">
            <w:pPr>
              <w:spacing w:after="0" w:line="240" w:lineRule="auto"/>
              <w:jc w:val="center"/>
              <w:rPr>
                <w:rFonts w:ascii="Times New Roman" w:hAnsi="Times New Roman" w:eastAsia="Times New Roman" w:cs="Times New Roman"/>
                <w:i/>
                <w:iCs/>
                <w:color w:val="000000"/>
                <w:sz w:val="20"/>
                <w:szCs w:val="20"/>
              </w:rPr>
            </w:pPr>
            <w:r w:rsidRPr="0036140B">
              <w:rPr>
                <w:rFonts w:ascii="Times New Roman" w:hAnsi="Times New Roman" w:eastAsia="Times New Roman" w:cs="Times New Roman"/>
                <w:i/>
                <w:iCs/>
                <w:color w:val="000000"/>
                <w:sz w:val="20"/>
                <w:szCs w:val="20"/>
              </w:rPr>
              <w:t>Varies</w:t>
            </w:r>
          </w:p>
        </w:tc>
        <w:tc>
          <w:tcPr>
            <w:tcW w:w="1745" w:type="dxa"/>
            <w:tcBorders>
              <w:top w:val="nil"/>
              <w:left w:val="nil"/>
              <w:bottom w:val="single" w:color="auto" w:sz="8" w:space="0"/>
              <w:right w:val="single" w:color="auto" w:sz="8" w:space="0"/>
            </w:tcBorders>
            <w:shd w:val="clear" w:color="000000" w:fill="BFBFBF"/>
            <w:noWrap/>
            <w:vAlign w:val="center"/>
            <w:hideMark/>
          </w:tcPr>
          <w:p w:rsidRPr="0036140B" w:rsidR="00E75905" w:rsidP="00E75905" w:rsidRDefault="00E75905" w14:paraId="0FFC0568" w14:textId="77777777">
            <w:pPr>
              <w:spacing w:after="0" w:line="240" w:lineRule="auto"/>
              <w:jc w:val="center"/>
              <w:rPr>
                <w:rFonts w:ascii="Times New Roman" w:hAnsi="Times New Roman" w:eastAsia="Times New Roman" w:cs="Times New Roman"/>
                <w:i/>
                <w:iCs/>
                <w:color w:val="000000"/>
                <w:sz w:val="20"/>
                <w:szCs w:val="20"/>
              </w:rPr>
            </w:pPr>
            <w:r w:rsidRPr="0036140B">
              <w:rPr>
                <w:rFonts w:ascii="Times New Roman" w:hAnsi="Times New Roman" w:eastAsia="Times New Roman" w:cs="Times New Roman"/>
                <w:i/>
                <w:iCs/>
                <w:color w:val="000000"/>
                <w:sz w:val="20"/>
                <w:szCs w:val="20"/>
              </w:rPr>
              <w:t>21,890</w:t>
            </w:r>
          </w:p>
        </w:tc>
        <w:tc>
          <w:tcPr>
            <w:tcW w:w="986" w:type="dxa"/>
            <w:tcBorders>
              <w:top w:val="nil"/>
              <w:left w:val="nil"/>
              <w:bottom w:val="single" w:color="auto" w:sz="8" w:space="0"/>
              <w:right w:val="single" w:color="auto" w:sz="8" w:space="0"/>
            </w:tcBorders>
            <w:shd w:val="clear" w:color="000000" w:fill="BFBFBF"/>
            <w:vAlign w:val="center"/>
            <w:hideMark/>
          </w:tcPr>
          <w:p w:rsidRPr="0036140B" w:rsidR="00E75905" w:rsidP="00E75905" w:rsidRDefault="00E75905" w14:paraId="52682E0A" w14:textId="77777777">
            <w:pPr>
              <w:spacing w:after="0" w:line="240" w:lineRule="auto"/>
              <w:jc w:val="center"/>
              <w:rPr>
                <w:rFonts w:ascii="Times New Roman" w:hAnsi="Times New Roman" w:eastAsia="Times New Roman" w:cs="Times New Roman"/>
                <w:i/>
                <w:iCs/>
                <w:color w:val="000000"/>
                <w:sz w:val="20"/>
                <w:szCs w:val="20"/>
              </w:rPr>
            </w:pPr>
            <w:r w:rsidRPr="0036140B">
              <w:rPr>
                <w:rFonts w:ascii="Times New Roman" w:hAnsi="Times New Roman" w:eastAsia="Times New Roman" w:cs="Times New Roman"/>
                <w:i/>
                <w:iCs/>
                <w:color w:val="000000"/>
                <w:sz w:val="20"/>
                <w:szCs w:val="20"/>
              </w:rPr>
              <w:t>Varies</w:t>
            </w:r>
          </w:p>
        </w:tc>
        <w:tc>
          <w:tcPr>
            <w:tcW w:w="1805" w:type="dxa"/>
            <w:tcBorders>
              <w:top w:val="nil"/>
              <w:left w:val="nil"/>
              <w:bottom w:val="single" w:color="auto" w:sz="8" w:space="0"/>
              <w:right w:val="single" w:color="auto" w:sz="8" w:space="0"/>
            </w:tcBorders>
            <w:shd w:val="clear" w:color="000000" w:fill="BFBFBF"/>
            <w:noWrap/>
            <w:vAlign w:val="center"/>
            <w:hideMark/>
          </w:tcPr>
          <w:p w:rsidRPr="0036140B" w:rsidR="00E75905" w:rsidP="00E75905" w:rsidRDefault="00E75905" w14:paraId="01BB0583" w14:textId="77777777">
            <w:pPr>
              <w:spacing w:after="0" w:line="240" w:lineRule="auto"/>
              <w:jc w:val="center"/>
              <w:rPr>
                <w:rFonts w:ascii="Times New Roman" w:hAnsi="Times New Roman" w:eastAsia="Times New Roman" w:cs="Times New Roman"/>
                <w:i/>
                <w:iCs/>
                <w:color w:val="000000"/>
                <w:sz w:val="20"/>
                <w:szCs w:val="20"/>
              </w:rPr>
            </w:pPr>
            <w:r w:rsidRPr="0036140B">
              <w:rPr>
                <w:rFonts w:ascii="Times New Roman" w:hAnsi="Times New Roman" w:eastAsia="Times New Roman" w:cs="Times New Roman"/>
                <w:i/>
                <w:iCs/>
                <w:color w:val="000000"/>
                <w:sz w:val="20"/>
                <w:szCs w:val="20"/>
              </w:rPr>
              <w:t>2,096,458</w:t>
            </w:r>
          </w:p>
        </w:tc>
        <w:tc>
          <w:tcPr>
            <w:tcW w:w="1134" w:type="dxa"/>
            <w:tcBorders>
              <w:top w:val="nil"/>
              <w:left w:val="nil"/>
              <w:bottom w:val="single" w:color="auto" w:sz="8" w:space="0"/>
              <w:right w:val="single" w:color="auto" w:sz="8" w:space="0"/>
            </w:tcBorders>
            <w:shd w:val="clear" w:color="000000" w:fill="BFBFBF"/>
            <w:vAlign w:val="center"/>
            <w:hideMark/>
          </w:tcPr>
          <w:p w:rsidRPr="0036140B" w:rsidR="00E75905" w:rsidP="00E75905" w:rsidRDefault="00E75905" w14:paraId="7ECF17D3" w14:textId="77777777">
            <w:pPr>
              <w:spacing w:after="0" w:line="240" w:lineRule="auto"/>
              <w:jc w:val="center"/>
              <w:rPr>
                <w:rFonts w:ascii="Times New Roman" w:hAnsi="Times New Roman" w:eastAsia="Times New Roman" w:cs="Times New Roman"/>
                <w:i/>
                <w:iCs/>
                <w:color w:val="000000"/>
                <w:sz w:val="20"/>
                <w:szCs w:val="20"/>
              </w:rPr>
            </w:pPr>
            <w:r w:rsidRPr="0036140B">
              <w:rPr>
                <w:rFonts w:ascii="Times New Roman" w:hAnsi="Times New Roman" w:eastAsia="Times New Roman" w:cs="Times New Roman"/>
                <w:i/>
                <w:iCs/>
                <w:color w:val="000000"/>
                <w:sz w:val="20"/>
                <w:szCs w:val="20"/>
              </w:rPr>
              <w:t>R</w:t>
            </w:r>
          </w:p>
        </w:tc>
        <w:tc>
          <w:tcPr>
            <w:tcW w:w="1170" w:type="dxa"/>
            <w:tcBorders>
              <w:top w:val="nil"/>
              <w:left w:val="nil"/>
              <w:bottom w:val="single" w:color="auto" w:sz="8" w:space="0"/>
              <w:right w:val="single" w:color="auto" w:sz="8" w:space="0"/>
            </w:tcBorders>
            <w:shd w:val="clear" w:color="000000" w:fill="BFBFBF"/>
            <w:vAlign w:val="center"/>
            <w:hideMark/>
          </w:tcPr>
          <w:p w:rsidRPr="0036140B" w:rsidR="00E75905" w:rsidP="00E75905" w:rsidRDefault="00E75905" w14:paraId="69D2046B" w14:textId="77777777">
            <w:pPr>
              <w:spacing w:after="0" w:line="240" w:lineRule="auto"/>
              <w:jc w:val="center"/>
              <w:rPr>
                <w:rFonts w:ascii="Times New Roman" w:hAnsi="Times New Roman" w:eastAsia="Times New Roman" w:cs="Times New Roman"/>
                <w:i/>
                <w:iCs/>
                <w:color w:val="000000"/>
                <w:sz w:val="20"/>
                <w:szCs w:val="20"/>
              </w:rPr>
            </w:pPr>
            <w:r w:rsidRPr="0036140B">
              <w:rPr>
                <w:rFonts w:ascii="Times New Roman" w:hAnsi="Times New Roman" w:eastAsia="Times New Roman" w:cs="Times New Roman"/>
                <w:i/>
                <w:iCs/>
                <w:color w:val="000000"/>
                <w:sz w:val="20"/>
                <w:szCs w:val="20"/>
              </w:rPr>
              <w:t>Annual</w:t>
            </w:r>
          </w:p>
        </w:tc>
      </w:tr>
      <w:tr w:rsidRPr="00E75905" w:rsidR="00E75905" w:rsidTr="00E75905" w14:paraId="473FDFD7" w14:textId="77777777">
        <w:trPr>
          <w:trHeight w:val="1332"/>
        </w:trPr>
        <w:tc>
          <w:tcPr>
            <w:tcW w:w="1070" w:type="dxa"/>
            <w:tcBorders>
              <w:top w:val="nil"/>
              <w:left w:val="single" w:color="auto" w:sz="8" w:space="0"/>
              <w:bottom w:val="single" w:color="auto" w:sz="8" w:space="0"/>
              <w:right w:val="single" w:color="auto" w:sz="8" w:space="0"/>
            </w:tcBorders>
            <w:shd w:val="clear" w:color="auto" w:fill="auto"/>
            <w:vAlign w:val="center"/>
            <w:hideMark/>
          </w:tcPr>
          <w:p w:rsidRPr="0036140B" w:rsidR="00E75905" w:rsidP="00E75905" w:rsidRDefault="00E75905" w14:paraId="62CB1393" w14:textId="77777777">
            <w:pPr>
              <w:spacing w:after="0" w:line="240" w:lineRule="auto"/>
              <w:jc w:val="center"/>
              <w:rPr>
                <w:rFonts w:ascii="Times New Roman" w:hAnsi="Times New Roman" w:eastAsia="Times New Roman" w:cs="Times New Roman"/>
                <w:color w:val="000000"/>
                <w:sz w:val="20"/>
                <w:szCs w:val="20"/>
              </w:rPr>
            </w:pPr>
            <w:r w:rsidRPr="0036140B">
              <w:rPr>
                <w:rFonts w:ascii="Times New Roman" w:hAnsi="Times New Roman" w:eastAsia="Times New Roman" w:cs="Times New Roman"/>
                <w:color w:val="000000"/>
                <w:sz w:val="20"/>
                <w:szCs w:val="20"/>
              </w:rPr>
              <w:t>12.1d</w:t>
            </w:r>
          </w:p>
        </w:tc>
        <w:tc>
          <w:tcPr>
            <w:tcW w:w="1319" w:type="dxa"/>
            <w:tcBorders>
              <w:top w:val="nil"/>
              <w:left w:val="nil"/>
              <w:bottom w:val="single" w:color="auto" w:sz="8" w:space="0"/>
              <w:right w:val="single" w:color="auto" w:sz="8" w:space="0"/>
            </w:tcBorders>
            <w:shd w:val="clear" w:color="auto" w:fill="auto"/>
            <w:vAlign w:val="center"/>
            <w:hideMark/>
          </w:tcPr>
          <w:p w:rsidRPr="0036140B" w:rsidR="00E75905" w:rsidP="00E75905" w:rsidRDefault="00E75905" w14:paraId="23BAC7CB" w14:textId="77777777">
            <w:pPr>
              <w:spacing w:after="0" w:line="240" w:lineRule="auto"/>
              <w:jc w:val="center"/>
              <w:rPr>
                <w:rFonts w:ascii="Times New Roman" w:hAnsi="Times New Roman" w:eastAsia="Times New Roman" w:cs="Times New Roman"/>
                <w:color w:val="000000"/>
                <w:sz w:val="20"/>
                <w:szCs w:val="20"/>
              </w:rPr>
            </w:pPr>
            <w:r w:rsidRPr="0036140B">
              <w:rPr>
                <w:rFonts w:ascii="Times New Roman" w:hAnsi="Times New Roman" w:eastAsia="Times New Roman" w:cs="Times New Roman"/>
                <w:color w:val="000000"/>
                <w:sz w:val="20"/>
                <w:szCs w:val="20"/>
              </w:rPr>
              <w:t>438.3(t) Std Contract Requirements</w:t>
            </w:r>
          </w:p>
        </w:tc>
        <w:tc>
          <w:tcPr>
            <w:tcW w:w="1471" w:type="dxa"/>
            <w:tcBorders>
              <w:top w:val="nil"/>
              <w:left w:val="nil"/>
              <w:bottom w:val="single" w:color="auto" w:sz="8" w:space="0"/>
              <w:right w:val="single" w:color="auto" w:sz="8" w:space="0"/>
            </w:tcBorders>
            <w:shd w:val="clear" w:color="auto" w:fill="auto"/>
            <w:noWrap/>
            <w:vAlign w:val="center"/>
            <w:hideMark/>
          </w:tcPr>
          <w:p w:rsidRPr="0036140B" w:rsidR="00E75905" w:rsidP="00E75905" w:rsidRDefault="00E75905" w14:paraId="4F8F84F8" w14:textId="77777777">
            <w:pPr>
              <w:spacing w:after="0" w:line="240" w:lineRule="auto"/>
              <w:jc w:val="center"/>
              <w:rPr>
                <w:rFonts w:ascii="Times New Roman" w:hAnsi="Times New Roman" w:eastAsia="Times New Roman" w:cs="Times New Roman"/>
                <w:color w:val="000000"/>
                <w:sz w:val="20"/>
                <w:szCs w:val="20"/>
              </w:rPr>
            </w:pPr>
            <w:r w:rsidRPr="0036140B">
              <w:rPr>
                <w:rFonts w:ascii="Times New Roman" w:hAnsi="Times New Roman" w:eastAsia="Times New Roman" w:cs="Times New Roman"/>
                <w:color w:val="000000"/>
                <w:sz w:val="20"/>
                <w:szCs w:val="20"/>
              </w:rPr>
              <w:t>5</w:t>
            </w:r>
          </w:p>
        </w:tc>
        <w:tc>
          <w:tcPr>
            <w:tcW w:w="1242" w:type="dxa"/>
            <w:tcBorders>
              <w:top w:val="nil"/>
              <w:left w:val="nil"/>
              <w:bottom w:val="single" w:color="auto" w:sz="8" w:space="0"/>
              <w:right w:val="single" w:color="auto" w:sz="8" w:space="0"/>
            </w:tcBorders>
            <w:shd w:val="clear" w:color="auto" w:fill="auto"/>
            <w:noWrap/>
            <w:vAlign w:val="center"/>
            <w:hideMark/>
          </w:tcPr>
          <w:p w:rsidRPr="0036140B" w:rsidR="00E75905" w:rsidP="00E75905" w:rsidRDefault="00E75905" w14:paraId="4FED1035" w14:textId="77777777">
            <w:pPr>
              <w:spacing w:after="0" w:line="240" w:lineRule="auto"/>
              <w:jc w:val="center"/>
              <w:rPr>
                <w:rFonts w:ascii="Times New Roman" w:hAnsi="Times New Roman" w:eastAsia="Times New Roman" w:cs="Times New Roman"/>
                <w:color w:val="000000"/>
                <w:sz w:val="20"/>
                <w:szCs w:val="20"/>
              </w:rPr>
            </w:pPr>
            <w:r w:rsidRPr="0036140B">
              <w:rPr>
                <w:rFonts w:ascii="Times New Roman" w:hAnsi="Times New Roman" w:eastAsia="Times New Roman" w:cs="Times New Roman"/>
                <w:color w:val="000000"/>
                <w:sz w:val="20"/>
                <w:szCs w:val="20"/>
              </w:rPr>
              <w:t>1.667</w:t>
            </w:r>
          </w:p>
        </w:tc>
        <w:tc>
          <w:tcPr>
            <w:tcW w:w="1188" w:type="dxa"/>
            <w:tcBorders>
              <w:top w:val="nil"/>
              <w:left w:val="nil"/>
              <w:bottom w:val="single" w:color="auto" w:sz="8" w:space="0"/>
              <w:right w:val="single" w:color="auto" w:sz="8" w:space="0"/>
            </w:tcBorders>
            <w:shd w:val="clear" w:color="auto" w:fill="auto"/>
            <w:vAlign w:val="center"/>
            <w:hideMark/>
          </w:tcPr>
          <w:p w:rsidRPr="0036140B" w:rsidR="00E75905" w:rsidP="00E75905" w:rsidRDefault="00E75905" w14:paraId="5493B398" w14:textId="77777777">
            <w:pPr>
              <w:spacing w:after="0" w:line="240" w:lineRule="auto"/>
              <w:jc w:val="center"/>
              <w:rPr>
                <w:rFonts w:ascii="Times New Roman" w:hAnsi="Times New Roman" w:eastAsia="Times New Roman" w:cs="Times New Roman"/>
                <w:color w:val="000000"/>
                <w:sz w:val="20"/>
                <w:szCs w:val="20"/>
              </w:rPr>
            </w:pPr>
            <w:r w:rsidRPr="0036140B">
              <w:rPr>
                <w:rFonts w:ascii="Times New Roman" w:hAnsi="Times New Roman" w:eastAsia="Times New Roman" w:cs="Times New Roman"/>
                <w:color w:val="000000"/>
                <w:sz w:val="20"/>
                <w:szCs w:val="20"/>
              </w:rPr>
              <w:t>1</w:t>
            </w:r>
          </w:p>
        </w:tc>
        <w:tc>
          <w:tcPr>
            <w:tcW w:w="1745" w:type="dxa"/>
            <w:tcBorders>
              <w:top w:val="nil"/>
              <w:left w:val="nil"/>
              <w:bottom w:val="single" w:color="auto" w:sz="8" w:space="0"/>
              <w:right w:val="single" w:color="auto" w:sz="8" w:space="0"/>
            </w:tcBorders>
            <w:shd w:val="clear" w:color="auto" w:fill="auto"/>
            <w:noWrap/>
            <w:vAlign w:val="center"/>
            <w:hideMark/>
          </w:tcPr>
          <w:p w:rsidRPr="0036140B" w:rsidR="00E75905" w:rsidP="00E75905" w:rsidRDefault="00E75905" w14:paraId="415DAF1A" w14:textId="77777777">
            <w:pPr>
              <w:spacing w:after="0" w:line="240" w:lineRule="auto"/>
              <w:jc w:val="center"/>
              <w:rPr>
                <w:rFonts w:ascii="Times New Roman" w:hAnsi="Times New Roman" w:eastAsia="Times New Roman" w:cs="Times New Roman"/>
                <w:color w:val="000000"/>
                <w:sz w:val="20"/>
                <w:szCs w:val="20"/>
              </w:rPr>
            </w:pPr>
            <w:r w:rsidRPr="0036140B">
              <w:rPr>
                <w:rFonts w:ascii="Times New Roman" w:hAnsi="Times New Roman" w:eastAsia="Times New Roman" w:cs="Times New Roman"/>
                <w:color w:val="000000"/>
                <w:sz w:val="20"/>
                <w:szCs w:val="20"/>
              </w:rPr>
              <w:t>1.667</w:t>
            </w:r>
          </w:p>
        </w:tc>
        <w:tc>
          <w:tcPr>
            <w:tcW w:w="986" w:type="dxa"/>
            <w:tcBorders>
              <w:top w:val="nil"/>
              <w:left w:val="nil"/>
              <w:bottom w:val="single" w:color="auto" w:sz="8" w:space="0"/>
              <w:right w:val="single" w:color="auto" w:sz="8" w:space="0"/>
            </w:tcBorders>
            <w:shd w:val="clear" w:color="auto" w:fill="auto"/>
            <w:vAlign w:val="center"/>
            <w:hideMark/>
          </w:tcPr>
          <w:p w:rsidRPr="0036140B" w:rsidR="00E75905" w:rsidP="00E75905" w:rsidRDefault="00E75905" w14:paraId="42134CF7" w14:textId="77777777">
            <w:pPr>
              <w:spacing w:after="0" w:line="240" w:lineRule="auto"/>
              <w:jc w:val="center"/>
              <w:rPr>
                <w:rFonts w:ascii="Times New Roman" w:hAnsi="Times New Roman" w:eastAsia="Times New Roman" w:cs="Times New Roman"/>
                <w:color w:val="000000"/>
                <w:sz w:val="20"/>
                <w:szCs w:val="20"/>
              </w:rPr>
            </w:pPr>
            <w:r w:rsidRPr="0036140B">
              <w:rPr>
                <w:rFonts w:ascii="Times New Roman" w:hAnsi="Times New Roman" w:eastAsia="Times New Roman" w:cs="Times New Roman"/>
                <w:color w:val="000000"/>
                <w:sz w:val="20"/>
                <w:szCs w:val="20"/>
              </w:rPr>
              <w:t>105.72</w:t>
            </w:r>
          </w:p>
        </w:tc>
        <w:tc>
          <w:tcPr>
            <w:tcW w:w="1805" w:type="dxa"/>
            <w:tcBorders>
              <w:top w:val="nil"/>
              <w:left w:val="nil"/>
              <w:bottom w:val="single" w:color="auto" w:sz="8" w:space="0"/>
              <w:right w:val="single" w:color="auto" w:sz="8" w:space="0"/>
            </w:tcBorders>
            <w:shd w:val="clear" w:color="auto" w:fill="auto"/>
            <w:noWrap/>
            <w:vAlign w:val="center"/>
            <w:hideMark/>
          </w:tcPr>
          <w:p w:rsidRPr="0036140B" w:rsidR="00E75905" w:rsidP="00E75905" w:rsidRDefault="00E75905" w14:paraId="797C755F" w14:textId="77777777">
            <w:pPr>
              <w:spacing w:after="0" w:line="240" w:lineRule="auto"/>
              <w:jc w:val="center"/>
              <w:rPr>
                <w:rFonts w:ascii="Times New Roman" w:hAnsi="Times New Roman" w:eastAsia="Times New Roman" w:cs="Times New Roman"/>
                <w:color w:val="000000"/>
                <w:sz w:val="20"/>
                <w:szCs w:val="20"/>
              </w:rPr>
            </w:pPr>
            <w:r w:rsidRPr="0036140B">
              <w:rPr>
                <w:rFonts w:ascii="Times New Roman" w:hAnsi="Times New Roman" w:eastAsia="Times New Roman" w:cs="Times New Roman"/>
                <w:color w:val="000000"/>
                <w:sz w:val="20"/>
                <w:szCs w:val="20"/>
              </w:rPr>
              <w:t>176</w:t>
            </w:r>
          </w:p>
        </w:tc>
        <w:tc>
          <w:tcPr>
            <w:tcW w:w="1134" w:type="dxa"/>
            <w:tcBorders>
              <w:top w:val="nil"/>
              <w:left w:val="nil"/>
              <w:bottom w:val="single" w:color="auto" w:sz="8" w:space="0"/>
              <w:right w:val="single" w:color="auto" w:sz="8" w:space="0"/>
            </w:tcBorders>
            <w:shd w:val="clear" w:color="auto" w:fill="auto"/>
            <w:vAlign w:val="center"/>
            <w:hideMark/>
          </w:tcPr>
          <w:p w:rsidRPr="0036140B" w:rsidR="00E75905" w:rsidP="00E75905" w:rsidRDefault="00E75905" w14:paraId="36AFAEF4" w14:textId="77777777">
            <w:pPr>
              <w:spacing w:after="0" w:line="240" w:lineRule="auto"/>
              <w:jc w:val="center"/>
              <w:rPr>
                <w:rFonts w:ascii="Times New Roman" w:hAnsi="Times New Roman" w:eastAsia="Times New Roman" w:cs="Times New Roman"/>
                <w:color w:val="000000"/>
                <w:sz w:val="20"/>
                <w:szCs w:val="20"/>
              </w:rPr>
            </w:pPr>
            <w:r w:rsidRPr="0036140B">
              <w:rPr>
                <w:rFonts w:ascii="Times New Roman" w:hAnsi="Times New Roman" w:eastAsia="Times New Roman" w:cs="Times New Roman"/>
                <w:color w:val="000000"/>
                <w:sz w:val="20"/>
                <w:szCs w:val="20"/>
              </w:rPr>
              <w:t>TPD</w:t>
            </w:r>
          </w:p>
        </w:tc>
        <w:tc>
          <w:tcPr>
            <w:tcW w:w="1170" w:type="dxa"/>
            <w:tcBorders>
              <w:top w:val="nil"/>
              <w:left w:val="nil"/>
              <w:bottom w:val="single" w:color="auto" w:sz="8" w:space="0"/>
              <w:right w:val="single" w:color="auto" w:sz="8" w:space="0"/>
            </w:tcBorders>
            <w:shd w:val="clear" w:color="auto" w:fill="auto"/>
            <w:vAlign w:val="center"/>
            <w:hideMark/>
          </w:tcPr>
          <w:p w:rsidRPr="0036140B" w:rsidR="00E75905" w:rsidP="00E75905" w:rsidRDefault="00E75905" w14:paraId="0CD7A0C8" w14:textId="77777777">
            <w:pPr>
              <w:spacing w:after="0" w:line="240" w:lineRule="auto"/>
              <w:jc w:val="center"/>
              <w:rPr>
                <w:rFonts w:ascii="Times New Roman" w:hAnsi="Times New Roman" w:eastAsia="Times New Roman" w:cs="Times New Roman"/>
                <w:color w:val="000000"/>
                <w:sz w:val="20"/>
                <w:szCs w:val="20"/>
              </w:rPr>
            </w:pPr>
            <w:r w:rsidRPr="0036140B">
              <w:rPr>
                <w:rFonts w:ascii="Times New Roman" w:hAnsi="Times New Roman" w:eastAsia="Times New Roman" w:cs="Times New Roman"/>
                <w:color w:val="000000"/>
                <w:sz w:val="20"/>
                <w:szCs w:val="20"/>
              </w:rPr>
              <w:t>Once</w:t>
            </w:r>
          </w:p>
        </w:tc>
      </w:tr>
      <w:tr w:rsidRPr="00E75905" w:rsidR="00E75905" w:rsidTr="00E75905" w14:paraId="71CE7D00" w14:textId="77777777">
        <w:trPr>
          <w:trHeight w:val="1596"/>
        </w:trPr>
        <w:tc>
          <w:tcPr>
            <w:tcW w:w="1070" w:type="dxa"/>
            <w:tcBorders>
              <w:top w:val="nil"/>
              <w:left w:val="single" w:color="auto" w:sz="8" w:space="0"/>
              <w:bottom w:val="single" w:color="auto" w:sz="8" w:space="0"/>
              <w:right w:val="single" w:color="auto" w:sz="8" w:space="0"/>
            </w:tcBorders>
            <w:shd w:val="clear" w:color="auto" w:fill="auto"/>
            <w:vAlign w:val="center"/>
            <w:hideMark/>
          </w:tcPr>
          <w:p w:rsidRPr="0036140B" w:rsidR="00E75905" w:rsidP="00E75905" w:rsidRDefault="00E75905" w14:paraId="787B0402" w14:textId="77777777">
            <w:pPr>
              <w:spacing w:after="0" w:line="240" w:lineRule="auto"/>
              <w:jc w:val="center"/>
              <w:rPr>
                <w:rFonts w:ascii="Times New Roman" w:hAnsi="Times New Roman" w:eastAsia="Times New Roman" w:cs="Times New Roman"/>
                <w:color w:val="000000"/>
                <w:sz w:val="20"/>
                <w:szCs w:val="20"/>
              </w:rPr>
            </w:pPr>
            <w:r w:rsidRPr="0036140B">
              <w:rPr>
                <w:rFonts w:ascii="Times New Roman" w:hAnsi="Times New Roman" w:eastAsia="Times New Roman" w:cs="Times New Roman"/>
                <w:color w:val="000000"/>
                <w:sz w:val="20"/>
                <w:szCs w:val="20"/>
              </w:rPr>
              <w:t>12.6b</w:t>
            </w:r>
          </w:p>
        </w:tc>
        <w:tc>
          <w:tcPr>
            <w:tcW w:w="1319" w:type="dxa"/>
            <w:tcBorders>
              <w:top w:val="nil"/>
              <w:left w:val="nil"/>
              <w:bottom w:val="single" w:color="auto" w:sz="8" w:space="0"/>
              <w:right w:val="single" w:color="auto" w:sz="8" w:space="0"/>
            </w:tcBorders>
            <w:shd w:val="clear" w:color="auto" w:fill="auto"/>
            <w:vAlign w:val="center"/>
            <w:hideMark/>
          </w:tcPr>
          <w:p w:rsidRPr="0036140B" w:rsidR="00E75905" w:rsidP="00E75905" w:rsidRDefault="00E75905" w14:paraId="2255B6D1" w14:textId="77777777">
            <w:pPr>
              <w:spacing w:after="0" w:line="240" w:lineRule="auto"/>
              <w:jc w:val="center"/>
              <w:rPr>
                <w:rFonts w:ascii="Times New Roman" w:hAnsi="Times New Roman" w:eastAsia="Times New Roman" w:cs="Times New Roman"/>
                <w:color w:val="000000"/>
                <w:sz w:val="20"/>
                <w:szCs w:val="20"/>
              </w:rPr>
            </w:pPr>
            <w:r w:rsidRPr="0036140B">
              <w:rPr>
                <w:rFonts w:ascii="Times New Roman" w:hAnsi="Times New Roman" w:eastAsia="Times New Roman" w:cs="Times New Roman"/>
                <w:color w:val="000000"/>
                <w:sz w:val="20"/>
                <w:szCs w:val="20"/>
              </w:rPr>
              <w:t>438.10(c), Information Requirements</w:t>
            </w:r>
          </w:p>
        </w:tc>
        <w:tc>
          <w:tcPr>
            <w:tcW w:w="1471" w:type="dxa"/>
            <w:tcBorders>
              <w:top w:val="nil"/>
              <w:left w:val="nil"/>
              <w:bottom w:val="single" w:color="auto" w:sz="8" w:space="0"/>
              <w:right w:val="single" w:color="auto" w:sz="8" w:space="0"/>
            </w:tcBorders>
            <w:shd w:val="clear" w:color="auto" w:fill="auto"/>
            <w:noWrap/>
            <w:vAlign w:val="center"/>
            <w:hideMark/>
          </w:tcPr>
          <w:p w:rsidRPr="0036140B" w:rsidR="00E75905" w:rsidP="00E75905" w:rsidRDefault="00E75905" w14:paraId="4D532D97" w14:textId="77777777">
            <w:pPr>
              <w:spacing w:after="0" w:line="240" w:lineRule="auto"/>
              <w:jc w:val="center"/>
              <w:rPr>
                <w:rFonts w:ascii="Times New Roman" w:hAnsi="Times New Roman" w:eastAsia="Times New Roman" w:cs="Times New Roman"/>
                <w:color w:val="000000"/>
                <w:sz w:val="20"/>
                <w:szCs w:val="20"/>
              </w:rPr>
            </w:pPr>
            <w:r w:rsidRPr="0036140B">
              <w:rPr>
                <w:rFonts w:ascii="Times New Roman" w:hAnsi="Times New Roman" w:eastAsia="Times New Roman" w:cs="Times New Roman"/>
                <w:color w:val="000000"/>
                <w:sz w:val="20"/>
                <w:szCs w:val="20"/>
              </w:rPr>
              <w:t>41</w:t>
            </w:r>
          </w:p>
        </w:tc>
        <w:tc>
          <w:tcPr>
            <w:tcW w:w="1242" w:type="dxa"/>
            <w:tcBorders>
              <w:top w:val="nil"/>
              <w:left w:val="nil"/>
              <w:bottom w:val="single" w:color="auto" w:sz="8" w:space="0"/>
              <w:right w:val="single" w:color="auto" w:sz="8" w:space="0"/>
            </w:tcBorders>
            <w:shd w:val="clear" w:color="auto" w:fill="auto"/>
            <w:noWrap/>
            <w:vAlign w:val="center"/>
            <w:hideMark/>
          </w:tcPr>
          <w:p w:rsidRPr="0036140B" w:rsidR="00E75905" w:rsidP="00E75905" w:rsidRDefault="00E75905" w14:paraId="0B08E681" w14:textId="77777777">
            <w:pPr>
              <w:spacing w:after="0" w:line="240" w:lineRule="auto"/>
              <w:jc w:val="center"/>
              <w:rPr>
                <w:rFonts w:ascii="Times New Roman" w:hAnsi="Times New Roman" w:eastAsia="Times New Roman" w:cs="Times New Roman"/>
                <w:color w:val="000000"/>
                <w:sz w:val="20"/>
                <w:szCs w:val="20"/>
              </w:rPr>
            </w:pPr>
            <w:r w:rsidRPr="0036140B">
              <w:rPr>
                <w:rFonts w:ascii="Times New Roman" w:hAnsi="Times New Roman" w:eastAsia="Times New Roman" w:cs="Times New Roman"/>
                <w:color w:val="000000"/>
                <w:sz w:val="20"/>
                <w:szCs w:val="20"/>
              </w:rPr>
              <w:t>41</w:t>
            </w:r>
          </w:p>
        </w:tc>
        <w:tc>
          <w:tcPr>
            <w:tcW w:w="1188" w:type="dxa"/>
            <w:tcBorders>
              <w:top w:val="nil"/>
              <w:left w:val="nil"/>
              <w:bottom w:val="single" w:color="auto" w:sz="8" w:space="0"/>
              <w:right w:val="single" w:color="auto" w:sz="8" w:space="0"/>
            </w:tcBorders>
            <w:shd w:val="clear" w:color="auto" w:fill="auto"/>
            <w:vAlign w:val="center"/>
            <w:hideMark/>
          </w:tcPr>
          <w:p w:rsidRPr="0036140B" w:rsidR="00E75905" w:rsidP="00E75905" w:rsidRDefault="00E75905" w14:paraId="6F7FA4DF" w14:textId="77777777">
            <w:pPr>
              <w:spacing w:after="0" w:line="240" w:lineRule="auto"/>
              <w:jc w:val="center"/>
              <w:rPr>
                <w:rFonts w:ascii="Times New Roman" w:hAnsi="Times New Roman" w:eastAsia="Times New Roman" w:cs="Times New Roman"/>
                <w:color w:val="000000"/>
                <w:sz w:val="20"/>
                <w:szCs w:val="20"/>
              </w:rPr>
            </w:pPr>
            <w:r w:rsidRPr="0036140B">
              <w:rPr>
                <w:rFonts w:ascii="Times New Roman" w:hAnsi="Times New Roman" w:eastAsia="Times New Roman" w:cs="Times New Roman"/>
                <w:color w:val="000000"/>
                <w:sz w:val="20"/>
                <w:szCs w:val="20"/>
              </w:rPr>
              <w:t>3</w:t>
            </w:r>
          </w:p>
        </w:tc>
        <w:tc>
          <w:tcPr>
            <w:tcW w:w="1745" w:type="dxa"/>
            <w:tcBorders>
              <w:top w:val="nil"/>
              <w:left w:val="nil"/>
              <w:bottom w:val="single" w:color="auto" w:sz="8" w:space="0"/>
              <w:right w:val="single" w:color="auto" w:sz="8" w:space="0"/>
            </w:tcBorders>
            <w:shd w:val="clear" w:color="auto" w:fill="auto"/>
            <w:noWrap/>
            <w:vAlign w:val="center"/>
            <w:hideMark/>
          </w:tcPr>
          <w:p w:rsidRPr="0036140B" w:rsidR="00E75905" w:rsidP="00E75905" w:rsidRDefault="00E75905" w14:paraId="0EE50031" w14:textId="77777777">
            <w:pPr>
              <w:spacing w:after="0" w:line="240" w:lineRule="auto"/>
              <w:jc w:val="center"/>
              <w:rPr>
                <w:rFonts w:ascii="Times New Roman" w:hAnsi="Times New Roman" w:eastAsia="Times New Roman" w:cs="Times New Roman"/>
                <w:color w:val="000000"/>
                <w:sz w:val="20"/>
                <w:szCs w:val="20"/>
              </w:rPr>
            </w:pPr>
            <w:r w:rsidRPr="0036140B">
              <w:rPr>
                <w:rFonts w:ascii="Times New Roman" w:hAnsi="Times New Roman" w:eastAsia="Times New Roman" w:cs="Times New Roman"/>
                <w:color w:val="000000"/>
                <w:sz w:val="20"/>
                <w:szCs w:val="20"/>
              </w:rPr>
              <w:t>123</w:t>
            </w:r>
          </w:p>
        </w:tc>
        <w:tc>
          <w:tcPr>
            <w:tcW w:w="986" w:type="dxa"/>
            <w:tcBorders>
              <w:top w:val="nil"/>
              <w:left w:val="nil"/>
              <w:bottom w:val="single" w:color="auto" w:sz="8" w:space="0"/>
              <w:right w:val="single" w:color="auto" w:sz="8" w:space="0"/>
            </w:tcBorders>
            <w:shd w:val="clear" w:color="auto" w:fill="auto"/>
            <w:vAlign w:val="center"/>
            <w:hideMark/>
          </w:tcPr>
          <w:p w:rsidRPr="0036140B" w:rsidR="00E75905" w:rsidP="00E75905" w:rsidRDefault="00E75905" w14:paraId="024510FA" w14:textId="77777777">
            <w:pPr>
              <w:spacing w:after="0" w:line="240" w:lineRule="auto"/>
              <w:jc w:val="center"/>
              <w:rPr>
                <w:rFonts w:ascii="Times New Roman" w:hAnsi="Times New Roman" w:eastAsia="Times New Roman" w:cs="Times New Roman"/>
                <w:color w:val="000000"/>
                <w:sz w:val="20"/>
                <w:szCs w:val="20"/>
              </w:rPr>
            </w:pPr>
            <w:r w:rsidRPr="0036140B">
              <w:rPr>
                <w:rFonts w:ascii="Times New Roman" w:hAnsi="Times New Roman" w:eastAsia="Times New Roman" w:cs="Times New Roman"/>
                <w:color w:val="000000"/>
                <w:sz w:val="20"/>
                <w:szCs w:val="20"/>
              </w:rPr>
              <w:t>105.72</w:t>
            </w:r>
          </w:p>
        </w:tc>
        <w:tc>
          <w:tcPr>
            <w:tcW w:w="1805" w:type="dxa"/>
            <w:tcBorders>
              <w:top w:val="nil"/>
              <w:left w:val="nil"/>
              <w:bottom w:val="single" w:color="auto" w:sz="8" w:space="0"/>
              <w:right w:val="single" w:color="auto" w:sz="8" w:space="0"/>
            </w:tcBorders>
            <w:shd w:val="clear" w:color="auto" w:fill="auto"/>
            <w:noWrap/>
            <w:vAlign w:val="center"/>
            <w:hideMark/>
          </w:tcPr>
          <w:p w:rsidRPr="0036140B" w:rsidR="00E75905" w:rsidP="00E75905" w:rsidRDefault="00E75905" w14:paraId="2EA8EAA3" w14:textId="77777777">
            <w:pPr>
              <w:spacing w:after="0" w:line="240" w:lineRule="auto"/>
              <w:jc w:val="center"/>
              <w:rPr>
                <w:rFonts w:ascii="Times New Roman" w:hAnsi="Times New Roman" w:eastAsia="Times New Roman" w:cs="Times New Roman"/>
                <w:color w:val="000000"/>
                <w:sz w:val="20"/>
                <w:szCs w:val="20"/>
              </w:rPr>
            </w:pPr>
            <w:r w:rsidRPr="0036140B">
              <w:rPr>
                <w:rFonts w:ascii="Times New Roman" w:hAnsi="Times New Roman" w:eastAsia="Times New Roman" w:cs="Times New Roman"/>
                <w:color w:val="000000"/>
                <w:sz w:val="20"/>
                <w:szCs w:val="20"/>
              </w:rPr>
              <w:t>13,004</w:t>
            </w:r>
          </w:p>
        </w:tc>
        <w:tc>
          <w:tcPr>
            <w:tcW w:w="1134" w:type="dxa"/>
            <w:tcBorders>
              <w:top w:val="nil"/>
              <w:left w:val="nil"/>
              <w:bottom w:val="single" w:color="auto" w:sz="8" w:space="0"/>
              <w:right w:val="single" w:color="auto" w:sz="8" w:space="0"/>
            </w:tcBorders>
            <w:shd w:val="clear" w:color="auto" w:fill="auto"/>
            <w:vAlign w:val="center"/>
            <w:hideMark/>
          </w:tcPr>
          <w:p w:rsidRPr="0036140B" w:rsidR="00E75905" w:rsidP="00E75905" w:rsidRDefault="00E75905" w14:paraId="213E4251" w14:textId="77777777">
            <w:pPr>
              <w:spacing w:after="0" w:line="240" w:lineRule="auto"/>
              <w:jc w:val="center"/>
              <w:rPr>
                <w:rFonts w:ascii="Times New Roman" w:hAnsi="Times New Roman" w:eastAsia="Times New Roman" w:cs="Times New Roman"/>
                <w:color w:val="000000"/>
                <w:sz w:val="20"/>
                <w:szCs w:val="20"/>
              </w:rPr>
            </w:pPr>
            <w:r w:rsidRPr="0036140B">
              <w:rPr>
                <w:rFonts w:ascii="Times New Roman" w:hAnsi="Times New Roman" w:eastAsia="Times New Roman" w:cs="Times New Roman"/>
                <w:color w:val="000000"/>
                <w:sz w:val="20"/>
                <w:szCs w:val="20"/>
              </w:rPr>
              <w:t>TPD</w:t>
            </w:r>
          </w:p>
        </w:tc>
        <w:tc>
          <w:tcPr>
            <w:tcW w:w="1170" w:type="dxa"/>
            <w:tcBorders>
              <w:top w:val="nil"/>
              <w:left w:val="nil"/>
              <w:bottom w:val="single" w:color="auto" w:sz="8" w:space="0"/>
              <w:right w:val="single" w:color="auto" w:sz="8" w:space="0"/>
            </w:tcBorders>
            <w:shd w:val="clear" w:color="auto" w:fill="auto"/>
            <w:vAlign w:val="center"/>
            <w:hideMark/>
          </w:tcPr>
          <w:p w:rsidRPr="0036140B" w:rsidR="00E75905" w:rsidP="00E75905" w:rsidRDefault="00E75905" w14:paraId="6C82D266" w14:textId="77777777">
            <w:pPr>
              <w:spacing w:after="0" w:line="240" w:lineRule="auto"/>
              <w:jc w:val="center"/>
              <w:rPr>
                <w:rFonts w:ascii="Times New Roman" w:hAnsi="Times New Roman" w:eastAsia="Times New Roman" w:cs="Times New Roman"/>
                <w:color w:val="000000"/>
                <w:sz w:val="20"/>
                <w:szCs w:val="20"/>
              </w:rPr>
            </w:pPr>
            <w:r w:rsidRPr="0036140B">
              <w:rPr>
                <w:rFonts w:ascii="Times New Roman" w:hAnsi="Times New Roman" w:eastAsia="Times New Roman" w:cs="Times New Roman"/>
                <w:color w:val="000000"/>
                <w:sz w:val="20"/>
                <w:szCs w:val="20"/>
              </w:rPr>
              <w:t>Annual</w:t>
            </w:r>
          </w:p>
        </w:tc>
      </w:tr>
      <w:tr w:rsidRPr="00E75905" w:rsidR="00E75905" w:rsidTr="00E75905" w14:paraId="545CE326" w14:textId="77777777">
        <w:trPr>
          <w:trHeight w:val="1596"/>
        </w:trPr>
        <w:tc>
          <w:tcPr>
            <w:tcW w:w="1070" w:type="dxa"/>
            <w:tcBorders>
              <w:top w:val="nil"/>
              <w:left w:val="single" w:color="auto" w:sz="8" w:space="0"/>
              <w:bottom w:val="single" w:color="auto" w:sz="8" w:space="0"/>
              <w:right w:val="single" w:color="auto" w:sz="8" w:space="0"/>
            </w:tcBorders>
            <w:shd w:val="clear" w:color="auto" w:fill="auto"/>
            <w:vAlign w:val="center"/>
            <w:hideMark/>
          </w:tcPr>
          <w:p w:rsidRPr="0036140B" w:rsidR="00E75905" w:rsidP="00E75905" w:rsidRDefault="00E75905" w14:paraId="199E6336" w14:textId="77777777">
            <w:pPr>
              <w:spacing w:after="0" w:line="240" w:lineRule="auto"/>
              <w:jc w:val="center"/>
              <w:rPr>
                <w:rFonts w:ascii="Times New Roman" w:hAnsi="Times New Roman" w:eastAsia="Times New Roman" w:cs="Times New Roman"/>
                <w:color w:val="000000"/>
                <w:sz w:val="20"/>
                <w:szCs w:val="20"/>
              </w:rPr>
            </w:pPr>
            <w:r w:rsidRPr="0036140B">
              <w:rPr>
                <w:rFonts w:ascii="Times New Roman" w:hAnsi="Times New Roman" w:eastAsia="Times New Roman" w:cs="Times New Roman"/>
                <w:color w:val="000000"/>
                <w:sz w:val="20"/>
                <w:szCs w:val="20"/>
              </w:rPr>
              <w:t>12.8b</w:t>
            </w:r>
          </w:p>
        </w:tc>
        <w:tc>
          <w:tcPr>
            <w:tcW w:w="1319" w:type="dxa"/>
            <w:tcBorders>
              <w:top w:val="nil"/>
              <w:left w:val="nil"/>
              <w:bottom w:val="single" w:color="auto" w:sz="8" w:space="0"/>
              <w:right w:val="single" w:color="auto" w:sz="8" w:space="0"/>
            </w:tcBorders>
            <w:shd w:val="clear" w:color="auto" w:fill="auto"/>
            <w:vAlign w:val="center"/>
            <w:hideMark/>
          </w:tcPr>
          <w:p w:rsidRPr="0036140B" w:rsidR="00E75905" w:rsidP="00E75905" w:rsidRDefault="00E75905" w14:paraId="6C50CBFB" w14:textId="77777777">
            <w:pPr>
              <w:spacing w:after="0" w:line="240" w:lineRule="auto"/>
              <w:jc w:val="center"/>
              <w:rPr>
                <w:rFonts w:ascii="Times New Roman" w:hAnsi="Times New Roman" w:eastAsia="Times New Roman" w:cs="Times New Roman"/>
                <w:color w:val="000000"/>
                <w:sz w:val="20"/>
                <w:szCs w:val="20"/>
              </w:rPr>
            </w:pPr>
            <w:r w:rsidRPr="0036140B">
              <w:rPr>
                <w:rFonts w:ascii="Times New Roman" w:hAnsi="Times New Roman" w:eastAsia="Times New Roman" w:cs="Times New Roman"/>
                <w:color w:val="000000"/>
                <w:sz w:val="20"/>
                <w:szCs w:val="20"/>
              </w:rPr>
              <w:t>438.10(c)(4)(ii), Information Requirements</w:t>
            </w:r>
          </w:p>
        </w:tc>
        <w:tc>
          <w:tcPr>
            <w:tcW w:w="1471" w:type="dxa"/>
            <w:tcBorders>
              <w:top w:val="nil"/>
              <w:left w:val="nil"/>
              <w:bottom w:val="single" w:color="auto" w:sz="8" w:space="0"/>
              <w:right w:val="single" w:color="auto" w:sz="8" w:space="0"/>
            </w:tcBorders>
            <w:shd w:val="clear" w:color="auto" w:fill="auto"/>
            <w:noWrap/>
            <w:vAlign w:val="center"/>
            <w:hideMark/>
          </w:tcPr>
          <w:p w:rsidRPr="0036140B" w:rsidR="00E75905" w:rsidP="00E75905" w:rsidRDefault="00E75905" w14:paraId="72AE5351" w14:textId="77777777">
            <w:pPr>
              <w:spacing w:after="0" w:line="240" w:lineRule="auto"/>
              <w:jc w:val="center"/>
              <w:rPr>
                <w:rFonts w:ascii="Times New Roman" w:hAnsi="Times New Roman" w:eastAsia="Times New Roman" w:cs="Times New Roman"/>
                <w:color w:val="000000"/>
                <w:sz w:val="20"/>
                <w:szCs w:val="20"/>
              </w:rPr>
            </w:pPr>
            <w:r w:rsidRPr="0036140B">
              <w:rPr>
                <w:rFonts w:ascii="Times New Roman" w:hAnsi="Times New Roman" w:eastAsia="Times New Roman" w:cs="Times New Roman"/>
                <w:color w:val="000000"/>
                <w:sz w:val="20"/>
                <w:szCs w:val="20"/>
              </w:rPr>
              <w:t>20</w:t>
            </w:r>
          </w:p>
        </w:tc>
        <w:tc>
          <w:tcPr>
            <w:tcW w:w="1242" w:type="dxa"/>
            <w:tcBorders>
              <w:top w:val="nil"/>
              <w:left w:val="nil"/>
              <w:bottom w:val="single" w:color="auto" w:sz="8" w:space="0"/>
              <w:right w:val="single" w:color="auto" w:sz="8" w:space="0"/>
            </w:tcBorders>
            <w:shd w:val="clear" w:color="auto" w:fill="auto"/>
            <w:noWrap/>
            <w:vAlign w:val="center"/>
            <w:hideMark/>
          </w:tcPr>
          <w:p w:rsidRPr="0036140B" w:rsidR="00E75905" w:rsidP="00E75905" w:rsidRDefault="00E75905" w14:paraId="24BF4370" w14:textId="77777777">
            <w:pPr>
              <w:spacing w:after="0" w:line="240" w:lineRule="auto"/>
              <w:jc w:val="center"/>
              <w:rPr>
                <w:rFonts w:ascii="Times New Roman" w:hAnsi="Times New Roman" w:eastAsia="Times New Roman" w:cs="Times New Roman"/>
                <w:color w:val="000000"/>
                <w:sz w:val="20"/>
                <w:szCs w:val="20"/>
              </w:rPr>
            </w:pPr>
            <w:r w:rsidRPr="0036140B">
              <w:rPr>
                <w:rFonts w:ascii="Times New Roman" w:hAnsi="Times New Roman" w:eastAsia="Times New Roman" w:cs="Times New Roman"/>
                <w:color w:val="000000"/>
                <w:sz w:val="20"/>
                <w:szCs w:val="20"/>
              </w:rPr>
              <w:t>20</w:t>
            </w:r>
          </w:p>
        </w:tc>
        <w:tc>
          <w:tcPr>
            <w:tcW w:w="1188" w:type="dxa"/>
            <w:tcBorders>
              <w:top w:val="nil"/>
              <w:left w:val="nil"/>
              <w:bottom w:val="single" w:color="auto" w:sz="8" w:space="0"/>
              <w:right w:val="single" w:color="auto" w:sz="8" w:space="0"/>
            </w:tcBorders>
            <w:shd w:val="clear" w:color="auto" w:fill="auto"/>
            <w:vAlign w:val="center"/>
            <w:hideMark/>
          </w:tcPr>
          <w:p w:rsidRPr="0036140B" w:rsidR="00E75905" w:rsidP="00E75905" w:rsidRDefault="00E75905" w14:paraId="588AE0A6" w14:textId="77777777">
            <w:pPr>
              <w:spacing w:after="0" w:line="240" w:lineRule="auto"/>
              <w:jc w:val="center"/>
              <w:rPr>
                <w:rFonts w:ascii="Times New Roman" w:hAnsi="Times New Roman" w:eastAsia="Times New Roman" w:cs="Times New Roman"/>
                <w:color w:val="000000"/>
                <w:sz w:val="20"/>
                <w:szCs w:val="20"/>
              </w:rPr>
            </w:pPr>
            <w:r w:rsidRPr="0036140B">
              <w:rPr>
                <w:rFonts w:ascii="Times New Roman" w:hAnsi="Times New Roman" w:eastAsia="Times New Roman" w:cs="Times New Roman"/>
                <w:color w:val="000000"/>
                <w:sz w:val="20"/>
                <w:szCs w:val="20"/>
              </w:rPr>
              <w:t>2</w:t>
            </w:r>
          </w:p>
        </w:tc>
        <w:tc>
          <w:tcPr>
            <w:tcW w:w="1745" w:type="dxa"/>
            <w:tcBorders>
              <w:top w:val="nil"/>
              <w:left w:val="nil"/>
              <w:bottom w:val="single" w:color="auto" w:sz="8" w:space="0"/>
              <w:right w:val="single" w:color="auto" w:sz="8" w:space="0"/>
            </w:tcBorders>
            <w:shd w:val="clear" w:color="auto" w:fill="auto"/>
            <w:noWrap/>
            <w:vAlign w:val="center"/>
            <w:hideMark/>
          </w:tcPr>
          <w:p w:rsidRPr="0036140B" w:rsidR="00E75905" w:rsidP="00E75905" w:rsidRDefault="00E75905" w14:paraId="62D92CA6" w14:textId="77777777">
            <w:pPr>
              <w:spacing w:after="0" w:line="240" w:lineRule="auto"/>
              <w:jc w:val="center"/>
              <w:rPr>
                <w:rFonts w:ascii="Times New Roman" w:hAnsi="Times New Roman" w:eastAsia="Times New Roman" w:cs="Times New Roman"/>
                <w:color w:val="000000"/>
                <w:sz w:val="20"/>
                <w:szCs w:val="20"/>
              </w:rPr>
            </w:pPr>
            <w:r w:rsidRPr="0036140B">
              <w:rPr>
                <w:rFonts w:ascii="Times New Roman" w:hAnsi="Times New Roman" w:eastAsia="Times New Roman" w:cs="Times New Roman"/>
                <w:color w:val="000000"/>
                <w:sz w:val="20"/>
                <w:szCs w:val="20"/>
              </w:rPr>
              <w:t>40</w:t>
            </w:r>
          </w:p>
        </w:tc>
        <w:tc>
          <w:tcPr>
            <w:tcW w:w="986" w:type="dxa"/>
            <w:tcBorders>
              <w:top w:val="nil"/>
              <w:left w:val="nil"/>
              <w:bottom w:val="single" w:color="auto" w:sz="8" w:space="0"/>
              <w:right w:val="single" w:color="auto" w:sz="8" w:space="0"/>
            </w:tcBorders>
            <w:shd w:val="clear" w:color="auto" w:fill="auto"/>
            <w:vAlign w:val="center"/>
            <w:hideMark/>
          </w:tcPr>
          <w:p w:rsidRPr="0036140B" w:rsidR="00E75905" w:rsidP="00E75905" w:rsidRDefault="00E75905" w14:paraId="4092CF2C" w14:textId="77777777">
            <w:pPr>
              <w:spacing w:after="0" w:line="240" w:lineRule="auto"/>
              <w:jc w:val="center"/>
              <w:rPr>
                <w:rFonts w:ascii="Times New Roman" w:hAnsi="Times New Roman" w:eastAsia="Times New Roman" w:cs="Times New Roman"/>
                <w:color w:val="000000"/>
                <w:sz w:val="20"/>
                <w:szCs w:val="20"/>
              </w:rPr>
            </w:pPr>
            <w:r w:rsidRPr="0036140B">
              <w:rPr>
                <w:rFonts w:ascii="Times New Roman" w:hAnsi="Times New Roman" w:eastAsia="Times New Roman" w:cs="Times New Roman"/>
                <w:color w:val="000000"/>
                <w:sz w:val="20"/>
                <w:szCs w:val="20"/>
              </w:rPr>
              <w:t>75.32</w:t>
            </w:r>
          </w:p>
        </w:tc>
        <w:tc>
          <w:tcPr>
            <w:tcW w:w="1805" w:type="dxa"/>
            <w:tcBorders>
              <w:top w:val="nil"/>
              <w:left w:val="nil"/>
              <w:bottom w:val="single" w:color="auto" w:sz="8" w:space="0"/>
              <w:right w:val="single" w:color="auto" w:sz="8" w:space="0"/>
            </w:tcBorders>
            <w:shd w:val="clear" w:color="auto" w:fill="auto"/>
            <w:noWrap/>
            <w:vAlign w:val="center"/>
            <w:hideMark/>
          </w:tcPr>
          <w:p w:rsidRPr="0036140B" w:rsidR="00E75905" w:rsidP="00E75905" w:rsidRDefault="00E75905" w14:paraId="5B228FEB" w14:textId="77777777">
            <w:pPr>
              <w:spacing w:after="0" w:line="240" w:lineRule="auto"/>
              <w:jc w:val="center"/>
              <w:rPr>
                <w:rFonts w:ascii="Times New Roman" w:hAnsi="Times New Roman" w:eastAsia="Times New Roman" w:cs="Times New Roman"/>
                <w:color w:val="000000"/>
                <w:sz w:val="20"/>
                <w:szCs w:val="20"/>
              </w:rPr>
            </w:pPr>
            <w:r w:rsidRPr="0036140B">
              <w:rPr>
                <w:rFonts w:ascii="Times New Roman" w:hAnsi="Times New Roman" w:eastAsia="Times New Roman" w:cs="Times New Roman"/>
                <w:color w:val="000000"/>
                <w:sz w:val="20"/>
                <w:szCs w:val="20"/>
              </w:rPr>
              <w:t>3,013</w:t>
            </w:r>
          </w:p>
        </w:tc>
        <w:tc>
          <w:tcPr>
            <w:tcW w:w="1134" w:type="dxa"/>
            <w:tcBorders>
              <w:top w:val="nil"/>
              <w:left w:val="nil"/>
              <w:bottom w:val="single" w:color="auto" w:sz="8" w:space="0"/>
              <w:right w:val="single" w:color="auto" w:sz="8" w:space="0"/>
            </w:tcBorders>
            <w:shd w:val="clear" w:color="auto" w:fill="auto"/>
            <w:vAlign w:val="center"/>
            <w:hideMark/>
          </w:tcPr>
          <w:p w:rsidRPr="0036140B" w:rsidR="00E75905" w:rsidP="00E75905" w:rsidRDefault="00E75905" w14:paraId="57F80868" w14:textId="77777777">
            <w:pPr>
              <w:spacing w:after="0" w:line="240" w:lineRule="auto"/>
              <w:jc w:val="center"/>
              <w:rPr>
                <w:rFonts w:ascii="Times New Roman" w:hAnsi="Times New Roman" w:eastAsia="Times New Roman" w:cs="Times New Roman"/>
                <w:color w:val="000000"/>
                <w:sz w:val="20"/>
                <w:szCs w:val="20"/>
              </w:rPr>
            </w:pPr>
            <w:r w:rsidRPr="0036140B">
              <w:rPr>
                <w:rFonts w:ascii="Times New Roman" w:hAnsi="Times New Roman" w:eastAsia="Times New Roman" w:cs="Times New Roman"/>
                <w:color w:val="000000"/>
                <w:sz w:val="20"/>
                <w:szCs w:val="20"/>
              </w:rPr>
              <w:t>TPD</w:t>
            </w:r>
          </w:p>
        </w:tc>
        <w:tc>
          <w:tcPr>
            <w:tcW w:w="1170" w:type="dxa"/>
            <w:tcBorders>
              <w:top w:val="nil"/>
              <w:left w:val="nil"/>
              <w:bottom w:val="single" w:color="auto" w:sz="8" w:space="0"/>
              <w:right w:val="single" w:color="auto" w:sz="8" w:space="0"/>
            </w:tcBorders>
            <w:shd w:val="clear" w:color="auto" w:fill="auto"/>
            <w:vAlign w:val="center"/>
            <w:hideMark/>
          </w:tcPr>
          <w:p w:rsidRPr="0036140B" w:rsidR="00E75905" w:rsidP="00E75905" w:rsidRDefault="00E75905" w14:paraId="6167560C" w14:textId="77777777">
            <w:pPr>
              <w:spacing w:after="0" w:line="240" w:lineRule="auto"/>
              <w:jc w:val="center"/>
              <w:rPr>
                <w:rFonts w:ascii="Times New Roman" w:hAnsi="Times New Roman" w:eastAsia="Times New Roman" w:cs="Times New Roman"/>
                <w:color w:val="000000"/>
                <w:sz w:val="20"/>
                <w:szCs w:val="20"/>
              </w:rPr>
            </w:pPr>
            <w:r w:rsidRPr="0036140B">
              <w:rPr>
                <w:rFonts w:ascii="Times New Roman" w:hAnsi="Times New Roman" w:eastAsia="Times New Roman" w:cs="Times New Roman"/>
                <w:color w:val="000000"/>
                <w:sz w:val="20"/>
                <w:szCs w:val="20"/>
              </w:rPr>
              <w:t>Annual</w:t>
            </w:r>
          </w:p>
        </w:tc>
      </w:tr>
      <w:tr w:rsidRPr="00E75905" w:rsidR="00E75905" w:rsidTr="00E75905" w14:paraId="30EC7548" w14:textId="77777777">
        <w:trPr>
          <w:trHeight w:val="1596"/>
        </w:trPr>
        <w:tc>
          <w:tcPr>
            <w:tcW w:w="1070" w:type="dxa"/>
            <w:tcBorders>
              <w:top w:val="nil"/>
              <w:left w:val="single" w:color="auto" w:sz="8" w:space="0"/>
              <w:bottom w:val="single" w:color="auto" w:sz="8" w:space="0"/>
              <w:right w:val="single" w:color="auto" w:sz="8" w:space="0"/>
            </w:tcBorders>
            <w:shd w:val="clear" w:color="auto" w:fill="auto"/>
            <w:vAlign w:val="center"/>
            <w:hideMark/>
          </w:tcPr>
          <w:p w:rsidRPr="0036140B" w:rsidR="00E75905" w:rsidP="00E75905" w:rsidRDefault="00E75905" w14:paraId="0A830C03" w14:textId="77777777">
            <w:pPr>
              <w:spacing w:after="0" w:line="240" w:lineRule="auto"/>
              <w:jc w:val="center"/>
              <w:rPr>
                <w:rFonts w:ascii="Times New Roman" w:hAnsi="Times New Roman" w:eastAsia="Times New Roman" w:cs="Times New Roman"/>
                <w:color w:val="000000"/>
                <w:sz w:val="20"/>
                <w:szCs w:val="20"/>
              </w:rPr>
            </w:pPr>
            <w:r w:rsidRPr="0036140B">
              <w:rPr>
                <w:rFonts w:ascii="Times New Roman" w:hAnsi="Times New Roman" w:eastAsia="Times New Roman" w:cs="Times New Roman"/>
                <w:color w:val="000000"/>
                <w:sz w:val="20"/>
                <w:szCs w:val="20"/>
              </w:rPr>
              <w:lastRenderedPageBreak/>
              <w:t>12.10b</w:t>
            </w:r>
          </w:p>
        </w:tc>
        <w:tc>
          <w:tcPr>
            <w:tcW w:w="1319" w:type="dxa"/>
            <w:tcBorders>
              <w:top w:val="nil"/>
              <w:left w:val="nil"/>
              <w:bottom w:val="single" w:color="auto" w:sz="8" w:space="0"/>
              <w:right w:val="single" w:color="auto" w:sz="8" w:space="0"/>
            </w:tcBorders>
            <w:shd w:val="clear" w:color="auto" w:fill="auto"/>
            <w:vAlign w:val="center"/>
            <w:hideMark/>
          </w:tcPr>
          <w:p w:rsidRPr="0036140B" w:rsidR="00E75905" w:rsidP="00E75905" w:rsidRDefault="00E75905" w14:paraId="60709572" w14:textId="77777777">
            <w:pPr>
              <w:spacing w:after="0" w:line="240" w:lineRule="auto"/>
              <w:jc w:val="center"/>
              <w:rPr>
                <w:rFonts w:ascii="Times New Roman" w:hAnsi="Times New Roman" w:eastAsia="Times New Roman" w:cs="Times New Roman"/>
                <w:color w:val="000000"/>
                <w:sz w:val="20"/>
                <w:szCs w:val="20"/>
              </w:rPr>
            </w:pPr>
            <w:r w:rsidRPr="0036140B">
              <w:rPr>
                <w:rFonts w:ascii="Times New Roman" w:hAnsi="Times New Roman" w:eastAsia="Times New Roman" w:cs="Times New Roman"/>
                <w:color w:val="000000"/>
                <w:sz w:val="20"/>
                <w:szCs w:val="20"/>
              </w:rPr>
              <w:t>438.10(e)(1), Information Requirements</w:t>
            </w:r>
          </w:p>
        </w:tc>
        <w:tc>
          <w:tcPr>
            <w:tcW w:w="1471" w:type="dxa"/>
            <w:tcBorders>
              <w:top w:val="nil"/>
              <w:left w:val="nil"/>
              <w:bottom w:val="single" w:color="auto" w:sz="8" w:space="0"/>
              <w:right w:val="single" w:color="auto" w:sz="8" w:space="0"/>
            </w:tcBorders>
            <w:shd w:val="clear" w:color="auto" w:fill="auto"/>
            <w:noWrap/>
            <w:vAlign w:val="center"/>
            <w:hideMark/>
          </w:tcPr>
          <w:p w:rsidRPr="0036140B" w:rsidR="00E75905" w:rsidP="00E75905" w:rsidRDefault="00E75905" w14:paraId="5A2225C2" w14:textId="77777777">
            <w:pPr>
              <w:spacing w:after="0" w:line="240" w:lineRule="auto"/>
              <w:jc w:val="center"/>
              <w:rPr>
                <w:rFonts w:ascii="Times New Roman" w:hAnsi="Times New Roman" w:eastAsia="Times New Roman" w:cs="Times New Roman"/>
                <w:color w:val="000000"/>
                <w:sz w:val="20"/>
                <w:szCs w:val="20"/>
              </w:rPr>
            </w:pPr>
            <w:r w:rsidRPr="0036140B">
              <w:rPr>
                <w:rFonts w:ascii="Times New Roman" w:hAnsi="Times New Roman" w:eastAsia="Times New Roman" w:cs="Times New Roman"/>
                <w:color w:val="000000"/>
                <w:sz w:val="20"/>
                <w:szCs w:val="20"/>
              </w:rPr>
              <w:t>41</w:t>
            </w:r>
          </w:p>
        </w:tc>
        <w:tc>
          <w:tcPr>
            <w:tcW w:w="1242" w:type="dxa"/>
            <w:tcBorders>
              <w:top w:val="nil"/>
              <w:left w:val="nil"/>
              <w:bottom w:val="single" w:color="auto" w:sz="8" w:space="0"/>
              <w:right w:val="single" w:color="auto" w:sz="8" w:space="0"/>
            </w:tcBorders>
            <w:shd w:val="clear" w:color="auto" w:fill="auto"/>
            <w:noWrap/>
            <w:vAlign w:val="center"/>
            <w:hideMark/>
          </w:tcPr>
          <w:p w:rsidRPr="0036140B" w:rsidR="00E75905" w:rsidP="00E75905" w:rsidRDefault="00E75905" w14:paraId="6B0F5A2B" w14:textId="77777777">
            <w:pPr>
              <w:spacing w:after="0" w:line="240" w:lineRule="auto"/>
              <w:jc w:val="center"/>
              <w:rPr>
                <w:rFonts w:ascii="Times New Roman" w:hAnsi="Times New Roman" w:eastAsia="Times New Roman" w:cs="Times New Roman"/>
                <w:color w:val="000000"/>
                <w:sz w:val="20"/>
                <w:szCs w:val="20"/>
              </w:rPr>
            </w:pPr>
            <w:r w:rsidRPr="0036140B">
              <w:rPr>
                <w:rFonts w:ascii="Times New Roman" w:hAnsi="Times New Roman" w:eastAsia="Times New Roman" w:cs="Times New Roman"/>
                <w:color w:val="000000"/>
                <w:sz w:val="20"/>
                <w:szCs w:val="20"/>
              </w:rPr>
              <w:t>2,181,540</w:t>
            </w:r>
          </w:p>
        </w:tc>
        <w:tc>
          <w:tcPr>
            <w:tcW w:w="1188" w:type="dxa"/>
            <w:tcBorders>
              <w:top w:val="nil"/>
              <w:left w:val="nil"/>
              <w:bottom w:val="single" w:color="auto" w:sz="8" w:space="0"/>
              <w:right w:val="single" w:color="auto" w:sz="8" w:space="0"/>
            </w:tcBorders>
            <w:shd w:val="clear" w:color="auto" w:fill="auto"/>
            <w:vAlign w:val="center"/>
            <w:hideMark/>
          </w:tcPr>
          <w:p w:rsidRPr="0036140B" w:rsidR="00E75905" w:rsidP="00E75905" w:rsidRDefault="00E75905" w14:paraId="47030387" w14:textId="77777777">
            <w:pPr>
              <w:spacing w:after="0" w:line="240" w:lineRule="auto"/>
              <w:jc w:val="center"/>
              <w:rPr>
                <w:rFonts w:ascii="Times New Roman" w:hAnsi="Times New Roman" w:eastAsia="Times New Roman" w:cs="Times New Roman"/>
                <w:color w:val="000000"/>
                <w:sz w:val="20"/>
                <w:szCs w:val="20"/>
              </w:rPr>
            </w:pPr>
            <w:r w:rsidRPr="0036140B">
              <w:rPr>
                <w:rFonts w:ascii="Times New Roman" w:hAnsi="Times New Roman" w:eastAsia="Times New Roman" w:cs="Times New Roman"/>
                <w:color w:val="000000"/>
                <w:sz w:val="20"/>
                <w:szCs w:val="20"/>
              </w:rPr>
              <w:t>0.0167</w:t>
            </w:r>
          </w:p>
        </w:tc>
        <w:tc>
          <w:tcPr>
            <w:tcW w:w="1745" w:type="dxa"/>
            <w:tcBorders>
              <w:top w:val="nil"/>
              <w:left w:val="nil"/>
              <w:bottom w:val="single" w:color="auto" w:sz="8" w:space="0"/>
              <w:right w:val="single" w:color="auto" w:sz="8" w:space="0"/>
            </w:tcBorders>
            <w:shd w:val="clear" w:color="auto" w:fill="auto"/>
            <w:noWrap/>
            <w:vAlign w:val="center"/>
            <w:hideMark/>
          </w:tcPr>
          <w:p w:rsidRPr="0036140B" w:rsidR="00E75905" w:rsidP="00E75905" w:rsidRDefault="00E75905" w14:paraId="59AB3F10" w14:textId="77777777">
            <w:pPr>
              <w:spacing w:after="0" w:line="240" w:lineRule="auto"/>
              <w:jc w:val="center"/>
              <w:rPr>
                <w:rFonts w:ascii="Times New Roman" w:hAnsi="Times New Roman" w:eastAsia="Times New Roman" w:cs="Times New Roman"/>
                <w:color w:val="000000"/>
                <w:sz w:val="20"/>
                <w:szCs w:val="20"/>
              </w:rPr>
            </w:pPr>
            <w:r w:rsidRPr="0036140B">
              <w:rPr>
                <w:rFonts w:ascii="Times New Roman" w:hAnsi="Times New Roman" w:eastAsia="Times New Roman" w:cs="Times New Roman"/>
                <w:color w:val="000000"/>
                <w:sz w:val="20"/>
                <w:szCs w:val="20"/>
              </w:rPr>
              <w:t>36,432</w:t>
            </w:r>
          </w:p>
        </w:tc>
        <w:tc>
          <w:tcPr>
            <w:tcW w:w="986" w:type="dxa"/>
            <w:tcBorders>
              <w:top w:val="nil"/>
              <w:left w:val="nil"/>
              <w:bottom w:val="single" w:color="auto" w:sz="8" w:space="0"/>
              <w:right w:val="single" w:color="auto" w:sz="8" w:space="0"/>
            </w:tcBorders>
            <w:shd w:val="clear" w:color="auto" w:fill="auto"/>
            <w:vAlign w:val="center"/>
            <w:hideMark/>
          </w:tcPr>
          <w:p w:rsidRPr="0036140B" w:rsidR="00E75905" w:rsidP="00E75905" w:rsidRDefault="00E75905" w14:paraId="199F2DAB" w14:textId="77777777">
            <w:pPr>
              <w:spacing w:after="0" w:line="240" w:lineRule="auto"/>
              <w:jc w:val="center"/>
              <w:rPr>
                <w:rFonts w:ascii="Times New Roman" w:hAnsi="Times New Roman" w:eastAsia="Times New Roman" w:cs="Times New Roman"/>
                <w:color w:val="000000"/>
                <w:sz w:val="20"/>
                <w:szCs w:val="20"/>
              </w:rPr>
            </w:pPr>
            <w:r w:rsidRPr="0036140B">
              <w:rPr>
                <w:rFonts w:ascii="Times New Roman" w:hAnsi="Times New Roman" w:eastAsia="Times New Roman" w:cs="Times New Roman"/>
                <w:color w:val="000000"/>
                <w:sz w:val="20"/>
                <w:szCs w:val="20"/>
              </w:rPr>
              <w:t>32.40</w:t>
            </w:r>
          </w:p>
        </w:tc>
        <w:tc>
          <w:tcPr>
            <w:tcW w:w="1805" w:type="dxa"/>
            <w:tcBorders>
              <w:top w:val="nil"/>
              <w:left w:val="nil"/>
              <w:bottom w:val="single" w:color="auto" w:sz="8" w:space="0"/>
              <w:right w:val="single" w:color="auto" w:sz="8" w:space="0"/>
            </w:tcBorders>
            <w:shd w:val="clear" w:color="auto" w:fill="auto"/>
            <w:noWrap/>
            <w:vAlign w:val="center"/>
            <w:hideMark/>
          </w:tcPr>
          <w:p w:rsidRPr="0036140B" w:rsidR="00E75905" w:rsidP="00E75905" w:rsidRDefault="00E75905" w14:paraId="0AA7BF55" w14:textId="77777777">
            <w:pPr>
              <w:spacing w:after="0" w:line="240" w:lineRule="auto"/>
              <w:jc w:val="center"/>
              <w:rPr>
                <w:rFonts w:ascii="Times New Roman" w:hAnsi="Times New Roman" w:eastAsia="Times New Roman" w:cs="Times New Roman"/>
                <w:color w:val="000000"/>
                <w:sz w:val="20"/>
                <w:szCs w:val="20"/>
              </w:rPr>
            </w:pPr>
            <w:r w:rsidRPr="0036140B">
              <w:rPr>
                <w:rFonts w:ascii="Times New Roman" w:hAnsi="Times New Roman" w:eastAsia="Times New Roman" w:cs="Times New Roman"/>
                <w:color w:val="000000"/>
                <w:sz w:val="20"/>
                <w:szCs w:val="20"/>
              </w:rPr>
              <w:t>1,180,397</w:t>
            </w:r>
          </w:p>
        </w:tc>
        <w:tc>
          <w:tcPr>
            <w:tcW w:w="1134" w:type="dxa"/>
            <w:tcBorders>
              <w:top w:val="nil"/>
              <w:left w:val="nil"/>
              <w:bottom w:val="single" w:color="auto" w:sz="8" w:space="0"/>
              <w:right w:val="single" w:color="auto" w:sz="8" w:space="0"/>
            </w:tcBorders>
            <w:shd w:val="clear" w:color="auto" w:fill="auto"/>
            <w:vAlign w:val="center"/>
            <w:hideMark/>
          </w:tcPr>
          <w:p w:rsidRPr="0036140B" w:rsidR="00E75905" w:rsidP="00E75905" w:rsidRDefault="00E75905" w14:paraId="6063DAEC" w14:textId="77777777">
            <w:pPr>
              <w:spacing w:after="0" w:line="240" w:lineRule="auto"/>
              <w:jc w:val="center"/>
              <w:rPr>
                <w:rFonts w:ascii="Times New Roman" w:hAnsi="Times New Roman" w:eastAsia="Times New Roman" w:cs="Times New Roman"/>
                <w:color w:val="000000"/>
                <w:sz w:val="20"/>
                <w:szCs w:val="20"/>
              </w:rPr>
            </w:pPr>
            <w:r w:rsidRPr="0036140B">
              <w:rPr>
                <w:rFonts w:ascii="Times New Roman" w:hAnsi="Times New Roman" w:eastAsia="Times New Roman" w:cs="Times New Roman"/>
                <w:color w:val="000000"/>
                <w:sz w:val="20"/>
                <w:szCs w:val="20"/>
              </w:rPr>
              <w:t>TPD</w:t>
            </w:r>
          </w:p>
        </w:tc>
        <w:tc>
          <w:tcPr>
            <w:tcW w:w="1170" w:type="dxa"/>
            <w:tcBorders>
              <w:top w:val="nil"/>
              <w:left w:val="nil"/>
              <w:bottom w:val="single" w:color="auto" w:sz="8" w:space="0"/>
              <w:right w:val="single" w:color="auto" w:sz="8" w:space="0"/>
            </w:tcBorders>
            <w:shd w:val="clear" w:color="auto" w:fill="auto"/>
            <w:vAlign w:val="center"/>
            <w:hideMark/>
          </w:tcPr>
          <w:p w:rsidRPr="0036140B" w:rsidR="00E75905" w:rsidP="00E75905" w:rsidRDefault="00E75905" w14:paraId="71D26EAA" w14:textId="77777777">
            <w:pPr>
              <w:spacing w:after="0" w:line="240" w:lineRule="auto"/>
              <w:jc w:val="center"/>
              <w:rPr>
                <w:rFonts w:ascii="Times New Roman" w:hAnsi="Times New Roman" w:eastAsia="Times New Roman" w:cs="Times New Roman"/>
                <w:color w:val="000000"/>
                <w:sz w:val="20"/>
                <w:szCs w:val="20"/>
              </w:rPr>
            </w:pPr>
            <w:r w:rsidRPr="0036140B">
              <w:rPr>
                <w:rFonts w:ascii="Times New Roman" w:hAnsi="Times New Roman" w:eastAsia="Times New Roman" w:cs="Times New Roman"/>
                <w:color w:val="000000"/>
                <w:sz w:val="20"/>
                <w:szCs w:val="20"/>
              </w:rPr>
              <w:t>Annual</w:t>
            </w:r>
          </w:p>
        </w:tc>
      </w:tr>
      <w:tr w:rsidRPr="00E75905" w:rsidR="00E75905" w:rsidTr="00E75905" w14:paraId="77E2FF3D" w14:textId="77777777">
        <w:trPr>
          <w:trHeight w:val="804"/>
        </w:trPr>
        <w:tc>
          <w:tcPr>
            <w:tcW w:w="1070" w:type="dxa"/>
            <w:tcBorders>
              <w:top w:val="nil"/>
              <w:left w:val="single" w:color="auto" w:sz="8" w:space="0"/>
              <w:bottom w:val="single" w:color="auto" w:sz="8" w:space="0"/>
              <w:right w:val="single" w:color="auto" w:sz="8" w:space="0"/>
            </w:tcBorders>
            <w:shd w:val="clear" w:color="auto" w:fill="auto"/>
            <w:vAlign w:val="center"/>
            <w:hideMark/>
          </w:tcPr>
          <w:p w:rsidRPr="0036140B" w:rsidR="00E75905" w:rsidP="00E75905" w:rsidRDefault="00E75905" w14:paraId="7A5C1901" w14:textId="77777777">
            <w:pPr>
              <w:spacing w:after="0" w:line="240" w:lineRule="auto"/>
              <w:jc w:val="center"/>
              <w:rPr>
                <w:rFonts w:ascii="Times New Roman" w:hAnsi="Times New Roman" w:eastAsia="Times New Roman" w:cs="Times New Roman"/>
                <w:color w:val="000000"/>
                <w:sz w:val="20"/>
                <w:szCs w:val="20"/>
              </w:rPr>
            </w:pPr>
            <w:r w:rsidRPr="0036140B">
              <w:rPr>
                <w:rFonts w:ascii="Times New Roman" w:hAnsi="Times New Roman" w:eastAsia="Times New Roman" w:cs="Times New Roman"/>
                <w:color w:val="000000"/>
                <w:sz w:val="20"/>
                <w:szCs w:val="20"/>
              </w:rPr>
              <w:t>12.16b</w:t>
            </w:r>
          </w:p>
        </w:tc>
        <w:tc>
          <w:tcPr>
            <w:tcW w:w="1319" w:type="dxa"/>
            <w:tcBorders>
              <w:top w:val="nil"/>
              <w:left w:val="nil"/>
              <w:bottom w:val="single" w:color="auto" w:sz="8" w:space="0"/>
              <w:right w:val="single" w:color="auto" w:sz="8" w:space="0"/>
            </w:tcBorders>
            <w:shd w:val="clear" w:color="auto" w:fill="auto"/>
            <w:vAlign w:val="center"/>
            <w:hideMark/>
          </w:tcPr>
          <w:p w:rsidRPr="0036140B" w:rsidR="00E75905" w:rsidP="00E75905" w:rsidRDefault="00E75905" w14:paraId="3A383100" w14:textId="77777777">
            <w:pPr>
              <w:spacing w:after="0" w:line="240" w:lineRule="auto"/>
              <w:jc w:val="center"/>
              <w:rPr>
                <w:rFonts w:ascii="Times New Roman" w:hAnsi="Times New Roman" w:eastAsia="Times New Roman" w:cs="Times New Roman"/>
                <w:color w:val="000000"/>
                <w:sz w:val="20"/>
                <w:szCs w:val="20"/>
              </w:rPr>
            </w:pPr>
            <w:r w:rsidRPr="0036140B">
              <w:rPr>
                <w:rFonts w:ascii="Times New Roman" w:hAnsi="Times New Roman" w:eastAsia="Times New Roman" w:cs="Times New Roman"/>
                <w:color w:val="000000"/>
                <w:sz w:val="20"/>
                <w:szCs w:val="20"/>
              </w:rPr>
              <w:t>438.14(c), Contracts</w:t>
            </w:r>
          </w:p>
        </w:tc>
        <w:tc>
          <w:tcPr>
            <w:tcW w:w="1471" w:type="dxa"/>
            <w:tcBorders>
              <w:top w:val="nil"/>
              <w:left w:val="nil"/>
              <w:bottom w:val="single" w:color="auto" w:sz="8" w:space="0"/>
              <w:right w:val="single" w:color="auto" w:sz="8" w:space="0"/>
            </w:tcBorders>
            <w:shd w:val="clear" w:color="auto" w:fill="auto"/>
            <w:noWrap/>
            <w:vAlign w:val="center"/>
            <w:hideMark/>
          </w:tcPr>
          <w:p w:rsidRPr="0036140B" w:rsidR="00E75905" w:rsidP="00E75905" w:rsidRDefault="00E75905" w14:paraId="18BCADBC" w14:textId="77777777">
            <w:pPr>
              <w:spacing w:after="0" w:line="240" w:lineRule="auto"/>
              <w:jc w:val="center"/>
              <w:rPr>
                <w:rFonts w:ascii="Times New Roman" w:hAnsi="Times New Roman" w:eastAsia="Times New Roman" w:cs="Times New Roman"/>
                <w:color w:val="000000"/>
                <w:sz w:val="20"/>
                <w:szCs w:val="20"/>
              </w:rPr>
            </w:pPr>
            <w:r w:rsidRPr="0036140B">
              <w:rPr>
                <w:rFonts w:ascii="Times New Roman" w:hAnsi="Times New Roman" w:eastAsia="Times New Roman" w:cs="Times New Roman"/>
                <w:color w:val="000000"/>
                <w:sz w:val="20"/>
                <w:szCs w:val="20"/>
              </w:rPr>
              <w:t>25</w:t>
            </w:r>
          </w:p>
        </w:tc>
        <w:tc>
          <w:tcPr>
            <w:tcW w:w="1242" w:type="dxa"/>
            <w:tcBorders>
              <w:top w:val="nil"/>
              <w:left w:val="nil"/>
              <w:bottom w:val="single" w:color="auto" w:sz="8" w:space="0"/>
              <w:right w:val="single" w:color="auto" w:sz="8" w:space="0"/>
            </w:tcBorders>
            <w:shd w:val="clear" w:color="auto" w:fill="auto"/>
            <w:noWrap/>
            <w:vAlign w:val="center"/>
            <w:hideMark/>
          </w:tcPr>
          <w:p w:rsidRPr="0036140B" w:rsidR="00E75905" w:rsidP="00E75905" w:rsidRDefault="00E75905" w14:paraId="1961CBE2" w14:textId="77777777">
            <w:pPr>
              <w:spacing w:after="0" w:line="240" w:lineRule="auto"/>
              <w:jc w:val="center"/>
              <w:rPr>
                <w:rFonts w:ascii="Times New Roman" w:hAnsi="Times New Roman" w:eastAsia="Times New Roman" w:cs="Times New Roman"/>
                <w:color w:val="000000"/>
                <w:sz w:val="20"/>
                <w:szCs w:val="20"/>
              </w:rPr>
            </w:pPr>
            <w:r w:rsidRPr="0036140B">
              <w:rPr>
                <w:rFonts w:ascii="Times New Roman" w:hAnsi="Times New Roman" w:eastAsia="Times New Roman" w:cs="Times New Roman"/>
                <w:color w:val="000000"/>
                <w:sz w:val="20"/>
                <w:szCs w:val="20"/>
              </w:rPr>
              <w:t>25</w:t>
            </w:r>
          </w:p>
        </w:tc>
        <w:tc>
          <w:tcPr>
            <w:tcW w:w="1188" w:type="dxa"/>
            <w:tcBorders>
              <w:top w:val="nil"/>
              <w:left w:val="nil"/>
              <w:bottom w:val="single" w:color="auto" w:sz="8" w:space="0"/>
              <w:right w:val="single" w:color="auto" w:sz="8" w:space="0"/>
            </w:tcBorders>
            <w:shd w:val="clear" w:color="auto" w:fill="auto"/>
            <w:vAlign w:val="center"/>
            <w:hideMark/>
          </w:tcPr>
          <w:p w:rsidRPr="0036140B" w:rsidR="00E75905" w:rsidP="00E75905" w:rsidRDefault="00E75905" w14:paraId="57D7549F" w14:textId="77777777">
            <w:pPr>
              <w:spacing w:after="0" w:line="240" w:lineRule="auto"/>
              <w:jc w:val="center"/>
              <w:rPr>
                <w:rFonts w:ascii="Times New Roman" w:hAnsi="Times New Roman" w:eastAsia="Times New Roman" w:cs="Times New Roman"/>
                <w:color w:val="000000"/>
                <w:sz w:val="20"/>
                <w:szCs w:val="20"/>
              </w:rPr>
            </w:pPr>
            <w:r w:rsidRPr="0036140B">
              <w:rPr>
                <w:rFonts w:ascii="Times New Roman" w:hAnsi="Times New Roman" w:eastAsia="Times New Roman" w:cs="Times New Roman"/>
                <w:color w:val="000000"/>
                <w:sz w:val="20"/>
                <w:szCs w:val="20"/>
              </w:rPr>
              <w:t>12</w:t>
            </w:r>
          </w:p>
        </w:tc>
        <w:tc>
          <w:tcPr>
            <w:tcW w:w="1745" w:type="dxa"/>
            <w:tcBorders>
              <w:top w:val="nil"/>
              <w:left w:val="nil"/>
              <w:bottom w:val="single" w:color="auto" w:sz="8" w:space="0"/>
              <w:right w:val="single" w:color="auto" w:sz="8" w:space="0"/>
            </w:tcBorders>
            <w:shd w:val="clear" w:color="auto" w:fill="auto"/>
            <w:noWrap/>
            <w:vAlign w:val="center"/>
            <w:hideMark/>
          </w:tcPr>
          <w:p w:rsidRPr="0036140B" w:rsidR="00E75905" w:rsidP="00E75905" w:rsidRDefault="00E75905" w14:paraId="7AD64873" w14:textId="77777777">
            <w:pPr>
              <w:spacing w:after="0" w:line="240" w:lineRule="auto"/>
              <w:jc w:val="center"/>
              <w:rPr>
                <w:rFonts w:ascii="Times New Roman" w:hAnsi="Times New Roman" w:eastAsia="Times New Roman" w:cs="Times New Roman"/>
                <w:color w:val="000000"/>
                <w:sz w:val="20"/>
                <w:szCs w:val="20"/>
              </w:rPr>
            </w:pPr>
            <w:r w:rsidRPr="0036140B">
              <w:rPr>
                <w:rFonts w:ascii="Times New Roman" w:hAnsi="Times New Roman" w:eastAsia="Times New Roman" w:cs="Times New Roman"/>
                <w:color w:val="000000"/>
                <w:sz w:val="20"/>
                <w:szCs w:val="20"/>
              </w:rPr>
              <w:t>300</w:t>
            </w:r>
          </w:p>
        </w:tc>
        <w:tc>
          <w:tcPr>
            <w:tcW w:w="986" w:type="dxa"/>
            <w:tcBorders>
              <w:top w:val="nil"/>
              <w:left w:val="nil"/>
              <w:bottom w:val="single" w:color="auto" w:sz="8" w:space="0"/>
              <w:right w:val="single" w:color="auto" w:sz="8" w:space="0"/>
            </w:tcBorders>
            <w:shd w:val="clear" w:color="auto" w:fill="auto"/>
            <w:vAlign w:val="center"/>
            <w:hideMark/>
          </w:tcPr>
          <w:p w:rsidRPr="0036140B" w:rsidR="00E75905" w:rsidP="00E75905" w:rsidRDefault="00E75905" w14:paraId="09A66B2D" w14:textId="77777777">
            <w:pPr>
              <w:spacing w:after="0" w:line="240" w:lineRule="auto"/>
              <w:jc w:val="center"/>
              <w:rPr>
                <w:rFonts w:ascii="Times New Roman" w:hAnsi="Times New Roman" w:eastAsia="Times New Roman" w:cs="Times New Roman"/>
                <w:color w:val="000000"/>
                <w:sz w:val="20"/>
                <w:szCs w:val="20"/>
              </w:rPr>
            </w:pPr>
            <w:r w:rsidRPr="0036140B">
              <w:rPr>
                <w:rFonts w:ascii="Times New Roman" w:hAnsi="Times New Roman" w:eastAsia="Times New Roman" w:cs="Times New Roman"/>
                <w:color w:val="000000"/>
                <w:sz w:val="20"/>
                <w:szCs w:val="20"/>
              </w:rPr>
              <w:t>75.32</w:t>
            </w:r>
          </w:p>
        </w:tc>
        <w:tc>
          <w:tcPr>
            <w:tcW w:w="1805" w:type="dxa"/>
            <w:tcBorders>
              <w:top w:val="nil"/>
              <w:left w:val="nil"/>
              <w:bottom w:val="single" w:color="auto" w:sz="8" w:space="0"/>
              <w:right w:val="single" w:color="auto" w:sz="8" w:space="0"/>
            </w:tcBorders>
            <w:shd w:val="clear" w:color="auto" w:fill="auto"/>
            <w:noWrap/>
            <w:vAlign w:val="center"/>
            <w:hideMark/>
          </w:tcPr>
          <w:p w:rsidRPr="0036140B" w:rsidR="00E75905" w:rsidP="00E75905" w:rsidRDefault="00E75905" w14:paraId="506A5984" w14:textId="77777777">
            <w:pPr>
              <w:spacing w:after="0" w:line="240" w:lineRule="auto"/>
              <w:jc w:val="center"/>
              <w:rPr>
                <w:rFonts w:ascii="Times New Roman" w:hAnsi="Times New Roman" w:eastAsia="Times New Roman" w:cs="Times New Roman"/>
                <w:color w:val="000000"/>
                <w:sz w:val="20"/>
                <w:szCs w:val="20"/>
              </w:rPr>
            </w:pPr>
            <w:r w:rsidRPr="0036140B">
              <w:rPr>
                <w:rFonts w:ascii="Times New Roman" w:hAnsi="Times New Roman" w:eastAsia="Times New Roman" w:cs="Times New Roman"/>
                <w:color w:val="000000"/>
                <w:sz w:val="20"/>
                <w:szCs w:val="20"/>
              </w:rPr>
              <w:t>22,596</w:t>
            </w:r>
          </w:p>
        </w:tc>
        <w:tc>
          <w:tcPr>
            <w:tcW w:w="1134" w:type="dxa"/>
            <w:tcBorders>
              <w:top w:val="nil"/>
              <w:left w:val="nil"/>
              <w:bottom w:val="single" w:color="auto" w:sz="8" w:space="0"/>
              <w:right w:val="single" w:color="auto" w:sz="8" w:space="0"/>
            </w:tcBorders>
            <w:shd w:val="clear" w:color="auto" w:fill="auto"/>
            <w:vAlign w:val="center"/>
            <w:hideMark/>
          </w:tcPr>
          <w:p w:rsidRPr="0036140B" w:rsidR="00E75905" w:rsidP="00E75905" w:rsidRDefault="00E75905" w14:paraId="1AF8F153" w14:textId="77777777">
            <w:pPr>
              <w:spacing w:after="0" w:line="240" w:lineRule="auto"/>
              <w:jc w:val="center"/>
              <w:rPr>
                <w:rFonts w:ascii="Times New Roman" w:hAnsi="Times New Roman" w:eastAsia="Times New Roman" w:cs="Times New Roman"/>
                <w:color w:val="000000"/>
                <w:sz w:val="20"/>
                <w:szCs w:val="20"/>
              </w:rPr>
            </w:pPr>
            <w:r w:rsidRPr="0036140B">
              <w:rPr>
                <w:rFonts w:ascii="Times New Roman" w:hAnsi="Times New Roman" w:eastAsia="Times New Roman" w:cs="Times New Roman"/>
                <w:color w:val="000000"/>
                <w:sz w:val="20"/>
                <w:szCs w:val="20"/>
              </w:rPr>
              <w:t>TPD</w:t>
            </w:r>
          </w:p>
        </w:tc>
        <w:tc>
          <w:tcPr>
            <w:tcW w:w="1170" w:type="dxa"/>
            <w:tcBorders>
              <w:top w:val="nil"/>
              <w:left w:val="nil"/>
              <w:bottom w:val="single" w:color="auto" w:sz="8" w:space="0"/>
              <w:right w:val="single" w:color="auto" w:sz="8" w:space="0"/>
            </w:tcBorders>
            <w:shd w:val="clear" w:color="auto" w:fill="auto"/>
            <w:vAlign w:val="center"/>
            <w:hideMark/>
          </w:tcPr>
          <w:p w:rsidRPr="0036140B" w:rsidR="00E75905" w:rsidP="00E75905" w:rsidRDefault="00E75905" w14:paraId="5B4EC4DB" w14:textId="77777777">
            <w:pPr>
              <w:spacing w:after="0" w:line="240" w:lineRule="auto"/>
              <w:jc w:val="center"/>
              <w:rPr>
                <w:rFonts w:ascii="Times New Roman" w:hAnsi="Times New Roman" w:eastAsia="Times New Roman" w:cs="Times New Roman"/>
                <w:color w:val="000000"/>
                <w:sz w:val="20"/>
                <w:szCs w:val="20"/>
              </w:rPr>
            </w:pPr>
            <w:r w:rsidRPr="0036140B">
              <w:rPr>
                <w:rFonts w:ascii="Times New Roman" w:hAnsi="Times New Roman" w:eastAsia="Times New Roman" w:cs="Times New Roman"/>
                <w:color w:val="000000"/>
                <w:sz w:val="20"/>
                <w:szCs w:val="20"/>
              </w:rPr>
              <w:t>Annual</w:t>
            </w:r>
          </w:p>
        </w:tc>
      </w:tr>
      <w:tr w:rsidRPr="00E75905" w:rsidR="00E75905" w:rsidTr="00E75905" w14:paraId="44815B68" w14:textId="77777777">
        <w:trPr>
          <w:trHeight w:val="1068"/>
        </w:trPr>
        <w:tc>
          <w:tcPr>
            <w:tcW w:w="1070" w:type="dxa"/>
            <w:tcBorders>
              <w:top w:val="nil"/>
              <w:left w:val="single" w:color="auto" w:sz="8" w:space="0"/>
              <w:bottom w:val="single" w:color="auto" w:sz="8" w:space="0"/>
              <w:right w:val="single" w:color="auto" w:sz="8" w:space="0"/>
            </w:tcBorders>
            <w:shd w:val="clear" w:color="auto" w:fill="auto"/>
            <w:vAlign w:val="center"/>
            <w:hideMark/>
          </w:tcPr>
          <w:p w:rsidRPr="0036140B" w:rsidR="00E75905" w:rsidP="00E75905" w:rsidRDefault="00E75905" w14:paraId="5A66C6C3" w14:textId="77777777">
            <w:pPr>
              <w:spacing w:after="0" w:line="240" w:lineRule="auto"/>
              <w:jc w:val="center"/>
              <w:rPr>
                <w:rFonts w:ascii="Times New Roman" w:hAnsi="Times New Roman" w:eastAsia="Times New Roman" w:cs="Times New Roman"/>
                <w:color w:val="000000"/>
                <w:sz w:val="20"/>
                <w:szCs w:val="20"/>
              </w:rPr>
            </w:pPr>
            <w:r w:rsidRPr="0036140B">
              <w:rPr>
                <w:rFonts w:ascii="Times New Roman" w:hAnsi="Times New Roman" w:eastAsia="Times New Roman" w:cs="Times New Roman"/>
                <w:color w:val="000000"/>
                <w:sz w:val="20"/>
                <w:szCs w:val="20"/>
              </w:rPr>
              <w:t>12.18</w:t>
            </w:r>
          </w:p>
        </w:tc>
        <w:tc>
          <w:tcPr>
            <w:tcW w:w="1319" w:type="dxa"/>
            <w:tcBorders>
              <w:top w:val="nil"/>
              <w:left w:val="nil"/>
              <w:bottom w:val="single" w:color="auto" w:sz="8" w:space="0"/>
              <w:right w:val="single" w:color="auto" w:sz="8" w:space="0"/>
            </w:tcBorders>
            <w:shd w:val="clear" w:color="auto" w:fill="auto"/>
            <w:vAlign w:val="center"/>
            <w:hideMark/>
          </w:tcPr>
          <w:p w:rsidRPr="0036140B" w:rsidR="00E75905" w:rsidP="00E75905" w:rsidRDefault="00E75905" w14:paraId="33E40D91" w14:textId="77777777">
            <w:pPr>
              <w:spacing w:after="0" w:line="240" w:lineRule="auto"/>
              <w:jc w:val="center"/>
              <w:rPr>
                <w:rFonts w:ascii="Times New Roman" w:hAnsi="Times New Roman" w:eastAsia="Times New Roman" w:cs="Times New Roman"/>
                <w:color w:val="000000"/>
                <w:sz w:val="20"/>
                <w:szCs w:val="20"/>
              </w:rPr>
            </w:pPr>
            <w:r w:rsidRPr="0036140B">
              <w:rPr>
                <w:rFonts w:ascii="Times New Roman" w:hAnsi="Times New Roman" w:eastAsia="Times New Roman" w:cs="Times New Roman"/>
                <w:color w:val="000000"/>
                <w:sz w:val="20"/>
                <w:szCs w:val="20"/>
              </w:rPr>
              <w:t>438.54(c)(8), Enrollment</w:t>
            </w:r>
          </w:p>
        </w:tc>
        <w:tc>
          <w:tcPr>
            <w:tcW w:w="1471" w:type="dxa"/>
            <w:tcBorders>
              <w:top w:val="nil"/>
              <w:left w:val="nil"/>
              <w:bottom w:val="single" w:color="auto" w:sz="8" w:space="0"/>
              <w:right w:val="single" w:color="auto" w:sz="8" w:space="0"/>
            </w:tcBorders>
            <w:shd w:val="clear" w:color="auto" w:fill="auto"/>
            <w:noWrap/>
            <w:vAlign w:val="center"/>
            <w:hideMark/>
          </w:tcPr>
          <w:p w:rsidRPr="0036140B" w:rsidR="00E75905" w:rsidP="00E75905" w:rsidRDefault="00E75905" w14:paraId="4EE94EA3" w14:textId="77777777">
            <w:pPr>
              <w:spacing w:after="0" w:line="240" w:lineRule="auto"/>
              <w:jc w:val="center"/>
              <w:rPr>
                <w:rFonts w:ascii="Times New Roman" w:hAnsi="Times New Roman" w:eastAsia="Times New Roman" w:cs="Times New Roman"/>
                <w:color w:val="000000"/>
                <w:sz w:val="20"/>
                <w:szCs w:val="20"/>
              </w:rPr>
            </w:pPr>
            <w:r w:rsidRPr="0036140B">
              <w:rPr>
                <w:rFonts w:ascii="Times New Roman" w:hAnsi="Times New Roman" w:eastAsia="Times New Roman" w:cs="Times New Roman"/>
                <w:color w:val="000000"/>
                <w:sz w:val="20"/>
                <w:szCs w:val="20"/>
              </w:rPr>
              <w:t>41</w:t>
            </w:r>
          </w:p>
        </w:tc>
        <w:tc>
          <w:tcPr>
            <w:tcW w:w="1242" w:type="dxa"/>
            <w:tcBorders>
              <w:top w:val="nil"/>
              <w:left w:val="nil"/>
              <w:bottom w:val="single" w:color="auto" w:sz="8" w:space="0"/>
              <w:right w:val="single" w:color="auto" w:sz="8" w:space="0"/>
            </w:tcBorders>
            <w:shd w:val="clear" w:color="auto" w:fill="auto"/>
            <w:noWrap/>
            <w:vAlign w:val="center"/>
            <w:hideMark/>
          </w:tcPr>
          <w:p w:rsidRPr="0036140B" w:rsidR="00E75905" w:rsidP="00E75905" w:rsidRDefault="00E75905" w14:paraId="677AB0AF" w14:textId="77777777">
            <w:pPr>
              <w:spacing w:after="0" w:line="240" w:lineRule="auto"/>
              <w:jc w:val="center"/>
              <w:rPr>
                <w:rFonts w:ascii="Times New Roman" w:hAnsi="Times New Roman" w:eastAsia="Times New Roman" w:cs="Times New Roman"/>
                <w:color w:val="000000"/>
                <w:sz w:val="20"/>
                <w:szCs w:val="20"/>
              </w:rPr>
            </w:pPr>
            <w:r w:rsidRPr="0036140B">
              <w:rPr>
                <w:rFonts w:ascii="Times New Roman" w:hAnsi="Times New Roman" w:eastAsia="Times New Roman" w:cs="Times New Roman"/>
                <w:color w:val="000000"/>
                <w:sz w:val="20"/>
                <w:szCs w:val="20"/>
              </w:rPr>
              <w:t>787,500</w:t>
            </w:r>
          </w:p>
        </w:tc>
        <w:tc>
          <w:tcPr>
            <w:tcW w:w="1188" w:type="dxa"/>
            <w:tcBorders>
              <w:top w:val="nil"/>
              <w:left w:val="nil"/>
              <w:bottom w:val="single" w:color="auto" w:sz="8" w:space="0"/>
              <w:right w:val="single" w:color="auto" w:sz="8" w:space="0"/>
            </w:tcBorders>
            <w:shd w:val="clear" w:color="auto" w:fill="auto"/>
            <w:vAlign w:val="center"/>
            <w:hideMark/>
          </w:tcPr>
          <w:p w:rsidRPr="0036140B" w:rsidR="00E75905" w:rsidP="00E75905" w:rsidRDefault="00E75905" w14:paraId="68D911DF" w14:textId="77777777">
            <w:pPr>
              <w:spacing w:after="0" w:line="240" w:lineRule="auto"/>
              <w:jc w:val="center"/>
              <w:rPr>
                <w:rFonts w:ascii="Times New Roman" w:hAnsi="Times New Roman" w:eastAsia="Times New Roman" w:cs="Times New Roman"/>
                <w:color w:val="000000"/>
                <w:sz w:val="20"/>
                <w:szCs w:val="20"/>
              </w:rPr>
            </w:pPr>
            <w:r w:rsidRPr="0036140B">
              <w:rPr>
                <w:rFonts w:ascii="Times New Roman" w:hAnsi="Times New Roman" w:eastAsia="Times New Roman" w:cs="Times New Roman"/>
                <w:color w:val="000000"/>
                <w:sz w:val="20"/>
                <w:szCs w:val="20"/>
              </w:rPr>
              <w:t>0.0167</w:t>
            </w:r>
          </w:p>
        </w:tc>
        <w:tc>
          <w:tcPr>
            <w:tcW w:w="1745" w:type="dxa"/>
            <w:tcBorders>
              <w:top w:val="nil"/>
              <w:left w:val="nil"/>
              <w:bottom w:val="single" w:color="auto" w:sz="8" w:space="0"/>
              <w:right w:val="single" w:color="auto" w:sz="8" w:space="0"/>
            </w:tcBorders>
            <w:shd w:val="clear" w:color="auto" w:fill="auto"/>
            <w:noWrap/>
            <w:vAlign w:val="center"/>
            <w:hideMark/>
          </w:tcPr>
          <w:p w:rsidRPr="0036140B" w:rsidR="00E75905" w:rsidP="00E75905" w:rsidRDefault="00E75905" w14:paraId="6A8F9238" w14:textId="77777777">
            <w:pPr>
              <w:spacing w:after="0" w:line="240" w:lineRule="auto"/>
              <w:jc w:val="center"/>
              <w:rPr>
                <w:rFonts w:ascii="Times New Roman" w:hAnsi="Times New Roman" w:eastAsia="Times New Roman" w:cs="Times New Roman"/>
                <w:color w:val="000000"/>
                <w:sz w:val="20"/>
                <w:szCs w:val="20"/>
              </w:rPr>
            </w:pPr>
            <w:r w:rsidRPr="0036140B">
              <w:rPr>
                <w:rFonts w:ascii="Times New Roman" w:hAnsi="Times New Roman" w:eastAsia="Times New Roman" w:cs="Times New Roman"/>
                <w:color w:val="000000"/>
                <w:sz w:val="20"/>
                <w:szCs w:val="20"/>
              </w:rPr>
              <w:t>13,151</w:t>
            </w:r>
          </w:p>
        </w:tc>
        <w:tc>
          <w:tcPr>
            <w:tcW w:w="986" w:type="dxa"/>
            <w:tcBorders>
              <w:top w:val="nil"/>
              <w:left w:val="nil"/>
              <w:bottom w:val="single" w:color="auto" w:sz="8" w:space="0"/>
              <w:right w:val="single" w:color="auto" w:sz="8" w:space="0"/>
            </w:tcBorders>
            <w:shd w:val="clear" w:color="auto" w:fill="auto"/>
            <w:vAlign w:val="center"/>
            <w:hideMark/>
          </w:tcPr>
          <w:p w:rsidRPr="0036140B" w:rsidR="00E75905" w:rsidP="00E75905" w:rsidRDefault="00E75905" w14:paraId="20E95200" w14:textId="77777777">
            <w:pPr>
              <w:spacing w:after="0" w:line="240" w:lineRule="auto"/>
              <w:jc w:val="center"/>
              <w:rPr>
                <w:rFonts w:ascii="Times New Roman" w:hAnsi="Times New Roman" w:eastAsia="Times New Roman" w:cs="Times New Roman"/>
                <w:color w:val="000000"/>
                <w:sz w:val="20"/>
                <w:szCs w:val="20"/>
              </w:rPr>
            </w:pPr>
            <w:r w:rsidRPr="0036140B">
              <w:rPr>
                <w:rFonts w:ascii="Times New Roman" w:hAnsi="Times New Roman" w:eastAsia="Times New Roman" w:cs="Times New Roman"/>
                <w:color w:val="000000"/>
                <w:sz w:val="20"/>
                <w:szCs w:val="20"/>
              </w:rPr>
              <w:t>32.40</w:t>
            </w:r>
          </w:p>
        </w:tc>
        <w:tc>
          <w:tcPr>
            <w:tcW w:w="1805" w:type="dxa"/>
            <w:tcBorders>
              <w:top w:val="nil"/>
              <w:left w:val="nil"/>
              <w:bottom w:val="single" w:color="auto" w:sz="8" w:space="0"/>
              <w:right w:val="single" w:color="auto" w:sz="8" w:space="0"/>
            </w:tcBorders>
            <w:shd w:val="clear" w:color="auto" w:fill="auto"/>
            <w:noWrap/>
            <w:vAlign w:val="center"/>
            <w:hideMark/>
          </w:tcPr>
          <w:p w:rsidRPr="0036140B" w:rsidR="00E75905" w:rsidP="00E75905" w:rsidRDefault="00E75905" w14:paraId="31FB93CE" w14:textId="77777777">
            <w:pPr>
              <w:spacing w:after="0" w:line="240" w:lineRule="auto"/>
              <w:jc w:val="center"/>
              <w:rPr>
                <w:rFonts w:ascii="Times New Roman" w:hAnsi="Times New Roman" w:eastAsia="Times New Roman" w:cs="Times New Roman"/>
                <w:color w:val="000000"/>
                <w:sz w:val="20"/>
                <w:szCs w:val="20"/>
              </w:rPr>
            </w:pPr>
            <w:r w:rsidRPr="0036140B">
              <w:rPr>
                <w:rFonts w:ascii="Times New Roman" w:hAnsi="Times New Roman" w:eastAsia="Times New Roman" w:cs="Times New Roman"/>
                <w:color w:val="000000"/>
                <w:sz w:val="20"/>
                <w:szCs w:val="20"/>
              </w:rPr>
              <w:t>426,092</w:t>
            </w:r>
          </w:p>
        </w:tc>
        <w:tc>
          <w:tcPr>
            <w:tcW w:w="1134" w:type="dxa"/>
            <w:tcBorders>
              <w:top w:val="nil"/>
              <w:left w:val="nil"/>
              <w:bottom w:val="single" w:color="auto" w:sz="8" w:space="0"/>
              <w:right w:val="single" w:color="auto" w:sz="8" w:space="0"/>
            </w:tcBorders>
            <w:shd w:val="clear" w:color="auto" w:fill="auto"/>
            <w:vAlign w:val="center"/>
            <w:hideMark/>
          </w:tcPr>
          <w:p w:rsidRPr="0036140B" w:rsidR="00E75905" w:rsidP="00E75905" w:rsidRDefault="00E75905" w14:paraId="1B621C75" w14:textId="77777777">
            <w:pPr>
              <w:spacing w:after="0" w:line="240" w:lineRule="auto"/>
              <w:jc w:val="center"/>
              <w:rPr>
                <w:rFonts w:ascii="Times New Roman" w:hAnsi="Times New Roman" w:eastAsia="Times New Roman" w:cs="Times New Roman"/>
                <w:color w:val="000000"/>
                <w:sz w:val="20"/>
                <w:szCs w:val="20"/>
              </w:rPr>
            </w:pPr>
            <w:r w:rsidRPr="0036140B">
              <w:rPr>
                <w:rFonts w:ascii="Times New Roman" w:hAnsi="Times New Roman" w:eastAsia="Times New Roman" w:cs="Times New Roman"/>
                <w:color w:val="000000"/>
                <w:sz w:val="20"/>
                <w:szCs w:val="20"/>
              </w:rPr>
              <w:t>TPD</w:t>
            </w:r>
          </w:p>
        </w:tc>
        <w:tc>
          <w:tcPr>
            <w:tcW w:w="1170" w:type="dxa"/>
            <w:tcBorders>
              <w:top w:val="nil"/>
              <w:left w:val="nil"/>
              <w:bottom w:val="single" w:color="auto" w:sz="8" w:space="0"/>
              <w:right w:val="single" w:color="auto" w:sz="8" w:space="0"/>
            </w:tcBorders>
            <w:shd w:val="clear" w:color="auto" w:fill="auto"/>
            <w:vAlign w:val="center"/>
            <w:hideMark/>
          </w:tcPr>
          <w:p w:rsidRPr="0036140B" w:rsidR="00E75905" w:rsidP="00E75905" w:rsidRDefault="00E75905" w14:paraId="1DEA6715" w14:textId="77777777">
            <w:pPr>
              <w:spacing w:after="0" w:line="240" w:lineRule="auto"/>
              <w:jc w:val="center"/>
              <w:rPr>
                <w:rFonts w:ascii="Times New Roman" w:hAnsi="Times New Roman" w:eastAsia="Times New Roman" w:cs="Times New Roman"/>
                <w:color w:val="000000"/>
                <w:sz w:val="20"/>
                <w:szCs w:val="20"/>
              </w:rPr>
            </w:pPr>
            <w:r w:rsidRPr="0036140B">
              <w:rPr>
                <w:rFonts w:ascii="Times New Roman" w:hAnsi="Times New Roman" w:eastAsia="Times New Roman" w:cs="Times New Roman"/>
                <w:color w:val="000000"/>
                <w:sz w:val="20"/>
                <w:szCs w:val="20"/>
              </w:rPr>
              <w:t>Annual</w:t>
            </w:r>
          </w:p>
        </w:tc>
      </w:tr>
      <w:tr w:rsidRPr="00E75905" w:rsidR="00E75905" w:rsidTr="00E75905" w14:paraId="347459DB" w14:textId="77777777">
        <w:trPr>
          <w:trHeight w:val="1068"/>
        </w:trPr>
        <w:tc>
          <w:tcPr>
            <w:tcW w:w="1070" w:type="dxa"/>
            <w:tcBorders>
              <w:top w:val="nil"/>
              <w:left w:val="single" w:color="auto" w:sz="8" w:space="0"/>
              <w:bottom w:val="single" w:color="auto" w:sz="8" w:space="0"/>
              <w:right w:val="single" w:color="auto" w:sz="8" w:space="0"/>
            </w:tcBorders>
            <w:shd w:val="clear" w:color="auto" w:fill="auto"/>
            <w:vAlign w:val="center"/>
            <w:hideMark/>
          </w:tcPr>
          <w:p w:rsidRPr="0036140B" w:rsidR="00E75905" w:rsidP="00E75905" w:rsidRDefault="00E75905" w14:paraId="319C8943" w14:textId="77777777">
            <w:pPr>
              <w:spacing w:after="0" w:line="240" w:lineRule="auto"/>
              <w:jc w:val="center"/>
              <w:rPr>
                <w:rFonts w:ascii="Times New Roman" w:hAnsi="Times New Roman" w:eastAsia="Times New Roman" w:cs="Times New Roman"/>
                <w:color w:val="000000"/>
                <w:sz w:val="20"/>
                <w:szCs w:val="20"/>
              </w:rPr>
            </w:pPr>
            <w:r w:rsidRPr="0036140B">
              <w:rPr>
                <w:rFonts w:ascii="Times New Roman" w:hAnsi="Times New Roman" w:eastAsia="Times New Roman" w:cs="Times New Roman"/>
                <w:color w:val="000000"/>
                <w:sz w:val="20"/>
                <w:szCs w:val="20"/>
              </w:rPr>
              <w:t>12.60</w:t>
            </w:r>
          </w:p>
        </w:tc>
        <w:tc>
          <w:tcPr>
            <w:tcW w:w="1319" w:type="dxa"/>
            <w:tcBorders>
              <w:top w:val="nil"/>
              <w:left w:val="nil"/>
              <w:bottom w:val="single" w:color="auto" w:sz="8" w:space="0"/>
              <w:right w:val="single" w:color="auto" w:sz="8" w:space="0"/>
            </w:tcBorders>
            <w:shd w:val="clear" w:color="auto" w:fill="auto"/>
            <w:vAlign w:val="center"/>
            <w:hideMark/>
          </w:tcPr>
          <w:p w:rsidRPr="0036140B" w:rsidR="00E75905" w:rsidP="00E75905" w:rsidRDefault="00E75905" w14:paraId="5D4A9911" w14:textId="77777777">
            <w:pPr>
              <w:spacing w:after="0" w:line="240" w:lineRule="auto"/>
              <w:jc w:val="center"/>
              <w:rPr>
                <w:rFonts w:ascii="Times New Roman" w:hAnsi="Times New Roman" w:eastAsia="Times New Roman" w:cs="Times New Roman"/>
                <w:color w:val="000000"/>
                <w:sz w:val="20"/>
                <w:szCs w:val="20"/>
              </w:rPr>
            </w:pPr>
            <w:r w:rsidRPr="0036140B">
              <w:rPr>
                <w:rFonts w:ascii="Times New Roman" w:hAnsi="Times New Roman" w:eastAsia="Times New Roman" w:cs="Times New Roman"/>
                <w:color w:val="000000"/>
                <w:sz w:val="20"/>
                <w:szCs w:val="20"/>
              </w:rPr>
              <w:t>438.722, Disenrollment Notices</w:t>
            </w:r>
          </w:p>
        </w:tc>
        <w:tc>
          <w:tcPr>
            <w:tcW w:w="1471" w:type="dxa"/>
            <w:tcBorders>
              <w:top w:val="nil"/>
              <w:left w:val="nil"/>
              <w:bottom w:val="single" w:color="auto" w:sz="8" w:space="0"/>
              <w:right w:val="single" w:color="auto" w:sz="8" w:space="0"/>
            </w:tcBorders>
            <w:shd w:val="clear" w:color="auto" w:fill="auto"/>
            <w:noWrap/>
            <w:vAlign w:val="center"/>
            <w:hideMark/>
          </w:tcPr>
          <w:p w:rsidRPr="0036140B" w:rsidR="00E75905" w:rsidP="00E75905" w:rsidRDefault="00E75905" w14:paraId="11DF1731" w14:textId="77777777">
            <w:pPr>
              <w:spacing w:after="0" w:line="240" w:lineRule="auto"/>
              <w:jc w:val="center"/>
              <w:rPr>
                <w:rFonts w:ascii="Times New Roman" w:hAnsi="Times New Roman" w:eastAsia="Times New Roman" w:cs="Times New Roman"/>
                <w:color w:val="000000"/>
                <w:sz w:val="20"/>
                <w:szCs w:val="20"/>
              </w:rPr>
            </w:pPr>
            <w:r w:rsidRPr="0036140B">
              <w:rPr>
                <w:rFonts w:ascii="Times New Roman" w:hAnsi="Times New Roman" w:eastAsia="Times New Roman" w:cs="Times New Roman"/>
                <w:color w:val="000000"/>
                <w:sz w:val="20"/>
                <w:szCs w:val="20"/>
              </w:rPr>
              <w:t>12</w:t>
            </w:r>
          </w:p>
        </w:tc>
        <w:tc>
          <w:tcPr>
            <w:tcW w:w="1242" w:type="dxa"/>
            <w:tcBorders>
              <w:top w:val="nil"/>
              <w:left w:val="nil"/>
              <w:bottom w:val="single" w:color="auto" w:sz="8" w:space="0"/>
              <w:right w:val="single" w:color="auto" w:sz="8" w:space="0"/>
            </w:tcBorders>
            <w:shd w:val="clear" w:color="auto" w:fill="auto"/>
            <w:noWrap/>
            <w:vAlign w:val="center"/>
            <w:hideMark/>
          </w:tcPr>
          <w:p w:rsidRPr="0036140B" w:rsidR="00E75905" w:rsidP="00E75905" w:rsidRDefault="00E75905" w14:paraId="36896980" w14:textId="77777777">
            <w:pPr>
              <w:spacing w:after="0" w:line="240" w:lineRule="auto"/>
              <w:jc w:val="center"/>
              <w:rPr>
                <w:rFonts w:ascii="Times New Roman" w:hAnsi="Times New Roman" w:eastAsia="Times New Roman" w:cs="Times New Roman"/>
                <w:color w:val="000000"/>
                <w:sz w:val="20"/>
                <w:szCs w:val="20"/>
              </w:rPr>
            </w:pPr>
            <w:r w:rsidRPr="0036140B">
              <w:rPr>
                <w:rFonts w:ascii="Times New Roman" w:hAnsi="Times New Roman" w:eastAsia="Times New Roman" w:cs="Times New Roman"/>
                <w:color w:val="000000"/>
                <w:sz w:val="20"/>
                <w:szCs w:val="20"/>
              </w:rPr>
              <w:t>12</w:t>
            </w:r>
          </w:p>
        </w:tc>
        <w:tc>
          <w:tcPr>
            <w:tcW w:w="1188" w:type="dxa"/>
            <w:tcBorders>
              <w:top w:val="nil"/>
              <w:left w:val="nil"/>
              <w:bottom w:val="single" w:color="auto" w:sz="8" w:space="0"/>
              <w:right w:val="single" w:color="auto" w:sz="8" w:space="0"/>
            </w:tcBorders>
            <w:shd w:val="clear" w:color="auto" w:fill="auto"/>
            <w:vAlign w:val="center"/>
            <w:hideMark/>
          </w:tcPr>
          <w:p w:rsidRPr="0036140B" w:rsidR="00E75905" w:rsidP="00E75905" w:rsidRDefault="00E75905" w14:paraId="50A11DE7" w14:textId="77777777">
            <w:pPr>
              <w:spacing w:after="0" w:line="240" w:lineRule="auto"/>
              <w:jc w:val="center"/>
              <w:rPr>
                <w:rFonts w:ascii="Times New Roman" w:hAnsi="Times New Roman" w:eastAsia="Times New Roman" w:cs="Times New Roman"/>
                <w:color w:val="000000"/>
                <w:sz w:val="20"/>
                <w:szCs w:val="20"/>
              </w:rPr>
            </w:pPr>
            <w:r w:rsidRPr="0036140B">
              <w:rPr>
                <w:rFonts w:ascii="Times New Roman" w:hAnsi="Times New Roman" w:eastAsia="Times New Roman" w:cs="Times New Roman"/>
                <w:color w:val="000000"/>
                <w:sz w:val="20"/>
                <w:szCs w:val="20"/>
              </w:rPr>
              <w:t>1</w:t>
            </w:r>
          </w:p>
        </w:tc>
        <w:tc>
          <w:tcPr>
            <w:tcW w:w="1745" w:type="dxa"/>
            <w:tcBorders>
              <w:top w:val="nil"/>
              <w:left w:val="nil"/>
              <w:bottom w:val="single" w:color="auto" w:sz="8" w:space="0"/>
              <w:right w:val="single" w:color="auto" w:sz="8" w:space="0"/>
            </w:tcBorders>
            <w:shd w:val="clear" w:color="auto" w:fill="auto"/>
            <w:noWrap/>
            <w:vAlign w:val="center"/>
            <w:hideMark/>
          </w:tcPr>
          <w:p w:rsidRPr="0036140B" w:rsidR="00E75905" w:rsidP="00E75905" w:rsidRDefault="00E75905" w14:paraId="50050EEB" w14:textId="77777777">
            <w:pPr>
              <w:spacing w:after="0" w:line="240" w:lineRule="auto"/>
              <w:jc w:val="center"/>
              <w:rPr>
                <w:rFonts w:ascii="Times New Roman" w:hAnsi="Times New Roman" w:eastAsia="Times New Roman" w:cs="Times New Roman"/>
                <w:color w:val="000000"/>
                <w:sz w:val="20"/>
                <w:szCs w:val="20"/>
              </w:rPr>
            </w:pPr>
            <w:r w:rsidRPr="0036140B">
              <w:rPr>
                <w:rFonts w:ascii="Times New Roman" w:hAnsi="Times New Roman" w:eastAsia="Times New Roman" w:cs="Times New Roman"/>
                <w:color w:val="000000"/>
                <w:sz w:val="20"/>
                <w:szCs w:val="20"/>
              </w:rPr>
              <w:t>12</w:t>
            </w:r>
          </w:p>
        </w:tc>
        <w:tc>
          <w:tcPr>
            <w:tcW w:w="986" w:type="dxa"/>
            <w:tcBorders>
              <w:top w:val="nil"/>
              <w:left w:val="nil"/>
              <w:bottom w:val="single" w:color="auto" w:sz="8" w:space="0"/>
              <w:right w:val="single" w:color="auto" w:sz="8" w:space="0"/>
            </w:tcBorders>
            <w:shd w:val="clear" w:color="auto" w:fill="auto"/>
            <w:vAlign w:val="center"/>
            <w:hideMark/>
          </w:tcPr>
          <w:p w:rsidRPr="0036140B" w:rsidR="00E75905" w:rsidP="00E75905" w:rsidRDefault="00E75905" w14:paraId="6D1A2BB4" w14:textId="77777777">
            <w:pPr>
              <w:spacing w:after="0" w:line="240" w:lineRule="auto"/>
              <w:jc w:val="center"/>
              <w:rPr>
                <w:rFonts w:ascii="Times New Roman" w:hAnsi="Times New Roman" w:eastAsia="Times New Roman" w:cs="Times New Roman"/>
                <w:color w:val="000000"/>
                <w:sz w:val="20"/>
                <w:szCs w:val="20"/>
              </w:rPr>
            </w:pPr>
            <w:r w:rsidRPr="0036140B">
              <w:rPr>
                <w:rFonts w:ascii="Times New Roman" w:hAnsi="Times New Roman" w:eastAsia="Times New Roman" w:cs="Times New Roman"/>
                <w:color w:val="000000"/>
                <w:sz w:val="20"/>
                <w:szCs w:val="20"/>
              </w:rPr>
              <w:t>75.32</w:t>
            </w:r>
          </w:p>
        </w:tc>
        <w:tc>
          <w:tcPr>
            <w:tcW w:w="1805" w:type="dxa"/>
            <w:tcBorders>
              <w:top w:val="nil"/>
              <w:left w:val="nil"/>
              <w:bottom w:val="single" w:color="auto" w:sz="8" w:space="0"/>
              <w:right w:val="single" w:color="auto" w:sz="8" w:space="0"/>
            </w:tcBorders>
            <w:shd w:val="clear" w:color="auto" w:fill="auto"/>
            <w:noWrap/>
            <w:vAlign w:val="center"/>
            <w:hideMark/>
          </w:tcPr>
          <w:p w:rsidRPr="0036140B" w:rsidR="00E75905" w:rsidP="00E75905" w:rsidRDefault="00E75905" w14:paraId="200B8C88" w14:textId="77777777">
            <w:pPr>
              <w:spacing w:after="0" w:line="240" w:lineRule="auto"/>
              <w:jc w:val="center"/>
              <w:rPr>
                <w:rFonts w:ascii="Times New Roman" w:hAnsi="Times New Roman" w:eastAsia="Times New Roman" w:cs="Times New Roman"/>
                <w:color w:val="000000"/>
                <w:sz w:val="20"/>
                <w:szCs w:val="20"/>
              </w:rPr>
            </w:pPr>
            <w:r w:rsidRPr="0036140B">
              <w:rPr>
                <w:rFonts w:ascii="Times New Roman" w:hAnsi="Times New Roman" w:eastAsia="Times New Roman" w:cs="Times New Roman"/>
                <w:color w:val="000000"/>
                <w:sz w:val="20"/>
                <w:szCs w:val="20"/>
              </w:rPr>
              <w:t>904</w:t>
            </w:r>
          </w:p>
        </w:tc>
        <w:tc>
          <w:tcPr>
            <w:tcW w:w="1134" w:type="dxa"/>
            <w:tcBorders>
              <w:top w:val="nil"/>
              <w:left w:val="nil"/>
              <w:bottom w:val="single" w:color="auto" w:sz="8" w:space="0"/>
              <w:right w:val="single" w:color="auto" w:sz="8" w:space="0"/>
            </w:tcBorders>
            <w:shd w:val="clear" w:color="auto" w:fill="auto"/>
            <w:vAlign w:val="center"/>
            <w:hideMark/>
          </w:tcPr>
          <w:p w:rsidRPr="0036140B" w:rsidR="00E75905" w:rsidP="00E75905" w:rsidRDefault="00E75905" w14:paraId="761B05DC" w14:textId="77777777">
            <w:pPr>
              <w:spacing w:after="0" w:line="240" w:lineRule="auto"/>
              <w:jc w:val="center"/>
              <w:rPr>
                <w:rFonts w:ascii="Times New Roman" w:hAnsi="Times New Roman" w:eastAsia="Times New Roman" w:cs="Times New Roman"/>
                <w:color w:val="000000"/>
                <w:sz w:val="20"/>
                <w:szCs w:val="20"/>
              </w:rPr>
            </w:pPr>
            <w:r w:rsidRPr="0036140B">
              <w:rPr>
                <w:rFonts w:ascii="Times New Roman" w:hAnsi="Times New Roman" w:eastAsia="Times New Roman" w:cs="Times New Roman"/>
                <w:color w:val="000000"/>
                <w:sz w:val="20"/>
                <w:szCs w:val="20"/>
              </w:rPr>
              <w:t>TPD</w:t>
            </w:r>
          </w:p>
        </w:tc>
        <w:tc>
          <w:tcPr>
            <w:tcW w:w="1170" w:type="dxa"/>
            <w:tcBorders>
              <w:top w:val="nil"/>
              <w:left w:val="nil"/>
              <w:bottom w:val="single" w:color="auto" w:sz="8" w:space="0"/>
              <w:right w:val="single" w:color="auto" w:sz="8" w:space="0"/>
            </w:tcBorders>
            <w:shd w:val="clear" w:color="auto" w:fill="auto"/>
            <w:vAlign w:val="center"/>
            <w:hideMark/>
          </w:tcPr>
          <w:p w:rsidRPr="0036140B" w:rsidR="00E75905" w:rsidP="00E75905" w:rsidRDefault="00E75905" w14:paraId="05BCBB91" w14:textId="77777777">
            <w:pPr>
              <w:spacing w:after="0" w:line="240" w:lineRule="auto"/>
              <w:jc w:val="center"/>
              <w:rPr>
                <w:rFonts w:ascii="Times New Roman" w:hAnsi="Times New Roman" w:eastAsia="Times New Roman" w:cs="Times New Roman"/>
                <w:color w:val="000000"/>
                <w:sz w:val="20"/>
                <w:szCs w:val="20"/>
              </w:rPr>
            </w:pPr>
            <w:r w:rsidRPr="0036140B">
              <w:rPr>
                <w:rFonts w:ascii="Times New Roman" w:hAnsi="Times New Roman" w:eastAsia="Times New Roman" w:cs="Times New Roman"/>
                <w:color w:val="000000"/>
                <w:sz w:val="20"/>
                <w:szCs w:val="20"/>
              </w:rPr>
              <w:t>Annual</w:t>
            </w:r>
          </w:p>
        </w:tc>
      </w:tr>
      <w:tr w:rsidRPr="00E75905" w:rsidR="00E75905" w:rsidTr="00E75905" w14:paraId="5FABD654" w14:textId="77777777">
        <w:trPr>
          <w:trHeight w:val="1068"/>
        </w:trPr>
        <w:tc>
          <w:tcPr>
            <w:tcW w:w="1070" w:type="dxa"/>
            <w:tcBorders>
              <w:top w:val="nil"/>
              <w:left w:val="single" w:color="auto" w:sz="8" w:space="0"/>
              <w:bottom w:val="single" w:color="auto" w:sz="8" w:space="0"/>
              <w:right w:val="single" w:color="auto" w:sz="8" w:space="0"/>
            </w:tcBorders>
            <w:shd w:val="clear" w:color="auto" w:fill="auto"/>
            <w:vAlign w:val="center"/>
            <w:hideMark/>
          </w:tcPr>
          <w:p w:rsidRPr="0036140B" w:rsidR="00E75905" w:rsidP="00E75905" w:rsidRDefault="00E75905" w14:paraId="6EA7F887" w14:textId="77777777">
            <w:pPr>
              <w:spacing w:after="0" w:line="240" w:lineRule="auto"/>
              <w:jc w:val="center"/>
              <w:rPr>
                <w:rFonts w:ascii="Times New Roman" w:hAnsi="Times New Roman" w:eastAsia="Times New Roman" w:cs="Times New Roman"/>
                <w:color w:val="000000"/>
                <w:sz w:val="20"/>
                <w:szCs w:val="20"/>
              </w:rPr>
            </w:pPr>
            <w:r w:rsidRPr="0036140B">
              <w:rPr>
                <w:rFonts w:ascii="Times New Roman" w:hAnsi="Times New Roman" w:eastAsia="Times New Roman" w:cs="Times New Roman"/>
                <w:color w:val="000000"/>
                <w:sz w:val="20"/>
                <w:szCs w:val="20"/>
              </w:rPr>
              <w:t>12.61</w:t>
            </w:r>
          </w:p>
        </w:tc>
        <w:tc>
          <w:tcPr>
            <w:tcW w:w="1319" w:type="dxa"/>
            <w:tcBorders>
              <w:top w:val="nil"/>
              <w:left w:val="nil"/>
              <w:bottom w:val="single" w:color="auto" w:sz="8" w:space="0"/>
              <w:right w:val="single" w:color="auto" w:sz="8" w:space="0"/>
            </w:tcBorders>
            <w:shd w:val="clear" w:color="auto" w:fill="auto"/>
            <w:vAlign w:val="center"/>
            <w:hideMark/>
          </w:tcPr>
          <w:p w:rsidRPr="0036140B" w:rsidR="00E75905" w:rsidP="00E75905" w:rsidRDefault="00E75905" w14:paraId="3CF6484E" w14:textId="77777777">
            <w:pPr>
              <w:spacing w:after="0" w:line="240" w:lineRule="auto"/>
              <w:jc w:val="center"/>
              <w:rPr>
                <w:rFonts w:ascii="Times New Roman" w:hAnsi="Times New Roman" w:eastAsia="Times New Roman" w:cs="Times New Roman"/>
                <w:color w:val="000000"/>
                <w:sz w:val="20"/>
                <w:szCs w:val="20"/>
              </w:rPr>
            </w:pPr>
            <w:r w:rsidRPr="0036140B">
              <w:rPr>
                <w:rFonts w:ascii="Times New Roman" w:hAnsi="Times New Roman" w:eastAsia="Times New Roman" w:cs="Times New Roman"/>
                <w:color w:val="000000"/>
                <w:sz w:val="20"/>
                <w:szCs w:val="20"/>
              </w:rPr>
              <w:t>438.722, Disenrollment Notices</w:t>
            </w:r>
          </w:p>
        </w:tc>
        <w:tc>
          <w:tcPr>
            <w:tcW w:w="1471" w:type="dxa"/>
            <w:tcBorders>
              <w:top w:val="nil"/>
              <w:left w:val="nil"/>
              <w:bottom w:val="single" w:color="auto" w:sz="8" w:space="0"/>
              <w:right w:val="single" w:color="auto" w:sz="8" w:space="0"/>
            </w:tcBorders>
            <w:shd w:val="clear" w:color="auto" w:fill="auto"/>
            <w:noWrap/>
            <w:vAlign w:val="center"/>
            <w:hideMark/>
          </w:tcPr>
          <w:p w:rsidRPr="0036140B" w:rsidR="00E75905" w:rsidP="00E75905" w:rsidRDefault="00E75905" w14:paraId="4F40BC84" w14:textId="77777777">
            <w:pPr>
              <w:spacing w:after="0" w:line="240" w:lineRule="auto"/>
              <w:jc w:val="center"/>
              <w:rPr>
                <w:rFonts w:ascii="Times New Roman" w:hAnsi="Times New Roman" w:eastAsia="Times New Roman" w:cs="Times New Roman"/>
                <w:color w:val="000000"/>
                <w:sz w:val="20"/>
                <w:szCs w:val="20"/>
              </w:rPr>
            </w:pPr>
            <w:r w:rsidRPr="0036140B">
              <w:rPr>
                <w:rFonts w:ascii="Times New Roman" w:hAnsi="Times New Roman" w:eastAsia="Times New Roman" w:cs="Times New Roman"/>
                <w:color w:val="000000"/>
                <w:sz w:val="20"/>
                <w:szCs w:val="20"/>
              </w:rPr>
              <w:t>12</w:t>
            </w:r>
          </w:p>
        </w:tc>
        <w:tc>
          <w:tcPr>
            <w:tcW w:w="1242" w:type="dxa"/>
            <w:tcBorders>
              <w:top w:val="nil"/>
              <w:left w:val="nil"/>
              <w:bottom w:val="single" w:color="auto" w:sz="8" w:space="0"/>
              <w:right w:val="single" w:color="auto" w:sz="8" w:space="0"/>
            </w:tcBorders>
            <w:shd w:val="clear" w:color="auto" w:fill="auto"/>
            <w:noWrap/>
            <w:vAlign w:val="center"/>
            <w:hideMark/>
          </w:tcPr>
          <w:p w:rsidRPr="0036140B" w:rsidR="00E75905" w:rsidP="00E75905" w:rsidRDefault="00E75905" w14:paraId="018CE82D" w14:textId="77777777">
            <w:pPr>
              <w:spacing w:after="0" w:line="240" w:lineRule="auto"/>
              <w:jc w:val="center"/>
              <w:rPr>
                <w:rFonts w:ascii="Times New Roman" w:hAnsi="Times New Roman" w:eastAsia="Times New Roman" w:cs="Times New Roman"/>
                <w:color w:val="000000"/>
                <w:sz w:val="20"/>
                <w:szCs w:val="20"/>
              </w:rPr>
            </w:pPr>
            <w:r w:rsidRPr="0036140B">
              <w:rPr>
                <w:rFonts w:ascii="Times New Roman" w:hAnsi="Times New Roman" w:eastAsia="Times New Roman" w:cs="Times New Roman"/>
                <w:color w:val="000000"/>
                <w:sz w:val="20"/>
                <w:szCs w:val="20"/>
              </w:rPr>
              <w:t>1,200,000</w:t>
            </w:r>
          </w:p>
        </w:tc>
        <w:tc>
          <w:tcPr>
            <w:tcW w:w="1188" w:type="dxa"/>
            <w:tcBorders>
              <w:top w:val="nil"/>
              <w:left w:val="nil"/>
              <w:bottom w:val="single" w:color="auto" w:sz="8" w:space="0"/>
              <w:right w:val="single" w:color="auto" w:sz="8" w:space="0"/>
            </w:tcBorders>
            <w:shd w:val="clear" w:color="auto" w:fill="auto"/>
            <w:vAlign w:val="center"/>
            <w:hideMark/>
          </w:tcPr>
          <w:p w:rsidRPr="0036140B" w:rsidR="00E75905" w:rsidP="00E75905" w:rsidRDefault="00E75905" w14:paraId="15B3C01F" w14:textId="77777777">
            <w:pPr>
              <w:spacing w:after="0" w:line="240" w:lineRule="auto"/>
              <w:jc w:val="center"/>
              <w:rPr>
                <w:rFonts w:ascii="Times New Roman" w:hAnsi="Times New Roman" w:eastAsia="Times New Roman" w:cs="Times New Roman"/>
                <w:color w:val="000000"/>
                <w:sz w:val="20"/>
                <w:szCs w:val="20"/>
              </w:rPr>
            </w:pPr>
            <w:r w:rsidRPr="0036140B">
              <w:rPr>
                <w:rFonts w:ascii="Times New Roman" w:hAnsi="Times New Roman" w:eastAsia="Times New Roman" w:cs="Times New Roman"/>
                <w:color w:val="000000"/>
                <w:sz w:val="20"/>
                <w:szCs w:val="20"/>
              </w:rPr>
              <w:t>0.0167</w:t>
            </w:r>
          </w:p>
        </w:tc>
        <w:tc>
          <w:tcPr>
            <w:tcW w:w="1745" w:type="dxa"/>
            <w:tcBorders>
              <w:top w:val="nil"/>
              <w:left w:val="nil"/>
              <w:bottom w:val="single" w:color="auto" w:sz="8" w:space="0"/>
              <w:right w:val="single" w:color="auto" w:sz="8" w:space="0"/>
            </w:tcBorders>
            <w:shd w:val="clear" w:color="auto" w:fill="auto"/>
            <w:noWrap/>
            <w:vAlign w:val="center"/>
            <w:hideMark/>
          </w:tcPr>
          <w:p w:rsidRPr="0036140B" w:rsidR="00E75905" w:rsidP="00E75905" w:rsidRDefault="00E75905" w14:paraId="2BDE1A77" w14:textId="77777777">
            <w:pPr>
              <w:spacing w:after="0" w:line="240" w:lineRule="auto"/>
              <w:jc w:val="center"/>
              <w:rPr>
                <w:rFonts w:ascii="Times New Roman" w:hAnsi="Times New Roman" w:eastAsia="Times New Roman" w:cs="Times New Roman"/>
                <w:color w:val="000000"/>
                <w:sz w:val="20"/>
                <w:szCs w:val="20"/>
              </w:rPr>
            </w:pPr>
            <w:r w:rsidRPr="0036140B">
              <w:rPr>
                <w:rFonts w:ascii="Times New Roman" w:hAnsi="Times New Roman" w:eastAsia="Times New Roman" w:cs="Times New Roman"/>
                <w:color w:val="000000"/>
                <w:sz w:val="20"/>
                <w:szCs w:val="20"/>
              </w:rPr>
              <w:t>20,040</w:t>
            </w:r>
          </w:p>
        </w:tc>
        <w:tc>
          <w:tcPr>
            <w:tcW w:w="986" w:type="dxa"/>
            <w:tcBorders>
              <w:top w:val="nil"/>
              <w:left w:val="nil"/>
              <w:bottom w:val="single" w:color="auto" w:sz="8" w:space="0"/>
              <w:right w:val="single" w:color="auto" w:sz="8" w:space="0"/>
            </w:tcBorders>
            <w:shd w:val="clear" w:color="auto" w:fill="auto"/>
            <w:vAlign w:val="center"/>
            <w:hideMark/>
          </w:tcPr>
          <w:p w:rsidRPr="0036140B" w:rsidR="00E75905" w:rsidP="00E75905" w:rsidRDefault="00E75905" w14:paraId="02AA04DD" w14:textId="77777777">
            <w:pPr>
              <w:spacing w:after="0" w:line="240" w:lineRule="auto"/>
              <w:jc w:val="center"/>
              <w:rPr>
                <w:rFonts w:ascii="Times New Roman" w:hAnsi="Times New Roman" w:eastAsia="Times New Roman" w:cs="Times New Roman"/>
                <w:color w:val="000000"/>
                <w:sz w:val="20"/>
                <w:szCs w:val="20"/>
              </w:rPr>
            </w:pPr>
            <w:r w:rsidRPr="0036140B">
              <w:rPr>
                <w:rFonts w:ascii="Times New Roman" w:hAnsi="Times New Roman" w:eastAsia="Times New Roman" w:cs="Times New Roman"/>
                <w:color w:val="000000"/>
                <w:sz w:val="20"/>
                <w:szCs w:val="20"/>
              </w:rPr>
              <w:t>32.40</w:t>
            </w:r>
          </w:p>
        </w:tc>
        <w:tc>
          <w:tcPr>
            <w:tcW w:w="1805" w:type="dxa"/>
            <w:tcBorders>
              <w:top w:val="nil"/>
              <w:left w:val="nil"/>
              <w:bottom w:val="single" w:color="auto" w:sz="8" w:space="0"/>
              <w:right w:val="single" w:color="auto" w:sz="8" w:space="0"/>
            </w:tcBorders>
            <w:shd w:val="clear" w:color="auto" w:fill="auto"/>
            <w:noWrap/>
            <w:vAlign w:val="center"/>
            <w:hideMark/>
          </w:tcPr>
          <w:p w:rsidRPr="0036140B" w:rsidR="00E75905" w:rsidP="00E75905" w:rsidRDefault="00E75905" w14:paraId="4F8941E7" w14:textId="77777777">
            <w:pPr>
              <w:spacing w:after="0" w:line="240" w:lineRule="auto"/>
              <w:jc w:val="center"/>
              <w:rPr>
                <w:rFonts w:ascii="Times New Roman" w:hAnsi="Times New Roman" w:eastAsia="Times New Roman" w:cs="Times New Roman"/>
                <w:color w:val="000000"/>
                <w:sz w:val="20"/>
                <w:szCs w:val="20"/>
              </w:rPr>
            </w:pPr>
            <w:r w:rsidRPr="0036140B">
              <w:rPr>
                <w:rFonts w:ascii="Times New Roman" w:hAnsi="Times New Roman" w:eastAsia="Times New Roman" w:cs="Times New Roman"/>
                <w:color w:val="000000"/>
                <w:sz w:val="20"/>
                <w:szCs w:val="20"/>
              </w:rPr>
              <w:t>649,296</w:t>
            </w:r>
          </w:p>
        </w:tc>
        <w:tc>
          <w:tcPr>
            <w:tcW w:w="1134" w:type="dxa"/>
            <w:tcBorders>
              <w:top w:val="nil"/>
              <w:left w:val="nil"/>
              <w:bottom w:val="single" w:color="auto" w:sz="8" w:space="0"/>
              <w:right w:val="single" w:color="auto" w:sz="8" w:space="0"/>
            </w:tcBorders>
            <w:shd w:val="clear" w:color="auto" w:fill="auto"/>
            <w:vAlign w:val="center"/>
            <w:hideMark/>
          </w:tcPr>
          <w:p w:rsidRPr="0036140B" w:rsidR="00E75905" w:rsidP="00E75905" w:rsidRDefault="00E75905" w14:paraId="5FB2122C" w14:textId="77777777">
            <w:pPr>
              <w:spacing w:after="0" w:line="240" w:lineRule="auto"/>
              <w:jc w:val="center"/>
              <w:rPr>
                <w:rFonts w:ascii="Times New Roman" w:hAnsi="Times New Roman" w:eastAsia="Times New Roman" w:cs="Times New Roman"/>
                <w:color w:val="000000"/>
                <w:sz w:val="20"/>
                <w:szCs w:val="20"/>
              </w:rPr>
            </w:pPr>
            <w:r w:rsidRPr="0036140B">
              <w:rPr>
                <w:rFonts w:ascii="Times New Roman" w:hAnsi="Times New Roman" w:eastAsia="Times New Roman" w:cs="Times New Roman"/>
                <w:color w:val="000000"/>
                <w:sz w:val="20"/>
                <w:szCs w:val="20"/>
              </w:rPr>
              <w:t>TPD</w:t>
            </w:r>
          </w:p>
        </w:tc>
        <w:tc>
          <w:tcPr>
            <w:tcW w:w="1170" w:type="dxa"/>
            <w:tcBorders>
              <w:top w:val="nil"/>
              <w:left w:val="nil"/>
              <w:bottom w:val="single" w:color="auto" w:sz="8" w:space="0"/>
              <w:right w:val="single" w:color="auto" w:sz="8" w:space="0"/>
            </w:tcBorders>
            <w:shd w:val="clear" w:color="auto" w:fill="auto"/>
            <w:vAlign w:val="center"/>
            <w:hideMark/>
          </w:tcPr>
          <w:p w:rsidRPr="0036140B" w:rsidR="00E75905" w:rsidP="00E75905" w:rsidRDefault="00E75905" w14:paraId="4D701393" w14:textId="77777777">
            <w:pPr>
              <w:spacing w:after="0" w:line="240" w:lineRule="auto"/>
              <w:jc w:val="center"/>
              <w:rPr>
                <w:rFonts w:ascii="Times New Roman" w:hAnsi="Times New Roman" w:eastAsia="Times New Roman" w:cs="Times New Roman"/>
                <w:color w:val="000000"/>
                <w:sz w:val="20"/>
                <w:szCs w:val="20"/>
              </w:rPr>
            </w:pPr>
            <w:r w:rsidRPr="0036140B">
              <w:rPr>
                <w:rFonts w:ascii="Times New Roman" w:hAnsi="Times New Roman" w:eastAsia="Times New Roman" w:cs="Times New Roman"/>
                <w:color w:val="000000"/>
                <w:sz w:val="20"/>
                <w:szCs w:val="20"/>
              </w:rPr>
              <w:t>Annual</w:t>
            </w:r>
          </w:p>
        </w:tc>
      </w:tr>
      <w:tr w:rsidRPr="00E75905" w:rsidR="00E75905" w:rsidTr="00E75905" w14:paraId="29B0A36C" w14:textId="77777777">
        <w:trPr>
          <w:trHeight w:val="528"/>
        </w:trPr>
        <w:tc>
          <w:tcPr>
            <w:tcW w:w="2389" w:type="dxa"/>
            <w:gridSpan w:val="2"/>
            <w:tcBorders>
              <w:top w:val="single" w:color="auto" w:sz="8" w:space="0"/>
              <w:left w:val="single" w:color="auto" w:sz="8" w:space="0"/>
              <w:bottom w:val="single" w:color="auto" w:sz="8" w:space="0"/>
              <w:right w:val="single" w:color="000000" w:sz="8" w:space="0"/>
            </w:tcBorders>
            <w:shd w:val="clear" w:color="000000" w:fill="BFBFBF"/>
            <w:vAlign w:val="center"/>
            <w:hideMark/>
          </w:tcPr>
          <w:p w:rsidRPr="0036140B" w:rsidR="00E75905" w:rsidP="00E75905" w:rsidRDefault="00E75905" w14:paraId="5E4A2BE1" w14:textId="77777777">
            <w:pPr>
              <w:spacing w:after="0" w:line="240" w:lineRule="auto"/>
              <w:rPr>
                <w:rFonts w:ascii="Times New Roman" w:hAnsi="Times New Roman" w:eastAsia="Times New Roman" w:cs="Times New Roman"/>
                <w:i/>
                <w:iCs/>
                <w:color w:val="000000"/>
                <w:sz w:val="20"/>
                <w:szCs w:val="20"/>
              </w:rPr>
            </w:pPr>
            <w:r w:rsidRPr="0036140B">
              <w:rPr>
                <w:rFonts w:ascii="Times New Roman" w:hAnsi="Times New Roman" w:eastAsia="Times New Roman" w:cs="Times New Roman"/>
                <w:i/>
                <w:iCs/>
                <w:color w:val="000000"/>
                <w:sz w:val="20"/>
                <w:szCs w:val="20"/>
              </w:rPr>
              <w:t>Subtotal: Third-Party Disclosure</w:t>
            </w:r>
          </w:p>
        </w:tc>
        <w:tc>
          <w:tcPr>
            <w:tcW w:w="1471" w:type="dxa"/>
            <w:tcBorders>
              <w:top w:val="nil"/>
              <w:left w:val="nil"/>
              <w:bottom w:val="single" w:color="auto" w:sz="8" w:space="0"/>
              <w:right w:val="single" w:color="auto" w:sz="8" w:space="0"/>
            </w:tcBorders>
            <w:shd w:val="clear" w:color="000000" w:fill="BFBFBF"/>
            <w:noWrap/>
            <w:vAlign w:val="center"/>
            <w:hideMark/>
          </w:tcPr>
          <w:p w:rsidRPr="0036140B" w:rsidR="00E75905" w:rsidP="00E75905" w:rsidRDefault="00E75905" w14:paraId="5E824EFF" w14:textId="77777777">
            <w:pPr>
              <w:spacing w:after="0" w:line="240" w:lineRule="auto"/>
              <w:jc w:val="center"/>
              <w:rPr>
                <w:rFonts w:ascii="Times New Roman" w:hAnsi="Times New Roman" w:eastAsia="Times New Roman" w:cs="Times New Roman"/>
                <w:i/>
                <w:iCs/>
                <w:color w:val="000000"/>
                <w:sz w:val="20"/>
                <w:szCs w:val="20"/>
              </w:rPr>
            </w:pPr>
            <w:r w:rsidRPr="0036140B">
              <w:rPr>
                <w:rFonts w:ascii="Times New Roman" w:hAnsi="Times New Roman" w:eastAsia="Times New Roman" w:cs="Times New Roman"/>
                <w:i/>
                <w:iCs/>
                <w:color w:val="000000"/>
                <w:sz w:val="20"/>
                <w:szCs w:val="20"/>
              </w:rPr>
              <w:t>41</w:t>
            </w:r>
          </w:p>
        </w:tc>
        <w:tc>
          <w:tcPr>
            <w:tcW w:w="1242" w:type="dxa"/>
            <w:tcBorders>
              <w:top w:val="nil"/>
              <w:left w:val="nil"/>
              <w:bottom w:val="single" w:color="auto" w:sz="8" w:space="0"/>
              <w:right w:val="single" w:color="auto" w:sz="8" w:space="0"/>
            </w:tcBorders>
            <w:shd w:val="clear" w:color="000000" w:fill="BFBFBF"/>
            <w:noWrap/>
            <w:vAlign w:val="center"/>
            <w:hideMark/>
          </w:tcPr>
          <w:p w:rsidRPr="0036140B" w:rsidR="00E75905" w:rsidP="00E75905" w:rsidRDefault="00E75905" w14:paraId="481D7AEE" w14:textId="77777777">
            <w:pPr>
              <w:spacing w:after="0" w:line="240" w:lineRule="auto"/>
              <w:jc w:val="center"/>
              <w:rPr>
                <w:rFonts w:ascii="Times New Roman" w:hAnsi="Times New Roman" w:eastAsia="Times New Roman" w:cs="Times New Roman"/>
                <w:i/>
                <w:iCs/>
                <w:color w:val="000000"/>
                <w:sz w:val="20"/>
                <w:szCs w:val="20"/>
              </w:rPr>
            </w:pPr>
            <w:r w:rsidRPr="0036140B">
              <w:rPr>
                <w:rFonts w:ascii="Times New Roman" w:hAnsi="Times New Roman" w:eastAsia="Times New Roman" w:cs="Times New Roman"/>
                <w:i/>
                <w:iCs/>
                <w:color w:val="000000"/>
                <w:sz w:val="20"/>
                <w:szCs w:val="20"/>
              </w:rPr>
              <w:t>4,169,140</w:t>
            </w:r>
          </w:p>
        </w:tc>
        <w:tc>
          <w:tcPr>
            <w:tcW w:w="1188" w:type="dxa"/>
            <w:tcBorders>
              <w:top w:val="nil"/>
              <w:left w:val="nil"/>
              <w:bottom w:val="single" w:color="auto" w:sz="8" w:space="0"/>
              <w:right w:val="single" w:color="auto" w:sz="8" w:space="0"/>
            </w:tcBorders>
            <w:shd w:val="clear" w:color="000000" w:fill="BFBFBF"/>
            <w:vAlign w:val="center"/>
            <w:hideMark/>
          </w:tcPr>
          <w:p w:rsidRPr="0036140B" w:rsidR="00E75905" w:rsidP="00E75905" w:rsidRDefault="00E75905" w14:paraId="2E01E4B0" w14:textId="77777777">
            <w:pPr>
              <w:spacing w:after="0" w:line="240" w:lineRule="auto"/>
              <w:jc w:val="center"/>
              <w:rPr>
                <w:rFonts w:ascii="Times New Roman" w:hAnsi="Times New Roman" w:eastAsia="Times New Roman" w:cs="Times New Roman"/>
                <w:i/>
                <w:iCs/>
                <w:color w:val="000000"/>
                <w:sz w:val="20"/>
                <w:szCs w:val="20"/>
              </w:rPr>
            </w:pPr>
            <w:r w:rsidRPr="0036140B">
              <w:rPr>
                <w:rFonts w:ascii="Times New Roman" w:hAnsi="Times New Roman" w:eastAsia="Times New Roman" w:cs="Times New Roman"/>
                <w:i/>
                <w:iCs/>
                <w:color w:val="000000"/>
                <w:sz w:val="20"/>
                <w:szCs w:val="20"/>
              </w:rPr>
              <w:t>Varies</w:t>
            </w:r>
          </w:p>
        </w:tc>
        <w:tc>
          <w:tcPr>
            <w:tcW w:w="1745" w:type="dxa"/>
            <w:tcBorders>
              <w:top w:val="nil"/>
              <w:left w:val="nil"/>
              <w:bottom w:val="single" w:color="auto" w:sz="8" w:space="0"/>
              <w:right w:val="single" w:color="auto" w:sz="8" w:space="0"/>
            </w:tcBorders>
            <w:shd w:val="clear" w:color="000000" w:fill="BFBFBF"/>
            <w:noWrap/>
            <w:vAlign w:val="center"/>
            <w:hideMark/>
          </w:tcPr>
          <w:p w:rsidRPr="0036140B" w:rsidR="00E75905" w:rsidP="00E75905" w:rsidRDefault="00E75905" w14:paraId="19AF00D1" w14:textId="77777777">
            <w:pPr>
              <w:spacing w:after="0" w:line="240" w:lineRule="auto"/>
              <w:jc w:val="center"/>
              <w:rPr>
                <w:rFonts w:ascii="Times New Roman" w:hAnsi="Times New Roman" w:eastAsia="Times New Roman" w:cs="Times New Roman"/>
                <w:i/>
                <w:iCs/>
                <w:color w:val="000000"/>
                <w:sz w:val="20"/>
                <w:szCs w:val="20"/>
              </w:rPr>
            </w:pPr>
            <w:r w:rsidRPr="0036140B">
              <w:rPr>
                <w:rFonts w:ascii="Times New Roman" w:hAnsi="Times New Roman" w:eastAsia="Times New Roman" w:cs="Times New Roman"/>
                <w:i/>
                <w:iCs/>
                <w:color w:val="000000"/>
                <w:sz w:val="20"/>
                <w:szCs w:val="20"/>
              </w:rPr>
              <w:t>70,100</w:t>
            </w:r>
          </w:p>
        </w:tc>
        <w:tc>
          <w:tcPr>
            <w:tcW w:w="986" w:type="dxa"/>
            <w:tcBorders>
              <w:top w:val="nil"/>
              <w:left w:val="nil"/>
              <w:bottom w:val="single" w:color="auto" w:sz="8" w:space="0"/>
              <w:right w:val="single" w:color="auto" w:sz="8" w:space="0"/>
            </w:tcBorders>
            <w:shd w:val="clear" w:color="000000" w:fill="BFBFBF"/>
            <w:vAlign w:val="center"/>
            <w:hideMark/>
          </w:tcPr>
          <w:p w:rsidRPr="0036140B" w:rsidR="00E75905" w:rsidP="00E75905" w:rsidRDefault="00E75905" w14:paraId="69BF1356" w14:textId="77777777">
            <w:pPr>
              <w:spacing w:after="0" w:line="240" w:lineRule="auto"/>
              <w:jc w:val="center"/>
              <w:rPr>
                <w:rFonts w:ascii="Times New Roman" w:hAnsi="Times New Roman" w:eastAsia="Times New Roman" w:cs="Times New Roman"/>
                <w:i/>
                <w:iCs/>
                <w:color w:val="000000"/>
                <w:sz w:val="20"/>
                <w:szCs w:val="20"/>
              </w:rPr>
            </w:pPr>
            <w:r w:rsidRPr="0036140B">
              <w:rPr>
                <w:rFonts w:ascii="Times New Roman" w:hAnsi="Times New Roman" w:eastAsia="Times New Roman" w:cs="Times New Roman"/>
                <w:i/>
                <w:iCs/>
                <w:color w:val="000000"/>
                <w:sz w:val="20"/>
                <w:szCs w:val="20"/>
              </w:rPr>
              <w:t>Varies</w:t>
            </w:r>
          </w:p>
        </w:tc>
        <w:tc>
          <w:tcPr>
            <w:tcW w:w="1805" w:type="dxa"/>
            <w:tcBorders>
              <w:top w:val="nil"/>
              <w:left w:val="nil"/>
              <w:bottom w:val="single" w:color="auto" w:sz="8" w:space="0"/>
              <w:right w:val="single" w:color="auto" w:sz="8" w:space="0"/>
            </w:tcBorders>
            <w:shd w:val="clear" w:color="000000" w:fill="BFBFBF"/>
            <w:noWrap/>
            <w:vAlign w:val="center"/>
            <w:hideMark/>
          </w:tcPr>
          <w:p w:rsidRPr="0036140B" w:rsidR="00E75905" w:rsidP="00E75905" w:rsidRDefault="00E75905" w14:paraId="6255BA09" w14:textId="77777777">
            <w:pPr>
              <w:spacing w:after="0" w:line="240" w:lineRule="auto"/>
              <w:jc w:val="center"/>
              <w:rPr>
                <w:rFonts w:ascii="Times New Roman" w:hAnsi="Times New Roman" w:eastAsia="Times New Roman" w:cs="Times New Roman"/>
                <w:i/>
                <w:iCs/>
                <w:color w:val="000000"/>
                <w:sz w:val="20"/>
                <w:szCs w:val="20"/>
              </w:rPr>
            </w:pPr>
            <w:r w:rsidRPr="0036140B">
              <w:rPr>
                <w:rFonts w:ascii="Times New Roman" w:hAnsi="Times New Roman" w:eastAsia="Times New Roman" w:cs="Times New Roman"/>
                <w:i/>
                <w:iCs/>
                <w:color w:val="000000"/>
                <w:sz w:val="20"/>
                <w:szCs w:val="20"/>
              </w:rPr>
              <w:t>2,295,478</w:t>
            </w:r>
          </w:p>
        </w:tc>
        <w:tc>
          <w:tcPr>
            <w:tcW w:w="1134" w:type="dxa"/>
            <w:tcBorders>
              <w:top w:val="nil"/>
              <w:left w:val="nil"/>
              <w:bottom w:val="single" w:color="auto" w:sz="8" w:space="0"/>
              <w:right w:val="single" w:color="auto" w:sz="8" w:space="0"/>
            </w:tcBorders>
            <w:shd w:val="clear" w:color="000000" w:fill="BFBFBF"/>
            <w:vAlign w:val="center"/>
            <w:hideMark/>
          </w:tcPr>
          <w:p w:rsidRPr="0036140B" w:rsidR="00E75905" w:rsidP="00E75905" w:rsidRDefault="00E75905" w14:paraId="0DCEC569" w14:textId="77777777">
            <w:pPr>
              <w:spacing w:after="0" w:line="240" w:lineRule="auto"/>
              <w:jc w:val="center"/>
              <w:rPr>
                <w:rFonts w:ascii="Times New Roman" w:hAnsi="Times New Roman" w:eastAsia="Times New Roman" w:cs="Times New Roman"/>
                <w:i/>
                <w:iCs/>
                <w:color w:val="000000"/>
                <w:sz w:val="20"/>
                <w:szCs w:val="20"/>
              </w:rPr>
            </w:pPr>
            <w:r w:rsidRPr="0036140B">
              <w:rPr>
                <w:rFonts w:ascii="Times New Roman" w:hAnsi="Times New Roman" w:eastAsia="Times New Roman" w:cs="Times New Roman"/>
                <w:i/>
                <w:iCs/>
                <w:color w:val="000000"/>
                <w:sz w:val="20"/>
                <w:szCs w:val="20"/>
              </w:rPr>
              <w:t>TPD</w:t>
            </w:r>
          </w:p>
        </w:tc>
        <w:tc>
          <w:tcPr>
            <w:tcW w:w="1170" w:type="dxa"/>
            <w:tcBorders>
              <w:top w:val="nil"/>
              <w:left w:val="nil"/>
              <w:bottom w:val="single" w:color="auto" w:sz="8" w:space="0"/>
              <w:right w:val="single" w:color="auto" w:sz="8" w:space="0"/>
            </w:tcBorders>
            <w:shd w:val="clear" w:color="000000" w:fill="BFBFBF"/>
            <w:vAlign w:val="center"/>
            <w:hideMark/>
          </w:tcPr>
          <w:p w:rsidRPr="0036140B" w:rsidR="00E75905" w:rsidP="00E75905" w:rsidRDefault="00E75905" w14:paraId="50781453" w14:textId="77777777">
            <w:pPr>
              <w:spacing w:after="0" w:line="240" w:lineRule="auto"/>
              <w:jc w:val="center"/>
              <w:rPr>
                <w:rFonts w:ascii="Times New Roman" w:hAnsi="Times New Roman" w:eastAsia="Times New Roman" w:cs="Times New Roman"/>
                <w:i/>
                <w:iCs/>
                <w:color w:val="000000"/>
                <w:sz w:val="20"/>
                <w:szCs w:val="20"/>
              </w:rPr>
            </w:pPr>
            <w:r w:rsidRPr="0036140B">
              <w:rPr>
                <w:rFonts w:ascii="Times New Roman" w:hAnsi="Times New Roman" w:eastAsia="Times New Roman" w:cs="Times New Roman"/>
                <w:i/>
                <w:iCs/>
                <w:color w:val="000000"/>
                <w:sz w:val="20"/>
                <w:szCs w:val="20"/>
              </w:rPr>
              <w:t>Varies</w:t>
            </w:r>
          </w:p>
        </w:tc>
      </w:tr>
      <w:tr w:rsidRPr="00E75905" w:rsidR="00E75905" w:rsidTr="00E75905" w14:paraId="5E2A9199" w14:textId="77777777">
        <w:trPr>
          <w:trHeight w:val="1068"/>
        </w:trPr>
        <w:tc>
          <w:tcPr>
            <w:tcW w:w="1070" w:type="dxa"/>
            <w:tcBorders>
              <w:top w:val="nil"/>
              <w:left w:val="single" w:color="auto" w:sz="8" w:space="0"/>
              <w:bottom w:val="single" w:color="auto" w:sz="8" w:space="0"/>
              <w:right w:val="single" w:color="auto" w:sz="8" w:space="0"/>
            </w:tcBorders>
            <w:shd w:val="clear" w:color="auto" w:fill="auto"/>
            <w:vAlign w:val="center"/>
            <w:hideMark/>
          </w:tcPr>
          <w:p w:rsidRPr="0036140B" w:rsidR="00E75905" w:rsidP="00E75905" w:rsidRDefault="00E75905" w14:paraId="787A35F4" w14:textId="77777777">
            <w:pPr>
              <w:spacing w:after="0" w:line="240" w:lineRule="auto"/>
              <w:jc w:val="center"/>
              <w:rPr>
                <w:rFonts w:ascii="Times New Roman" w:hAnsi="Times New Roman" w:eastAsia="Times New Roman" w:cs="Times New Roman"/>
                <w:color w:val="000000"/>
                <w:sz w:val="20"/>
                <w:szCs w:val="20"/>
              </w:rPr>
            </w:pPr>
            <w:r w:rsidRPr="0036140B">
              <w:rPr>
                <w:rFonts w:ascii="Times New Roman" w:hAnsi="Times New Roman" w:eastAsia="Times New Roman" w:cs="Times New Roman"/>
                <w:color w:val="000000"/>
                <w:sz w:val="20"/>
                <w:szCs w:val="20"/>
              </w:rPr>
              <w:t>12.24</w:t>
            </w:r>
          </w:p>
        </w:tc>
        <w:tc>
          <w:tcPr>
            <w:tcW w:w="1319" w:type="dxa"/>
            <w:tcBorders>
              <w:top w:val="nil"/>
              <w:left w:val="nil"/>
              <w:bottom w:val="single" w:color="auto" w:sz="8" w:space="0"/>
              <w:right w:val="single" w:color="auto" w:sz="8" w:space="0"/>
            </w:tcBorders>
            <w:shd w:val="clear" w:color="auto" w:fill="auto"/>
            <w:vAlign w:val="center"/>
            <w:hideMark/>
          </w:tcPr>
          <w:p w:rsidRPr="0036140B" w:rsidR="00E75905" w:rsidP="00E75905" w:rsidRDefault="00E75905" w14:paraId="0374DC0A" w14:textId="77777777">
            <w:pPr>
              <w:spacing w:after="0" w:line="240" w:lineRule="auto"/>
              <w:jc w:val="center"/>
              <w:rPr>
                <w:rFonts w:ascii="Times New Roman" w:hAnsi="Times New Roman" w:eastAsia="Times New Roman" w:cs="Times New Roman"/>
                <w:color w:val="000000"/>
                <w:sz w:val="20"/>
                <w:szCs w:val="20"/>
              </w:rPr>
            </w:pPr>
            <w:r w:rsidRPr="0036140B">
              <w:rPr>
                <w:rFonts w:ascii="Times New Roman" w:hAnsi="Times New Roman" w:eastAsia="Times New Roman" w:cs="Times New Roman"/>
                <w:color w:val="000000"/>
                <w:sz w:val="20"/>
                <w:szCs w:val="20"/>
              </w:rPr>
              <w:t>438.66(d)(3), State Monitoring</w:t>
            </w:r>
          </w:p>
        </w:tc>
        <w:tc>
          <w:tcPr>
            <w:tcW w:w="1471" w:type="dxa"/>
            <w:tcBorders>
              <w:top w:val="nil"/>
              <w:left w:val="nil"/>
              <w:bottom w:val="single" w:color="auto" w:sz="8" w:space="0"/>
              <w:right w:val="single" w:color="auto" w:sz="8" w:space="0"/>
            </w:tcBorders>
            <w:shd w:val="clear" w:color="auto" w:fill="auto"/>
            <w:vAlign w:val="center"/>
            <w:hideMark/>
          </w:tcPr>
          <w:p w:rsidRPr="0036140B" w:rsidR="00E75905" w:rsidP="00E75905" w:rsidRDefault="00E75905" w14:paraId="352A0BA1" w14:textId="77777777">
            <w:pPr>
              <w:spacing w:after="0" w:line="240" w:lineRule="auto"/>
              <w:jc w:val="center"/>
              <w:rPr>
                <w:rFonts w:ascii="Times New Roman" w:hAnsi="Times New Roman" w:eastAsia="Times New Roman" w:cs="Times New Roman"/>
                <w:color w:val="000000"/>
                <w:sz w:val="20"/>
                <w:szCs w:val="20"/>
              </w:rPr>
            </w:pPr>
            <w:r w:rsidRPr="0036140B">
              <w:rPr>
                <w:rFonts w:ascii="Times New Roman" w:hAnsi="Times New Roman" w:eastAsia="Times New Roman" w:cs="Times New Roman"/>
                <w:color w:val="000000"/>
                <w:sz w:val="20"/>
                <w:szCs w:val="20"/>
              </w:rPr>
              <w:t>20</w:t>
            </w:r>
          </w:p>
        </w:tc>
        <w:tc>
          <w:tcPr>
            <w:tcW w:w="1242" w:type="dxa"/>
            <w:tcBorders>
              <w:top w:val="nil"/>
              <w:left w:val="nil"/>
              <w:bottom w:val="single" w:color="auto" w:sz="8" w:space="0"/>
              <w:right w:val="single" w:color="auto" w:sz="8" w:space="0"/>
            </w:tcBorders>
            <w:shd w:val="clear" w:color="auto" w:fill="auto"/>
            <w:vAlign w:val="center"/>
            <w:hideMark/>
          </w:tcPr>
          <w:p w:rsidRPr="0036140B" w:rsidR="00E75905" w:rsidP="00E75905" w:rsidRDefault="00E75905" w14:paraId="290CE878" w14:textId="77777777">
            <w:pPr>
              <w:spacing w:after="0" w:line="240" w:lineRule="auto"/>
              <w:jc w:val="center"/>
              <w:rPr>
                <w:rFonts w:ascii="Times New Roman" w:hAnsi="Times New Roman" w:eastAsia="Times New Roman" w:cs="Times New Roman"/>
                <w:color w:val="000000"/>
                <w:sz w:val="20"/>
                <w:szCs w:val="20"/>
              </w:rPr>
            </w:pPr>
            <w:r w:rsidRPr="0036140B">
              <w:rPr>
                <w:rFonts w:ascii="Times New Roman" w:hAnsi="Times New Roman" w:eastAsia="Times New Roman" w:cs="Times New Roman"/>
                <w:color w:val="000000"/>
                <w:sz w:val="20"/>
                <w:szCs w:val="20"/>
              </w:rPr>
              <w:t>20</w:t>
            </w:r>
          </w:p>
        </w:tc>
        <w:tc>
          <w:tcPr>
            <w:tcW w:w="1188" w:type="dxa"/>
            <w:tcBorders>
              <w:top w:val="nil"/>
              <w:left w:val="nil"/>
              <w:bottom w:val="single" w:color="auto" w:sz="8" w:space="0"/>
              <w:right w:val="single" w:color="auto" w:sz="8" w:space="0"/>
            </w:tcBorders>
            <w:shd w:val="clear" w:color="auto" w:fill="auto"/>
            <w:vAlign w:val="center"/>
            <w:hideMark/>
          </w:tcPr>
          <w:p w:rsidRPr="0036140B" w:rsidR="00E75905" w:rsidP="00E75905" w:rsidRDefault="00E75905" w14:paraId="6F3F1A49" w14:textId="77777777">
            <w:pPr>
              <w:spacing w:after="0" w:line="240" w:lineRule="auto"/>
              <w:jc w:val="center"/>
              <w:rPr>
                <w:rFonts w:ascii="Times New Roman" w:hAnsi="Times New Roman" w:eastAsia="Times New Roman" w:cs="Times New Roman"/>
                <w:color w:val="000000"/>
                <w:sz w:val="20"/>
                <w:szCs w:val="20"/>
              </w:rPr>
            </w:pPr>
            <w:r w:rsidRPr="0036140B">
              <w:rPr>
                <w:rFonts w:ascii="Times New Roman" w:hAnsi="Times New Roman" w:eastAsia="Times New Roman" w:cs="Times New Roman"/>
                <w:color w:val="000000"/>
                <w:sz w:val="20"/>
                <w:szCs w:val="20"/>
              </w:rPr>
              <w:t>40</w:t>
            </w:r>
          </w:p>
        </w:tc>
        <w:tc>
          <w:tcPr>
            <w:tcW w:w="1745" w:type="dxa"/>
            <w:tcBorders>
              <w:top w:val="nil"/>
              <w:left w:val="nil"/>
              <w:bottom w:val="single" w:color="auto" w:sz="8" w:space="0"/>
              <w:right w:val="single" w:color="auto" w:sz="8" w:space="0"/>
            </w:tcBorders>
            <w:shd w:val="clear" w:color="auto" w:fill="auto"/>
            <w:noWrap/>
            <w:vAlign w:val="center"/>
            <w:hideMark/>
          </w:tcPr>
          <w:p w:rsidRPr="0036140B" w:rsidR="00E75905" w:rsidP="00E75905" w:rsidRDefault="00E75905" w14:paraId="62E0426D" w14:textId="77777777">
            <w:pPr>
              <w:spacing w:after="0" w:line="240" w:lineRule="auto"/>
              <w:jc w:val="center"/>
              <w:rPr>
                <w:rFonts w:ascii="Times New Roman" w:hAnsi="Times New Roman" w:eastAsia="Times New Roman" w:cs="Times New Roman"/>
                <w:color w:val="000000"/>
                <w:sz w:val="20"/>
                <w:szCs w:val="20"/>
              </w:rPr>
            </w:pPr>
            <w:r w:rsidRPr="0036140B">
              <w:rPr>
                <w:rFonts w:ascii="Times New Roman" w:hAnsi="Times New Roman" w:eastAsia="Times New Roman" w:cs="Times New Roman"/>
                <w:color w:val="000000"/>
                <w:sz w:val="20"/>
                <w:szCs w:val="20"/>
              </w:rPr>
              <w:t>800</w:t>
            </w:r>
          </w:p>
        </w:tc>
        <w:tc>
          <w:tcPr>
            <w:tcW w:w="986" w:type="dxa"/>
            <w:tcBorders>
              <w:top w:val="nil"/>
              <w:left w:val="nil"/>
              <w:bottom w:val="single" w:color="auto" w:sz="8" w:space="0"/>
              <w:right w:val="single" w:color="auto" w:sz="8" w:space="0"/>
            </w:tcBorders>
            <w:shd w:val="clear" w:color="auto" w:fill="auto"/>
            <w:vAlign w:val="center"/>
            <w:hideMark/>
          </w:tcPr>
          <w:p w:rsidRPr="0036140B" w:rsidR="00E75905" w:rsidP="00E75905" w:rsidRDefault="00E75905" w14:paraId="50613C9E" w14:textId="77777777">
            <w:pPr>
              <w:spacing w:after="0" w:line="240" w:lineRule="auto"/>
              <w:jc w:val="center"/>
              <w:rPr>
                <w:rFonts w:ascii="Times New Roman" w:hAnsi="Times New Roman" w:eastAsia="Times New Roman" w:cs="Times New Roman"/>
                <w:color w:val="000000"/>
                <w:sz w:val="20"/>
                <w:szCs w:val="20"/>
              </w:rPr>
            </w:pPr>
            <w:r w:rsidRPr="0036140B">
              <w:rPr>
                <w:rFonts w:ascii="Times New Roman" w:hAnsi="Times New Roman" w:eastAsia="Times New Roman" w:cs="Times New Roman"/>
                <w:color w:val="000000"/>
                <w:sz w:val="20"/>
                <w:szCs w:val="20"/>
              </w:rPr>
              <w:t>Varies (see narrative)</w:t>
            </w:r>
          </w:p>
        </w:tc>
        <w:tc>
          <w:tcPr>
            <w:tcW w:w="1805" w:type="dxa"/>
            <w:tcBorders>
              <w:top w:val="nil"/>
              <w:left w:val="nil"/>
              <w:bottom w:val="single" w:color="auto" w:sz="8" w:space="0"/>
              <w:right w:val="single" w:color="auto" w:sz="8" w:space="0"/>
            </w:tcBorders>
            <w:shd w:val="clear" w:color="auto" w:fill="auto"/>
            <w:noWrap/>
            <w:vAlign w:val="center"/>
            <w:hideMark/>
          </w:tcPr>
          <w:p w:rsidRPr="0036140B" w:rsidR="00E75905" w:rsidP="00E75905" w:rsidRDefault="00E75905" w14:paraId="3D5F5E41" w14:textId="77777777">
            <w:pPr>
              <w:spacing w:after="0" w:line="240" w:lineRule="auto"/>
              <w:jc w:val="center"/>
              <w:rPr>
                <w:rFonts w:ascii="Times New Roman" w:hAnsi="Times New Roman" w:eastAsia="Times New Roman" w:cs="Times New Roman"/>
                <w:color w:val="000000"/>
                <w:sz w:val="20"/>
                <w:szCs w:val="20"/>
              </w:rPr>
            </w:pPr>
            <w:r w:rsidRPr="0036140B">
              <w:rPr>
                <w:rFonts w:ascii="Times New Roman" w:hAnsi="Times New Roman" w:eastAsia="Times New Roman" w:cs="Times New Roman"/>
                <w:color w:val="000000"/>
                <w:sz w:val="20"/>
                <w:szCs w:val="20"/>
              </w:rPr>
              <w:t>67,880</w:t>
            </w:r>
          </w:p>
        </w:tc>
        <w:tc>
          <w:tcPr>
            <w:tcW w:w="1134" w:type="dxa"/>
            <w:tcBorders>
              <w:top w:val="nil"/>
              <w:left w:val="nil"/>
              <w:bottom w:val="single" w:color="auto" w:sz="8" w:space="0"/>
              <w:right w:val="single" w:color="auto" w:sz="8" w:space="0"/>
            </w:tcBorders>
            <w:shd w:val="clear" w:color="auto" w:fill="auto"/>
            <w:vAlign w:val="center"/>
            <w:hideMark/>
          </w:tcPr>
          <w:p w:rsidRPr="0036140B" w:rsidR="00E75905" w:rsidP="00E75905" w:rsidRDefault="00E75905" w14:paraId="0EAFA9D3" w14:textId="77777777">
            <w:pPr>
              <w:spacing w:after="0" w:line="240" w:lineRule="auto"/>
              <w:jc w:val="center"/>
              <w:rPr>
                <w:rFonts w:ascii="Times New Roman" w:hAnsi="Times New Roman" w:eastAsia="Times New Roman" w:cs="Times New Roman"/>
                <w:color w:val="000000"/>
                <w:sz w:val="20"/>
                <w:szCs w:val="20"/>
              </w:rPr>
            </w:pPr>
            <w:r w:rsidRPr="0036140B">
              <w:rPr>
                <w:rFonts w:ascii="Times New Roman" w:hAnsi="Times New Roman" w:eastAsia="Times New Roman" w:cs="Times New Roman"/>
                <w:color w:val="000000"/>
                <w:sz w:val="20"/>
                <w:szCs w:val="20"/>
              </w:rPr>
              <w:t>RK</w:t>
            </w:r>
          </w:p>
        </w:tc>
        <w:tc>
          <w:tcPr>
            <w:tcW w:w="1170" w:type="dxa"/>
            <w:tcBorders>
              <w:top w:val="nil"/>
              <w:left w:val="nil"/>
              <w:bottom w:val="single" w:color="auto" w:sz="8" w:space="0"/>
              <w:right w:val="single" w:color="auto" w:sz="8" w:space="0"/>
            </w:tcBorders>
            <w:shd w:val="clear" w:color="auto" w:fill="auto"/>
            <w:vAlign w:val="center"/>
            <w:hideMark/>
          </w:tcPr>
          <w:p w:rsidRPr="0036140B" w:rsidR="00E75905" w:rsidP="00E75905" w:rsidRDefault="00E75905" w14:paraId="0412BEB3" w14:textId="77777777">
            <w:pPr>
              <w:spacing w:after="0" w:line="240" w:lineRule="auto"/>
              <w:jc w:val="center"/>
              <w:rPr>
                <w:rFonts w:ascii="Times New Roman" w:hAnsi="Times New Roman" w:eastAsia="Times New Roman" w:cs="Times New Roman"/>
                <w:color w:val="000000"/>
                <w:sz w:val="20"/>
                <w:szCs w:val="20"/>
              </w:rPr>
            </w:pPr>
            <w:r w:rsidRPr="0036140B">
              <w:rPr>
                <w:rFonts w:ascii="Times New Roman" w:hAnsi="Times New Roman" w:eastAsia="Times New Roman" w:cs="Times New Roman"/>
                <w:color w:val="000000"/>
                <w:sz w:val="20"/>
                <w:szCs w:val="20"/>
              </w:rPr>
              <w:t>Annual</w:t>
            </w:r>
          </w:p>
        </w:tc>
      </w:tr>
      <w:tr w:rsidRPr="00E75905" w:rsidR="00E75905" w:rsidTr="00E75905" w14:paraId="5DD8FE4F" w14:textId="77777777">
        <w:trPr>
          <w:trHeight w:val="1332"/>
        </w:trPr>
        <w:tc>
          <w:tcPr>
            <w:tcW w:w="1070" w:type="dxa"/>
            <w:tcBorders>
              <w:top w:val="nil"/>
              <w:left w:val="single" w:color="auto" w:sz="8" w:space="0"/>
              <w:bottom w:val="single" w:color="auto" w:sz="8" w:space="0"/>
              <w:right w:val="single" w:color="auto" w:sz="8" w:space="0"/>
            </w:tcBorders>
            <w:shd w:val="clear" w:color="auto" w:fill="auto"/>
            <w:vAlign w:val="center"/>
            <w:hideMark/>
          </w:tcPr>
          <w:p w:rsidRPr="0036140B" w:rsidR="00E75905" w:rsidP="00E75905" w:rsidRDefault="00E75905" w14:paraId="222079BE" w14:textId="77777777">
            <w:pPr>
              <w:spacing w:after="0" w:line="240" w:lineRule="auto"/>
              <w:jc w:val="center"/>
              <w:rPr>
                <w:rFonts w:ascii="Times New Roman" w:hAnsi="Times New Roman" w:eastAsia="Times New Roman" w:cs="Times New Roman"/>
                <w:color w:val="000000"/>
                <w:sz w:val="20"/>
                <w:szCs w:val="20"/>
              </w:rPr>
            </w:pPr>
            <w:r w:rsidRPr="0036140B">
              <w:rPr>
                <w:rFonts w:ascii="Times New Roman" w:hAnsi="Times New Roman" w:eastAsia="Times New Roman" w:cs="Times New Roman"/>
                <w:color w:val="000000"/>
                <w:sz w:val="20"/>
                <w:szCs w:val="20"/>
              </w:rPr>
              <w:t>12.26</w:t>
            </w:r>
          </w:p>
        </w:tc>
        <w:tc>
          <w:tcPr>
            <w:tcW w:w="1319" w:type="dxa"/>
            <w:tcBorders>
              <w:top w:val="nil"/>
              <w:left w:val="nil"/>
              <w:bottom w:val="single" w:color="auto" w:sz="8" w:space="0"/>
              <w:right w:val="single" w:color="auto" w:sz="8" w:space="0"/>
            </w:tcBorders>
            <w:shd w:val="clear" w:color="auto" w:fill="auto"/>
            <w:vAlign w:val="center"/>
            <w:hideMark/>
          </w:tcPr>
          <w:p w:rsidRPr="0036140B" w:rsidR="00E75905" w:rsidP="00E75905" w:rsidRDefault="00E75905" w14:paraId="52EB3BB9" w14:textId="77777777">
            <w:pPr>
              <w:spacing w:after="0" w:line="240" w:lineRule="auto"/>
              <w:jc w:val="center"/>
              <w:rPr>
                <w:rFonts w:ascii="Times New Roman" w:hAnsi="Times New Roman" w:eastAsia="Times New Roman" w:cs="Times New Roman"/>
                <w:color w:val="000000"/>
                <w:sz w:val="20"/>
                <w:szCs w:val="20"/>
              </w:rPr>
            </w:pPr>
            <w:r w:rsidRPr="0036140B">
              <w:rPr>
                <w:rFonts w:ascii="Times New Roman" w:hAnsi="Times New Roman" w:eastAsia="Times New Roman" w:cs="Times New Roman"/>
                <w:color w:val="000000"/>
                <w:sz w:val="20"/>
                <w:szCs w:val="20"/>
              </w:rPr>
              <w:t>438.66(e)(1) and (2), State Monitoring</w:t>
            </w:r>
          </w:p>
        </w:tc>
        <w:tc>
          <w:tcPr>
            <w:tcW w:w="1471" w:type="dxa"/>
            <w:tcBorders>
              <w:top w:val="nil"/>
              <w:left w:val="nil"/>
              <w:bottom w:val="single" w:color="auto" w:sz="8" w:space="0"/>
              <w:right w:val="single" w:color="auto" w:sz="8" w:space="0"/>
            </w:tcBorders>
            <w:shd w:val="clear" w:color="auto" w:fill="auto"/>
            <w:noWrap/>
            <w:vAlign w:val="center"/>
            <w:hideMark/>
          </w:tcPr>
          <w:p w:rsidRPr="0036140B" w:rsidR="00E75905" w:rsidP="00E75905" w:rsidRDefault="00E75905" w14:paraId="255F0FE9" w14:textId="77777777">
            <w:pPr>
              <w:spacing w:after="0" w:line="240" w:lineRule="auto"/>
              <w:jc w:val="center"/>
              <w:rPr>
                <w:rFonts w:ascii="Times New Roman" w:hAnsi="Times New Roman" w:eastAsia="Times New Roman" w:cs="Times New Roman"/>
                <w:color w:val="000000"/>
                <w:sz w:val="20"/>
                <w:szCs w:val="20"/>
              </w:rPr>
            </w:pPr>
            <w:r w:rsidRPr="0036140B">
              <w:rPr>
                <w:rFonts w:ascii="Times New Roman" w:hAnsi="Times New Roman" w:eastAsia="Times New Roman" w:cs="Times New Roman"/>
                <w:color w:val="000000"/>
                <w:sz w:val="20"/>
                <w:szCs w:val="20"/>
              </w:rPr>
              <w:t>41</w:t>
            </w:r>
          </w:p>
        </w:tc>
        <w:tc>
          <w:tcPr>
            <w:tcW w:w="1242" w:type="dxa"/>
            <w:tcBorders>
              <w:top w:val="nil"/>
              <w:left w:val="nil"/>
              <w:bottom w:val="single" w:color="auto" w:sz="8" w:space="0"/>
              <w:right w:val="single" w:color="auto" w:sz="8" w:space="0"/>
            </w:tcBorders>
            <w:shd w:val="clear" w:color="auto" w:fill="auto"/>
            <w:noWrap/>
            <w:vAlign w:val="center"/>
            <w:hideMark/>
          </w:tcPr>
          <w:p w:rsidRPr="0036140B" w:rsidR="00E75905" w:rsidP="00E75905" w:rsidRDefault="00E75905" w14:paraId="4AF2201B" w14:textId="77777777">
            <w:pPr>
              <w:spacing w:after="0" w:line="240" w:lineRule="auto"/>
              <w:jc w:val="center"/>
              <w:rPr>
                <w:rFonts w:ascii="Times New Roman" w:hAnsi="Times New Roman" w:eastAsia="Times New Roman" w:cs="Times New Roman"/>
                <w:color w:val="000000"/>
                <w:sz w:val="20"/>
                <w:szCs w:val="20"/>
              </w:rPr>
            </w:pPr>
            <w:r w:rsidRPr="0036140B">
              <w:rPr>
                <w:rFonts w:ascii="Times New Roman" w:hAnsi="Times New Roman" w:eastAsia="Times New Roman" w:cs="Times New Roman"/>
                <w:color w:val="000000"/>
                <w:sz w:val="20"/>
                <w:szCs w:val="20"/>
              </w:rPr>
              <w:t>41</w:t>
            </w:r>
          </w:p>
        </w:tc>
        <w:tc>
          <w:tcPr>
            <w:tcW w:w="1188" w:type="dxa"/>
            <w:tcBorders>
              <w:top w:val="nil"/>
              <w:left w:val="nil"/>
              <w:bottom w:val="single" w:color="auto" w:sz="8" w:space="0"/>
              <w:right w:val="single" w:color="auto" w:sz="8" w:space="0"/>
            </w:tcBorders>
            <w:shd w:val="clear" w:color="auto" w:fill="auto"/>
            <w:vAlign w:val="center"/>
            <w:hideMark/>
          </w:tcPr>
          <w:p w:rsidRPr="0036140B" w:rsidR="00E75905" w:rsidP="00E75905" w:rsidRDefault="00E75905" w14:paraId="45C68A11" w14:textId="77777777">
            <w:pPr>
              <w:spacing w:after="0" w:line="240" w:lineRule="auto"/>
              <w:jc w:val="center"/>
              <w:rPr>
                <w:rFonts w:ascii="Times New Roman" w:hAnsi="Times New Roman" w:eastAsia="Times New Roman" w:cs="Times New Roman"/>
                <w:color w:val="000000"/>
                <w:sz w:val="20"/>
                <w:szCs w:val="20"/>
              </w:rPr>
            </w:pPr>
            <w:r w:rsidRPr="0036140B">
              <w:rPr>
                <w:rFonts w:ascii="Times New Roman" w:hAnsi="Times New Roman" w:eastAsia="Times New Roman" w:cs="Times New Roman"/>
                <w:color w:val="000000"/>
                <w:sz w:val="20"/>
                <w:szCs w:val="20"/>
              </w:rPr>
              <w:t>6</w:t>
            </w:r>
          </w:p>
        </w:tc>
        <w:tc>
          <w:tcPr>
            <w:tcW w:w="1745" w:type="dxa"/>
            <w:tcBorders>
              <w:top w:val="nil"/>
              <w:left w:val="nil"/>
              <w:bottom w:val="single" w:color="auto" w:sz="8" w:space="0"/>
              <w:right w:val="single" w:color="auto" w:sz="8" w:space="0"/>
            </w:tcBorders>
            <w:shd w:val="clear" w:color="auto" w:fill="auto"/>
            <w:noWrap/>
            <w:vAlign w:val="center"/>
            <w:hideMark/>
          </w:tcPr>
          <w:p w:rsidRPr="0036140B" w:rsidR="00E75905" w:rsidP="00E75905" w:rsidRDefault="00E75905" w14:paraId="6CAB9B58" w14:textId="77777777">
            <w:pPr>
              <w:spacing w:after="0" w:line="240" w:lineRule="auto"/>
              <w:jc w:val="center"/>
              <w:rPr>
                <w:rFonts w:ascii="Times New Roman" w:hAnsi="Times New Roman" w:eastAsia="Times New Roman" w:cs="Times New Roman"/>
                <w:color w:val="000000"/>
                <w:sz w:val="20"/>
                <w:szCs w:val="20"/>
              </w:rPr>
            </w:pPr>
            <w:r w:rsidRPr="0036140B">
              <w:rPr>
                <w:rFonts w:ascii="Times New Roman" w:hAnsi="Times New Roman" w:eastAsia="Times New Roman" w:cs="Times New Roman"/>
                <w:color w:val="000000"/>
                <w:sz w:val="20"/>
                <w:szCs w:val="20"/>
              </w:rPr>
              <w:t>246</w:t>
            </w:r>
          </w:p>
        </w:tc>
        <w:tc>
          <w:tcPr>
            <w:tcW w:w="986" w:type="dxa"/>
            <w:tcBorders>
              <w:top w:val="nil"/>
              <w:left w:val="nil"/>
              <w:bottom w:val="single" w:color="auto" w:sz="8" w:space="0"/>
              <w:right w:val="single" w:color="auto" w:sz="8" w:space="0"/>
            </w:tcBorders>
            <w:shd w:val="clear" w:color="auto" w:fill="auto"/>
            <w:vAlign w:val="center"/>
            <w:hideMark/>
          </w:tcPr>
          <w:p w:rsidRPr="0036140B" w:rsidR="00E75905" w:rsidP="00E75905" w:rsidRDefault="00E75905" w14:paraId="0E7371C3" w14:textId="77777777">
            <w:pPr>
              <w:spacing w:after="0" w:line="240" w:lineRule="auto"/>
              <w:jc w:val="center"/>
              <w:rPr>
                <w:rFonts w:ascii="Times New Roman" w:hAnsi="Times New Roman" w:eastAsia="Times New Roman" w:cs="Times New Roman"/>
                <w:color w:val="000000"/>
                <w:sz w:val="20"/>
                <w:szCs w:val="20"/>
              </w:rPr>
            </w:pPr>
            <w:r w:rsidRPr="0036140B">
              <w:rPr>
                <w:rFonts w:ascii="Times New Roman" w:hAnsi="Times New Roman" w:eastAsia="Times New Roman" w:cs="Times New Roman"/>
                <w:color w:val="000000"/>
                <w:sz w:val="20"/>
                <w:szCs w:val="20"/>
              </w:rPr>
              <w:t>75.32</w:t>
            </w:r>
          </w:p>
        </w:tc>
        <w:tc>
          <w:tcPr>
            <w:tcW w:w="1805" w:type="dxa"/>
            <w:tcBorders>
              <w:top w:val="nil"/>
              <w:left w:val="nil"/>
              <w:bottom w:val="single" w:color="auto" w:sz="8" w:space="0"/>
              <w:right w:val="single" w:color="auto" w:sz="8" w:space="0"/>
            </w:tcBorders>
            <w:shd w:val="clear" w:color="auto" w:fill="auto"/>
            <w:noWrap/>
            <w:vAlign w:val="center"/>
            <w:hideMark/>
          </w:tcPr>
          <w:p w:rsidRPr="0036140B" w:rsidR="00E75905" w:rsidP="00E75905" w:rsidRDefault="00E75905" w14:paraId="7DE003CD" w14:textId="77777777">
            <w:pPr>
              <w:spacing w:after="0" w:line="240" w:lineRule="auto"/>
              <w:jc w:val="center"/>
              <w:rPr>
                <w:rFonts w:ascii="Times New Roman" w:hAnsi="Times New Roman" w:eastAsia="Times New Roman" w:cs="Times New Roman"/>
                <w:color w:val="000000"/>
                <w:sz w:val="20"/>
                <w:szCs w:val="20"/>
              </w:rPr>
            </w:pPr>
            <w:r w:rsidRPr="0036140B">
              <w:rPr>
                <w:rFonts w:ascii="Times New Roman" w:hAnsi="Times New Roman" w:eastAsia="Times New Roman" w:cs="Times New Roman"/>
                <w:color w:val="000000"/>
                <w:sz w:val="20"/>
                <w:szCs w:val="20"/>
              </w:rPr>
              <w:t>18,529</w:t>
            </w:r>
          </w:p>
        </w:tc>
        <w:tc>
          <w:tcPr>
            <w:tcW w:w="1134" w:type="dxa"/>
            <w:tcBorders>
              <w:top w:val="nil"/>
              <w:left w:val="nil"/>
              <w:bottom w:val="single" w:color="auto" w:sz="8" w:space="0"/>
              <w:right w:val="single" w:color="auto" w:sz="8" w:space="0"/>
            </w:tcBorders>
            <w:shd w:val="clear" w:color="auto" w:fill="auto"/>
            <w:vAlign w:val="center"/>
            <w:hideMark/>
          </w:tcPr>
          <w:p w:rsidRPr="0036140B" w:rsidR="00E75905" w:rsidP="00E75905" w:rsidRDefault="00E75905" w14:paraId="15FED7FF" w14:textId="77777777">
            <w:pPr>
              <w:spacing w:after="0" w:line="240" w:lineRule="auto"/>
              <w:jc w:val="center"/>
              <w:rPr>
                <w:rFonts w:ascii="Times New Roman" w:hAnsi="Times New Roman" w:eastAsia="Times New Roman" w:cs="Times New Roman"/>
                <w:color w:val="000000"/>
                <w:sz w:val="20"/>
                <w:szCs w:val="20"/>
              </w:rPr>
            </w:pPr>
            <w:r w:rsidRPr="0036140B">
              <w:rPr>
                <w:rFonts w:ascii="Times New Roman" w:hAnsi="Times New Roman" w:eastAsia="Times New Roman" w:cs="Times New Roman"/>
                <w:color w:val="000000"/>
                <w:sz w:val="20"/>
                <w:szCs w:val="20"/>
              </w:rPr>
              <w:t>RK</w:t>
            </w:r>
          </w:p>
        </w:tc>
        <w:tc>
          <w:tcPr>
            <w:tcW w:w="1170" w:type="dxa"/>
            <w:tcBorders>
              <w:top w:val="nil"/>
              <w:left w:val="nil"/>
              <w:bottom w:val="single" w:color="auto" w:sz="8" w:space="0"/>
              <w:right w:val="single" w:color="auto" w:sz="8" w:space="0"/>
            </w:tcBorders>
            <w:shd w:val="clear" w:color="auto" w:fill="auto"/>
            <w:vAlign w:val="center"/>
            <w:hideMark/>
          </w:tcPr>
          <w:p w:rsidRPr="0036140B" w:rsidR="00E75905" w:rsidP="00E75905" w:rsidRDefault="00E75905" w14:paraId="6CB10350" w14:textId="77777777">
            <w:pPr>
              <w:spacing w:after="0" w:line="240" w:lineRule="auto"/>
              <w:jc w:val="center"/>
              <w:rPr>
                <w:rFonts w:ascii="Times New Roman" w:hAnsi="Times New Roman" w:eastAsia="Times New Roman" w:cs="Times New Roman"/>
                <w:color w:val="000000"/>
                <w:sz w:val="20"/>
                <w:szCs w:val="20"/>
              </w:rPr>
            </w:pPr>
            <w:r w:rsidRPr="0036140B">
              <w:rPr>
                <w:rFonts w:ascii="Times New Roman" w:hAnsi="Times New Roman" w:eastAsia="Times New Roman" w:cs="Times New Roman"/>
                <w:color w:val="000000"/>
                <w:sz w:val="20"/>
                <w:szCs w:val="20"/>
              </w:rPr>
              <w:t>Annual</w:t>
            </w:r>
          </w:p>
        </w:tc>
      </w:tr>
      <w:tr w:rsidRPr="00E75905" w:rsidR="00E75905" w:rsidTr="00E75905" w14:paraId="773BE0E0" w14:textId="77777777">
        <w:trPr>
          <w:trHeight w:val="528"/>
        </w:trPr>
        <w:tc>
          <w:tcPr>
            <w:tcW w:w="2389" w:type="dxa"/>
            <w:gridSpan w:val="2"/>
            <w:tcBorders>
              <w:top w:val="single" w:color="auto" w:sz="8" w:space="0"/>
              <w:left w:val="single" w:color="auto" w:sz="8" w:space="0"/>
              <w:bottom w:val="single" w:color="auto" w:sz="8" w:space="0"/>
              <w:right w:val="single" w:color="000000" w:sz="8" w:space="0"/>
            </w:tcBorders>
            <w:shd w:val="clear" w:color="000000" w:fill="BFBFBF"/>
            <w:vAlign w:val="center"/>
            <w:hideMark/>
          </w:tcPr>
          <w:p w:rsidRPr="0036140B" w:rsidR="00E75905" w:rsidP="00E75905" w:rsidRDefault="00E75905" w14:paraId="68A10C6A" w14:textId="77777777">
            <w:pPr>
              <w:spacing w:after="0" w:line="240" w:lineRule="auto"/>
              <w:rPr>
                <w:rFonts w:ascii="Times New Roman" w:hAnsi="Times New Roman" w:eastAsia="Times New Roman" w:cs="Times New Roman"/>
                <w:i/>
                <w:iCs/>
                <w:color w:val="000000"/>
                <w:sz w:val="20"/>
                <w:szCs w:val="20"/>
              </w:rPr>
            </w:pPr>
            <w:r w:rsidRPr="0036140B">
              <w:rPr>
                <w:rFonts w:ascii="Times New Roman" w:hAnsi="Times New Roman" w:eastAsia="Times New Roman" w:cs="Times New Roman"/>
                <w:i/>
                <w:iCs/>
                <w:color w:val="000000"/>
                <w:sz w:val="20"/>
                <w:szCs w:val="20"/>
              </w:rPr>
              <w:t>Subtotal: Recordkeeping</w:t>
            </w:r>
          </w:p>
        </w:tc>
        <w:tc>
          <w:tcPr>
            <w:tcW w:w="1471" w:type="dxa"/>
            <w:tcBorders>
              <w:top w:val="nil"/>
              <w:left w:val="nil"/>
              <w:bottom w:val="single" w:color="auto" w:sz="8" w:space="0"/>
              <w:right w:val="single" w:color="auto" w:sz="8" w:space="0"/>
            </w:tcBorders>
            <w:shd w:val="clear" w:color="000000" w:fill="BFBFBF"/>
            <w:noWrap/>
            <w:vAlign w:val="center"/>
            <w:hideMark/>
          </w:tcPr>
          <w:p w:rsidRPr="0036140B" w:rsidR="00E75905" w:rsidP="00E75905" w:rsidRDefault="00E75905" w14:paraId="0566380C" w14:textId="77777777">
            <w:pPr>
              <w:spacing w:after="0" w:line="240" w:lineRule="auto"/>
              <w:jc w:val="center"/>
              <w:rPr>
                <w:rFonts w:ascii="Times New Roman" w:hAnsi="Times New Roman" w:eastAsia="Times New Roman" w:cs="Times New Roman"/>
                <w:i/>
                <w:iCs/>
                <w:color w:val="000000"/>
                <w:sz w:val="20"/>
                <w:szCs w:val="20"/>
              </w:rPr>
            </w:pPr>
            <w:r w:rsidRPr="0036140B">
              <w:rPr>
                <w:rFonts w:ascii="Times New Roman" w:hAnsi="Times New Roman" w:eastAsia="Times New Roman" w:cs="Times New Roman"/>
                <w:i/>
                <w:iCs/>
                <w:color w:val="000000"/>
                <w:sz w:val="20"/>
                <w:szCs w:val="20"/>
              </w:rPr>
              <w:t>41</w:t>
            </w:r>
          </w:p>
        </w:tc>
        <w:tc>
          <w:tcPr>
            <w:tcW w:w="1242" w:type="dxa"/>
            <w:tcBorders>
              <w:top w:val="nil"/>
              <w:left w:val="nil"/>
              <w:bottom w:val="single" w:color="auto" w:sz="8" w:space="0"/>
              <w:right w:val="single" w:color="auto" w:sz="8" w:space="0"/>
            </w:tcBorders>
            <w:shd w:val="clear" w:color="000000" w:fill="BFBFBF"/>
            <w:noWrap/>
            <w:vAlign w:val="center"/>
            <w:hideMark/>
          </w:tcPr>
          <w:p w:rsidRPr="0036140B" w:rsidR="00E75905" w:rsidP="00E75905" w:rsidRDefault="00E75905" w14:paraId="3D80C94D" w14:textId="77777777">
            <w:pPr>
              <w:spacing w:after="0" w:line="240" w:lineRule="auto"/>
              <w:jc w:val="center"/>
              <w:rPr>
                <w:rFonts w:ascii="Times New Roman" w:hAnsi="Times New Roman" w:eastAsia="Times New Roman" w:cs="Times New Roman"/>
                <w:i/>
                <w:iCs/>
                <w:color w:val="000000"/>
                <w:sz w:val="20"/>
                <w:szCs w:val="20"/>
              </w:rPr>
            </w:pPr>
            <w:r w:rsidRPr="0036140B">
              <w:rPr>
                <w:rFonts w:ascii="Times New Roman" w:hAnsi="Times New Roman" w:eastAsia="Times New Roman" w:cs="Times New Roman"/>
                <w:i/>
                <w:iCs/>
                <w:color w:val="000000"/>
                <w:sz w:val="20"/>
                <w:szCs w:val="20"/>
              </w:rPr>
              <w:t>61</w:t>
            </w:r>
          </w:p>
        </w:tc>
        <w:tc>
          <w:tcPr>
            <w:tcW w:w="1188" w:type="dxa"/>
            <w:tcBorders>
              <w:top w:val="nil"/>
              <w:left w:val="nil"/>
              <w:bottom w:val="single" w:color="auto" w:sz="8" w:space="0"/>
              <w:right w:val="single" w:color="auto" w:sz="8" w:space="0"/>
            </w:tcBorders>
            <w:shd w:val="clear" w:color="000000" w:fill="BFBFBF"/>
            <w:vAlign w:val="center"/>
            <w:hideMark/>
          </w:tcPr>
          <w:p w:rsidRPr="0036140B" w:rsidR="00E75905" w:rsidP="00E75905" w:rsidRDefault="00E75905" w14:paraId="10B75782" w14:textId="77777777">
            <w:pPr>
              <w:spacing w:after="0" w:line="240" w:lineRule="auto"/>
              <w:jc w:val="center"/>
              <w:rPr>
                <w:rFonts w:ascii="Times New Roman" w:hAnsi="Times New Roman" w:eastAsia="Times New Roman" w:cs="Times New Roman"/>
                <w:i/>
                <w:iCs/>
                <w:color w:val="000000"/>
                <w:sz w:val="20"/>
                <w:szCs w:val="20"/>
              </w:rPr>
            </w:pPr>
            <w:r w:rsidRPr="0036140B">
              <w:rPr>
                <w:rFonts w:ascii="Times New Roman" w:hAnsi="Times New Roman" w:eastAsia="Times New Roman" w:cs="Times New Roman"/>
                <w:i/>
                <w:iCs/>
                <w:color w:val="000000"/>
                <w:sz w:val="20"/>
                <w:szCs w:val="20"/>
              </w:rPr>
              <w:t>Varies</w:t>
            </w:r>
          </w:p>
        </w:tc>
        <w:tc>
          <w:tcPr>
            <w:tcW w:w="1745" w:type="dxa"/>
            <w:tcBorders>
              <w:top w:val="nil"/>
              <w:left w:val="nil"/>
              <w:bottom w:val="single" w:color="auto" w:sz="8" w:space="0"/>
              <w:right w:val="single" w:color="auto" w:sz="8" w:space="0"/>
            </w:tcBorders>
            <w:shd w:val="clear" w:color="000000" w:fill="BFBFBF"/>
            <w:noWrap/>
            <w:vAlign w:val="center"/>
            <w:hideMark/>
          </w:tcPr>
          <w:p w:rsidRPr="0036140B" w:rsidR="00E75905" w:rsidP="00E75905" w:rsidRDefault="00E75905" w14:paraId="64A4C31B" w14:textId="77777777">
            <w:pPr>
              <w:spacing w:after="0" w:line="240" w:lineRule="auto"/>
              <w:jc w:val="center"/>
              <w:rPr>
                <w:rFonts w:ascii="Times New Roman" w:hAnsi="Times New Roman" w:eastAsia="Times New Roman" w:cs="Times New Roman"/>
                <w:i/>
                <w:iCs/>
                <w:color w:val="000000"/>
                <w:sz w:val="20"/>
                <w:szCs w:val="20"/>
              </w:rPr>
            </w:pPr>
            <w:r w:rsidRPr="0036140B">
              <w:rPr>
                <w:rFonts w:ascii="Times New Roman" w:hAnsi="Times New Roman" w:eastAsia="Times New Roman" w:cs="Times New Roman"/>
                <w:i/>
                <w:iCs/>
                <w:color w:val="000000"/>
                <w:sz w:val="20"/>
                <w:szCs w:val="20"/>
              </w:rPr>
              <w:t>1,046</w:t>
            </w:r>
          </w:p>
        </w:tc>
        <w:tc>
          <w:tcPr>
            <w:tcW w:w="986" w:type="dxa"/>
            <w:tcBorders>
              <w:top w:val="nil"/>
              <w:left w:val="nil"/>
              <w:bottom w:val="single" w:color="auto" w:sz="8" w:space="0"/>
              <w:right w:val="single" w:color="auto" w:sz="8" w:space="0"/>
            </w:tcBorders>
            <w:shd w:val="clear" w:color="000000" w:fill="BFBFBF"/>
            <w:vAlign w:val="center"/>
            <w:hideMark/>
          </w:tcPr>
          <w:p w:rsidRPr="0036140B" w:rsidR="00E75905" w:rsidP="00E75905" w:rsidRDefault="00E75905" w14:paraId="1FDDDB72" w14:textId="77777777">
            <w:pPr>
              <w:spacing w:after="0" w:line="240" w:lineRule="auto"/>
              <w:jc w:val="center"/>
              <w:rPr>
                <w:rFonts w:ascii="Times New Roman" w:hAnsi="Times New Roman" w:eastAsia="Times New Roman" w:cs="Times New Roman"/>
                <w:i/>
                <w:iCs/>
                <w:color w:val="000000"/>
                <w:sz w:val="20"/>
                <w:szCs w:val="20"/>
              </w:rPr>
            </w:pPr>
            <w:r w:rsidRPr="0036140B">
              <w:rPr>
                <w:rFonts w:ascii="Times New Roman" w:hAnsi="Times New Roman" w:eastAsia="Times New Roman" w:cs="Times New Roman"/>
                <w:i/>
                <w:iCs/>
                <w:color w:val="000000"/>
                <w:sz w:val="20"/>
                <w:szCs w:val="20"/>
              </w:rPr>
              <w:t>Varies</w:t>
            </w:r>
          </w:p>
        </w:tc>
        <w:tc>
          <w:tcPr>
            <w:tcW w:w="1805" w:type="dxa"/>
            <w:tcBorders>
              <w:top w:val="nil"/>
              <w:left w:val="nil"/>
              <w:bottom w:val="single" w:color="auto" w:sz="8" w:space="0"/>
              <w:right w:val="single" w:color="auto" w:sz="8" w:space="0"/>
            </w:tcBorders>
            <w:shd w:val="clear" w:color="000000" w:fill="BFBFBF"/>
            <w:noWrap/>
            <w:vAlign w:val="center"/>
            <w:hideMark/>
          </w:tcPr>
          <w:p w:rsidRPr="0036140B" w:rsidR="00E75905" w:rsidP="00E75905" w:rsidRDefault="00E75905" w14:paraId="1D3868D3" w14:textId="77777777">
            <w:pPr>
              <w:spacing w:after="0" w:line="240" w:lineRule="auto"/>
              <w:jc w:val="center"/>
              <w:rPr>
                <w:rFonts w:ascii="Times New Roman" w:hAnsi="Times New Roman" w:eastAsia="Times New Roman" w:cs="Times New Roman"/>
                <w:i/>
                <w:iCs/>
                <w:color w:val="000000"/>
                <w:sz w:val="20"/>
                <w:szCs w:val="20"/>
              </w:rPr>
            </w:pPr>
            <w:r w:rsidRPr="0036140B">
              <w:rPr>
                <w:rFonts w:ascii="Times New Roman" w:hAnsi="Times New Roman" w:eastAsia="Times New Roman" w:cs="Times New Roman"/>
                <w:i/>
                <w:iCs/>
                <w:color w:val="000000"/>
                <w:sz w:val="20"/>
                <w:szCs w:val="20"/>
              </w:rPr>
              <w:t>86,409</w:t>
            </w:r>
          </w:p>
        </w:tc>
        <w:tc>
          <w:tcPr>
            <w:tcW w:w="1134" w:type="dxa"/>
            <w:tcBorders>
              <w:top w:val="nil"/>
              <w:left w:val="nil"/>
              <w:bottom w:val="single" w:color="auto" w:sz="8" w:space="0"/>
              <w:right w:val="single" w:color="auto" w:sz="8" w:space="0"/>
            </w:tcBorders>
            <w:shd w:val="clear" w:color="000000" w:fill="BFBFBF"/>
            <w:vAlign w:val="center"/>
            <w:hideMark/>
          </w:tcPr>
          <w:p w:rsidRPr="0036140B" w:rsidR="00E75905" w:rsidP="00E75905" w:rsidRDefault="00E75905" w14:paraId="181A3A46" w14:textId="77777777">
            <w:pPr>
              <w:spacing w:after="0" w:line="240" w:lineRule="auto"/>
              <w:jc w:val="center"/>
              <w:rPr>
                <w:rFonts w:ascii="Times New Roman" w:hAnsi="Times New Roman" w:eastAsia="Times New Roman" w:cs="Times New Roman"/>
                <w:i/>
                <w:iCs/>
                <w:color w:val="000000"/>
                <w:sz w:val="20"/>
                <w:szCs w:val="20"/>
              </w:rPr>
            </w:pPr>
            <w:r w:rsidRPr="0036140B">
              <w:rPr>
                <w:rFonts w:ascii="Times New Roman" w:hAnsi="Times New Roman" w:eastAsia="Times New Roman" w:cs="Times New Roman"/>
                <w:i/>
                <w:iCs/>
                <w:color w:val="000000"/>
                <w:sz w:val="20"/>
                <w:szCs w:val="20"/>
              </w:rPr>
              <w:t>RK</w:t>
            </w:r>
          </w:p>
        </w:tc>
        <w:tc>
          <w:tcPr>
            <w:tcW w:w="1170" w:type="dxa"/>
            <w:tcBorders>
              <w:top w:val="nil"/>
              <w:left w:val="nil"/>
              <w:bottom w:val="single" w:color="auto" w:sz="8" w:space="0"/>
              <w:right w:val="single" w:color="auto" w:sz="8" w:space="0"/>
            </w:tcBorders>
            <w:shd w:val="clear" w:color="000000" w:fill="BFBFBF"/>
            <w:vAlign w:val="center"/>
            <w:hideMark/>
          </w:tcPr>
          <w:p w:rsidRPr="0036140B" w:rsidR="00E75905" w:rsidP="00E75905" w:rsidRDefault="00E75905" w14:paraId="413A5E2E" w14:textId="77777777">
            <w:pPr>
              <w:spacing w:after="0" w:line="240" w:lineRule="auto"/>
              <w:jc w:val="center"/>
              <w:rPr>
                <w:rFonts w:ascii="Times New Roman" w:hAnsi="Times New Roman" w:eastAsia="Times New Roman" w:cs="Times New Roman"/>
                <w:i/>
                <w:iCs/>
                <w:color w:val="000000"/>
                <w:sz w:val="20"/>
                <w:szCs w:val="20"/>
              </w:rPr>
            </w:pPr>
            <w:r w:rsidRPr="0036140B">
              <w:rPr>
                <w:rFonts w:ascii="Times New Roman" w:hAnsi="Times New Roman" w:eastAsia="Times New Roman" w:cs="Times New Roman"/>
                <w:i/>
                <w:iCs/>
                <w:color w:val="000000"/>
                <w:sz w:val="20"/>
                <w:szCs w:val="20"/>
              </w:rPr>
              <w:t>Annual</w:t>
            </w:r>
          </w:p>
        </w:tc>
      </w:tr>
    </w:tbl>
    <w:p w:rsidRPr="00E75905" w:rsidR="00E75905" w:rsidP="00E75905" w:rsidRDefault="00E75905" w14:paraId="29B900F5" w14:textId="77777777">
      <w:pPr>
        <w:pStyle w:val="TableCaption"/>
        <w:spacing w:after="0"/>
        <w:jc w:val="left"/>
        <w:rPr>
          <w:b w:val="0"/>
        </w:rPr>
      </w:pPr>
    </w:p>
    <w:tbl>
      <w:tblPr>
        <w:tblpPr w:leftFromText="180" w:rightFromText="180" w:vertAnchor="text" w:horzAnchor="margin" w:tblpY="370"/>
        <w:tblW w:w="13220" w:type="dxa"/>
        <w:tblLayout w:type="fixed"/>
        <w:tblLook w:val="04A0" w:firstRow="1" w:lastRow="0" w:firstColumn="1" w:lastColumn="0" w:noHBand="0" w:noVBand="1"/>
      </w:tblPr>
      <w:tblGrid>
        <w:gridCol w:w="2080"/>
        <w:gridCol w:w="1530"/>
        <w:gridCol w:w="1710"/>
        <w:gridCol w:w="1530"/>
        <w:gridCol w:w="1350"/>
        <w:gridCol w:w="1620"/>
        <w:gridCol w:w="3400"/>
      </w:tblGrid>
      <w:tr w:rsidRPr="00C84427" w:rsidR="00D553E9" w:rsidTr="00D553E9" w14:paraId="485B1AAA" w14:textId="77777777">
        <w:trPr>
          <w:trHeight w:val="450"/>
        </w:trPr>
        <w:tc>
          <w:tcPr>
            <w:tcW w:w="2080" w:type="dxa"/>
            <w:vMerge w:val="restart"/>
            <w:tcBorders>
              <w:top w:val="single" w:color="auto" w:sz="8" w:space="0"/>
              <w:left w:val="single" w:color="auto" w:sz="8" w:space="0"/>
              <w:bottom w:val="single" w:color="000000" w:sz="8" w:space="0"/>
              <w:right w:val="single" w:color="auto" w:sz="8" w:space="0"/>
            </w:tcBorders>
            <w:shd w:val="clear" w:color="auto" w:fill="auto"/>
            <w:vAlign w:val="center"/>
            <w:hideMark/>
          </w:tcPr>
          <w:p w:rsidRPr="00C84427" w:rsidR="00D553E9" w:rsidP="00D553E9" w:rsidRDefault="00D553E9" w14:paraId="4E6C89D4" w14:textId="77777777">
            <w:pPr>
              <w:spacing w:after="0" w:line="240" w:lineRule="auto"/>
              <w:jc w:val="center"/>
              <w:rPr>
                <w:rFonts w:ascii="Times New Roman" w:hAnsi="Times New Roman" w:eastAsia="Times New Roman" w:cs="Times New Roman"/>
                <w:bCs/>
                <w:color w:val="000000"/>
                <w:sz w:val="20"/>
                <w:szCs w:val="20"/>
              </w:rPr>
            </w:pPr>
            <w:r w:rsidRPr="00C84427">
              <w:rPr>
                <w:rFonts w:ascii="Times New Roman" w:hAnsi="Times New Roman" w:eastAsia="Times New Roman" w:cs="Times New Roman"/>
                <w:bCs/>
                <w:color w:val="000000"/>
                <w:sz w:val="20"/>
                <w:szCs w:val="20"/>
              </w:rPr>
              <w:t>Total State Burden (by Type)</w:t>
            </w:r>
          </w:p>
        </w:tc>
        <w:tc>
          <w:tcPr>
            <w:tcW w:w="1530" w:type="dxa"/>
            <w:vMerge w:val="restart"/>
            <w:tcBorders>
              <w:top w:val="single" w:color="auto" w:sz="8" w:space="0"/>
              <w:left w:val="single" w:color="auto" w:sz="8" w:space="0"/>
              <w:bottom w:val="single" w:color="000000" w:sz="8" w:space="0"/>
              <w:right w:val="single" w:color="auto" w:sz="8" w:space="0"/>
            </w:tcBorders>
            <w:shd w:val="clear" w:color="auto" w:fill="auto"/>
            <w:vAlign w:val="center"/>
            <w:hideMark/>
          </w:tcPr>
          <w:p w:rsidRPr="00C84427" w:rsidR="00D553E9" w:rsidP="00D553E9" w:rsidRDefault="00D553E9" w14:paraId="34F064E8" w14:textId="77777777">
            <w:pPr>
              <w:spacing w:after="0" w:line="240" w:lineRule="auto"/>
              <w:jc w:val="center"/>
              <w:rPr>
                <w:rFonts w:ascii="Times New Roman" w:hAnsi="Times New Roman" w:eastAsia="Times New Roman" w:cs="Times New Roman"/>
                <w:bCs/>
                <w:color w:val="000000"/>
                <w:sz w:val="20"/>
                <w:szCs w:val="20"/>
              </w:rPr>
            </w:pPr>
            <w:r w:rsidRPr="00C84427">
              <w:rPr>
                <w:rFonts w:ascii="Times New Roman" w:hAnsi="Times New Roman" w:eastAsia="Times New Roman" w:cs="Times New Roman"/>
                <w:bCs/>
                <w:color w:val="000000"/>
                <w:sz w:val="20"/>
                <w:szCs w:val="20"/>
              </w:rPr>
              <w:t>Respondents</w:t>
            </w:r>
          </w:p>
        </w:tc>
        <w:tc>
          <w:tcPr>
            <w:tcW w:w="1710" w:type="dxa"/>
            <w:vMerge w:val="restart"/>
            <w:tcBorders>
              <w:top w:val="single" w:color="auto" w:sz="8" w:space="0"/>
              <w:left w:val="single" w:color="auto" w:sz="8" w:space="0"/>
              <w:bottom w:val="single" w:color="000000" w:sz="8" w:space="0"/>
              <w:right w:val="single" w:color="auto" w:sz="8" w:space="0"/>
            </w:tcBorders>
            <w:shd w:val="clear" w:color="auto" w:fill="auto"/>
            <w:vAlign w:val="center"/>
            <w:hideMark/>
          </w:tcPr>
          <w:p w:rsidRPr="00C84427" w:rsidR="00D553E9" w:rsidP="00D553E9" w:rsidRDefault="00D553E9" w14:paraId="055BD86C" w14:textId="77777777">
            <w:pPr>
              <w:spacing w:after="0" w:line="240" w:lineRule="auto"/>
              <w:jc w:val="center"/>
              <w:rPr>
                <w:rFonts w:ascii="Times New Roman" w:hAnsi="Times New Roman" w:eastAsia="Times New Roman" w:cs="Times New Roman"/>
                <w:bCs/>
                <w:color w:val="000000"/>
                <w:sz w:val="20"/>
                <w:szCs w:val="20"/>
              </w:rPr>
            </w:pPr>
            <w:r w:rsidRPr="00C84427">
              <w:rPr>
                <w:rFonts w:ascii="Times New Roman" w:hAnsi="Times New Roman" w:eastAsia="Times New Roman" w:cs="Times New Roman"/>
                <w:bCs/>
                <w:color w:val="000000"/>
                <w:sz w:val="20"/>
                <w:szCs w:val="20"/>
              </w:rPr>
              <w:t>Total Responses</w:t>
            </w:r>
          </w:p>
        </w:tc>
        <w:tc>
          <w:tcPr>
            <w:tcW w:w="1530" w:type="dxa"/>
            <w:vMerge w:val="restart"/>
            <w:tcBorders>
              <w:top w:val="single" w:color="auto" w:sz="8" w:space="0"/>
              <w:left w:val="single" w:color="auto" w:sz="8" w:space="0"/>
              <w:bottom w:val="single" w:color="000000" w:sz="8" w:space="0"/>
              <w:right w:val="single" w:color="auto" w:sz="8" w:space="0"/>
            </w:tcBorders>
            <w:shd w:val="clear" w:color="auto" w:fill="auto"/>
            <w:vAlign w:val="center"/>
            <w:hideMark/>
          </w:tcPr>
          <w:p w:rsidRPr="00C84427" w:rsidR="00D553E9" w:rsidP="00D553E9" w:rsidRDefault="00D553E9" w14:paraId="2F8A6D4B" w14:textId="77777777">
            <w:pPr>
              <w:spacing w:after="0" w:line="240" w:lineRule="auto"/>
              <w:jc w:val="center"/>
              <w:rPr>
                <w:rFonts w:ascii="Times New Roman" w:hAnsi="Times New Roman" w:eastAsia="Times New Roman" w:cs="Times New Roman"/>
                <w:bCs/>
                <w:color w:val="000000"/>
                <w:sz w:val="20"/>
                <w:szCs w:val="20"/>
              </w:rPr>
            </w:pPr>
            <w:r w:rsidRPr="00C84427">
              <w:rPr>
                <w:rFonts w:ascii="Times New Roman" w:hAnsi="Times New Roman" w:eastAsia="Times New Roman" w:cs="Times New Roman"/>
                <w:bCs/>
                <w:color w:val="000000"/>
                <w:sz w:val="20"/>
                <w:szCs w:val="20"/>
              </w:rPr>
              <w:t>Burden per Response (</w:t>
            </w:r>
            <w:proofErr w:type="spellStart"/>
            <w:r w:rsidRPr="00C84427">
              <w:rPr>
                <w:rFonts w:ascii="Times New Roman" w:hAnsi="Times New Roman" w:eastAsia="Times New Roman" w:cs="Times New Roman"/>
                <w:bCs/>
                <w:color w:val="000000"/>
                <w:sz w:val="20"/>
                <w:szCs w:val="20"/>
              </w:rPr>
              <w:t>hr</w:t>
            </w:r>
            <w:proofErr w:type="spellEnd"/>
            <w:r w:rsidRPr="00C84427">
              <w:rPr>
                <w:rFonts w:ascii="Times New Roman" w:hAnsi="Times New Roman" w:eastAsia="Times New Roman" w:cs="Times New Roman"/>
                <w:bCs/>
                <w:color w:val="000000"/>
                <w:sz w:val="20"/>
                <w:szCs w:val="20"/>
              </w:rPr>
              <w:t>)</w:t>
            </w:r>
          </w:p>
        </w:tc>
        <w:tc>
          <w:tcPr>
            <w:tcW w:w="1350" w:type="dxa"/>
            <w:vMerge w:val="restart"/>
            <w:tcBorders>
              <w:top w:val="single" w:color="auto" w:sz="8" w:space="0"/>
              <w:left w:val="single" w:color="auto" w:sz="8" w:space="0"/>
              <w:bottom w:val="single" w:color="000000" w:sz="8" w:space="0"/>
              <w:right w:val="single" w:color="auto" w:sz="8" w:space="0"/>
            </w:tcBorders>
            <w:shd w:val="clear" w:color="auto" w:fill="auto"/>
            <w:vAlign w:val="center"/>
            <w:hideMark/>
          </w:tcPr>
          <w:p w:rsidRPr="00C84427" w:rsidR="00D553E9" w:rsidP="00D553E9" w:rsidRDefault="00D553E9" w14:paraId="6C8FA9B7" w14:textId="77777777">
            <w:pPr>
              <w:spacing w:after="0" w:line="240" w:lineRule="auto"/>
              <w:jc w:val="center"/>
              <w:rPr>
                <w:rFonts w:ascii="Times New Roman" w:hAnsi="Times New Roman" w:eastAsia="Times New Roman" w:cs="Times New Roman"/>
                <w:bCs/>
                <w:color w:val="000000"/>
                <w:sz w:val="20"/>
                <w:szCs w:val="20"/>
              </w:rPr>
            </w:pPr>
            <w:r w:rsidRPr="00C84427">
              <w:rPr>
                <w:rFonts w:ascii="Times New Roman" w:hAnsi="Times New Roman" w:eastAsia="Times New Roman" w:cs="Times New Roman"/>
                <w:bCs/>
                <w:color w:val="000000"/>
                <w:sz w:val="20"/>
                <w:szCs w:val="20"/>
              </w:rPr>
              <w:t>Total Annual Time (</w:t>
            </w:r>
            <w:proofErr w:type="spellStart"/>
            <w:r w:rsidRPr="00C84427">
              <w:rPr>
                <w:rFonts w:ascii="Times New Roman" w:hAnsi="Times New Roman" w:eastAsia="Times New Roman" w:cs="Times New Roman"/>
                <w:bCs/>
                <w:color w:val="000000"/>
                <w:sz w:val="20"/>
                <w:szCs w:val="20"/>
              </w:rPr>
              <w:t>hr</w:t>
            </w:r>
            <w:proofErr w:type="spellEnd"/>
            <w:r w:rsidRPr="00C84427">
              <w:rPr>
                <w:rFonts w:ascii="Times New Roman" w:hAnsi="Times New Roman" w:eastAsia="Times New Roman" w:cs="Times New Roman"/>
                <w:bCs/>
                <w:color w:val="000000"/>
                <w:sz w:val="20"/>
                <w:szCs w:val="20"/>
              </w:rPr>
              <w:t>)</w:t>
            </w:r>
          </w:p>
        </w:tc>
        <w:tc>
          <w:tcPr>
            <w:tcW w:w="1620" w:type="dxa"/>
            <w:vMerge w:val="restart"/>
            <w:tcBorders>
              <w:top w:val="single" w:color="auto" w:sz="8" w:space="0"/>
              <w:left w:val="single" w:color="auto" w:sz="8" w:space="0"/>
              <w:bottom w:val="single" w:color="000000" w:sz="8" w:space="0"/>
              <w:right w:val="single" w:color="auto" w:sz="8" w:space="0"/>
            </w:tcBorders>
            <w:shd w:val="clear" w:color="auto" w:fill="auto"/>
            <w:vAlign w:val="center"/>
            <w:hideMark/>
          </w:tcPr>
          <w:p w:rsidRPr="00C84427" w:rsidR="00D553E9" w:rsidP="00D553E9" w:rsidRDefault="00D553E9" w14:paraId="5E6EB8A8" w14:textId="77777777">
            <w:pPr>
              <w:spacing w:after="0" w:line="240" w:lineRule="auto"/>
              <w:jc w:val="center"/>
              <w:rPr>
                <w:rFonts w:ascii="Times New Roman" w:hAnsi="Times New Roman" w:eastAsia="Times New Roman" w:cs="Times New Roman"/>
                <w:bCs/>
                <w:color w:val="000000"/>
                <w:sz w:val="20"/>
                <w:szCs w:val="20"/>
              </w:rPr>
            </w:pPr>
            <w:r w:rsidRPr="00C84427">
              <w:rPr>
                <w:rFonts w:ascii="Times New Roman" w:hAnsi="Times New Roman" w:eastAsia="Times New Roman" w:cs="Times New Roman"/>
                <w:bCs/>
                <w:color w:val="000000"/>
                <w:sz w:val="20"/>
                <w:szCs w:val="20"/>
              </w:rPr>
              <w:t>Labor Rate ($/</w:t>
            </w:r>
            <w:proofErr w:type="spellStart"/>
            <w:r w:rsidRPr="00C84427">
              <w:rPr>
                <w:rFonts w:ascii="Times New Roman" w:hAnsi="Times New Roman" w:eastAsia="Times New Roman" w:cs="Times New Roman"/>
                <w:bCs/>
                <w:color w:val="000000"/>
                <w:sz w:val="20"/>
                <w:szCs w:val="20"/>
              </w:rPr>
              <w:t>hr</w:t>
            </w:r>
            <w:proofErr w:type="spellEnd"/>
            <w:r w:rsidRPr="00C84427">
              <w:rPr>
                <w:rFonts w:ascii="Times New Roman" w:hAnsi="Times New Roman" w:eastAsia="Times New Roman" w:cs="Times New Roman"/>
                <w:bCs/>
                <w:color w:val="000000"/>
                <w:sz w:val="20"/>
                <w:szCs w:val="20"/>
              </w:rPr>
              <w:t>)</w:t>
            </w:r>
          </w:p>
        </w:tc>
        <w:tc>
          <w:tcPr>
            <w:tcW w:w="3400" w:type="dxa"/>
            <w:vMerge w:val="restart"/>
            <w:tcBorders>
              <w:top w:val="single" w:color="auto" w:sz="8" w:space="0"/>
              <w:left w:val="single" w:color="auto" w:sz="8" w:space="0"/>
              <w:bottom w:val="single" w:color="000000" w:sz="8" w:space="0"/>
              <w:right w:val="single" w:color="auto" w:sz="8" w:space="0"/>
            </w:tcBorders>
            <w:shd w:val="clear" w:color="auto" w:fill="auto"/>
            <w:vAlign w:val="center"/>
            <w:hideMark/>
          </w:tcPr>
          <w:p w:rsidRPr="00C84427" w:rsidR="00D553E9" w:rsidP="00D553E9" w:rsidRDefault="00D553E9" w14:paraId="58AEE384" w14:textId="77777777">
            <w:pPr>
              <w:spacing w:after="0" w:line="240" w:lineRule="auto"/>
              <w:jc w:val="center"/>
              <w:rPr>
                <w:rFonts w:ascii="Times New Roman" w:hAnsi="Times New Roman" w:eastAsia="Times New Roman" w:cs="Times New Roman"/>
                <w:bCs/>
                <w:color w:val="000000"/>
                <w:sz w:val="20"/>
                <w:szCs w:val="20"/>
              </w:rPr>
            </w:pPr>
            <w:r w:rsidRPr="00C84427">
              <w:rPr>
                <w:rFonts w:ascii="Times New Roman" w:hAnsi="Times New Roman" w:eastAsia="Times New Roman" w:cs="Times New Roman"/>
                <w:bCs/>
                <w:color w:val="000000"/>
                <w:sz w:val="20"/>
                <w:szCs w:val="20"/>
              </w:rPr>
              <w:t>Total Annual Cost ($)</w:t>
            </w:r>
          </w:p>
        </w:tc>
      </w:tr>
      <w:tr w:rsidRPr="00C84427" w:rsidR="00D553E9" w:rsidTr="00D553E9" w14:paraId="60E6151C" w14:textId="77777777">
        <w:trPr>
          <w:trHeight w:val="450"/>
        </w:trPr>
        <w:tc>
          <w:tcPr>
            <w:tcW w:w="2080" w:type="dxa"/>
            <w:vMerge/>
            <w:tcBorders>
              <w:top w:val="single" w:color="auto" w:sz="8" w:space="0"/>
              <w:left w:val="single" w:color="auto" w:sz="8" w:space="0"/>
              <w:bottom w:val="single" w:color="000000" w:sz="8" w:space="0"/>
              <w:right w:val="single" w:color="auto" w:sz="8" w:space="0"/>
            </w:tcBorders>
            <w:vAlign w:val="center"/>
            <w:hideMark/>
          </w:tcPr>
          <w:p w:rsidRPr="00C84427" w:rsidR="00D553E9" w:rsidP="00D553E9" w:rsidRDefault="00D553E9" w14:paraId="6A1AD22F" w14:textId="77777777">
            <w:pPr>
              <w:spacing w:after="0" w:line="240" w:lineRule="auto"/>
              <w:rPr>
                <w:rFonts w:ascii="Times New Roman" w:hAnsi="Times New Roman" w:eastAsia="Times New Roman" w:cs="Times New Roman"/>
                <w:b/>
                <w:bCs/>
                <w:color w:val="000000"/>
                <w:sz w:val="20"/>
                <w:szCs w:val="20"/>
              </w:rPr>
            </w:pPr>
          </w:p>
        </w:tc>
        <w:tc>
          <w:tcPr>
            <w:tcW w:w="1530" w:type="dxa"/>
            <w:vMerge/>
            <w:tcBorders>
              <w:top w:val="single" w:color="auto" w:sz="8" w:space="0"/>
              <w:left w:val="single" w:color="auto" w:sz="8" w:space="0"/>
              <w:bottom w:val="single" w:color="000000" w:sz="8" w:space="0"/>
              <w:right w:val="single" w:color="auto" w:sz="8" w:space="0"/>
            </w:tcBorders>
            <w:vAlign w:val="center"/>
            <w:hideMark/>
          </w:tcPr>
          <w:p w:rsidRPr="00C84427" w:rsidR="00D553E9" w:rsidP="00D553E9" w:rsidRDefault="00D553E9" w14:paraId="21FE3A87" w14:textId="77777777">
            <w:pPr>
              <w:spacing w:after="0" w:line="240" w:lineRule="auto"/>
              <w:rPr>
                <w:rFonts w:ascii="Times New Roman" w:hAnsi="Times New Roman" w:eastAsia="Times New Roman" w:cs="Times New Roman"/>
                <w:b/>
                <w:bCs/>
                <w:color w:val="000000"/>
                <w:sz w:val="20"/>
                <w:szCs w:val="20"/>
              </w:rPr>
            </w:pPr>
          </w:p>
        </w:tc>
        <w:tc>
          <w:tcPr>
            <w:tcW w:w="1710" w:type="dxa"/>
            <w:vMerge/>
            <w:tcBorders>
              <w:top w:val="single" w:color="auto" w:sz="8" w:space="0"/>
              <w:left w:val="single" w:color="auto" w:sz="8" w:space="0"/>
              <w:bottom w:val="single" w:color="000000" w:sz="8" w:space="0"/>
              <w:right w:val="single" w:color="auto" w:sz="8" w:space="0"/>
            </w:tcBorders>
            <w:vAlign w:val="center"/>
            <w:hideMark/>
          </w:tcPr>
          <w:p w:rsidRPr="00C84427" w:rsidR="00D553E9" w:rsidP="00D553E9" w:rsidRDefault="00D553E9" w14:paraId="311824A3" w14:textId="77777777">
            <w:pPr>
              <w:spacing w:after="0" w:line="240" w:lineRule="auto"/>
              <w:rPr>
                <w:rFonts w:ascii="Times New Roman" w:hAnsi="Times New Roman" w:eastAsia="Times New Roman" w:cs="Times New Roman"/>
                <w:b/>
                <w:bCs/>
                <w:color w:val="000000"/>
                <w:sz w:val="20"/>
                <w:szCs w:val="20"/>
              </w:rPr>
            </w:pPr>
          </w:p>
        </w:tc>
        <w:tc>
          <w:tcPr>
            <w:tcW w:w="1530" w:type="dxa"/>
            <w:vMerge/>
            <w:tcBorders>
              <w:top w:val="single" w:color="auto" w:sz="8" w:space="0"/>
              <w:left w:val="single" w:color="auto" w:sz="8" w:space="0"/>
              <w:bottom w:val="single" w:color="000000" w:sz="8" w:space="0"/>
              <w:right w:val="single" w:color="auto" w:sz="8" w:space="0"/>
            </w:tcBorders>
            <w:vAlign w:val="center"/>
            <w:hideMark/>
          </w:tcPr>
          <w:p w:rsidRPr="00C84427" w:rsidR="00D553E9" w:rsidP="00D553E9" w:rsidRDefault="00D553E9" w14:paraId="064241A8" w14:textId="77777777">
            <w:pPr>
              <w:spacing w:after="0" w:line="240" w:lineRule="auto"/>
              <w:rPr>
                <w:rFonts w:ascii="Times New Roman" w:hAnsi="Times New Roman" w:eastAsia="Times New Roman" w:cs="Times New Roman"/>
                <w:b/>
                <w:bCs/>
                <w:color w:val="000000"/>
                <w:sz w:val="20"/>
                <w:szCs w:val="20"/>
              </w:rPr>
            </w:pPr>
          </w:p>
        </w:tc>
        <w:tc>
          <w:tcPr>
            <w:tcW w:w="1350" w:type="dxa"/>
            <w:vMerge/>
            <w:tcBorders>
              <w:top w:val="single" w:color="auto" w:sz="8" w:space="0"/>
              <w:left w:val="single" w:color="auto" w:sz="8" w:space="0"/>
              <w:bottom w:val="single" w:color="000000" w:sz="8" w:space="0"/>
              <w:right w:val="single" w:color="auto" w:sz="8" w:space="0"/>
            </w:tcBorders>
            <w:vAlign w:val="center"/>
            <w:hideMark/>
          </w:tcPr>
          <w:p w:rsidRPr="00C84427" w:rsidR="00D553E9" w:rsidP="00D553E9" w:rsidRDefault="00D553E9" w14:paraId="36DD859A" w14:textId="77777777">
            <w:pPr>
              <w:spacing w:after="0" w:line="240" w:lineRule="auto"/>
              <w:rPr>
                <w:rFonts w:ascii="Times New Roman" w:hAnsi="Times New Roman" w:eastAsia="Times New Roman" w:cs="Times New Roman"/>
                <w:b/>
                <w:bCs/>
                <w:color w:val="000000"/>
                <w:sz w:val="20"/>
                <w:szCs w:val="20"/>
              </w:rPr>
            </w:pPr>
          </w:p>
        </w:tc>
        <w:tc>
          <w:tcPr>
            <w:tcW w:w="1620" w:type="dxa"/>
            <w:vMerge/>
            <w:tcBorders>
              <w:top w:val="single" w:color="auto" w:sz="8" w:space="0"/>
              <w:left w:val="single" w:color="auto" w:sz="8" w:space="0"/>
              <w:bottom w:val="single" w:color="000000" w:sz="8" w:space="0"/>
              <w:right w:val="single" w:color="auto" w:sz="8" w:space="0"/>
            </w:tcBorders>
            <w:vAlign w:val="center"/>
            <w:hideMark/>
          </w:tcPr>
          <w:p w:rsidRPr="00C84427" w:rsidR="00D553E9" w:rsidP="00D553E9" w:rsidRDefault="00D553E9" w14:paraId="6B5B27EE" w14:textId="77777777">
            <w:pPr>
              <w:spacing w:after="0" w:line="240" w:lineRule="auto"/>
              <w:rPr>
                <w:rFonts w:ascii="Times New Roman" w:hAnsi="Times New Roman" w:eastAsia="Times New Roman" w:cs="Times New Roman"/>
                <w:b/>
                <w:bCs/>
                <w:color w:val="000000"/>
                <w:sz w:val="20"/>
                <w:szCs w:val="20"/>
              </w:rPr>
            </w:pPr>
          </w:p>
        </w:tc>
        <w:tc>
          <w:tcPr>
            <w:tcW w:w="3400" w:type="dxa"/>
            <w:vMerge/>
            <w:tcBorders>
              <w:top w:val="single" w:color="auto" w:sz="8" w:space="0"/>
              <w:left w:val="single" w:color="auto" w:sz="8" w:space="0"/>
              <w:bottom w:val="single" w:color="000000" w:sz="8" w:space="0"/>
              <w:right w:val="single" w:color="auto" w:sz="8" w:space="0"/>
            </w:tcBorders>
            <w:vAlign w:val="center"/>
            <w:hideMark/>
          </w:tcPr>
          <w:p w:rsidRPr="00C84427" w:rsidR="00D553E9" w:rsidP="00D553E9" w:rsidRDefault="00D553E9" w14:paraId="2317BE23" w14:textId="77777777">
            <w:pPr>
              <w:spacing w:after="0" w:line="240" w:lineRule="auto"/>
              <w:rPr>
                <w:rFonts w:ascii="Times New Roman" w:hAnsi="Times New Roman" w:eastAsia="Times New Roman" w:cs="Times New Roman"/>
                <w:b/>
                <w:bCs/>
                <w:color w:val="000000"/>
                <w:sz w:val="20"/>
                <w:szCs w:val="20"/>
              </w:rPr>
            </w:pPr>
          </w:p>
        </w:tc>
      </w:tr>
      <w:tr w:rsidRPr="00C84427" w:rsidR="00D553E9" w:rsidTr="00D553E9" w14:paraId="12DD5E01" w14:textId="77777777">
        <w:trPr>
          <w:trHeight w:val="300"/>
        </w:trPr>
        <w:tc>
          <w:tcPr>
            <w:tcW w:w="2080" w:type="dxa"/>
            <w:tcBorders>
              <w:top w:val="nil"/>
              <w:left w:val="single" w:color="auto" w:sz="4" w:space="0"/>
              <w:bottom w:val="single" w:color="auto" w:sz="4" w:space="0"/>
              <w:right w:val="single" w:color="auto" w:sz="4" w:space="0"/>
            </w:tcBorders>
            <w:shd w:val="clear" w:color="auto" w:fill="auto"/>
            <w:noWrap/>
            <w:vAlign w:val="bottom"/>
            <w:hideMark/>
          </w:tcPr>
          <w:p w:rsidRPr="00C84427" w:rsidR="00D553E9" w:rsidP="00D553E9" w:rsidRDefault="00D553E9" w14:paraId="75C4CF8D" w14:textId="77777777">
            <w:pPr>
              <w:spacing w:after="0" w:line="240" w:lineRule="auto"/>
              <w:rPr>
                <w:rFonts w:ascii="Times New Roman" w:hAnsi="Times New Roman" w:eastAsia="Times New Roman" w:cs="Times New Roman"/>
                <w:color w:val="000000"/>
                <w:sz w:val="20"/>
                <w:szCs w:val="20"/>
              </w:rPr>
            </w:pPr>
            <w:r w:rsidRPr="00C84427">
              <w:rPr>
                <w:rFonts w:ascii="Times New Roman" w:hAnsi="Times New Roman" w:eastAsia="Times New Roman" w:cs="Times New Roman"/>
                <w:color w:val="000000"/>
                <w:sz w:val="20"/>
                <w:szCs w:val="20"/>
              </w:rPr>
              <w:t>Reporting</w:t>
            </w:r>
          </w:p>
        </w:tc>
        <w:tc>
          <w:tcPr>
            <w:tcW w:w="1530" w:type="dxa"/>
            <w:tcBorders>
              <w:top w:val="nil"/>
              <w:left w:val="nil"/>
              <w:bottom w:val="single" w:color="auto" w:sz="4" w:space="0"/>
              <w:right w:val="single" w:color="auto" w:sz="4" w:space="0"/>
            </w:tcBorders>
            <w:shd w:val="clear" w:color="auto" w:fill="auto"/>
            <w:noWrap/>
            <w:vAlign w:val="center"/>
            <w:hideMark/>
          </w:tcPr>
          <w:p w:rsidRPr="00C84427" w:rsidR="00D553E9" w:rsidP="00D553E9" w:rsidRDefault="00D553E9" w14:paraId="1A5B4225" w14:textId="77777777">
            <w:pPr>
              <w:spacing w:after="0" w:line="240" w:lineRule="auto"/>
              <w:jc w:val="center"/>
              <w:rPr>
                <w:rFonts w:ascii="Times New Roman" w:hAnsi="Times New Roman" w:eastAsia="Times New Roman" w:cs="Times New Roman"/>
                <w:color w:val="000000"/>
                <w:sz w:val="20"/>
                <w:szCs w:val="20"/>
              </w:rPr>
            </w:pPr>
            <w:r w:rsidRPr="00C84427">
              <w:rPr>
                <w:rFonts w:ascii="Times New Roman" w:hAnsi="Times New Roman" w:eastAsia="Times New Roman" w:cs="Times New Roman"/>
                <w:color w:val="000000"/>
                <w:sz w:val="20"/>
                <w:szCs w:val="20"/>
              </w:rPr>
              <w:t>41</w:t>
            </w:r>
          </w:p>
        </w:tc>
        <w:tc>
          <w:tcPr>
            <w:tcW w:w="1710" w:type="dxa"/>
            <w:tcBorders>
              <w:top w:val="nil"/>
              <w:left w:val="nil"/>
              <w:bottom w:val="single" w:color="auto" w:sz="4" w:space="0"/>
              <w:right w:val="single" w:color="auto" w:sz="4" w:space="0"/>
            </w:tcBorders>
            <w:shd w:val="clear" w:color="auto" w:fill="auto"/>
            <w:noWrap/>
            <w:vAlign w:val="center"/>
            <w:hideMark/>
          </w:tcPr>
          <w:p w:rsidRPr="00C84427" w:rsidR="00D553E9" w:rsidP="00D553E9" w:rsidRDefault="00D553E9" w14:paraId="3A054AE7" w14:textId="77777777">
            <w:pPr>
              <w:spacing w:after="0" w:line="240" w:lineRule="auto"/>
              <w:jc w:val="center"/>
              <w:rPr>
                <w:rFonts w:ascii="Times New Roman" w:hAnsi="Times New Roman" w:eastAsia="Times New Roman" w:cs="Times New Roman"/>
                <w:color w:val="000000"/>
                <w:sz w:val="20"/>
                <w:szCs w:val="20"/>
              </w:rPr>
            </w:pPr>
            <w:r w:rsidRPr="00C84427">
              <w:rPr>
                <w:rFonts w:ascii="Times New Roman" w:hAnsi="Times New Roman" w:eastAsia="Times New Roman" w:cs="Times New Roman"/>
                <w:color w:val="000000"/>
                <w:sz w:val="20"/>
                <w:szCs w:val="20"/>
              </w:rPr>
              <w:t>439</w:t>
            </w:r>
          </w:p>
        </w:tc>
        <w:tc>
          <w:tcPr>
            <w:tcW w:w="1530" w:type="dxa"/>
            <w:tcBorders>
              <w:top w:val="nil"/>
              <w:left w:val="nil"/>
              <w:bottom w:val="single" w:color="auto" w:sz="4" w:space="0"/>
              <w:right w:val="single" w:color="auto" w:sz="4" w:space="0"/>
            </w:tcBorders>
            <w:shd w:val="clear" w:color="auto" w:fill="auto"/>
            <w:vAlign w:val="center"/>
            <w:hideMark/>
          </w:tcPr>
          <w:p w:rsidRPr="00C84427" w:rsidR="00D553E9" w:rsidP="00D553E9" w:rsidRDefault="00D553E9" w14:paraId="78174200" w14:textId="77777777">
            <w:pPr>
              <w:spacing w:after="0" w:line="240" w:lineRule="auto"/>
              <w:jc w:val="center"/>
              <w:rPr>
                <w:rFonts w:ascii="Times New Roman" w:hAnsi="Times New Roman" w:eastAsia="Times New Roman" w:cs="Times New Roman"/>
                <w:color w:val="000000"/>
                <w:sz w:val="20"/>
                <w:szCs w:val="20"/>
              </w:rPr>
            </w:pPr>
            <w:r w:rsidRPr="00C84427">
              <w:rPr>
                <w:rFonts w:ascii="Times New Roman" w:hAnsi="Times New Roman" w:eastAsia="Times New Roman" w:cs="Times New Roman"/>
                <w:color w:val="000000"/>
                <w:sz w:val="20"/>
                <w:szCs w:val="20"/>
              </w:rPr>
              <w:t>Varies</w:t>
            </w:r>
          </w:p>
        </w:tc>
        <w:tc>
          <w:tcPr>
            <w:tcW w:w="1350" w:type="dxa"/>
            <w:tcBorders>
              <w:top w:val="nil"/>
              <w:left w:val="nil"/>
              <w:bottom w:val="single" w:color="auto" w:sz="4" w:space="0"/>
              <w:right w:val="single" w:color="auto" w:sz="4" w:space="0"/>
            </w:tcBorders>
            <w:shd w:val="clear" w:color="auto" w:fill="auto"/>
            <w:noWrap/>
            <w:vAlign w:val="center"/>
            <w:hideMark/>
          </w:tcPr>
          <w:p w:rsidRPr="00C84427" w:rsidR="00D553E9" w:rsidP="00D553E9" w:rsidRDefault="00D553E9" w14:paraId="2F4C0225" w14:textId="77777777">
            <w:pPr>
              <w:spacing w:after="0" w:line="240" w:lineRule="auto"/>
              <w:jc w:val="center"/>
              <w:rPr>
                <w:rFonts w:ascii="Times New Roman" w:hAnsi="Times New Roman" w:eastAsia="Times New Roman" w:cs="Times New Roman"/>
                <w:color w:val="000000"/>
                <w:sz w:val="20"/>
                <w:szCs w:val="20"/>
              </w:rPr>
            </w:pPr>
            <w:r w:rsidRPr="00C84427">
              <w:rPr>
                <w:rFonts w:ascii="Times New Roman" w:hAnsi="Times New Roman" w:eastAsia="Times New Roman" w:cs="Times New Roman"/>
                <w:color w:val="000000"/>
                <w:sz w:val="20"/>
                <w:szCs w:val="20"/>
              </w:rPr>
              <w:t>21,890</w:t>
            </w:r>
          </w:p>
        </w:tc>
        <w:tc>
          <w:tcPr>
            <w:tcW w:w="1620" w:type="dxa"/>
            <w:tcBorders>
              <w:top w:val="nil"/>
              <w:left w:val="nil"/>
              <w:bottom w:val="single" w:color="auto" w:sz="4" w:space="0"/>
              <w:right w:val="single" w:color="auto" w:sz="4" w:space="0"/>
            </w:tcBorders>
            <w:shd w:val="clear" w:color="auto" w:fill="auto"/>
            <w:vAlign w:val="center"/>
            <w:hideMark/>
          </w:tcPr>
          <w:p w:rsidRPr="00C84427" w:rsidR="00D553E9" w:rsidP="00D553E9" w:rsidRDefault="00D553E9" w14:paraId="11FB20EF" w14:textId="77777777">
            <w:pPr>
              <w:spacing w:after="0" w:line="240" w:lineRule="auto"/>
              <w:jc w:val="center"/>
              <w:rPr>
                <w:rFonts w:ascii="Times New Roman" w:hAnsi="Times New Roman" w:eastAsia="Times New Roman" w:cs="Times New Roman"/>
                <w:color w:val="000000"/>
                <w:sz w:val="20"/>
                <w:szCs w:val="20"/>
              </w:rPr>
            </w:pPr>
            <w:r w:rsidRPr="00C84427">
              <w:rPr>
                <w:rFonts w:ascii="Times New Roman" w:hAnsi="Times New Roman" w:eastAsia="Times New Roman" w:cs="Times New Roman"/>
                <w:color w:val="000000"/>
                <w:sz w:val="20"/>
                <w:szCs w:val="20"/>
              </w:rPr>
              <w:t>Varies</w:t>
            </w:r>
          </w:p>
        </w:tc>
        <w:tc>
          <w:tcPr>
            <w:tcW w:w="3400" w:type="dxa"/>
            <w:tcBorders>
              <w:top w:val="nil"/>
              <w:left w:val="nil"/>
              <w:bottom w:val="single" w:color="auto" w:sz="4" w:space="0"/>
              <w:right w:val="single" w:color="auto" w:sz="4" w:space="0"/>
            </w:tcBorders>
            <w:shd w:val="clear" w:color="auto" w:fill="auto"/>
            <w:noWrap/>
            <w:vAlign w:val="center"/>
            <w:hideMark/>
          </w:tcPr>
          <w:p w:rsidRPr="00C84427" w:rsidR="00D553E9" w:rsidP="00D553E9" w:rsidRDefault="00D553E9" w14:paraId="6A2B1BFB" w14:textId="77777777">
            <w:pPr>
              <w:spacing w:after="0" w:line="240" w:lineRule="auto"/>
              <w:jc w:val="center"/>
              <w:rPr>
                <w:rFonts w:ascii="Times New Roman" w:hAnsi="Times New Roman" w:eastAsia="Times New Roman" w:cs="Times New Roman"/>
                <w:color w:val="000000"/>
                <w:sz w:val="20"/>
                <w:szCs w:val="20"/>
              </w:rPr>
            </w:pPr>
            <w:r w:rsidRPr="00C84427">
              <w:rPr>
                <w:rFonts w:ascii="Times New Roman" w:hAnsi="Times New Roman" w:eastAsia="Times New Roman" w:cs="Times New Roman"/>
                <w:color w:val="000000"/>
                <w:sz w:val="20"/>
                <w:szCs w:val="20"/>
              </w:rPr>
              <w:t>2,096,458</w:t>
            </w:r>
          </w:p>
        </w:tc>
      </w:tr>
      <w:tr w:rsidRPr="00C84427" w:rsidR="00D553E9" w:rsidTr="00D553E9" w14:paraId="0480FD61" w14:textId="77777777">
        <w:trPr>
          <w:trHeight w:val="300"/>
        </w:trPr>
        <w:tc>
          <w:tcPr>
            <w:tcW w:w="208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C84427" w:rsidR="00D553E9" w:rsidP="00D553E9" w:rsidRDefault="00D553E9" w14:paraId="516BFC77" w14:textId="77777777">
            <w:pPr>
              <w:spacing w:after="0" w:line="240" w:lineRule="auto"/>
              <w:rPr>
                <w:rFonts w:ascii="Times New Roman" w:hAnsi="Times New Roman" w:eastAsia="Times New Roman" w:cs="Times New Roman"/>
                <w:color w:val="000000"/>
                <w:sz w:val="20"/>
                <w:szCs w:val="20"/>
              </w:rPr>
            </w:pPr>
            <w:r w:rsidRPr="00C84427">
              <w:rPr>
                <w:rFonts w:ascii="Times New Roman" w:hAnsi="Times New Roman" w:eastAsia="Times New Roman" w:cs="Times New Roman"/>
                <w:color w:val="000000"/>
                <w:sz w:val="20"/>
                <w:szCs w:val="20"/>
              </w:rPr>
              <w:t>Third Party Disclosure</w:t>
            </w:r>
          </w:p>
        </w:tc>
        <w:tc>
          <w:tcPr>
            <w:tcW w:w="1530" w:type="dxa"/>
            <w:tcBorders>
              <w:top w:val="nil"/>
              <w:left w:val="nil"/>
              <w:bottom w:val="single" w:color="auto" w:sz="4" w:space="0"/>
              <w:right w:val="single" w:color="auto" w:sz="4" w:space="0"/>
            </w:tcBorders>
            <w:shd w:val="clear" w:color="auto" w:fill="auto"/>
            <w:noWrap/>
            <w:vAlign w:val="center"/>
            <w:hideMark/>
          </w:tcPr>
          <w:p w:rsidRPr="00C84427" w:rsidR="00D553E9" w:rsidP="00D553E9" w:rsidRDefault="00D553E9" w14:paraId="36C15299" w14:textId="77777777">
            <w:pPr>
              <w:spacing w:after="0" w:line="240" w:lineRule="auto"/>
              <w:jc w:val="center"/>
              <w:rPr>
                <w:rFonts w:ascii="Times New Roman" w:hAnsi="Times New Roman" w:eastAsia="Times New Roman" w:cs="Times New Roman"/>
                <w:color w:val="000000"/>
                <w:sz w:val="20"/>
                <w:szCs w:val="20"/>
              </w:rPr>
            </w:pPr>
            <w:r w:rsidRPr="00C84427">
              <w:rPr>
                <w:rFonts w:ascii="Times New Roman" w:hAnsi="Times New Roman" w:eastAsia="Times New Roman" w:cs="Times New Roman"/>
                <w:color w:val="000000"/>
                <w:sz w:val="20"/>
                <w:szCs w:val="20"/>
              </w:rPr>
              <w:t>41</w:t>
            </w:r>
          </w:p>
        </w:tc>
        <w:tc>
          <w:tcPr>
            <w:tcW w:w="1710" w:type="dxa"/>
            <w:tcBorders>
              <w:top w:val="nil"/>
              <w:left w:val="nil"/>
              <w:bottom w:val="single" w:color="auto" w:sz="4" w:space="0"/>
              <w:right w:val="single" w:color="auto" w:sz="4" w:space="0"/>
            </w:tcBorders>
            <w:shd w:val="clear" w:color="auto" w:fill="auto"/>
            <w:noWrap/>
            <w:vAlign w:val="center"/>
            <w:hideMark/>
          </w:tcPr>
          <w:p w:rsidRPr="00C84427" w:rsidR="00D553E9" w:rsidP="00D553E9" w:rsidRDefault="00D553E9" w14:paraId="318A8A9B" w14:textId="77777777">
            <w:pPr>
              <w:spacing w:after="0" w:line="240" w:lineRule="auto"/>
              <w:jc w:val="center"/>
              <w:rPr>
                <w:rFonts w:ascii="Times New Roman" w:hAnsi="Times New Roman" w:eastAsia="Times New Roman" w:cs="Times New Roman"/>
                <w:color w:val="000000"/>
                <w:sz w:val="20"/>
                <w:szCs w:val="20"/>
              </w:rPr>
            </w:pPr>
            <w:r w:rsidRPr="00C84427">
              <w:rPr>
                <w:rFonts w:ascii="Times New Roman" w:hAnsi="Times New Roman" w:eastAsia="Times New Roman" w:cs="Times New Roman"/>
                <w:color w:val="000000"/>
                <w:sz w:val="20"/>
                <w:szCs w:val="20"/>
              </w:rPr>
              <w:t>4,169,140</w:t>
            </w:r>
          </w:p>
        </w:tc>
        <w:tc>
          <w:tcPr>
            <w:tcW w:w="1530" w:type="dxa"/>
            <w:tcBorders>
              <w:top w:val="nil"/>
              <w:left w:val="nil"/>
              <w:bottom w:val="single" w:color="auto" w:sz="4" w:space="0"/>
              <w:right w:val="single" w:color="auto" w:sz="4" w:space="0"/>
            </w:tcBorders>
            <w:shd w:val="clear" w:color="auto" w:fill="auto"/>
            <w:vAlign w:val="center"/>
            <w:hideMark/>
          </w:tcPr>
          <w:p w:rsidRPr="00C84427" w:rsidR="00D553E9" w:rsidP="00D553E9" w:rsidRDefault="00D553E9" w14:paraId="2AF419AD" w14:textId="77777777">
            <w:pPr>
              <w:spacing w:after="0" w:line="240" w:lineRule="auto"/>
              <w:jc w:val="center"/>
              <w:rPr>
                <w:rFonts w:ascii="Times New Roman" w:hAnsi="Times New Roman" w:eastAsia="Times New Roman" w:cs="Times New Roman"/>
                <w:color w:val="000000"/>
                <w:sz w:val="20"/>
                <w:szCs w:val="20"/>
              </w:rPr>
            </w:pPr>
            <w:r w:rsidRPr="00C84427">
              <w:rPr>
                <w:rFonts w:ascii="Times New Roman" w:hAnsi="Times New Roman" w:eastAsia="Times New Roman" w:cs="Times New Roman"/>
                <w:color w:val="000000"/>
                <w:sz w:val="20"/>
                <w:szCs w:val="20"/>
              </w:rPr>
              <w:t>Varies</w:t>
            </w:r>
          </w:p>
        </w:tc>
        <w:tc>
          <w:tcPr>
            <w:tcW w:w="1350" w:type="dxa"/>
            <w:tcBorders>
              <w:top w:val="nil"/>
              <w:left w:val="nil"/>
              <w:bottom w:val="single" w:color="auto" w:sz="4" w:space="0"/>
              <w:right w:val="single" w:color="auto" w:sz="4" w:space="0"/>
            </w:tcBorders>
            <w:shd w:val="clear" w:color="auto" w:fill="auto"/>
            <w:noWrap/>
            <w:vAlign w:val="center"/>
            <w:hideMark/>
          </w:tcPr>
          <w:p w:rsidRPr="00C84427" w:rsidR="00D553E9" w:rsidP="00D553E9" w:rsidRDefault="00D553E9" w14:paraId="7189D29E" w14:textId="77777777">
            <w:pPr>
              <w:spacing w:after="0" w:line="240" w:lineRule="auto"/>
              <w:jc w:val="center"/>
              <w:rPr>
                <w:rFonts w:ascii="Times New Roman" w:hAnsi="Times New Roman" w:eastAsia="Times New Roman" w:cs="Times New Roman"/>
                <w:color w:val="000000"/>
                <w:sz w:val="20"/>
                <w:szCs w:val="20"/>
              </w:rPr>
            </w:pPr>
            <w:r w:rsidRPr="00C84427">
              <w:rPr>
                <w:rFonts w:ascii="Times New Roman" w:hAnsi="Times New Roman" w:eastAsia="Times New Roman" w:cs="Times New Roman"/>
                <w:color w:val="000000"/>
                <w:sz w:val="20"/>
                <w:szCs w:val="20"/>
              </w:rPr>
              <w:t>70,100</w:t>
            </w:r>
          </w:p>
        </w:tc>
        <w:tc>
          <w:tcPr>
            <w:tcW w:w="1620" w:type="dxa"/>
            <w:tcBorders>
              <w:top w:val="nil"/>
              <w:left w:val="nil"/>
              <w:bottom w:val="single" w:color="auto" w:sz="4" w:space="0"/>
              <w:right w:val="single" w:color="auto" w:sz="4" w:space="0"/>
            </w:tcBorders>
            <w:shd w:val="clear" w:color="auto" w:fill="auto"/>
            <w:vAlign w:val="center"/>
            <w:hideMark/>
          </w:tcPr>
          <w:p w:rsidRPr="00C84427" w:rsidR="00D553E9" w:rsidP="00D553E9" w:rsidRDefault="00D553E9" w14:paraId="4F61F042" w14:textId="77777777">
            <w:pPr>
              <w:spacing w:after="0" w:line="240" w:lineRule="auto"/>
              <w:jc w:val="center"/>
              <w:rPr>
                <w:rFonts w:ascii="Times New Roman" w:hAnsi="Times New Roman" w:eastAsia="Times New Roman" w:cs="Times New Roman"/>
                <w:color w:val="000000"/>
                <w:sz w:val="20"/>
                <w:szCs w:val="20"/>
              </w:rPr>
            </w:pPr>
            <w:r w:rsidRPr="00C84427">
              <w:rPr>
                <w:rFonts w:ascii="Times New Roman" w:hAnsi="Times New Roman" w:eastAsia="Times New Roman" w:cs="Times New Roman"/>
                <w:color w:val="000000"/>
                <w:sz w:val="20"/>
                <w:szCs w:val="20"/>
              </w:rPr>
              <w:t>Varies</w:t>
            </w:r>
          </w:p>
        </w:tc>
        <w:tc>
          <w:tcPr>
            <w:tcW w:w="3400" w:type="dxa"/>
            <w:tcBorders>
              <w:top w:val="nil"/>
              <w:left w:val="nil"/>
              <w:bottom w:val="single" w:color="auto" w:sz="4" w:space="0"/>
              <w:right w:val="single" w:color="auto" w:sz="4" w:space="0"/>
            </w:tcBorders>
            <w:shd w:val="clear" w:color="auto" w:fill="auto"/>
            <w:noWrap/>
            <w:vAlign w:val="center"/>
            <w:hideMark/>
          </w:tcPr>
          <w:p w:rsidRPr="00C84427" w:rsidR="00D553E9" w:rsidP="00D553E9" w:rsidRDefault="00D553E9" w14:paraId="7B4AED5D" w14:textId="77777777">
            <w:pPr>
              <w:spacing w:after="0" w:line="240" w:lineRule="auto"/>
              <w:jc w:val="center"/>
              <w:rPr>
                <w:rFonts w:ascii="Times New Roman" w:hAnsi="Times New Roman" w:eastAsia="Times New Roman" w:cs="Times New Roman"/>
                <w:color w:val="000000"/>
                <w:sz w:val="20"/>
                <w:szCs w:val="20"/>
              </w:rPr>
            </w:pPr>
            <w:r w:rsidRPr="00C84427">
              <w:rPr>
                <w:rFonts w:ascii="Times New Roman" w:hAnsi="Times New Roman" w:eastAsia="Times New Roman" w:cs="Times New Roman"/>
                <w:color w:val="000000"/>
                <w:sz w:val="20"/>
                <w:szCs w:val="20"/>
              </w:rPr>
              <w:t>2,295,478</w:t>
            </w:r>
          </w:p>
        </w:tc>
      </w:tr>
      <w:tr w:rsidRPr="00C84427" w:rsidR="00D553E9" w:rsidTr="00D553E9" w14:paraId="44B3CF28" w14:textId="77777777">
        <w:trPr>
          <w:trHeight w:val="300"/>
        </w:trPr>
        <w:tc>
          <w:tcPr>
            <w:tcW w:w="208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C84427" w:rsidR="00D553E9" w:rsidP="00D553E9" w:rsidRDefault="00D553E9" w14:paraId="638517A0" w14:textId="77777777">
            <w:pPr>
              <w:spacing w:after="0" w:line="240" w:lineRule="auto"/>
              <w:rPr>
                <w:rFonts w:ascii="Times New Roman" w:hAnsi="Times New Roman" w:eastAsia="Times New Roman" w:cs="Times New Roman"/>
                <w:color w:val="000000"/>
                <w:sz w:val="20"/>
                <w:szCs w:val="20"/>
              </w:rPr>
            </w:pPr>
            <w:r w:rsidRPr="00C84427">
              <w:rPr>
                <w:rFonts w:ascii="Times New Roman" w:hAnsi="Times New Roman" w:eastAsia="Times New Roman" w:cs="Times New Roman"/>
                <w:color w:val="000000"/>
                <w:sz w:val="20"/>
                <w:szCs w:val="20"/>
              </w:rPr>
              <w:t>Recordkeeping</w:t>
            </w:r>
          </w:p>
        </w:tc>
        <w:tc>
          <w:tcPr>
            <w:tcW w:w="1530" w:type="dxa"/>
            <w:tcBorders>
              <w:top w:val="nil"/>
              <w:left w:val="nil"/>
              <w:bottom w:val="single" w:color="auto" w:sz="4" w:space="0"/>
              <w:right w:val="single" w:color="auto" w:sz="4" w:space="0"/>
            </w:tcBorders>
            <w:shd w:val="clear" w:color="auto" w:fill="auto"/>
            <w:noWrap/>
            <w:vAlign w:val="center"/>
            <w:hideMark/>
          </w:tcPr>
          <w:p w:rsidRPr="00C84427" w:rsidR="00D553E9" w:rsidP="00D553E9" w:rsidRDefault="00D553E9" w14:paraId="03E84778" w14:textId="77777777">
            <w:pPr>
              <w:spacing w:after="0" w:line="240" w:lineRule="auto"/>
              <w:jc w:val="center"/>
              <w:rPr>
                <w:rFonts w:ascii="Times New Roman" w:hAnsi="Times New Roman" w:eastAsia="Times New Roman" w:cs="Times New Roman"/>
                <w:color w:val="000000"/>
                <w:sz w:val="20"/>
                <w:szCs w:val="20"/>
              </w:rPr>
            </w:pPr>
            <w:r w:rsidRPr="00C84427">
              <w:rPr>
                <w:rFonts w:ascii="Times New Roman" w:hAnsi="Times New Roman" w:eastAsia="Times New Roman" w:cs="Times New Roman"/>
                <w:color w:val="000000"/>
                <w:sz w:val="20"/>
                <w:szCs w:val="20"/>
              </w:rPr>
              <w:t>41</w:t>
            </w:r>
          </w:p>
        </w:tc>
        <w:tc>
          <w:tcPr>
            <w:tcW w:w="1710" w:type="dxa"/>
            <w:tcBorders>
              <w:top w:val="nil"/>
              <w:left w:val="nil"/>
              <w:bottom w:val="single" w:color="auto" w:sz="4" w:space="0"/>
              <w:right w:val="single" w:color="auto" w:sz="4" w:space="0"/>
            </w:tcBorders>
            <w:shd w:val="clear" w:color="auto" w:fill="auto"/>
            <w:noWrap/>
            <w:vAlign w:val="center"/>
            <w:hideMark/>
          </w:tcPr>
          <w:p w:rsidRPr="00C84427" w:rsidR="00D553E9" w:rsidP="00D553E9" w:rsidRDefault="00D553E9" w14:paraId="010A811E" w14:textId="77777777">
            <w:pPr>
              <w:spacing w:after="0" w:line="240" w:lineRule="auto"/>
              <w:jc w:val="center"/>
              <w:rPr>
                <w:rFonts w:ascii="Times New Roman" w:hAnsi="Times New Roman" w:eastAsia="Times New Roman" w:cs="Times New Roman"/>
                <w:color w:val="000000"/>
                <w:sz w:val="20"/>
                <w:szCs w:val="20"/>
              </w:rPr>
            </w:pPr>
            <w:r w:rsidRPr="00C84427">
              <w:rPr>
                <w:rFonts w:ascii="Times New Roman" w:hAnsi="Times New Roman" w:eastAsia="Times New Roman" w:cs="Times New Roman"/>
                <w:color w:val="000000"/>
                <w:sz w:val="20"/>
                <w:szCs w:val="20"/>
              </w:rPr>
              <w:t>61</w:t>
            </w:r>
          </w:p>
        </w:tc>
        <w:tc>
          <w:tcPr>
            <w:tcW w:w="1530" w:type="dxa"/>
            <w:tcBorders>
              <w:top w:val="nil"/>
              <w:left w:val="nil"/>
              <w:bottom w:val="single" w:color="auto" w:sz="4" w:space="0"/>
              <w:right w:val="single" w:color="auto" w:sz="4" w:space="0"/>
            </w:tcBorders>
            <w:shd w:val="clear" w:color="auto" w:fill="auto"/>
            <w:vAlign w:val="center"/>
            <w:hideMark/>
          </w:tcPr>
          <w:p w:rsidRPr="00C84427" w:rsidR="00D553E9" w:rsidP="00D553E9" w:rsidRDefault="00D553E9" w14:paraId="0B080A0F" w14:textId="77777777">
            <w:pPr>
              <w:spacing w:after="0" w:line="240" w:lineRule="auto"/>
              <w:jc w:val="center"/>
              <w:rPr>
                <w:rFonts w:ascii="Times New Roman" w:hAnsi="Times New Roman" w:eastAsia="Times New Roman" w:cs="Times New Roman"/>
                <w:color w:val="000000"/>
                <w:sz w:val="20"/>
                <w:szCs w:val="20"/>
              </w:rPr>
            </w:pPr>
            <w:r w:rsidRPr="00C84427">
              <w:rPr>
                <w:rFonts w:ascii="Times New Roman" w:hAnsi="Times New Roman" w:eastAsia="Times New Roman" w:cs="Times New Roman"/>
                <w:color w:val="000000"/>
                <w:sz w:val="20"/>
                <w:szCs w:val="20"/>
              </w:rPr>
              <w:t>Varies</w:t>
            </w:r>
          </w:p>
        </w:tc>
        <w:tc>
          <w:tcPr>
            <w:tcW w:w="1350" w:type="dxa"/>
            <w:tcBorders>
              <w:top w:val="nil"/>
              <w:left w:val="nil"/>
              <w:bottom w:val="single" w:color="auto" w:sz="4" w:space="0"/>
              <w:right w:val="single" w:color="auto" w:sz="4" w:space="0"/>
            </w:tcBorders>
            <w:shd w:val="clear" w:color="auto" w:fill="auto"/>
            <w:noWrap/>
            <w:vAlign w:val="center"/>
            <w:hideMark/>
          </w:tcPr>
          <w:p w:rsidRPr="00C84427" w:rsidR="00D553E9" w:rsidP="00D553E9" w:rsidRDefault="00D553E9" w14:paraId="4E7690BB" w14:textId="77777777">
            <w:pPr>
              <w:spacing w:after="0" w:line="240" w:lineRule="auto"/>
              <w:jc w:val="center"/>
              <w:rPr>
                <w:rFonts w:ascii="Times New Roman" w:hAnsi="Times New Roman" w:eastAsia="Times New Roman" w:cs="Times New Roman"/>
                <w:color w:val="000000"/>
                <w:sz w:val="20"/>
                <w:szCs w:val="20"/>
              </w:rPr>
            </w:pPr>
            <w:r w:rsidRPr="00C84427">
              <w:rPr>
                <w:rFonts w:ascii="Times New Roman" w:hAnsi="Times New Roman" w:eastAsia="Times New Roman" w:cs="Times New Roman"/>
                <w:color w:val="000000"/>
                <w:sz w:val="20"/>
                <w:szCs w:val="20"/>
              </w:rPr>
              <w:t>1,046</w:t>
            </w:r>
          </w:p>
        </w:tc>
        <w:tc>
          <w:tcPr>
            <w:tcW w:w="1620" w:type="dxa"/>
            <w:tcBorders>
              <w:top w:val="nil"/>
              <w:left w:val="nil"/>
              <w:bottom w:val="single" w:color="auto" w:sz="4" w:space="0"/>
              <w:right w:val="single" w:color="auto" w:sz="4" w:space="0"/>
            </w:tcBorders>
            <w:shd w:val="clear" w:color="auto" w:fill="auto"/>
            <w:vAlign w:val="center"/>
            <w:hideMark/>
          </w:tcPr>
          <w:p w:rsidRPr="00C84427" w:rsidR="00D553E9" w:rsidP="00D553E9" w:rsidRDefault="00D553E9" w14:paraId="359B2C84" w14:textId="77777777">
            <w:pPr>
              <w:spacing w:after="0" w:line="240" w:lineRule="auto"/>
              <w:jc w:val="center"/>
              <w:rPr>
                <w:rFonts w:ascii="Times New Roman" w:hAnsi="Times New Roman" w:eastAsia="Times New Roman" w:cs="Times New Roman"/>
                <w:color w:val="000000"/>
                <w:sz w:val="20"/>
                <w:szCs w:val="20"/>
              </w:rPr>
            </w:pPr>
            <w:r w:rsidRPr="00C84427">
              <w:rPr>
                <w:rFonts w:ascii="Times New Roman" w:hAnsi="Times New Roman" w:eastAsia="Times New Roman" w:cs="Times New Roman"/>
                <w:color w:val="000000"/>
                <w:sz w:val="20"/>
                <w:szCs w:val="20"/>
              </w:rPr>
              <w:t>Varies</w:t>
            </w:r>
          </w:p>
        </w:tc>
        <w:tc>
          <w:tcPr>
            <w:tcW w:w="3400" w:type="dxa"/>
            <w:tcBorders>
              <w:top w:val="nil"/>
              <w:left w:val="nil"/>
              <w:bottom w:val="single" w:color="auto" w:sz="4" w:space="0"/>
              <w:right w:val="single" w:color="auto" w:sz="4" w:space="0"/>
            </w:tcBorders>
            <w:shd w:val="clear" w:color="auto" w:fill="auto"/>
            <w:noWrap/>
            <w:vAlign w:val="center"/>
            <w:hideMark/>
          </w:tcPr>
          <w:p w:rsidRPr="00C84427" w:rsidR="00D553E9" w:rsidP="00D553E9" w:rsidRDefault="00D553E9" w14:paraId="1D078631" w14:textId="77777777">
            <w:pPr>
              <w:spacing w:after="0" w:line="240" w:lineRule="auto"/>
              <w:jc w:val="center"/>
              <w:rPr>
                <w:rFonts w:ascii="Times New Roman" w:hAnsi="Times New Roman" w:eastAsia="Times New Roman" w:cs="Times New Roman"/>
                <w:color w:val="000000"/>
                <w:sz w:val="20"/>
                <w:szCs w:val="20"/>
              </w:rPr>
            </w:pPr>
            <w:r w:rsidRPr="00C84427">
              <w:rPr>
                <w:rFonts w:ascii="Times New Roman" w:hAnsi="Times New Roman" w:eastAsia="Times New Roman" w:cs="Times New Roman"/>
                <w:color w:val="000000"/>
                <w:sz w:val="20"/>
                <w:szCs w:val="20"/>
              </w:rPr>
              <w:t>86,409</w:t>
            </w:r>
          </w:p>
        </w:tc>
      </w:tr>
      <w:tr w:rsidRPr="0036140B" w:rsidR="00D553E9" w:rsidTr="00D553E9" w14:paraId="140E2EEB" w14:textId="77777777">
        <w:trPr>
          <w:trHeight w:val="300"/>
        </w:trPr>
        <w:tc>
          <w:tcPr>
            <w:tcW w:w="2080" w:type="dxa"/>
            <w:tcBorders>
              <w:top w:val="single" w:color="auto" w:sz="4" w:space="0"/>
              <w:left w:val="single" w:color="auto" w:sz="4" w:space="0"/>
              <w:bottom w:val="single" w:color="auto" w:sz="4" w:space="0"/>
              <w:right w:val="single" w:color="auto" w:sz="4" w:space="0"/>
            </w:tcBorders>
            <w:shd w:val="clear" w:color="000000" w:fill="D9D9D9"/>
            <w:noWrap/>
            <w:vAlign w:val="bottom"/>
            <w:hideMark/>
          </w:tcPr>
          <w:p w:rsidRPr="00C84427" w:rsidR="00D553E9" w:rsidP="00D553E9" w:rsidRDefault="00D553E9" w14:paraId="411F04B4" w14:textId="77777777">
            <w:pPr>
              <w:spacing w:after="0" w:line="240" w:lineRule="auto"/>
              <w:rPr>
                <w:rFonts w:ascii="Times New Roman" w:hAnsi="Times New Roman" w:eastAsia="Times New Roman" w:cs="Times New Roman"/>
                <w:color w:val="000000"/>
                <w:sz w:val="20"/>
                <w:szCs w:val="20"/>
              </w:rPr>
            </w:pPr>
            <w:r w:rsidRPr="00C84427">
              <w:rPr>
                <w:rFonts w:ascii="Times New Roman" w:hAnsi="Times New Roman" w:eastAsia="Times New Roman" w:cs="Times New Roman"/>
                <w:color w:val="000000"/>
                <w:sz w:val="20"/>
                <w:szCs w:val="20"/>
              </w:rPr>
              <w:t>TOTAL</w:t>
            </w:r>
          </w:p>
        </w:tc>
        <w:tc>
          <w:tcPr>
            <w:tcW w:w="1530" w:type="dxa"/>
            <w:tcBorders>
              <w:top w:val="nil"/>
              <w:left w:val="nil"/>
              <w:bottom w:val="single" w:color="auto" w:sz="4" w:space="0"/>
              <w:right w:val="single" w:color="auto" w:sz="4" w:space="0"/>
            </w:tcBorders>
            <w:shd w:val="clear" w:color="000000" w:fill="D9D9D9"/>
            <w:noWrap/>
            <w:vAlign w:val="center"/>
            <w:hideMark/>
          </w:tcPr>
          <w:p w:rsidRPr="00C84427" w:rsidR="00D553E9" w:rsidP="00D553E9" w:rsidRDefault="00D553E9" w14:paraId="5E0438B1" w14:textId="77777777">
            <w:pPr>
              <w:spacing w:after="0" w:line="240" w:lineRule="auto"/>
              <w:jc w:val="center"/>
              <w:rPr>
                <w:rFonts w:ascii="Times New Roman" w:hAnsi="Times New Roman" w:eastAsia="Times New Roman" w:cs="Times New Roman"/>
                <w:color w:val="000000"/>
                <w:sz w:val="20"/>
                <w:szCs w:val="20"/>
              </w:rPr>
            </w:pPr>
            <w:r w:rsidRPr="00C84427">
              <w:rPr>
                <w:rFonts w:ascii="Times New Roman" w:hAnsi="Times New Roman" w:eastAsia="Times New Roman" w:cs="Times New Roman"/>
                <w:color w:val="000000"/>
                <w:sz w:val="20"/>
                <w:szCs w:val="20"/>
              </w:rPr>
              <w:t>41</w:t>
            </w:r>
          </w:p>
        </w:tc>
        <w:tc>
          <w:tcPr>
            <w:tcW w:w="1710" w:type="dxa"/>
            <w:tcBorders>
              <w:top w:val="nil"/>
              <w:left w:val="nil"/>
              <w:bottom w:val="single" w:color="auto" w:sz="4" w:space="0"/>
              <w:right w:val="single" w:color="auto" w:sz="4" w:space="0"/>
            </w:tcBorders>
            <w:shd w:val="clear" w:color="000000" w:fill="D9D9D9"/>
            <w:noWrap/>
            <w:vAlign w:val="center"/>
            <w:hideMark/>
          </w:tcPr>
          <w:p w:rsidRPr="00C84427" w:rsidR="00D553E9" w:rsidP="00D553E9" w:rsidRDefault="00D553E9" w14:paraId="62FFCD31" w14:textId="77777777">
            <w:pPr>
              <w:spacing w:after="0" w:line="240" w:lineRule="auto"/>
              <w:jc w:val="center"/>
              <w:rPr>
                <w:rFonts w:ascii="Times New Roman" w:hAnsi="Times New Roman" w:eastAsia="Times New Roman" w:cs="Times New Roman"/>
                <w:color w:val="000000"/>
                <w:sz w:val="20"/>
                <w:szCs w:val="20"/>
              </w:rPr>
            </w:pPr>
            <w:r w:rsidRPr="00C84427">
              <w:rPr>
                <w:rFonts w:ascii="Times New Roman" w:hAnsi="Times New Roman" w:eastAsia="Times New Roman" w:cs="Times New Roman"/>
                <w:color w:val="000000"/>
                <w:sz w:val="20"/>
                <w:szCs w:val="20"/>
              </w:rPr>
              <w:t>4,169,640</w:t>
            </w:r>
          </w:p>
        </w:tc>
        <w:tc>
          <w:tcPr>
            <w:tcW w:w="1530" w:type="dxa"/>
            <w:tcBorders>
              <w:top w:val="nil"/>
              <w:left w:val="nil"/>
              <w:bottom w:val="single" w:color="auto" w:sz="4" w:space="0"/>
              <w:right w:val="single" w:color="auto" w:sz="4" w:space="0"/>
            </w:tcBorders>
            <w:shd w:val="clear" w:color="000000" w:fill="D9D9D9"/>
            <w:vAlign w:val="center"/>
            <w:hideMark/>
          </w:tcPr>
          <w:p w:rsidRPr="00C84427" w:rsidR="00D553E9" w:rsidP="00D553E9" w:rsidRDefault="00D553E9" w14:paraId="0A6FCA6A" w14:textId="77777777">
            <w:pPr>
              <w:spacing w:after="0" w:line="240" w:lineRule="auto"/>
              <w:jc w:val="center"/>
              <w:rPr>
                <w:rFonts w:ascii="Times New Roman" w:hAnsi="Times New Roman" w:eastAsia="Times New Roman" w:cs="Times New Roman"/>
                <w:color w:val="000000"/>
                <w:sz w:val="20"/>
                <w:szCs w:val="20"/>
              </w:rPr>
            </w:pPr>
            <w:r w:rsidRPr="00C84427">
              <w:rPr>
                <w:rFonts w:ascii="Times New Roman" w:hAnsi="Times New Roman" w:eastAsia="Times New Roman" w:cs="Times New Roman"/>
                <w:color w:val="000000"/>
                <w:sz w:val="20"/>
                <w:szCs w:val="20"/>
              </w:rPr>
              <w:t>Varies</w:t>
            </w:r>
          </w:p>
        </w:tc>
        <w:tc>
          <w:tcPr>
            <w:tcW w:w="1350" w:type="dxa"/>
            <w:tcBorders>
              <w:top w:val="nil"/>
              <w:left w:val="nil"/>
              <w:bottom w:val="single" w:color="auto" w:sz="4" w:space="0"/>
              <w:right w:val="single" w:color="auto" w:sz="4" w:space="0"/>
            </w:tcBorders>
            <w:shd w:val="clear" w:color="000000" w:fill="D9D9D9"/>
            <w:noWrap/>
            <w:vAlign w:val="center"/>
            <w:hideMark/>
          </w:tcPr>
          <w:p w:rsidRPr="00C84427" w:rsidR="00D553E9" w:rsidP="00D553E9" w:rsidRDefault="00D553E9" w14:paraId="7DB4F06A" w14:textId="77777777">
            <w:pPr>
              <w:spacing w:after="0" w:line="240" w:lineRule="auto"/>
              <w:jc w:val="center"/>
              <w:rPr>
                <w:rFonts w:ascii="Times New Roman" w:hAnsi="Times New Roman" w:eastAsia="Times New Roman" w:cs="Times New Roman"/>
                <w:color w:val="000000"/>
                <w:sz w:val="20"/>
                <w:szCs w:val="20"/>
              </w:rPr>
            </w:pPr>
            <w:r w:rsidRPr="00C84427">
              <w:rPr>
                <w:rFonts w:ascii="Times New Roman" w:hAnsi="Times New Roman" w:eastAsia="Times New Roman" w:cs="Times New Roman"/>
                <w:color w:val="000000"/>
                <w:sz w:val="20"/>
                <w:szCs w:val="20"/>
              </w:rPr>
              <w:t>93,036</w:t>
            </w:r>
          </w:p>
        </w:tc>
        <w:tc>
          <w:tcPr>
            <w:tcW w:w="1620" w:type="dxa"/>
            <w:tcBorders>
              <w:top w:val="nil"/>
              <w:left w:val="nil"/>
              <w:bottom w:val="single" w:color="auto" w:sz="4" w:space="0"/>
              <w:right w:val="single" w:color="auto" w:sz="4" w:space="0"/>
            </w:tcBorders>
            <w:shd w:val="clear" w:color="000000" w:fill="D9D9D9"/>
            <w:vAlign w:val="center"/>
            <w:hideMark/>
          </w:tcPr>
          <w:p w:rsidRPr="00C84427" w:rsidR="00D553E9" w:rsidP="00D553E9" w:rsidRDefault="00D553E9" w14:paraId="2177FD48" w14:textId="77777777">
            <w:pPr>
              <w:spacing w:after="0" w:line="240" w:lineRule="auto"/>
              <w:jc w:val="center"/>
              <w:rPr>
                <w:rFonts w:ascii="Times New Roman" w:hAnsi="Times New Roman" w:eastAsia="Times New Roman" w:cs="Times New Roman"/>
                <w:color w:val="000000"/>
                <w:sz w:val="20"/>
                <w:szCs w:val="20"/>
              </w:rPr>
            </w:pPr>
            <w:r w:rsidRPr="00C84427">
              <w:rPr>
                <w:rFonts w:ascii="Times New Roman" w:hAnsi="Times New Roman" w:eastAsia="Times New Roman" w:cs="Times New Roman"/>
                <w:color w:val="000000"/>
                <w:sz w:val="20"/>
                <w:szCs w:val="20"/>
              </w:rPr>
              <w:t>Varies</w:t>
            </w:r>
          </w:p>
        </w:tc>
        <w:tc>
          <w:tcPr>
            <w:tcW w:w="3400" w:type="dxa"/>
            <w:tcBorders>
              <w:top w:val="nil"/>
              <w:left w:val="nil"/>
              <w:bottom w:val="single" w:color="auto" w:sz="4" w:space="0"/>
              <w:right w:val="single" w:color="auto" w:sz="4" w:space="0"/>
            </w:tcBorders>
            <w:shd w:val="clear" w:color="000000" w:fill="D9D9D9"/>
            <w:noWrap/>
            <w:vAlign w:val="center"/>
            <w:hideMark/>
          </w:tcPr>
          <w:p w:rsidRPr="00C84427" w:rsidR="00D553E9" w:rsidP="00D553E9" w:rsidRDefault="00D553E9" w14:paraId="133C86DB" w14:textId="77777777">
            <w:pPr>
              <w:spacing w:after="0" w:line="240" w:lineRule="auto"/>
              <w:jc w:val="center"/>
              <w:rPr>
                <w:rFonts w:ascii="Times New Roman" w:hAnsi="Times New Roman" w:eastAsia="Times New Roman" w:cs="Times New Roman"/>
                <w:color w:val="000000"/>
                <w:sz w:val="20"/>
                <w:szCs w:val="20"/>
              </w:rPr>
            </w:pPr>
            <w:r w:rsidRPr="00C84427">
              <w:rPr>
                <w:rFonts w:ascii="Times New Roman" w:hAnsi="Times New Roman" w:eastAsia="Times New Roman" w:cs="Times New Roman"/>
                <w:color w:val="000000"/>
                <w:sz w:val="20"/>
                <w:szCs w:val="20"/>
              </w:rPr>
              <w:t>4,478,345</w:t>
            </w:r>
          </w:p>
        </w:tc>
      </w:tr>
    </w:tbl>
    <w:p w:rsidRPr="0094555B" w:rsidR="00046945" w:rsidP="0094555B" w:rsidRDefault="00046945" w14:paraId="365FE018" w14:textId="1A2DF5BC">
      <w:pPr>
        <w:pStyle w:val="TableCaption"/>
        <w:spacing w:after="0"/>
        <w:jc w:val="left"/>
        <w:rPr>
          <w:b w:val="0"/>
        </w:rPr>
      </w:pPr>
    </w:p>
    <w:p w:rsidRPr="00D553E9" w:rsidR="007E44B2" w:rsidP="00D553E9" w:rsidRDefault="00046945" w14:paraId="38BBDD84" w14:textId="498B769F">
      <w:pPr>
        <w:pStyle w:val="BodyText"/>
        <w:rPr>
          <w:rFonts w:ascii="Times New Roman" w:hAnsi="Times New Roman" w:eastAsia="Times New Roman" w:cs="Times New Roman"/>
          <w:sz w:val="24"/>
          <w:szCs w:val="24"/>
        </w:rPr>
      </w:pPr>
      <w:r w:rsidRPr="0094555B">
        <w:br w:type="page"/>
      </w:r>
      <w:bookmarkStart w:name="_GoBack" w:id="55"/>
      <w:bookmarkEnd w:id="55"/>
    </w:p>
    <w:p w:rsidRPr="0094555B" w:rsidR="00B13026" w:rsidP="0094555B" w:rsidRDefault="00B13026" w14:paraId="7041AA83" w14:textId="77777777">
      <w:pPr>
        <w:spacing w:after="0" w:line="240" w:lineRule="auto"/>
        <w:rPr>
          <w:rFonts w:ascii="Times New Roman" w:hAnsi="Times New Roman" w:cs="Times New Roman"/>
          <w:sz w:val="24"/>
          <w:szCs w:val="24"/>
        </w:rPr>
      </w:pPr>
    </w:p>
    <w:p w:rsidRPr="00622C90" w:rsidR="00B13026" w:rsidP="0094555B" w:rsidRDefault="00B13026" w14:paraId="22374C31" w14:textId="24BB3003">
      <w:pPr>
        <w:pStyle w:val="TableCaption"/>
        <w:spacing w:after="0"/>
        <w:rPr>
          <w:b w:val="0"/>
        </w:rPr>
      </w:pPr>
      <w:bookmarkStart w:name="_Hlk1639306" w:id="56"/>
      <w:r w:rsidRPr="00622C90">
        <w:rPr>
          <w:b w:val="0"/>
        </w:rPr>
        <w:t>Summary of Annual Burden Estimates: Private Sector</w:t>
      </w:r>
    </w:p>
    <w:p w:rsidR="00F14558" w:rsidP="0094555B" w:rsidRDefault="00F14558" w14:paraId="3C2DB9DB" w14:textId="67D6197C">
      <w:pPr>
        <w:pStyle w:val="TableCaption"/>
        <w:spacing w:after="0"/>
        <w:rPr>
          <w:b w:val="0"/>
          <w:i/>
        </w:rPr>
      </w:pPr>
      <w:r w:rsidRPr="0094555B">
        <w:rPr>
          <w:b w:val="0"/>
          <w:i/>
        </w:rPr>
        <w:t>(Response Type: R=reporting; RK=recordkeeping; TPD=third-party disclosure)</w:t>
      </w:r>
    </w:p>
    <w:p w:rsidR="00E75905" w:rsidP="0094555B" w:rsidRDefault="00E75905" w14:paraId="1B9CAAC7" w14:textId="2F14C045">
      <w:pPr>
        <w:pStyle w:val="TableCaption"/>
        <w:spacing w:after="0"/>
        <w:rPr>
          <w:b w:val="0"/>
          <w:i/>
        </w:rPr>
      </w:pPr>
    </w:p>
    <w:tbl>
      <w:tblPr>
        <w:tblStyle w:val="TableGrid"/>
        <w:tblW w:w="13225" w:type="dxa"/>
        <w:tblLayout w:type="fixed"/>
        <w:tblLook w:val="04A0" w:firstRow="1" w:lastRow="0" w:firstColumn="1" w:lastColumn="0" w:noHBand="0" w:noVBand="1"/>
      </w:tblPr>
      <w:tblGrid>
        <w:gridCol w:w="1075"/>
        <w:gridCol w:w="1659"/>
        <w:gridCol w:w="1491"/>
        <w:gridCol w:w="1159"/>
        <w:gridCol w:w="1181"/>
        <w:gridCol w:w="1514"/>
        <w:gridCol w:w="1062"/>
        <w:gridCol w:w="1625"/>
        <w:gridCol w:w="1199"/>
        <w:gridCol w:w="1260"/>
      </w:tblGrid>
      <w:tr w:rsidRPr="00D553E9" w:rsidR="00E75905" w:rsidTr="00E75905" w14:paraId="5538F83C" w14:textId="77777777">
        <w:trPr>
          <w:trHeight w:val="1068"/>
        </w:trPr>
        <w:tc>
          <w:tcPr>
            <w:tcW w:w="1075" w:type="dxa"/>
            <w:hideMark/>
          </w:tcPr>
          <w:p w:rsidRPr="00D553E9" w:rsidR="00E75905" w:rsidP="00E75905" w:rsidRDefault="00E75905" w14:paraId="3DC68380" w14:textId="77777777">
            <w:pPr>
              <w:pStyle w:val="TableCaption"/>
              <w:spacing w:after="0"/>
              <w:jc w:val="left"/>
              <w:rPr>
                <w:b w:val="0"/>
                <w:sz w:val="20"/>
                <w:szCs w:val="20"/>
              </w:rPr>
            </w:pPr>
            <w:r w:rsidRPr="00D553E9">
              <w:rPr>
                <w:b w:val="0"/>
                <w:sz w:val="20"/>
                <w:szCs w:val="20"/>
              </w:rPr>
              <w:t>Estimate #</w:t>
            </w:r>
          </w:p>
        </w:tc>
        <w:tc>
          <w:tcPr>
            <w:tcW w:w="1659" w:type="dxa"/>
            <w:hideMark/>
          </w:tcPr>
          <w:p w:rsidRPr="00D553E9" w:rsidR="00E75905" w:rsidP="00E75905" w:rsidRDefault="00E75905" w14:paraId="03AF96CD" w14:textId="77777777">
            <w:pPr>
              <w:pStyle w:val="TableCaption"/>
              <w:spacing w:after="0"/>
              <w:jc w:val="left"/>
              <w:rPr>
                <w:b w:val="0"/>
                <w:sz w:val="20"/>
                <w:szCs w:val="20"/>
              </w:rPr>
            </w:pPr>
            <w:r w:rsidRPr="00D553E9">
              <w:rPr>
                <w:b w:val="0"/>
                <w:sz w:val="20"/>
                <w:szCs w:val="20"/>
              </w:rPr>
              <w:t>CFR Section</w:t>
            </w:r>
          </w:p>
        </w:tc>
        <w:tc>
          <w:tcPr>
            <w:tcW w:w="1491" w:type="dxa"/>
            <w:hideMark/>
          </w:tcPr>
          <w:p w:rsidRPr="00D553E9" w:rsidR="00E75905" w:rsidP="00E75905" w:rsidRDefault="00E75905" w14:paraId="0238ED06" w14:textId="77777777">
            <w:pPr>
              <w:pStyle w:val="TableCaption"/>
              <w:spacing w:after="0"/>
              <w:jc w:val="left"/>
              <w:rPr>
                <w:b w:val="0"/>
                <w:sz w:val="20"/>
                <w:szCs w:val="20"/>
              </w:rPr>
            </w:pPr>
            <w:r w:rsidRPr="00D553E9">
              <w:rPr>
                <w:b w:val="0"/>
                <w:sz w:val="20"/>
                <w:szCs w:val="20"/>
              </w:rPr>
              <w:t>Respondents</w:t>
            </w:r>
          </w:p>
        </w:tc>
        <w:tc>
          <w:tcPr>
            <w:tcW w:w="1159" w:type="dxa"/>
            <w:hideMark/>
          </w:tcPr>
          <w:p w:rsidRPr="00D553E9" w:rsidR="00E75905" w:rsidP="00E75905" w:rsidRDefault="00E75905" w14:paraId="5CE9BBA5" w14:textId="77777777">
            <w:pPr>
              <w:pStyle w:val="TableCaption"/>
              <w:spacing w:after="0"/>
              <w:jc w:val="left"/>
              <w:rPr>
                <w:b w:val="0"/>
                <w:sz w:val="20"/>
                <w:szCs w:val="20"/>
              </w:rPr>
            </w:pPr>
            <w:r w:rsidRPr="00D553E9">
              <w:rPr>
                <w:b w:val="0"/>
                <w:sz w:val="20"/>
                <w:szCs w:val="20"/>
              </w:rPr>
              <w:t>Total Responses</w:t>
            </w:r>
          </w:p>
        </w:tc>
        <w:tc>
          <w:tcPr>
            <w:tcW w:w="1181" w:type="dxa"/>
            <w:hideMark/>
          </w:tcPr>
          <w:p w:rsidRPr="00D553E9" w:rsidR="00E75905" w:rsidP="00E75905" w:rsidRDefault="00E75905" w14:paraId="0DD09931" w14:textId="77777777">
            <w:pPr>
              <w:pStyle w:val="TableCaption"/>
              <w:spacing w:after="0"/>
              <w:jc w:val="left"/>
              <w:rPr>
                <w:b w:val="0"/>
                <w:sz w:val="20"/>
                <w:szCs w:val="20"/>
              </w:rPr>
            </w:pPr>
            <w:r w:rsidRPr="00D553E9">
              <w:rPr>
                <w:b w:val="0"/>
                <w:sz w:val="20"/>
                <w:szCs w:val="20"/>
              </w:rPr>
              <w:t>Burden per Response (</w:t>
            </w:r>
            <w:proofErr w:type="spellStart"/>
            <w:r w:rsidRPr="00D553E9">
              <w:rPr>
                <w:b w:val="0"/>
                <w:sz w:val="20"/>
                <w:szCs w:val="20"/>
              </w:rPr>
              <w:t>hr</w:t>
            </w:r>
            <w:proofErr w:type="spellEnd"/>
            <w:r w:rsidRPr="00D553E9">
              <w:rPr>
                <w:b w:val="0"/>
                <w:sz w:val="20"/>
                <w:szCs w:val="20"/>
              </w:rPr>
              <w:t>)</w:t>
            </w:r>
          </w:p>
        </w:tc>
        <w:tc>
          <w:tcPr>
            <w:tcW w:w="1514" w:type="dxa"/>
            <w:hideMark/>
          </w:tcPr>
          <w:p w:rsidRPr="00D553E9" w:rsidR="00E75905" w:rsidP="00E75905" w:rsidRDefault="00E75905" w14:paraId="169194AA" w14:textId="77777777">
            <w:pPr>
              <w:pStyle w:val="TableCaption"/>
              <w:spacing w:after="0"/>
              <w:jc w:val="left"/>
              <w:rPr>
                <w:b w:val="0"/>
                <w:sz w:val="20"/>
                <w:szCs w:val="20"/>
              </w:rPr>
            </w:pPr>
            <w:r w:rsidRPr="00D553E9">
              <w:rPr>
                <w:b w:val="0"/>
                <w:sz w:val="20"/>
                <w:szCs w:val="20"/>
              </w:rPr>
              <w:t>Total Annual Time (</w:t>
            </w:r>
            <w:proofErr w:type="spellStart"/>
            <w:r w:rsidRPr="00D553E9">
              <w:rPr>
                <w:b w:val="0"/>
                <w:sz w:val="20"/>
                <w:szCs w:val="20"/>
              </w:rPr>
              <w:t>hr</w:t>
            </w:r>
            <w:proofErr w:type="spellEnd"/>
            <w:r w:rsidRPr="00D553E9">
              <w:rPr>
                <w:b w:val="0"/>
                <w:sz w:val="20"/>
                <w:szCs w:val="20"/>
              </w:rPr>
              <w:t>)</w:t>
            </w:r>
          </w:p>
        </w:tc>
        <w:tc>
          <w:tcPr>
            <w:tcW w:w="1062" w:type="dxa"/>
            <w:hideMark/>
          </w:tcPr>
          <w:p w:rsidRPr="00D553E9" w:rsidR="00E75905" w:rsidP="00E75905" w:rsidRDefault="00E75905" w14:paraId="6A010982" w14:textId="77777777">
            <w:pPr>
              <w:pStyle w:val="TableCaption"/>
              <w:spacing w:after="0"/>
              <w:jc w:val="left"/>
              <w:rPr>
                <w:b w:val="0"/>
                <w:sz w:val="20"/>
                <w:szCs w:val="20"/>
              </w:rPr>
            </w:pPr>
            <w:r w:rsidRPr="00D553E9">
              <w:rPr>
                <w:b w:val="0"/>
                <w:sz w:val="20"/>
                <w:szCs w:val="20"/>
              </w:rPr>
              <w:t>Labor Rate ($/</w:t>
            </w:r>
            <w:proofErr w:type="spellStart"/>
            <w:r w:rsidRPr="00D553E9">
              <w:rPr>
                <w:b w:val="0"/>
                <w:sz w:val="20"/>
                <w:szCs w:val="20"/>
              </w:rPr>
              <w:t>hr</w:t>
            </w:r>
            <w:proofErr w:type="spellEnd"/>
            <w:r w:rsidRPr="00D553E9">
              <w:rPr>
                <w:b w:val="0"/>
                <w:sz w:val="20"/>
                <w:szCs w:val="20"/>
              </w:rPr>
              <w:t>)</w:t>
            </w:r>
          </w:p>
        </w:tc>
        <w:tc>
          <w:tcPr>
            <w:tcW w:w="1625" w:type="dxa"/>
            <w:hideMark/>
          </w:tcPr>
          <w:p w:rsidRPr="00D553E9" w:rsidR="00E75905" w:rsidP="00E75905" w:rsidRDefault="00E75905" w14:paraId="44D6B291" w14:textId="77777777">
            <w:pPr>
              <w:pStyle w:val="TableCaption"/>
              <w:spacing w:after="0"/>
              <w:jc w:val="left"/>
              <w:rPr>
                <w:b w:val="0"/>
                <w:sz w:val="20"/>
                <w:szCs w:val="20"/>
              </w:rPr>
            </w:pPr>
            <w:r w:rsidRPr="00D553E9">
              <w:rPr>
                <w:b w:val="0"/>
                <w:sz w:val="20"/>
                <w:szCs w:val="20"/>
              </w:rPr>
              <w:t>Total Annual Cost ($)</w:t>
            </w:r>
          </w:p>
        </w:tc>
        <w:tc>
          <w:tcPr>
            <w:tcW w:w="1199" w:type="dxa"/>
            <w:hideMark/>
          </w:tcPr>
          <w:p w:rsidRPr="00D553E9" w:rsidR="00E75905" w:rsidP="00E75905" w:rsidRDefault="00E75905" w14:paraId="7B8D458E" w14:textId="77777777">
            <w:pPr>
              <w:pStyle w:val="TableCaption"/>
              <w:spacing w:after="0"/>
              <w:jc w:val="left"/>
              <w:rPr>
                <w:b w:val="0"/>
                <w:sz w:val="20"/>
                <w:szCs w:val="20"/>
              </w:rPr>
            </w:pPr>
            <w:r w:rsidRPr="00D553E9">
              <w:rPr>
                <w:b w:val="0"/>
                <w:sz w:val="20"/>
                <w:szCs w:val="20"/>
              </w:rPr>
              <w:t>Response Type</w:t>
            </w:r>
          </w:p>
        </w:tc>
        <w:tc>
          <w:tcPr>
            <w:tcW w:w="1260" w:type="dxa"/>
            <w:hideMark/>
          </w:tcPr>
          <w:p w:rsidRPr="00D553E9" w:rsidR="00E75905" w:rsidP="00E75905" w:rsidRDefault="00E75905" w14:paraId="75B25377" w14:textId="77777777">
            <w:pPr>
              <w:pStyle w:val="TableCaption"/>
              <w:spacing w:after="0"/>
              <w:jc w:val="left"/>
              <w:rPr>
                <w:b w:val="0"/>
                <w:sz w:val="20"/>
                <w:szCs w:val="20"/>
              </w:rPr>
            </w:pPr>
            <w:r w:rsidRPr="00D553E9">
              <w:rPr>
                <w:b w:val="0"/>
                <w:sz w:val="20"/>
                <w:szCs w:val="20"/>
              </w:rPr>
              <w:t>Frequency</w:t>
            </w:r>
          </w:p>
        </w:tc>
      </w:tr>
      <w:tr w:rsidRPr="00D553E9" w:rsidR="00E75905" w:rsidTr="00D553E9" w14:paraId="11962BA3" w14:textId="77777777">
        <w:trPr>
          <w:trHeight w:val="773"/>
        </w:trPr>
        <w:tc>
          <w:tcPr>
            <w:tcW w:w="1075" w:type="dxa"/>
            <w:hideMark/>
          </w:tcPr>
          <w:p w:rsidRPr="00D553E9" w:rsidR="00E75905" w:rsidP="00E75905" w:rsidRDefault="00E75905" w14:paraId="05980751" w14:textId="77777777">
            <w:pPr>
              <w:pStyle w:val="TableCaption"/>
              <w:spacing w:after="0"/>
              <w:jc w:val="left"/>
              <w:rPr>
                <w:b w:val="0"/>
                <w:sz w:val="20"/>
                <w:szCs w:val="20"/>
              </w:rPr>
            </w:pPr>
            <w:r w:rsidRPr="00D553E9">
              <w:rPr>
                <w:b w:val="0"/>
                <w:sz w:val="20"/>
                <w:szCs w:val="20"/>
              </w:rPr>
              <w:t>12.1f</w:t>
            </w:r>
          </w:p>
        </w:tc>
        <w:tc>
          <w:tcPr>
            <w:tcW w:w="1659" w:type="dxa"/>
            <w:hideMark/>
          </w:tcPr>
          <w:p w:rsidRPr="00D553E9" w:rsidR="00E75905" w:rsidP="00E75905" w:rsidRDefault="00E75905" w14:paraId="345D6905" w14:textId="77777777">
            <w:pPr>
              <w:pStyle w:val="TableCaption"/>
              <w:spacing w:after="0"/>
              <w:rPr>
                <w:b w:val="0"/>
                <w:sz w:val="20"/>
                <w:szCs w:val="20"/>
              </w:rPr>
            </w:pPr>
            <w:r w:rsidRPr="00D553E9">
              <w:rPr>
                <w:b w:val="0"/>
                <w:sz w:val="20"/>
                <w:szCs w:val="20"/>
              </w:rPr>
              <w:t>438.3(t) Std Contract Requirements</w:t>
            </w:r>
          </w:p>
        </w:tc>
        <w:tc>
          <w:tcPr>
            <w:tcW w:w="1491" w:type="dxa"/>
            <w:hideMark/>
          </w:tcPr>
          <w:p w:rsidRPr="00D553E9" w:rsidR="00E75905" w:rsidP="00E75905" w:rsidRDefault="00E75905" w14:paraId="7E92C04D" w14:textId="77777777">
            <w:pPr>
              <w:pStyle w:val="TableCaption"/>
              <w:spacing w:after="0"/>
              <w:jc w:val="left"/>
              <w:rPr>
                <w:b w:val="0"/>
                <w:sz w:val="20"/>
                <w:szCs w:val="20"/>
              </w:rPr>
            </w:pPr>
            <w:r w:rsidRPr="00D553E9">
              <w:rPr>
                <w:b w:val="0"/>
                <w:sz w:val="20"/>
                <w:szCs w:val="20"/>
              </w:rPr>
              <w:t>25</w:t>
            </w:r>
          </w:p>
        </w:tc>
        <w:tc>
          <w:tcPr>
            <w:tcW w:w="1159" w:type="dxa"/>
            <w:hideMark/>
          </w:tcPr>
          <w:p w:rsidRPr="00D553E9" w:rsidR="00E75905" w:rsidP="00E75905" w:rsidRDefault="00E75905" w14:paraId="5EE841DB" w14:textId="77777777">
            <w:pPr>
              <w:pStyle w:val="TableCaption"/>
              <w:spacing w:after="0"/>
              <w:jc w:val="left"/>
              <w:rPr>
                <w:b w:val="0"/>
                <w:sz w:val="20"/>
                <w:szCs w:val="20"/>
              </w:rPr>
            </w:pPr>
            <w:r w:rsidRPr="00D553E9">
              <w:rPr>
                <w:b w:val="0"/>
                <w:sz w:val="20"/>
                <w:szCs w:val="20"/>
              </w:rPr>
              <w:t>8.333</w:t>
            </w:r>
          </w:p>
        </w:tc>
        <w:tc>
          <w:tcPr>
            <w:tcW w:w="1181" w:type="dxa"/>
            <w:hideMark/>
          </w:tcPr>
          <w:p w:rsidRPr="00D553E9" w:rsidR="00E75905" w:rsidP="00E75905" w:rsidRDefault="00E75905" w14:paraId="0F336061" w14:textId="77777777">
            <w:pPr>
              <w:pStyle w:val="TableCaption"/>
              <w:spacing w:after="0"/>
              <w:jc w:val="left"/>
              <w:rPr>
                <w:b w:val="0"/>
                <w:sz w:val="20"/>
                <w:szCs w:val="20"/>
              </w:rPr>
            </w:pPr>
            <w:r w:rsidRPr="00D553E9">
              <w:rPr>
                <w:b w:val="0"/>
                <w:sz w:val="20"/>
                <w:szCs w:val="20"/>
              </w:rPr>
              <w:t>4</w:t>
            </w:r>
          </w:p>
        </w:tc>
        <w:tc>
          <w:tcPr>
            <w:tcW w:w="1514" w:type="dxa"/>
            <w:hideMark/>
          </w:tcPr>
          <w:p w:rsidRPr="00D553E9" w:rsidR="00E75905" w:rsidP="00E75905" w:rsidRDefault="00E75905" w14:paraId="41051958" w14:textId="77777777">
            <w:pPr>
              <w:pStyle w:val="TableCaption"/>
              <w:spacing w:after="0"/>
              <w:jc w:val="left"/>
              <w:rPr>
                <w:b w:val="0"/>
                <w:sz w:val="20"/>
                <w:szCs w:val="20"/>
              </w:rPr>
            </w:pPr>
            <w:r w:rsidRPr="00D553E9">
              <w:rPr>
                <w:b w:val="0"/>
                <w:sz w:val="20"/>
                <w:szCs w:val="20"/>
              </w:rPr>
              <w:t>33.33</w:t>
            </w:r>
          </w:p>
        </w:tc>
        <w:tc>
          <w:tcPr>
            <w:tcW w:w="1062" w:type="dxa"/>
            <w:hideMark/>
          </w:tcPr>
          <w:p w:rsidRPr="00D553E9" w:rsidR="00E75905" w:rsidP="00E75905" w:rsidRDefault="00E75905" w14:paraId="7BAA0FF8" w14:textId="77777777">
            <w:pPr>
              <w:pStyle w:val="TableCaption"/>
              <w:spacing w:after="0"/>
              <w:jc w:val="left"/>
              <w:rPr>
                <w:b w:val="0"/>
                <w:sz w:val="20"/>
                <w:szCs w:val="20"/>
              </w:rPr>
            </w:pPr>
            <w:r w:rsidRPr="00D553E9">
              <w:rPr>
                <w:b w:val="0"/>
                <w:sz w:val="20"/>
                <w:szCs w:val="20"/>
              </w:rPr>
              <w:t>75.32</w:t>
            </w:r>
          </w:p>
        </w:tc>
        <w:tc>
          <w:tcPr>
            <w:tcW w:w="1625" w:type="dxa"/>
            <w:hideMark/>
          </w:tcPr>
          <w:p w:rsidRPr="00D553E9" w:rsidR="00E75905" w:rsidP="00E75905" w:rsidRDefault="00E75905" w14:paraId="4633967A" w14:textId="77777777">
            <w:pPr>
              <w:pStyle w:val="TableCaption"/>
              <w:spacing w:after="0"/>
              <w:jc w:val="left"/>
              <w:rPr>
                <w:b w:val="0"/>
                <w:sz w:val="20"/>
                <w:szCs w:val="20"/>
              </w:rPr>
            </w:pPr>
            <w:r w:rsidRPr="00D553E9">
              <w:rPr>
                <w:b w:val="0"/>
                <w:sz w:val="20"/>
                <w:szCs w:val="20"/>
              </w:rPr>
              <w:t>2,510</w:t>
            </w:r>
          </w:p>
        </w:tc>
        <w:tc>
          <w:tcPr>
            <w:tcW w:w="1199" w:type="dxa"/>
            <w:hideMark/>
          </w:tcPr>
          <w:p w:rsidRPr="00D553E9" w:rsidR="00E75905" w:rsidP="00E75905" w:rsidRDefault="00E75905" w14:paraId="4420AA0D" w14:textId="77777777">
            <w:pPr>
              <w:pStyle w:val="TableCaption"/>
              <w:spacing w:after="0"/>
              <w:jc w:val="left"/>
              <w:rPr>
                <w:b w:val="0"/>
                <w:sz w:val="20"/>
                <w:szCs w:val="20"/>
              </w:rPr>
            </w:pPr>
            <w:r w:rsidRPr="00D553E9">
              <w:rPr>
                <w:b w:val="0"/>
                <w:sz w:val="20"/>
                <w:szCs w:val="20"/>
              </w:rPr>
              <w:t>R</w:t>
            </w:r>
          </w:p>
        </w:tc>
        <w:tc>
          <w:tcPr>
            <w:tcW w:w="1260" w:type="dxa"/>
            <w:hideMark/>
          </w:tcPr>
          <w:p w:rsidRPr="00D553E9" w:rsidR="00E75905" w:rsidP="00E75905" w:rsidRDefault="00E75905" w14:paraId="3428857F" w14:textId="77777777">
            <w:pPr>
              <w:pStyle w:val="TableCaption"/>
              <w:spacing w:after="0"/>
              <w:jc w:val="left"/>
              <w:rPr>
                <w:b w:val="0"/>
                <w:sz w:val="20"/>
                <w:szCs w:val="20"/>
              </w:rPr>
            </w:pPr>
            <w:r w:rsidRPr="00D553E9">
              <w:rPr>
                <w:b w:val="0"/>
                <w:sz w:val="20"/>
                <w:szCs w:val="20"/>
              </w:rPr>
              <w:t>Once</w:t>
            </w:r>
          </w:p>
        </w:tc>
      </w:tr>
      <w:tr w:rsidRPr="00D553E9" w:rsidR="00E75905" w:rsidTr="00D553E9" w14:paraId="07513AFC" w14:textId="77777777">
        <w:trPr>
          <w:trHeight w:val="269"/>
        </w:trPr>
        <w:tc>
          <w:tcPr>
            <w:tcW w:w="1075" w:type="dxa"/>
            <w:hideMark/>
          </w:tcPr>
          <w:p w:rsidRPr="00D553E9" w:rsidR="00E75905" w:rsidP="00E75905" w:rsidRDefault="00E75905" w14:paraId="4914BF2A" w14:textId="77777777">
            <w:pPr>
              <w:pStyle w:val="TableCaption"/>
              <w:spacing w:after="0"/>
              <w:jc w:val="left"/>
              <w:rPr>
                <w:b w:val="0"/>
                <w:sz w:val="20"/>
                <w:szCs w:val="20"/>
              </w:rPr>
            </w:pPr>
            <w:r w:rsidRPr="00D553E9">
              <w:rPr>
                <w:b w:val="0"/>
                <w:sz w:val="20"/>
                <w:szCs w:val="20"/>
              </w:rPr>
              <w:t>12.5</w:t>
            </w:r>
          </w:p>
        </w:tc>
        <w:tc>
          <w:tcPr>
            <w:tcW w:w="1659" w:type="dxa"/>
            <w:hideMark/>
          </w:tcPr>
          <w:p w:rsidRPr="00D553E9" w:rsidR="00E75905" w:rsidP="00E75905" w:rsidRDefault="00E75905" w14:paraId="3BF69BE1" w14:textId="77777777">
            <w:pPr>
              <w:pStyle w:val="TableCaption"/>
              <w:spacing w:after="0"/>
              <w:rPr>
                <w:b w:val="0"/>
                <w:sz w:val="20"/>
                <w:szCs w:val="20"/>
              </w:rPr>
            </w:pPr>
            <w:r w:rsidRPr="00D553E9">
              <w:rPr>
                <w:b w:val="0"/>
                <w:sz w:val="20"/>
                <w:szCs w:val="20"/>
              </w:rPr>
              <w:t>438.8(c), MLR</w:t>
            </w:r>
          </w:p>
        </w:tc>
        <w:tc>
          <w:tcPr>
            <w:tcW w:w="1491" w:type="dxa"/>
            <w:noWrap/>
            <w:hideMark/>
          </w:tcPr>
          <w:p w:rsidRPr="00D553E9" w:rsidR="00E75905" w:rsidP="00E75905" w:rsidRDefault="00E75905" w14:paraId="7EC6D69C" w14:textId="77777777">
            <w:pPr>
              <w:pStyle w:val="TableCaption"/>
              <w:spacing w:after="0"/>
              <w:jc w:val="left"/>
              <w:rPr>
                <w:b w:val="0"/>
                <w:sz w:val="20"/>
                <w:szCs w:val="20"/>
              </w:rPr>
            </w:pPr>
            <w:r w:rsidRPr="00D553E9">
              <w:rPr>
                <w:b w:val="0"/>
                <w:sz w:val="20"/>
                <w:szCs w:val="20"/>
              </w:rPr>
              <w:t>488</w:t>
            </w:r>
          </w:p>
        </w:tc>
        <w:tc>
          <w:tcPr>
            <w:tcW w:w="1159" w:type="dxa"/>
            <w:noWrap/>
            <w:hideMark/>
          </w:tcPr>
          <w:p w:rsidRPr="00D553E9" w:rsidR="00E75905" w:rsidP="00E75905" w:rsidRDefault="00E75905" w14:paraId="2D2410A4" w14:textId="77777777">
            <w:pPr>
              <w:pStyle w:val="TableCaption"/>
              <w:spacing w:after="0"/>
              <w:jc w:val="left"/>
              <w:rPr>
                <w:b w:val="0"/>
                <w:sz w:val="20"/>
                <w:szCs w:val="20"/>
              </w:rPr>
            </w:pPr>
            <w:r w:rsidRPr="00D553E9">
              <w:rPr>
                <w:b w:val="0"/>
                <w:sz w:val="20"/>
                <w:szCs w:val="20"/>
              </w:rPr>
              <w:t>488</w:t>
            </w:r>
          </w:p>
        </w:tc>
        <w:tc>
          <w:tcPr>
            <w:tcW w:w="1181" w:type="dxa"/>
            <w:hideMark/>
          </w:tcPr>
          <w:p w:rsidRPr="00D553E9" w:rsidR="00E75905" w:rsidP="00E75905" w:rsidRDefault="00E75905" w14:paraId="5B9F21B1" w14:textId="77777777">
            <w:pPr>
              <w:pStyle w:val="TableCaption"/>
              <w:spacing w:after="0"/>
              <w:jc w:val="left"/>
              <w:rPr>
                <w:b w:val="0"/>
                <w:sz w:val="20"/>
                <w:szCs w:val="20"/>
              </w:rPr>
            </w:pPr>
            <w:r w:rsidRPr="00D553E9">
              <w:rPr>
                <w:b w:val="0"/>
                <w:sz w:val="20"/>
                <w:szCs w:val="20"/>
              </w:rPr>
              <w:t>53</w:t>
            </w:r>
          </w:p>
        </w:tc>
        <w:tc>
          <w:tcPr>
            <w:tcW w:w="1514" w:type="dxa"/>
            <w:hideMark/>
          </w:tcPr>
          <w:p w:rsidRPr="00D553E9" w:rsidR="00E75905" w:rsidP="00E75905" w:rsidRDefault="00E75905" w14:paraId="02DC7366" w14:textId="77777777">
            <w:pPr>
              <w:pStyle w:val="TableCaption"/>
              <w:spacing w:after="0"/>
              <w:jc w:val="left"/>
              <w:rPr>
                <w:b w:val="0"/>
                <w:sz w:val="20"/>
                <w:szCs w:val="20"/>
              </w:rPr>
            </w:pPr>
            <w:r w:rsidRPr="00D553E9">
              <w:rPr>
                <w:b w:val="0"/>
                <w:sz w:val="20"/>
                <w:szCs w:val="20"/>
              </w:rPr>
              <w:t>25,864</w:t>
            </w:r>
          </w:p>
        </w:tc>
        <w:tc>
          <w:tcPr>
            <w:tcW w:w="1062" w:type="dxa"/>
            <w:hideMark/>
          </w:tcPr>
          <w:p w:rsidRPr="00D553E9" w:rsidR="00E75905" w:rsidP="00E75905" w:rsidRDefault="00E75905" w14:paraId="5E43B957" w14:textId="77777777">
            <w:pPr>
              <w:pStyle w:val="TableCaption"/>
              <w:spacing w:after="0"/>
              <w:jc w:val="left"/>
              <w:rPr>
                <w:b w:val="0"/>
                <w:sz w:val="20"/>
                <w:szCs w:val="20"/>
              </w:rPr>
            </w:pPr>
            <w:r w:rsidRPr="00D553E9">
              <w:rPr>
                <w:b w:val="0"/>
                <w:sz w:val="20"/>
                <w:szCs w:val="20"/>
              </w:rPr>
              <w:t>Varies (see narrative)</w:t>
            </w:r>
          </w:p>
        </w:tc>
        <w:tc>
          <w:tcPr>
            <w:tcW w:w="1625" w:type="dxa"/>
            <w:hideMark/>
          </w:tcPr>
          <w:p w:rsidRPr="00D553E9" w:rsidR="00E75905" w:rsidP="00E75905" w:rsidRDefault="00E75905" w14:paraId="672A1BAB" w14:textId="77777777">
            <w:pPr>
              <w:pStyle w:val="TableCaption"/>
              <w:spacing w:after="0"/>
              <w:jc w:val="left"/>
              <w:rPr>
                <w:b w:val="0"/>
                <w:sz w:val="20"/>
                <w:szCs w:val="20"/>
              </w:rPr>
            </w:pPr>
            <w:r w:rsidRPr="00D553E9">
              <w:rPr>
                <w:b w:val="0"/>
                <w:sz w:val="20"/>
                <w:szCs w:val="20"/>
              </w:rPr>
              <w:t>2,534,184</w:t>
            </w:r>
          </w:p>
        </w:tc>
        <w:tc>
          <w:tcPr>
            <w:tcW w:w="1199" w:type="dxa"/>
            <w:hideMark/>
          </w:tcPr>
          <w:p w:rsidRPr="00D553E9" w:rsidR="00E75905" w:rsidP="00E75905" w:rsidRDefault="00E75905" w14:paraId="55745087" w14:textId="77777777">
            <w:pPr>
              <w:pStyle w:val="TableCaption"/>
              <w:spacing w:after="0"/>
              <w:jc w:val="left"/>
              <w:rPr>
                <w:b w:val="0"/>
                <w:sz w:val="20"/>
                <w:szCs w:val="20"/>
              </w:rPr>
            </w:pPr>
            <w:r w:rsidRPr="00D553E9">
              <w:rPr>
                <w:b w:val="0"/>
                <w:sz w:val="20"/>
                <w:szCs w:val="20"/>
              </w:rPr>
              <w:t>R</w:t>
            </w:r>
          </w:p>
        </w:tc>
        <w:tc>
          <w:tcPr>
            <w:tcW w:w="1260" w:type="dxa"/>
            <w:hideMark/>
          </w:tcPr>
          <w:p w:rsidRPr="00D553E9" w:rsidR="00E75905" w:rsidP="00E75905" w:rsidRDefault="00E75905" w14:paraId="6A4229FA" w14:textId="77777777">
            <w:pPr>
              <w:pStyle w:val="TableCaption"/>
              <w:spacing w:after="0"/>
              <w:jc w:val="left"/>
              <w:rPr>
                <w:b w:val="0"/>
                <w:sz w:val="20"/>
                <w:szCs w:val="20"/>
              </w:rPr>
            </w:pPr>
            <w:r w:rsidRPr="00D553E9">
              <w:rPr>
                <w:b w:val="0"/>
                <w:sz w:val="20"/>
                <w:szCs w:val="20"/>
              </w:rPr>
              <w:t>Annual</w:t>
            </w:r>
          </w:p>
        </w:tc>
      </w:tr>
      <w:tr w:rsidRPr="00D553E9" w:rsidR="00E75905" w:rsidTr="00D553E9" w14:paraId="7DF12DC3" w14:textId="77777777">
        <w:trPr>
          <w:trHeight w:val="737"/>
        </w:trPr>
        <w:tc>
          <w:tcPr>
            <w:tcW w:w="1075" w:type="dxa"/>
            <w:hideMark/>
          </w:tcPr>
          <w:p w:rsidRPr="00D553E9" w:rsidR="00E75905" w:rsidP="00E75905" w:rsidRDefault="00E75905" w14:paraId="52507CE2" w14:textId="77777777">
            <w:pPr>
              <w:pStyle w:val="TableCaption"/>
              <w:spacing w:after="0"/>
              <w:jc w:val="left"/>
              <w:rPr>
                <w:b w:val="0"/>
                <w:sz w:val="20"/>
                <w:szCs w:val="20"/>
              </w:rPr>
            </w:pPr>
            <w:r w:rsidRPr="00D553E9">
              <w:rPr>
                <w:b w:val="0"/>
                <w:sz w:val="20"/>
                <w:szCs w:val="20"/>
              </w:rPr>
              <w:t>12.21</w:t>
            </w:r>
          </w:p>
        </w:tc>
        <w:tc>
          <w:tcPr>
            <w:tcW w:w="1659" w:type="dxa"/>
            <w:hideMark/>
          </w:tcPr>
          <w:p w:rsidRPr="00D553E9" w:rsidR="00E75905" w:rsidP="00E75905" w:rsidRDefault="00E75905" w14:paraId="74D3D1CD" w14:textId="77777777">
            <w:pPr>
              <w:pStyle w:val="TableCaption"/>
              <w:spacing w:after="0"/>
              <w:rPr>
                <w:b w:val="0"/>
                <w:sz w:val="20"/>
                <w:szCs w:val="20"/>
              </w:rPr>
            </w:pPr>
            <w:r w:rsidRPr="00D553E9">
              <w:rPr>
                <w:b w:val="0"/>
                <w:sz w:val="20"/>
                <w:szCs w:val="20"/>
              </w:rPr>
              <w:t>438.62(b)(2), Transition of Care</w:t>
            </w:r>
          </w:p>
        </w:tc>
        <w:tc>
          <w:tcPr>
            <w:tcW w:w="1491" w:type="dxa"/>
            <w:noWrap/>
            <w:hideMark/>
          </w:tcPr>
          <w:p w:rsidRPr="00D553E9" w:rsidR="00E75905" w:rsidP="00E75905" w:rsidRDefault="00E75905" w14:paraId="7D248E4B" w14:textId="77777777">
            <w:pPr>
              <w:pStyle w:val="TableCaption"/>
              <w:spacing w:after="0"/>
              <w:jc w:val="left"/>
              <w:rPr>
                <w:b w:val="0"/>
                <w:sz w:val="20"/>
                <w:szCs w:val="20"/>
              </w:rPr>
            </w:pPr>
            <w:r w:rsidRPr="00D553E9">
              <w:rPr>
                <w:b w:val="0"/>
                <w:sz w:val="20"/>
                <w:szCs w:val="20"/>
              </w:rPr>
              <w:t>568</w:t>
            </w:r>
          </w:p>
        </w:tc>
        <w:tc>
          <w:tcPr>
            <w:tcW w:w="1159" w:type="dxa"/>
            <w:noWrap/>
            <w:hideMark/>
          </w:tcPr>
          <w:p w:rsidRPr="00D553E9" w:rsidR="00E75905" w:rsidP="00E75905" w:rsidRDefault="00E75905" w14:paraId="7E73D7F1" w14:textId="77777777">
            <w:pPr>
              <w:pStyle w:val="TableCaption"/>
              <w:spacing w:after="0"/>
              <w:jc w:val="left"/>
              <w:rPr>
                <w:b w:val="0"/>
                <w:sz w:val="20"/>
                <w:szCs w:val="20"/>
              </w:rPr>
            </w:pPr>
            <w:r w:rsidRPr="00D553E9">
              <w:rPr>
                <w:b w:val="0"/>
                <w:sz w:val="20"/>
                <w:szCs w:val="20"/>
              </w:rPr>
              <w:t>330,536</w:t>
            </w:r>
          </w:p>
        </w:tc>
        <w:tc>
          <w:tcPr>
            <w:tcW w:w="1181" w:type="dxa"/>
            <w:hideMark/>
          </w:tcPr>
          <w:p w:rsidRPr="00D553E9" w:rsidR="00E75905" w:rsidP="00E75905" w:rsidRDefault="00E75905" w14:paraId="3D302CC4" w14:textId="77777777">
            <w:pPr>
              <w:pStyle w:val="TableCaption"/>
              <w:spacing w:after="0"/>
              <w:jc w:val="left"/>
              <w:rPr>
                <w:b w:val="0"/>
                <w:sz w:val="20"/>
                <w:szCs w:val="20"/>
              </w:rPr>
            </w:pPr>
            <w:r w:rsidRPr="00D553E9">
              <w:rPr>
                <w:b w:val="0"/>
                <w:sz w:val="20"/>
                <w:szCs w:val="20"/>
              </w:rPr>
              <w:t>0.1667</w:t>
            </w:r>
          </w:p>
        </w:tc>
        <w:tc>
          <w:tcPr>
            <w:tcW w:w="1514" w:type="dxa"/>
            <w:hideMark/>
          </w:tcPr>
          <w:p w:rsidRPr="00D553E9" w:rsidR="00E75905" w:rsidP="00E75905" w:rsidRDefault="00E75905" w14:paraId="7C322A8D" w14:textId="77777777">
            <w:pPr>
              <w:pStyle w:val="TableCaption"/>
              <w:spacing w:after="0"/>
              <w:jc w:val="left"/>
              <w:rPr>
                <w:b w:val="0"/>
                <w:sz w:val="20"/>
                <w:szCs w:val="20"/>
              </w:rPr>
            </w:pPr>
            <w:r w:rsidRPr="00D553E9">
              <w:rPr>
                <w:b w:val="0"/>
                <w:sz w:val="20"/>
                <w:szCs w:val="20"/>
              </w:rPr>
              <w:t>55,100</w:t>
            </w:r>
          </w:p>
        </w:tc>
        <w:tc>
          <w:tcPr>
            <w:tcW w:w="1062" w:type="dxa"/>
            <w:hideMark/>
          </w:tcPr>
          <w:p w:rsidRPr="00D553E9" w:rsidR="00E75905" w:rsidP="00E75905" w:rsidRDefault="00E75905" w14:paraId="2B974AC6" w14:textId="77777777">
            <w:pPr>
              <w:pStyle w:val="TableCaption"/>
              <w:spacing w:after="0"/>
              <w:jc w:val="left"/>
              <w:rPr>
                <w:b w:val="0"/>
                <w:sz w:val="20"/>
                <w:szCs w:val="20"/>
              </w:rPr>
            </w:pPr>
            <w:r w:rsidRPr="00D553E9">
              <w:rPr>
                <w:b w:val="0"/>
                <w:sz w:val="20"/>
                <w:szCs w:val="20"/>
              </w:rPr>
              <w:t>76.94</w:t>
            </w:r>
          </w:p>
        </w:tc>
        <w:tc>
          <w:tcPr>
            <w:tcW w:w="1625" w:type="dxa"/>
            <w:hideMark/>
          </w:tcPr>
          <w:p w:rsidRPr="00D553E9" w:rsidR="00E75905" w:rsidP="00E75905" w:rsidRDefault="00E75905" w14:paraId="661C68F7" w14:textId="77777777">
            <w:pPr>
              <w:pStyle w:val="TableCaption"/>
              <w:spacing w:after="0"/>
              <w:jc w:val="left"/>
              <w:rPr>
                <w:b w:val="0"/>
                <w:sz w:val="20"/>
                <w:szCs w:val="20"/>
              </w:rPr>
            </w:pPr>
            <w:r w:rsidRPr="00D553E9">
              <w:rPr>
                <w:b w:val="0"/>
                <w:sz w:val="20"/>
                <w:szCs w:val="20"/>
              </w:rPr>
              <w:t>4,239,394</w:t>
            </w:r>
          </w:p>
        </w:tc>
        <w:tc>
          <w:tcPr>
            <w:tcW w:w="1199" w:type="dxa"/>
            <w:hideMark/>
          </w:tcPr>
          <w:p w:rsidRPr="00D553E9" w:rsidR="00E75905" w:rsidP="00E75905" w:rsidRDefault="00E75905" w14:paraId="6AF3C02B" w14:textId="77777777">
            <w:pPr>
              <w:pStyle w:val="TableCaption"/>
              <w:spacing w:after="0"/>
              <w:jc w:val="left"/>
              <w:rPr>
                <w:b w:val="0"/>
                <w:sz w:val="20"/>
                <w:szCs w:val="20"/>
              </w:rPr>
            </w:pPr>
            <w:r w:rsidRPr="00D553E9">
              <w:rPr>
                <w:b w:val="0"/>
                <w:sz w:val="20"/>
                <w:szCs w:val="20"/>
              </w:rPr>
              <w:t>R</w:t>
            </w:r>
          </w:p>
        </w:tc>
        <w:tc>
          <w:tcPr>
            <w:tcW w:w="1260" w:type="dxa"/>
            <w:hideMark/>
          </w:tcPr>
          <w:p w:rsidRPr="00D553E9" w:rsidR="00E75905" w:rsidP="00E75905" w:rsidRDefault="00E75905" w14:paraId="242015CD" w14:textId="77777777">
            <w:pPr>
              <w:pStyle w:val="TableCaption"/>
              <w:spacing w:after="0"/>
              <w:jc w:val="left"/>
              <w:rPr>
                <w:b w:val="0"/>
                <w:sz w:val="20"/>
                <w:szCs w:val="20"/>
              </w:rPr>
            </w:pPr>
            <w:r w:rsidRPr="00D553E9">
              <w:rPr>
                <w:b w:val="0"/>
                <w:sz w:val="20"/>
                <w:szCs w:val="20"/>
              </w:rPr>
              <w:t>Annual</w:t>
            </w:r>
          </w:p>
        </w:tc>
      </w:tr>
      <w:tr w:rsidRPr="00D553E9" w:rsidR="00E75905" w:rsidTr="00D553E9" w14:paraId="3C852C70" w14:textId="77777777">
        <w:trPr>
          <w:trHeight w:val="1061"/>
        </w:trPr>
        <w:tc>
          <w:tcPr>
            <w:tcW w:w="1075" w:type="dxa"/>
            <w:hideMark/>
          </w:tcPr>
          <w:p w:rsidRPr="00D553E9" w:rsidR="00E75905" w:rsidP="00E75905" w:rsidRDefault="00E75905" w14:paraId="28759F4E" w14:textId="77777777">
            <w:pPr>
              <w:pStyle w:val="TableCaption"/>
              <w:spacing w:after="0"/>
              <w:jc w:val="left"/>
              <w:rPr>
                <w:b w:val="0"/>
                <w:sz w:val="20"/>
                <w:szCs w:val="20"/>
              </w:rPr>
            </w:pPr>
            <w:r w:rsidRPr="00D553E9">
              <w:rPr>
                <w:b w:val="0"/>
                <w:sz w:val="20"/>
                <w:szCs w:val="20"/>
              </w:rPr>
              <w:t>12.33</w:t>
            </w:r>
          </w:p>
        </w:tc>
        <w:tc>
          <w:tcPr>
            <w:tcW w:w="1659" w:type="dxa"/>
            <w:hideMark/>
          </w:tcPr>
          <w:p w:rsidRPr="00D553E9" w:rsidR="00E75905" w:rsidP="00E75905" w:rsidRDefault="00E75905" w14:paraId="436D4AC7" w14:textId="77777777">
            <w:pPr>
              <w:pStyle w:val="TableCaption"/>
              <w:spacing w:after="0"/>
              <w:rPr>
                <w:b w:val="0"/>
                <w:sz w:val="20"/>
                <w:szCs w:val="20"/>
              </w:rPr>
            </w:pPr>
            <w:r w:rsidRPr="00D553E9">
              <w:rPr>
                <w:b w:val="0"/>
                <w:sz w:val="20"/>
                <w:szCs w:val="20"/>
              </w:rPr>
              <w:t>438.110(a), Member Advisory Committee</w:t>
            </w:r>
          </w:p>
        </w:tc>
        <w:tc>
          <w:tcPr>
            <w:tcW w:w="1491" w:type="dxa"/>
            <w:noWrap/>
            <w:hideMark/>
          </w:tcPr>
          <w:p w:rsidRPr="00D553E9" w:rsidR="00E75905" w:rsidP="00E75905" w:rsidRDefault="00E75905" w14:paraId="52DA8D28" w14:textId="77777777">
            <w:pPr>
              <w:pStyle w:val="TableCaption"/>
              <w:spacing w:after="0"/>
              <w:jc w:val="left"/>
              <w:rPr>
                <w:b w:val="0"/>
                <w:sz w:val="20"/>
                <w:szCs w:val="20"/>
              </w:rPr>
            </w:pPr>
            <w:r w:rsidRPr="00D553E9">
              <w:rPr>
                <w:b w:val="0"/>
                <w:sz w:val="20"/>
                <w:szCs w:val="20"/>
              </w:rPr>
              <w:t>14</w:t>
            </w:r>
          </w:p>
        </w:tc>
        <w:tc>
          <w:tcPr>
            <w:tcW w:w="1159" w:type="dxa"/>
            <w:noWrap/>
            <w:hideMark/>
          </w:tcPr>
          <w:p w:rsidRPr="00D553E9" w:rsidR="00E75905" w:rsidP="00E75905" w:rsidRDefault="00E75905" w14:paraId="256621B5" w14:textId="77777777">
            <w:pPr>
              <w:pStyle w:val="TableCaption"/>
              <w:spacing w:after="0"/>
              <w:jc w:val="left"/>
              <w:rPr>
                <w:b w:val="0"/>
                <w:sz w:val="20"/>
                <w:szCs w:val="20"/>
              </w:rPr>
            </w:pPr>
            <w:r w:rsidRPr="00D553E9">
              <w:rPr>
                <w:b w:val="0"/>
                <w:sz w:val="20"/>
                <w:szCs w:val="20"/>
              </w:rPr>
              <w:t>14</w:t>
            </w:r>
          </w:p>
        </w:tc>
        <w:tc>
          <w:tcPr>
            <w:tcW w:w="1181" w:type="dxa"/>
            <w:hideMark/>
          </w:tcPr>
          <w:p w:rsidRPr="00D553E9" w:rsidR="00E75905" w:rsidP="00E75905" w:rsidRDefault="00E75905" w14:paraId="5A27DEFD" w14:textId="77777777">
            <w:pPr>
              <w:pStyle w:val="TableCaption"/>
              <w:spacing w:after="0"/>
              <w:jc w:val="left"/>
              <w:rPr>
                <w:b w:val="0"/>
                <w:sz w:val="20"/>
                <w:szCs w:val="20"/>
              </w:rPr>
            </w:pPr>
            <w:r w:rsidRPr="00D553E9">
              <w:rPr>
                <w:b w:val="0"/>
                <w:sz w:val="20"/>
                <w:szCs w:val="20"/>
              </w:rPr>
              <w:t>6</w:t>
            </w:r>
          </w:p>
        </w:tc>
        <w:tc>
          <w:tcPr>
            <w:tcW w:w="1514" w:type="dxa"/>
            <w:hideMark/>
          </w:tcPr>
          <w:p w:rsidRPr="00D553E9" w:rsidR="00E75905" w:rsidP="00E75905" w:rsidRDefault="00E75905" w14:paraId="46A27FA1" w14:textId="77777777">
            <w:pPr>
              <w:pStyle w:val="TableCaption"/>
              <w:spacing w:after="0"/>
              <w:jc w:val="left"/>
              <w:rPr>
                <w:b w:val="0"/>
                <w:sz w:val="20"/>
                <w:szCs w:val="20"/>
              </w:rPr>
            </w:pPr>
            <w:r w:rsidRPr="00D553E9">
              <w:rPr>
                <w:b w:val="0"/>
                <w:sz w:val="20"/>
                <w:szCs w:val="20"/>
              </w:rPr>
              <w:t>84</w:t>
            </w:r>
          </w:p>
        </w:tc>
        <w:tc>
          <w:tcPr>
            <w:tcW w:w="1062" w:type="dxa"/>
            <w:hideMark/>
          </w:tcPr>
          <w:p w:rsidRPr="00D553E9" w:rsidR="00E75905" w:rsidP="00E75905" w:rsidRDefault="00E75905" w14:paraId="630716A8" w14:textId="77777777">
            <w:pPr>
              <w:pStyle w:val="TableCaption"/>
              <w:spacing w:after="0"/>
              <w:jc w:val="left"/>
              <w:rPr>
                <w:b w:val="0"/>
                <w:sz w:val="20"/>
                <w:szCs w:val="20"/>
              </w:rPr>
            </w:pPr>
            <w:r w:rsidRPr="00D553E9">
              <w:rPr>
                <w:b w:val="0"/>
                <w:sz w:val="20"/>
                <w:szCs w:val="20"/>
              </w:rPr>
              <w:t>75.32</w:t>
            </w:r>
          </w:p>
        </w:tc>
        <w:tc>
          <w:tcPr>
            <w:tcW w:w="1625" w:type="dxa"/>
            <w:hideMark/>
          </w:tcPr>
          <w:p w:rsidRPr="00D553E9" w:rsidR="00E75905" w:rsidP="00E75905" w:rsidRDefault="00E75905" w14:paraId="21FD1CB3" w14:textId="77777777">
            <w:pPr>
              <w:pStyle w:val="TableCaption"/>
              <w:spacing w:after="0"/>
              <w:jc w:val="left"/>
              <w:rPr>
                <w:b w:val="0"/>
                <w:sz w:val="20"/>
                <w:szCs w:val="20"/>
              </w:rPr>
            </w:pPr>
            <w:r w:rsidRPr="00D553E9">
              <w:rPr>
                <w:b w:val="0"/>
                <w:sz w:val="20"/>
                <w:szCs w:val="20"/>
              </w:rPr>
              <w:t>6,327</w:t>
            </w:r>
          </w:p>
        </w:tc>
        <w:tc>
          <w:tcPr>
            <w:tcW w:w="1199" w:type="dxa"/>
            <w:hideMark/>
          </w:tcPr>
          <w:p w:rsidRPr="00D553E9" w:rsidR="00E75905" w:rsidP="00E75905" w:rsidRDefault="00E75905" w14:paraId="0642C790" w14:textId="77777777">
            <w:pPr>
              <w:pStyle w:val="TableCaption"/>
              <w:spacing w:after="0"/>
              <w:jc w:val="left"/>
              <w:rPr>
                <w:b w:val="0"/>
                <w:sz w:val="20"/>
                <w:szCs w:val="20"/>
              </w:rPr>
            </w:pPr>
            <w:r w:rsidRPr="00D553E9">
              <w:rPr>
                <w:b w:val="0"/>
                <w:sz w:val="20"/>
                <w:szCs w:val="20"/>
              </w:rPr>
              <w:t>R</w:t>
            </w:r>
          </w:p>
        </w:tc>
        <w:tc>
          <w:tcPr>
            <w:tcW w:w="1260" w:type="dxa"/>
            <w:hideMark/>
          </w:tcPr>
          <w:p w:rsidRPr="00D553E9" w:rsidR="00E75905" w:rsidP="00E75905" w:rsidRDefault="00E75905" w14:paraId="4AEE8C32" w14:textId="77777777">
            <w:pPr>
              <w:pStyle w:val="TableCaption"/>
              <w:spacing w:after="0"/>
              <w:jc w:val="left"/>
              <w:rPr>
                <w:b w:val="0"/>
                <w:sz w:val="20"/>
                <w:szCs w:val="20"/>
              </w:rPr>
            </w:pPr>
            <w:r w:rsidRPr="00D553E9">
              <w:rPr>
                <w:b w:val="0"/>
                <w:sz w:val="20"/>
                <w:szCs w:val="20"/>
              </w:rPr>
              <w:t>Annual</w:t>
            </w:r>
          </w:p>
        </w:tc>
      </w:tr>
      <w:tr w:rsidRPr="00D553E9" w:rsidR="00E75905" w:rsidTr="00794504" w14:paraId="538174DE" w14:textId="77777777">
        <w:trPr>
          <w:trHeight w:val="1068"/>
        </w:trPr>
        <w:tc>
          <w:tcPr>
            <w:tcW w:w="1075" w:type="dxa"/>
            <w:hideMark/>
          </w:tcPr>
          <w:p w:rsidRPr="00D553E9" w:rsidR="00E75905" w:rsidP="00E75905" w:rsidRDefault="00E75905" w14:paraId="5C068918" w14:textId="77777777">
            <w:pPr>
              <w:pStyle w:val="TableCaption"/>
              <w:spacing w:after="0"/>
              <w:jc w:val="left"/>
              <w:rPr>
                <w:b w:val="0"/>
                <w:sz w:val="20"/>
                <w:szCs w:val="20"/>
              </w:rPr>
            </w:pPr>
            <w:r w:rsidRPr="00D553E9">
              <w:rPr>
                <w:b w:val="0"/>
                <w:sz w:val="20"/>
                <w:szCs w:val="20"/>
              </w:rPr>
              <w:t>12.34b</w:t>
            </w:r>
          </w:p>
        </w:tc>
        <w:tc>
          <w:tcPr>
            <w:tcW w:w="1659" w:type="dxa"/>
            <w:hideMark/>
          </w:tcPr>
          <w:p w:rsidRPr="00D553E9" w:rsidR="00E75905" w:rsidP="00E75905" w:rsidRDefault="00E75905" w14:paraId="01C657B5" w14:textId="77777777">
            <w:pPr>
              <w:pStyle w:val="TableCaption"/>
              <w:spacing w:after="0"/>
              <w:rPr>
                <w:b w:val="0"/>
                <w:sz w:val="20"/>
                <w:szCs w:val="20"/>
              </w:rPr>
            </w:pPr>
            <w:r w:rsidRPr="00D553E9">
              <w:rPr>
                <w:b w:val="0"/>
                <w:sz w:val="20"/>
                <w:szCs w:val="20"/>
              </w:rPr>
              <w:t>438.207(b) - (d), Adequate Capacity</w:t>
            </w:r>
          </w:p>
        </w:tc>
        <w:tc>
          <w:tcPr>
            <w:tcW w:w="1491" w:type="dxa"/>
            <w:noWrap/>
            <w:hideMark/>
          </w:tcPr>
          <w:p w:rsidRPr="00D553E9" w:rsidR="00E75905" w:rsidP="00E75905" w:rsidRDefault="00E75905" w14:paraId="311F6324" w14:textId="77777777">
            <w:pPr>
              <w:pStyle w:val="TableCaption"/>
              <w:spacing w:after="0"/>
              <w:jc w:val="left"/>
              <w:rPr>
                <w:b w:val="0"/>
                <w:sz w:val="20"/>
                <w:szCs w:val="20"/>
              </w:rPr>
            </w:pPr>
            <w:r w:rsidRPr="00D553E9">
              <w:rPr>
                <w:b w:val="0"/>
                <w:sz w:val="20"/>
                <w:szCs w:val="20"/>
              </w:rPr>
              <w:t>467</w:t>
            </w:r>
          </w:p>
        </w:tc>
        <w:tc>
          <w:tcPr>
            <w:tcW w:w="1159" w:type="dxa"/>
            <w:noWrap/>
            <w:hideMark/>
          </w:tcPr>
          <w:p w:rsidRPr="00D553E9" w:rsidR="00E75905" w:rsidP="00E75905" w:rsidRDefault="00E75905" w14:paraId="1C2B3240" w14:textId="77777777">
            <w:pPr>
              <w:pStyle w:val="TableCaption"/>
              <w:spacing w:after="0"/>
              <w:jc w:val="left"/>
              <w:rPr>
                <w:b w:val="0"/>
                <w:sz w:val="20"/>
                <w:szCs w:val="20"/>
              </w:rPr>
            </w:pPr>
            <w:r w:rsidRPr="00D553E9">
              <w:rPr>
                <w:b w:val="0"/>
                <w:sz w:val="20"/>
                <w:szCs w:val="20"/>
              </w:rPr>
              <w:t>467</w:t>
            </w:r>
          </w:p>
        </w:tc>
        <w:tc>
          <w:tcPr>
            <w:tcW w:w="1181" w:type="dxa"/>
            <w:hideMark/>
          </w:tcPr>
          <w:p w:rsidRPr="00D553E9" w:rsidR="00E75905" w:rsidP="00E75905" w:rsidRDefault="00E75905" w14:paraId="40338762" w14:textId="77777777">
            <w:pPr>
              <w:pStyle w:val="TableCaption"/>
              <w:spacing w:after="0"/>
              <w:jc w:val="left"/>
              <w:rPr>
                <w:b w:val="0"/>
                <w:sz w:val="20"/>
                <w:szCs w:val="20"/>
              </w:rPr>
            </w:pPr>
            <w:r w:rsidRPr="00D553E9">
              <w:rPr>
                <w:b w:val="0"/>
                <w:sz w:val="20"/>
                <w:szCs w:val="20"/>
              </w:rPr>
              <w:t>2</w:t>
            </w:r>
          </w:p>
        </w:tc>
        <w:tc>
          <w:tcPr>
            <w:tcW w:w="1514" w:type="dxa"/>
            <w:hideMark/>
          </w:tcPr>
          <w:p w:rsidRPr="00D553E9" w:rsidR="00E75905" w:rsidP="00E75905" w:rsidRDefault="00E75905" w14:paraId="13DD950B" w14:textId="77777777">
            <w:pPr>
              <w:pStyle w:val="TableCaption"/>
              <w:spacing w:after="0"/>
              <w:jc w:val="left"/>
              <w:rPr>
                <w:b w:val="0"/>
                <w:sz w:val="20"/>
                <w:szCs w:val="20"/>
              </w:rPr>
            </w:pPr>
            <w:r w:rsidRPr="00D553E9">
              <w:rPr>
                <w:b w:val="0"/>
                <w:sz w:val="20"/>
                <w:szCs w:val="20"/>
              </w:rPr>
              <w:t>934</w:t>
            </w:r>
          </w:p>
        </w:tc>
        <w:tc>
          <w:tcPr>
            <w:tcW w:w="1062" w:type="dxa"/>
            <w:hideMark/>
          </w:tcPr>
          <w:p w:rsidRPr="00D553E9" w:rsidR="00E75905" w:rsidP="00E75905" w:rsidRDefault="00E75905" w14:paraId="36AB83B0" w14:textId="77777777">
            <w:pPr>
              <w:pStyle w:val="TableCaption"/>
              <w:spacing w:after="0"/>
              <w:jc w:val="left"/>
              <w:rPr>
                <w:b w:val="0"/>
                <w:sz w:val="20"/>
                <w:szCs w:val="20"/>
              </w:rPr>
            </w:pPr>
            <w:r w:rsidRPr="00D553E9">
              <w:rPr>
                <w:b w:val="0"/>
                <w:sz w:val="20"/>
                <w:szCs w:val="20"/>
              </w:rPr>
              <w:t>75.32</w:t>
            </w:r>
          </w:p>
        </w:tc>
        <w:tc>
          <w:tcPr>
            <w:tcW w:w="1625" w:type="dxa"/>
            <w:hideMark/>
          </w:tcPr>
          <w:p w:rsidRPr="00D553E9" w:rsidR="00E75905" w:rsidP="00E75905" w:rsidRDefault="00E75905" w14:paraId="6CE7D5B8" w14:textId="77777777">
            <w:pPr>
              <w:pStyle w:val="TableCaption"/>
              <w:spacing w:after="0"/>
              <w:jc w:val="left"/>
              <w:rPr>
                <w:b w:val="0"/>
                <w:sz w:val="20"/>
                <w:szCs w:val="20"/>
              </w:rPr>
            </w:pPr>
            <w:r w:rsidRPr="00D553E9">
              <w:rPr>
                <w:b w:val="0"/>
                <w:sz w:val="20"/>
                <w:szCs w:val="20"/>
              </w:rPr>
              <w:t>70,349</w:t>
            </w:r>
          </w:p>
        </w:tc>
        <w:tc>
          <w:tcPr>
            <w:tcW w:w="1199" w:type="dxa"/>
            <w:hideMark/>
          </w:tcPr>
          <w:p w:rsidRPr="00D553E9" w:rsidR="00E75905" w:rsidP="00E75905" w:rsidRDefault="00E75905" w14:paraId="14FEEB6F" w14:textId="77777777">
            <w:pPr>
              <w:pStyle w:val="TableCaption"/>
              <w:spacing w:after="0"/>
              <w:jc w:val="left"/>
              <w:rPr>
                <w:b w:val="0"/>
                <w:sz w:val="20"/>
                <w:szCs w:val="20"/>
              </w:rPr>
            </w:pPr>
            <w:r w:rsidRPr="00D553E9">
              <w:rPr>
                <w:b w:val="0"/>
                <w:sz w:val="20"/>
                <w:szCs w:val="20"/>
              </w:rPr>
              <w:t>R</w:t>
            </w:r>
          </w:p>
        </w:tc>
        <w:tc>
          <w:tcPr>
            <w:tcW w:w="1260" w:type="dxa"/>
            <w:hideMark/>
          </w:tcPr>
          <w:p w:rsidRPr="00D553E9" w:rsidR="00E75905" w:rsidP="00E75905" w:rsidRDefault="00E75905" w14:paraId="129AB0E8" w14:textId="77777777">
            <w:pPr>
              <w:pStyle w:val="TableCaption"/>
              <w:spacing w:after="0"/>
              <w:jc w:val="left"/>
              <w:rPr>
                <w:b w:val="0"/>
                <w:sz w:val="20"/>
                <w:szCs w:val="20"/>
              </w:rPr>
            </w:pPr>
            <w:r w:rsidRPr="00D553E9">
              <w:rPr>
                <w:b w:val="0"/>
                <w:sz w:val="20"/>
                <w:szCs w:val="20"/>
              </w:rPr>
              <w:t>Annual</w:t>
            </w:r>
          </w:p>
        </w:tc>
      </w:tr>
      <w:tr w:rsidRPr="00D553E9" w:rsidR="00E75905" w:rsidTr="00D553E9" w14:paraId="223784DE" w14:textId="77777777">
        <w:trPr>
          <w:trHeight w:val="528"/>
        </w:trPr>
        <w:tc>
          <w:tcPr>
            <w:tcW w:w="2734" w:type="dxa"/>
            <w:gridSpan w:val="2"/>
            <w:shd w:val="clear" w:color="auto" w:fill="AEAAAA" w:themeFill="background2" w:themeFillShade="BF"/>
            <w:hideMark/>
          </w:tcPr>
          <w:p w:rsidRPr="00D553E9" w:rsidR="00E75905" w:rsidP="00E75905" w:rsidRDefault="00E75905" w14:paraId="286D5885" w14:textId="77777777">
            <w:pPr>
              <w:pStyle w:val="TableCaption"/>
              <w:spacing w:after="0"/>
              <w:rPr>
                <w:b w:val="0"/>
                <w:i/>
                <w:iCs/>
                <w:sz w:val="20"/>
                <w:szCs w:val="20"/>
              </w:rPr>
            </w:pPr>
            <w:r w:rsidRPr="00D553E9">
              <w:rPr>
                <w:b w:val="0"/>
                <w:i/>
                <w:iCs/>
                <w:sz w:val="20"/>
                <w:szCs w:val="20"/>
              </w:rPr>
              <w:t>Subtotal: Reporting</w:t>
            </w:r>
          </w:p>
        </w:tc>
        <w:tc>
          <w:tcPr>
            <w:tcW w:w="1491" w:type="dxa"/>
            <w:shd w:val="clear" w:color="auto" w:fill="AEAAAA" w:themeFill="background2" w:themeFillShade="BF"/>
            <w:noWrap/>
            <w:hideMark/>
          </w:tcPr>
          <w:p w:rsidRPr="00D553E9" w:rsidR="00E75905" w:rsidP="00E75905" w:rsidRDefault="00E75905" w14:paraId="05E9A110" w14:textId="77777777">
            <w:pPr>
              <w:pStyle w:val="TableCaption"/>
              <w:spacing w:after="0"/>
              <w:jc w:val="left"/>
              <w:rPr>
                <w:b w:val="0"/>
                <w:i/>
                <w:iCs/>
                <w:sz w:val="20"/>
                <w:szCs w:val="20"/>
              </w:rPr>
            </w:pPr>
            <w:r w:rsidRPr="00D553E9">
              <w:rPr>
                <w:b w:val="0"/>
                <w:i/>
                <w:iCs/>
                <w:sz w:val="20"/>
                <w:szCs w:val="20"/>
              </w:rPr>
              <w:t>568</w:t>
            </w:r>
          </w:p>
        </w:tc>
        <w:tc>
          <w:tcPr>
            <w:tcW w:w="1159" w:type="dxa"/>
            <w:shd w:val="clear" w:color="auto" w:fill="AEAAAA" w:themeFill="background2" w:themeFillShade="BF"/>
            <w:noWrap/>
            <w:hideMark/>
          </w:tcPr>
          <w:p w:rsidRPr="00D553E9" w:rsidR="00E75905" w:rsidP="00E75905" w:rsidRDefault="00E75905" w14:paraId="6ED4A5DF" w14:textId="77777777">
            <w:pPr>
              <w:pStyle w:val="TableCaption"/>
              <w:spacing w:after="0"/>
              <w:jc w:val="left"/>
              <w:rPr>
                <w:b w:val="0"/>
                <w:i/>
                <w:iCs/>
                <w:sz w:val="20"/>
                <w:szCs w:val="20"/>
              </w:rPr>
            </w:pPr>
            <w:r w:rsidRPr="00D553E9">
              <w:rPr>
                <w:b w:val="0"/>
                <w:i/>
                <w:iCs/>
                <w:sz w:val="20"/>
                <w:szCs w:val="20"/>
              </w:rPr>
              <w:t>331,513</w:t>
            </w:r>
          </w:p>
        </w:tc>
        <w:tc>
          <w:tcPr>
            <w:tcW w:w="1181" w:type="dxa"/>
            <w:shd w:val="clear" w:color="auto" w:fill="AEAAAA" w:themeFill="background2" w:themeFillShade="BF"/>
            <w:hideMark/>
          </w:tcPr>
          <w:p w:rsidRPr="00D553E9" w:rsidR="00E75905" w:rsidP="00E75905" w:rsidRDefault="00E75905" w14:paraId="6EEC4BA7" w14:textId="77777777">
            <w:pPr>
              <w:pStyle w:val="TableCaption"/>
              <w:spacing w:after="0"/>
              <w:jc w:val="left"/>
              <w:rPr>
                <w:b w:val="0"/>
                <w:i/>
                <w:iCs/>
                <w:sz w:val="20"/>
                <w:szCs w:val="20"/>
              </w:rPr>
            </w:pPr>
            <w:r w:rsidRPr="00D553E9">
              <w:rPr>
                <w:b w:val="0"/>
                <w:i/>
                <w:iCs/>
                <w:sz w:val="20"/>
                <w:szCs w:val="20"/>
              </w:rPr>
              <w:t>Varies</w:t>
            </w:r>
          </w:p>
        </w:tc>
        <w:tc>
          <w:tcPr>
            <w:tcW w:w="1514" w:type="dxa"/>
            <w:shd w:val="clear" w:color="auto" w:fill="AEAAAA" w:themeFill="background2" w:themeFillShade="BF"/>
            <w:noWrap/>
            <w:hideMark/>
          </w:tcPr>
          <w:p w:rsidRPr="00D553E9" w:rsidR="00E75905" w:rsidP="00E75905" w:rsidRDefault="00E75905" w14:paraId="7A1F3861" w14:textId="77777777">
            <w:pPr>
              <w:pStyle w:val="TableCaption"/>
              <w:spacing w:after="0"/>
              <w:jc w:val="left"/>
              <w:rPr>
                <w:b w:val="0"/>
                <w:i/>
                <w:iCs/>
                <w:sz w:val="20"/>
                <w:szCs w:val="20"/>
              </w:rPr>
            </w:pPr>
            <w:r w:rsidRPr="00D553E9">
              <w:rPr>
                <w:b w:val="0"/>
                <w:i/>
                <w:iCs/>
                <w:sz w:val="20"/>
                <w:szCs w:val="20"/>
              </w:rPr>
              <w:t>82,015</w:t>
            </w:r>
          </w:p>
        </w:tc>
        <w:tc>
          <w:tcPr>
            <w:tcW w:w="1062" w:type="dxa"/>
            <w:shd w:val="clear" w:color="auto" w:fill="AEAAAA" w:themeFill="background2" w:themeFillShade="BF"/>
            <w:hideMark/>
          </w:tcPr>
          <w:p w:rsidRPr="00D553E9" w:rsidR="00E75905" w:rsidP="00E75905" w:rsidRDefault="00E75905" w14:paraId="1AC2E50A" w14:textId="77777777">
            <w:pPr>
              <w:pStyle w:val="TableCaption"/>
              <w:spacing w:after="0"/>
              <w:jc w:val="left"/>
              <w:rPr>
                <w:b w:val="0"/>
                <w:i/>
                <w:iCs/>
                <w:sz w:val="20"/>
                <w:szCs w:val="20"/>
              </w:rPr>
            </w:pPr>
            <w:r w:rsidRPr="00D553E9">
              <w:rPr>
                <w:b w:val="0"/>
                <w:i/>
                <w:iCs/>
                <w:sz w:val="20"/>
                <w:szCs w:val="20"/>
              </w:rPr>
              <w:t>Varies</w:t>
            </w:r>
          </w:p>
        </w:tc>
        <w:tc>
          <w:tcPr>
            <w:tcW w:w="1625" w:type="dxa"/>
            <w:shd w:val="clear" w:color="auto" w:fill="AEAAAA" w:themeFill="background2" w:themeFillShade="BF"/>
            <w:noWrap/>
            <w:hideMark/>
          </w:tcPr>
          <w:p w:rsidRPr="00D553E9" w:rsidR="00E75905" w:rsidP="00E75905" w:rsidRDefault="00E75905" w14:paraId="41D97797" w14:textId="77777777">
            <w:pPr>
              <w:pStyle w:val="TableCaption"/>
              <w:spacing w:after="0"/>
              <w:jc w:val="left"/>
              <w:rPr>
                <w:b w:val="0"/>
                <w:i/>
                <w:iCs/>
                <w:sz w:val="20"/>
                <w:szCs w:val="20"/>
              </w:rPr>
            </w:pPr>
            <w:r w:rsidRPr="00D553E9">
              <w:rPr>
                <w:b w:val="0"/>
                <w:i/>
                <w:iCs/>
                <w:sz w:val="20"/>
                <w:szCs w:val="20"/>
              </w:rPr>
              <w:t>6,852,764</w:t>
            </w:r>
          </w:p>
        </w:tc>
        <w:tc>
          <w:tcPr>
            <w:tcW w:w="1199" w:type="dxa"/>
            <w:shd w:val="clear" w:color="auto" w:fill="AEAAAA" w:themeFill="background2" w:themeFillShade="BF"/>
            <w:hideMark/>
          </w:tcPr>
          <w:p w:rsidRPr="00D553E9" w:rsidR="00E75905" w:rsidP="00E75905" w:rsidRDefault="00E75905" w14:paraId="4ECDB638" w14:textId="77777777">
            <w:pPr>
              <w:pStyle w:val="TableCaption"/>
              <w:spacing w:after="0"/>
              <w:jc w:val="left"/>
              <w:rPr>
                <w:b w:val="0"/>
                <w:i/>
                <w:iCs/>
                <w:sz w:val="20"/>
                <w:szCs w:val="20"/>
              </w:rPr>
            </w:pPr>
            <w:r w:rsidRPr="00D553E9">
              <w:rPr>
                <w:b w:val="0"/>
                <w:i/>
                <w:iCs/>
                <w:sz w:val="20"/>
                <w:szCs w:val="20"/>
              </w:rPr>
              <w:t>R</w:t>
            </w:r>
          </w:p>
        </w:tc>
        <w:tc>
          <w:tcPr>
            <w:tcW w:w="1260" w:type="dxa"/>
            <w:shd w:val="clear" w:color="auto" w:fill="AEAAAA" w:themeFill="background2" w:themeFillShade="BF"/>
            <w:hideMark/>
          </w:tcPr>
          <w:p w:rsidRPr="00D553E9" w:rsidR="00E75905" w:rsidP="00E75905" w:rsidRDefault="00E75905" w14:paraId="44D45E6E" w14:textId="77777777">
            <w:pPr>
              <w:pStyle w:val="TableCaption"/>
              <w:spacing w:after="0"/>
              <w:jc w:val="left"/>
              <w:rPr>
                <w:b w:val="0"/>
                <w:i/>
                <w:iCs/>
                <w:sz w:val="20"/>
                <w:szCs w:val="20"/>
              </w:rPr>
            </w:pPr>
            <w:r w:rsidRPr="00D553E9">
              <w:rPr>
                <w:b w:val="0"/>
                <w:i/>
                <w:iCs/>
                <w:sz w:val="20"/>
                <w:szCs w:val="20"/>
              </w:rPr>
              <w:t>Varies</w:t>
            </w:r>
          </w:p>
        </w:tc>
      </w:tr>
      <w:tr w:rsidRPr="00D553E9" w:rsidR="00E75905" w:rsidTr="00794504" w14:paraId="30C98877" w14:textId="77777777">
        <w:trPr>
          <w:trHeight w:val="1596"/>
        </w:trPr>
        <w:tc>
          <w:tcPr>
            <w:tcW w:w="1075" w:type="dxa"/>
            <w:hideMark/>
          </w:tcPr>
          <w:p w:rsidRPr="00D553E9" w:rsidR="00E75905" w:rsidP="00E75905" w:rsidRDefault="00E75905" w14:paraId="46F1097F" w14:textId="77777777">
            <w:pPr>
              <w:pStyle w:val="TableCaption"/>
              <w:spacing w:after="0"/>
              <w:jc w:val="left"/>
              <w:rPr>
                <w:b w:val="0"/>
                <w:sz w:val="20"/>
                <w:szCs w:val="20"/>
              </w:rPr>
            </w:pPr>
            <w:r w:rsidRPr="00D553E9">
              <w:rPr>
                <w:b w:val="0"/>
                <w:sz w:val="20"/>
                <w:szCs w:val="20"/>
              </w:rPr>
              <w:t>12.12</w:t>
            </w:r>
          </w:p>
        </w:tc>
        <w:tc>
          <w:tcPr>
            <w:tcW w:w="1659" w:type="dxa"/>
            <w:hideMark/>
          </w:tcPr>
          <w:p w:rsidRPr="00D553E9" w:rsidR="00E75905" w:rsidP="00E75905" w:rsidRDefault="00E75905" w14:paraId="2806269A" w14:textId="77777777">
            <w:pPr>
              <w:pStyle w:val="TableCaption"/>
              <w:spacing w:after="0"/>
              <w:rPr>
                <w:b w:val="0"/>
                <w:sz w:val="20"/>
                <w:szCs w:val="20"/>
              </w:rPr>
            </w:pPr>
            <w:r w:rsidRPr="00D553E9">
              <w:rPr>
                <w:b w:val="0"/>
                <w:sz w:val="20"/>
                <w:szCs w:val="20"/>
              </w:rPr>
              <w:t>438.10(g), Information Requirements</w:t>
            </w:r>
          </w:p>
        </w:tc>
        <w:tc>
          <w:tcPr>
            <w:tcW w:w="1491" w:type="dxa"/>
            <w:noWrap/>
            <w:hideMark/>
          </w:tcPr>
          <w:p w:rsidRPr="00D553E9" w:rsidR="00E75905" w:rsidP="00E75905" w:rsidRDefault="00E75905" w14:paraId="0F03B724" w14:textId="77777777">
            <w:pPr>
              <w:pStyle w:val="TableCaption"/>
              <w:spacing w:after="0"/>
              <w:jc w:val="left"/>
              <w:rPr>
                <w:b w:val="0"/>
                <w:sz w:val="20"/>
                <w:szCs w:val="20"/>
              </w:rPr>
            </w:pPr>
            <w:r w:rsidRPr="00D553E9">
              <w:rPr>
                <w:b w:val="0"/>
                <w:sz w:val="20"/>
                <w:szCs w:val="20"/>
              </w:rPr>
              <w:t>100</w:t>
            </w:r>
          </w:p>
        </w:tc>
        <w:tc>
          <w:tcPr>
            <w:tcW w:w="1159" w:type="dxa"/>
            <w:noWrap/>
            <w:hideMark/>
          </w:tcPr>
          <w:p w:rsidRPr="00D553E9" w:rsidR="00E75905" w:rsidP="00E75905" w:rsidRDefault="00E75905" w14:paraId="1C95A7B6" w14:textId="77777777">
            <w:pPr>
              <w:pStyle w:val="TableCaption"/>
              <w:spacing w:after="0"/>
              <w:jc w:val="left"/>
              <w:rPr>
                <w:b w:val="0"/>
                <w:sz w:val="20"/>
                <w:szCs w:val="20"/>
              </w:rPr>
            </w:pPr>
            <w:r w:rsidRPr="00D553E9">
              <w:rPr>
                <w:b w:val="0"/>
                <w:sz w:val="20"/>
                <w:szCs w:val="20"/>
              </w:rPr>
              <w:t>2,181,540</w:t>
            </w:r>
          </w:p>
        </w:tc>
        <w:tc>
          <w:tcPr>
            <w:tcW w:w="1181" w:type="dxa"/>
            <w:hideMark/>
          </w:tcPr>
          <w:p w:rsidRPr="00D553E9" w:rsidR="00E75905" w:rsidP="00E75905" w:rsidRDefault="00E75905" w14:paraId="344FBD78" w14:textId="77777777">
            <w:pPr>
              <w:pStyle w:val="TableCaption"/>
              <w:spacing w:after="0"/>
              <w:jc w:val="left"/>
              <w:rPr>
                <w:b w:val="0"/>
                <w:sz w:val="20"/>
                <w:szCs w:val="20"/>
              </w:rPr>
            </w:pPr>
            <w:r w:rsidRPr="00D553E9">
              <w:rPr>
                <w:b w:val="0"/>
                <w:sz w:val="20"/>
                <w:szCs w:val="20"/>
              </w:rPr>
              <w:t>0.0167</w:t>
            </w:r>
          </w:p>
        </w:tc>
        <w:tc>
          <w:tcPr>
            <w:tcW w:w="1514" w:type="dxa"/>
            <w:noWrap/>
            <w:hideMark/>
          </w:tcPr>
          <w:p w:rsidRPr="00D553E9" w:rsidR="00E75905" w:rsidP="00E75905" w:rsidRDefault="00E75905" w14:paraId="722481F4" w14:textId="77777777">
            <w:pPr>
              <w:pStyle w:val="TableCaption"/>
              <w:spacing w:after="0"/>
              <w:jc w:val="left"/>
              <w:rPr>
                <w:b w:val="0"/>
                <w:sz w:val="20"/>
                <w:szCs w:val="20"/>
              </w:rPr>
            </w:pPr>
            <w:r w:rsidRPr="00D553E9">
              <w:rPr>
                <w:b w:val="0"/>
                <w:sz w:val="20"/>
                <w:szCs w:val="20"/>
              </w:rPr>
              <w:t>36,432</w:t>
            </w:r>
          </w:p>
        </w:tc>
        <w:tc>
          <w:tcPr>
            <w:tcW w:w="1062" w:type="dxa"/>
            <w:hideMark/>
          </w:tcPr>
          <w:p w:rsidRPr="00D553E9" w:rsidR="00E75905" w:rsidP="00E75905" w:rsidRDefault="00E75905" w14:paraId="7D9A53EA" w14:textId="77777777">
            <w:pPr>
              <w:pStyle w:val="TableCaption"/>
              <w:spacing w:after="0"/>
              <w:jc w:val="left"/>
              <w:rPr>
                <w:b w:val="0"/>
                <w:sz w:val="20"/>
                <w:szCs w:val="20"/>
              </w:rPr>
            </w:pPr>
            <w:r w:rsidRPr="00D553E9">
              <w:rPr>
                <w:b w:val="0"/>
                <w:sz w:val="20"/>
                <w:szCs w:val="20"/>
              </w:rPr>
              <w:t>32.40</w:t>
            </w:r>
          </w:p>
        </w:tc>
        <w:tc>
          <w:tcPr>
            <w:tcW w:w="1625" w:type="dxa"/>
            <w:noWrap/>
            <w:hideMark/>
          </w:tcPr>
          <w:p w:rsidRPr="00D553E9" w:rsidR="00E75905" w:rsidP="00E75905" w:rsidRDefault="00E75905" w14:paraId="249235F7" w14:textId="77777777">
            <w:pPr>
              <w:pStyle w:val="TableCaption"/>
              <w:spacing w:after="0"/>
              <w:jc w:val="left"/>
              <w:rPr>
                <w:b w:val="0"/>
                <w:sz w:val="20"/>
                <w:szCs w:val="20"/>
              </w:rPr>
            </w:pPr>
            <w:r w:rsidRPr="00D553E9">
              <w:rPr>
                <w:b w:val="0"/>
                <w:sz w:val="20"/>
                <w:szCs w:val="20"/>
              </w:rPr>
              <w:t>1,180,397</w:t>
            </w:r>
          </w:p>
        </w:tc>
        <w:tc>
          <w:tcPr>
            <w:tcW w:w="1199" w:type="dxa"/>
            <w:hideMark/>
          </w:tcPr>
          <w:p w:rsidRPr="00D553E9" w:rsidR="00E75905" w:rsidP="00E75905" w:rsidRDefault="00E75905" w14:paraId="182D053F" w14:textId="77777777">
            <w:pPr>
              <w:pStyle w:val="TableCaption"/>
              <w:spacing w:after="0"/>
              <w:jc w:val="left"/>
              <w:rPr>
                <w:b w:val="0"/>
                <w:sz w:val="20"/>
                <w:szCs w:val="20"/>
              </w:rPr>
            </w:pPr>
            <w:r w:rsidRPr="00D553E9">
              <w:rPr>
                <w:b w:val="0"/>
                <w:sz w:val="20"/>
                <w:szCs w:val="20"/>
              </w:rPr>
              <w:t>TPD</w:t>
            </w:r>
          </w:p>
        </w:tc>
        <w:tc>
          <w:tcPr>
            <w:tcW w:w="1260" w:type="dxa"/>
            <w:hideMark/>
          </w:tcPr>
          <w:p w:rsidRPr="00D553E9" w:rsidR="00E75905" w:rsidP="00E75905" w:rsidRDefault="00E75905" w14:paraId="122F046D" w14:textId="77777777">
            <w:pPr>
              <w:pStyle w:val="TableCaption"/>
              <w:spacing w:after="0"/>
              <w:jc w:val="left"/>
              <w:rPr>
                <w:b w:val="0"/>
                <w:sz w:val="20"/>
                <w:szCs w:val="20"/>
              </w:rPr>
            </w:pPr>
            <w:r w:rsidRPr="00D553E9">
              <w:rPr>
                <w:b w:val="0"/>
                <w:sz w:val="20"/>
                <w:szCs w:val="20"/>
              </w:rPr>
              <w:t>Annual</w:t>
            </w:r>
          </w:p>
        </w:tc>
      </w:tr>
      <w:tr w:rsidRPr="00D553E9" w:rsidR="00E75905" w:rsidTr="00D553E9" w14:paraId="15D56853" w14:textId="77777777">
        <w:trPr>
          <w:trHeight w:val="800"/>
        </w:trPr>
        <w:tc>
          <w:tcPr>
            <w:tcW w:w="1075" w:type="dxa"/>
            <w:hideMark/>
          </w:tcPr>
          <w:p w:rsidRPr="00D553E9" w:rsidR="00E75905" w:rsidP="00E75905" w:rsidRDefault="00E75905" w14:paraId="3E84FFEB" w14:textId="77777777">
            <w:pPr>
              <w:pStyle w:val="TableCaption"/>
              <w:spacing w:after="0"/>
              <w:jc w:val="left"/>
              <w:rPr>
                <w:b w:val="0"/>
                <w:sz w:val="20"/>
                <w:szCs w:val="20"/>
              </w:rPr>
            </w:pPr>
            <w:r w:rsidRPr="00D553E9">
              <w:rPr>
                <w:b w:val="0"/>
                <w:sz w:val="20"/>
                <w:szCs w:val="20"/>
              </w:rPr>
              <w:lastRenderedPageBreak/>
              <w:t>12.13</w:t>
            </w:r>
          </w:p>
        </w:tc>
        <w:tc>
          <w:tcPr>
            <w:tcW w:w="1659" w:type="dxa"/>
            <w:hideMark/>
          </w:tcPr>
          <w:p w:rsidRPr="00D553E9" w:rsidR="00E75905" w:rsidP="00E75905" w:rsidRDefault="00E75905" w14:paraId="0F5AA72D" w14:textId="77777777">
            <w:pPr>
              <w:pStyle w:val="TableCaption"/>
              <w:spacing w:after="0"/>
              <w:rPr>
                <w:b w:val="0"/>
                <w:sz w:val="20"/>
                <w:szCs w:val="20"/>
              </w:rPr>
            </w:pPr>
            <w:r w:rsidRPr="00D553E9">
              <w:rPr>
                <w:b w:val="0"/>
                <w:sz w:val="20"/>
                <w:szCs w:val="20"/>
              </w:rPr>
              <w:t>438.10(g), Information Requirements</w:t>
            </w:r>
          </w:p>
        </w:tc>
        <w:tc>
          <w:tcPr>
            <w:tcW w:w="1491" w:type="dxa"/>
            <w:noWrap/>
            <w:hideMark/>
          </w:tcPr>
          <w:p w:rsidRPr="00D553E9" w:rsidR="00E75905" w:rsidP="00E75905" w:rsidRDefault="00E75905" w14:paraId="23CC23CB" w14:textId="77777777">
            <w:pPr>
              <w:pStyle w:val="TableCaption"/>
              <w:spacing w:after="0"/>
              <w:jc w:val="left"/>
              <w:rPr>
                <w:b w:val="0"/>
                <w:sz w:val="20"/>
                <w:szCs w:val="20"/>
              </w:rPr>
            </w:pPr>
            <w:r w:rsidRPr="00D553E9">
              <w:rPr>
                <w:b w:val="0"/>
                <w:sz w:val="20"/>
                <w:szCs w:val="20"/>
              </w:rPr>
              <w:t>496</w:t>
            </w:r>
          </w:p>
        </w:tc>
        <w:tc>
          <w:tcPr>
            <w:tcW w:w="1159" w:type="dxa"/>
            <w:noWrap/>
            <w:hideMark/>
          </w:tcPr>
          <w:p w:rsidRPr="00D553E9" w:rsidR="00E75905" w:rsidP="00E75905" w:rsidRDefault="00E75905" w14:paraId="6985F04B" w14:textId="77777777">
            <w:pPr>
              <w:pStyle w:val="TableCaption"/>
              <w:spacing w:after="0"/>
              <w:jc w:val="left"/>
              <w:rPr>
                <w:b w:val="0"/>
                <w:sz w:val="20"/>
                <w:szCs w:val="20"/>
              </w:rPr>
            </w:pPr>
            <w:r w:rsidRPr="00D553E9">
              <w:rPr>
                <w:b w:val="0"/>
                <w:sz w:val="20"/>
                <w:szCs w:val="20"/>
              </w:rPr>
              <w:t>496</w:t>
            </w:r>
          </w:p>
        </w:tc>
        <w:tc>
          <w:tcPr>
            <w:tcW w:w="1181" w:type="dxa"/>
            <w:hideMark/>
          </w:tcPr>
          <w:p w:rsidRPr="00D553E9" w:rsidR="00E75905" w:rsidP="00E75905" w:rsidRDefault="00E75905" w14:paraId="52606D5F" w14:textId="77777777">
            <w:pPr>
              <w:pStyle w:val="TableCaption"/>
              <w:spacing w:after="0"/>
              <w:jc w:val="left"/>
              <w:rPr>
                <w:b w:val="0"/>
                <w:sz w:val="20"/>
                <w:szCs w:val="20"/>
              </w:rPr>
            </w:pPr>
            <w:r w:rsidRPr="00D553E9">
              <w:rPr>
                <w:b w:val="0"/>
                <w:sz w:val="20"/>
                <w:szCs w:val="20"/>
              </w:rPr>
              <w:t>1</w:t>
            </w:r>
          </w:p>
        </w:tc>
        <w:tc>
          <w:tcPr>
            <w:tcW w:w="1514" w:type="dxa"/>
            <w:noWrap/>
            <w:hideMark/>
          </w:tcPr>
          <w:p w:rsidRPr="00D553E9" w:rsidR="00E75905" w:rsidP="00E75905" w:rsidRDefault="00E75905" w14:paraId="5850C694" w14:textId="77777777">
            <w:pPr>
              <w:pStyle w:val="TableCaption"/>
              <w:spacing w:after="0"/>
              <w:jc w:val="left"/>
              <w:rPr>
                <w:b w:val="0"/>
                <w:sz w:val="20"/>
                <w:szCs w:val="20"/>
              </w:rPr>
            </w:pPr>
            <w:r w:rsidRPr="00D553E9">
              <w:rPr>
                <w:b w:val="0"/>
                <w:sz w:val="20"/>
                <w:szCs w:val="20"/>
              </w:rPr>
              <w:t>496</w:t>
            </w:r>
          </w:p>
        </w:tc>
        <w:tc>
          <w:tcPr>
            <w:tcW w:w="1062" w:type="dxa"/>
            <w:hideMark/>
          </w:tcPr>
          <w:p w:rsidRPr="00D553E9" w:rsidR="00E75905" w:rsidP="00E75905" w:rsidRDefault="00E75905" w14:paraId="2DDEF947" w14:textId="77777777">
            <w:pPr>
              <w:pStyle w:val="TableCaption"/>
              <w:spacing w:after="0"/>
              <w:jc w:val="left"/>
              <w:rPr>
                <w:b w:val="0"/>
                <w:sz w:val="20"/>
                <w:szCs w:val="20"/>
              </w:rPr>
            </w:pPr>
            <w:r w:rsidRPr="00D553E9">
              <w:rPr>
                <w:b w:val="0"/>
                <w:sz w:val="20"/>
                <w:szCs w:val="20"/>
              </w:rPr>
              <w:t>75.32</w:t>
            </w:r>
          </w:p>
        </w:tc>
        <w:tc>
          <w:tcPr>
            <w:tcW w:w="1625" w:type="dxa"/>
            <w:noWrap/>
            <w:hideMark/>
          </w:tcPr>
          <w:p w:rsidRPr="00D553E9" w:rsidR="00E75905" w:rsidP="00E75905" w:rsidRDefault="00E75905" w14:paraId="5E0DE6A4" w14:textId="77777777">
            <w:pPr>
              <w:pStyle w:val="TableCaption"/>
              <w:spacing w:after="0"/>
              <w:jc w:val="left"/>
              <w:rPr>
                <w:b w:val="0"/>
                <w:sz w:val="20"/>
                <w:szCs w:val="20"/>
              </w:rPr>
            </w:pPr>
            <w:r w:rsidRPr="00D553E9">
              <w:rPr>
                <w:b w:val="0"/>
                <w:sz w:val="20"/>
                <w:szCs w:val="20"/>
              </w:rPr>
              <w:t>37,359</w:t>
            </w:r>
          </w:p>
        </w:tc>
        <w:tc>
          <w:tcPr>
            <w:tcW w:w="1199" w:type="dxa"/>
            <w:hideMark/>
          </w:tcPr>
          <w:p w:rsidRPr="00D553E9" w:rsidR="00E75905" w:rsidP="00E75905" w:rsidRDefault="00E75905" w14:paraId="56561737" w14:textId="77777777">
            <w:pPr>
              <w:pStyle w:val="TableCaption"/>
              <w:spacing w:after="0"/>
              <w:jc w:val="left"/>
              <w:rPr>
                <w:b w:val="0"/>
                <w:sz w:val="20"/>
                <w:szCs w:val="20"/>
              </w:rPr>
            </w:pPr>
            <w:r w:rsidRPr="00D553E9">
              <w:rPr>
                <w:b w:val="0"/>
                <w:sz w:val="20"/>
                <w:szCs w:val="20"/>
              </w:rPr>
              <w:t>TPD</w:t>
            </w:r>
          </w:p>
        </w:tc>
        <w:tc>
          <w:tcPr>
            <w:tcW w:w="1260" w:type="dxa"/>
            <w:hideMark/>
          </w:tcPr>
          <w:p w:rsidRPr="00D553E9" w:rsidR="00E75905" w:rsidP="00E75905" w:rsidRDefault="00E75905" w14:paraId="3FC57990" w14:textId="77777777">
            <w:pPr>
              <w:pStyle w:val="TableCaption"/>
              <w:spacing w:after="0"/>
              <w:jc w:val="left"/>
              <w:rPr>
                <w:b w:val="0"/>
                <w:sz w:val="20"/>
                <w:szCs w:val="20"/>
              </w:rPr>
            </w:pPr>
            <w:r w:rsidRPr="00D553E9">
              <w:rPr>
                <w:b w:val="0"/>
                <w:sz w:val="20"/>
                <w:szCs w:val="20"/>
              </w:rPr>
              <w:t>Annual</w:t>
            </w:r>
          </w:p>
        </w:tc>
      </w:tr>
      <w:tr w:rsidRPr="00D553E9" w:rsidR="00E75905" w:rsidTr="00D553E9" w14:paraId="756174CD" w14:textId="77777777">
        <w:trPr>
          <w:trHeight w:val="791"/>
        </w:trPr>
        <w:tc>
          <w:tcPr>
            <w:tcW w:w="1075" w:type="dxa"/>
            <w:hideMark/>
          </w:tcPr>
          <w:p w:rsidRPr="00D553E9" w:rsidR="00E75905" w:rsidP="00E75905" w:rsidRDefault="00E75905" w14:paraId="370FF7EB" w14:textId="77777777">
            <w:pPr>
              <w:pStyle w:val="TableCaption"/>
              <w:spacing w:after="0"/>
              <w:jc w:val="left"/>
              <w:rPr>
                <w:b w:val="0"/>
                <w:sz w:val="20"/>
                <w:szCs w:val="20"/>
              </w:rPr>
            </w:pPr>
            <w:r w:rsidRPr="00D553E9">
              <w:rPr>
                <w:b w:val="0"/>
                <w:sz w:val="20"/>
                <w:szCs w:val="20"/>
              </w:rPr>
              <w:t>12.15</w:t>
            </w:r>
          </w:p>
        </w:tc>
        <w:tc>
          <w:tcPr>
            <w:tcW w:w="1659" w:type="dxa"/>
            <w:hideMark/>
          </w:tcPr>
          <w:p w:rsidRPr="00D553E9" w:rsidR="00E75905" w:rsidP="00E75905" w:rsidRDefault="00E75905" w14:paraId="7AA6BBF3" w14:textId="77777777">
            <w:pPr>
              <w:pStyle w:val="TableCaption"/>
              <w:spacing w:after="0"/>
              <w:rPr>
                <w:b w:val="0"/>
                <w:sz w:val="20"/>
                <w:szCs w:val="20"/>
              </w:rPr>
            </w:pPr>
            <w:r w:rsidRPr="00D553E9">
              <w:rPr>
                <w:b w:val="0"/>
                <w:sz w:val="20"/>
                <w:szCs w:val="20"/>
              </w:rPr>
              <w:t>438.12, Provider Discrimination Prohibited</w:t>
            </w:r>
          </w:p>
        </w:tc>
        <w:tc>
          <w:tcPr>
            <w:tcW w:w="1491" w:type="dxa"/>
            <w:noWrap/>
            <w:hideMark/>
          </w:tcPr>
          <w:p w:rsidRPr="00D553E9" w:rsidR="00E75905" w:rsidP="00E75905" w:rsidRDefault="00E75905" w14:paraId="6985415A" w14:textId="77777777">
            <w:pPr>
              <w:pStyle w:val="TableCaption"/>
              <w:spacing w:after="0"/>
              <w:jc w:val="left"/>
              <w:rPr>
                <w:b w:val="0"/>
                <w:sz w:val="20"/>
                <w:szCs w:val="20"/>
              </w:rPr>
            </w:pPr>
            <w:r w:rsidRPr="00D553E9">
              <w:rPr>
                <w:b w:val="0"/>
                <w:sz w:val="20"/>
                <w:szCs w:val="20"/>
              </w:rPr>
              <w:t>488</w:t>
            </w:r>
          </w:p>
        </w:tc>
        <w:tc>
          <w:tcPr>
            <w:tcW w:w="1159" w:type="dxa"/>
            <w:noWrap/>
            <w:hideMark/>
          </w:tcPr>
          <w:p w:rsidRPr="00D553E9" w:rsidR="00E75905" w:rsidP="00E75905" w:rsidRDefault="00E75905" w14:paraId="3828FF13" w14:textId="77777777">
            <w:pPr>
              <w:pStyle w:val="TableCaption"/>
              <w:spacing w:after="0"/>
              <w:jc w:val="left"/>
              <w:rPr>
                <w:b w:val="0"/>
                <w:sz w:val="20"/>
                <w:szCs w:val="20"/>
              </w:rPr>
            </w:pPr>
            <w:r w:rsidRPr="00D553E9">
              <w:rPr>
                <w:b w:val="0"/>
                <w:sz w:val="20"/>
                <w:szCs w:val="20"/>
              </w:rPr>
              <w:t>4,880</w:t>
            </w:r>
          </w:p>
        </w:tc>
        <w:tc>
          <w:tcPr>
            <w:tcW w:w="1181" w:type="dxa"/>
            <w:hideMark/>
          </w:tcPr>
          <w:p w:rsidRPr="00D553E9" w:rsidR="00E75905" w:rsidP="00E75905" w:rsidRDefault="00E75905" w14:paraId="17CE4C87" w14:textId="77777777">
            <w:pPr>
              <w:pStyle w:val="TableCaption"/>
              <w:spacing w:after="0"/>
              <w:jc w:val="left"/>
              <w:rPr>
                <w:b w:val="0"/>
                <w:sz w:val="20"/>
                <w:szCs w:val="20"/>
              </w:rPr>
            </w:pPr>
            <w:r w:rsidRPr="00D553E9">
              <w:rPr>
                <w:b w:val="0"/>
                <w:sz w:val="20"/>
                <w:szCs w:val="20"/>
              </w:rPr>
              <w:t>0.0167</w:t>
            </w:r>
          </w:p>
        </w:tc>
        <w:tc>
          <w:tcPr>
            <w:tcW w:w="1514" w:type="dxa"/>
            <w:noWrap/>
            <w:hideMark/>
          </w:tcPr>
          <w:p w:rsidRPr="00D553E9" w:rsidR="00E75905" w:rsidP="00E75905" w:rsidRDefault="00E75905" w14:paraId="605A9B9A" w14:textId="77777777">
            <w:pPr>
              <w:pStyle w:val="TableCaption"/>
              <w:spacing w:after="0"/>
              <w:jc w:val="left"/>
              <w:rPr>
                <w:b w:val="0"/>
                <w:sz w:val="20"/>
                <w:szCs w:val="20"/>
              </w:rPr>
            </w:pPr>
            <w:r w:rsidRPr="00D553E9">
              <w:rPr>
                <w:b w:val="0"/>
                <w:sz w:val="20"/>
                <w:szCs w:val="20"/>
              </w:rPr>
              <w:t>81</w:t>
            </w:r>
          </w:p>
        </w:tc>
        <w:tc>
          <w:tcPr>
            <w:tcW w:w="1062" w:type="dxa"/>
            <w:hideMark/>
          </w:tcPr>
          <w:p w:rsidRPr="00D553E9" w:rsidR="00E75905" w:rsidP="00E75905" w:rsidRDefault="00E75905" w14:paraId="0F104481" w14:textId="77777777">
            <w:pPr>
              <w:pStyle w:val="TableCaption"/>
              <w:spacing w:after="0"/>
              <w:jc w:val="left"/>
              <w:rPr>
                <w:b w:val="0"/>
                <w:sz w:val="20"/>
                <w:szCs w:val="20"/>
              </w:rPr>
            </w:pPr>
            <w:r w:rsidRPr="00D553E9">
              <w:rPr>
                <w:b w:val="0"/>
                <w:sz w:val="20"/>
                <w:szCs w:val="20"/>
              </w:rPr>
              <w:t>32.40</w:t>
            </w:r>
          </w:p>
        </w:tc>
        <w:tc>
          <w:tcPr>
            <w:tcW w:w="1625" w:type="dxa"/>
            <w:noWrap/>
            <w:hideMark/>
          </w:tcPr>
          <w:p w:rsidRPr="00D553E9" w:rsidR="00E75905" w:rsidP="00E75905" w:rsidRDefault="00E75905" w14:paraId="7E20CF5E" w14:textId="77777777">
            <w:pPr>
              <w:pStyle w:val="TableCaption"/>
              <w:spacing w:after="0"/>
              <w:jc w:val="left"/>
              <w:rPr>
                <w:b w:val="0"/>
                <w:sz w:val="20"/>
                <w:szCs w:val="20"/>
              </w:rPr>
            </w:pPr>
            <w:r w:rsidRPr="00D553E9">
              <w:rPr>
                <w:b w:val="0"/>
                <w:sz w:val="20"/>
                <w:szCs w:val="20"/>
              </w:rPr>
              <w:t>2,624</w:t>
            </w:r>
          </w:p>
        </w:tc>
        <w:tc>
          <w:tcPr>
            <w:tcW w:w="1199" w:type="dxa"/>
            <w:hideMark/>
          </w:tcPr>
          <w:p w:rsidRPr="00D553E9" w:rsidR="00E75905" w:rsidP="00E75905" w:rsidRDefault="00E75905" w14:paraId="4BC0466E" w14:textId="77777777">
            <w:pPr>
              <w:pStyle w:val="TableCaption"/>
              <w:spacing w:after="0"/>
              <w:jc w:val="left"/>
              <w:rPr>
                <w:b w:val="0"/>
                <w:sz w:val="20"/>
                <w:szCs w:val="20"/>
              </w:rPr>
            </w:pPr>
            <w:r w:rsidRPr="00D553E9">
              <w:rPr>
                <w:b w:val="0"/>
                <w:sz w:val="20"/>
                <w:szCs w:val="20"/>
              </w:rPr>
              <w:t>TPD</w:t>
            </w:r>
          </w:p>
        </w:tc>
        <w:tc>
          <w:tcPr>
            <w:tcW w:w="1260" w:type="dxa"/>
            <w:hideMark/>
          </w:tcPr>
          <w:p w:rsidRPr="00D553E9" w:rsidR="00E75905" w:rsidP="00E75905" w:rsidRDefault="00E75905" w14:paraId="2A5AB86A" w14:textId="77777777">
            <w:pPr>
              <w:pStyle w:val="TableCaption"/>
              <w:spacing w:after="0"/>
              <w:jc w:val="left"/>
              <w:rPr>
                <w:b w:val="0"/>
                <w:sz w:val="20"/>
                <w:szCs w:val="20"/>
              </w:rPr>
            </w:pPr>
            <w:r w:rsidRPr="00D553E9">
              <w:rPr>
                <w:b w:val="0"/>
                <w:sz w:val="20"/>
                <w:szCs w:val="20"/>
              </w:rPr>
              <w:t>Annual</w:t>
            </w:r>
          </w:p>
        </w:tc>
      </w:tr>
      <w:tr w:rsidRPr="00D553E9" w:rsidR="00E75905" w:rsidTr="00D553E9" w14:paraId="22B0211F" w14:textId="77777777">
        <w:trPr>
          <w:trHeight w:val="809"/>
        </w:trPr>
        <w:tc>
          <w:tcPr>
            <w:tcW w:w="1075" w:type="dxa"/>
            <w:hideMark/>
          </w:tcPr>
          <w:p w:rsidRPr="00D553E9" w:rsidR="00E75905" w:rsidP="00E75905" w:rsidRDefault="00E75905" w14:paraId="36CAC273" w14:textId="77777777">
            <w:pPr>
              <w:pStyle w:val="TableCaption"/>
              <w:spacing w:after="0"/>
              <w:jc w:val="left"/>
              <w:rPr>
                <w:b w:val="0"/>
                <w:sz w:val="20"/>
                <w:szCs w:val="20"/>
              </w:rPr>
            </w:pPr>
            <w:r w:rsidRPr="00D553E9">
              <w:rPr>
                <w:b w:val="0"/>
                <w:sz w:val="20"/>
                <w:szCs w:val="20"/>
              </w:rPr>
              <w:t>12.32</w:t>
            </w:r>
          </w:p>
        </w:tc>
        <w:tc>
          <w:tcPr>
            <w:tcW w:w="1659" w:type="dxa"/>
            <w:hideMark/>
          </w:tcPr>
          <w:p w:rsidRPr="00D553E9" w:rsidR="00E75905" w:rsidP="00E75905" w:rsidRDefault="00E75905" w14:paraId="1B9297DC" w14:textId="77777777">
            <w:pPr>
              <w:pStyle w:val="TableCaption"/>
              <w:spacing w:after="0"/>
              <w:rPr>
                <w:b w:val="0"/>
                <w:sz w:val="20"/>
                <w:szCs w:val="20"/>
              </w:rPr>
            </w:pPr>
            <w:r w:rsidRPr="00D553E9">
              <w:rPr>
                <w:b w:val="0"/>
                <w:sz w:val="20"/>
                <w:szCs w:val="20"/>
              </w:rPr>
              <w:t>438.102, Provider Enrollee Communications</w:t>
            </w:r>
          </w:p>
        </w:tc>
        <w:tc>
          <w:tcPr>
            <w:tcW w:w="1491" w:type="dxa"/>
            <w:noWrap/>
            <w:hideMark/>
          </w:tcPr>
          <w:p w:rsidRPr="00D553E9" w:rsidR="00E75905" w:rsidP="00E75905" w:rsidRDefault="00E75905" w14:paraId="61D8A3D8" w14:textId="77777777">
            <w:pPr>
              <w:pStyle w:val="TableCaption"/>
              <w:spacing w:after="0"/>
              <w:jc w:val="left"/>
              <w:rPr>
                <w:b w:val="0"/>
                <w:sz w:val="20"/>
                <w:szCs w:val="20"/>
              </w:rPr>
            </w:pPr>
            <w:r w:rsidRPr="00D553E9">
              <w:rPr>
                <w:b w:val="0"/>
                <w:sz w:val="20"/>
                <w:szCs w:val="20"/>
              </w:rPr>
              <w:t>3</w:t>
            </w:r>
          </w:p>
        </w:tc>
        <w:tc>
          <w:tcPr>
            <w:tcW w:w="1159" w:type="dxa"/>
            <w:noWrap/>
            <w:hideMark/>
          </w:tcPr>
          <w:p w:rsidRPr="00D553E9" w:rsidR="00E75905" w:rsidP="00E75905" w:rsidRDefault="00E75905" w14:paraId="4F1275E7" w14:textId="77777777">
            <w:pPr>
              <w:pStyle w:val="TableCaption"/>
              <w:spacing w:after="0"/>
              <w:jc w:val="left"/>
              <w:rPr>
                <w:b w:val="0"/>
                <w:sz w:val="20"/>
                <w:szCs w:val="20"/>
              </w:rPr>
            </w:pPr>
            <w:r w:rsidRPr="00D553E9">
              <w:rPr>
                <w:b w:val="0"/>
                <w:sz w:val="20"/>
                <w:szCs w:val="20"/>
              </w:rPr>
              <w:t>75,000</w:t>
            </w:r>
          </w:p>
        </w:tc>
        <w:tc>
          <w:tcPr>
            <w:tcW w:w="1181" w:type="dxa"/>
            <w:hideMark/>
          </w:tcPr>
          <w:p w:rsidRPr="00D553E9" w:rsidR="00E75905" w:rsidP="00E75905" w:rsidRDefault="00E75905" w14:paraId="1241EFFE" w14:textId="77777777">
            <w:pPr>
              <w:pStyle w:val="TableCaption"/>
              <w:spacing w:after="0"/>
              <w:jc w:val="left"/>
              <w:rPr>
                <w:b w:val="0"/>
                <w:sz w:val="20"/>
                <w:szCs w:val="20"/>
              </w:rPr>
            </w:pPr>
            <w:r w:rsidRPr="00D553E9">
              <w:rPr>
                <w:b w:val="0"/>
                <w:sz w:val="20"/>
                <w:szCs w:val="20"/>
              </w:rPr>
              <w:t>0.0167</w:t>
            </w:r>
          </w:p>
        </w:tc>
        <w:tc>
          <w:tcPr>
            <w:tcW w:w="1514" w:type="dxa"/>
            <w:noWrap/>
            <w:hideMark/>
          </w:tcPr>
          <w:p w:rsidRPr="00D553E9" w:rsidR="00E75905" w:rsidP="00E75905" w:rsidRDefault="00E75905" w14:paraId="06A0AB49" w14:textId="77777777">
            <w:pPr>
              <w:pStyle w:val="TableCaption"/>
              <w:spacing w:after="0"/>
              <w:jc w:val="left"/>
              <w:rPr>
                <w:b w:val="0"/>
                <w:sz w:val="20"/>
                <w:szCs w:val="20"/>
              </w:rPr>
            </w:pPr>
            <w:r w:rsidRPr="00D553E9">
              <w:rPr>
                <w:b w:val="0"/>
                <w:sz w:val="20"/>
                <w:szCs w:val="20"/>
              </w:rPr>
              <w:t>1,253</w:t>
            </w:r>
          </w:p>
        </w:tc>
        <w:tc>
          <w:tcPr>
            <w:tcW w:w="1062" w:type="dxa"/>
            <w:hideMark/>
          </w:tcPr>
          <w:p w:rsidRPr="00D553E9" w:rsidR="00E75905" w:rsidP="00E75905" w:rsidRDefault="00E75905" w14:paraId="5CD7B1FC" w14:textId="77777777">
            <w:pPr>
              <w:pStyle w:val="TableCaption"/>
              <w:spacing w:after="0"/>
              <w:jc w:val="left"/>
              <w:rPr>
                <w:b w:val="0"/>
                <w:sz w:val="20"/>
                <w:szCs w:val="20"/>
              </w:rPr>
            </w:pPr>
            <w:r w:rsidRPr="00D553E9">
              <w:rPr>
                <w:b w:val="0"/>
                <w:sz w:val="20"/>
                <w:szCs w:val="20"/>
              </w:rPr>
              <w:t>32.40</w:t>
            </w:r>
          </w:p>
        </w:tc>
        <w:tc>
          <w:tcPr>
            <w:tcW w:w="1625" w:type="dxa"/>
            <w:noWrap/>
            <w:hideMark/>
          </w:tcPr>
          <w:p w:rsidRPr="00D553E9" w:rsidR="00E75905" w:rsidP="00E75905" w:rsidRDefault="00E75905" w14:paraId="59D3FFAA" w14:textId="77777777">
            <w:pPr>
              <w:pStyle w:val="TableCaption"/>
              <w:spacing w:after="0"/>
              <w:jc w:val="left"/>
              <w:rPr>
                <w:b w:val="0"/>
                <w:sz w:val="20"/>
                <w:szCs w:val="20"/>
              </w:rPr>
            </w:pPr>
            <w:r w:rsidRPr="00D553E9">
              <w:rPr>
                <w:b w:val="0"/>
                <w:sz w:val="20"/>
                <w:szCs w:val="20"/>
              </w:rPr>
              <w:t>40,597</w:t>
            </w:r>
          </w:p>
        </w:tc>
        <w:tc>
          <w:tcPr>
            <w:tcW w:w="1199" w:type="dxa"/>
            <w:hideMark/>
          </w:tcPr>
          <w:p w:rsidRPr="00D553E9" w:rsidR="00E75905" w:rsidP="00E75905" w:rsidRDefault="00E75905" w14:paraId="350404E9" w14:textId="77777777">
            <w:pPr>
              <w:pStyle w:val="TableCaption"/>
              <w:spacing w:after="0"/>
              <w:jc w:val="left"/>
              <w:rPr>
                <w:b w:val="0"/>
                <w:sz w:val="20"/>
                <w:szCs w:val="20"/>
              </w:rPr>
            </w:pPr>
            <w:r w:rsidRPr="00D553E9">
              <w:rPr>
                <w:b w:val="0"/>
                <w:sz w:val="20"/>
                <w:szCs w:val="20"/>
              </w:rPr>
              <w:t>TPD</w:t>
            </w:r>
          </w:p>
        </w:tc>
        <w:tc>
          <w:tcPr>
            <w:tcW w:w="1260" w:type="dxa"/>
            <w:hideMark/>
          </w:tcPr>
          <w:p w:rsidRPr="00D553E9" w:rsidR="00E75905" w:rsidP="00E75905" w:rsidRDefault="00E75905" w14:paraId="763D248D" w14:textId="77777777">
            <w:pPr>
              <w:pStyle w:val="TableCaption"/>
              <w:spacing w:after="0"/>
              <w:jc w:val="left"/>
              <w:rPr>
                <w:b w:val="0"/>
                <w:sz w:val="20"/>
                <w:szCs w:val="20"/>
              </w:rPr>
            </w:pPr>
            <w:r w:rsidRPr="00D553E9">
              <w:rPr>
                <w:b w:val="0"/>
                <w:sz w:val="20"/>
                <w:szCs w:val="20"/>
              </w:rPr>
              <w:t>Annual</w:t>
            </w:r>
          </w:p>
        </w:tc>
      </w:tr>
      <w:tr w:rsidRPr="00D553E9" w:rsidR="00E75905" w:rsidTr="00794504" w14:paraId="2136411C" w14:textId="77777777">
        <w:trPr>
          <w:trHeight w:val="528"/>
        </w:trPr>
        <w:tc>
          <w:tcPr>
            <w:tcW w:w="1075" w:type="dxa"/>
            <w:vMerge w:val="restart"/>
            <w:hideMark/>
          </w:tcPr>
          <w:p w:rsidRPr="00D553E9" w:rsidR="00E75905" w:rsidP="00E75905" w:rsidRDefault="00E75905" w14:paraId="59F36B51" w14:textId="77777777">
            <w:pPr>
              <w:pStyle w:val="TableCaption"/>
              <w:spacing w:after="0"/>
              <w:jc w:val="left"/>
              <w:rPr>
                <w:b w:val="0"/>
                <w:sz w:val="20"/>
                <w:szCs w:val="20"/>
              </w:rPr>
            </w:pPr>
            <w:r w:rsidRPr="00D553E9">
              <w:rPr>
                <w:b w:val="0"/>
                <w:sz w:val="20"/>
                <w:szCs w:val="20"/>
              </w:rPr>
              <w:t>12.35</w:t>
            </w:r>
          </w:p>
        </w:tc>
        <w:tc>
          <w:tcPr>
            <w:tcW w:w="1659" w:type="dxa"/>
            <w:hideMark/>
          </w:tcPr>
          <w:p w:rsidRPr="00D553E9" w:rsidR="00E75905" w:rsidP="00E75905" w:rsidRDefault="00E75905" w14:paraId="6A68E015" w14:textId="77777777">
            <w:pPr>
              <w:pStyle w:val="TableCaption"/>
              <w:spacing w:after="0"/>
              <w:rPr>
                <w:b w:val="0"/>
                <w:sz w:val="20"/>
                <w:szCs w:val="20"/>
              </w:rPr>
            </w:pPr>
            <w:r w:rsidRPr="00D553E9">
              <w:rPr>
                <w:b w:val="0"/>
                <w:sz w:val="20"/>
                <w:szCs w:val="20"/>
              </w:rPr>
              <w:t>438.208(b)(2)(iii)</w:t>
            </w:r>
          </w:p>
        </w:tc>
        <w:tc>
          <w:tcPr>
            <w:tcW w:w="1491" w:type="dxa"/>
            <w:vMerge w:val="restart"/>
            <w:hideMark/>
          </w:tcPr>
          <w:p w:rsidRPr="00D553E9" w:rsidR="00E75905" w:rsidP="00E75905" w:rsidRDefault="00E75905" w14:paraId="546987C7" w14:textId="77777777">
            <w:pPr>
              <w:pStyle w:val="TableCaption"/>
              <w:spacing w:after="0"/>
              <w:jc w:val="left"/>
              <w:rPr>
                <w:b w:val="0"/>
                <w:sz w:val="20"/>
                <w:szCs w:val="20"/>
              </w:rPr>
            </w:pPr>
            <w:r w:rsidRPr="00D553E9">
              <w:rPr>
                <w:b w:val="0"/>
                <w:sz w:val="20"/>
                <w:szCs w:val="20"/>
              </w:rPr>
              <w:t>488</w:t>
            </w:r>
          </w:p>
        </w:tc>
        <w:tc>
          <w:tcPr>
            <w:tcW w:w="1159" w:type="dxa"/>
            <w:vMerge w:val="restart"/>
            <w:noWrap/>
            <w:hideMark/>
          </w:tcPr>
          <w:p w:rsidRPr="00D553E9" w:rsidR="00E75905" w:rsidP="00E75905" w:rsidRDefault="00E75905" w14:paraId="6F8ACAB0" w14:textId="77777777">
            <w:pPr>
              <w:pStyle w:val="TableCaption"/>
              <w:spacing w:after="0"/>
              <w:jc w:val="left"/>
              <w:rPr>
                <w:b w:val="0"/>
                <w:sz w:val="20"/>
                <w:szCs w:val="20"/>
              </w:rPr>
            </w:pPr>
            <w:r w:rsidRPr="00D553E9">
              <w:rPr>
                <w:b w:val="0"/>
                <w:sz w:val="20"/>
                <w:szCs w:val="20"/>
              </w:rPr>
              <w:t>3,030,655</w:t>
            </w:r>
          </w:p>
        </w:tc>
        <w:tc>
          <w:tcPr>
            <w:tcW w:w="1181" w:type="dxa"/>
            <w:vMerge w:val="restart"/>
            <w:hideMark/>
          </w:tcPr>
          <w:p w:rsidRPr="00D553E9" w:rsidR="00E75905" w:rsidP="00E75905" w:rsidRDefault="00E75905" w14:paraId="3A8EA345" w14:textId="77777777">
            <w:pPr>
              <w:pStyle w:val="TableCaption"/>
              <w:spacing w:after="0"/>
              <w:jc w:val="left"/>
              <w:rPr>
                <w:b w:val="0"/>
                <w:sz w:val="20"/>
                <w:szCs w:val="20"/>
              </w:rPr>
            </w:pPr>
            <w:r w:rsidRPr="00D553E9">
              <w:rPr>
                <w:b w:val="0"/>
                <w:sz w:val="20"/>
                <w:szCs w:val="20"/>
              </w:rPr>
              <w:t>0.1667</w:t>
            </w:r>
          </w:p>
        </w:tc>
        <w:tc>
          <w:tcPr>
            <w:tcW w:w="1514" w:type="dxa"/>
            <w:vMerge w:val="restart"/>
            <w:noWrap/>
            <w:hideMark/>
          </w:tcPr>
          <w:p w:rsidRPr="00D553E9" w:rsidR="00E75905" w:rsidP="00E75905" w:rsidRDefault="00E75905" w14:paraId="0D1A661C" w14:textId="77777777">
            <w:pPr>
              <w:pStyle w:val="TableCaption"/>
              <w:spacing w:after="0"/>
              <w:jc w:val="left"/>
              <w:rPr>
                <w:b w:val="0"/>
                <w:sz w:val="20"/>
                <w:szCs w:val="20"/>
              </w:rPr>
            </w:pPr>
            <w:r w:rsidRPr="00D553E9">
              <w:rPr>
                <w:b w:val="0"/>
                <w:sz w:val="20"/>
                <w:szCs w:val="20"/>
              </w:rPr>
              <w:t>505,210</w:t>
            </w:r>
          </w:p>
        </w:tc>
        <w:tc>
          <w:tcPr>
            <w:tcW w:w="1062" w:type="dxa"/>
            <w:vMerge w:val="restart"/>
            <w:hideMark/>
          </w:tcPr>
          <w:p w:rsidRPr="00D553E9" w:rsidR="00E75905" w:rsidP="00E75905" w:rsidRDefault="00E75905" w14:paraId="48CC040F" w14:textId="77777777">
            <w:pPr>
              <w:pStyle w:val="TableCaption"/>
              <w:spacing w:after="0"/>
              <w:jc w:val="left"/>
              <w:rPr>
                <w:b w:val="0"/>
                <w:sz w:val="20"/>
                <w:szCs w:val="20"/>
              </w:rPr>
            </w:pPr>
            <w:r w:rsidRPr="00D553E9">
              <w:rPr>
                <w:b w:val="0"/>
                <w:sz w:val="20"/>
                <w:szCs w:val="20"/>
              </w:rPr>
              <w:t>58.14</w:t>
            </w:r>
          </w:p>
        </w:tc>
        <w:tc>
          <w:tcPr>
            <w:tcW w:w="1625" w:type="dxa"/>
            <w:vMerge w:val="restart"/>
            <w:noWrap/>
            <w:hideMark/>
          </w:tcPr>
          <w:p w:rsidRPr="00D553E9" w:rsidR="00E75905" w:rsidP="00E75905" w:rsidRDefault="00E75905" w14:paraId="55C47CA7" w14:textId="77777777">
            <w:pPr>
              <w:pStyle w:val="TableCaption"/>
              <w:spacing w:after="0"/>
              <w:jc w:val="left"/>
              <w:rPr>
                <w:b w:val="0"/>
                <w:sz w:val="20"/>
                <w:szCs w:val="20"/>
              </w:rPr>
            </w:pPr>
            <w:r w:rsidRPr="00D553E9">
              <w:rPr>
                <w:b w:val="0"/>
                <w:sz w:val="20"/>
                <w:szCs w:val="20"/>
              </w:rPr>
              <w:t>29,372,909</w:t>
            </w:r>
          </w:p>
        </w:tc>
        <w:tc>
          <w:tcPr>
            <w:tcW w:w="1199" w:type="dxa"/>
            <w:vMerge w:val="restart"/>
            <w:hideMark/>
          </w:tcPr>
          <w:p w:rsidRPr="00D553E9" w:rsidR="00E75905" w:rsidP="00E75905" w:rsidRDefault="00E75905" w14:paraId="6DEEFE43" w14:textId="77777777">
            <w:pPr>
              <w:pStyle w:val="TableCaption"/>
              <w:spacing w:after="0"/>
              <w:jc w:val="left"/>
              <w:rPr>
                <w:b w:val="0"/>
                <w:sz w:val="20"/>
                <w:szCs w:val="20"/>
              </w:rPr>
            </w:pPr>
            <w:r w:rsidRPr="00D553E9">
              <w:rPr>
                <w:b w:val="0"/>
                <w:sz w:val="20"/>
                <w:szCs w:val="20"/>
              </w:rPr>
              <w:t>TPD</w:t>
            </w:r>
          </w:p>
        </w:tc>
        <w:tc>
          <w:tcPr>
            <w:tcW w:w="1260" w:type="dxa"/>
            <w:vMerge w:val="restart"/>
            <w:hideMark/>
          </w:tcPr>
          <w:p w:rsidRPr="00D553E9" w:rsidR="00E75905" w:rsidP="00E75905" w:rsidRDefault="00E75905" w14:paraId="049D4A41" w14:textId="77777777">
            <w:pPr>
              <w:pStyle w:val="TableCaption"/>
              <w:spacing w:after="0"/>
              <w:jc w:val="left"/>
              <w:rPr>
                <w:b w:val="0"/>
                <w:sz w:val="20"/>
                <w:szCs w:val="20"/>
              </w:rPr>
            </w:pPr>
            <w:r w:rsidRPr="00D553E9">
              <w:rPr>
                <w:b w:val="0"/>
                <w:sz w:val="20"/>
                <w:szCs w:val="20"/>
              </w:rPr>
              <w:t>Annual</w:t>
            </w:r>
          </w:p>
        </w:tc>
      </w:tr>
      <w:tr w:rsidRPr="00D553E9" w:rsidR="00E75905" w:rsidTr="00794504" w14:paraId="67013BB6" w14:textId="77777777">
        <w:trPr>
          <w:trHeight w:val="804"/>
        </w:trPr>
        <w:tc>
          <w:tcPr>
            <w:tcW w:w="1075" w:type="dxa"/>
            <w:vMerge/>
            <w:hideMark/>
          </w:tcPr>
          <w:p w:rsidRPr="00D553E9" w:rsidR="00E75905" w:rsidP="00E75905" w:rsidRDefault="00E75905" w14:paraId="396C8A11" w14:textId="77777777">
            <w:pPr>
              <w:pStyle w:val="TableCaption"/>
              <w:spacing w:after="0"/>
              <w:rPr>
                <w:b w:val="0"/>
                <w:sz w:val="20"/>
                <w:szCs w:val="20"/>
              </w:rPr>
            </w:pPr>
          </w:p>
        </w:tc>
        <w:tc>
          <w:tcPr>
            <w:tcW w:w="1659" w:type="dxa"/>
            <w:hideMark/>
          </w:tcPr>
          <w:p w:rsidRPr="00D553E9" w:rsidR="00E75905" w:rsidP="00E75905" w:rsidRDefault="00E75905" w14:paraId="13F97F2D" w14:textId="77777777">
            <w:pPr>
              <w:pStyle w:val="TableCaption"/>
              <w:spacing w:after="0"/>
              <w:rPr>
                <w:b w:val="0"/>
                <w:sz w:val="20"/>
                <w:szCs w:val="20"/>
              </w:rPr>
            </w:pPr>
            <w:r w:rsidRPr="00D553E9">
              <w:rPr>
                <w:b w:val="0"/>
                <w:sz w:val="20"/>
                <w:szCs w:val="20"/>
              </w:rPr>
              <w:t>Care Coordination</w:t>
            </w:r>
          </w:p>
        </w:tc>
        <w:tc>
          <w:tcPr>
            <w:tcW w:w="1491" w:type="dxa"/>
            <w:vMerge/>
            <w:hideMark/>
          </w:tcPr>
          <w:p w:rsidRPr="00D553E9" w:rsidR="00E75905" w:rsidP="00E75905" w:rsidRDefault="00E75905" w14:paraId="6590A262" w14:textId="77777777">
            <w:pPr>
              <w:pStyle w:val="TableCaption"/>
              <w:spacing w:after="0"/>
              <w:rPr>
                <w:b w:val="0"/>
                <w:sz w:val="20"/>
                <w:szCs w:val="20"/>
              </w:rPr>
            </w:pPr>
          </w:p>
        </w:tc>
        <w:tc>
          <w:tcPr>
            <w:tcW w:w="1159" w:type="dxa"/>
            <w:vMerge/>
            <w:hideMark/>
          </w:tcPr>
          <w:p w:rsidRPr="00D553E9" w:rsidR="00E75905" w:rsidP="00E75905" w:rsidRDefault="00E75905" w14:paraId="78B27CEA" w14:textId="77777777">
            <w:pPr>
              <w:pStyle w:val="TableCaption"/>
              <w:spacing w:after="0"/>
              <w:rPr>
                <w:b w:val="0"/>
                <w:sz w:val="20"/>
                <w:szCs w:val="20"/>
              </w:rPr>
            </w:pPr>
          </w:p>
        </w:tc>
        <w:tc>
          <w:tcPr>
            <w:tcW w:w="1181" w:type="dxa"/>
            <w:vMerge/>
            <w:hideMark/>
          </w:tcPr>
          <w:p w:rsidRPr="00D553E9" w:rsidR="00E75905" w:rsidP="00E75905" w:rsidRDefault="00E75905" w14:paraId="726F0BC0" w14:textId="77777777">
            <w:pPr>
              <w:pStyle w:val="TableCaption"/>
              <w:spacing w:after="0"/>
              <w:rPr>
                <w:b w:val="0"/>
                <w:sz w:val="20"/>
                <w:szCs w:val="20"/>
              </w:rPr>
            </w:pPr>
          </w:p>
        </w:tc>
        <w:tc>
          <w:tcPr>
            <w:tcW w:w="1514" w:type="dxa"/>
            <w:vMerge/>
            <w:hideMark/>
          </w:tcPr>
          <w:p w:rsidRPr="00D553E9" w:rsidR="00E75905" w:rsidP="00E75905" w:rsidRDefault="00E75905" w14:paraId="2922B093" w14:textId="77777777">
            <w:pPr>
              <w:pStyle w:val="TableCaption"/>
              <w:spacing w:after="0"/>
              <w:rPr>
                <w:b w:val="0"/>
                <w:sz w:val="20"/>
                <w:szCs w:val="20"/>
              </w:rPr>
            </w:pPr>
          </w:p>
        </w:tc>
        <w:tc>
          <w:tcPr>
            <w:tcW w:w="1062" w:type="dxa"/>
            <w:vMerge/>
            <w:hideMark/>
          </w:tcPr>
          <w:p w:rsidRPr="00D553E9" w:rsidR="00E75905" w:rsidP="00E75905" w:rsidRDefault="00E75905" w14:paraId="32DCB991" w14:textId="77777777">
            <w:pPr>
              <w:pStyle w:val="TableCaption"/>
              <w:spacing w:after="0"/>
              <w:rPr>
                <w:b w:val="0"/>
                <w:sz w:val="20"/>
                <w:szCs w:val="20"/>
              </w:rPr>
            </w:pPr>
          </w:p>
        </w:tc>
        <w:tc>
          <w:tcPr>
            <w:tcW w:w="1625" w:type="dxa"/>
            <w:vMerge/>
            <w:hideMark/>
          </w:tcPr>
          <w:p w:rsidRPr="00D553E9" w:rsidR="00E75905" w:rsidP="00E75905" w:rsidRDefault="00E75905" w14:paraId="58C7B210" w14:textId="77777777">
            <w:pPr>
              <w:pStyle w:val="TableCaption"/>
              <w:spacing w:after="0"/>
              <w:rPr>
                <w:b w:val="0"/>
                <w:sz w:val="20"/>
                <w:szCs w:val="20"/>
              </w:rPr>
            </w:pPr>
          </w:p>
        </w:tc>
        <w:tc>
          <w:tcPr>
            <w:tcW w:w="1199" w:type="dxa"/>
            <w:vMerge/>
            <w:hideMark/>
          </w:tcPr>
          <w:p w:rsidRPr="00D553E9" w:rsidR="00E75905" w:rsidP="00E75905" w:rsidRDefault="00E75905" w14:paraId="0006E71C" w14:textId="77777777">
            <w:pPr>
              <w:pStyle w:val="TableCaption"/>
              <w:spacing w:after="0"/>
              <w:rPr>
                <w:b w:val="0"/>
                <w:sz w:val="20"/>
                <w:szCs w:val="20"/>
              </w:rPr>
            </w:pPr>
          </w:p>
        </w:tc>
        <w:tc>
          <w:tcPr>
            <w:tcW w:w="1260" w:type="dxa"/>
            <w:vMerge/>
            <w:hideMark/>
          </w:tcPr>
          <w:p w:rsidRPr="00D553E9" w:rsidR="00E75905" w:rsidP="00E75905" w:rsidRDefault="00E75905" w14:paraId="23DCC1BD" w14:textId="77777777">
            <w:pPr>
              <w:pStyle w:val="TableCaption"/>
              <w:spacing w:after="0"/>
              <w:rPr>
                <w:b w:val="0"/>
                <w:sz w:val="20"/>
                <w:szCs w:val="20"/>
              </w:rPr>
            </w:pPr>
          </w:p>
        </w:tc>
      </w:tr>
      <w:tr w:rsidRPr="00D553E9" w:rsidR="00E75905" w:rsidTr="00794504" w14:paraId="0D6F41D8" w14:textId="77777777">
        <w:trPr>
          <w:trHeight w:val="528"/>
        </w:trPr>
        <w:tc>
          <w:tcPr>
            <w:tcW w:w="1075" w:type="dxa"/>
            <w:vMerge w:val="restart"/>
            <w:hideMark/>
          </w:tcPr>
          <w:p w:rsidRPr="00D553E9" w:rsidR="00E75905" w:rsidP="00E75905" w:rsidRDefault="00E75905" w14:paraId="355CAA9B" w14:textId="77777777">
            <w:pPr>
              <w:pStyle w:val="TableCaption"/>
              <w:spacing w:after="0"/>
              <w:jc w:val="left"/>
              <w:rPr>
                <w:b w:val="0"/>
                <w:sz w:val="20"/>
                <w:szCs w:val="20"/>
              </w:rPr>
            </w:pPr>
            <w:r w:rsidRPr="00D553E9">
              <w:rPr>
                <w:b w:val="0"/>
                <w:sz w:val="20"/>
                <w:szCs w:val="20"/>
              </w:rPr>
              <w:t>12.37</w:t>
            </w:r>
          </w:p>
        </w:tc>
        <w:tc>
          <w:tcPr>
            <w:tcW w:w="1659" w:type="dxa"/>
            <w:hideMark/>
          </w:tcPr>
          <w:p w:rsidRPr="00D553E9" w:rsidR="00E75905" w:rsidP="00E75905" w:rsidRDefault="00E75905" w14:paraId="3F09CEF4" w14:textId="77777777">
            <w:pPr>
              <w:pStyle w:val="TableCaption"/>
              <w:spacing w:after="0"/>
              <w:rPr>
                <w:b w:val="0"/>
                <w:sz w:val="20"/>
                <w:szCs w:val="20"/>
              </w:rPr>
            </w:pPr>
            <w:r w:rsidRPr="00D553E9">
              <w:rPr>
                <w:b w:val="0"/>
                <w:sz w:val="20"/>
                <w:szCs w:val="20"/>
              </w:rPr>
              <w:t>438.208(b)(3)</w:t>
            </w:r>
          </w:p>
        </w:tc>
        <w:tc>
          <w:tcPr>
            <w:tcW w:w="1491" w:type="dxa"/>
            <w:vMerge w:val="restart"/>
            <w:hideMark/>
          </w:tcPr>
          <w:p w:rsidRPr="00D553E9" w:rsidR="00E75905" w:rsidP="00E75905" w:rsidRDefault="00E75905" w14:paraId="76554DE4" w14:textId="77777777">
            <w:pPr>
              <w:pStyle w:val="TableCaption"/>
              <w:spacing w:after="0"/>
              <w:jc w:val="left"/>
              <w:rPr>
                <w:b w:val="0"/>
                <w:sz w:val="20"/>
                <w:szCs w:val="20"/>
              </w:rPr>
            </w:pPr>
            <w:r w:rsidRPr="00D553E9">
              <w:rPr>
                <w:b w:val="0"/>
                <w:sz w:val="20"/>
                <w:szCs w:val="20"/>
              </w:rPr>
              <w:t>488</w:t>
            </w:r>
          </w:p>
        </w:tc>
        <w:tc>
          <w:tcPr>
            <w:tcW w:w="1159" w:type="dxa"/>
            <w:vMerge w:val="restart"/>
            <w:noWrap/>
            <w:hideMark/>
          </w:tcPr>
          <w:p w:rsidRPr="00D553E9" w:rsidR="00E75905" w:rsidP="00E75905" w:rsidRDefault="00E75905" w14:paraId="419A0935" w14:textId="77777777">
            <w:pPr>
              <w:pStyle w:val="TableCaption"/>
              <w:spacing w:after="0"/>
              <w:jc w:val="left"/>
              <w:rPr>
                <w:b w:val="0"/>
                <w:sz w:val="20"/>
                <w:szCs w:val="20"/>
              </w:rPr>
            </w:pPr>
            <w:r w:rsidRPr="00D553E9">
              <w:rPr>
                <w:b w:val="0"/>
                <w:sz w:val="20"/>
                <w:szCs w:val="20"/>
              </w:rPr>
              <w:t>2,000,232</w:t>
            </w:r>
          </w:p>
        </w:tc>
        <w:tc>
          <w:tcPr>
            <w:tcW w:w="1181" w:type="dxa"/>
            <w:vMerge w:val="restart"/>
            <w:hideMark/>
          </w:tcPr>
          <w:p w:rsidRPr="00D553E9" w:rsidR="00E75905" w:rsidP="00E75905" w:rsidRDefault="00E75905" w14:paraId="4D6006F4" w14:textId="77777777">
            <w:pPr>
              <w:pStyle w:val="TableCaption"/>
              <w:spacing w:after="0"/>
              <w:jc w:val="left"/>
              <w:rPr>
                <w:b w:val="0"/>
                <w:sz w:val="20"/>
                <w:szCs w:val="20"/>
              </w:rPr>
            </w:pPr>
            <w:r w:rsidRPr="00D553E9">
              <w:rPr>
                <w:b w:val="0"/>
                <w:sz w:val="20"/>
                <w:szCs w:val="20"/>
              </w:rPr>
              <w:t>0.1667</w:t>
            </w:r>
          </w:p>
        </w:tc>
        <w:tc>
          <w:tcPr>
            <w:tcW w:w="1514" w:type="dxa"/>
            <w:vMerge w:val="restart"/>
            <w:noWrap/>
            <w:hideMark/>
          </w:tcPr>
          <w:p w:rsidRPr="00D553E9" w:rsidR="00E75905" w:rsidP="00E75905" w:rsidRDefault="00E75905" w14:paraId="77F78A2A" w14:textId="77777777">
            <w:pPr>
              <w:pStyle w:val="TableCaption"/>
              <w:spacing w:after="0"/>
              <w:jc w:val="left"/>
              <w:rPr>
                <w:b w:val="0"/>
                <w:sz w:val="20"/>
                <w:szCs w:val="20"/>
              </w:rPr>
            </w:pPr>
            <w:r w:rsidRPr="00D553E9">
              <w:rPr>
                <w:b w:val="0"/>
                <w:sz w:val="20"/>
                <w:szCs w:val="20"/>
              </w:rPr>
              <w:t>333,439</w:t>
            </w:r>
          </w:p>
        </w:tc>
        <w:tc>
          <w:tcPr>
            <w:tcW w:w="1062" w:type="dxa"/>
            <w:vMerge w:val="restart"/>
            <w:hideMark/>
          </w:tcPr>
          <w:p w:rsidRPr="00D553E9" w:rsidR="00E75905" w:rsidP="00E75905" w:rsidRDefault="00E75905" w14:paraId="6E7C710E" w14:textId="77777777">
            <w:pPr>
              <w:pStyle w:val="TableCaption"/>
              <w:spacing w:after="0"/>
              <w:jc w:val="left"/>
              <w:rPr>
                <w:b w:val="0"/>
                <w:sz w:val="20"/>
                <w:szCs w:val="20"/>
              </w:rPr>
            </w:pPr>
            <w:r w:rsidRPr="00D553E9">
              <w:rPr>
                <w:b w:val="0"/>
                <w:sz w:val="20"/>
                <w:szCs w:val="20"/>
              </w:rPr>
              <w:t>37.02</w:t>
            </w:r>
          </w:p>
        </w:tc>
        <w:tc>
          <w:tcPr>
            <w:tcW w:w="1625" w:type="dxa"/>
            <w:vMerge w:val="restart"/>
            <w:noWrap/>
            <w:hideMark/>
          </w:tcPr>
          <w:p w:rsidRPr="00D553E9" w:rsidR="00E75905" w:rsidP="00E75905" w:rsidRDefault="00E75905" w14:paraId="370A1368" w14:textId="77777777">
            <w:pPr>
              <w:pStyle w:val="TableCaption"/>
              <w:spacing w:after="0"/>
              <w:jc w:val="left"/>
              <w:rPr>
                <w:b w:val="0"/>
                <w:sz w:val="20"/>
                <w:szCs w:val="20"/>
              </w:rPr>
            </w:pPr>
            <w:r w:rsidRPr="00D553E9">
              <w:rPr>
                <w:b w:val="0"/>
                <w:sz w:val="20"/>
                <w:szCs w:val="20"/>
              </w:rPr>
              <w:t>12,343,912</w:t>
            </w:r>
          </w:p>
        </w:tc>
        <w:tc>
          <w:tcPr>
            <w:tcW w:w="1199" w:type="dxa"/>
            <w:vMerge w:val="restart"/>
            <w:hideMark/>
          </w:tcPr>
          <w:p w:rsidRPr="00D553E9" w:rsidR="00E75905" w:rsidP="00E75905" w:rsidRDefault="00E75905" w14:paraId="18975739" w14:textId="77777777">
            <w:pPr>
              <w:pStyle w:val="TableCaption"/>
              <w:spacing w:after="0"/>
              <w:jc w:val="left"/>
              <w:rPr>
                <w:b w:val="0"/>
                <w:sz w:val="20"/>
                <w:szCs w:val="20"/>
              </w:rPr>
            </w:pPr>
            <w:r w:rsidRPr="00D553E9">
              <w:rPr>
                <w:b w:val="0"/>
                <w:sz w:val="20"/>
                <w:szCs w:val="20"/>
              </w:rPr>
              <w:t>TPD</w:t>
            </w:r>
          </w:p>
        </w:tc>
        <w:tc>
          <w:tcPr>
            <w:tcW w:w="1260" w:type="dxa"/>
            <w:vMerge w:val="restart"/>
            <w:hideMark/>
          </w:tcPr>
          <w:p w:rsidRPr="00D553E9" w:rsidR="00E75905" w:rsidP="00E75905" w:rsidRDefault="00E75905" w14:paraId="00F9E267" w14:textId="77777777">
            <w:pPr>
              <w:pStyle w:val="TableCaption"/>
              <w:spacing w:after="0"/>
              <w:jc w:val="left"/>
              <w:rPr>
                <w:b w:val="0"/>
                <w:sz w:val="20"/>
                <w:szCs w:val="20"/>
              </w:rPr>
            </w:pPr>
            <w:r w:rsidRPr="00D553E9">
              <w:rPr>
                <w:b w:val="0"/>
                <w:sz w:val="20"/>
                <w:szCs w:val="20"/>
              </w:rPr>
              <w:t>Annual</w:t>
            </w:r>
          </w:p>
        </w:tc>
      </w:tr>
      <w:tr w:rsidRPr="00D553E9" w:rsidR="00E75905" w:rsidTr="00794504" w14:paraId="6B23BC23" w14:textId="77777777">
        <w:trPr>
          <w:trHeight w:val="804"/>
        </w:trPr>
        <w:tc>
          <w:tcPr>
            <w:tcW w:w="1075" w:type="dxa"/>
            <w:vMerge/>
            <w:hideMark/>
          </w:tcPr>
          <w:p w:rsidRPr="00D553E9" w:rsidR="00E75905" w:rsidP="00E75905" w:rsidRDefault="00E75905" w14:paraId="003DA655" w14:textId="77777777">
            <w:pPr>
              <w:pStyle w:val="TableCaption"/>
              <w:spacing w:after="0"/>
              <w:rPr>
                <w:b w:val="0"/>
                <w:sz w:val="20"/>
                <w:szCs w:val="20"/>
              </w:rPr>
            </w:pPr>
          </w:p>
        </w:tc>
        <w:tc>
          <w:tcPr>
            <w:tcW w:w="1659" w:type="dxa"/>
            <w:hideMark/>
          </w:tcPr>
          <w:p w:rsidRPr="00D553E9" w:rsidR="00E75905" w:rsidP="00E75905" w:rsidRDefault="00E75905" w14:paraId="5822C5F5" w14:textId="77777777">
            <w:pPr>
              <w:pStyle w:val="TableCaption"/>
              <w:spacing w:after="0"/>
              <w:rPr>
                <w:b w:val="0"/>
                <w:sz w:val="20"/>
                <w:szCs w:val="20"/>
              </w:rPr>
            </w:pPr>
            <w:r w:rsidRPr="00D553E9">
              <w:rPr>
                <w:b w:val="0"/>
                <w:sz w:val="20"/>
                <w:szCs w:val="20"/>
              </w:rPr>
              <w:t>Care Coordination</w:t>
            </w:r>
          </w:p>
        </w:tc>
        <w:tc>
          <w:tcPr>
            <w:tcW w:w="1491" w:type="dxa"/>
            <w:vMerge/>
            <w:hideMark/>
          </w:tcPr>
          <w:p w:rsidRPr="00D553E9" w:rsidR="00E75905" w:rsidP="00E75905" w:rsidRDefault="00E75905" w14:paraId="49113D9B" w14:textId="77777777">
            <w:pPr>
              <w:pStyle w:val="TableCaption"/>
              <w:spacing w:after="0"/>
              <w:rPr>
                <w:b w:val="0"/>
                <w:sz w:val="20"/>
                <w:szCs w:val="20"/>
              </w:rPr>
            </w:pPr>
          </w:p>
        </w:tc>
        <w:tc>
          <w:tcPr>
            <w:tcW w:w="1159" w:type="dxa"/>
            <w:vMerge/>
            <w:hideMark/>
          </w:tcPr>
          <w:p w:rsidRPr="00D553E9" w:rsidR="00E75905" w:rsidP="00E75905" w:rsidRDefault="00E75905" w14:paraId="35753B93" w14:textId="77777777">
            <w:pPr>
              <w:pStyle w:val="TableCaption"/>
              <w:spacing w:after="0"/>
              <w:rPr>
                <w:b w:val="0"/>
                <w:sz w:val="20"/>
                <w:szCs w:val="20"/>
              </w:rPr>
            </w:pPr>
          </w:p>
        </w:tc>
        <w:tc>
          <w:tcPr>
            <w:tcW w:w="1181" w:type="dxa"/>
            <w:vMerge/>
            <w:hideMark/>
          </w:tcPr>
          <w:p w:rsidRPr="00D553E9" w:rsidR="00E75905" w:rsidP="00E75905" w:rsidRDefault="00E75905" w14:paraId="6D7B4F31" w14:textId="77777777">
            <w:pPr>
              <w:pStyle w:val="TableCaption"/>
              <w:spacing w:after="0"/>
              <w:rPr>
                <w:b w:val="0"/>
                <w:sz w:val="20"/>
                <w:szCs w:val="20"/>
              </w:rPr>
            </w:pPr>
          </w:p>
        </w:tc>
        <w:tc>
          <w:tcPr>
            <w:tcW w:w="1514" w:type="dxa"/>
            <w:vMerge/>
            <w:hideMark/>
          </w:tcPr>
          <w:p w:rsidRPr="00D553E9" w:rsidR="00E75905" w:rsidP="00E75905" w:rsidRDefault="00E75905" w14:paraId="2E99EE02" w14:textId="77777777">
            <w:pPr>
              <w:pStyle w:val="TableCaption"/>
              <w:spacing w:after="0"/>
              <w:rPr>
                <w:b w:val="0"/>
                <w:sz w:val="20"/>
                <w:szCs w:val="20"/>
              </w:rPr>
            </w:pPr>
          </w:p>
        </w:tc>
        <w:tc>
          <w:tcPr>
            <w:tcW w:w="1062" w:type="dxa"/>
            <w:vMerge/>
            <w:hideMark/>
          </w:tcPr>
          <w:p w:rsidRPr="00D553E9" w:rsidR="00E75905" w:rsidP="00E75905" w:rsidRDefault="00E75905" w14:paraId="624C8915" w14:textId="77777777">
            <w:pPr>
              <w:pStyle w:val="TableCaption"/>
              <w:spacing w:after="0"/>
              <w:rPr>
                <w:b w:val="0"/>
                <w:sz w:val="20"/>
                <w:szCs w:val="20"/>
              </w:rPr>
            </w:pPr>
          </w:p>
        </w:tc>
        <w:tc>
          <w:tcPr>
            <w:tcW w:w="1625" w:type="dxa"/>
            <w:vMerge/>
            <w:hideMark/>
          </w:tcPr>
          <w:p w:rsidRPr="00D553E9" w:rsidR="00E75905" w:rsidP="00E75905" w:rsidRDefault="00E75905" w14:paraId="2D33D9F9" w14:textId="77777777">
            <w:pPr>
              <w:pStyle w:val="TableCaption"/>
              <w:spacing w:after="0"/>
              <w:rPr>
                <w:b w:val="0"/>
                <w:sz w:val="20"/>
                <w:szCs w:val="20"/>
              </w:rPr>
            </w:pPr>
          </w:p>
        </w:tc>
        <w:tc>
          <w:tcPr>
            <w:tcW w:w="1199" w:type="dxa"/>
            <w:vMerge/>
            <w:hideMark/>
          </w:tcPr>
          <w:p w:rsidRPr="00D553E9" w:rsidR="00E75905" w:rsidP="00E75905" w:rsidRDefault="00E75905" w14:paraId="393DFC26" w14:textId="77777777">
            <w:pPr>
              <w:pStyle w:val="TableCaption"/>
              <w:spacing w:after="0"/>
              <w:rPr>
                <w:b w:val="0"/>
                <w:sz w:val="20"/>
                <w:szCs w:val="20"/>
              </w:rPr>
            </w:pPr>
          </w:p>
        </w:tc>
        <w:tc>
          <w:tcPr>
            <w:tcW w:w="1260" w:type="dxa"/>
            <w:vMerge/>
            <w:hideMark/>
          </w:tcPr>
          <w:p w:rsidRPr="00D553E9" w:rsidR="00E75905" w:rsidP="00E75905" w:rsidRDefault="00E75905" w14:paraId="19FF1DB7" w14:textId="77777777">
            <w:pPr>
              <w:pStyle w:val="TableCaption"/>
              <w:spacing w:after="0"/>
              <w:rPr>
                <w:b w:val="0"/>
                <w:sz w:val="20"/>
                <w:szCs w:val="20"/>
              </w:rPr>
            </w:pPr>
          </w:p>
        </w:tc>
      </w:tr>
      <w:tr w:rsidRPr="00D553E9" w:rsidR="00E75905" w:rsidTr="00D553E9" w14:paraId="128671D3" w14:textId="77777777">
        <w:trPr>
          <w:trHeight w:val="791"/>
        </w:trPr>
        <w:tc>
          <w:tcPr>
            <w:tcW w:w="1075" w:type="dxa"/>
            <w:hideMark/>
          </w:tcPr>
          <w:p w:rsidRPr="00D553E9" w:rsidR="00E75905" w:rsidP="00E75905" w:rsidRDefault="00E75905" w14:paraId="54F56F91" w14:textId="77777777">
            <w:pPr>
              <w:pStyle w:val="TableCaption"/>
              <w:spacing w:after="0"/>
              <w:jc w:val="left"/>
              <w:rPr>
                <w:b w:val="0"/>
                <w:sz w:val="20"/>
                <w:szCs w:val="20"/>
              </w:rPr>
            </w:pPr>
            <w:r w:rsidRPr="00D553E9">
              <w:rPr>
                <w:b w:val="0"/>
                <w:sz w:val="20"/>
                <w:szCs w:val="20"/>
              </w:rPr>
              <w:t>12.57</w:t>
            </w:r>
          </w:p>
        </w:tc>
        <w:tc>
          <w:tcPr>
            <w:tcW w:w="1659" w:type="dxa"/>
            <w:hideMark/>
          </w:tcPr>
          <w:p w:rsidRPr="00D553E9" w:rsidR="00E75905" w:rsidP="00E75905" w:rsidRDefault="00E75905" w14:paraId="66C5FA65" w14:textId="77777777">
            <w:pPr>
              <w:pStyle w:val="TableCaption"/>
              <w:spacing w:after="0"/>
              <w:rPr>
                <w:b w:val="0"/>
                <w:sz w:val="20"/>
                <w:szCs w:val="20"/>
              </w:rPr>
            </w:pPr>
            <w:r w:rsidRPr="00D553E9">
              <w:rPr>
                <w:b w:val="0"/>
                <w:sz w:val="20"/>
                <w:szCs w:val="20"/>
              </w:rPr>
              <w:t>438.608(a)(2) - (3) Program Integrity</w:t>
            </w:r>
          </w:p>
        </w:tc>
        <w:tc>
          <w:tcPr>
            <w:tcW w:w="1491" w:type="dxa"/>
            <w:noWrap/>
            <w:hideMark/>
          </w:tcPr>
          <w:p w:rsidRPr="00D553E9" w:rsidR="00E75905" w:rsidP="00E75905" w:rsidRDefault="00E75905" w14:paraId="5423E409" w14:textId="77777777">
            <w:pPr>
              <w:pStyle w:val="TableCaption"/>
              <w:spacing w:after="0"/>
              <w:jc w:val="left"/>
              <w:rPr>
                <w:b w:val="0"/>
                <w:sz w:val="20"/>
                <w:szCs w:val="20"/>
              </w:rPr>
            </w:pPr>
            <w:r w:rsidRPr="00D553E9">
              <w:rPr>
                <w:b w:val="0"/>
                <w:sz w:val="20"/>
                <w:szCs w:val="20"/>
              </w:rPr>
              <w:t>552</w:t>
            </w:r>
          </w:p>
        </w:tc>
        <w:tc>
          <w:tcPr>
            <w:tcW w:w="1159" w:type="dxa"/>
            <w:noWrap/>
            <w:hideMark/>
          </w:tcPr>
          <w:p w:rsidRPr="00D553E9" w:rsidR="00E75905" w:rsidP="00E75905" w:rsidRDefault="00E75905" w14:paraId="7FF003F5" w14:textId="77777777">
            <w:pPr>
              <w:pStyle w:val="TableCaption"/>
              <w:spacing w:after="0"/>
              <w:jc w:val="left"/>
              <w:rPr>
                <w:b w:val="0"/>
                <w:sz w:val="20"/>
                <w:szCs w:val="20"/>
              </w:rPr>
            </w:pPr>
            <w:r w:rsidRPr="00D553E9">
              <w:rPr>
                <w:b w:val="0"/>
                <w:sz w:val="20"/>
                <w:szCs w:val="20"/>
              </w:rPr>
              <w:t>552</w:t>
            </w:r>
          </w:p>
        </w:tc>
        <w:tc>
          <w:tcPr>
            <w:tcW w:w="1181" w:type="dxa"/>
            <w:hideMark/>
          </w:tcPr>
          <w:p w:rsidRPr="00D553E9" w:rsidR="00E75905" w:rsidP="00E75905" w:rsidRDefault="00E75905" w14:paraId="35D4D447" w14:textId="77777777">
            <w:pPr>
              <w:pStyle w:val="TableCaption"/>
              <w:spacing w:after="0"/>
              <w:jc w:val="left"/>
              <w:rPr>
                <w:b w:val="0"/>
                <w:sz w:val="20"/>
                <w:szCs w:val="20"/>
              </w:rPr>
            </w:pPr>
            <w:r w:rsidRPr="00D553E9">
              <w:rPr>
                <w:b w:val="0"/>
                <w:sz w:val="20"/>
                <w:szCs w:val="20"/>
              </w:rPr>
              <w:t>2</w:t>
            </w:r>
          </w:p>
        </w:tc>
        <w:tc>
          <w:tcPr>
            <w:tcW w:w="1514" w:type="dxa"/>
            <w:noWrap/>
            <w:hideMark/>
          </w:tcPr>
          <w:p w:rsidRPr="00D553E9" w:rsidR="00E75905" w:rsidP="00E75905" w:rsidRDefault="00E75905" w14:paraId="40E06E73" w14:textId="77777777">
            <w:pPr>
              <w:pStyle w:val="TableCaption"/>
              <w:spacing w:after="0"/>
              <w:jc w:val="left"/>
              <w:rPr>
                <w:b w:val="0"/>
                <w:sz w:val="20"/>
                <w:szCs w:val="20"/>
              </w:rPr>
            </w:pPr>
            <w:r w:rsidRPr="00D553E9">
              <w:rPr>
                <w:b w:val="0"/>
                <w:sz w:val="20"/>
                <w:szCs w:val="20"/>
              </w:rPr>
              <w:t>1,104</w:t>
            </w:r>
          </w:p>
        </w:tc>
        <w:tc>
          <w:tcPr>
            <w:tcW w:w="1062" w:type="dxa"/>
            <w:hideMark/>
          </w:tcPr>
          <w:p w:rsidRPr="00D553E9" w:rsidR="00E75905" w:rsidP="00E75905" w:rsidRDefault="00E75905" w14:paraId="7CFA16A1" w14:textId="77777777">
            <w:pPr>
              <w:pStyle w:val="TableCaption"/>
              <w:spacing w:after="0"/>
              <w:jc w:val="left"/>
              <w:rPr>
                <w:b w:val="0"/>
                <w:sz w:val="20"/>
                <w:szCs w:val="20"/>
              </w:rPr>
            </w:pPr>
            <w:r w:rsidRPr="00D553E9">
              <w:rPr>
                <w:b w:val="0"/>
                <w:sz w:val="20"/>
                <w:szCs w:val="20"/>
              </w:rPr>
              <w:t>75.32</w:t>
            </w:r>
          </w:p>
        </w:tc>
        <w:tc>
          <w:tcPr>
            <w:tcW w:w="1625" w:type="dxa"/>
            <w:noWrap/>
            <w:hideMark/>
          </w:tcPr>
          <w:p w:rsidRPr="00D553E9" w:rsidR="00E75905" w:rsidP="00E75905" w:rsidRDefault="00E75905" w14:paraId="21430B10" w14:textId="77777777">
            <w:pPr>
              <w:pStyle w:val="TableCaption"/>
              <w:spacing w:after="0"/>
              <w:jc w:val="left"/>
              <w:rPr>
                <w:b w:val="0"/>
                <w:sz w:val="20"/>
                <w:szCs w:val="20"/>
              </w:rPr>
            </w:pPr>
            <w:r w:rsidRPr="00D553E9">
              <w:rPr>
                <w:b w:val="0"/>
                <w:sz w:val="20"/>
                <w:szCs w:val="20"/>
              </w:rPr>
              <w:t>83,153</w:t>
            </w:r>
          </w:p>
        </w:tc>
        <w:tc>
          <w:tcPr>
            <w:tcW w:w="1199" w:type="dxa"/>
            <w:hideMark/>
          </w:tcPr>
          <w:p w:rsidRPr="00D553E9" w:rsidR="00E75905" w:rsidP="00E75905" w:rsidRDefault="00E75905" w14:paraId="240C1FEF" w14:textId="77777777">
            <w:pPr>
              <w:pStyle w:val="TableCaption"/>
              <w:spacing w:after="0"/>
              <w:jc w:val="left"/>
              <w:rPr>
                <w:b w:val="0"/>
                <w:sz w:val="20"/>
                <w:szCs w:val="20"/>
              </w:rPr>
            </w:pPr>
            <w:r w:rsidRPr="00D553E9">
              <w:rPr>
                <w:b w:val="0"/>
                <w:sz w:val="20"/>
                <w:szCs w:val="20"/>
              </w:rPr>
              <w:t>TPD</w:t>
            </w:r>
          </w:p>
        </w:tc>
        <w:tc>
          <w:tcPr>
            <w:tcW w:w="1260" w:type="dxa"/>
            <w:hideMark/>
          </w:tcPr>
          <w:p w:rsidRPr="00D553E9" w:rsidR="00E75905" w:rsidP="00E75905" w:rsidRDefault="00E75905" w14:paraId="0031D35E" w14:textId="77777777">
            <w:pPr>
              <w:pStyle w:val="TableCaption"/>
              <w:spacing w:after="0"/>
              <w:jc w:val="left"/>
              <w:rPr>
                <w:b w:val="0"/>
                <w:sz w:val="20"/>
                <w:szCs w:val="20"/>
              </w:rPr>
            </w:pPr>
            <w:r w:rsidRPr="00D553E9">
              <w:rPr>
                <w:b w:val="0"/>
                <w:sz w:val="20"/>
                <w:szCs w:val="20"/>
              </w:rPr>
              <w:t>Annual</w:t>
            </w:r>
          </w:p>
        </w:tc>
      </w:tr>
      <w:tr w:rsidRPr="00D553E9" w:rsidR="00E75905" w:rsidTr="00D553E9" w14:paraId="5F4DB129" w14:textId="77777777">
        <w:trPr>
          <w:trHeight w:val="620"/>
        </w:trPr>
        <w:tc>
          <w:tcPr>
            <w:tcW w:w="1075" w:type="dxa"/>
            <w:hideMark/>
          </w:tcPr>
          <w:p w:rsidRPr="00D553E9" w:rsidR="00E75905" w:rsidP="00E75905" w:rsidRDefault="00E75905" w14:paraId="4AC979BB" w14:textId="77777777">
            <w:pPr>
              <w:pStyle w:val="TableCaption"/>
              <w:spacing w:after="0"/>
              <w:jc w:val="left"/>
              <w:rPr>
                <w:b w:val="0"/>
                <w:sz w:val="20"/>
                <w:szCs w:val="20"/>
              </w:rPr>
            </w:pPr>
            <w:r w:rsidRPr="00D553E9">
              <w:rPr>
                <w:b w:val="0"/>
                <w:sz w:val="20"/>
                <w:szCs w:val="20"/>
              </w:rPr>
              <w:t>12.58</w:t>
            </w:r>
          </w:p>
        </w:tc>
        <w:tc>
          <w:tcPr>
            <w:tcW w:w="1659" w:type="dxa"/>
            <w:hideMark/>
          </w:tcPr>
          <w:p w:rsidRPr="00D553E9" w:rsidR="00E75905" w:rsidP="00E75905" w:rsidRDefault="00E75905" w14:paraId="2E4FC71E" w14:textId="77777777">
            <w:pPr>
              <w:pStyle w:val="TableCaption"/>
              <w:spacing w:after="0"/>
              <w:rPr>
                <w:b w:val="0"/>
                <w:sz w:val="20"/>
                <w:szCs w:val="20"/>
              </w:rPr>
            </w:pPr>
            <w:r w:rsidRPr="00D553E9">
              <w:rPr>
                <w:b w:val="0"/>
                <w:sz w:val="20"/>
                <w:szCs w:val="20"/>
              </w:rPr>
              <w:t>438.608(a)(4) Program Integrity</w:t>
            </w:r>
          </w:p>
        </w:tc>
        <w:tc>
          <w:tcPr>
            <w:tcW w:w="1491" w:type="dxa"/>
            <w:noWrap/>
            <w:hideMark/>
          </w:tcPr>
          <w:p w:rsidRPr="00D553E9" w:rsidR="00E75905" w:rsidP="00E75905" w:rsidRDefault="00E75905" w14:paraId="4596A131" w14:textId="77777777">
            <w:pPr>
              <w:pStyle w:val="TableCaption"/>
              <w:spacing w:after="0"/>
              <w:jc w:val="left"/>
              <w:rPr>
                <w:b w:val="0"/>
                <w:sz w:val="20"/>
                <w:szCs w:val="20"/>
              </w:rPr>
            </w:pPr>
            <w:r w:rsidRPr="00D553E9">
              <w:rPr>
                <w:b w:val="0"/>
                <w:sz w:val="20"/>
                <w:szCs w:val="20"/>
              </w:rPr>
              <w:t>200</w:t>
            </w:r>
          </w:p>
        </w:tc>
        <w:tc>
          <w:tcPr>
            <w:tcW w:w="1159" w:type="dxa"/>
            <w:noWrap/>
            <w:hideMark/>
          </w:tcPr>
          <w:p w:rsidRPr="00D553E9" w:rsidR="00E75905" w:rsidP="00E75905" w:rsidRDefault="00E75905" w14:paraId="3EB29FBB" w14:textId="77777777">
            <w:pPr>
              <w:pStyle w:val="TableCaption"/>
              <w:spacing w:after="0"/>
              <w:jc w:val="left"/>
              <w:rPr>
                <w:b w:val="0"/>
                <w:sz w:val="20"/>
                <w:szCs w:val="20"/>
              </w:rPr>
            </w:pPr>
            <w:r w:rsidRPr="00D553E9">
              <w:rPr>
                <w:b w:val="0"/>
                <w:sz w:val="20"/>
                <w:szCs w:val="20"/>
              </w:rPr>
              <w:t>20,000</w:t>
            </w:r>
          </w:p>
        </w:tc>
        <w:tc>
          <w:tcPr>
            <w:tcW w:w="1181" w:type="dxa"/>
            <w:hideMark/>
          </w:tcPr>
          <w:p w:rsidRPr="00D553E9" w:rsidR="00E75905" w:rsidP="00E75905" w:rsidRDefault="00E75905" w14:paraId="65A694FC" w14:textId="77777777">
            <w:pPr>
              <w:pStyle w:val="TableCaption"/>
              <w:spacing w:after="0"/>
              <w:jc w:val="left"/>
              <w:rPr>
                <w:b w:val="0"/>
                <w:sz w:val="20"/>
                <w:szCs w:val="20"/>
              </w:rPr>
            </w:pPr>
            <w:r w:rsidRPr="00D553E9">
              <w:rPr>
                <w:b w:val="0"/>
                <w:sz w:val="20"/>
                <w:szCs w:val="20"/>
              </w:rPr>
              <w:t>0.0167</w:t>
            </w:r>
          </w:p>
        </w:tc>
        <w:tc>
          <w:tcPr>
            <w:tcW w:w="1514" w:type="dxa"/>
            <w:noWrap/>
            <w:hideMark/>
          </w:tcPr>
          <w:p w:rsidRPr="00D553E9" w:rsidR="00E75905" w:rsidP="00E75905" w:rsidRDefault="00E75905" w14:paraId="42AE6F66" w14:textId="77777777">
            <w:pPr>
              <w:pStyle w:val="TableCaption"/>
              <w:spacing w:after="0"/>
              <w:jc w:val="left"/>
              <w:rPr>
                <w:b w:val="0"/>
                <w:sz w:val="20"/>
                <w:szCs w:val="20"/>
              </w:rPr>
            </w:pPr>
            <w:r w:rsidRPr="00D553E9">
              <w:rPr>
                <w:b w:val="0"/>
                <w:sz w:val="20"/>
                <w:szCs w:val="20"/>
              </w:rPr>
              <w:t>334</w:t>
            </w:r>
          </w:p>
        </w:tc>
        <w:tc>
          <w:tcPr>
            <w:tcW w:w="1062" w:type="dxa"/>
            <w:hideMark/>
          </w:tcPr>
          <w:p w:rsidRPr="00D553E9" w:rsidR="00E75905" w:rsidP="00E75905" w:rsidRDefault="00E75905" w14:paraId="38F46C74" w14:textId="77777777">
            <w:pPr>
              <w:pStyle w:val="TableCaption"/>
              <w:spacing w:after="0"/>
              <w:jc w:val="left"/>
              <w:rPr>
                <w:b w:val="0"/>
                <w:sz w:val="20"/>
                <w:szCs w:val="20"/>
              </w:rPr>
            </w:pPr>
            <w:r w:rsidRPr="00D553E9">
              <w:rPr>
                <w:b w:val="0"/>
                <w:sz w:val="20"/>
                <w:szCs w:val="20"/>
              </w:rPr>
              <w:t>32.40</w:t>
            </w:r>
          </w:p>
        </w:tc>
        <w:tc>
          <w:tcPr>
            <w:tcW w:w="1625" w:type="dxa"/>
            <w:noWrap/>
            <w:hideMark/>
          </w:tcPr>
          <w:p w:rsidRPr="00D553E9" w:rsidR="00E75905" w:rsidP="00E75905" w:rsidRDefault="00E75905" w14:paraId="13F17429" w14:textId="77777777">
            <w:pPr>
              <w:pStyle w:val="TableCaption"/>
              <w:spacing w:after="0"/>
              <w:jc w:val="left"/>
              <w:rPr>
                <w:b w:val="0"/>
                <w:sz w:val="20"/>
                <w:szCs w:val="20"/>
              </w:rPr>
            </w:pPr>
            <w:r w:rsidRPr="00D553E9">
              <w:rPr>
                <w:b w:val="0"/>
                <w:sz w:val="20"/>
                <w:szCs w:val="20"/>
              </w:rPr>
              <w:t>10,822</w:t>
            </w:r>
          </w:p>
        </w:tc>
        <w:tc>
          <w:tcPr>
            <w:tcW w:w="1199" w:type="dxa"/>
            <w:hideMark/>
          </w:tcPr>
          <w:p w:rsidRPr="00D553E9" w:rsidR="00E75905" w:rsidP="00E75905" w:rsidRDefault="00E75905" w14:paraId="31021074" w14:textId="77777777">
            <w:pPr>
              <w:pStyle w:val="TableCaption"/>
              <w:spacing w:after="0"/>
              <w:jc w:val="left"/>
              <w:rPr>
                <w:b w:val="0"/>
                <w:sz w:val="20"/>
                <w:szCs w:val="20"/>
              </w:rPr>
            </w:pPr>
            <w:r w:rsidRPr="00D553E9">
              <w:rPr>
                <w:b w:val="0"/>
                <w:sz w:val="20"/>
                <w:szCs w:val="20"/>
              </w:rPr>
              <w:t>TPD</w:t>
            </w:r>
          </w:p>
        </w:tc>
        <w:tc>
          <w:tcPr>
            <w:tcW w:w="1260" w:type="dxa"/>
            <w:hideMark/>
          </w:tcPr>
          <w:p w:rsidRPr="00D553E9" w:rsidR="00E75905" w:rsidP="00E75905" w:rsidRDefault="00E75905" w14:paraId="373DF786" w14:textId="77777777">
            <w:pPr>
              <w:pStyle w:val="TableCaption"/>
              <w:spacing w:after="0"/>
              <w:jc w:val="left"/>
              <w:rPr>
                <w:b w:val="0"/>
                <w:sz w:val="20"/>
                <w:szCs w:val="20"/>
              </w:rPr>
            </w:pPr>
            <w:r w:rsidRPr="00D553E9">
              <w:rPr>
                <w:b w:val="0"/>
                <w:sz w:val="20"/>
                <w:szCs w:val="20"/>
              </w:rPr>
              <w:t>Annual</w:t>
            </w:r>
          </w:p>
        </w:tc>
      </w:tr>
      <w:tr w:rsidRPr="00D553E9" w:rsidR="00E75905" w:rsidTr="00D553E9" w14:paraId="5D0F64B2" w14:textId="77777777">
        <w:trPr>
          <w:trHeight w:val="528"/>
        </w:trPr>
        <w:tc>
          <w:tcPr>
            <w:tcW w:w="2734" w:type="dxa"/>
            <w:gridSpan w:val="2"/>
            <w:shd w:val="clear" w:color="auto" w:fill="AEAAAA" w:themeFill="background2" w:themeFillShade="BF"/>
            <w:hideMark/>
          </w:tcPr>
          <w:p w:rsidRPr="00D553E9" w:rsidR="00E75905" w:rsidP="00E75905" w:rsidRDefault="00E75905" w14:paraId="429257CC" w14:textId="77777777">
            <w:pPr>
              <w:pStyle w:val="TableCaption"/>
              <w:spacing w:after="0"/>
              <w:rPr>
                <w:b w:val="0"/>
                <w:i/>
                <w:iCs/>
                <w:sz w:val="20"/>
                <w:szCs w:val="20"/>
              </w:rPr>
            </w:pPr>
            <w:r w:rsidRPr="00D553E9">
              <w:rPr>
                <w:b w:val="0"/>
                <w:i/>
                <w:iCs/>
                <w:sz w:val="20"/>
                <w:szCs w:val="20"/>
              </w:rPr>
              <w:t>Subtotal: Third-Party Disclosure</w:t>
            </w:r>
          </w:p>
        </w:tc>
        <w:tc>
          <w:tcPr>
            <w:tcW w:w="1491" w:type="dxa"/>
            <w:shd w:val="clear" w:color="auto" w:fill="AEAAAA" w:themeFill="background2" w:themeFillShade="BF"/>
            <w:noWrap/>
            <w:hideMark/>
          </w:tcPr>
          <w:p w:rsidRPr="00D553E9" w:rsidR="00E75905" w:rsidP="00E75905" w:rsidRDefault="00E75905" w14:paraId="033F0827" w14:textId="77777777">
            <w:pPr>
              <w:pStyle w:val="TableCaption"/>
              <w:spacing w:after="0"/>
              <w:jc w:val="left"/>
              <w:rPr>
                <w:b w:val="0"/>
                <w:i/>
                <w:iCs/>
                <w:sz w:val="20"/>
                <w:szCs w:val="20"/>
              </w:rPr>
            </w:pPr>
            <w:r w:rsidRPr="00D553E9">
              <w:rPr>
                <w:b w:val="0"/>
                <w:i/>
                <w:iCs/>
                <w:sz w:val="20"/>
                <w:szCs w:val="20"/>
              </w:rPr>
              <w:t>568</w:t>
            </w:r>
          </w:p>
        </w:tc>
        <w:tc>
          <w:tcPr>
            <w:tcW w:w="1159" w:type="dxa"/>
            <w:shd w:val="clear" w:color="auto" w:fill="AEAAAA" w:themeFill="background2" w:themeFillShade="BF"/>
            <w:noWrap/>
            <w:hideMark/>
          </w:tcPr>
          <w:p w:rsidRPr="00D553E9" w:rsidR="00E75905" w:rsidP="00E75905" w:rsidRDefault="00E75905" w14:paraId="242867E2" w14:textId="77777777">
            <w:pPr>
              <w:pStyle w:val="TableCaption"/>
              <w:spacing w:after="0"/>
              <w:jc w:val="left"/>
              <w:rPr>
                <w:b w:val="0"/>
                <w:i/>
                <w:iCs/>
                <w:sz w:val="20"/>
                <w:szCs w:val="20"/>
              </w:rPr>
            </w:pPr>
            <w:r w:rsidRPr="00D553E9">
              <w:rPr>
                <w:b w:val="0"/>
                <w:i/>
                <w:iCs/>
                <w:sz w:val="20"/>
                <w:szCs w:val="20"/>
              </w:rPr>
              <w:t>7,313,355</w:t>
            </w:r>
          </w:p>
        </w:tc>
        <w:tc>
          <w:tcPr>
            <w:tcW w:w="1181" w:type="dxa"/>
            <w:shd w:val="clear" w:color="auto" w:fill="AEAAAA" w:themeFill="background2" w:themeFillShade="BF"/>
            <w:hideMark/>
          </w:tcPr>
          <w:p w:rsidRPr="00D553E9" w:rsidR="00E75905" w:rsidP="00E75905" w:rsidRDefault="00E75905" w14:paraId="3D2606EC" w14:textId="77777777">
            <w:pPr>
              <w:pStyle w:val="TableCaption"/>
              <w:spacing w:after="0"/>
              <w:jc w:val="left"/>
              <w:rPr>
                <w:b w:val="0"/>
                <w:i/>
                <w:iCs/>
                <w:sz w:val="20"/>
                <w:szCs w:val="20"/>
              </w:rPr>
            </w:pPr>
            <w:r w:rsidRPr="00D553E9">
              <w:rPr>
                <w:b w:val="0"/>
                <w:i/>
                <w:iCs/>
                <w:sz w:val="20"/>
                <w:szCs w:val="20"/>
              </w:rPr>
              <w:t>Varies</w:t>
            </w:r>
          </w:p>
        </w:tc>
        <w:tc>
          <w:tcPr>
            <w:tcW w:w="1514" w:type="dxa"/>
            <w:shd w:val="clear" w:color="auto" w:fill="AEAAAA" w:themeFill="background2" w:themeFillShade="BF"/>
            <w:noWrap/>
            <w:hideMark/>
          </w:tcPr>
          <w:p w:rsidRPr="00D553E9" w:rsidR="00E75905" w:rsidP="00E75905" w:rsidRDefault="00E75905" w14:paraId="76E45097" w14:textId="77777777">
            <w:pPr>
              <w:pStyle w:val="TableCaption"/>
              <w:spacing w:after="0"/>
              <w:jc w:val="left"/>
              <w:rPr>
                <w:b w:val="0"/>
                <w:i/>
                <w:iCs/>
                <w:sz w:val="20"/>
                <w:szCs w:val="20"/>
              </w:rPr>
            </w:pPr>
            <w:r w:rsidRPr="00D553E9">
              <w:rPr>
                <w:b w:val="0"/>
                <w:i/>
                <w:iCs/>
                <w:sz w:val="20"/>
                <w:szCs w:val="20"/>
              </w:rPr>
              <w:t>878,349</w:t>
            </w:r>
          </w:p>
        </w:tc>
        <w:tc>
          <w:tcPr>
            <w:tcW w:w="1062" w:type="dxa"/>
            <w:shd w:val="clear" w:color="auto" w:fill="AEAAAA" w:themeFill="background2" w:themeFillShade="BF"/>
            <w:hideMark/>
          </w:tcPr>
          <w:p w:rsidRPr="00D553E9" w:rsidR="00E75905" w:rsidP="00E75905" w:rsidRDefault="00E75905" w14:paraId="2FF4AE49" w14:textId="77777777">
            <w:pPr>
              <w:pStyle w:val="TableCaption"/>
              <w:spacing w:after="0"/>
              <w:jc w:val="left"/>
              <w:rPr>
                <w:b w:val="0"/>
                <w:i/>
                <w:iCs/>
                <w:sz w:val="20"/>
                <w:szCs w:val="20"/>
              </w:rPr>
            </w:pPr>
            <w:r w:rsidRPr="00D553E9">
              <w:rPr>
                <w:b w:val="0"/>
                <w:i/>
                <w:iCs/>
                <w:sz w:val="20"/>
                <w:szCs w:val="20"/>
              </w:rPr>
              <w:t>Varies</w:t>
            </w:r>
          </w:p>
        </w:tc>
        <w:tc>
          <w:tcPr>
            <w:tcW w:w="1625" w:type="dxa"/>
            <w:shd w:val="clear" w:color="auto" w:fill="AEAAAA" w:themeFill="background2" w:themeFillShade="BF"/>
            <w:noWrap/>
            <w:hideMark/>
          </w:tcPr>
          <w:p w:rsidRPr="00D553E9" w:rsidR="00E75905" w:rsidP="00E75905" w:rsidRDefault="00E75905" w14:paraId="58CF030E" w14:textId="77777777">
            <w:pPr>
              <w:pStyle w:val="TableCaption"/>
              <w:spacing w:after="0"/>
              <w:jc w:val="left"/>
              <w:rPr>
                <w:b w:val="0"/>
                <w:i/>
                <w:iCs/>
                <w:sz w:val="20"/>
                <w:szCs w:val="20"/>
              </w:rPr>
            </w:pPr>
            <w:r w:rsidRPr="00D553E9">
              <w:rPr>
                <w:b w:val="0"/>
                <w:i/>
                <w:iCs/>
                <w:sz w:val="20"/>
                <w:szCs w:val="20"/>
              </w:rPr>
              <w:t>43,071,773</w:t>
            </w:r>
          </w:p>
        </w:tc>
        <w:tc>
          <w:tcPr>
            <w:tcW w:w="1199" w:type="dxa"/>
            <w:shd w:val="clear" w:color="auto" w:fill="AEAAAA" w:themeFill="background2" w:themeFillShade="BF"/>
            <w:hideMark/>
          </w:tcPr>
          <w:p w:rsidRPr="00D553E9" w:rsidR="00E75905" w:rsidP="00E75905" w:rsidRDefault="00E75905" w14:paraId="18B51671" w14:textId="77777777">
            <w:pPr>
              <w:pStyle w:val="TableCaption"/>
              <w:spacing w:after="0"/>
              <w:jc w:val="left"/>
              <w:rPr>
                <w:b w:val="0"/>
                <w:i/>
                <w:iCs/>
                <w:sz w:val="20"/>
                <w:szCs w:val="20"/>
              </w:rPr>
            </w:pPr>
            <w:r w:rsidRPr="00D553E9">
              <w:rPr>
                <w:b w:val="0"/>
                <w:i/>
                <w:iCs/>
                <w:sz w:val="20"/>
                <w:szCs w:val="20"/>
              </w:rPr>
              <w:t>TPD</w:t>
            </w:r>
          </w:p>
        </w:tc>
        <w:tc>
          <w:tcPr>
            <w:tcW w:w="1260" w:type="dxa"/>
            <w:shd w:val="clear" w:color="auto" w:fill="AEAAAA" w:themeFill="background2" w:themeFillShade="BF"/>
            <w:hideMark/>
          </w:tcPr>
          <w:p w:rsidRPr="00D553E9" w:rsidR="00E75905" w:rsidP="00E75905" w:rsidRDefault="00E75905" w14:paraId="762AA52B" w14:textId="77777777">
            <w:pPr>
              <w:pStyle w:val="TableCaption"/>
              <w:spacing w:after="0"/>
              <w:jc w:val="left"/>
              <w:rPr>
                <w:b w:val="0"/>
                <w:i/>
                <w:iCs/>
                <w:sz w:val="20"/>
                <w:szCs w:val="20"/>
              </w:rPr>
            </w:pPr>
            <w:r w:rsidRPr="00D553E9">
              <w:rPr>
                <w:b w:val="0"/>
                <w:i/>
                <w:iCs/>
                <w:sz w:val="20"/>
                <w:szCs w:val="20"/>
              </w:rPr>
              <w:t>Annual</w:t>
            </w:r>
          </w:p>
        </w:tc>
      </w:tr>
      <w:tr w:rsidRPr="00D553E9" w:rsidR="00E75905" w:rsidTr="00794504" w14:paraId="439C08AF" w14:textId="77777777">
        <w:trPr>
          <w:trHeight w:val="1068"/>
        </w:trPr>
        <w:tc>
          <w:tcPr>
            <w:tcW w:w="1075" w:type="dxa"/>
            <w:hideMark/>
          </w:tcPr>
          <w:p w:rsidRPr="00D553E9" w:rsidR="00E75905" w:rsidP="00E75905" w:rsidRDefault="00E75905" w14:paraId="3296E718" w14:textId="77777777">
            <w:pPr>
              <w:pStyle w:val="TableCaption"/>
              <w:spacing w:after="0"/>
              <w:jc w:val="left"/>
              <w:rPr>
                <w:b w:val="0"/>
                <w:sz w:val="20"/>
                <w:szCs w:val="20"/>
              </w:rPr>
            </w:pPr>
            <w:r w:rsidRPr="00D553E9">
              <w:rPr>
                <w:b w:val="0"/>
                <w:sz w:val="20"/>
                <w:szCs w:val="20"/>
              </w:rPr>
              <w:t>12.25</w:t>
            </w:r>
          </w:p>
        </w:tc>
        <w:tc>
          <w:tcPr>
            <w:tcW w:w="1659" w:type="dxa"/>
            <w:hideMark/>
          </w:tcPr>
          <w:p w:rsidRPr="00D553E9" w:rsidR="00E75905" w:rsidP="00E75905" w:rsidRDefault="00E75905" w14:paraId="622C42CE" w14:textId="77777777">
            <w:pPr>
              <w:pStyle w:val="TableCaption"/>
              <w:spacing w:after="0"/>
              <w:rPr>
                <w:b w:val="0"/>
                <w:sz w:val="20"/>
                <w:szCs w:val="20"/>
              </w:rPr>
            </w:pPr>
            <w:r w:rsidRPr="00D553E9">
              <w:rPr>
                <w:b w:val="0"/>
                <w:sz w:val="20"/>
                <w:szCs w:val="20"/>
              </w:rPr>
              <w:t>438.66(d)(3), State Monitoring</w:t>
            </w:r>
          </w:p>
        </w:tc>
        <w:tc>
          <w:tcPr>
            <w:tcW w:w="1491" w:type="dxa"/>
            <w:hideMark/>
          </w:tcPr>
          <w:p w:rsidRPr="00D553E9" w:rsidR="00E75905" w:rsidP="00E75905" w:rsidRDefault="00E75905" w14:paraId="570BD6CA" w14:textId="77777777">
            <w:pPr>
              <w:pStyle w:val="TableCaption"/>
              <w:spacing w:after="0"/>
              <w:jc w:val="left"/>
              <w:rPr>
                <w:b w:val="0"/>
                <w:sz w:val="20"/>
                <w:szCs w:val="20"/>
              </w:rPr>
            </w:pPr>
            <w:r w:rsidRPr="00D553E9">
              <w:rPr>
                <w:b w:val="0"/>
                <w:sz w:val="20"/>
                <w:szCs w:val="20"/>
              </w:rPr>
              <w:t>20</w:t>
            </w:r>
          </w:p>
        </w:tc>
        <w:tc>
          <w:tcPr>
            <w:tcW w:w="1159" w:type="dxa"/>
            <w:hideMark/>
          </w:tcPr>
          <w:p w:rsidRPr="00D553E9" w:rsidR="00E75905" w:rsidP="00E75905" w:rsidRDefault="00E75905" w14:paraId="7C3BEA2E" w14:textId="77777777">
            <w:pPr>
              <w:pStyle w:val="TableCaption"/>
              <w:spacing w:after="0"/>
              <w:jc w:val="left"/>
              <w:rPr>
                <w:b w:val="0"/>
                <w:sz w:val="20"/>
                <w:szCs w:val="20"/>
              </w:rPr>
            </w:pPr>
            <w:r w:rsidRPr="00D553E9">
              <w:rPr>
                <w:b w:val="0"/>
                <w:sz w:val="20"/>
                <w:szCs w:val="20"/>
              </w:rPr>
              <w:t>20</w:t>
            </w:r>
          </w:p>
        </w:tc>
        <w:tc>
          <w:tcPr>
            <w:tcW w:w="1181" w:type="dxa"/>
            <w:hideMark/>
          </w:tcPr>
          <w:p w:rsidRPr="00D553E9" w:rsidR="00E75905" w:rsidP="00E75905" w:rsidRDefault="00E75905" w14:paraId="2193EF02" w14:textId="77777777">
            <w:pPr>
              <w:pStyle w:val="TableCaption"/>
              <w:spacing w:after="0"/>
              <w:jc w:val="left"/>
              <w:rPr>
                <w:b w:val="0"/>
                <w:sz w:val="20"/>
                <w:szCs w:val="20"/>
              </w:rPr>
            </w:pPr>
            <w:r w:rsidRPr="00D553E9">
              <w:rPr>
                <w:b w:val="0"/>
                <w:sz w:val="20"/>
                <w:szCs w:val="20"/>
              </w:rPr>
              <w:t>40</w:t>
            </w:r>
          </w:p>
        </w:tc>
        <w:tc>
          <w:tcPr>
            <w:tcW w:w="1514" w:type="dxa"/>
            <w:noWrap/>
            <w:hideMark/>
          </w:tcPr>
          <w:p w:rsidRPr="00D553E9" w:rsidR="00E75905" w:rsidP="00E75905" w:rsidRDefault="00E75905" w14:paraId="4344E2CA" w14:textId="77777777">
            <w:pPr>
              <w:pStyle w:val="TableCaption"/>
              <w:spacing w:after="0"/>
              <w:jc w:val="left"/>
              <w:rPr>
                <w:b w:val="0"/>
                <w:sz w:val="20"/>
                <w:szCs w:val="20"/>
              </w:rPr>
            </w:pPr>
            <w:r w:rsidRPr="00D553E9">
              <w:rPr>
                <w:b w:val="0"/>
                <w:sz w:val="20"/>
                <w:szCs w:val="20"/>
              </w:rPr>
              <w:t>800</w:t>
            </w:r>
          </w:p>
        </w:tc>
        <w:tc>
          <w:tcPr>
            <w:tcW w:w="1062" w:type="dxa"/>
            <w:hideMark/>
          </w:tcPr>
          <w:p w:rsidRPr="00D553E9" w:rsidR="00E75905" w:rsidP="00E75905" w:rsidRDefault="00E75905" w14:paraId="44BD28AA" w14:textId="77777777">
            <w:pPr>
              <w:pStyle w:val="TableCaption"/>
              <w:spacing w:after="0"/>
              <w:jc w:val="left"/>
              <w:rPr>
                <w:b w:val="0"/>
                <w:sz w:val="20"/>
                <w:szCs w:val="20"/>
              </w:rPr>
            </w:pPr>
            <w:r w:rsidRPr="00D553E9">
              <w:rPr>
                <w:b w:val="0"/>
                <w:sz w:val="20"/>
                <w:szCs w:val="20"/>
              </w:rPr>
              <w:t>Varies (see narrative)</w:t>
            </w:r>
          </w:p>
        </w:tc>
        <w:tc>
          <w:tcPr>
            <w:tcW w:w="1625" w:type="dxa"/>
            <w:noWrap/>
            <w:hideMark/>
          </w:tcPr>
          <w:p w:rsidRPr="00D553E9" w:rsidR="00E75905" w:rsidP="00E75905" w:rsidRDefault="00E75905" w14:paraId="27CDCDF6" w14:textId="77777777">
            <w:pPr>
              <w:pStyle w:val="TableCaption"/>
              <w:spacing w:after="0"/>
              <w:jc w:val="left"/>
              <w:rPr>
                <w:b w:val="0"/>
                <w:sz w:val="20"/>
                <w:szCs w:val="20"/>
              </w:rPr>
            </w:pPr>
            <w:r w:rsidRPr="00D553E9">
              <w:rPr>
                <w:b w:val="0"/>
                <w:sz w:val="20"/>
                <w:szCs w:val="20"/>
              </w:rPr>
              <w:t>67,880</w:t>
            </w:r>
          </w:p>
        </w:tc>
        <w:tc>
          <w:tcPr>
            <w:tcW w:w="1199" w:type="dxa"/>
            <w:hideMark/>
          </w:tcPr>
          <w:p w:rsidRPr="00D553E9" w:rsidR="00E75905" w:rsidP="00E75905" w:rsidRDefault="00E75905" w14:paraId="1D6325CB" w14:textId="77777777">
            <w:pPr>
              <w:pStyle w:val="TableCaption"/>
              <w:spacing w:after="0"/>
              <w:jc w:val="left"/>
              <w:rPr>
                <w:b w:val="0"/>
                <w:sz w:val="20"/>
                <w:szCs w:val="20"/>
              </w:rPr>
            </w:pPr>
            <w:r w:rsidRPr="00D553E9">
              <w:rPr>
                <w:b w:val="0"/>
                <w:sz w:val="20"/>
                <w:szCs w:val="20"/>
              </w:rPr>
              <w:t>RK</w:t>
            </w:r>
          </w:p>
        </w:tc>
        <w:tc>
          <w:tcPr>
            <w:tcW w:w="1260" w:type="dxa"/>
            <w:hideMark/>
          </w:tcPr>
          <w:p w:rsidRPr="00D553E9" w:rsidR="00E75905" w:rsidP="00E75905" w:rsidRDefault="00E75905" w14:paraId="7FADA4E6" w14:textId="77777777">
            <w:pPr>
              <w:pStyle w:val="TableCaption"/>
              <w:spacing w:after="0"/>
              <w:jc w:val="left"/>
              <w:rPr>
                <w:b w:val="0"/>
                <w:sz w:val="20"/>
                <w:szCs w:val="20"/>
              </w:rPr>
            </w:pPr>
            <w:r w:rsidRPr="00D553E9">
              <w:rPr>
                <w:b w:val="0"/>
                <w:sz w:val="20"/>
                <w:szCs w:val="20"/>
              </w:rPr>
              <w:t>Annual</w:t>
            </w:r>
          </w:p>
        </w:tc>
      </w:tr>
      <w:tr w:rsidRPr="00D553E9" w:rsidR="00E75905" w:rsidTr="00D553E9" w14:paraId="00FA3866" w14:textId="77777777">
        <w:trPr>
          <w:trHeight w:val="800"/>
        </w:trPr>
        <w:tc>
          <w:tcPr>
            <w:tcW w:w="1075" w:type="dxa"/>
            <w:hideMark/>
          </w:tcPr>
          <w:p w:rsidRPr="00D553E9" w:rsidR="00E75905" w:rsidP="00E75905" w:rsidRDefault="00E75905" w14:paraId="5406089A" w14:textId="77777777">
            <w:pPr>
              <w:pStyle w:val="TableCaption"/>
              <w:spacing w:after="0"/>
              <w:jc w:val="left"/>
              <w:rPr>
                <w:b w:val="0"/>
                <w:sz w:val="20"/>
                <w:szCs w:val="20"/>
              </w:rPr>
            </w:pPr>
            <w:r w:rsidRPr="00D553E9">
              <w:rPr>
                <w:b w:val="0"/>
                <w:sz w:val="20"/>
                <w:szCs w:val="20"/>
              </w:rPr>
              <w:t>12.39</w:t>
            </w:r>
          </w:p>
        </w:tc>
        <w:tc>
          <w:tcPr>
            <w:tcW w:w="1659" w:type="dxa"/>
            <w:hideMark/>
          </w:tcPr>
          <w:p w:rsidRPr="00D553E9" w:rsidR="00E75905" w:rsidP="00E75905" w:rsidRDefault="00E75905" w14:paraId="0684CC6C" w14:textId="77777777">
            <w:pPr>
              <w:pStyle w:val="TableCaption"/>
              <w:spacing w:after="0"/>
              <w:rPr>
                <w:b w:val="0"/>
                <w:sz w:val="20"/>
                <w:szCs w:val="20"/>
              </w:rPr>
            </w:pPr>
            <w:r w:rsidRPr="00D553E9">
              <w:rPr>
                <w:b w:val="0"/>
                <w:sz w:val="20"/>
                <w:szCs w:val="20"/>
              </w:rPr>
              <w:t>438.208(c)(2) - (3) Care Coordination</w:t>
            </w:r>
          </w:p>
        </w:tc>
        <w:tc>
          <w:tcPr>
            <w:tcW w:w="1491" w:type="dxa"/>
            <w:noWrap/>
            <w:hideMark/>
          </w:tcPr>
          <w:p w:rsidRPr="00D553E9" w:rsidR="00E75905" w:rsidP="00E75905" w:rsidRDefault="00E75905" w14:paraId="2FA301DC" w14:textId="77777777">
            <w:pPr>
              <w:pStyle w:val="TableCaption"/>
              <w:spacing w:after="0"/>
              <w:jc w:val="left"/>
              <w:rPr>
                <w:b w:val="0"/>
                <w:sz w:val="20"/>
                <w:szCs w:val="20"/>
              </w:rPr>
            </w:pPr>
            <w:r w:rsidRPr="00D553E9">
              <w:rPr>
                <w:b w:val="0"/>
                <w:sz w:val="20"/>
                <w:szCs w:val="20"/>
              </w:rPr>
              <w:t>568</w:t>
            </w:r>
          </w:p>
        </w:tc>
        <w:tc>
          <w:tcPr>
            <w:tcW w:w="1159" w:type="dxa"/>
            <w:noWrap/>
            <w:hideMark/>
          </w:tcPr>
          <w:p w:rsidRPr="00D553E9" w:rsidR="00E75905" w:rsidP="00E75905" w:rsidRDefault="00E75905" w14:paraId="1B8B185C" w14:textId="77777777">
            <w:pPr>
              <w:pStyle w:val="TableCaption"/>
              <w:spacing w:after="0"/>
              <w:jc w:val="left"/>
              <w:rPr>
                <w:b w:val="0"/>
                <w:sz w:val="20"/>
                <w:szCs w:val="20"/>
              </w:rPr>
            </w:pPr>
            <w:r w:rsidRPr="00D553E9">
              <w:rPr>
                <w:b w:val="0"/>
                <w:sz w:val="20"/>
                <w:szCs w:val="20"/>
              </w:rPr>
              <w:t>606,131</w:t>
            </w:r>
          </w:p>
        </w:tc>
        <w:tc>
          <w:tcPr>
            <w:tcW w:w="1181" w:type="dxa"/>
            <w:hideMark/>
          </w:tcPr>
          <w:p w:rsidRPr="00D553E9" w:rsidR="00E75905" w:rsidP="00E75905" w:rsidRDefault="00E75905" w14:paraId="4232472E" w14:textId="77777777">
            <w:pPr>
              <w:pStyle w:val="TableCaption"/>
              <w:spacing w:after="0"/>
              <w:jc w:val="left"/>
              <w:rPr>
                <w:b w:val="0"/>
                <w:sz w:val="20"/>
                <w:szCs w:val="20"/>
              </w:rPr>
            </w:pPr>
            <w:r w:rsidRPr="00D553E9">
              <w:rPr>
                <w:b w:val="0"/>
                <w:sz w:val="20"/>
                <w:szCs w:val="20"/>
              </w:rPr>
              <w:t>1</w:t>
            </w:r>
          </w:p>
        </w:tc>
        <w:tc>
          <w:tcPr>
            <w:tcW w:w="1514" w:type="dxa"/>
            <w:noWrap/>
            <w:hideMark/>
          </w:tcPr>
          <w:p w:rsidRPr="00D553E9" w:rsidR="00E75905" w:rsidP="00E75905" w:rsidRDefault="00E75905" w14:paraId="1DE18DAC" w14:textId="77777777">
            <w:pPr>
              <w:pStyle w:val="TableCaption"/>
              <w:spacing w:after="0"/>
              <w:jc w:val="left"/>
              <w:rPr>
                <w:b w:val="0"/>
                <w:sz w:val="20"/>
                <w:szCs w:val="20"/>
              </w:rPr>
            </w:pPr>
            <w:r w:rsidRPr="00D553E9">
              <w:rPr>
                <w:b w:val="0"/>
                <w:sz w:val="20"/>
                <w:szCs w:val="20"/>
              </w:rPr>
              <w:t>606,131</w:t>
            </w:r>
          </w:p>
        </w:tc>
        <w:tc>
          <w:tcPr>
            <w:tcW w:w="1062" w:type="dxa"/>
            <w:hideMark/>
          </w:tcPr>
          <w:p w:rsidRPr="00D553E9" w:rsidR="00E75905" w:rsidP="00E75905" w:rsidRDefault="00E75905" w14:paraId="7104D0C7" w14:textId="77777777">
            <w:pPr>
              <w:pStyle w:val="TableCaption"/>
              <w:spacing w:after="0"/>
              <w:jc w:val="left"/>
              <w:rPr>
                <w:b w:val="0"/>
                <w:sz w:val="20"/>
                <w:szCs w:val="20"/>
              </w:rPr>
            </w:pPr>
            <w:r w:rsidRPr="00D553E9">
              <w:rPr>
                <w:b w:val="0"/>
                <w:sz w:val="20"/>
                <w:szCs w:val="20"/>
              </w:rPr>
              <w:t>76.94</w:t>
            </w:r>
          </w:p>
        </w:tc>
        <w:tc>
          <w:tcPr>
            <w:tcW w:w="1625" w:type="dxa"/>
            <w:noWrap/>
            <w:hideMark/>
          </w:tcPr>
          <w:p w:rsidRPr="00D553E9" w:rsidR="00E75905" w:rsidP="00E75905" w:rsidRDefault="00E75905" w14:paraId="60CA6591" w14:textId="77777777">
            <w:pPr>
              <w:pStyle w:val="TableCaption"/>
              <w:spacing w:after="0"/>
              <w:jc w:val="left"/>
              <w:rPr>
                <w:b w:val="0"/>
                <w:sz w:val="20"/>
                <w:szCs w:val="20"/>
              </w:rPr>
            </w:pPr>
            <w:r w:rsidRPr="00D553E9">
              <w:rPr>
                <w:b w:val="0"/>
                <w:sz w:val="20"/>
                <w:szCs w:val="20"/>
              </w:rPr>
              <w:t>46,635,719</w:t>
            </w:r>
          </w:p>
        </w:tc>
        <w:tc>
          <w:tcPr>
            <w:tcW w:w="1199" w:type="dxa"/>
            <w:hideMark/>
          </w:tcPr>
          <w:p w:rsidRPr="00D553E9" w:rsidR="00E75905" w:rsidP="00E75905" w:rsidRDefault="00E75905" w14:paraId="4FA74E81" w14:textId="77777777">
            <w:pPr>
              <w:pStyle w:val="TableCaption"/>
              <w:spacing w:after="0"/>
              <w:jc w:val="left"/>
              <w:rPr>
                <w:b w:val="0"/>
                <w:sz w:val="20"/>
                <w:szCs w:val="20"/>
              </w:rPr>
            </w:pPr>
            <w:r w:rsidRPr="00D553E9">
              <w:rPr>
                <w:b w:val="0"/>
                <w:sz w:val="20"/>
                <w:szCs w:val="20"/>
              </w:rPr>
              <w:t>RK</w:t>
            </w:r>
          </w:p>
        </w:tc>
        <w:tc>
          <w:tcPr>
            <w:tcW w:w="1260" w:type="dxa"/>
            <w:hideMark/>
          </w:tcPr>
          <w:p w:rsidRPr="00D553E9" w:rsidR="00E75905" w:rsidP="00E75905" w:rsidRDefault="00E75905" w14:paraId="607B9B1B" w14:textId="77777777">
            <w:pPr>
              <w:pStyle w:val="TableCaption"/>
              <w:spacing w:after="0"/>
              <w:jc w:val="left"/>
              <w:rPr>
                <w:b w:val="0"/>
                <w:sz w:val="20"/>
                <w:szCs w:val="20"/>
              </w:rPr>
            </w:pPr>
            <w:r w:rsidRPr="00D553E9">
              <w:rPr>
                <w:b w:val="0"/>
                <w:sz w:val="20"/>
                <w:szCs w:val="20"/>
              </w:rPr>
              <w:t>Annual</w:t>
            </w:r>
          </w:p>
        </w:tc>
      </w:tr>
      <w:tr w:rsidRPr="00D553E9" w:rsidR="00E75905" w:rsidTr="00794504" w14:paraId="2B20B6B7" w14:textId="77777777">
        <w:trPr>
          <w:trHeight w:val="888"/>
        </w:trPr>
        <w:tc>
          <w:tcPr>
            <w:tcW w:w="1075" w:type="dxa"/>
            <w:hideMark/>
          </w:tcPr>
          <w:p w:rsidRPr="00D553E9" w:rsidR="00E75905" w:rsidP="00E75905" w:rsidRDefault="00E75905" w14:paraId="1A524F83" w14:textId="77777777">
            <w:pPr>
              <w:pStyle w:val="TableCaption"/>
              <w:spacing w:after="0"/>
              <w:jc w:val="left"/>
              <w:rPr>
                <w:b w:val="0"/>
                <w:sz w:val="20"/>
                <w:szCs w:val="20"/>
              </w:rPr>
            </w:pPr>
            <w:r w:rsidRPr="00D553E9">
              <w:rPr>
                <w:b w:val="0"/>
                <w:sz w:val="20"/>
                <w:szCs w:val="20"/>
              </w:rPr>
              <w:lastRenderedPageBreak/>
              <w:t>12.50</w:t>
            </w:r>
          </w:p>
        </w:tc>
        <w:tc>
          <w:tcPr>
            <w:tcW w:w="1659" w:type="dxa"/>
            <w:hideMark/>
          </w:tcPr>
          <w:p w:rsidRPr="00D553E9" w:rsidR="00E75905" w:rsidP="00E75905" w:rsidRDefault="00E75905" w14:paraId="62C11FBE" w14:textId="77777777">
            <w:pPr>
              <w:pStyle w:val="TableCaption"/>
              <w:spacing w:after="0"/>
              <w:rPr>
                <w:b w:val="0"/>
                <w:sz w:val="20"/>
                <w:szCs w:val="20"/>
              </w:rPr>
            </w:pPr>
            <w:r w:rsidRPr="00D553E9">
              <w:rPr>
                <w:b w:val="0"/>
                <w:sz w:val="20"/>
                <w:szCs w:val="20"/>
              </w:rPr>
              <w:t>438.416 Reporting</w:t>
            </w:r>
          </w:p>
        </w:tc>
        <w:tc>
          <w:tcPr>
            <w:tcW w:w="1491" w:type="dxa"/>
            <w:noWrap/>
            <w:hideMark/>
          </w:tcPr>
          <w:p w:rsidRPr="00D553E9" w:rsidR="00E75905" w:rsidP="00E75905" w:rsidRDefault="00E75905" w14:paraId="25EBA87C" w14:textId="77777777">
            <w:pPr>
              <w:pStyle w:val="TableCaption"/>
              <w:spacing w:after="0"/>
              <w:jc w:val="left"/>
              <w:rPr>
                <w:b w:val="0"/>
                <w:sz w:val="20"/>
                <w:szCs w:val="20"/>
              </w:rPr>
            </w:pPr>
            <w:r w:rsidRPr="00D553E9">
              <w:rPr>
                <w:b w:val="0"/>
                <w:sz w:val="20"/>
                <w:szCs w:val="20"/>
              </w:rPr>
              <w:t>44</w:t>
            </w:r>
          </w:p>
        </w:tc>
        <w:tc>
          <w:tcPr>
            <w:tcW w:w="1159" w:type="dxa"/>
            <w:noWrap/>
            <w:hideMark/>
          </w:tcPr>
          <w:p w:rsidRPr="00D553E9" w:rsidR="00E75905" w:rsidP="00E75905" w:rsidRDefault="00E75905" w14:paraId="5CAB60C8" w14:textId="77777777">
            <w:pPr>
              <w:pStyle w:val="TableCaption"/>
              <w:spacing w:after="0"/>
              <w:jc w:val="left"/>
              <w:rPr>
                <w:b w:val="0"/>
                <w:sz w:val="20"/>
                <w:szCs w:val="20"/>
              </w:rPr>
            </w:pPr>
            <w:r w:rsidRPr="00D553E9">
              <w:rPr>
                <w:b w:val="0"/>
                <w:sz w:val="20"/>
                <w:szCs w:val="20"/>
              </w:rPr>
              <w:t>1,322,146</w:t>
            </w:r>
          </w:p>
        </w:tc>
        <w:tc>
          <w:tcPr>
            <w:tcW w:w="1181" w:type="dxa"/>
            <w:hideMark/>
          </w:tcPr>
          <w:p w:rsidRPr="00D553E9" w:rsidR="00E75905" w:rsidP="00E75905" w:rsidRDefault="00E75905" w14:paraId="35ACBA4A" w14:textId="77777777">
            <w:pPr>
              <w:pStyle w:val="TableCaption"/>
              <w:spacing w:after="0"/>
              <w:jc w:val="left"/>
              <w:rPr>
                <w:b w:val="0"/>
                <w:sz w:val="20"/>
                <w:szCs w:val="20"/>
              </w:rPr>
            </w:pPr>
            <w:r w:rsidRPr="00D553E9">
              <w:rPr>
                <w:b w:val="0"/>
                <w:sz w:val="20"/>
                <w:szCs w:val="20"/>
              </w:rPr>
              <w:t>0.0167</w:t>
            </w:r>
          </w:p>
        </w:tc>
        <w:tc>
          <w:tcPr>
            <w:tcW w:w="1514" w:type="dxa"/>
            <w:noWrap/>
            <w:hideMark/>
          </w:tcPr>
          <w:p w:rsidRPr="00D553E9" w:rsidR="00E75905" w:rsidP="00E75905" w:rsidRDefault="00E75905" w14:paraId="3E73765C" w14:textId="77777777">
            <w:pPr>
              <w:pStyle w:val="TableCaption"/>
              <w:spacing w:after="0"/>
              <w:jc w:val="left"/>
              <w:rPr>
                <w:b w:val="0"/>
                <w:sz w:val="20"/>
                <w:szCs w:val="20"/>
              </w:rPr>
            </w:pPr>
            <w:r w:rsidRPr="00D553E9">
              <w:rPr>
                <w:b w:val="0"/>
                <w:sz w:val="20"/>
                <w:szCs w:val="20"/>
              </w:rPr>
              <w:t>22,080</w:t>
            </w:r>
          </w:p>
        </w:tc>
        <w:tc>
          <w:tcPr>
            <w:tcW w:w="1062" w:type="dxa"/>
            <w:hideMark/>
          </w:tcPr>
          <w:p w:rsidRPr="00D553E9" w:rsidR="00E75905" w:rsidP="00E75905" w:rsidRDefault="00E75905" w14:paraId="6E907A37" w14:textId="77777777">
            <w:pPr>
              <w:pStyle w:val="TableCaption"/>
              <w:spacing w:after="0"/>
              <w:jc w:val="left"/>
              <w:rPr>
                <w:b w:val="0"/>
                <w:sz w:val="20"/>
                <w:szCs w:val="20"/>
              </w:rPr>
            </w:pPr>
            <w:r w:rsidRPr="00D553E9">
              <w:rPr>
                <w:b w:val="0"/>
                <w:sz w:val="20"/>
                <w:szCs w:val="20"/>
              </w:rPr>
              <w:t>36.82</w:t>
            </w:r>
          </w:p>
        </w:tc>
        <w:tc>
          <w:tcPr>
            <w:tcW w:w="1625" w:type="dxa"/>
            <w:noWrap/>
            <w:hideMark/>
          </w:tcPr>
          <w:p w:rsidRPr="00D553E9" w:rsidR="00E75905" w:rsidP="00E75905" w:rsidRDefault="00E75905" w14:paraId="37AD852B" w14:textId="77777777">
            <w:pPr>
              <w:pStyle w:val="TableCaption"/>
              <w:spacing w:after="0"/>
              <w:jc w:val="left"/>
              <w:rPr>
                <w:b w:val="0"/>
                <w:sz w:val="20"/>
                <w:szCs w:val="20"/>
              </w:rPr>
            </w:pPr>
            <w:r w:rsidRPr="00D553E9">
              <w:rPr>
                <w:b w:val="0"/>
                <w:sz w:val="20"/>
                <w:szCs w:val="20"/>
              </w:rPr>
              <w:t>812,986</w:t>
            </w:r>
          </w:p>
        </w:tc>
        <w:tc>
          <w:tcPr>
            <w:tcW w:w="1199" w:type="dxa"/>
            <w:hideMark/>
          </w:tcPr>
          <w:p w:rsidRPr="00D553E9" w:rsidR="00E75905" w:rsidP="00E75905" w:rsidRDefault="00E75905" w14:paraId="16DA9FC3" w14:textId="77777777">
            <w:pPr>
              <w:pStyle w:val="TableCaption"/>
              <w:spacing w:after="0"/>
              <w:jc w:val="left"/>
              <w:rPr>
                <w:b w:val="0"/>
                <w:sz w:val="20"/>
                <w:szCs w:val="20"/>
              </w:rPr>
            </w:pPr>
            <w:r w:rsidRPr="00D553E9">
              <w:rPr>
                <w:b w:val="0"/>
                <w:sz w:val="20"/>
                <w:szCs w:val="20"/>
              </w:rPr>
              <w:t>RK</w:t>
            </w:r>
          </w:p>
        </w:tc>
        <w:tc>
          <w:tcPr>
            <w:tcW w:w="1260" w:type="dxa"/>
            <w:hideMark/>
          </w:tcPr>
          <w:p w:rsidRPr="00D553E9" w:rsidR="00E75905" w:rsidP="00E75905" w:rsidRDefault="00E75905" w14:paraId="5C2FA6D9" w14:textId="77777777">
            <w:pPr>
              <w:pStyle w:val="TableCaption"/>
              <w:spacing w:after="0"/>
              <w:jc w:val="left"/>
              <w:rPr>
                <w:b w:val="0"/>
                <w:sz w:val="20"/>
                <w:szCs w:val="20"/>
              </w:rPr>
            </w:pPr>
            <w:r w:rsidRPr="00D553E9">
              <w:rPr>
                <w:b w:val="0"/>
                <w:sz w:val="20"/>
                <w:szCs w:val="20"/>
              </w:rPr>
              <w:t>Annual</w:t>
            </w:r>
          </w:p>
        </w:tc>
      </w:tr>
      <w:tr w:rsidRPr="00D553E9" w:rsidR="00E75905" w:rsidTr="00D553E9" w14:paraId="0FF1F836" w14:textId="77777777">
        <w:trPr>
          <w:trHeight w:val="528"/>
        </w:trPr>
        <w:tc>
          <w:tcPr>
            <w:tcW w:w="2734" w:type="dxa"/>
            <w:gridSpan w:val="2"/>
            <w:shd w:val="clear" w:color="auto" w:fill="AEAAAA" w:themeFill="background2" w:themeFillShade="BF"/>
            <w:hideMark/>
          </w:tcPr>
          <w:p w:rsidRPr="00D553E9" w:rsidR="00E75905" w:rsidP="00E75905" w:rsidRDefault="00E75905" w14:paraId="210E42D4" w14:textId="77777777">
            <w:pPr>
              <w:pStyle w:val="TableCaption"/>
              <w:spacing w:after="0"/>
              <w:rPr>
                <w:b w:val="0"/>
                <w:i/>
                <w:iCs/>
                <w:sz w:val="20"/>
                <w:szCs w:val="20"/>
              </w:rPr>
            </w:pPr>
            <w:r w:rsidRPr="00D553E9">
              <w:rPr>
                <w:b w:val="0"/>
                <w:i/>
                <w:iCs/>
                <w:sz w:val="20"/>
                <w:szCs w:val="20"/>
              </w:rPr>
              <w:t>Subtotal: Recordkeeping</w:t>
            </w:r>
          </w:p>
        </w:tc>
        <w:tc>
          <w:tcPr>
            <w:tcW w:w="1491" w:type="dxa"/>
            <w:shd w:val="clear" w:color="auto" w:fill="AEAAAA" w:themeFill="background2" w:themeFillShade="BF"/>
            <w:noWrap/>
            <w:hideMark/>
          </w:tcPr>
          <w:p w:rsidRPr="00D553E9" w:rsidR="00E75905" w:rsidP="00E75905" w:rsidRDefault="00E75905" w14:paraId="3B268945" w14:textId="77777777">
            <w:pPr>
              <w:pStyle w:val="TableCaption"/>
              <w:spacing w:after="0"/>
              <w:jc w:val="left"/>
              <w:rPr>
                <w:b w:val="0"/>
                <w:i/>
                <w:iCs/>
                <w:sz w:val="20"/>
                <w:szCs w:val="20"/>
              </w:rPr>
            </w:pPr>
            <w:r w:rsidRPr="00D553E9">
              <w:rPr>
                <w:b w:val="0"/>
                <w:i/>
                <w:iCs/>
                <w:sz w:val="20"/>
                <w:szCs w:val="20"/>
              </w:rPr>
              <w:t>568</w:t>
            </w:r>
          </w:p>
        </w:tc>
        <w:tc>
          <w:tcPr>
            <w:tcW w:w="1159" w:type="dxa"/>
            <w:shd w:val="clear" w:color="auto" w:fill="AEAAAA" w:themeFill="background2" w:themeFillShade="BF"/>
            <w:noWrap/>
            <w:hideMark/>
          </w:tcPr>
          <w:p w:rsidRPr="00D553E9" w:rsidR="00E75905" w:rsidP="00E75905" w:rsidRDefault="00E75905" w14:paraId="506CF621" w14:textId="77777777">
            <w:pPr>
              <w:pStyle w:val="TableCaption"/>
              <w:spacing w:after="0"/>
              <w:jc w:val="left"/>
              <w:rPr>
                <w:b w:val="0"/>
                <w:i/>
                <w:iCs/>
                <w:sz w:val="20"/>
                <w:szCs w:val="20"/>
              </w:rPr>
            </w:pPr>
            <w:r w:rsidRPr="00D553E9">
              <w:rPr>
                <w:b w:val="0"/>
                <w:i/>
                <w:iCs/>
                <w:sz w:val="20"/>
                <w:szCs w:val="20"/>
              </w:rPr>
              <w:t>1,928,297</w:t>
            </w:r>
          </w:p>
        </w:tc>
        <w:tc>
          <w:tcPr>
            <w:tcW w:w="1181" w:type="dxa"/>
            <w:shd w:val="clear" w:color="auto" w:fill="AEAAAA" w:themeFill="background2" w:themeFillShade="BF"/>
            <w:hideMark/>
          </w:tcPr>
          <w:p w:rsidRPr="00D553E9" w:rsidR="00E75905" w:rsidP="00E75905" w:rsidRDefault="00E75905" w14:paraId="7F2B3690" w14:textId="77777777">
            <w:pPr>
              <w:pStyle w:val="TableCaption"/>
              <w:spacing w:after="0"/>
              <w:jc w:val="left"/>
              <w:rPr>
                <w:b w:val="0"/>
                <w:i/>
                <w:iCs/>
                <w:sz w:val="20"/>
                <w:szCs w:val="20"/>
              </w:rPr>
            </w:pPr>
            <w:r w:rsidRPr="00D553E9">
              <w:rPr>
                <w:b w:val="0"/>
                <w:i/>
                <w:iCs/>
                <w:sz w:val="20"/>
                <w:szCs w:val="20"/>
              </w:rPr>
              <w:t>Varies</w:t>
            </w:r>
          </w:p>
        </w:tc>
        <w:tc>
          <w:tcPr>
            <w:tcW w:w="1514" w:type="dxa"/>
            <w:shd w:val="clear" w:color="auto" w:fill="AEAAAA" w:themeFill="background2" w:themeFillShade="BF"/>
            <w:noWrap/>
            <w:hideMark/>
          </w:tcPr>
          <w:p w:rsidRPr="00D553E9" w:rsidR="00E75905" w:rsidP="00E75905" w:rsidRDefault="00E75905" w14:paraId="37D925B4" w14:textId="77777777">
            <w:pPr>
              <w:pStyle w:val="TableCaption"/>
              <w:spacing w:after="0"/>
              <w:jc w:val="left"/>
              <w:rPr>
                <w:b w:val="0"/>
                <w:i/>
                <w:iCs/>
                <w:sz w:val="20"/>
                <w:szCs w:val="20"/>
              </w:rPr>
            </w:pPr>
            <w:r w:rsidRPr="00D553E9">
              <w:rPr>
                <w:b w:val="0"/>
                <w:i/>
                <w:iCs/>
                <w:sz w:val="20"/>
                <w:szCs w:val="20"/>
              </w:rPr>
              <w:t>629,011</w:t>
            </w:r>
          </w:p>
        </w:tc>
        <w:tc>
          <w:tcPr>
            <w:tcW w:w="1062" w:type="dxa"/>
            <w:shd w:val="clear" w:color="auto" w:fill="AEAAAA" w:themeFill="background2" w:themeFillShade="BF"/>
            <w:hideMark/>
          </w:tcPr>
          <w:p w:rsidRPr="00D553E9" w:rsidR="00E75905" w:rsidP="00E75905" w:rsidRDefault="00E75905" w14:paraId="208839BE" w14:textId="77777777">
            <w:pPr>
              <w:pStyle w:val="TableCaption"/>
              <w:spacing w:after="0"/>
              <w:jc w:val="left"/>
              <w:rPr>
                <w:b w:val="0"/>
                <w:i/>
                <w:iCs/>
                <w:sz w:val="20"/>
                <w:szCs w:val="20"/>
              </w:rPr>
            </w:pPr>
            <w:r w:rsidRPr="00D553E9">
              <w:rPr>
                <w:b w:val="0"/>
                <w:i/>
                <w:iCs/>
                <w:sz w:val="20"/>
                <w:szCs w:val="20"/>
              </w:rPr>
              <w:t>Varies</w:t>
            </w:r>
          </w:p>
        </w:tc>
        <w:tc>
          <w:tcPr>
            <w:tcW w:w="1625" w:type="dxa"/>
            <w:shd w:val="clear" w:color="auto" w:fill="AEAAAA" w:themeFill="background2" w:themeFillShade="BF"/>
            <w:noWrap/>
            <w:hideMark/>
          </w:tcPr>
          <w:p w:rsidRPr="00D553E9" w:rsidR="00E75905" w:rsidP="00E75905" w:rsidRDefault="00E75905" w14:paraId="251BEF37" w14:textId="77777777">
            <w:pPr>
              <w:pStyle w:val="TableCaption"/>
              <w:spacing w:after="0"/>
              <w:jc w:val="left"/>
              <w:rPr>
                <w:b w:val="0"/>
                <w:i/>
                <w:iCs/>
                <w:sz w:val="20"/>
                <w:szCs w:val="20"/>
              </w:rPr>
            </w:pPr>
            <w:r w:rsidRPr="00D553E9">
              <w:rPr>
                <w:b w:val="0"/>
                <w:i/>
                <w:iCs/>
                <w:sz w:val="20"/>
                <w:szCs w:val="20"/>
              </w:rPr>
              <w:t>47,516,585</w:t>
            </w:r>
          </w:p>
        </w:tc>
        <w:tc>
          <w:tcPr>
            <w:tcW w:w="1199" w:type="dxa"/>
            <w:shd w:val="clear" w:color="auto" w:fill="AEAAAA" w:themeFill="background2" w:themeFillShade="BF"/>
            <w:hideMark/>
          </w:tcPr>
          <w:p w:rsidRPr="00D553E9" w:rsidR="00E75905" w:rsidP="00E75905" w:rsidRDefault="00E75905" w14:paraId="3BB4C581" w14:textId="77777777">
            <w:pPr>
              <w:pStyle w:val="TableCaption"/>
              <w:spacing w:after="0"/>
              <w:jc w:val="left"/>
              <w:rPr>
                <w:b w:val="0"/>
                <w:i/>
                <w:iCs/>
                <w:sz w:val="20"/>
                <w:szCs w:val="20"/>
              </w:rPr>
            </w:pPr>
            <w:r w:rsidRPr="00D553E9">
              <w:rPr>
                <w:b w:val="0"/>
                <w:i/>
                <w:iCs/>
                <w:sz w:val="20"/>
                <w:szCs w:val="20"/>
              </w:rPr>
              <w:t>RK</w:t>
            </w:r>
          </w:p>
        </w:tc>
        <w:tc>
          <w:tcPr>
            <w:tcW w:w="1260" w:type="dxa"/>
            <w:shd w:val="clear" w:color="auto" w:fill="AEAAAA" w:themeFill="background2" w:themeFillShade="BF"/>
            <w:hideMark/>
          </w:tcPr>
          <w:p w:rsidRPr="00D553E9" w:rsidR="00E75905" w:rsidP="00E75905" w:rsidRDefault="00E75905" w14:paraId="2109CC5E" w14:textId="77777777">
            <w:pPr>
              <w:pStyle w:val="TableCaption"/>
              <w:spacing w:after="0"/>
              <w:jc w:val="left"/>
              <w:rPr>
                <w:b w:val="0"/>
                <w:i/>
                <w:iCs/>
                <w:sz w:val="20"/>
                <w:szCs w:val="20"/>
              </w:rPr>
            </w:pPr>
            <w:r w:rsidRPr="00D553E9">
              <w:rPr>
                <w:b w:val="0"/>
                <w:i/>
                <w:iCs/>
                <w:sz w:val="20"/>
                <w:szCs w:val="20"/>
              </w:rPr>
              <w:t>Annual</w:t>
            </w:r>
          </w:p>
        </w:tc>
      </w:tr>
    </w:tbl>
    <w:p w:rsidRPr="009F056B" w:rsidR="00E75905" w:rsidP="009F056B" w:rsidRDefault="00E75905" w14:paraId="4A20F09B" w14:textId="77777777">
      <w:pPr>
        <w:pStyle w:val="TableCaption"/>
        <w:spacing w:after="0"/>
        <w:jc w:val="left"/>
        <w:rPr>
          <w:b w:val="0"/>
        </w:rPr>
      </w:pPr>
    </w:p>
    <w:bookmarkEnd w:id="56"/>
    <w:p w:rsidRPr="0094555B" w:rsidR="003C130D" w:rsidP="0094555B" w:rsidRDefault="003C130D" w14:paraId="084164FA" w14:textId="348C5774">
      <w:pPr>
        <w:pStyle w:val="TableCaption"/>
        <w:spacing w:after="0"/>
        <w:jc w:val="left"/>
        <w:rPr>
          <w:b w:val="0"/>
        </w:rPr>
      </w:pPr>
    </w:p>
    <w:tbl>
      <w:tblPr>
        <w:tblW w:w="13220" w:type="dxa"/>
        <w:tblLayout w:type="fixed"/>
        <w:tblLook w:val="04A0" w:firstRow="1" w:lastRow="0" w:firstColumn="1" w:lastColumn="0" w:noHBand="0" w:noVBand="1"/>
      </w:tblPr>
      <w:tblGrid>
        <w:gridCol w:w="3050"/>
        <w:gridCol w:w="1710"/>
        <w:gridCol w:w="1800"/>
        <w:gridCol w:w="1530"/>
        <w:gridCol w:w="1710"/>
        <w:gridCol w:w="1260"/>
        <w:gridCol w:w="2160"/>
      </w:tblGrid>
      <w:tr w:rsidRPr="0094555B" w:rsidR="007E2D4C" w:rsidTr="00D553E9" w14:paraId="77E00E4E" w14:textId="77777777">
        <w:trPr>
          <w:trHeight w:val="450"/>
        </w:trPr>
        <w:tc>
          <w:tcPr>
            <w:tcW w:w="3050" w:type="dxa"/>
            <w:vMerge w:val="restart"/>
            <w:tcBorders>
              <w:top w:val="single" w:color="auto" w:sz="8" w:space="0"/>
              <w:left w:val="single" w:color="auto" w:sz="8" w:space="0"/>
              <w:bottom w:val="single" w:color="000000" w:sz="8" w:space="0"/>
              <w:right w:val="single" w:color="auto" w:sz="8" w:space="0"/>
            </w:tcBorders>
            <w:shd w:val="clear" w:color="auto" w:fill="F2F2F2" w:themeFill="background1" w:themeFillShade="F2"/>
            <w:vAlign w:val="center"/>
            <w:hideMark/>
          </w:tcPr>
          <w:p w:rsidRPr="00C84427" w:rsidR="0076440E" w:rsidP="0094555B" w:rsidRDefault="00EA0D75" w14:paraId="0840ED88" w14:textId="08AF8217">
            <w:pPr>
              <w:spacing w:after="0" w:line="240" w:lineRule="auto"/>
              <w:jc w:val="center"/>
              <w:rPr>
                <w:rFonts w:ascii="Times New Roman" w:hAnsi="Times New Roman" w:eastAsia="Times New Roman" w:cs="Times New Roman"/>
                <w:bCs/>
                <w:color w:val="000000"/>
                <w:sz w:val="20"/>
                <w:szCs w:val="20"/>
              </w:rPr>
            </w:pPr>
            <w:r w:rsidRPr="00C84427">
              <w:rPr>
                <w:rFonts w:ascii="Times New Roman" w:hAnsi="Times New Roman" w:eastAsia="Times New Roman" w:cs="Times New Roman"/>
                <w:bCs/>
                <w:color w:val="000000"/>
                <w:sz w:val="20"/>
                <w:szCs w:val="20"/>
              </w:rPr>
              <w:t xml:space="preserve">Total </w:t>
            </w:r>
            <w:r w:rsidRPr="00C84427" w:rsidR="0076440E">
              <w:rPr>
                <w:rFonts w:ascii="Times New Roman" w:hAnsi="Times New Roman" w:eastAsia="Times New Roman" w:cs="Times New Roman"/>
                <w:bCs/>
                <w:color w:val="000000"/>
                <w:sz w:val="20"/>
                <w:szCs w:val="20"/>
              </w:rPr>
              <w:t>Private Sector Burden</w:t>
            </w:r>
            <w:r w:rsidRPr="00C84427" w:rsidR="00046945">
              <w:rPr>
                <w:rFonts w:ascii="Times New Roman" w:hAnsi="Times New Roman" w:eastAsia="Times New Roman" w:cs="Times New Roman"/>
                <w:bCs/>
                <w:color w:val="000000"/>
                <w:sz w:val="20"/>
                <w:szCs w:val="20"/>
              </w:rPr>
              <w:t xml:space="preserve"> </w:t>
            </w:r>
            <w:r w:rsidRPr="00C84427" w:rsidR="00541BC3">
              <w:rPr>
                <w:rFonts w:ascii="Times New Roman" w:hAnsi="Times New Roman" w:eastAsia="Times New Roman" w:cs="Times New Roman"/>
                <w:bCs/>
                <w:color w:val="000000"/>
                <w:sz w:val="20"/>
                <w:szCs w:val="20"/>
              </w:rPr>
              <w:t>(</w:t>
            </w:r>
            <w:r w:rsidRPr="00C84427" w:rsidR="00046945">
              <w:rPr>
                <w:rFonts w:ascii="Times New Roman" w:hAnsi="Times New Roman" w:eastAsia="Times New Roman" w:cs="Times New Roman"/>
                <w:bCs/>
                <w:color w:val="000000"/>
                <w:sz w:val="20"/>
                <w:szCs w:val="20"/>
              </w:rPr>
              <w:t>by Type</w:t>
            </w:r>
            <w:r w:rsidRPr="00C84427" w:rsidR="00541BC3">
              <w:rPr>
                <w:rFonts w:ascii="Times New Roman" w:hAnsi="Times New Roman" w:eastAsia="Times New Roman" w:cs="Times New Roman"/>
                <w:bCs/>
                <w:color w:val="000000"/>
                <w:sz w:val="20"/>
                <w:szCs w:val="20"/>
              </w:rPr>
              <w:t>)</w:t>
            </w:r>
          </w:p>
        </w:tc>
        <w:tc>
          <w:tcPr>
            <w:tcW w:w="1710" w:type="dxa"/>
            <w:vMerge w:val="restart"/>
            <w:tcBorders>
              <w:top w:val="single" w:color="auto" w:sz="8" w:space="0"/>
              <w:left w:val="single" w:color="auto" w:sz="8" w:space="0"/>
              <w:bottom w:val="single" w:color="000000" w:sz="8" w:space="0"/>
              <w:right w:val="single" w:color="auto" w:sz="8" w:space="0"/>
            </w:tcBorders>
            <w:shd w:val="clear" w:color="auto" w:fill="F2F2F2" w:themeFill="background1" w:themeFillShade="F2"/>
            <w:vAlign w:val="center"/>
            <w:hideMark/>
          </w:tcPr>
          <w:p w:rsidRPr="00C84427" w:rsidR="0076440E" w:rsidP="0094555B" w:rsidRDefault="0076440E" w14:paraId="3DE523B1" w14:textId="77777777">
            <w:pPr>
              <w:spacing w:after="0" w:line="240" w:lineRule="auto"/>
              <w:jc w:val="center"/>
              <w:rPr>
                <w:rFonts w:ascii="Times New Roman" w:hAnsi="Times New Roman" w:eastAsia="Times New Roman" w:cs="Times New Roman"/>
                <w:bCs/>
                <w:color w:val="000000"/>
                <w:sz w:val="20"/>
                <w:szCs w:val="20"/>
              </w:rPr>
            </w:pPr>
            <w:r w:rsidRPr="00C84427">
              <w:rPr>
                <w:rFonts w:ascii="Times New Roman" w:hAnsi="Times New Roman" w:eastAsia="Times New Roman" w:cs="Times New Roman"/>
                <w:bCs/>
                <w:color w:val="000000"/>
                <w:sz w:val="20"/>
                <w:szCs w:val="20"/>
              </w:rPr>
              <w:t>Respondents</w:t>
            </w:r>
          </w:p>
        </w:tc>
        <w:tc>
          <w:tcPr>
            <w:tcW w:w="1800" w:type="dxa"/>
            <w:vMerge w:val="restart"/>
            <w:tcBorders>
              <w:top w:val="single" w:color="auto" w:sz="8" w:space="0"/>
              <w:left w:val="single" w:color="auto" w:sz="8" w:space="0"/>
              <w:bottom w:val="single" w:color="000000" w:sz="8" w:space="0"/>
              <w:right w:val="single" w:color="auto" w:sz="8" w:space="0"/>
            </w:tcBorders>
            <w:shd w:val="clear" w:color="auto" w:fill="F2F2F2" w:themeFill="background1" w:themeFillShade="F2"/>
            <w:vAlign w:val="center"/>
            <w:hideMark/>
          </w:tcPr>
          <w:p w:rsidRPr="00C84427" w:rsidR="0076440E" w:rsidP="0094555B" w:rsidRDefault="0076440E" w14:paraId="1A971A5D" w14:textId="77777777">
            <w:pPr>
              <w:spacing w:after="0" w:line="240" w:lineRule="auto"/>
              <w:jc w:val="center"/>
              <w:rPr>
                <w:rFonts w:ascii="Times New Roman" w:hAnsi="Times New Roman" w:eastAsia="Times New Roman" w:cs="Times New Roman"/>
                <w:bCs/>
                <w:color w:val="000000"/>
                <w:sz w:val="20"/>
                <w:szCs w:val="20"/>
              </w:rPr>
            </w:pPr>
            <w:r w:rsidRPr="00C84427">
              <w:rPr>
                <w:rFonts w:ascii="Times New Roman" w:hAnsi="Times New Roman" w:eastAsia="Times New Roman" w:cs="Times New Roman"/>
                <w:bCs/>
                <w:color w:val="000000"/>
                <w:sz w:val="20"/>
                <w:szCs w:val="20"/>
              </w:rPr>
              <w:t>Total Responses</w:t>
            </w:r>
          </w:p>
        </w:tc>
        <w:tc>
          <w:tcPr>
            <w:tcW w:w="1530" w:type="dxa"/>
            <w:vMerge w:val="restart"/>
            <w:tcBorders>
              <w:top w:val="single" w:color="auto" w:sz="8" w:space="0"/>
              <w:left w:val="single" w:color="auto" w:sz="8" w:space="0"/>
              <w:bottom w:val="single" w:color="000000" w:sz="8" w:space="0"/>
              <w:right w:val="single" w:color="auto" w:sz="8" w:space="0"/>
            </w:tcBorders>
            <w:shd w:val="clear" w:color="auto" w:fill="F2F2F2" w:themeFill="background1" w:themeFillShade="F2"/>
            <w:vAlign w:val="center"/>
            <w:hideMark/>
          </w:tcPr>
          <w:p w:rsidRPr="00C84427" w:rsidR="0076440E" w:rsidP="0094555B" w:rsidRDefault="0076440E" w14:paraId="31DB2C31" w14:textId="77777777">
            <w:pPr>
              <w:spacing w:after="0" w:line="240" w:lineRule="auto"/>
              <w:jc w:val="center"/>
              <w:rPr>
                <w:rFonts w:ascii="Times New Roman" w:hAnsi="Times New Roman" w:eastAsia="Times New Roman" w:cs="Times New Roman"/>
                <w:bCs/>
                <w:color w:val="000000"/>
                <w:sz w:val="20"/>
                <w:szCs w:val="20"/>
              </w:rPr>
            </w:pPr>
            <w:r w:rsidRPr="00C84427">
              <w:rPr>
                <w:rFonts w:ascii="Times New Roman" w:hAnsi="Times New Roman" w:eastAsia="Times New Roman" w:cs="Times New Roman"/>
                <w:bCs/>
                <w:color w:val="000000"/>
                <w:sz w:val="20"/>
                <w:szCs w:val="20"/>
              </w:rPr>
              <w:t>Burden per Response (</w:t>
            </w:r>
            <w:proofErr w:type="spellStart"/>
            <w:r w:rsidRPr="00C84427">
              <w:rPr>
                <w:rFonts w:ascii="Times New Roman" w:hAnsi="Times New Roman" w:eastAsia="Times New Roman" w:cs="Times New Roman"/>
                <w:bCs/>
                <w:color w:val="000000"/>
                <w:sz w:val="20"/>
                <w:szCs w:val="20"/>
              </w:rPr>
              <w:t>hr</w:t>
            </w:r>
            <w:proofErr w:type="spellEnd"/>
            <w:r w:rsidRPr="00C84427">
              <w:rPr>
                <w:rFonts w:ascii="Times New Roman" w:hAnsi="Times New Roman" w:eastAsia="Times New Roman" w:cs="Times New Roman"/>
                <w:bCs/>
                <w:color w:val="000000"/>
                <w:sz w:val="20"/>
                <w:szCs w:val="20"/>
              </w:rPr>
              <w:t>)</w:t>
            </w:r>
          </w:p>
        </w:tc>
        <w:tc>
          <w:tcPr>
            <w:tcW w:w="1710" w:type="dxa"/>
            <w:vMerge w:val="restart"/>
            <w:tcBorders>
              <w:top w:val="single" w:color="auto" w:sz="8" w:space="0"/>
              <w:left w:val="single" w:color="auto" w:sz="8" w:space="0"/>
              <w:bottom w:val="single" w:color="000000" w:sz="8" w:space="0"/>
              <w:right w:val="single" w:color="auto" w:sz="8" w:space="0"/>
            </w:tcBorders>
            <w:shd w:val="clear" w:color="auto" w:fill="F2F2F2" w:themeFill="background1" w:themeFillShade="F2"/>
            <w:vAlign w:val="center"/>
            <w:hideMark/>
          </w:tcPr>
          <w:p w:rsidRPr="00C84427" w:rsidR="0076440E" w:rsidP="0094555B" w:rsidRDefault="0076440E" w14:paraId="403B1570" w14:textId="77777777">
            <w:pPr>
              <w:spacing w:after="0" w:line="240" w:lineRule="auto"/>
              <w:jc w:val="center"/>
              <w:rPr>
                <w:rFonts w:ascii="Times New Roman" w:hAnsi="Times New Roman" w:eastAsia="Times New Roman" w:cs="Times New Roman"/>
                <w:bCs/>
                <w:color w:val="000000"/>
                <w:sz w:val="20"/>
                <w:szCs w:val="20"/>
              </w:rPr>
            </w:pPr>
            <w:r w:rsidRPr="00C84427">
              <w:rPr>
                <w:rFonts w:ascii="Times New Roman" w:hAnsi="Times New Roman" w:eastAsia="Times New Roman" w:cs="Times New Roman"/>
                <w:bCs/>
                <w:color w:val="000000"/>
                <w:sz w:val="20"/>
                <w:szCs w:val="20"/>
              </w:rPr>
              <w:t>Total Annual Time (</w:t>
            </w:r>
            <w:proofErr w:type="spellStart"/>
            <w:r w:rsidRPr="00C84427">
              <w:rPr>
                <w:rFonts w:ascii="Times New Roman" w:hAnsi="Times New Roman" w:eastAsia="Times New Roman" w:cs="Times New Roman"/>
                <w:bCs/>
                <w:color w:val="000000"/>
                <w:sz w:val="20"/>
                <w:szCs w:val="20"/>
              </w:rPr>
              <w:t>hr</w:t>
            </w:r>
            <w:proofErr w:type="spellEnd"/>
            <w:r w:rsidRPr="00C84427">
              <w:rPr>
                <w:rFonts w:ascii="Times New Roman" w:hAnsi="Times New Roman" w:eastAsia="Times New Roman" w:cs="Times New Roman"/>
                <w:bCs/>
                <w:color w:val="000000"/>
                <w:sz w:val="20"/>
                <w:szCs w:val="20"/>
              </w:rPr>
              <w:t>)</w:t>
            </w:r>
          </w:p>
        </w:tc>
        <w:tc>
          <w:tcPr>
            <w:tcW w:w="1260" w:type="dxa"/>
            <w:vMerge w:val="restart"/>
            <w:tcBorders>
              <w:top w:val="single" w:color="auto" w:sz="8" w:space="0"/>
              <w:left w:val="single" w:color="auto" w:sz="8" w:space="0"/>
              <w:bottom w:val="single" w:color="000000" w:sz="8" w:space="0"/>
              <w:right w:val="single" w:color="auto" w:sz="8" w:space="0"/>
            </w:tcBorders>
            <w:shd w:val="clear" w:color="auto" w:fill="F2F2F2" w:themeFill="background1" w:themeFillShade="F2"/>
            <w:vAlign w:val="center"/>
            <w:hideMark/>
          </w:tcPr>
          <w:p w:rsidRPr="00C84427" w:rsidR="0076440E" w:rsidP="0094555B" w:rsidRDefault="0076440E" w14:paraId="35B24806" w14:textId="77777777">
            <w:pPr>
              <w:spacing w:after="0" w:line="240" w:lineRule="auto"/>
              <w:jc w:val="center"/>
              <w:rPr>
                <w:rFonts w:ascii="Times New Roman" w:hAnsi="Times New Roman" w:eastAsia="Times New Roman" w:cs="Times New Roman"/>
                <w:bCs/>
                <w:color w:val="000000"/>
                <w:sz w:val="20"/>
                <w:szCs w:val="20"/>
              </w:rPr>
            </w:pPr>
            <w:r w:rsidRPr="00C84427">
              <w:rPr>
                <w:rFonts w:ascii="Times New Roman" w:hAnsi="Times New Roman" w:eastAsia="Times New Roman" w:cs="Times New Roman"/>
                <w:bCs/>
                <w:color w:val="000000"/>
                <w:sz w:val="20"/>
                <w:szCs w:val="20"/>
              </w:rPr>
              <w:t>Labor Rate ($/</w:t>
            </w:r>
            <w:proofErr w:type="spellStart"/>
            <w:r w:rsidRPr="00C84427">
              <w:rPr>
                <w:rFonts w:ascii="Times New Roman" w:hAnsi="Times New Roman" w:eastAsia="Times New Roman" w:cs="Times New Roman"/>
                <w:bCs/>
                <w:color w:val="000000"/>
                <w:sz w:val="20"/>
                <w:szCs w:val="20"/>
              </w:rPr>
              <w:t>hr</w:t>
            </w:r>
            <w:proofErr w:type="spellEnd"/>
            <w:r w:rsidRPr="00C84427">
              <w:rPr>
                <w:rFonts w:ascii="Times New Roman" w:hAnsi="Times New Roman" w:eastAsia="Times New Roman" w:cs="Times New Roman"/>
                <w:bCs/>
                <w:color w:val="000000"/>
                <w:sz w:val="20"/>
                <w:szCs w:val="20"/>
              </w:rPr>
              <w:t>)</w:t>
            </w:r>
          </w:p>
        </w:tc>
        <w:tc>
          <w:tcPr>
            <w:tcW w:w="2160" w:type="dxa"/>
            <w:vMerge w:val="restart"/>
            <w:tcBorders>
              <w:top w:val="single" w:color="auto" w:sz="8" w:space="0"/>
              <w:left w:val="single" w:color="auto" w:sz="8" w:space="0"/>
              <w:bottom w:val="single" w:color="000000" w:sz="8" w:space="0"/>
              <w:right w:val="single" w:color="auto" w:sz="8" w:space="0"/>
            </w:tcBorders>
            <w:shd w:val="clear" w:color="auto" w:fill="F2F2F2" w:themeFill="background1" w:themeFillShade="F2"/>
            <w:vAlign w:val="center"/>
            <w:hideMark/>
          </w:tcPr>
          <w:p w:rsidRPr="00C84427" w:rsidR="0076440E" w:rsidP="0094555B" w:rsidRDefault="0076440E" w14:paraId="1381DBF5" w14:textId="77777777">
            <w:pPr>
              <w:spacing w:after="0" w:line="240" w:lineRule="auto"/>
              <w:jc w:val="center"/>
              <w:rPr>
                <w:rFonts w:ascii="Times New Roman" w:hAnsi="Times New Roman" w:eastAsia="Times New Roman" w:cs="Times New Roman"/>
                <w:bCs/>
                <w:color w:val="000000"/>
                <w:sz w:val="20"/>
                <w:szCs w:val="20"/>
              </w:rPr>
            </w:pPr>
            <w:r w:rsidRPr="00C84427">
              <w:rPr>
                <w:rFonts w:ascii="Times New Roman" w:hAnsi="Times New Roman" w:eastAsia="Times New Roman" w:cs="Times New Roman"/>
                <w:bCs/>
                <w:color w:val="000000"/>
                <w:sz w:val="20"/>
                <w:szCs w:val="20"/>
              </w:rPr>
              <w:t>Total Annual Cost ($)</w:t>
            </w:r>
          </w:p>
        </w:tc>
      </w:tr>
      <w:tr w:rsidRPr="0094555B" w:rsidR="007E2D4C" w:rsidTr="00D553E9" w14:paraId="620AFE93" w14:textId="77777777">
        <w:trPr>
          <w:trHeight w:val="450"/>
        </w:trPr>
        <w:tc>
          <w:tcPr>
            <w:tcW w:w="3050" w:type="dxa"/>
            <w:vMerge/>
            <w:tcBorders>
              <w:top w:val="single" w:color="auto" w:sz="8" w:space="0"/>
              <w:left w:val="single" w:color="auto" w:sz="8" w:space="0"/>
              <w:bottom w:val="single" w:color="000000" w:sz="8" w:space="0"/>
              <w:right w:val="single" w:color="auto" w:sz="8" w:space="0"/>
            </w:tcBorders>
            <w:shd w:val="clear" w:color="auto" w:fill="F2F2F2" w:themeFill="background1" w:themeFillShade="F2"/>
            <w:vAlign w:val="center"/>
            <w:hideMark/>
          </w:tcPr>
          <w:p w:rsidRPr="0036140B" w:rsidR="0076440E" w:rsidP="0094555B" w:rsidRDefault="0076440E" w14:paraId="6991D167" w14:textId="77777777">
            <w:pPr>
              <w:spacing w:after="0" w:line="240" w:lineRule="auto"/>
              <w:rPr>
                <w:rFonts w:ascii="Times New Roman" w:hAnsi="Times New Roman" w:eastAsia="Times New Roman" w:cs="Times New Roman"/>
                <w:b/>
                <w:bCs/>
                <w:color w:val="000000"/>
                <w:sz w:val="20"/>
                <w:szCs w:val="20"/>
              </w:rPr>
            </w:pPr>
          </w:p>
        </w:tc>
        <w:tc>
          <w:tcPr>
            <w:tcW w:w="1710" w:type="dxa"/>
            <w:vMerge/>
            <w:tcBorders>
              <w:top w:val="single" w:color="auto" w:sz="8" w:space="0"/>
              <w:left w:val="single" w:color="auto" w:sz="8" w:space="0"/>
              <w:bottom w:val="single" w:color="000000" w:sz="8" w:space="0"/>
              <w:right w:val="single" w:color="auto" w:sz="8" w:space="0"/>
            </w:tcBorders>
            <w:shd w:val="clear" w:color="auto" w:fill="F2F2F2" w:themeFill="background1" w:themeFillShade="F2"/>
            <w:vAlign w:val="center"/>
            <w:hideMark/>
          </w:tcPr>
          <w:p w:rsidRPr="0036140B" w:rsidR="0076440E" w:rsidP="0094555B" w:rsidRDefault="0076440E" w14:paraId="1A1B3B0E" w14:textId="77777777">
            <w:pPr>
              <w:spacing w:after="0" w:line="240" w:lineRule="auto"/>
              <w:rPr>
                <w:rFonts w:ascii="Times New Roman" w:hAnsi="Times New Roman" w:eastAsia="Times New Roman" w:cs="Times New Roman"/>
                <w:b/>
                <w:bCs/>
                <w:color w:val="000000"/>
                <w:sz w:val="20"/>
                <w:szCs w:val="20"/>
              </w:rPr>
            </w:pPr>
          </w:p>
        </w:tc>
        <w:tc>
          <w:tcPr>
            <w:tcW w:w="1800" w:type="dxa"/>
            <w:vMerge/>
            <w:tcBorders>
              <w:top w:val="single" w:color="auto" w:sz="8" w:space="0"/>
              <w:left w:val="single" w:color="auto" w:sz="8" w:space="0"/>
              <w:bottom w:val="single" w:color="000000" w:sz="8" w:space="0"/>
              <w:right w:val="single" w:color="auto" w:sz="8" w:space="0"/>
            </w:tcBorders>
            <w:shd w:val="clear" w:color="auto" w:fill="F2F2F2" w:themeFill="background1" w:themeFillShade="F2"/>
            <w:vAlign w:val="center"/>
            <w:hideMark/>
          </w:tcPr>
          <w:p w:rsidRPr="0036140B" w:rsidR="0076440E" w:rsidP="0094555B" w:rsidRDefault="0076440E" w14:paraId="21B54B60" w14:textId="77777777">
            <w:pPr>
              <w:spacing w:after="0" w:line="240" w:lineRule="auto"/>
              <w:rPr>
                <w:rFonts w:ascii="Times New Roman" w:hAnsi="Times New Roman" w:eastAsia="Times New Roman" w:cs="Times New Roman"/>
                <w:b/>
                <w:bCs/>
                <w:color w:val="000000"/>
                <w:sz w:val="20"/>
                <w:szCs w:val="20"/>
              </w:rPr>
            </w:pPr>
          </w:p>
        </w:tc>
        <w:tc>
          <w:tcPr>
            <w:tcW w:w="1530" w:type="dxa"/>
            <w:vMerge/>
            <w:tcBorders>
              <w:top w:val="single" w:color="auto" w:sz="8" w:space="0"/>
              <w:left w:val="single" w:color="auto" w:sz="8" w:space="0"/>
              <w:bottom w:val="single" w:color="000000" w:sz="8" w:space="0"/>
              <w:right w:val="single" w:color="auto" w:sz="8" w:space="0"/>
            </w:tcBorders>
            <w:shd w:val="clear" w:color="auto" w:fill="F2F2F2" w:themeFill="background1" w:themeFillShade="F2"/>
            <w:vAlign w:val="center"/>
            <w:hideMark/>
          </w:tcPr>
          <w:p w:rsidRPr="0036140B" w:rsidR="0076440E" w:rsidP="0094555B" w:rsidRDefault="0076440E" w14:paraId="431959B2" w14:textId="77777777">
            <w:pPr>
              <w:spacing w:after="0" w:line="240" w:lineRule="auto"/>
              <w:rPr>
                <w:rFonts w:ascii="Times New Roman" w:hAnsi="Times New Roman" w:eastAsia="Times New Roman" w:cs="Times New Roman"/>
                <w:b/>
                <w:bCs/>
                <w:color w:val="000000"/>
                <w:sz w:val="20"/>
                <w:szCs w:val="20"/>
              </w:rPr>
            </w:pPr>
          </w:p>
        </w:tc>
        <w:tc>
          <w:tcPr>
            <w:tcW w:w="1710" w:type="dxa"/>
            <w:vMerge/>
            <w:tcBorders>
              <w:top w:val="single" w:color="auto" w:sz="8" w:space="0"/>
              <w:left w:val="single" w:color="auto" w:sz="8" w:space="0"/>
              <w:bottom w:val="single" w:color="000000" w:sz="8" w:space="0"/>
              <w:right w:val="single" w:color="auto" w:sz="8" w:space="0"/>
            </w:tcBorders>
            <w:shd w:val="clear" w:color="auto" w:fill="F2F2F2" w:themeFill="background1" w:themeFillShade="F2"/>
            <w:vAlign w:val="center"/>
            <w:hideMark/>
          </w:tcPr>
          <w:p w:rsidRPr="0036140B" w:rsidR="0076440E" w:rsidP="0094555B" w:rsidRDefault="0076440E" w14:paraId="3E92E7DE" w14:textId="77777777">
            <w:pPr>
              <w:spacing w:after="0" w:line="240" w:lineRule="auto"/>
              <w:rPr>
                <w:rFonts w:ascii="Times New Roman" w:hAnsi="Times New Roman" w:eastAsia="Times New Roman" w:cs="Times New Roman"/>
                <w:b/>
                <w:bCs/>
                <w:color w:val="000000"/>
                <w:sz w:val="20"/>
                <w:szCs w:val="20"/>
              </w:rPr>
            </w:pPr>
          </w:p>
        </w:tc>
        <w:tc>
          <w:tcPr>
            <w:tcW w:w="1260" w:type="dxa"/>
            <w:vMerge/>
            <w:tcBorders>
              <w:top w:val="single" w:color="auto" w:sz="8" w:space="0"/>
              <w:left w:val="single" w:color="auto" w:sz="8" w:space="0"/>
              <w:bottom w:val="single" w:color="000000" w:sz="8" w:space="0"/>
              <w:right w:val="single" w:color="auto" w:sz="8" w:space="0"/>
            </w:tcBorders>
            <w:shd w:val="clear" w:color="auto" w:fill="F2F2F2" w:themeFill="background1" w:themeFillShade="F2"/>
            <w:vAlign w:val="center"/>
            <w:hideMark/>
          </w:tcPr>
          <w:p w:rsidRPr="0036140B" w:rsidR="0076440E" w:rsidP="0094555B" w:rsidRDefault="0076440E" w14:paraId="24D60033" w14:textId="77777777">
            <w:pPr>
              <w:spacing w:after="0" w:line="240" w:lineRule="auto"/>
              <w:rPr>
                <w:rFonts w:ascii="Times New Roman" w:hAnsi="Times New Roman" w:eastAsia="Times New Roman" w:cs="Times New Roman"/>
                <w:b/>
                <w:bCs/>
                <w:color w:val="000000"/>
                <w:sz w:val="20"/>
                <w:szCs w:val="20"/>
              </w:rPr>
            </w:pPr>
          </w:p>
        </w:tc>
        <w:tc>
          <w:tcPr>
            <w:tcW w:w="2160" w:type="dxa"/>
            <w:vMerge/>
            <w:tcBorders>
              <w:top w:val="single" w:color="auto" w:sz="8" w:space="0"/>
              <w:left w:val="single" w:color="auto" w:sz="8" w:space="0"/>
              <w:bottom w:val="single" w:color="000000" w:sz="8" w:space="0"/>
              <w:right w:val="single" w:color="auto" w:sz="8" w:space="0"/>
            </w:tcBorders>
            <w:shd w:val="clear" w:color="auto" w:fill="F2F2F2" w:themeFill="background1" w:themeFillShade="F2"/>
            <w:vAlign w:val="center"/>
            <w:hideMark/>
          </w:tcPr>
          <w:p w:rsidRPr="00FD7540" w:rsidR="0076440E" w:rsidP="0094555B" w:rsidRDefault="0076440E" w14:paraId="40D2621E" w14:textId="77777777">
            <w:pPr>
              <w:spacing w:after="0" w:line="240" w:lineRule="auto"/>
              <w:rPr>
                <w:rFonts w:ascii="Times New Roman" w:hAnsi="Times New Roman" w:eastAsia="Times New Roman" w:cs="Times New Roman"/>
                <w:b/>
                <w:bCs/>
                <w:color w:val="000000"/>
                <w:sz w:val="20"/>
                <w:szCs w:val="20"/>
                <w:highlight w:val="yellow"/>
              </w:rPr>
            </w:pPr>
          </w:p>
        </w:tc>
      </w:tr>
      <w:tr w:rsidRPr="00C84427" w:rsidR="003872FD" w:rsidTr="00D553E9" w14:paraId="23C7B959" w14:textId="77777777">
        <w:trPr>
          <w:trHeight w:val="300"/>
        </w:trPr>
        <w:tc>
          <w:tcPr>
            <w:tcW w:w="3050" w:type="dxa"/>
            <w:tcBorders>
              <w:top w:val="nil"/>
              <w:left w:val="single" w:color="auto" w:sz="4" w:space="0"/>
              <w:bottom w:val="single" w:color="auto" w:sz="4" w:space="0"/>
              <w:right w:val="single" w:color="auto" w:sz="4" w:space="0"/>
            </w:tcBorders>
            <w:shd w:val="clear" w:color="auto" w:fill="auto"/>
            <w:noWrap/>
            <w:vAlign w:val="bottom"/>
            <w:hideMark/>
          </w:tcPr>
          <w:p w:rsidRPr="00C84427" w:rsidR="0076440E" w:rsidP="0094555B" w:rsidRDefault="0076440E" w14:paraId="5AD539E6" w14:textId="77777777">
            <w:pPr>
              <w:spacing w:after="0" w:line="240" w:lineRule="auto"/>
              <w:rPr>
                <w:rFonts w:ascii="Times New Roman" w:hAnsi="Times New Roman" w:eastAsia="Times New Roman" w:cs="Times New Roman"/>
                <w:color w:val="000000"/>
                <w:sz w:val="20"/>
                <w:szCs w:val="20"/>
              </w:rPr>
            </w:pPr>
            <w:r w:rsidRPr="00C84427">
              <w:rPr>
                <w:rFonts w:ascii="Times New Roman" w:hAnsi="Times New Roman" w:eastAsia="Times New Roman" w:cs="Times New Roman"/>
                <w:color w:val="000000"/>
                <w:sz w:val="20"/>
                <w:szCs w:val="20"/>
              </w:rPr>
              <w:t>Reporting</w:t>
            </w:r>
          </w:p>
        </w:tc>
        <w:tc>
          <w:tcPr>
            <w:tcW w:w="1710" w:type="dxa"/>
            <w:tcBorders>
              <w:top w:val="nil"/>
              <w:left w:val="nil"/>
              <w:bottom w:val="single" w:color="auto" w:sz="4" w:space="0"/>
              <w:right w:val="single" w:color="auto" w:sz="4" w:space="0"/>
            </w:tcBorders>
            <w:shd w:val="clear" w:color="auto" w:fill="auto"/>
            <w:noWrap/>
            <w:vAlign w:val="center"/>
            <w:hideMark/>
          </w:tcPr>
          <w:p w:rsidRPr="00C84427" w:rsidR="0076440E" w:rsidP="0094555B" w:rsidRDefault="0076440E" w14:paraId="411B06FE" w14:textId="77777777">
            <w:pPr>
              <w:spacing w:after="0" w:line="240" w:lineRule="auto"/>
              <w:jc w:val="center"/>
              <w:rPr>
                <w:rFonts w:ascii="Times New Roman" w:hAnsi="Times New Roman" w:eastAsia="Times New Roman" w:cs="Times New Roman"/>
                <w:color w:val="000000"/>
                <w:sz w:val="20"/>
                <w:szCs w:val="20"/>
              </w:rPr>
            </w:pPr>
            <w:r w:rsidRPr="00C84427">
              <w:rPr>
                <w:rFonts w:ascii="Times New Roman" w:hAnsi="Times New Roman" w:eastAsia="Times New Roman" w:cs="Times New Roman"/>
                <w:color w:val="000000"/>
                <w:sz w:val="20"/>
                <w:szCs w:val="20"/>
              </w:rPr>
              <w:t>568</w:t>
            </w:r>
          </w:p>
        </w:tc>
        <w:tc>
          <w:tcPr>
            <w:tcW w:w="1800" w:type="dxa"/>
            <w:tcBorders>
              <w:top w:val="nil"/>
              <w:left w:val="nil"/>
              <w:bottom w:val="single" w:color="auto" w:sz="4" w:space="0"/>
              <w:right w:val="single" w:color="auto" w:sz="4" w:space="0"/>
            </w:tcBorders>
            <w:shd w:val="clear" w:color="auto" w:fill="auto"/>
            <w:noWrap/>
            <w:vAlign w:val="center"/>
            <w:hideMark/>
          </w:tcPr>
          <w:p w:rsidRPr="00C84427" w:rsidR="0076440E" w:rsidP="0094555B" w:rsidRDefault="0076440E" w14:paraId="44E82154" w14:textId="77777777">
            <w:pPr>
              <w:spacing w:after="0" w:line="240" w:lineRule="auto"/>
              <w:jc w:val="center"/>
              <w:rPr>
                <w:rFonts w:ascii="Times New Roman" w:hAnsi="Times New Roman" w:eastAsia="Times New Roman" w:cs="Times New Roman"/>
                <w:color w:val="000000"/>
                <w:sz w:val="20"/>
                <w:szCs w:val="20"/>
              </w:rPr>
            </w:pPr>
            <w:r w:rsidRPr="00C84427">
              <w:rPr>
                <w:rFonts w:ascii="Times New Roman" w:hAnsi="Times New Roman" w:eastAsia="Times New Roman" w:cs="Times New Roman"/>
                <w:color w:val="000000"/>
                <w:sz w:val="20"/>
                <w:szCs w:val="20"/>
              </w:rPr>
              <w:t>331,513</w:t>
            </w:r>
          </w:p>
        </w:tc>
        <w:tc>
          <w:tcPr>
            <w:tcW w:w="1530" w:type="dxa"/>
            <w:tcBorders>
              <w:top w:val="nil"/>
              <w:left w:val="nil"/>
              <w:bottom w:val="single" w:color="auto" w:sz="4" w:space="0"/>
              <w:right w:val="single" w:color="auto" w:sz="4" w:space="0"/>
            </w:tcBorders>
            <w:shd w:val="clear" w:color="auto" w:fill="auto"/>
            <w:vAlign w:val="center"/>
            <w:hideMark/>
          </w:tcPr>
          <w:p w:rsidRPr="00C84427" w:rsidR="0076440E" w:rsidP="0094555B" w:rsidRDefault="0076440E" w14:paraId="1853724D" w14:textId="77777777">
            <w:pPr>
              <w:spacing w:after="0" w:line="240" w:lineRule="auto"/>
              <w:jc w:val="center"/>
              <w:rPr>
                <w:rFonts w:ascii="Times New Roman" w:hAnsi="Times New Roman" w:eastAsia="Times New Roman" w:cs="Times New Roman"/>
                <w:color w:val="000000"/>
                <w:sz w:val="20"/>
                <w:szCs w:val="20"/>
              </w:rPr>
            </w:pPr>
            <w:r w:rsidRPr="00C84427">
              <w:rPr>
                <w:rFonts w:ascii="Times New Roman" w:hAnsi="Times New Roman" w:eastAsia="Times New Roman" w:cs="Times New Roman"/>
                <w:color w:val="000000"/>
                <w:sz w:val="20"/>
                <w:szCs w:val="20"/>
              </w:rPr>
              <w:t>Varies</w:t>
            </w:r>
          </w:p>
        </w:tc>
        <w:tc>
          <w:tcPr>
            <w:tcW w:w="1710" w:type="dxa"/>
            <w:tcBorders>
              <w:top w:val="nil"/>
              <w:left w:val="nil"/>
              <w:bottom w:val="single" w:color="auto" w:sz="4" w:space="0"/>
              <w:right w:val="single" w:color="auto" w:sz="4" w:space="0"/>
            </w:tcBorders>
            <w:shd w:val="clear" w:color="auto" w:fill="auto"/>
            <w:noWrap/>
            <w:vAlign w:val="center"/>
            <w:hideMark/>
          </w:tcPr>
          <w:p w:rsidRPr="00C84427" w:rsidR="0076440E" w:rsidP="0094555B" w:rsidRDefault="0076440E" w14:paraId="5454C532" w14:textId="77777777">
            <w:pPr>
              <w:spacing w:after="0" w:line="240" w:lineRule="auto"/>
              <w:jc w:val="center"/>
              <w:rPr>
                <w:rFonts w:ascii="Times New Roman" w:hAnsi="Times New Roman" w:eastAsia="Times New Roman" w:cs="Times New Roman"/>
                <w:color w:val="000000"/>
                <w:sz w:val="20"/>
                <w:szCs w:val="20"/>
              </w:rPr>
            </w:pPr>
            <w:r w:rsidRPr="00C84427">
              <w:rPr>
                <w:rFonts w:ascii="Times New Roman" w:hAnsi="Times New Roman" w:eastAsia="Times New Roman" w:cs="Times New Roman"/>
                <w:color w:val="000000"/>
                <w:sz w:val="20"/>
                <w:szCs w:val="20"/>
              </w:rPr>
              <w:t>82,015</w:t>
            </w:r>
          </w:p>
        </w:tc>
        <w:tc>
          <w:tcPr>
            <w:tcW w:w="1260" w:type="dxa"/>
            <w:tcBorders>
              <w:top w:val="nil"/>
              <w:left w:val="nil"/>
              <w:bottom w:val="single" w:color="auto" w:sz="4" w:space="0"/>
              <w:right w:val="single" w:color="auto" w:sz="4" w:space="0"/>
            </w:tcBorders>
            <w:shd w:val="clear" w:color="auto" w:fill="auto"/>
            <w:vAlign w:val="center"/>
            <w:hideMark/>
          </w:tcPr>
          <w:p w:rsidRPr="00C84427" w:rsidR="0076440E" w:rsidP="0094555B" w:rsidRDefault="0076440E" w14:paraId="531DE51B" w14:textId="77777777">
            <w:pPr>
              <w:spacing w:after="0" w:line="240" w:lineRule="auto"/>
              <w:jc w:val="center"/>
              <w:rPr>
                <w:rFonts w:ascii="Times New Roman" w:hAnsi="Times New Roman" w:eastAsia="Times New Roman" w:cs="Times New Roman"/>
                <w:color w:val="000000"/>
                <w:sz w:val="20"/>
                <w:szCs w:val="20"/>
              </w:rPr>
            </w:pPr>
            <w:r w:rsidRPr="00C84427">
              <w:rPr>
                <w:rFonts w:ascii="Times New Roman" w:hAnsi="Times New Roman" w:eastAsia="Times New Roman" w:cs="Times New Roman"/>
                <w:color w:val="000000"/>
                <w:sz w:val="20"/>
                <w:szCs w:val="20"/>
              </w:rPr>
              <w:t>Varies</w:t>
            </w:r>
          </w:p>
        </w:tc>
        <w:tc>
          <w:tcPr>
            <w:tcW w:w="2160" w:type="dxa"/>
            <w:tcBorders>
              <w:top w:val="nil"/>
              <w:left w:val="nil"/>
              <w:bottom w:val="single" w:color="auto" w:sz="4" w:space="0"/>
              <w:right w:val="single" w:color="auto" w:sz="4" w:space="0"/>
            </w:tcBorders>
            <w:shd w:val="clear" w:color="auto" w:fill="auto"/>
            <w:noWrap/>
            <w:vAlign w:val="center"/>
            <w:hideMark/>
          </w:tcPr>
          <w:p w:rsidRPr="00C84427" w:rsidR="0076440E" w:rsidP="0094555B" w:rsidRDefault="0076440E" w14:paraId="3CEB23C3" w14:textId="4F84181E">
            <w:pPr>
              <w:spacing w:after="0" w:line="240" w:lineRule="auto"/>
              <w:jc w:val="center"/>
              <w:rPr>
                <w:rFonts w:ascii="Times New Roman" w:hAnsi="Times New Roman" w:eastAsia="Times New Roman" w:cs="Times New Roman"/>
                <w:color w:val="000000"/>
                <w:sz w:val="20"/>
                <w:szCs w:val="20"/>
              </w:rPr>
            </w:pPr>
            <w:r w:rsidRPr="00C84427">
              <w:rPr>
                <w:rFonts w:ascii="Times New Roman" w:hAnsi="Times New Roman" w:eastAsia="Times New Roman" w:cs="Times New Roman"/>
                <w:color w:val="000000"/>
                <w:sz w:val="20"/>
                <w:szCs w:val="20"/>
              </w:rPr>
              <w:t>6,</w:t>
            </w:r>
            <w:r w:rsidRPr="00C84427" w:rsidR="004118FB">
              <w:rPr>
                <w:rFonts w:ascii="Times New Roman" w:hAnsi="Times New Roman" w:eastAsia="Times New Roman" w:cs="Times New Roman"/>
                <w:color w:val="000000"/>
                <w:sz w:val="20"/>
                <w:szCs w:val="20"/>
              </w:rPr>
              <w:t>852,764</w:t>
            </w:r>
          </w:p>
        </w:tc>
      </w:tr>
      <w:tr w:rsidRPr="00C84427" w:rsidR="003872FD" w:rsidTr="00D553E9" w14:paraId="713DBAED" w14:textId="77777777">
        <w:trPr>
          <w:trHeight w:val="300"/>
        </w:trPr>
        <w:tc>
          <w:tcPr>
            <w:tcW w:w="305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C84427" w:rsidR="0076440E" w:rsidP="0094555B" w:rsidRDefault="007E2D4C" w14:paraId="401E4613" w14:textId="01F4CEE1">
            <w:pPr>
              <w:spacing w:after="0" w:line="240" w:lineRule="auto"/>
              <w:rPr>
                <w:rFonts w:ascii="Times New Roman" w:hAnsi="Times New Roman" w:eastAsia="Times New Roman" w:cs="Times New Roman"/>
                <w:color w:val="000000"/>
                <w:sz w:val="20"/>
                <w:szCs w:val="20"/>
              </w:rPr>
            </w:pPr>
            <w:r w:rsidRPr="00C84427">
              <w:rPr>
                <w:rFonts w:ascii="Times New Roman" w:hAnsi="Times New Roman" w:eastAsia="Times New Roman" w:cs="Times New Roman"/>
                <w:color w:val="000000"/>
                <w:sz w:val="20"/>
                <w:szCs w:val="20"/>
              </w:rPr>
              <w:t xml:space="preserve">Third Party </w:t>
            </w:r>
            <w:r w:rsidRPr="00C84427" w:rsidR="0076440E">
              <w:rPr>
                <w:rFonts w:ascii="Times New Roman" w:hAnsi="Times New Roman" w:eastAsia="Times New Roman" w:cs="Times New Roman"/>
                <w:color w:val="000000"/>
                <w:sz w:val="20"/>
                <w:szCs w:val="20"/>
              </w:rPr>
              <w:t>Disclosure</w:t>
            </w:r>
          </w:p>
        </w:tc>
        <w:tc>
          <w:tcPr>
            <w:tcW w:w="1710" w:type="dxa"/>
            <w:tcBorders>
              <w:top w:val="nil"/>
              <w:left w:val="nil"/>
              <w:bottom w:val="single" w:color="auto" w:sz="4" w:space="0"/>
              <w:right w:val="single" w:color="auto" w:sz="4" w:space="0"/>
            </w:tcBorders>
            <w:shd w:val="clear" w:color="auto" w:fill="auto"/>
            <w:noWrap/>
            <w:vAlign w:val="center"/>
            <w:hideMark/>
          </w:tcPr>
          <w:p w:rsidRPr="00C84427" w:rsidR="0076440E" w:rsidP="0094555B" w:rsidRDefault="0076440E" w14:paraId="64733053" w14:textId="77777777">
            <w:pPr>
              <w:spacing w:after="0" w:line="240" w:lineRule="auto"/>
              <w:jc w:val="center"/>
              <w:rPr>
                <w:rFonts w:ascii="Times New Roman" w:hAnsi="Times New Roman" w:eastAsia="Times New Roman" w:cs="Times New Roman"/>
                <w:color w:val="000000"/>
                <w:sz w:val="20"/>
                <w:szCs w:val="20"/>
              </w:rPr>
            </w:pPr>
            <w:r w:rsidRPr="00C84427">
              <w:rPr>
                <w:rFonts w:ascii="Times New Roman" w:hAnsi="Times New Roman" w:eastAsia="Times New Roman" w:cs="Times New Roman"/>
                <w:color w:val="000000"/>
                <w:sz w:val="20"/>
                <w:szCs w:val="20"/>
              </w:rPr>
              <w:t>568</w:t>
            </w:r>
          </w:p>
        </w:tc>
        <w:tc>
          <w:tcPr>
            <w:tcW w:w="1800" w:type="dxa"/>
            <w:tcBorders>
              <w:top w:val="nil"/>
              <w:left w:val="nil"/>
              <w:bottom w:val="single" w:color="auto" w:sz="4" w:space="0"/>
              <w:right w:val="single" w:color="auto" w:sz="4" w:space="0"/>
            </w:tcBorders>
            <w:shd w:val="clear" w:color="auto" w:fill="auto"/>
            <w:noWrap/>
            <w:vAlign w:val="center"/>
            <w:hideMark/>
          </w:tcPr>
          <w:p w:rsidRPr="00C84427" w:rsidR="0076440E" w:rsidP="0094555B" w:rsidRDefault="00BA57C4" w14:paraId="3211CFCC" w14:textId="5CF71BF2">
            <w:pPr>
              <w:spacing w:after="0" w:line="240" w:lineRule="auto"/>
              <w:jc w:val="center"/>
              <w:rPr>
                <w:rFonts w:ascii="Times New Roman" w:hAnsi="Times New Roman" w:eastAsia="Times New Roman" w:cs="Times New Roman"/>
                <w:color w:val="000000"/>
                <w:sz w:val="20"/>
                <w:szCs w:val="20"/>
              </w:rPr>
            </w:pPr>
            <w:r w:rsidRPr="00C84427">
              <w:rPr>
                <w:rFonts w:ascii="Times New Roman" w:hAnsi="Times New Roman" w:eastAsia="Times New Roman" w:cs="Times New Roman"/>
                <w:color w:val="000000"/>
                <w:sz w:val="20"/>
                <w:szCs w:val="20"/>
              </w:rPr>
              <w:t>7,313,355</w:t>
            </w:r>
          </w:p>
        </w:tc>
        <w:tc>
          <w:tcPr>
            <w:tcW w:w="1530" w:type="dxa"/>
            <w:tcBorders>
              <w:top w:val="nil"/>
              <w:left w:val="nil"/>
              <w:bottom w:val="single" w:color="auto" w:sz="4" w:space="0"/>
              <w:right w:val="single" w:color="auto" w:sz="4" w:space="0"/>
            </w:tcBorders>
            <w:shd w:val="clear" w:color="auto" w:fill="auto"/>
            <w:vAlign w:val="center"/>
            <w:hideMark/>
          </w:tcPr>
          <w:p w:rsidRPr="00C84427" w:rsidR="0076440E" w:rsidP="0094555B" w:rsidRDefault="0076440E" w14:paraId="705D914F" w14:textId="77777777">
            <w:pPr>
              <w:spacing w:after="0" w:line="240" w:lineRule="auto"/>
              <w:jc w:val="center"/>
              <w:rPr>
                <w:rFonts w:ascii="Times New Roman" w:hAnsi="Times New Roman" w:eastAsia="Times New Roman" w:cs="Times New Roman"/>
                <w:color w:val="000000"/>
                <w:sz w:val="20"/>
                <w:szCs w:val="20"/>
              </w:rPr>
            </w:pPr>
            <w:r w:rsidRPr="00C84427">
              <w:rPr>
                <w:rFonts w:ascii="Times New Roman" w:hAnsi="Times New Roman" w:eastAsia="Times New Roman" w:cs="Times New Roman"/>
                <w:color w:val="000000"/>
                <w:sz w:val="20"/>
                <w:szCs w:val="20"/>
              </w:rPr>
              <w:t>Varies</w:t>
            </w:r>
          </w:p>
        </w:tc>
        <w:tc>
          <w:tcPr>
            <w:tcW w:w="1710" w:type="dxa"/>
            <w:tcBorders>
              <w:top w:val="nil"/>
              <w:left w:val="nil"/>
              <w:bottom w:val="single" w:color="auto" w:sz="4" w:space="0"/>
              <w:right w:val="single" w:color="auto" w:sz="4" w:space="0"/>
            </w:tcBorders>
            <w:shd w:val="clear" w:color="auto" w:fill="auto"/>
            <w:noWrap/>
            <w:vAlign w:val="center"/>
            <w:hideMark/>
          </w:tcPr>
          <w:p w:rsidRPr="00C84427" w:rsidR="0076440E" w:rsidP="0094555B" w:rsidRDefault="00BA57C4" w14:paraId="509C797C" w14:textId="0EF806FB">
            <w:pPr>
              <w:spacing w:after="0" w:line="240" w:lineRule="auto"/>
              <w:jc w:val="center"/>
              <w:rPr>
                <w:rFonts w:ascii="Times New Roman" w:hAnsi="Times New Roman" w:eastAsia="Times New Roman" w:cs="Times New Roman"/>
                <w:color w:val="000000"/>
                <w:sz w:val="20"/>
                <w:szCs w:val="20"/>
              </w:rPr>
            </w:pPr>
            <w:r w:rsidRPr="00C84427">
              <w:rPr>
                <w:rFonts w:ascii="Times New Roman" w:hAnsi="Times New Roman" w:eastAsia="Times New Roman" w:cs="Times New Roman"/>
                <w:color w:val="000000"/>
                <w:sz w:val="20"/>
                <w:szCs w:val="20"/>
              </w:rPr>
              <w:t>878,349</w:t>
            </w:r>
          </w:p>
        </w:tc>
        <w:tc>
          <w:tcPr>
            <w:tcW w:w="1260" w:type="dxa"/>
            <w:tcBorders>
              <w:top w:val="nil"/>
              <w:left w:val="nil"/>
              <w:bottom w:val="single" w:color="auto" w:sz="4" w:space="0"/>
              <w:right w:val="single" w:color="auto" w:sz="4" w:space="0"/>
            </w:tcBorders>
            <w:shd w:val="clear" w:color="auto" w:fill="auto"/>
            <w:vAlign w:val="center"/>
            <w:hideMark/>
          </w:tcPr>
          <w:p w:rsidRPr="00C84427" w:rsidR="0076440E" w:rsidP="0094555B" w:rsidRDefault="0076440E" w14:paraId="1DED7892" w14:textId="77777777">
            <w:pPr>
              <w:spacing w:after="0" w:line="240" w:lineRule="auto"/>
              <w:jc w:val="center"/>
              <w:rPr>
                <w:rFonts w:ascii="Times New Roman" w:hAnsi="Times New Roman" w:eastAsia="Times New Roman" w:cs="Times New Roman"/>
                <w:color w:val="000000"/>
                <w:sz w:val="20"/>
                <w:szCs w:val="20"/>
              </w:rPr>
            </w:pPr>
            <w:r w:rsidRPr="00C84427">
              <w:rPr>
                <w:rFonts w:ascii="Times New Roman" w:hAnsi="Times New Roman" w:eastAsia="Times New Roman" w:cs="Times New Roman"/>
                <w:color w:val="000000"/>
                <w:sz w:val="20"/>
                <w:szCs w:val="20"/>
              </w:rPr>
              <w:t>Varies</w:t>
            </w:r>
          </w:p>
        </w:tc>
        <w:tc>
          <w:tcPr>
            <w:tcW w:w="2160" w:type="dxa"/>
            <w:tcBorders>
              <w:top w:val="nil"/>
              <w:left w:val="nil"/>
              <w:bottom w:val="single" w:color="auto" w:sz="4" w:space="0"/>
              <w:right w:val="single" w:color="auto" w:sz="4" w:space="0"/>
            </w:tcBorders>
            <w:shd w:val="clear" w:color="auto" w:fill="auto"/>
            <w:noWrap/>
            <w:vAlign w:val="center"/>
            <w:hideMark/>
          </w:tcPr>
          <w:p w:rsidRPr="00C84427" w:rsidR="0076440E" w:rsidP="0094555B" w:rsidRDefault="004118FB" w14:paraId="3A372972" w14:textId="199E0C9E">
            <w:pPr>
              <w:spacing w:after="0" w:line="240" w:lineRule="auto"/>
              <w:jc w:val="center"/>
              <w:rPr>
                <w:rFonts w:ascii="Times New Roman" w:hAnsi="Times New Roman" w:eastAsia="Times New Roman" w:cs="Times New Roman"/>
                <w:color w:val="000000"/>
                <w:sz w:val="20"/>
                <w:szCs w:val="20"/>
              </w:rPr>
            </w:pPr>
            <w:r w:rsidRPr="00C84427">
              <w:rPr>
                <w:rFonts w:ascii="Times New Roman" w:hAnsi="Times New Roman" w:eastAsia="Times New Roman" w:cs="Times New Roman"/>
                <w:color w:val="000000"/>
                <w:sz w:val="20"/>
                <w:szCs w:val="20"/>
              </w:rPr>
              <w:t>43,071,773</w:t>
            </w:r>
          </w:p>
        </w:tc>
      </w:tr>
      <w:tr w:rsidRPr="00C84427" w:rsidR="003872FD" w:rsidTr="00D553E9" w14:paraId="4ECA1A78" w14:textId="77777777">
        <w:trPr>
          <w:trHeight w:val="300"/>
        </w:trPr>
        <w:tc>
          <w:tcPr>
            <w:tcW w:w="305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C84427" w:rsidR="0076440E" w:rsidP="0094555B" w:rsidRDefault="0076440E" w14:paraId="6838FEFF" w14:textId="77777777">
            <w:pPr>
              <w:spacing w:after="0" w:line="240" w:lineRule="auto"/>
              <w:rPr>
                <w:rFonts w:ascii="Times New Roman" w:hAnsi="Times New Roman" w:eastAsia="Times New Roman" w:cs="Times New Roman"/>
                <w:color w:val="000000"/>
                <w:sz w:val="20"/>
                <w:szCs w:val="20"/>
              </w:rPr>
            </w:pPr>
            <w:r w:rsidRPr="00C84427">
              <w:rPr>
                <w:rFonts w:ascii="Times New Roman" w:hAnsi="Times New Roman" w:eastAsia="Times New Roman" w:cs="Times New Roman"/>
                <w:color w:val="000000"/>
                <w:sz w:val="20"/>
                <w:szCs w:val="20"/>
              </w:rPr>
              <w:t>Recordkeeping</w:t>
            </w:r>
          </w:p>
        </w:tc>
        <w:tc>
          <w:tcPr>
            <w:tcW w:w="1710" w:type="dxa"/>
            <w:tcBorders>
              <w:top w:val="nil"/>
              <w:left w:val="nil"/>
              <w:bottom w:val="single" w:color="auto" w:sz="4" w:space="0"/>
              <w:right w:val="single" w:color="auto" w:sz="4" w:space="0"/>
            </w:tcBorders>
            <w:shd w:val="clear" w:color="auto" w:fill="auto"/>
            <w:noWrap/>
            <w:vAlign w:val="center"/>
            <w:hideMark/>
          </w:tcPr>
          <w:p w:rsidRPr="00C84427" w:rsidR="0076440E" w:rsidP="0094555B" w:rsidRDefault="0076440E" w14:paraId="6D9B61DD" w14:textId="77777777">
            <w:pPr>
              <w:spacing w:after="0" w:line="240" w:lineRule="auto"/>
              <w:jc w:val="center"/>
              <w:rPr>
                <w:rFonts w:ascii="Times New Roman" w:hAnsi="Times New Roman" w:eastAsia="Times New Roman" w:cs="Times New Roman"/>
                <w:color w:val="000000"/>
                <w:sz w:val="20"/>
                <w:szCs w:val="20"/>
              </w:rPr>
            </w:pPr>
            <w:r w:rsidRPr="00C84427">
              <w:rPr>
                <w:rFonts w:ascii="Times New Roman" w:hAnsi="Times New Roman" w:eastAsia="Times New Roman" w:cs="Times New Roman"/>
                <w:color w:val="000000"/>
                <w:sz w:val="20"/>
                <w:szCs w:val="20"/>
              </w:rPr>
              <w:t>568</w:t>
            </w:r>
          </w:p>
        </w:tc>
        <w:tc>
          <w:tcPr>
            <w:tcW w:w="1800" w:type="dxa"/>
            <w:tcBorders>
              <w:top w:val="nil"/>
              <w:left w:val="nil"/>
              <w:bottom w:val="single" w:color="auto" w:sz="4" w:space="0"/>
              <w:right w:val="single" w:color="auto" w:sz="4" w:space="0"/>
            </w:tcBorders>
            <w:shd w:val="clear" w:color="auto" w:fill="auto"/>
            <w:noWrap/>
            <w:vAlign w:val="center"/>
            <w:hideMark/>
          </w:tcPr>
          <w:p w:rsidRPr="00C84427" w:rsidR="0076440E" w:rsidP="0094555B" w:rsidRDefault="0076440E" w14:paraId="7D064455" w14:textId="77777777">
            <w:pPr>
              <w:spacing w:after="0" w:line="240" w:lineRule="auto"/>
              <w:jc w:val="center"/>
              <w:rPr>
                <w:rFonts w:ascii="Times New Roman" w:hAnsi="Times New Roman" w:eastAsia="Times New Roman" w:cs="Times New Roman"/>
                <w:color w:val="000000"/>
                <w:sz w:val="20"/>
                <w:szCs w:val="20"/>
              </w:rPr>
            </w:pPr>
            <w:r w:rsidRPr="00C84427">
              <w:rPr>
                <w:rFonts w:ascii="Times New Roman" w:hAnsi="Times New Roman" w:eastAsia="Times New Roman" w:cs="Times New Roman"/>
                <w:color w:val="000000"/>
                <w:sz w:val="20"/>
                <w:szCs w:val="20"/>
              </w:rPr>
              <w:t>1,928,297</w:t>
            </w:r>
          </w:p>
        </w:tc>
        <w:tc>
          <w:tcPr>
            <w:tcW w:w="1530" w:type="dxa"/>
            <w:tcBorders>
              <w:top w:val="nil"/>
              <w:left w:val="nil"/>
              <w:bottom w:val="single" w:color="auto" w:sz="4" w:space="0"/>
              <w:right w:val="single" w:color="auto" w:sz="4" w:space="0"/>
            </w:tcBorders>
            <w:shd w:val="clear" w:color="auto" w:fill="auto"/>
            <w:vAlign w:val="center"/>
            <w:hideMark/>
          </w:tcPr>
          <w:p w:rsidRPr="00C84427" w:rsidR="0076440E" w:rsidP="0094555B" w:rsidRDefault="0076440E" w14:paraId="74786431" w14:textId="77777777">
            <w:pPr>
              <w:spacing w:after="0" w:line="240" w:lineRule="auto"/>
              <w:jc w:val="center"/>
              <w:rPr>
                <w:rFonts w:ascii="Times New Roman" w:hAnsi="Times New Roman" w:eastAsia="Times New Roman" w:cs="Times New Roman"/>
                <w:color w:val="000000"/>
                <w:sz w:val="20"/>
                <w:szCs w:val="20"/>
              </w:rPr>
            </w:pPr>
            <w:r w:rsidRPr="00C84427">
              <w:rPr>
                <w:rFonts w:ascii="Times New Roman" w:hAnsi="Times New Roman" w:eastAsia="Times New Roman" w:cs="Times New Roman"/>
                <w:color w:val="000000"/>
                <w:sz w:val="20"/>
                <w:szCs w:val="20"/>
              </w:rPr>
              <w:t>Varies</w:t>
            </w:r>
          </w:p>
        </w:tc>
        <w:tc>
          <w:tcPr>
            <w:tcW w:w="1710" w:type="dxa"/>
            <w:tcBorders>
              <w:top w:val="nil"/>
              <w:left w:val="nil"/>
              <w:bottom w:val="single" w:color="auto" w:sz="4" w:space="0"/>
              <w:right w:val="single" w:color="auto" w:sz="4" w:space="0"/>
            </w:tcBorders>
            <w:shd w:val="clear" w:color="auto" w:fill="auto"/>
            <w:noWrap/>
            <w:vAlign w:val="center"/>
            <w:hideMark/>
          </w:tcPr>
          <w:p w:rsidRPr="00C84427" w:rsidR="0076440E" w:rsidP="0094555B" w:rsidRDefault="0076440E" w14:paraId="49A89A9F" w14:textId="77777777">
            <w:pPr>
              <w:spacing w:after="0" w:line="240" w:lineRule="auto"/>
              <w:jc w:val="center"/>
              <w:rPr>
                <w:rFonts w:ascii="Times New Roman" w:hAnsi="Times New Roman" w:eastAsia="Times New Roman" w:cs="Times New Roman"/>
                <w:color w:val="000000"/>
                <w:sz w:val="20"/>
                <w:szCs w:val="20"/>
              </w:rPr>
            </w:pPr>
            <w:r w:rsidRPr="00C84427">
              <w:rPr>
                <w:rFonts w:ascii="Times New Roman" w:hAnsi="Times New Roman" w:eastAsia="Times New Roman" w:cs="Times New Roman"/>
                <w:color w:val="000000"/>
                <w:sz w:val="20"/>
                <w:szCs w:val="20"/>
              </w:rPr>
              <w:t>629,011</w:t>
            </w:r>
          </w:p>
        </w:tc>
        <w:tc>
          <w:tcPr>
            <w:tcW w:w="1260" w:type="dxa"/>
            <w:tcBorders>
              <w:top w:val="nil"/>
              <w:left w:val="nil"/>
              <w:bottom w:val="single" w:color="auto" w:sz="4" w:space="0"/>
              <w:right w:val="single" w:color="auto" w:sz="4" w:space="0"/>
            </w:tcBorders>
            <w:shd w:val="clear" w:color="auto" w:fill="auto"/>
            <w:vAlign w:val="center"/>
            <w:hideMark/>
          </w:tcPr>
          <w:p w:rsidRPr="00C84427" w:rsidR="0076440E" w:rsidP="0094555B" w:rsidRDefault="0076440E" w14:paraId="6440921D" w14:textId="77777777">
            <w:pPr>
              <w:spacing w:after="0" w:line="240" w:lineRule="auto"/>
              <w:jc w:val="center"/>
              <w:rPr>
                <w:rFonts w:ascii="Times New Roman" w:hAnsi="Times New Roman" w:eastAsia="Times New Roman" w:cs="Times New Roman"/>
                <w:color w:val="000000"/>
                <w:sz w:val="20"/>
                <w:szCs w:val="20"/>
              </w:rPr>
            </w:pPr>
            <w:r w:rsidRPr="00C84427">
              <w:rPr>
                <w:rFonts w:ascii="Times New Roman" w:hAnsi="Times New Roman" w:eastAsia="Times New Roman" w:cs="Times New Roman"/>
                <w:color w:val="000000"/>
                <w:sz w:val="20"/>
                <w:szCs w:val="20"/>
              </w:rPr>
              <w:t>Varies</w:t>
            </w:r>
          </w:p>
        </w:tc>
        <w:tc>
          <w:tcPr>
            <w:tcW w:w="2160" w:type="dxa"/>
            <w:tcBorders>
              <w:top w:val="nil"/>
              <w:left w:val="nil"/>
              <w:bottom w:val="single" w:color="auto" w:sz="4" w:space="0"/>
              <w:right w:val="single" w:color="auto" w:sz="4" w:space="0"/>
            </w:tcBorders>
            <w:shd w:val="clear" w:color="auto" w:fill="auto"/>
            <w:noWrap/>
            <w:vAlign w:val="center"/>
            <w:hideMark/>
          </w:tcPr>
          <w:p w:rsidRPr="00C84427" w:rsidR="0076440E" w:rsidP="0094555B" w:rsidRDefault="004118FB" w14:paraId="1C323FE6" w14:textId="5F56DB71">
            <w:pPr>
              <w:spacing w:after="0" w:line="240" w:lineRule="auto"/>
              <w:jc w:val="center"/>
              <w:rPr>
                <w:rFonts w:ascii="Times New Roman" w:hAnsi="Times New Roman" w:eastAsia="Times New Roman" w:cs="Times New Roman"/>
                <w:color w:val="000000"/>
                <w:sz w:val="20"/>
                <w:szCs w:val="20"/>
              </w:rPr>
            </w:pPr>
            <w:r w:rsidRPr="00C84427">
              <w:rPr>
                <w:rFonts w:ascii="Times New Roman" w:hAnsi="Times New Roman" w:eastAsia="Times New Roman" w:cs="Times New Roman"/>
                <w:color w:val="000000"/>
                <w:sz w:val="20"/>
                <w:szCs w:val="20"/>
              </w:rPr>
              <w:t>47,516,585</w:t>
            </w:r>
          </w:p>
        </w:tc>
      </w:tr>
      <w:tr w:rsidRPr="00C84427" w:rsidR="007E2D4C" w:rsidTr="00D553E9" w14:paraId="149548EC" w14:textId="77777777">
        <w:trPr>
          <w:trHeight w:val="300"/>
        </w:trPr>
        <w:tc>
          <w:tcPr>
            <w:tcW w:w="3050" w:type="dxa"/>
            <w:tcBorders>
              <w:top w:val="single" w:color="auto" w:sz="4" w:space="0"/>
              <w:left w:val="single" w:color="auto" w:sz="4" w:space="0"/>
              <w:bottom w:val="single" w:color="auto" w:sz="4" w:space="0"/>
              <w:right w:val="single" w:color="auto" w:sz="4" w:space="0"/>
            </w:tcBorders>
            <w:shd w:val="clear" w:color="000000" w:fill="D9D9D9"/>
            <w:noWrap/>
            <w:vAlign w:val="bottom"/>
            <w:hideMark/>
          </w:tcPr>
          <w:p w:rsidRPr="00C84427" w:rsidR="0076440E" w:rsidP="0094555B" w:rsidRDefault="0076440E" w14:paraId="3A66451C" w14:textId="161251BA">
            <w:pPr>
              <w:spacing w:after="0" w:line="240" w:lineRule="auto"/>
              <w:rPr>
                <w:rFonts w:ascii="Times New Roman" w:hAnsi="Times New Roman" w:eastAsia="Times New Roman" w:cs="Times New Roman"/>
                <w:color w:val="000000"/>
                <w:sz w:val="20"/>
                <w:szCs w:val="20"/>
              </w:rPr>
            </w:pPr>
            <w:r w:rsidRPr="00C84427">
              <w:rPr>
                <w:rFonts w:ascii="Times New Roman" w:hAnsi="Times New Roman" w:eastAsia="Times New Roman" w:cs="Times New Roman"/>
                <w:color w:val="000000"/>
                <w:sz w:val="20"/>
                <w:szCs w:val="20"/>
              </w:rPr>
              <w:t>TOTAL</w:t>
            </w:r>
          </w:p>
        </w:tc>
        <w:tc>
          <w:tcPr>
            <w:tcW w:w="1710" w:type="dxa"/>
            <w:tcBorders>
              <w:top w:val="nil"/>
              <w:left w:val="nil"/>
              <w:bottom w:val="single" w:color="auto" w:sz="4" w:space="0"/>
              <w:right w:val="single" w:color="auto" w:sz="4" w:space="0"/>
            </w:tcBorders>
            <w:shd w:val="clear" w:color="000000" w:fill="D9D9D9"/>
            <w:noWrap/>
            <w:vAlign w:val="center"/>
            <w:hideMark/>
          </w:tcPr>
          <w:p w:rsidRPr="00C84427" w:rsidR="0076440E" w:rsidP="0094555B" w:rsidRDefault="0076440E" w14:paraId="00762302" w14:textId="77777777">
            <w:pPr>
              <w:spacing w:after="0" w:line="240" w:lineRule="auto"/>
              <w:jc w:val="center"/>
              <w:rPr>
                <w:rFonts w:ascii="Times New Roman" w:hAnsi="Times New Roman" w:eastAsia="Times New Roman" w:cs="Times New Roman"/>
                <w:color w:val="000000"/>
                <w:sz w:val="20"/>
                <w:szCs w:val="20"/>
              </w:rPr>
            </w:pPr>
            <w:r w:rsidRPr="00C84427">
              <w:rPr>
                <w:rFonts w:ascii="Times New Roman" w:hAnsi="Times New Roman" w:eastAsia="Times New Roman" w:cs="Times New Roman"/>
                <w:color w:val="000000"/>
                <w:sz w:val="20"/>
                <w:szCs w:val="20"/>
              </w:rPr>
              <w:t>568</w:t>
            </w:r>
          </w:p>
        </w:tc>
        <w:tc>
          <w:tcPr>
            <w:tcW w:w="1800" w:type="dxa"/>
            <w:tcBorders>
              <w:top w:val="nil"/>
              <w:left w:val="nil"/>
              <w:bottom w:val="single" w:color="auto" w:sz="4" w:space="0"/>
              <w:right w:val="single" w:color="auto" w:sz="4" w:space="0"/>
            </w:tcBorders>
            <w:shd w:val="clear" w:color="000000" w:fill="D9D9D9"/>
            <w:noWrap/>
            <w:vAlign w:val="center"/>
            <w:hideMark/>
          </w:tcPr>
          <w:p w:rsidRPr="00C84427" w:rsidR="0076440E" w:rsidP="0094555B" w:rsidRDefault="00FE10AD" w14:paraId="4F29C36A" w14:textId="4D8BB324">
            <w:pPr>
              <w:spacing w:after="0" w:line="240" w:lineRule="auto"/>
              <w:jc w:val="center"/>
              <w:rPr>
                <w:rFonts w:ascii="Times New Roman" w:hAnsi="Times New Roman" w:eastAsia="Times New Roman" w:cs="Times New Roman"/>
                <w:color w:val="000000"/>
                <w:sz w:val="20"/>
                <w:szCs w:val="20"/>
              </w:rPr>
            </w:pPr>
            <w:r w:rsidRPr="00C84427">
              <w:rPr>
                <w:rFonts w:ascii="Times New Roman" w:hAnsi="Times New Roman" w:eastAsia="Times New Roman" w:cs="Times New Roman"/>
                <w:color w:val="000000"/>
                <w:sz w:val="20"/>
                <w:szCs w:val="20"/>
              </w:rPr>
              <w:t>9,573,165</w:t>
            </w:r>
          </w:p>
        </w:tc>
        <w:tc>
          <w:tcPr>
            <w:tcW w:w="1530" w:type="dxa"/>
            <w:tcBorders>
              <w:top w:val="nil"/>
              <w:left w:val="nil"/>
              <w:bottom w:val="single" w:color="auto" w:sz="4" w:space="0"/>
              <w:right w:val="single" w:color="auto" w:sz="4" w:space="0"/>
            </w:tcBorders>
            <w:shd w:val="clear" w:color="000000" w:fill="D9D9D9"/>
            <w:vAlign w:val="center"/>
            <w:hideMark/>
          </w:tcPr>
          <w:p w:rsidRPr="00C84427" w:rsidR="0076440E" w:rsidP="0094555B" w:rsidRDefault="0076440E" w14:paraId="103AA27D" w14:textId="77777777">
            <w:pPr>
              <w:spacing w:after="0" w:line="240" w:lineRule="auto"/>
              <w:jc w:val="center"/>
              <w:rPr>
                <w:rFonts w:ascii="Times New Roman" w:hAnsi="Times New Roman" w:eastAsia="Times New Roman" w:cs="Times New Roman"/>
                <w:color w:val="000000"/>
                <w:sz w:val="20"/>
                <w:szCs w:val="20"/>
              </w:rPr>
            </w:pPr>
            <w:r w:rsidRPr="00C84427">
              <w:rPr>
                <w:rFonts w:ascii="Times New Roman" w:hAnsi="Times New Roman" w:eastAsia="Times New Roman" w:cs="Times New Roman"/>
                <w:color w:val="000000"/>
                <w:sz w:val="20"/>
                <w:szCs w:val="20"/>
              </w:rPr>
              <w:t>Varies</w:t>
            </w:r>
          </w:p>
        </w:tc>
        <w:tc>
          <w:tcPr>
            <w:tcW w:w="1710" w:type="dxa"/>
            <w:tcBorders>
              <w:top w:val="nil"/>
              <w:left w:val="nil"/>
              <w:bottom w:val="single" w:color="auto" w:sz="4" w:space="0"/>
              <w:right w:val="single" w:color="auto" w:sz="4" w:space="0"/>
            </w:tcBorders>
            <w:shd w:val="clear" w:color="000000" w:fill="D9D9D9"/>
            <w:noWrap/>
            <w:vAlign w:val="center"/>
            <w:hideMark/>
          </w:tcPr>
          <w:p w:rsidRPr="00C84427" w:rsidR="0076440E" w:rsidP="0094555B" w:rsidRDefault="00FE10AD" w14:paraId="34784058" w14:textId="03644A58">
            <w:pPr>
              <w:spacing w:after="0" w:line="240" w:lineRule="auto"/>
              <w:jc w:val="center"/>
              <w:rPr>
                <w:rFonts w:ascii="Times New Roman" w:hAnsi="Times New Roman" w:eastAsia="Times New Roman" w:cs="Times New Roman"/>
                <w:color w:val="000000"/>
                <w:sz w:val="20"/>
                <w:szCs w:val="20"/>
              </w:rPr>
            </w:pPr>
            <w:r w:rsidRPr="00C84427">
              <w:rPr>
                <w:rFonts w:ascii="Times New Roman" w:hAnsi="Times New Roman" w:eastAsia="Times New Roman" w:cs="Times New Roman"/>
                <w:color w:val="000000"/>
                <w:sz w:val="20"/>
                <w:szCs w:val="20"/>
              </w:rPr>
              <w:t>1,589,375</w:t>
            </w:r>
          </w:p>
        </w:tc>
        <w:tc>
          <w:tcPr>
            <w:tcW w:w="1260" w:type="dxa"/>
            <w:tcBorders>
              <w:top w:val="nil"/>
              <w:left w:val="nil"/>
              <w:bottom w:val="single" w:color="auto" w:sz="4" w:space="0"/>
              <w:right w:val="single" w:color="auto" w:sz="4" w:space="0"/>
            </w:tcBorders>
            <w:shd w:val="clear" w:color="000000" w:fill="D9D9D9"/>
            <w:vAlign w:val="center"/>
            <w:hideMark/>
          </w:tcPr>
          <w:p w:rsidRPr="00C84427" w:rsidR="0076440E" w:rsidP="0094555B" w:rsidRDefault="0076440E" w14:paraId="04494CE2" w14:textId="77777777">
            <w:pPr>
              <w:spacing w:after="0" w:line="240" w:lineRule="auto"/>
              <w:jc w:val="center"/>
              <w:rPr>
                <w:rFonts w:ascii="Times New Roman" w:hAnsi="Times New Roman" w:eastAsia="Times New Roman" w:cs="Times New Roman"/>
                <w:color w:val="000000"/>
                <w:sz w:val="20"/>
                <w:szCs w:val="20"/>
              </w:rPr>
            </w:pPr>
            <w:r w:rsidRPr="00C84427">
              <w:rPr>
                <w:rFonts w:ascii="Times New Roman" w:hAnsi="Times New Roman" w:eastAsia="Times New Roman" w:cs="Times New Roman"/>
                <w:color w:val="000000"/>
                <w:sz w:val="20"/>
                <w:szCs w:val="20"/>
              </w:rPr>
              <w:t>Varies</w:t>
            </w:r>
          </w:p>
        </w:tc>
        <w:tc>
          <w:tcPr>
            <w:tcW w:w="2160" w:type="dxa"/>
            <w:tcBorders>
              <w:top w:val="nil"/>
              <w:left w:val="nil"/>
              <w:bottom w:val="single" w:color="auto" w:sz="4" w:space="0"/>
              <w:right w:val="single" w:color="auto" w:sz="4" w:space="0"/>
            </w:tcBorders>
            <w:shd w:val="clear" w:color="000000" w:fill="D9D9D9"/>
            <w:noWrap/>
            <w:vAlign w:val="center"/>
            <w:hideMark/>
          </w:tcPr>
          <w:p w:rsidRPr="00C84427" w:rsidR="0076440E" w:rsidP="0094555B" w:rsidRDefault="000843F8" w14:paraId="0B173692" w14:textId="2D165B8B">
            <w:pPr>
              <w:spacing w:after="0" w:line="240" w:lineRule="auto"/>
              <w:jc w:val="center"/>
              <w:rPr>
                <w:rFonts w:ascii="Times New Roman" w:hAnsi="Times New Roman" w:eastAsia="Times New Roman" w:cs="Times New Roman"/>
                <w:color w:val="000000"/>
                <w:sz w:val="20"/>
                <w:szCs w:val="20"/>
              </w:rPr>
            </w:pPr>
            <w:r w:rsidRPr="00C84427">
              <w:rPr>
                <w:rFonts w:ascii="Times New Roman" w:hAnsi="Times New Roman" w:eastAsia="Times New Roman" w:cs="Times New Roman"/>
                <w:color w:val="000000"/>
                <w:sz w:val="20"/>
                <w:szCs w:val="20"/>
              </w:rPr>
              <w:t>97,441,122</w:t>
            </w:r>
          </w:p>
        </w:tc>
      </w:tr>
    </w:tbl>
    <w:p w:rsidRPr="00C84427" w:rsidR="0076440E" w:rsidP="0094555B" w:rsidRDefault="0076440E" w14:paraId="6DC9970C" w14:textId="77777777">
      <w:pPr>
        <w:pStyle w:val="TableCaption"/>
        <w:spacing w:after="0"/>
        <w:jc w:val="left"/>
        <w:rPr>
          <w:b w:val="0"/>
        </w:rPr>
      </w:pPr>
    </w:p>
    <w:p w:rsidRPr="00C84427" w:rsidR="0036140B" w:rsidP="0094555B" w:rsidRDefault="0036140B" w14:paraId="3E7DECB2" w14:textId="77777777">
      <w:pPr>
        <w:pStyle w:val="TableCaption"/>
        <w:rPr>
          <w:b w:val="0"/>
        </w:rPr>
      </w:pPr>
    </w:p>
    <w:p w:rsidRPr="00C84427" w:rsidR="00CE6F64" w:rsidP="0094555B" w:rsidRDefault="00CE6F64" w14:paraId="137FEB45" w14:textId="1C27D0B2">
      <w:pPr>
        <w:pStyle w:val="TableCaption"/>
        <w:rPr>
          <w:b w:val="0"/>
        </w:rPr>
      </w:pPr>
      <w:r w:rsidRPr="00C84427">
        <w:rPr>
          <w:b w:val="0"/>
        </w:rPr>
        <w:t>Summary of Annual Burden Estimates: Total</w:t>
      </w:r>
    </w:p>
    <w:tbl>
      <w:tblPr>
        <w:tblW w:w="13220" w:type="dxa"/>
        <w:tblLayout w:type="fixed"/>
        <w:tblLook w:val="04A0" w:firstRow="1" w:lastRow="0" w:firstColumn="1" w:lastColumn="0" w:noHBand="0" w:noVBand="1"/>
      </w:tblPr>
      <w:tblGrid>
        <w:gridCol w:w="3050"/>
        <w:gridCol w:w="1710"/>
        <w:gridCol w:w="1800"/>
        <w:gridCol w:w="1530"/>
        <w:gridCol w:w="1710"/>
        <w:gridCol w:w="1260"/>
        <w:gridCol w:w="2160"/>
      </w:tblGrid>
      <w:tr w:rsidRPr="0094555B" w:rsidR="00AA7A65" w:rsidTr="00D553E9" w14:paraId="536805AF" w14:textId="77777777">
        <w:trPr>
          <w:trHeight w:val="450"/>
        </w:trPr>
        <w:tc>
          <w:tcPr>
            <w:tcW w:w="3050" w:type="dxa"/>
            <w:vMerge w:val="restart"/>
            <w:tcBorders>
              <w:top w:val="single" w:color="auto" w:sz="8" w:space="0"/>
              <w:left w:val="single" w:color="auto" w:sz="8" w:space="0"/>
              <w:bottom w:val="single" w:color="000000" w:sz="8" w:space="0"/>
              <w:right w:val="single" w:color="auto" w:sz="8" w:space="0"/>
            </w:tcBorders>
            <w:shd w:val="clear" w:color="auto" w:fill="F2F2F2" w:themeFill="background1" w:themeFillShade="F2"/>
            <w:noWrap/>
            <w:vAlign w:val="center"/>
            <w:hideMark/>
          </w:tcPr>
          <w:bookmarkEnd w:id="54"/>
          <w:p w:rsidRPr="00C84427" w:rsidR="00550F6C" w:rsidP="0094555B" w:rsidRDefault="00550F6C" w14:paraId="307C66A7" w14:textId="77777777">
            <w:pPr>
              <w:spacing w:after="0" w:line="240" w:lineRule="auto"/>
              <w:jc w:val="center"/>
              <w:rPr>
                <w:rFonts w:ascii="Times New Roman" w:hAnsi="Times New Roman" w:eastAsia="Times New Roman" w:cs="Times New Roman"/>
                <w:bCs/>
                <w:color w:val="000000"/>
                <w:sz w:val="20"/>
                <w:szCs w:val="20"/>
              </w:rPr>
            </w:pPr>
            <w:r w:rsidRPr="00C84427">
              <w:rPr>
                <w:rFonts w:ascii="Times New Roman" w:hAnsi="Times New Roman" w:eastAsia="Times New Roman" w:cs="Times New Roman"/>
                <w:bCs/>
                <w:color w:val="000000"/>
                <w:sz w:val="20"/>
                <w:szCs w:val="20"/>
              </w:rPr>
              <w:t>Respondent Type</w:t>
            </w:r>
          </w:p>
        </w:tc>
        <w:tc>
          <w:tcPr>
            <w:tcW w:w="1710" w:type="dxa"/>
            <w:vMerge w:val="restart"/>
            <w:tcBorders>
              <w:top w:val="single" w:color="auto" w:sz="8" w:space="0"/>
              <w:left w:val="single" w:color="auto" w:sz="8" w:space="0"/>
              <w:bottom w:val="single" w:color="000000" w:sz="8" w:space="0"/>
              <w:right w:val="single" w:color="auto" w:sz="8" w:space="0"/>
            </w:tcBorders>
            <w:shd w:val="clear" w:color="auto" w:fill="F2F2F2" w:themeFill="background1" w:themeFillShade="F2"/>
            <w:vAlign w:val="center"/>
            <w:hideMark/>
          </w:tcPr>
          <w:p w:rsidRPr="00C84427" w:rsidR="00550F6C" w:rsidP="0094555B" w:rsidRDefault="00550F6C" w14:paraId="2F7AD88E" w14:textId="77777777">
            <w:pPr>
              <w:spacing w:after="0" w:line="240" w:lineRule="auto"/>
              <w:jc w:val="center"/>
              <w:rPr>
                <w:rFonts w:ascii="Times New Roman" w:hAnsi="Times New Roman" w:eastAsia="Times New Roman" w:cs="Times New Roman"/>
                <w:bCs/>
                <w:color w:val="000000"/>
                <w:sz w:val="20"/>
                <w:szCs w:val="20"/>
              </w:rPr>
            </w:pPr>
            <w:r w:rsidRPr="00C84427">
              <w:rPr>
                <w:rFonts w:ascii="Times New Roman" w:hAnsi="Times New Roman" w:eastAsia="Times New Roman" w:cs="Times New Roman"/>
                <w:bCs/>
                <w:color w:val="000000"/>
                <w:sz w:val="20"/>
                <w:szCs w:val="20"/>
              </w:rPr>
              <w:t>Respondents</w:t>
            </w:r>
          </w:p>
        </w:tc>
        <w:tc>
          <w:tcPr>
            <w:tcW w:w="1800" w:type="dxa"/>
            <w:vMerge w:val="restart"/>
            <w:tcBorders>
              <w:top w:val="single" w:color="auto" w:sz="8" w:space="0"/>
              <w:left w:val="single" w:color="auto" w:sz="8" w:space="0"/>
              <w:bottom w:val="single" w:color="000000" w:sz="8" w:space="0"/>
              <w:right w:val="single" w:color="auto" w:sz="8" w:space="0"/>
            </w:tcBorders>
            <w:shd w:val="clear" w:color="auto" w:fill="F2F2F2" w:themeFill="background1" w:themeFillShade="F2"/>
            <w:vAlign w:val="center"/>
            <w:hideMark/>
          </w:tcPr>
          <w:p w:rsidRPr="00C84427" w:rsidR="00550F6C" w:rsidP="0094555B" w:rsidRDefault="00550F6C" w14:paraId="16D288CB" w14:textId="77777777">
            <w:pPr>
              <w:spacing w:after="0" w:line="240" w:lineRule="auto"/>
              <w:jc w:val="center"/>
              <w:rPr>
                <w:rFonts w:ascii="Times New Roman" w:hAnsi="Times New Roman" w:eastAsia="Times New Roman" w:cs="Times New Roman"/>
                <w:bCs/>
                <w:color w:val="000000"/>
                <w:sz w:val="20"/>
                <w:szCs w:val="20"/>
              </w:rPr>
            </w:pPr>
            <w:r w:rsidRPr="00C84427">
              <w:rPr>
                <w:rFonts w:ascii="Times New Roman" w:hAnsi="Times New Roman" w:eastAsia="Times New Roman" w:cs="Times New Roman"/>
                <w:bCs/>
                <w:color w:val="000000"/>
                <w:sz w:val="20"/>
                <w:szCs w:val="20"/>
              </w:rPr>
              <w:t>Total Responses</w:t>
            </w:r>
          </w:p>
        </w:tc>
        <w:tc>
          <w:tcPr>
            <w:tcW w:w="1530" w:type="dxa"/>
            <w:vMerge w:val="restart"/>
            <w:tcBorders>
              <w:top w:val="single" w:color="auto" w:sz="8" w:space="0"/>
              <w:left w:val="single" w:color="auto" w:sz="8" w:space="0"/>
              <w:bottom w:val="single" w:color="000000" w:sz="8" w:space="0"/>
              <w:right w:val="single" w:color="auto" w:sz="8" w:space="0"/>
            </w:tcBorders>
            <w:shd w:val="clear" w:color="auto" w:fill="F2F2F2" w:themeFill="background1" w:themeFillShade="F2"/>
            <w:vAlign w:val="center"/>
            <w:hideMark/>
          </w:tcPr>
          <w:p w:rsidRPr="00C84427" w:rsidR="00550F6C" w:rsidP="0094555B" w:rsidRDefault="00550F6C" w14:paraId="25D698FB" w14:textId="77777777">
            <w:pPr>
              <w:spacing w:after="0" w:line="240" w:lineRule="auto"/>
              <w:jc w:val="center"/>
              <w:rPr>
                <w:rFonts w:ascii="Times New Roman" w:hAnsi="Times New Roman" w:eastAsia="Times New Roman" w:cs="Times New Roman"/>
                <w:bCs/>
                <w:color w:val="000000"/>
                <w:sz w:val="20"/>
                <w:szCs w:val="20"/>
              </w:rPr>
            </w:pPr>
            <w:r w:rsidRPr="00C84427">
              <w:rPr>
                <w:rFonts w:ascii="Times New Roman" w:hAnsi="Times New Roman" w:eastAsia="Times New Roman" w:cs="Times New Roman"/>
                <w:bCs/>
                <w:color w:val="000000"/>
                <w:sz w:val="20"/>
                <w:szCs w:val="20"/>
              </w:rPr>
              <w:t>Burden per Response (</w:t>
            </w:r>
            <w:proofErr w:type="spellStart"/>
            <w:r w:rsidRPr="00C84427">
              <w:rPr>
                <w:rFonts w:ascii="Times New Roman" w:hAnsi="Times New Roman" w:eastAsia="Times New Roman" w:cs="Times New Roman"/>
                <w:bCs/>
                <w:color w:val="000000"/>
                <w:sz w:val="20"/>
                <w:szCs w:val="20"/>
              </w:rPr>
              <w:t>hr</w:t>
            </w:r>
            <w:proofErr w:type="spellEnd"/>
            <w:r w:rsidRPr="00C84427">
              <w:rPr>
                <w:rFonts w:ascii="Times New Roman" w:hAnsi="Times New Roman" w:eastAsia="Times New Roman" w:cs="Times New Roman"/>
                <w:bCs/>
                <w:color w:val="000000"/>
                <w:sz w:val="20"/>
                <w:szCs w:val="20"/>
              </w:rPr>
              <w:t>)</w:t>
            </w:r>
          </w:p>
        </w:tc>
        <w:tc>
          <w:tcPr>
            <w:tcW w:w="1710" w:type="dxa"/>
            <w:vMerge w:val="restart"/>
            <w:tcBorders>
              <w:top w:val="single" w:color="auto" w:sz="8" w:space="0"/>
              <w:left w:val="single" w:color="auto" w:sz="8" w:space="0"/>
              <w:bottom w:val="single" w:color="000000" w:sz="8" w:space="0"/>
              <w:right w:val="single" w:color="auto" w:sz="8" w:space="0"/>
            </w:tcBorders>
            <w:shd w:val="clear" w:color="auto" w:fill="F2F2F2" w:themeFill="background1" w:themeFillShade="F2"/>
            <w:vAlign w:val="center"/>
            <w:hideMark/>
          </w:tcPr>
          <w:p w:rsidRPr="00C84427" w:rsidR="00550F6C" w:rsidP="0094555B" w:rsidRDefault="00550F6C" w14:paraId="34B7A8BB" w14:textId="77777777">
            <w:pPr>
              <w:spacing w:after="0" w:line="240" w:lineRule="auto"/>
              <w:jc w:val="center"/>
              <w:rPr>
                <w:rFonts w:ascii="Times New Roman" w:hAnsi="Times New Roman" w:eastAsia="Times New Roman" w:cs="Times New Roman"/>
                <w:bCs/>
                <w:color w:val="000000"/>
                <w:sz w:val="20"/>
                <w:szCs w:val="20"/>
              </w:rPr>
            </w:pPr>
            <w:r w:rsidRPr="00C84427">
              <w:rPr>
                <w:rFonts w:ascii="Times New Roman" w:hAnsi="Times New Roman" w:eastAsia="Times New Roman" w:cs="Times New Roman"/>
                <w:bCs/>
                <w:color w:val="000000"/>
                <w:sz w:val="20"/>
                <w:szCs w:val="20"/>
              </w:rPr>
              <w:t>Total Annual Time (</w:t>
            </w:r>
            <w:proofErr w:type="spellStart"/>
            <w:r w:rsidRPr="00C84427">
              <w:rPr>
                <w:rFonts w:ascii="Times New Roman" w:hAnsi="Times New Roman" w:eastAsia="Times New Roman" w:cs="Times New Roman"/>
                <w:bCs/>
                <w:color w:val="000000"/>
                <w:sz w:val="20"/>
                <w:szCs w:val="20"/>
              </w:rPr>
              <w:t>hr</w:t>
            </w:r>
            <w:proofErr w:type="spellEnd"/>
            <w:r w:rsidRPr="00C84427">
              <w:rPr>
                <w:rFonts w:ascii="Times New Roman" w:hAnsi="Times New Roman" w:eastAsia="Times New Roman" w:cs="Times New Roman"/>
                <w:bCs/>
                <w:color w:val="000000"/>
                <w:sz w:val="20"/>
                <w:szCs w:val="20"/>
              </w:rPr>
              <w:t>)</w:t>
            </w:r>
          </w:p>
        </w:tc>
        <w:tc>
          <w:tcPr>
            <w:tcW w:w="1260" w:type="dxa"/>
            <w:vMerge w:val="restart"/>
            <w:tcBorders>
              <w:top w:val="single" w:color="auto" w:sz="8" w:space="0"/>
              <w:left w:val="single" w:color="auto" w:sz="8" w:space="0"/>
              <w:bottom w:val="single" w:color="000000" w:sz="8" w:space="0"/>
              <w:right w:val="single" w:color="auto" w:sz="8" w:space="0"/>
            </w:tcBorders>
            <w:shd w:val="clear" w:color="auto" w:fill="F2F2F2" w:themeFill="background1" w:themeFillShade="F2"/>
            <w:vAlign w:val="center"/>
            <w:hideMark/>
          </w:tcPr>
          <w:p w:rsidRPr="00C84427" w:rsidR="00550F6C" w:rsidP="0094555B" w:rsidRDefault="00550F6C" w14:paraId="04D0D5B8" w14:textId="77777777">
            <w:pPr>
              <w:spacing w:after="0" w:line="240" w:lineRule="auto"/>
              <w:jc w:val="center"/>
              <w:rPr>
                <w:rFonts w:ascii="Times New Roman" w:hAnsi="Times New Roman" w:eastAsia="Times New Roman" w:cs="Times New Roman"/>
                <w:bCs/>
                <w:color w:val="000000"/>
                <w:sz w:val="20"/>
                <w:szCs w:val="20"/>
              </w:rPr>
            </w:pPr>
            <w:r w:rsidRPr="00C84427">
              <w:rPr>
                <w:rFonts w:ascii="Times New Roman" w:hAnsi="Times New Roman" w:eastAsia="Times New Roman" w:cs="Times New Roman"/>
                <w:bCs/>
                <w:color w:val="000000"/>
                <w:sz w:val="20"/>
                <w:szCs w:val="20"/>
              </w:rPr>
              <w:t>Labor Rate ($/</w:t>
            </w:r>
            <w:proofErr w:type="spellStart"/>
            <w:r w:rsidRPr="00C84427">
              <w:rPr>
                <w:rFonts w:ascii="Times New Roman" w:hAnsi="Times New Roman" w:eastAsia="Times New Roman" w:cs="Times New Roman"/>
                <w:bCs/>
                <w:color w:val="000000"/>
                <w:sz w:val="20"/>
                <w:szCs w:val="20"/>
              </w:rPr>
              <w:t>hr</w:t>
            </w:r>
            <w:proofErr w:type="spellEnd"/>
            <w:r w:rsidRPr="00C84427">
              <w:rPr>
                <w:rFonts w:ascii="Times New Roman" w:hAnsi="Times New Roman" w:eastAsia="Times New Roman" w:cs="Times New Roman"/>
                <w:bCs/>
                <w:color w:val="000000"/>
                <w:sz w:val="20"/>
                <w:szCs w:val="20"/>
              </w:rPr>
              <w:t>)</w:t>
            </w:r>
          </w:p>
        </w:tc>
        <w:tc>
          <w:tcPr>
            <w:tcW w:w="2160" w:type="dxa"/>
            <w:vMerge w:val="restart"/>
            <w:tcBorders>
              <w:top w:val="single" w:color="auto" w:sz="8" w:space="0"/>
              <w:left w:val="single" w:color="auto" w:sz="8" w:space="0"/>
              <w:bottom w:val="single" w:color="000000" w:sz="8" w:space="0"/>
              <w:right w:val="single" w:color="auto" w:sz="8" w:space="0"/>
            </w:tcBorders>
            <w:shd w:val="clear" w:color="auto" w:fill="F2F2F2" w:themeFill="background1" w:themeFillShade="F2"/>
            <w:vAlign w:val="center"/>
            <w:hideMark/>
          </w:tcPr>
          <w:p w:rsidRPr="00C84427" w:rsidR="00550F6C" w:rsidP="0094555B" w:rsidRDefault="00550F6C" w14:paraId="5AA3A7C5" w14:textId="77777777">
            <w:pPr>
              <w:spacing w:after="0" w:line="240" w:lineRule="auto"/>
              <w:jc w:val="center"/>
              <w:rPr>
                <w:rFonts w:ascii="Times New Roman" w:hAnsi="Times New Roman" w:eastAsia="Times New Roman" w:cs="Times New Roman"/>
                <w:bCs/>
                <w:color w:val="000000"/>
                <w:sz w:val="20"/>
                <w:szCs w:val="20"/>
              </w:rPr>
            </w:pPr>
            <w:r w:rsidRPr="00C84427">
              <w:rPr>
                <w:rFonts w:ascii="Times New Roman" w:hAnsi="Times New Roman" w:eastAsia="Times New Roman" w:cs="Times New Roman"/>
                <w:bCs/>
                <w:color w:val="000000"/>
                <w:sz w:val="20"/>
                <w:szCs w:val="20"/>
              </w:rPr>
              <w:t>Total Annual Cost ($)</w:t>
            </w:r>
          </w:p>
        </w:tc>
      </w:tr>
      <w:tr w:rsidRPr="0094555B" w:rsidR="00AA7A65" w:rsidTr="00D553E9" w14:paraId="628C8291" w14:textId="77777777">
        <w:trPr>
          <w:trHeight w:val="450"/>
        </w:trPr>
        <w:tc>
          <w:tcPr>
            <w:tcW w:w="3050" w:type="dxa"/>
            <w:vMerge/>
            <w:tcBorders>
              <w:top w:val="single" w:color="auto" w:sz="8" w:space="0"/>
              <w:left w:val="single" w:color="auto" w:sz="8" w:space="0"/>
              <w:bottom w:val="single" w:color="000000" w:sz="8" w:space="0"/>
              <w:right w:val="single" w:color="auto" w:sz="8" w:space="0"/>
            </w:tcBorders>
            <w:shd w:val="clear" w:color="auto" w:fill="F2F2F2" w:themeFill="background1" w:themeFillShade="F2"/>
            <w:vAlign w:val="center"/>
            <w:hideMark/>
          </w:tcPr>
          <w:p w:rsidRPr="0036140B" w:rsidR="00550F6C" w:rsidP="0094555B" w:rsidRDefault="00550F6C" w14:paraId="58AEF199" w14:textId="77777777">
            <w:pPr>
              <w:spacing w:after="0" w:line="240" w:lineRule="auto"/>
              <w:rPr>
                <w:rFonts w:ascii="Times New Roman" w:hAnsi="Times New Roman" w:eastAsia="Times New Roman" w:cs="Times New Roman"/>
                <w:b/>
                <w:bCs/>
                <w:color w:val="000000"/>
                <w:sz w:val="20"/>
                <w:szCs w:val="20"/>
              </w:rPr>
            </w:pPr>
          </w:p>
        </w:tc>
        <w:tc>
          <w:tcPr>
            <w:tcW w:w="1710" w:type="dxa"/>
            <w:vMerge/>
            <w:tcBorders>
              <w:top w:val="single" w:color="auto" w:sz="8" w:space="0"/>
              <w:left w:val="single" w:color="auto" w:sz="8" w:space="0"/>
              <w:bottom w:val="single" w:color="000000" w:sz="8" w:space="0"/>
              <w:right w:val="single" w:color="auto" w:sz="8" w:space="0"/>
            </w:tcBorders>
            <w:shd w:val="clear" w:color="auto" w:fill="F2F2F2" w:themeFill="background1" w:themeFillShade="F2"/>
            <w:vAlign w:val="center"/>
            <w:hideMark/>
          </w:tcPr>
          <w:p w:rsidRPr="0036140B" w:rsidR="00550F6C" w:rsidP="0094555B" w:rsidRDefault="00550F6C" w14:paraId="4A77716B" w14:textId="77777777">
            <w:pPr>
              <w:spacing w:after="0" w:line="240" w:lineRule="auto"/>
              <w:rPr>
                <w:rFonts w:ascii="Times New Roman" w:hAnsi="Times New Roman" w:eastAsia="Times New Roman" w:cs="Times New Roman"/>
                <w:b/>
                <w:bCs/>
                <w:color w:val="000000"/>
                <w:sz w:val="20"/>
                <w:szCs w:val="20"/>
              </w:rPr>
            </w:pPr>
          </w:p>
        </w:tc>
        <w:tc>
          <w:tcPr>
            <w:tcW w:w="1800" w:type="dxa"/>
            <w:vMerge/>
            <w:tcBorders>
              <w:top w:val="single" w:color="auto" w:sz="8" w:space="0"/>
              <w:left w:val="single" w:color="auto" w:sz="8" w:space="0"/>
              <w:bottom w:val="single" w:color="000000" w:sz="8" w:space="0"/>
              <w:right w:val="single" w:color="auto" w:sz="8" w:space="0"/>
            </w:tcBorders>
            <w:shd w:val="clear" w:color="auto" w:fill="F2F2F2" w:themeFill="background1" w:themeFillShade="F2"/>
            <w:vAlign w:val="center"/>
            <w:hideMark/>
          </w:tcPr>
          <w:p w:rsidRPr="0036140B" w:rsidR="00550F6C" w:rsidP="0094555B" w:rsidRDefault="00550F6C" w14:paraId="6346F2DB" w14:textId="77777777">
            <w:pPr>
              <w:spacing w:after="0" w:line="240" w:lineRule="auto"/>
              <w:rPr>
                <w:rFonts w:ascii="Times New Roman" w:hAnsi="Times New Roman" w:eastAsia="Times New Roman" w:cs="Times New Roman"/>
                <w:b/>
                <w:bCs/>
                <w:color w:val="000000"/>
                <w:sz w:val="20"/>
                <w:szCs w:val="20"/>
              </w:rPr>
            </w:pPr>
          </w:p>
        </w:tc>
        <w:tc>
          <w:tcPr>
            <w:tcW w:w="1530" w:type="dxa"/>
            <w:vMerge/>
            <w:tcBorders>
              <w:top w:val="single" w:color="auto" w:sz="8" w:space="0"/>
              <w:left w:val="single" w:color="auto" w:sz="8" w:space="0"/>
              <w:bottom w:val="single" w:color="000000" w:sz="8" w:space="0"/>
              <w:right w:val="single" w:color="auto" w:sz="8" w:space="0"/>
            </w:tcBorders>
            <w:shd w:val="clear" w:color="auto" w:fill="F2F2F2" w:themeFill="background1" w:themeFillShade="F2"/>
            <w:vAlign w:val="center"/>
            <w:hideMark/>
          </w:tcPr>
          <w:p w:rsidRPr="0036140B" w:rsidR="00550F6C" w:rsidP="0094555B" w:rsidRDefault="00550F6C" w14:paraId="33DFA55C" w14:textId="77777777">
            <w:pPr>
              <w:spacing w:after="0" w:line="240" w:lineRule="auto"/>
              <w:rPr>
                <w:rFonts w:ascii="Times New Roman" w:hAnsi="Times New Roman" w:eastAsia="Times New Roman" w:cs="Times New Roman"/>
                <w:b/>
                <w:bCs/>
                <w:color w:val="000000"/>
                <w:sz w:val="20"/>
                <w:szCs w:val="20"/>
              </w:rPr>
            </w:pPr>
          </w:p>
        </w:tc>
        <w:tc>
          <w:tcPr>
            <w:tcW w:w="1710" w:type="dxa"/>
            <w:vMerge/>
            <w:tcBorders>
              <w:top w:val="single" w:color="auto" w:sz="8" w:space="0"/>
              <w:left w:val="single" w:color="auto" w:sz="8" w:space="0"/>
              <w:bottom w:val="single" w:color="000000" w:sz="8" w:space="0"/>
              <w:right w:val="single" w:color="auto" w:sz="8" w:space="0"/>
            </w:tcBorders>
            <w:shd w:val="clear" w:color="auto" w:fill="F2F2F2" w:themeFill="background1" w:themeFillShade="F2"/>
            <w:vAlign w:val="center"/>
            <w:hideMark/>
          </w:tcPr>
          <w:p w:rsidRPr="0036140B" w:rsidR="00550F6C" w:rsidP="0094555B" w:rsidRDefault="00550F6C" w14:paraId="25D7802F" w14:textId="77777777">
            <w:pPr>
              <w:spacing w:after="0" w:line="240" w:lineRule="auto"/>
              <w:rPr>
                <w:rFonts w:ascii="Times New Roman" w:hAnsi="Times New Roman" w:eastAsia="Times New Roman" w:cs="Times New Roman"/>
                <w:b/>
                <w:bCs/>
                <w:color w:val="000000"/>
                <w:sz w:val="20"/>
                <w:szCs w:val="20"/>
              </w:rPr>
            </w:pPr>
          </w:p>
        </w:tc>
        <w:tc>
          <w:tcPr>
            <w:tcW w:w="1260" w:type="dxa"/>
            <w:vMerge/>
            <w:tcBorders>
              <w:top w:val="single" w:color="auto" w:sz="8" w:space="0"/>
              <w:left w:val="single" w:color="auto" w:sz="8" w:space="0"/>
              <w:bottom w:val="single" w:color="000000" w:sz="8" w:space="0"/>
              <w:right w:val="single" w:color="auto" w:sz="8" w:space="0"/>
            </w:tcBorders>
            <w:shd w:val="clear" w:color="auto" w:fill="F2F2F2" w:themeFill="background1" w:themeFillShade="F2"/>
            <w:vAlign w:val="center"/>
            <w:hideMark/>
          </w:tcPr>
          <w:p w:rsidRPr="0036140B" w:rsidR="00550F6C" w:rsidP="0094555B" w:rsidRDefault="00550F6C" w14:paraId="575D42AB" w14:textId="77777777">
            <w:pPr>
              <w:spacing w:after="0" w:line="240" w:lineRule="auto"/>
              <w:rPr>
                <w:rFonts w:ascii="Times New Roman" w:hAnsi="Times New Roman" w:eastAsia="Times New Roman" w:cs="Times New Roman"/>
                <w:b/>
                <w:bCs/>
                <w:color w:val="000000"/>
                <w:sz w:val="20"/>
                <w:szCs w:val="20"/>
              </w:rPr>
            </w:pPr>
          </w:p>
        </w:tc>
        <w:tc>
          <w:tcPr>
            <w:tcW w:w="2160" w:type="dxa"/>
            <w:vMerge/>
            <w:tcBorders>
              <w:top w:val="single" w:color="auto" w:sz="8" w:space="0"/>
              <w:left w:val="single" w:color="auto" w:sz="8" w:space="0"/>
              <w:bottom w:val="single" w:color="000000" w:sz="8" w:space="0"/>
              <w:right w:val="single" w:color="auto" w:sz="8" w:space="0"/>
            </w:tcBorders>
            <w:shd w:val="clear" w:color="auto" w:fill="F2F2F2" w:themeFill="background1" w:themeFillShade="F2"/>
            <w:vAlign w:val="center"/>
            <w:hideMark/>
          </w:tcPr>
          <w:p w:rsidRPr="00FD7540" w:rsidR="00550F6C" w:rsidP="0094555B" w:rsidRDefault="00550F6C" w14:paraId="2FD391C8" w14:textId="77777777">
            <w:pPr>
              <w:spacing w:after="0" w:line="240" w:lineRule="auto"/>
              <w:rPr>
                <w:rFonts w:ascii="Times New Roman" w:hAnsi="Times New Roman" w:eastAsia="Times New Roman" w:cs="Times New Roman"/>
                <w:b/>
                <w:bCs/>
                <w:color w:val="000000"/>
                <w:sz w:val="20"/>
                <w:szCs w:val="20"/>
                <w:highlight w:val="yellow"/>
              </w:rPr>
            </w:pPr>
          </w:p>
        </w:tc>
      </w:tr>
      <w:tr w:rsidRPr="00C84427" w:rsidR="00496969" w:rsidTr="00D553E9" w14:paraId="0F01E902" w14:textId="77777777">
        <w:trPr>
          <w:trHeight w:val="300"/>
        </w:trPr>
        <w:tc>
          <w:tcPr>
            <w:tcW w:w="3050" w:type="dxa"/>
            <w:tcBorders>
              <w:top w:val="nil"/>
              <w:left w:val="single" w:color="auto" w:sz="4" w:space="0"/>
              <w:bottom w:val="single" w:color="auto" w:sz="4" w:space="0"/>
              <w:right w:val="single" w:color="auto" w:sz="4" w:space="0"/>
            </w:tcBorders>
            <w:shd w:val="clear" w:color="auto" w:fill="auto"/>
            <w:noWrap/>
            <w:vAlign w:val="bottom"/>
            <w:hideMark/>
          </w:tcPr>
          <w:p w:rsidRPr="00C84427" w:rsidR="00550F6C" w:rsidP="0094555B" w:rsidRDefault="00550F6C" w14:paraId="4379D782" w14:textId="77777777">
            <w:pPr>
              <w:spacing w:after="0" w:line="240" w:lineRule="auto"/>
              <w:rPr>
                <w:rFonts w:ascii="Times New Roman" w:hAnsi="Times New Roman" w:eastAsia="Times New Roman" w:cs="Times New Roman"/>
                <w:color w:val="000000"/>
                <w:sz w:val="20"/>
                <w:szCs w:val="20"/>
              </w:rPr>
            </w:pPr>
            <w:r w:rsidRPr="00C84427">
              <w:rPr>
                <w:rFonts w:ascii="Times New Roman" w:hAnsi="Times New Roman" w:eastAsia="Times New Roman" w:cs="Times New Roman"/>
                <w:color w:val="000000"/>
                <w:sz w:val="20"/>
                <w:szCs w:val="20"/>
              </w:rPr>
              <w:t>State</w:t>
            </w:r>
          </w:p>
        </w:tc>
        <w:tc>
          <w:tcPr>
            <w:tcW w:w="1710" w:type="dxa"/>
            <w:tcBorders>
              <w:top w:val="single" w:color="auto" w:sz="4" w:space="0"/>
              <w:left w:val="nil"/>
              <w:bottom w:val="single" w:color="auto" w:sz="4" w:space="0"/>
              <w:right w:val="single" w:color="auto" w:sz="4" w:space="0"/>
            </w:tcBorders>
            <w:shd w:val="clear" w:color="auto" w:fill="auto"/>
            <w:noWrap/>
            <w:vAlign w:val="center"/>
            <w:hideMark/>
          </w:tcPr>
          <w:p w:rsidRPr="00C84427" w:rsidR="00550F6C" w:rsidP="0094555B" w:rsidRDefault="00550F6C" w14:paraId="344D601B" w14:textId="77777777">
            <w:pPr>
              <w:spacing w:after="0" w:line="240" w:lineRule="auto"/>
              <w:jc w:val="center"/>
              <w:rPr>
                <w:rFonts w:ascii="Times New Roman" w:hAnsi="Times New Roman" w:eastAsia="Times New Roman" w:cs="Times New Roman"/>
                <w:color w:val="000000"/>
                <w:sz w:val="20"/>
                <w:szCs w:val="20"/>
              </w:rPr>
            </w:pPr>
            <w:r w:rsidRPr="00C84427">
              <w:rPr>
                <w:rFonts w:ascii="Times New Roman" w:hAnsi="Times New Roman" w:eastAsia="Times New Roman" w:cs="Times New Roman"/>
                <w:color w:val="000000"/>
                <w:sz w:val="20"/>
                <w:szCs w:val="20"/>
              </w:rPr>
              <w:t>41</w:t>
            </w:r>
          </w:p>
        </w:tc>
        <w:tc>
          <w:tcPr>
            <w:tcW w:w="1800" w:type="dxa"/>
            <w:tcBorders>
              <w:top w:val="single" w:color="auto" w:sz="4" w:space="0"/>
              <w:left w:val="nil"/>
              <w:bottom w:val="single" w:color="auto" w:sz="4" w:space="0"/>
              <w:right w:val="single" w:color="auto" w:sz="4" w:space="0"/>
            </w:tcBorders>
            <w:shd w:val="clear" w:color="auto" w:fill="auto"/>
            <w:noWrap/>
            <w:vAlign w:val="center"/>
            <w:hideMark/>
          </w:tcPr>
          <w:p w:rsidRPr="00C84427" w:rsidR="00550F6C" w:rsidP="0094555B" w:rsidRDefault="00550F6C" w14:paraId="176CC966" w14:textId="2D25E234">
            <w:pPr>
              <w:spacing w:after="0" w:line="240" w:lineRule="auto"/>
              <w:jc w:val="center"/>
              <w:rPr>
                <w:rFonts w:ascii="Times New Roman" w:hAnsi="Times New Roman" w:eastAsia="Times New Roman" w:cs="Times New Roman"/>
                <w:color w:val="000000"/>
                <w:sz w:val="20"/>
                <w:szCs w:val="20"/>
              </w:rPr>
            </w:pPr>
            <w:r w:rsidRPr="00C84427">
              <w:rPr>
                <w:rFonts w:ascii="Times New Roman" w:hAnsi="Times New Roman" w:eastAsia="Times New Roman" w:cs="Times New Roman"/>
                <w:color w:val="000000"/>
                <w:sz w:val="20"/>
                <w:szCs w:val="20"/>
              </w:rPr>
              <w:t>4,169,</w:t>
            </w:r>
            <w:r w:rsidRPr="00C84427" w:rsidR="00F51276">
              <w:rPr>
                <w:rFonts w:ascii="Times New Roman" w:hAnsi="Times New Roman" w:eastAsia="Times New Roman" w:cs="Times New Roman"/>
                <w:color w:val="000000"/>
                <w:sz w:val="20"/>
                <w:szCs w:val="20"/>
              </w:rPr>
              <w:t>640</w:t>
            </w:r>
          </w:p>
        </w:tc>
        <w:tc>
          <w:tcPr>
            <w:tcW w:w="1530" w:type="dxa"/>
            <w:tcBorders>
              <w:top w:val="single" w:color="auto" w:sz="4" w:space="0"/>
              <w:left w:val="nil"/>
              <w:bottom w:val="single" w:color="auto" w:sz="4" w:space="0"/>
              <w:right w:val="single" w:color="auto" w:sz="4" w:space="0"/>
            </w:tcBorders>
            <w:shd w:val="clear" w:color="auto" w:fill="auto"/>
            <w:vAlign w:val="center"/>
            <w:hideMark/>
          </w:tcPr>
          <w:p w:rsidRPr="00C84427" w:rsidR="00550F6C" w:rsidP="0094555B" w:rsidRDefault="00550F6C" w14:paraId="4376FC83" w14:textId="77777777">
            <w:pPr>
              <w:spacing w:after="0" w:line="240" w:lineRule="auto"/>
              <w:jc w:val="center"/>
              <w:rPr>
                <w:rFonts w:ascii="Times New Roman" w:hAnsi="Times New Roman" w:eastAsia="Times New Roman" w:cs="Times New Roman"/>
                <w:color w:val="000000"/>
                <w:sz w:val="20"/>
                <w:szCs w:val="20"/>
              </w:rPr>
            </w:pPr>
            <w:r w:rsidRPr="00C84427">
              <w:rPr>
                <w:rFonts w:ascii="Times New Roman" w:hAnsi="Times New Roman" w:eastAsia="Times New Roman" w:cs="Times New Roman"/>
                <w:color w:val="000000"/>
                <w:sz w:val="20"/>
                <w:szCs w:val="20"/>
              </w:rPr>
              <w:t>Varies</w:t>
            </w:r>
          </w:p>
        </w:tc>
        <w:tc>
          <w:tcPr>
            <w:tcW w:w="1710" w:type="dxa"/>
            <w:tcBorders>
              <w:top w:val="single" w:color="auto" w:sz="4" w:space="0"/>
              <w:left w:val="nil"/>
              <w:bottom w:val="single" w:color="auto" w:sz="4" w:space="0"/>
              <w:right w:val="single" w:color="auto" w:sz="4" w:space="0"/>
            </w:tcBorders>
            <w:shd w:val="clear" w:color="auto" w:fill="auto"/>
            <w:noWrap/>
            <w:vAlign w:val="center"/>
            <w:hideMark/>
          </w:tcPr>
          <w:p w:rsidRPr="00C84427" w:rsidR="00550F6C" w:rsidP="0094555B" w:rsidRDefault="00550F6C" w14:paraId="46C1F8BE" w14:textId="2163A5B5">
            <w:pPr>
              <w:spacing w:after="0" w:line="240" w:lineRule="auto"/>
              <w:jc w:val="center"/>
              <w:rPr>
                <w:rFonts w:ascii="Times New Roman" w:hAnsi="Times New Roman" w:eastAsia="Times New Roman" w:cs="Times New Roman"/>
                <w:color w:val="000000"/>
                <w:sz w:val="20"/>
                <w:szCs w:val="20"/>
              </w:rPr>
            </w:pPr>
            <w:r w:rsidRPr="00C84427">
              <w:rPr>
                <w:rFonts w:ascii="Times New Roman" w:hAnsi="Times New Roman" w:eastAsia="Times New Roman" w:cs="Times New Roman"/>
                <w:color w:val="000000"/>
                <w:sz w:val="20"/>
                <w:szCs w:val="20"/>
              </w:rPr>
              <w:t>9</w:t>
            </w:r>
            <w:r w:rsidRPr="00C84427" w:rsidR="00F51276">
              <w:rPr>
                <w:rFonts w:ascii="Times New Roman" w:hAnsi="Times New Roman" w:eastAsia="Times New Roman" w:cs="Times New Roman"/>
                <w:color w:val="000000"/>
                <w:sz w:val="20"/>
                <w:szCs w:val="20"/>
              </w:rPr>
              <w:t>3,036</w:t>
            </w:r>
          </w:p>
        </w:tc>
        <w:tc>
          <w:tcPr>
            <w:tcW w:w="1260" w:type="dxa"/>
            <w:tcBorders>
              <w:top w:val="single" w:color="auto" w:sz="4" w:space="0"/>
              <w:left w:val="nil"/>
              <w:bottom w:val="single" w:color="auto" w:sz="4" w:space="0"/>
              <w:right w:val="single" w:color="auto" w:sz="4" w:space="0"/>
            </w:tcBorders>
            <w:shd w:val="clear" w:color="auto" w:fill="auto"/>
            <w:vAlign w:val="center"/>
            <w:hideMark/>
          </w:tcPr>
          <w:p w:rsidRPr="00C84427" w:rsidR="00550F6C" w:rsidP="0094555B" w:rsidRDefault="00550F6C" w14:paraId="1A7071FC" w14:textId="77777777">
            <w:pPr>
              <w:spacing w:after="0" w:line="240" w:lineRule="auto"/>
              <w:jc w:val="center"/>
              <w:rPr>
                <w:rFonts w:ascii="Times New Roman" w:hAnsi="Times New Roman" w:eastAsia="Times New Roman" w:cs="Times New Roman"/>
                <w:color w:val="000000"/>
                <w:sz w:val="20"/>
                <w:szCs w:val="20"/>
              </w:rPr>
            </w:pPr>
            <w:r w:rsidRPr="00C84427">
              <w:rPr>
                <w:rFonts w:ascii="Times New Roman" w:hAnsi="Times New Roman" w:eastAsia="Times New Roman" w:cs="Times New Roman"/>
                <w:color w:val="000000"/>
                <w:sz w:val="20"/>
                <w:szCs w:val="20"/>
              </w:rPr>
              <w:t>Varies</w:t>
            </w:r>
          </w:p>
        </w:tc>
        <w:tc>
          <w:tcPr>
            <w:tcW w:w="2160" w:type="dxa"/>
            <w:tcBorders>
              <w:top w:val="single" w:color="auto" w:sz="4" w:space="0"/>
              <w:left w:val="nil"/>
              <w:bottom w:val="single" w:color="auto" w:sz="4" w:space="0"/>
              <w:right w:val="single" w:color="auto" w:sz="4" w:space="0"/>
            </w:tcBorders>
            <w:shd w:val="clear" w:color="auto" w:fill="auto"/>
            <w:noWrap/>
            <w:vAlign w:val="center"/>
            <w:hideMark/>
          </w:tcPr>
          <w:p w:rsidRPr="00C84427" w:rsidR="00550F6C" w:rsidP="0094555B" w:rsidRDefault="00F51276" w14:paraId="66D185AB" w14:textId="41D82A12">
            <w:pPr>
              <w:spacing w:after="0" w:line="240" w:lineRule="auto"/>
              <w:jc w:val="center"/>
              <w:rPr>
                <w:rFonts w:ascii="Times New Roman" w:hAnsi="Times New Roman" w:eastAsia="Times New Roman" w:cs="Times New Roman"/>
                <w:color w:val="000000"/>
                <w:sz w:val="20"/>
                <w:szCs w:val="20"/>
              </w:rPr>
            </w:pPr>
            <w:r w:rsidRPr="00C84427">
              <w:rPr>
                <w:rFonts w:ascii="Times New Roman" w:hAnsi="Times New Roman" w:eastAsia="Times New Roman" w:cs="Times New Roman"/>
                <w:color w:val="000000"/>
                <w:sz w:val="20"/>
                <w:szCs w:val="20"/>
              </w:rPr>
              <w:t>4,478,34</w:t>
            </w:r>
            <w:r w:rsidRPr="00C84427" w:rsidR="000843F8">
              <w:rPr>
                <w:rFonts w:ascii="Times New Roman" w:hAnsi="Times New Roman" w:eastAsia="Times New Roman" w:cs="Times New Roman"/>
                <w:color w:val="000000"/>
                <w:sz w:val="20"/>
                <w:szCs w:val="20"/>
              </w:rPr>
              <w:t>5</w:t>
            </w:r>
          </w:p>
        </w:tc>
      </w:tr>
      <w:tr w:rsidRPr="00C84427" w:rsidR="00496969" w:rsidTr="00D553E9" w14:paraId="22E5EA80" w14:textId="77777777">
        <w:trPr>
          <w:trHeight w:val="300"/>
        </w:trPr>
        <w:tc>
          <w:tcPr>
            <w:tcW w:w="305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C84427" w:rsidR="00550F6C" w:rsidP="0094555B" w:rsidRDefault="00550F6C" w14:paraId="5754BD2E" w14:textId="77777777">
            <w:pPr>
              <w:spacing w:after="0" w:line="240" w:lineRule="auto"/>
              <w:rPr>
                <w:rFonts w:ascii="Times New Roman" w:hAnsi="Times New Roman" w:eastAsia="Times New Roman" w:cs="Times New Roman"/>
                <w:color w:val="000000"/>
                <w:sz w:val="20"/>
                <w:szCs w:val="20"/>
              </w:rPr>
            </w:pPr>
            <w:r w:rsidRPr="00C84427">
              <w:rPr>
                <w:rFonts w:ascii="Times New Roman" w:hAnsi="Times New Roman" w:eastAsia="Times New Roman" w:cs="Times New Roman"/>
                <w:color w:val="000000"/>
                <w:sz w:val="20"/>
                <w:szCs w:val="20"/>
              </w:rPr>
              <w:t>Private Sector</w:t>
            </w:r>
          </w:p>
        </w:tc>
        <w:tc>
          <w:tcPr>
            <w:tcW w:w="1710" w:type="dxa"/>
            <w:tcBorders>
              <w:top w:val="nil"/>
              <w:left w:val="nil"/>
              <w:bottom w:val="single" w:color="auto" w:sz="4" w:space="0"/>
              <w:right w:val="single" w:color="auto" w:sz="4" w:space="0"/>
            </w:tcBorders>
            <w:shd w:val="clear" w:color="auto" w:fill="auto"/>
            <w:noWrap/>
            <w:vAlign w:val="center"/>
            <w:hideMark/>
          </w:tcPr>
          <w:p w:rsidRPr="00C84427" w:rsidR="00550F6C" w:rsidP="0094555B" w:rsidRDefault="00550F6C" w14:paraId="68EA642D" w14:textId="77777777">
            <w:pPr>
              <w:spacing w:after="0" w:line="240" w:lineRule="auto"/>
              <w:jc w:val="center"/>
              <w:rPr>
                <w:rFonts w:ascii="Times New Roman" w:hAnsi="Times New Roman" w:eastAsia="Times New Roman" w:cs="Times New Roman"/>
                <w:color w:val="000000"/>
                <w:sz w:val="20"/>
                <w:szCs w:val="20"/>
              </w:rPr>
            </w:pPr>
            <w:r w:rsidRPr="00C84427">
              <w:rPr>
                <w:rFonts w:ascii="Times New Roman" w:hAnsi="Times New Roman" w:eastAsia="Times New Roman" w:cs="Times New Roman"/>
                <w:color w:val="000000"/>
                <w:sz w:val="20"/>
                <w:szCs w:val="20"/>
              </w:rPr>
              <w:t>568</w:t>
            </w:r>
          </w:p>
        </w:tc>
        <w:tc>
          <w:tcPr>
            <w:tcW w:w="1800" w:type="dxa"/>
            <w:tcBorders>
              <w:top w:val="nil"/>
              <w:left w:val="nil"/>
              <w:bottom w:val="single" w:color="auto" w:sz="4" w:space="0"/>
              <w:right w:val="single" w:color="auto" w:sz="4" w:space="0"/>
            </w:tcBorders>
            <w:shd w:val="clear" w:color="auto" w:fill="auto"/>
            <w:noWrap/>
            <w:vAlign w:val="center"/>
            <w:hideMark/>
          </w:tcPr>
          <w:p w:rsidRPr="00C84427" w:rsidR="00550F6C" w:rsidP="0094555B" w:rsidRDefault="00A0649D" w14:paraId="031203B8" w14:textId="6E4C1561">
            <w:pPr>
              <w:spacing w:after="0" w:line="240" w:lineRule="auto"/>
              <w:jc w:val="center"/>
              <w:rPr>
                <w:rFonts w:ascii="Times New Roman" w:hAnsi="Times New Roman" w:eastAsia="Times New Roman" w:cs="Times New Roman"/>
                <w:color w:val="000000"/>
                <w:sz w:val="20"/>
                <w:szCs w:val="20"/>
              </w:rPr>
            </w:pPr>
            <w:r w:rsidRPr="00C84427">
              <w:rPr>
                <w:rFonts w:ascii="Times New Roman" w:hAnsi="Times New Roman" w:eastAsia="Times New Roman" w:cs="Times New Roman"/>
                <w:color w:val="000000"/>
                <w:sz w:val="20"/>
                <w:szCs w:val="20"/>
              </w:rPr>
              <w:t>9,573,165</w:t>
            </w:r>
          </w:p>
        </w:tc>
        <w:tc>
          <w:tcPr>
            <w:tcW w:w="1530" w:type="dxa"/>
            <w:tcBorders>
              <w:top w:val="nil"/>
              <w:left w:val="nil"/>
              <w:bottom w:val="single" w:color="auto" w:sz="4" w:space="0"/>
              <w:right w:val="single" w:color="auto" w:sz="4" w:space="0"/>
            </w:tcBorders>
            <w:shd w:val="clear" w:color="auto" w:fill="auto"/>
            <w:vAlign w:val="center"/>
            <w:hideMark/>
          </w:tcPr>
          <w:p w:rsidRPr="00C84427" w:rsidR="00550F6C" w:rsidP="0094555B" w:rsidRDefault="00550F6C" w14:paraId="65255680" w14:textId="77777777">
            <w:pPr>
              <w:spacing w:after="0" w:line="240" w:lineRule="auto"/>
              <w:jc w:val="center"/>
              <w:rPr>
                <w:rFonts w:ascii="Times New Roman" w:hAnsi="Times New Roman" w:eastAsia="Times New Roman" w:cs="Times New Roman"/>
                <w:color w:val="000000"/>
                <w:sz w:val="20"/>
                <w:szCs w:val="20"/>
              </w:rPr>
            </w:pPr>
            <w:r w:rsidRPr="00C84427">
              <w:rPr>
                <w:rFonts w:ascii="Times New Roman" w:hAnsi="Times New Roman" w:eastAsia="Times New Roman" w:cs="Times New Roman"/>
                <w:color w:val="000000"/>
                <w:sz w:val="20"/>
                <w:szCs w:val="20"/>
              </w:rPr>
              <w:t>Varies</w:t>
            </w:r>
          </w:p>
        </w:tc>
        <w:tc>
          <w:tcPr>
            <w:tcW w:w="1710" w:type="dxa"/>
            <w:tcBorders>
              <w:top w:val="nil"/>
              <w:left w:val="nil"/>
              <w:bottom w:val="single" w:color="auto" w:sz="4" w:space="0"/>
              <w:right w:val="single" w:color="auto" w:sz="4" w:space="0"/>
            </w:tcBorders>
            <w:shd w:val="clear" w:color="auto" w:fill="auto"/>
            <w:noWrap/>
            <w:vAlign w:val="center"/>
            <w:hideMark/>
          </w:tcPr>
          <w:p w:rsidRPr="00C84427" w:rsidR="00550F6C" w:rsidP="0094555B" w:rsidRDefault="00A0649D" w14:paraId="6474503B" w14:textId="77DD2904">
            <w:pPr>
              <w:spacing w:after="0" w:line="240" w:lineRule="auto"/>
              <w:jc w:val="center"/>
              <w:rPr>
                <w:rFonts w:ascii="Times New Roman" w:hAnsi="Times New Roman" w:eastAsia="Times New Roman" w:cs="Times New Roman"/>
                <w:color w:val="000000"/>
                <w:sz w:val="20"/>
                <w:szCs w:val="20"/>
              </w:rPr>
            </w:pPr>
            <w:r w:rsidRPr="00C84427">
              <w:rPr>
                <w:rFonts w:ascii="Times New Roman" w:hAnsi="Times New Roman" w:eastAsia="Times New Roman" w:cs="Times New Roman"/>
                <w:color w:val="000000"/>
                <w:sz w:val="20"/>
                <w:szCs w:val="20"/>
              </w:rPr>
              <w:t>1,589,375</w:t>
            </w:r>
          </w:p>
        </w:tc>
        <w:tc>
          <w:tcPr>
            <w:tcW w:w="1260" w:type="dxa"/>
            <w:tcBorders>
              <w:top w:val="nil"/>
              <w:left w:val="nil"/>
              <w:bottom w:val="single" w:color="auto" w:sz="4" w:space="0"/>
              <w:right w:val="single" w:color="auto" w:sz="4" w:space="0"/>
            </w:tcBorders>
            <w:shd w:val="clear" w:color="auto" w:fill="auto"/>
            <w:vAlign w:val="center"/>
            <w:hideMark/>
          </w:tcPr>
          <w:p w:rsidRPr="00C84427" w:rsidR="00550F6C" w:rsidP="0094555B" w:rsidRDefault="00550F6C" w14:paraId="5D36CF35" w14:textId="77777777">
            <w:pPr>
              <w:spacing w:after="0" w:line="240" w:lineRule="auto"/>
              <w:jc w:val="center"/>
              <w:rPr>
                <w:rFonts w:ascii="Times New Roman" w:hAnsi="Times New Roman" w:eastAsia="Times New Roman" w:cs="Times New Roman"/>
                <w:color w:val="000000"/>
                <w:sz w:val="20"/>
                <w:szCs w:val="20"/>
              </w:rPr>
            </w:pPr>
            <w:r w:rsidRPr="00C84427">
              <w:rPr>
                <w:rFonts w:ascii="Times New Roman" w:hAnsi="Times New Roman" w:eastAsia="Times New Roman" w:cs="Times New Roman"/>
                <w:color w:val="000000"/>
                <w:sz w:val="20"/>
                <w:szCs w:val="20"/>
              </w:rPr>
              <w:t>Varies</w:t>
            </w:r>
          </w:p>
        </w:tc>
        <w:tc>
          <w:tcPr>
            <w:tcW w:w="2160" w:type="dxa"/>
            <w:tcBorders>
              <w:top w:val="nil"/>
              <w:left w:val="nil"/>
              <w:bottom w:val="single" w:color="auto" w:sz="4" w:space="0"/>
              <w:right w:val="single" w:color="auto" w:sz="4" w:space="0"/>
            </w:tcBorders>
            <w:shd w:val="clear" w:color="auto" w:fill="auto"/>
            <w:noWrap/>
            <w:vAlign w:val="center"/>
            <w:hideMark/>
          </w:tcPr>
          <w:p w:rsidRPr="00C84427" w:rsidR="00550F6C" w:rsidP="0094555B" w:rsidRDefault="00A0649D" w14:paraId="1AB8140D" w14:textId="14B26988">
            <w:pPr>
              <w:spacing w:after="0" w:line="240" w:lineRule="auto"/>
              <w:jc w:val="center"/>
              <w:rPr>
                <w:rFonts w:ascii="Times New Roman" w:hAnsi="Times New Roman" w:eastAsia="Times New Roman" w:cs="Times New Roman"/>
                <w:color w:val="000000"/>
                <w:sz w:val="20"/>
                <w:szCs w:val="20"/>
              </w:rPr>
            </w:pPr>
            <w:r w:rsidRPr="00C84427">
              <w:rPr>
                <w:rFonts w:ascii="Times New Roman" w:hAnsi="Times New Roman" w:eastAsia="Times New Roman" w:cs="Times New Roman"/>
                <w:color w:val="000000"/>
                <w:sz w:val="20"/>
                <w:szCs w:val="20"/>
              </w:rPr>
              <w:t>9</w:t>
            </w:r>
            <w:r w:rsidRPr="00C84427" w:rsidR="00F51276">
              <w:rPr>
                <w:rFonts w:ascii="Times New Roman" w:hAnsi="Times New Roman" w:eastAsia="Times New Roman" w:cs="Times New Roman"/>
                <w:color w:val="000000"/>
                <w:sz w:val="20"/>
                <w:szCs w:val="20"/>
              </w:rPr>
              <w:t>7,441,122</w:t>
            </w:r>
          </w:p>
        </w:tc>
      </w:tr>
      <w:tr w:rsidRPr="0094555B" w:rsidR="00AA7A65" w:rsidTr="00D553E9" w14:paraId="586CADB0" w14:textId="77777777">
        <w:trPr>
          <w:trHeight w:val="300"/>
        </w:trPr>
        <w:tc>
          <w:tcPr>
            <w:tcW w:w="3050" w:type="dxa"/>
            <w:tcBorders>
              <w:top w:val="single" w:color="auto" w:sz="4" w:space="0"/>
              <w:left w:val="single" w:color="auto" w:sz="4" w:space="0"/>
              <w:bottom w:val="single" w:color="auto" w:sz="4" w:space="0"/>
              <w:right w:val="single" w:color="auto" w:sz="4" w:space="0"/>
            </w:tcBorders>
            <w:shd w:val="clear" w:color="000000" w:fill="D9D9D9"/>
            <w:noWrap/>
            <w:vAlign w:val="bottom"/>
            <w:hideMark/>
          </w:tcPr>
          <w:p w:rsidRPr="00C84427" w:rsidR="00550F6C" w:rsidP="0094555B" w:rsidRDefault="00550F6C" w14:paraId="6961F7AE" w14:textId="77777777">
            <w:pPr>
              <w:spacing w:after="0" w:line="240" w:lineRule="auto"/>
              <w:rPr>
                <w:rFonts w:ascii="Times New Roman" w:hAnsi="Times New Roman" w:eastAsia="Times New Roman" w:cs="Times New Roman"/>
                <w:color w:val="000000"/>
                <w:sz w:val="20"/>
                <w:szCs w:val="20"/>
              </w:rPr>
            </w:pPr>
            <w:r w:rsidRPr="00C84427">
              <w:rPr>
                <w:rFonts w:ascii="Times New Roman" w:hAnsi="Times New Roman" w:eastAsia="Times New Roman" w:cs="Times New Roman"/>
                <w:color w:val="000000"/>
                <w:sz w:val="20"/>
                <w:szCs w:val="20"/>
              </w:rPr>
              <w:t>TOTAL</w:t>
            </w:r>
          </w:p>
        </w:tc>
        <w:tc>
          <w:tcPr>
            <w:tcW w:w="1710" w:type="dxa"/>
            <w:tcBorders>
              <w:top w:val="nil"/>
              <w:left w:val="nil"/>
              <w:bottom w:val="single" w:color="auto" w:sz="4" w:space="0"/>
              <w:right w:val="single" w:color="auto" w:sz="4" w:space="0"/>
            </w:tcBorders>
            <w:shd w:val="clear" w:color="000000" w:fill="D9D9D9"/>
            <w:noWrap/>
            <w:vAlign w:val="center"/>
            <w:hideMark/>
          </w:tcPr>
          <w:p w:rsidRPr="00C84427" w:rsidR="00550F6C" w:rsidP="0094555B" w:rsidRDefault="00550F6C" w14:paraId="6E67BD7A" w14:textId="77777777">
            <w:pPr>
              <w:spacing w:after="0" w:line="240" w:lineRule="auto"/>
              <w:jc w:val="center"/>
              <w:rPr>
                <w:rFonts w:ascii="Times New Roman" w:hAnsi="Times New Roman" w:eastAsia="Times New Roman" w:cs="Times New Roman"/>
                <w:color w:val="000000"/>
                <w:sz w:val="20"/>
                <w:szCs w:val="20"/>
              </w:rPr>
            </w:pPr>
            <w:r w:rsidRPr="00C84427">
              <w:rPr>
                <w:rFonts w:ascii="Times New Roman" w:hAnsi="Times New Roman" w:eastAsia="Times New Roman" w:cs="Times New Roman"/>
                <w:color w:val="000000"/>
                <w:sz w:val="20"/>
                <w:szCs w:val="20"/>
              </w:rPr>
              <w:t>609</w:t>
            </w:r>
          </w:p>
        </w:tc>
        <w:tc>
          <w:tcPr>
            <w:tcW w:w="1800" w:type="dxa"/>
            <w:tcBorders>
              <w:top w:val="nil"/>
              <w:left w:val="nil"/>
              <w:bottom w:val="single" w:color="auto" w:sz="4" w:space="0"/>
              <w:right w:val="single" w:color="auto" w:sz="4" w:space="0"/>
            </w:tcBorders>
            <w:shd w:val="clear" w:color="000000" w:fill="D9D9D9"/>
            <w:noWrap/>
            <w:vAlign w:val="center"/>
            <w:hideMark/>
          </w:tcPr>
          <w:p w:rsidRPr="00C84427" w:rsidR="00550F6C" w:rsidP="0094555B" w:rsidRDefault="00E47995" w14:paraId="1CDCE769" w14:textId="1B874520">
            <w:pPr>
              <w:spacing w:after="0" w:line="240" w:lineRule="auto"/>
              <w:jc w:val="center"/>
              <w:rPr>
                <w:rFonts w:ascii="Times New Roman" w:hAnsi="Times New Roman" w:eastAsia="Times New Roman" w:cs="Times New Roman"/>
                <w:color w:val="000000"/>
                <w:sz w:val="20"/>
                <w:szCs w:val="20"/>
              </w:rPr>
            </w:pPr>
            <w:r w:rsidRPr="00C84427">
              <w:rPr>
                <w:rFonts w:ascii="Times New Roman" w:hAnsi="Times New Roman" w:eastAsia="Times New Roman" w:cs="Times New Roman"/>
                <w:color w:val="000000"/>
                <w:sz w:val="20"/>
                <w:szCs w:val="20"/>
              </w:rPr>
              <w:t>13,742,</w:t>
            </w:r>
            <w:r w:rsidRPr="00C84427" w:rsidR="004B3F24">
              <w:rPr>
                <w:rFonts w:ascii="Times New Roman" w:hAnsi="Times New Roman" w:eastAsia="Times New Roman" w:cs="Times New Roman"/>
                <w:color w:val="000000"/>
                <w:sz w:val="20"/>
                <w:szCs w:val="20"/>
              </w:rPr>
              <w:t>805</w:t>
            </w:r>
          </w:p>
        </w:tc>
        <w:tc>
          <w:tcPr>
            <w:tcW w:w="1530" w:type="dxa"/>
            <w:tcBorders>
              <w:top w:val="nil"/>
              <w:left w:val="nil"/>
              <w:bottom w:val="single" w:color="auto" w:sz="4" w:space="0"/>
              <w:right w:val="single" w:color="auto" w:sz="4" w:space="0"/>
            </w:tcBorders>
            <w:shd w:val="clear" w:color="000000" w:fill="D9D9D9"/>
            <w:vAlign w:val="center"/>
            <w:hideMark/>
          </w:tcPr>
          <w:p w:rsidRPr="00C84427" w:rsidR="00550F6C" w:rsidP="0094555B" w:rsidRDefault="00550F6C" w14:paraId="61A664CF" w14:textId="77777777">
            <w:pPr>
              <w:spacing w:after="0" w:line="240" w:lineRule="auto"/>
              <w:jc w:val="center"/>
              <w:rPr>
                <w:rFonts w:ascii="Times New Roman" w:hAnsi="Times New Roman" w:eastAsia="Times New Roman" w:cs="Times New Roman"/>
                <w:color w:val="000000"/>
                <w:sz w:val="20"/>
                <w:szCs w:val="20"/>
              </w:rPr>
            </w:pPr>
            <w:r w:rsidRPr="00C84427">
              <w:rPr>
                <w:rFonts w:ascii="Times New Roman" w:hAnsi="Times New Roman" w:eastAsia="Times New Roman" w:cs="Times New Roman"/>
                <w:color w:val="000000"/>
                <w:sz w:val="20"/>
                <w:szCs w:val="20"/>
              </w:rPr>
              <w:t>Varies</w:t>
            </w:r>
          </w:p>
        </w:tc>
        <w:tc>
          <w:tcPr>
            <w:tcW w:w="1710" w:type="dxa"/>
            <w:tcBorders>
              <w:top w:val="nil"/>
              <w:left w:val="nil"/>
              <w:bottom w:val="single" w:color="auto" w:sz="4" w:space="0"/>
              <w:right w:val="single" w:color="auto" w:sz="4" w:space="0"/>
            </w:tcBorders>
            <w:shd w:val="clear" w:color="000000" w:fill="D9D9D9"/>
            <w:noWrap/>
            <w:vAlign w:val="center"/>
            <w:hideMark/>
          </w:tcPr>
          <w:p w:rsidRPr="00C84427" w:rsidR="00550F6C" w:rsidP="0094555B" w:rsidRDefault="00212CAE" w14:paraId="477645D8" w14:textId="2F739160">
            <w:pPr>
              <w:spacing w:after="0" w:line="240" w:lineRule="auto"/>
              <w:jc w:val="center"/>
              <w:rPr>
                <w:rFonts w:ascii="Times New Roman" w:hAnsi="Times New Roman" w:eastAsia="Times New Roman" w:cs="Times New Roman"/>
                <w:color w:val="000000"/>
                <w:sz w:val="20"/>
                <w:szCs w:val="20"/>
              </w:rPr>
            </w:pPr>
            <w:r w:rsidRPr="00C84427">
              <w:rPr>
                <w:rFonts w:ascii="Times New Roman" w:hAnsi="Times New Roman" w:eastAsia="Times New Roman" w:cs="Times New Roman"/>
                <w:color w:val="000000"/>
                <w:sz w:val="20"/>
                <w:szCs w:val="20"/>
              </w:rPr>
              <w:t>1,682,</w:t>
            </w:r>
            <w:r w:rsidRPr="00C84427" w:rsidR="00D66CE6">
              <w:rPr>
                <w:rFonts w:ascii="Times New Roman" w:hAnsi="Times New Roman" w:eastAsia="Times New Roman" w:cs="Times New Roman"/>
                <w:color w:val="000000"/>
                <w:sz w:val="20"/>
                <w:szCs w:val="20"/>
              </w:rPr>
              <w:t>411</w:t>
            </w:r>
          </w:p>
        </w:tc>
        <w:tc>
          <w:tcPr>
            <w:tcW w:w="1260" w:type="dxa"/>
            <w:tcBorders>
              <w:top w:val="nil"/>
              <w:left w:val="nil"/>
              <w:bottom w:val="single" w:color="auto" w:sz="4" w:space="0"/>
              <w:right w:val="single" w:color="auto" w:sz="4" w:space="0"/>
            </w:tcBorders>
            <w:shd w:val="clear" w:color="000000" w:fill="D9D9D9"/>
            <w:vAlign w:val="center"/>
            <w:hideMark/>
          </w:tcPr>
          <w:p w:rsidRPr="00C84427" w:rsidR="00550F6C" w:rsidP="0094555B" w:rsidRDefault="00550F6C" w14:paraId="1F6257D9" w14:textId="77777777">
            <w:pPr>
              <w:spacing w:after="0" w:line="240" w:lineRule="auto"/>
              <w:jc w:val="center"/>
              <w:rPr>
                <w:rFonts w:ascii="Times New Roman" w:hAnsi="Times New Roman" w:eastAsia="Times New Roman" w:cs="Times New Roman"/>
                <w:color w:val="000000"/>
                <w:sz w:val="20"/>
                <w:szCs w:val="20"/>
              </w:rPr>
            </w:pPr>
            <w:r w:rsidRPr="00C84427">
              <w:rPr>
                <w:rFonts w:ascii="Times New Roman" w:hAnsi="Times New Roman" w:eastAsia="Times New Roman" w:cs="Times New Roman"/>
                <w:color w:val="000000"/>
                <w:sz w:val="20"/>
                <w:szCs w:val="20"/>
              </w:rPr>
              <w:t>Varies</w:t>
            </w:r>
          </w:p>
        </w:tc>
        <w:tc>
          <w:tcPr>
            <w:tcW w:w="2160" w:type="dxa"/>
            <w:tcBorders>
              <w:top w:val="nil"/>
              <w:left w:val="nil"/>
              <w:bottom w:val="single" w:color="auto" w:sz="4" w:space="0"/>
              <w:right w:val="single" w:color="auto" w:sz="4" w:space="0"/>
            </w:tcBorders>
            <w:shd w:val="clear" w:color="000000" w:fill="D9D9D9"/>
            <w:noWrap/>
            <w:vAlign w:val="center"/>
            <w:hideMark/>
          </w:tcPr>
          <w:p w:rsidRPr="00C84427" w:rsidR="00550F6C" w:rsidP="0094555B" w:rsidRDefault="00F51276" w14:paraId="1AD0D449" w14:textId="5EC2AB38">
            <w:pPr>
              <w:spacing w:after="0" w:line="240" w:lineRule="auto"/>
              <w:jc w:val="center"/>
              <w:rPr>
                <w:rFonts w:ascii="Times New Roman" w:hAnsi="Times New Roman" w:eastAsia="Times New Roman" w:cs="Times New Roman"/>
                <w:color w:val="000000"/>
                <w:sz w:val="20"/>
                <w:szCs w:val="20"/>
              </w:rPr>
            </w:pPr>
            <w:bookmarkStart w:name="_Hlk85015828" w:id="57"/>
            <w:r w:rsidRPr="00C84427">
              <w:rPr>
                <w:rFonts w:ascii="Times New Roman" w:hAnsi="Times New Roman" w:eastAsia="Times New Roman" w:cs="Times New Roman"/>
                <w:color w:val="000000"/>
                <w:sz w:val="20"/>
                <w:szCs w:val="20"/>
              </w:rPr>
              <w:t>101,919,46</w:t>
            </w:r>
            <w:bookmarkEnd w:id="57"/>
            <w:r w:rsidRPr="00C84427" w:rsidR="000843F8">
              <w:rPr>
                <w:rFonts w:ascii="Times New Roman" w:hAnsi="Times New Roman" w:eastAsia="Times New Roman" w:cs="Times New Roman"/>
                <w:color w:val="000000"/>
                <w:sz w:val="20"/>
                <w:szCs w:val="20"/>
              </w:rPr>
              <w:t>7</w:t>
            </w:r>
          </w:p>
        </w:tc>
      </w:tr>
    </w:tbl>
    <w:p w:rsidR="00F7522D" w:rsidP="0094555B" w:rsidRDefault="00F7522D" w14:paraId="6E92CB5F" w14:textId="77777777">
      <w:pPr>
        <w:pStyle w:val="BodyText"/>
        <w:spacing w:after="0" w:line="240" w:lineRule="auto"/>
        <w:sectPr w:rsidR="00F7522D" w:rsidSect="00F7522D">
          <w:pgSz w:w="15840" w:h="12240" w:orient="landscape"/>
          <w:pgMar w:top="1440" w:right="1440" w:bottom="1440" w:left="1440" w:header="720" w:footer="720" w:gutter="0"/>
          <w:cols w:space="720"/>
          <w:docGrid w:linePitch="360"/>
        </w:sectPr>
      </w:pPr>
    </w:p>
    <w:p w:rsidRPr="0094555B" w:rsidR="006D1463" w:rsidP="0094555B" w:rsidRDefault="006D1463" w14:paraId="55C66FFC" w14:textId="32F14FE5">
      <w:pPr>
        <w:pStyle w:val="BodyText"/>
        <w:spacing w:after="0" w:line="240" w:lineRule="auto"/>
      </w:pPr>
    </w:p>
    <w:p w:rsidRPr="0036140B" w:rsidR="00D73D13" w:rsidP="0094555B" w:rsidRDefault="00D73D13" w14:paraId="0D3B99D4" w14:textId="48CA5D51">
      <w:pPr>
        <w:pStyle w:val="BodyText"/>
        <w:rPr>
          <w:rFonts w:ascii="Times New Roman" w:hAnsi="Times New Roman" w:cs="Times New Roman"/>
          <w:i/>
        </w:rPr>
      </w:pPr>
      <w:r w:rsidRPr="0036140B">
        <w:rPr>
          <w:rFonts w:ascii="Times New Roman" w:hAnsi="Times New Roman" w:cs="Times New Roman"/>
          <w:i/>
        </w:rPr>
        <w:t>12.4 Collection of Information Instruments and Instruction/Guidance Documents</w:t>
      </w:r>
    </w:p>
    <w:p w:rsidR="00D73D13" w:rsidP="0094555B" w:rsidRDefault="00CB3AD8" w14:paraId="553DCC06" w14:textId="2DA3B9BA">
      <w:pPr>
        <w:pStyle w:val="BodyText"/>
      </w:pPr>
      <w:r w:rsidRPr="0036140B">
        <w:rPr>
          <w:rFonts w:ascii="Times New Roman" w:hAnsi="Times New Roman" w:cs="Times New Roman"/>
        </w:rPr>
        <w:t>For Estimate 12.26 and the requirement under §438.66(e), see the attached Managed Care Program Annual Report (MCPAR).</w:t>
      </w:r>
      <w:r>
        <w:t xml:space="preserve"> </w:t>
      </w:r>
    </w:p>
    <w:p w:rsidRPr="0036140B" w:rsidR="00FD4FE0" w:rsidP="0094555B" w:rsidRDefault="00FD4FE0" w14:paraId="62A93F0D" w14:textId="7D18E33E">
      <w:pPr>
        <w:pStyle w:val="BodyText"/>
        <w:rPr>
          <w:rFonts w:ascii="Times New Roman" w:hAnsi="Times New Roman" w:cs="Times New Roman"/>
        </w:rPr>
      </w:pPr>
      <w:r w:rsidRPr="0036140B">
        <w:rPr>
          <w:rFonts w:ascii="Times New Roman" w:hAnsi="Times New Roman" w:cs="Times New Roman"/>
        </w:rPr>
        <w:t>For Estimate 12.</w:t>
      </w:r>
      <w:r w:rsidRPr="0036140B" w:rsidR="006C55C3">
        <w:rPr>
          <w:rFonts w:ascii="Times New Roman" w:hAnsi="Times New Roman" w:cs="Times New Roman"/>
        </w:rPr>
        <w:t>65</w:t>
      </w:r>
      <w:r w:rsidRPr="0036140B">
        <w:rPr>
          <w:rFonts w:ascii="Times New Roman" w:hAnsi="Times New Roman" w:cs="Times New Roman"/>
        </w:rPr>
        <w:t xml:space="preserve"> and the requirement under §438.74(a), see the attached MLR Reporting T</w:t>
      </w:r>
      <w:r w:rsidR="00794504">
        <w:rPr>
          <w:rFonts w:ascii="Times New Roman" w:hAnsi="Times New Roman" w:cs="Times New Roman"/>
        </w:rPr>
        <w:t>ool</w:t>
      </w:r>
      <w:r w:rsidRPr="0036140B">
        <w:rPr>
          <w:rFonts w:ascii="Times New Roman" w:hAnsi="Times New Roman" w:cs="Times New Roman"/>
        </w:rPr>
        <w:t>.</w:t>
      </w:r>
    </w:p>
    <w:p w:rsidR="00FD4FE0" w:rsidP="0094555B" w:rsidRDefault="00FD4FE0" w14:paraId="2BF56089" w14:textId="5612C061">
      <w:pPr>
        <w:pStyle w:val="BodyText"/>
      </w:pPr>
      <w:r w:rsidRPr="0036140B">
        <w:rPr>
          <w:rFonts w:ascii="Times New Roman" w:hAnsi="Times New Roman" w:cs="Times New Roman"/>
        </w:rPr>
        <w:t>For Estimate 12.</w:t>
      </w:r>
      <w:r w:rsidRPr="0036140B" w:rsidR="006C55C3">
        <w:rPr>
          <w:rFonts w:ascii="Times New Roman" w:hAnsi="Times New Roman" w:cs="Times New Roman"/>
        </w:rPr>
        <w:t>34c</w:t>
      </w:r>
      <w:r w:rsidRPr="0036140B">
        <w:rPr>
          <w:rFonts w:ascii="Times New Roman" w:hAnsi="Times New Roman" w:cs="Times New Roman"/>
        </w:rPr>
        <w:t xml:space="preserve"> and the requirement under §438.207(d), see the attached Network Adequacy </w:t>
      </w:r>
      <w:r w:rsidR="00794504">
        <w:rPr>
          <w:rFonts w:ascii="Times New Roman" w:hAnsi="Times New Roman" w:cs="Times New Roman"/>
        </w:rPr>
        <w:t xml:space="preserve">and Access </w:t>
      </w:r>
      <w:r w:rsidRPr="0036140B">
        <w:rPr>
          <w:rFonts w:ascii="Times New Roman" w:hAnsi="Times New Roman" w:cs="Times New Roman"/>
        </w:rPr>
        <w:t>Assurances Tool.</w:t>
      </w:r>
    </w:p>
    <w:p w:rsidRPr="0094555B" w:rsidR="00D73D13" w:rsidP="0094555B" w:rsidRDefault="00D73D13" w14:paraId="3828C9FA" w14:textId="77777777">
      <w:pPr>
        <w:pStyle w:val="BodyText"/>
      </w:pPr>
    </w:p>
    <w:p w:rsidRPr="0094555B" w:rsidR="00FC2882" w:rsidP="0094555B" w:rsidRDefault="00FC2882" w14:paraId="42407923" w14:textId="4B14EA2A">
      <w:pPr>
        <w:pStyle w:val="Heading3"/>
        <w:numPr>
          <w:ilvl w:val="0"/>
          <w:numId w:val="2"/>
        </w:numPr>
        <w:rPr>
          <w:rFonts w:ascii="Times New Roman" w:hAnsi="Times New Roman" w:cs="Times New Roman"/>
          <w:i/>
          <w:color w:val="auto"/>
          <w:u w:val="single"/>
        </w:rPr>
      </w:pPr>
      <w:bookmarkStart w:name="_Toc528571034" w:id="58"/>
      <w:bookmarkStart w:name="_Toc528571502" w:id="59"/>
      <w:bookmarkStart w:name="_Toc528571596" w:id="60"/>
      <w:r w:rsidRPr="0094555B">
        <w:rPr>
          <w:rFonts w:ascii="Times New Roman" w:hAnsi="Times New Roman" w:cs="Times New Roman"/>
          <w:color w:val="auto"/>
          <w:u w:val="single"/>
        </w:rPr>
        <w:t>Capital Costs (</w:t>
      </w:r>
      <w:r w:rsidRPr="0094555B" w:rsidR="00EC2906">
        <w:rPr>
          <w:rFonts w:ascii="Times New Roman" w:hAnsi="Times New Roman" w:cs="Times New Roman"/>
          <w:color w:val="auto"/>
          <w:u w:val="single"/>
        </w:rPr>
        <w:t>Maintenance</w:t>
      </w:r>
      <w:r w:rsidRPr="0094555B">
        <w:rPr>
          <w:rFonts w:ascii="Times New Roman" w:hAnsi="Times New Roman" w:cs="Times New Roman"/>
          <w:color w:val="auto"/>
          <w:u w:val="single"/>
        </w:rPr>
        <w:t xml:space="preserve"> of </w:t>
      </w:r>
      <w:r w:rsidRPr="0094555B" w:rsidR="00EC2906">
        <w:rPr>
          <w:rFonts w:ascii="Times New Roman" w:hAnsi="Times New Roman" w:cs="Times New Roman"/>
          <w:color w:val="auto"/>
          <w:u w:val="single"/>
        </w:rPr>
        <w:t>Capital</w:t>
      </w:r>
      <w:r w:rsidRPr="0094555B">
        <w:rPr>
          <w:rFonts w:ascii="Times New Roman" w:hAnsi="Times New Roman" w:cs="Times New Roman"/>
          <w:color w:val="auto"/>
          <w:u w:val="single"/>
        </w:rPr>
        <w:t xml:space="preserve"> Costs)</w:t>
      </w:r>
      <w:r w:rsidRPr="0094555B">
        <w:rPr>
          <w:rFonts w:ascii="Times New Roman" w:hAnsi="Times New Roman" w:cs="Times New Roman"/>
          <w:i/>
          <w:color w:val="auto"/>
          <w:u w:val="single"/>
        </w:rPr>
        <w:t>:</w:t>
      </w:r>
      <w:bookmarkEnd w:id="58"/>
      <w:bookmarkEnd w:id="59"/>
      <w:bookmarkEnd w:id="60"/>
    </w:p>
    <w:p w:rsidRPr="0094555B" w:rsidR="0053445D" w:rsidP="0094555B" w:rsidRDefault="0053445D" w14:paraId="7C6823CC" w14:textId="77777777"/>
    <w:p w:rsidRPr="0094555B" w:rsidR="00615B73" w:rsidP="0094555B" w:rsidRDefault="00615B73" w14:paraId="3E741532" w14:textId="77777777">
      <w:pPr>
        <w:rPr>
          <w:rFonts w:ascii="Times New Roman" w:hAnsi="Times New Roman" w:cs="Times New Roman"/>
          <w:sz w:val="24"/>
          <w:szCs w:val="24"/>
        </w:rPr>
      </w:pPr>
      <w:r w:rsidRPr="0094555B">
        <w:rPr>
          <w:rFonts w:ascii="Times New Roman" w:hAnsi="Times New Roman" w:cs="Times New Roman"/>
          <w:sz w:val="24"/>
          <w:szCs w:val="24"/>
        </w:rPr>
        <w:t>There are no capital costs.</w:t>
      </w:r>
    </w:p>
    <w:p w:rsidRPr="0094555B" w:rsidR="00FC2882" w:rsidP="0094555B" w:rsidRDefault="00FC2882" w14:paraId="065E0512" w14:textId="28DDAFA2">
      <w:pPr>
        <w:pStyle w:val="Heading3"/>
        <w:numPr>
          <w:ilvl w:val="0"/>
          <w:numId w:val="2"/>
        </w:numPr>
        <w:rPr>
          <w:rFonts w:ascii="Times New Roman" w:hAnsi="Times New Roman" w:cs="Times New Roman"/>
          <w:color w:val="auto"/>
          <w:u w:val="single"/>
        </w:rPr>
      </w:pPr>
      <w:bookmarkStart w:name="_Toc528571035" w:id="61"/>
      <w:bookmarkStart w:name="_Toc528571503" w:id="62"/>
      <w:bookmarkStart w:name="_Toc528571597" w:id="63"/>
      <w:r w:rsidRPr="0094555B">
        <w:rPr>
          <w:rFonts w:ascii="Times New Roman" w:hAnsi="Times New Roman" w:cs="Times New Roman"/>
          <w:color w:val="auto"/>
          <w:u w:val="single"/>
        </w:rPr>
        <w:t>Cost to Federal Government:</w:t>
      </w:r>
      <w:bookmarkEnd w:id="61"/>
      <w:bookmarkEnd w:id="62"/>
      <w:bookmarkEnd w:id="63"/>
    </w:p>
    <w:p w:rsidRPr="0094555B" w:rsidR="00442BEB" w:rsidP="0094555B" w:rsidRDefault="00442BEB" w14:paraId="29133DD2" w14:textId="77777777">
      <w:pPr>
        <w:rPr>
          <w:rFonts w:ascii="Times New Roman" w:hAnsi="Times New Roman" w:cs="Times New Roman"/>
          <w:sz w:val="24"/>
          <w:szCs w:val="24"/>
        </w:rPr>
      </w:pPr>
    </w:p>
    <w:p w:rsidRPr="00C24DDB" w:rsidR="00615B73" w:rsidP="0094555B" w:rsidRDefault="00615B73" w14:paraId="5FF53836" w14:textId="74D4F6F6">
      <w:pPr>
        <w:rPr>
          <w:rFonts w:ascii="Times New Roman" w:hAnsi="Times New Roman" w:cs="Times New Roman"/>
          <w:sz w:val="24"/>
          <w:szCs w:val="24"/>
        </w:rPr>
      </w:pPr>
      <w:r w:rsidRPr="0094555B">
        <w:rPr>
          <w:rFonts w:ascii="Times New Roman" w:hAnsi="Times New Roman" w:cs="Times New Roman"/>
          <w:sz w:val="24"/>
          <w:szCs w:val="24"/>
        </w:rPr>
        <w:t xml:space="preserve">For the revisions in part 438, we applied a weighted FMAP of 58.44 percent (weighted for enrollment) to estimate the federal share of private sector costs.  This was done to account for private sector costs that are passed to the federal government through the managed </w:t>
      </w:r>
      <w:r w:rsidRPr="00C24DDB">
        <w:rPr>
          <w:rFonts w:ascii="Times New Roman" w:hAnsi="Times New Roman" w:cs="Times New Roman"/>
          <w:sz w:val="24"/>
          <w:szCs w:val="24"/>
        </w:rPr>
        <w:t>care capitation rates.</w:t>
      </w:r>
    </w:p>
    <w:p w:rsidRPr="00C84427" w:rsidR="00C24DDB" w:rsidP="0094555B" w:rsidRDefault="00615B73" w14:paraId="4660FE94" w14:textId="34C6A0AF">
      <w:pPr>
        <w:rPr>
          <w:rFonts w:ascii="Times New Roman" w:hAnsi="Times New Roman" w:cs="Times New Roman"/>
          <w:sz w:val="24"/>
          <w:szCs w:val="24"/>
        </w:rPr>
      </w:pPr>
      <w:r w:rsidRPr="00C24DDB">
        <w:rPr>
          <w:rFonts w:ascii="Times New Roman" w:hAnsi="Times New Roman" w:cs="Times New Roman"/>
          <w:sz w:val="24"/>
          <w:szCs w:val="24"/>
        </w:rPr>
        <w:t xml:space="preserve">For the provisions contained in </w:t>
      </w:r>
      <w:r w:rsidRPr="00C24DDB" w:rsidR="00683299">
        <w:rPr>
          <w:rFonts w:ascii="Times New Roman" w:hAnsi="Times New Roman" w:cs="Times New Roman"/>
          <w:sz w:val="24"/>
          <w:szCs w:val="24"/>
        </w:rPr>
        <w:t xml:space="preserve">section 12 of </w:t>
      </w:r>
      <w:r w:rsidRPr="00C24DDB">
        <w:rPr>
          <w:rFonts w:ascii="Times New Roman" w:hAnsi="Times New Roman" w:cs="Times New Roman"/>
          <w:sz w:val="24"/>
          <w:szCs w:val="24"/>
        </w:rPr>
        <w:t xml:space="preserve">this supporting statement, the annualized cost to the </w:t>
      </w:r>
      <w:r w:rsidRPr="00C84427">
        <w:rPr>
          <w:rFonts w:ascii="Times New Roman" w:hAnsi="Times New Roman" w:cs="Times New Roman"/>
          <w:sz w:val="24"/>
          <w:szCs w:val="24"/>
        </w:rPr>
        <w:t>federal government is $</w:t>
      </w:r>
      <w:r w:rsidRPr="00C84427" w:rsidR="00D66CE6">
        <w:rPr>
          <w:rFonts w:ascii="Times New Roman" w:hAnsi="Times New Roman" w:cs="Times New Roman"/>
          <w:sz w:val="24"/>
          <w:szCs w:val="24"/>
        </w:rPr>
        <w:t>59,561,736</w:t>
      </w:r>
    </w:p>
    <w:p w:rsidRPr="0036140B" w:rsidR="00FC2882" w:rsidP="00C24DDB" w:rsidRDefault="00FC2882" w14:paraId="3B5D5144" w14:textId="430F1D4F">
      <w:pPr>
        <w:pStyle w:val="ListParagraph"/>
        <w:numPr>
          <w:ilvl w:val="0"/>
          <w:numId w:val="9"/>
        </w:numPr>
        <w:ind w:left="360"/>
        <w:rPr>
          <w:rFonts w:ascii="Times New Roman" w:hAnsi="Times New Roman" w:cs="Times New Roman"/>
          <w:u w:val="single"/>
        </w:rPr>
      </w:pPr>
      <w:bookmarkStart w:name="_Toc528571036" w:id="64"/>
      <w:bookmarkStart w:name="_Toc528571504" w:id="65"/>
      <w:bookmarkStart w:name="_Toc528571598" w:id="66"/>
      <w:r w:rsidRPr="0036140B">
        <w:rPr>
          <w:rFonts w:ascii="Times New Roman" w:hAnsi="Times New Roman" w:cs="Times New Roman"/>
          <w:u w:val="single"/>
        </w:rPr>
        <w:t xml:space="preserve">Program </w:t>
      </w:r>
      <w:r w:rsidRPr="0036140B" w:rsidR="00A669A6">
        <w:rPr>
          <w:rFonts w:ascii="Times New Roman" w:hAnsi="Times New Roman" w:cs="Times New Roman"/>
          <w:u w:val="single"/>
        </w:rPr>
        <w:t>and</w:t>
      </w:r>
      <w:r w:rsidRPr="0036140B">
        <w:rPr>
          <w:rFonts w:ascii="Times New Roman" w:hAnsi="Times New Roman" w:cs="Times New Roman"/>
          <w:u w:val="single"/>
        </w:rPr>
        <w:t xml:space="preserve"> Burden Changes:</w:t>
      </w:r>
      <w:bookmarkEnd w:id="64"/>
      <w:bookmarkEnd w:id="65"/>
      <w:bookmarkEnd w:id="66"/>
    </w:p>
    <w:p w:rsidRPr="00111AC6" w:rsidR="00EE0FA1" w:rsidP="00C24DDB" w:rsidRDefault="00E75905" w14:paraId="5F532895" w14:textId="25CD3AEF">
      <w:pPr>
        <w:pStyle w:val="BodyText"/>
        <w:rPr>
          <w:b/>
          <w:sz w:val="24"/>
          <w:szCs w:val="24"/>
        </w:rPr>
      </w:pPr>
      <w:r w:rsidRPr="00111AC6">
        <w:rPr>
          <w:rFonts w:ascii="Times New Roman" w:hAnsi="Times New Roman" w:cs="Times New Roman"/>
          <w:sz w:val="24"/>
          <w:szCs w:val="24"/>
        </w:rPr>
        <w:t>Labor rates have been updated from 2019 to 202</w:t>
      </w:r>
      <w:r w:rsidRPr="00111AC6" w:rsidR="00D553E9">
        <w:rPr>
          <w:rFonts w:ascii="Times New Roman" w:hAnsi="Times New Roman" w:cs="Times New Roman"/>
          <w:sz w:val="24"/>
          <w:szCs w:val="24"/>
        </w:rPr>
        <w:t>0</w:t>
      </w:r>
      <w:r w:rsidRPr="00111AC6">
        <w:rPr>
          <w:rFonts w:ascii="Times New Roman" w:hAnsi="Times New Roman" w:cs="Times New Roman"/>
          <w:sz w:val="24"/>
          <w:szCs w:val="24"/>
        </w:rPr>
        <w:t>.  Additionally, two new burden</w:t>
      </w:r>
      <w:r w:rsidRPr="00111AC6" w:rsidR="00D553E9">
        <w:rPr>
          <w:rFonts w:ascii="Times New Roman" w:hAnsi="Times New Roman" w:cs="Times New Roman"/>
          <w:sz w:val="24"/>
          <w:szCs w:val="24"/>
        </w:rPr>
        <w:t xml:space="preserve"> estimates </w:t>
      </w:r>
      <w:r w:rsidRPr="00111AC6">
        <w:rPr>
          <w:rFonts w:ascii="Times New Roman" w:hAnsi="Times New Roman" w:cs="Times New Roman"/>
          <w:sz w:val="24"/>
          <w:szCs w:val="24"/>
        </w:rPr>
        <w:t>were added as Estimate 12.65 and Estimate 12.3</w:t>
      </w:r>
      <w:r w:rsidRPr="00111AC6" w:rsidR="00C24DDB">
        <w:rPr>
          <w:rFonts w:ascii="Times New Roman" w:hAnsi="Times New Roman" w:cs="Times New Roman"/>
          <w:sz w:val="24"/>
          <w:szCs w:val="24"/>
        </w:rPr>
        <w:t>4</w:t>
      </w:r>
      <w:r w:rsidRPr="00111AC6">
        <w:rPr>
          <w:rFonts w:ascii="Times New Roman" w:hAnsi="Times New Roman" w:cs="Times New Roman"/>
          <w:sz w:val="24"/>
          <w:szCs w:val="24"/>
        </w:rPr>
        <w:t>c</w:t>
      </w:r>
      <w:r w:rsidRPr="00111AC6" w:rsidR="00C24DDB">
        <w:rPr>
          <w:rFonts w:ascii="Times New Roman" w:hAnsi="Times New Roman" w:cs="Times New Roman"/>
          <w:sz w:val="24"/>
          <w:szCs w:val="24"/>
        </w:rPr>
        <w:t>.</w:t>
      </w:r>
      <w:r w:rsidRPr="00111AC6" w:rsidR="0036140B">
        <w:rPr>
          <w:rFonts w:ascii="Times New Roman" w:hAnsi="Times New Roman" w:cs="Times New Roman"/>
          <w:sz w:val="24"/>
          <w:szCs w:val="24"/>
        </w:rPr>
        <w:t xml:space="preserve">  </w:t>
      </w:r>
      <w:r w:rsidRPr="00111AC6" w:rsidR="00111AC6">
        <w:rPr>
          <w:rFonts w:ascii="Times New Roman" w:hAnsi="Times New Roman" w:cs="Times New Roman"/>
          <w:sz w:val="24"/>
          <w:szCs w:val="24"/>
        </w:rPr>
        <w:t xml:space="preserve">These burden estimates accommodate the use of reporting templates for existing reporting requirements at 42 CFR 438.207(d) for network adequacy and access and 438.74 for medical loss ratio. State questions about these reports have demonstrated that a template would help states by articulating the specific data elements needed and by providing an easy to use format that facilitates CMS’ tracking and analysis. The templates will be issued in Excel format initially and converted to an online submission method in the future. The data gathered from these reports will enable CMS to ensure state compliance with regulatory requirements. Estimate 12.65 and Estimate 12.34c </w:t>
      </w:r>
      <w:r w:rsidRPr="00111AC6" w:rsidR="0036140B">
        <w:rPr>
          <w:rFonts w:ascii="Times New Roman" w:hAnsi="Times New Roman" w:cs="Times New Roman"/>
          <w:sz w:val="24"/>
          <w:szCs w:val="24"/>
        </w:rPr>
        <w:t>add 328 hours and $24,705.</w:t>
      </w:r>
      <w:r w:rsidRPr="00111AC6" w:rsidR="00111AC6">
        <w:rPr>
          <w:rFonts w:ascii="Times New Roman" w:hAnsi="Times New Roman" w:cs="Times New Roman"/>
          <w:sz w:val="24"/>
          <w:szCs w:val="24"/>
        </w:rPr>
        <w:t xml:space="preserve"> </w:t>
      </w:r>
    </w:p>
    <w:p w:rsidRPr="0094555B" w:rsidR="00CF476A" w:rsidP="0094555B" w:rsidRDefault="00CF476A" w14:paraId="3E57D191" w14:textId="77777777">
      <w:pPr>
        <w:pStyle w:val="TableCaption"/>
        <w:jc w:val="left"/>
        <w:rPr>
          <w:b w:val="0"/>
        </w:rPr>
      </w:pPr>
    </w:p>
    <w:p w:rsidRPr="0094555B" w:rsidR="00FC2882" w:rsidP="00C24DDB" w:rsidRDefault="00FC2882" w14:paraId="6431E801" w14:textId="7DF5FA70">
      <w:pPr>
        <w:pStyle w:val="Heading3"/>
        <w:numPr>
          <w:ilvl w:val="0"/>
          <w:numId w:val="10"/>
        </w:numPr>
        <w:rPr>
          <w:rFonts w:ascii="Times New Roman" w:hAnsi="Times New Roman" w:cs="Times New Roman"/>
          <w:i/>
          <w:color w:val="auto"/>
          <w:u w:val="single"/>
        </w:rPr>
      </w:pPr>
      <w:bookmarkStart w:name="_Toc528571037" w:id="67"/>
      <w:bookmarkStart w:name="_Toc528571505" w:id="68"/>
      <w:bookmarkStart w:name="_Toc528571599" w:id="69"/>
      <w:r w:rsidRPr="0094555B">
        <w:rPr>
          <w:rFonts w:ascii="Times New Roman" w:hAnsi="Times New Roman" w:cs="Times New Roman"/>
          <w:color w:val="auto"/>
          <w:u w:val="single"/>
        </w:rPr>
        <w:t>Publication and Tabulation Dates</w:t>
      </w:r>
      <w:r w:rsidRPr="0094555B">
        <w:rPr>
          <w:rFonts w:ascii="Times New Roman" w:hAnsi="Times New Roman" w:cs="Times New Roman"/>
          <w:i/>
          <w:color w:val="auto"/>
          <w:u w:val="single"/>
        </w:rPr>
        <w:t>:</w:t>
      </w:r>
      <w:bookmarkEnd w:id="67"/>
      <w:bookmarkEnd w:id="68"/>
      <w:bookmarkEnd w:id="69"/>
    </w:p>
    <w:p w:rsidRPr="0094555B" w:rsidR="00F72F65" w:rsidP="0094555B" w:rsidRDefault="00F72F65" w14:paraId="60959186" w14:textId="77777777">
      <w:pPr>
        <w:rPr>
          <w:rFonts w:ascii="Times New Roman" w:hAnsi="Times New Roman" w:cs="Times New Roman"/>
          <w:i/>
          <w:u w:val="single"/>
        </w:rPr>
      </w:pPr>
    </w:p>
    <w:p w:rsidRPr="0094555B" w:rsidR="00615B73" w:rsidP="0094555B" w:rsidRDefault="00615B73" w14:paraId="699E53E4" w14:textId="355B467D">
      <w:pPr>
        <w:rPr>
          <w:rFonts w:ascii="Times New Roman" w:hAnsi="Times New Roman" w:cs="Times New Roman"/>
          <w:sz w:val="24"/>
          <w:szCs w:val="24"/>
        </w:rPr>
      </w:pPr>
      <w:r w:rsidRPr="0094555B">
        <w:rPr>
          <w:rFonts w:ascii="Times New Roman" w:hAnsi="Times New Roman" w:cs="Times New Roman"/>
          <w:sz w:val="24"/>
          <w:szCs w:val="24"/>
        </w:rPr>
        <w:t xml:space="preserve">The </w:t>
      </w:r>
      <w:r w:rsidRPr="0094555B" w:rsidR="004B30EE">
        <w:rPr>
          <w:rFonts w:ascii="Times New Roman" w:hAnsi="Times New Roman" w:cs="Times New Roman"/>
          <w:sz w:val="24"/>
          <w:szCs w:val="24"/>
        </w:rPr>
        <w:t xml:space="preserve">majority of </w:t>
      </w:r>
      <w:r w:rsidRPr="0094555B">
        <w:rPr>
          <w:rFonts w:ascii="Times New Roman" w:hAnsi="Times New Roman" w:cs="Times New Roman"/>
          <w:sz w:val="24"/>
          <w:szCs w:val="24"/>
        </w:rPr>
        <w:t>information submitted to CMS will not be published</w:t>
      </w:r>
      <w:r w:rsidRPr="0094555B" w:rsidR="00F72F65">
        <w:rPr>
          <w:rFonts w:ascii="Times New Roman" w:hAnsi="Times New Roman" w:cs="Times New Roman"/>
          <w:sz w:val="24"/>
          <w:szCs w:val="24"/>
        </w:rPr>
        <w:t xml:space="preserve"> by CMS</w:t>
      </w:r>
      <w:r w:rsidRPr="0094555B">
        <w:rPr>
          <w:rFonts w:ascii="Times New Roman" w:hAnsi="Times New Roman" w:cs="Times New Roman"/>
          <w:sz w:val="24"/>
          <w:szCs w:val="24"/>
        </w:rPr>
        <w:t xml:space="preserve">.  Rather, that information is reviewed as part of the agency’s normal oversight activity of State Medicaid managed care programs.  The majority of the information collection is undertaken by States.  Accordingly, States are responsible for ensuring that information collected is not manipulated and erroneously published.  Much of the information (e.g., the information requirements under § 438.10) is provided directly to beneficiaries by the States, MCOs, PIHPs, PAHPs, PCCMs, or </w:t>
      </w:r>
      <w:r w:rsidRPr="0094555B">
        <w:rPr>
          <w:rFonts w:ascii="Times New Roman" w:hAnsi="Times New Roman" w:cs="Times New Roman"/>
          <w:sz w:val="24"/>
          <w:szCs w:val="24"/>
        </w:rPr>
        <w:lastRenderedPageBreak/>
        <w:t xml:space="preserve">PCCM entities.  Some information must be published on a state or managed care plan website, while the rest of the information is used by States as part of their normal contracting with, and monitoring of, their MCOs PIHPs, PAHPs, PCCMs, and PCCM entities and is not be published. </w:t>
      </w:r>
    </w:p>
    <w:p w:rsidRPr="0094555B" w:rsidR="00FC2882" w:rsidP="00C24DDB" w:rsidRDefault="00FC2882" w14:paraId="7A053062" w14:textId="77777777">
      <w:pPr>
        <w:pStyle w:val="Heading3"/>
        <w:numPr>
          <w:ilvl w:val="0"/>
          <w:numId w:val="10"/>
        </w:numPr>
        <w:rPr>
          <w:rFonts w:ascii="Times New Roman" w:hAnsi="Times New Roman" w:cs="Times New Roman"/>
          <w:i/>
          <w:color w:val="auto"/>
          <w:u w:val="single"/>
        </w:rPr>
      </w:pPr>
      <w:bookmarkStart w:name="_Toc528571038" w:id="70"/>
      <w:bookmarkStart w:name="_Toc528571506" w:id="71"/>
      <w:bookmarkStart w:name="_Toc528571600" w:id="72"/>
      <w:r w:rsidRPr="0094555B">
        <w:rPr>
          <w:rFonts w:ascii="Times New Roman" w:hAnsi="Times New Roman" w:cs="Times New Roman"/>
          <w:color w:val="auto"/>
          <w:u w:val="single"/>
        </w:rPr>
        <w:t>Expiration Date</w:t>
      </w:r>
      <w:r w:rsidRPr="0094555B">
        <w:rPr>
          <w:rFonts w:ascii="Times New Roman" w:hAnsi="Times New Roman" w:cs="Times New Roman"/>
          <w:i/>
          <w:color w:val="auto"/>
          <w:u w:val="single"/>
        </w:rPr>
        <w:t>:</w:t>
      </w:r>
      <w:bookmarkEnd w:id="70"/>
      <w:bookmarkEnd w:id="71"/>
      <w:bookmarkEnd w:id="72"/>
    </w:p>
    <w:p w:rsidRPr="0094555B" w:rsidR="00615B73" w:rsidP="0094555B" w:rsidRDefault="00615B73" w14:paraId="040A2454" w14:textId="77777777">
      <w:pPr>
        <w:pStyle w:val="BodyText"/>
        <w:rPr>
          <w:rFonts w:ascii="Times New Roman" w:hAnsi="Times New Roman" w:cs="Times New Roman"/>
          <w:sz w:val="24"/>
          <w:szCs w:val="24"/>
        </w:rPr>
      </w:pPr>
    </w:p>
    <w:p w:rsidRPr="0094555B" w:rsidR="001A72FB" w:rsidP="0094555B" w:rsidRDefault="001A72FB" w14:paraId="2F453423" w14:textId="1B13FFCF">
      <w:pPr>
        <w:pStyle w:val="BodyText"/>
        <w:rPr>
          <w:rFonts w:ascii="Times New Roman" w:hAnsi="Times New Roman" w:cs="Times New Roman"/>
          <w:sz w:val="24"/>
          <w:szCs w:val="24"/>
        </w:rPr>
      </w:pPr>
      <w:r w:rsidRPr="0094555B">
        <w:rPr>
          <w:rFonts w:ascii="Times New Roman" w:hAnsi="Times New Roman" w:cs="Times New Roman"/>
          <w:sz w:val="24"/>
          <w:szCs w:val="24"/>
        </w:rPr>
        <w:t>The expiration date and PRA Disclosure Statement are displayed.</w:t>
      </w:r>
    </w:p>
    <w:p w:rsidRPr="0094555B" w:rsidR="001A72FB" w:rsidP="0094555B" w:rsidRDefault="001A72FB" w14:paraId="6E58096D" w14:textId="77777777">
      <w:pPr>
        <w:pStyle w:val="BodyText"/>
        <w:rPr>
          <w:rFonts w:ascii="Times New Roman" w:hAnsi="Times New Roman" w:cs="Times New Roman"/>
          <w:sz w:val="24"/>
          <w:szCs w:val="24"/>
        </w:rPr>
      </w:pPr>
    </w:p>
    <w:p w:rsidRPr="0094555B" w:rsidR="00FC2882" w:rsidP="00C24DDB" w:rsidRDefault="00EC2906" w14:paraId="14204A97" w14:textId="74BB4ADB">
      <w:pPr>
        <w:pStyle w:val="Heading3"/>
        <w:numPr>
          <w:ilvl w:val="0"/>
          <w:numId w:val="10"/>
        </w:numPr>
        <w:rPr>
          <w:rFonts w:ascii="Times New Roman" w:hAnsi="Times New Roman" w:cs="Times New Roman"/>
          <w:color w:val="auto"/>
          <w:u w:val="single"/>
        </w:rPr>
      </w:pPr>
      <w:bookmarkStart w:name="_Toc528571039" w:id="73"/>
      <w:bookmarkStart w:name="_Toc528571507" w:id="74"/>
      <w:bookmarkStart w:name="_Toc528571601" w:id="75"/>
      <w:r w:rsidRPr="0094555B">
        <w:rPr>
          <w:rFonts w:ascii="Times New Roman" w:hAnsi="Times New Roman" w:cs="Times New Roman"/>
          <w:color w:val="auto"/>
          <w:u w:val="single"/>
        </w:rPr>
        <w:t>Certification</w:t>
      </w:r>
      <w:r w:rsidRPr="0094555B" w:rsidR="00FC2882">
        <w:rPr>
          <w:rFonts w:ascii="Times New Roman" w:hAnsi="Times New Roman" w:cs="Times New Roman"/>
          <w:color w:val="auto"/>
          <w:u w:val="single"/>
        </w:rPr>
        <w:t xml:space="preserve"> Statement:</w:t>
      </w:r>
      <w:bookmarkEnd w:id="73"/>
      <w:bookmarkEnd w:id="74"/>
      <w:bookmarkEnd w:id="75"/>
    </w:p>
    <w:p w:rsidRPr="0094555B" w:rsidR="00F72F65" w:rsidP="0094555B" w:rsidRDefault="00F72F65" w14:paraId="5033B376" w14:textId="77777777"/>
    <w:p w:rsidRPr="0094555B" w:rsidR="00615B73" w:rsidP="0094555B" w:rsidRDefault="00615B73" w14:paraId="35DA2C71" w14:textId="77777777">
      <w:pPr>
        <w:rPr>
          <w:rFonts w:ascii="Times New Roman" w:hAnsi="Times New Roman" w:cs="Times New Roman"/>
          <w:sz w:val="24"/>
          <w:szCs w:val="24"/>
        </w:rPr>
      </w:pPr>
      <w:r w:rsidRPr="0094555B">
        <w:rPr>
          <w:rFonts w:ascii="Times New Roman" w:hAnsi="Times New Roman" w:cs="Times New Roman"/>
          <w:sz w:val="24"/>
          <w:szCs w:val="24"/>
        </w:rPr>
        <w:t>There are no exceptions to the certification statement.</w:t>
      </w:r>
    </w:p>
    <w:p w:rsidRPr="0094555B" w:rsidR="00FC2882" w:rsidP="0094555B" w:rsidRDefault="00FC2882" w14:paraId="0DE7BDA0" w14:textId="77777777">
      <w:pPr>
        <w:pStyle w:val="Heading2"/>
        <w:numPr>
          <w:ilvl w:val="0"/>
          <w:numId w:val="1"/>
        </w:numPr>
        <w:rPr>
          <w:rFonts w:ascii="Times New Roman" w:hAnsi="Times New Roman" w:cs="Times New Roman"/>
          <w:b/>
          <w:color w:val="auto"/>
          <w:sz w:val="24"/>
          <w:szCs w:val="24"/>
        </w:rPr>
      </w:pPr>
      <w:bookmarkStart w:name="_Toc528571040" w:id="76"/>
      <w:bookmarkStart w:name="_Toc528571508" w:id="77"/>
      <w:bookmarkStart w:name="_Toc528571602" w:id="78"/>
      <w:r w:rsidRPr="0094555B">
        <w:rPr>
          <w:rFonts w:ascii="Times New Roman" w:hAnsi="Times New Roman" w:cs="Times New Roman"/>
          <w:b/>
          <w:color w:val="auto"/>
          <w:sz w:val="24"/>
          <w:szCs w:val="24"/>
        </w:rPr>
        <w:t xml:space="preserve">Collection of Information Employing </w:t>
      </w:r>
      <w:r w:rsidRPr="0094555B" w:rsidR="00EC2906">
        <w:rPr>
          <w:rFonts w:ascii="Times New Roman" w:hAnsi="Times New Roman" w:cs="Times New Roman"/>
          <w:b/>
          <w:color w:val="auto"/>
          <w:sz w:val="24"/>
          <w:szCs w:val="24"/>
        </w:rPr>
        <w:t>Statistical</w:t>
      </w:r>
      <w:r w:rsidRPr="0094555B">
        <w:rPr>
          <w:rFonts w:ascii="Times New Roman" w:hAnsi="Times New Roman" w:cs="Times New Roman"/>
          <w:b/>
          <w:color w:val="auto"/>
          <w:sz w:val="24"/>
          <w:szCs w:val="24"/>
        </w:rPr>
        <w:t xml:space="preserve"> Methods</w:t>
      </w:r>
      <w:bookmarkEnd w:id="76"/>
      <w:bookmarkEnd w:id="77"/>
      <w:bookmarkEnd w:id="78"/>
    </w:p>
    <w:p w:rsidRPr="0094555B" w:rsidR="00615B73" w:rsidP="0094555B" w:rsidRDefault="00615B73" w14:paraId="0E625D0C" w14:textId="77777777">
      <w:pPr>
        <w:rPr>
          <w:rFonts w:ascii="Times New Roman" w:hAnsi="Times New Roman" w:cs="Times New Roman"/>
          <w:sz w:val="24"/>
          <w:szCs w:val="24"/>
        </w:rPr>
      </w:pPr>
    </w:p>
    <w:p w:rsidRPr="00615B73" w:rsidR="00615B73" w:rsidP="0094555B" w:rsidRDefault="00615B73" w14:paraId="6E98587E" w14:textId="77777777">
      <w:pPr>
        <w:rPr>
          <w:rFonts w:ascii="Times New Roman" w:hAnsi="Times New Roman" w:cs="Times New Roman"/>
          <w:sz w:val="24"/>
          <w:szCs w:val="24"/>
        </w:rPr>
      </w:pPr>
      <w:r w:rsidRPr="0094555B">
        <w:rPr>
          <w:rFonts w:ascii="Times New Roman" w:hAnsi="Times New Roman" w:cs="Times New Roman"/>
          <w:sz w:val="24"/>
          <w:szCs w:val="24"/>
        </w:rPr>
        <w:t>There are no statistical methods.</w:t>
      </w:r>
    </w:p>
    <w:p w:rsidRPr="007A3603" w:rsidR="00FC2882" w:rsidP="0094555B" w:rsidRDefault="00FC2882" w14:paraId="6587D062" w14:textId="77777777">
      <w:pPr>
        <w:rPr>
          <w:rFonts w:ascii="Times New Roman" w:hAnsi="Times New Roman" w:cs="Times New Roman"/>
          <w:sz w:val="24"/>
          <w:szCs w:val="24"/>
        </w:rPr>
      </w:pPr>
    </w:p>
    <w:sectPr w:rsidRPr="007A3603" w:rsidR="00FC2882" w:rsidSect="00615B7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930262" w14:textId="77777777" w:rsidR="00FD7540" w:rsidRDefault="00FD7540" w:rsidP="00FC2882">
      <w:pPr>
        <w:spacing w:after="0" w:line="240" w:lineRule="auto"/>
      </w:pPr>
      <w:r>
        <w:separator/>
      </w:r>
    </w:p>
  </w:endnote>
  <w:endnote w:type="continuationSeparator" w:id="0">
    <w:p w14:paraId="7AF44A6A" w14:textId="77777777" w:rsidR="00FD7540" w:rsidRDefault="00FD7540" w:rsidP="00FC2882">
      <w:pPr>
        <w:spacing w:after="0" w:line="240" w:lineRule="auto"/>
      </w:pPr>
      <w:r>
        <w:continuationSeparator/>
      </w:r>
    </w:p>
  </w:endnote>
  <w:endnote w:type="continuationNotice" w:id="1">
    <w:p w14:paraId="52C59AFB" w14:textId="77777777" w:rsidR="00FD7540" w:rsidRDefault="00FD75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w:panose1 w:val="02070409020205020404"/>
    <w:charset w:val="00"/>
    <w:family w:val="auto"/>
    <w:notTrueType/>
    <w:pitch w:val="variable"/>
    <w:sig w:usb0="00000003" w:usb1="00000000" w:usb2="00000000" w:usb3="00000000" w:csb0="00000003"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7709821"/>
      <w:docPartObj>
        <w:docPartGallery w:val="Page Numbers (Bottom of Page)"/>
        <w:docPartUnique/>
      </w:docPartObj>
    </w:sdtPr>
    <w:sdtEndPr>
      <w:rPr>
        <w:noProof/>
      </w:rPr>
    </w:sdtEndPr>
    <w:sdtContent>
      <w:p w14:paraId="3DD054B6" w14:textId="18A3905C" w:rsidR="00FD7540" w:rsidRDefault="00FD7540">
        <w:pPr>
          <w:pStyle w:val="Footer"/>
          <w:jc w:val="center"/>
        </w:pPr>
        <w:r>
          <w:fldChar w:fldCharType="begin"/>
        </w:r>
        <w:r>
          <w:instrText xml:space="preserve"> PAGE   \* MERGEFORMAT </w:instrText>
        </w:r>
        <w:r>
          <w:fldChar w:fldCharType="separate"/>
        </w:r>
        <w:r>
          <w:rPr>
            <w:noProof/>
          </w:rPr>
          <w:t>29</w:t>
        </w:r>
        <w:r>
          <w:rPr>
            <w:noProof/>
          </w:rPr>
          <w:fldChar w:fldCharType="end"/>
        </w:r>
      </w:p>
    </w:sdtContent>
  </w:sdt>
  <w:p w14:paraId="7C4E9B43" w14:textId="77777777" w:rsidR="00FD7540" w:rsidRDefault="00FD75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FEEC2D" w14:textId="77777777" w:rsidR="00FD7540" w:rsidRDefault="00FD7540" w:rsidP="00FC2882">
      <w:pPr>
        <w:spacing w:after="0" w:line="240" w:lineRule="auto"/>
      </w:pPr>
      <w:r>
        <w:separator/>
      </w:r>
    </w:p>
  </w:footnote>
  <w:footnote w:type="continuationSeparator" w:id="0">
    <w:p w14:paraId="3C636BFC" w14:textId="77777777" w:rsidR="00FD7540" w:rsidRDefault="00FD7540" w:rsidP="00FC2882">
      <w:pPr>
        <w:spacing w:after="0" w:line="240" w:lineRule="auto"/>
      </w:pPr>
      <w:r>
        <w:continuationSeparator/>
      </w:r>
    </w:p>
  </w:footnote>
  <w:footnote w:type="continuationNotice" w:id="1">
    <w:p w14:paraId="3C6AD80A" w14:textId="77777777" w:rsidR="00FD7540" w:rsidRDefault="00FD7540">
      <w:pPr>
        <w:spacing w:after="0" w:line="240" w:lineRule="auto"/>
      </w:pPr>
    </w:p>
  </w:footnote>
  <w:footnote w:id="2">
    <w:p w14:paraId="1D4C1D6C" w14:textId="433F19DB" w:rsidR="00FD7540" w:rsidRDefault="00FD7540" w:rsidP="007A3603">
      <w:pPr>
        <w:pStyle w:val="FootnoteText"/>
      </w:pPr>
      <w:r w:rsidRPr="00F66922">
        <w:rPr>
          <w:rStyle w:val="FootnoteReference"/>
          <w:rFonts w:ascii="Times New Roman" w:hAnsi="Times New Roman"/>
          <w:sz w:val="20"/>
        </w:rPr>
        <w:footnoteRef/>
      </w:r>
      <w:r w:rsidRPr="00F66922">
        <w:rPr>
          <w:rFonts w:ascii="Times New Roman" w:hAnsi="Times New Roman"/>
          <w:sz w:val="20"/>
        </w:rPr>
        <w:t xml:space="preserve"> </w:t>
      </w:r>
      <w:r w:rsidRPr="00487F81">
        <w:rPr>
          <w:rFonts w:ascii="Times New Roman" w:hAnsi="Times New Roman"/>
          <w:sz w:val="20"/>
        </w:rPr>
        <w:t>Number of Firms, Number of Establishments, Employment, Annual Payroll, and Preliminary Reciepts by Enterprise Employment Size for the United States, All Industries:  2017</w:t>
      </w:r>
      <w:r>
        <w:rPr>
          <w:rFonts w:ascii="Times New Roman" w:hAnsi="Times New Roman"/>
          <w:sz w:val="20"/>
        </w:rPr>
        <w:t xml:space="preserve">, accessed at </w:t>
      </w:r>
      <w:r w:rsidRPr="00487F81">
        <w:rPr>
          <w:rFonts w:ascii="Times New Roman" w:hAnsi="Times New Roman"/>
          <w:sz w:val="20"/>
        </w:rPr>
        <w:t>https://www.census.gov/data/tables/2017/econ/susb/2017-susb-annual.html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95223"/>
    <w:multiLevelType w:val="hybridMultilevel"/>
    <w:tmpl w:val="11B007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1878AA"/>
    <w:multiLevelType w:val="hybridMultilevel"/>
    <w:tmpl w:val="887A5AF4"/>
    <w:lvl w:ilvl="0" w:tplc="B61CDECA">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756190"/>
    <w:multiLevelType w:val="hybridMultilevel"/>
    <w:tmpl w:val="3A3EB3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4746B76"/>
    <w:multiLevelType w:val="hybridMultilevel"/>
    <w:tmpl w:val="A9EEB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AB1001"/>
    <w:multiLevelType w:val="multilevel"/>
    <w:tmpl w:val="8432FC96"/>
    <w:lvl w:ilvl="0">
      <w:start w:val="1"/>
      <w:numFmt w:val="decimal"/>
      <w:lvlText w:val="%1."/>
      <w:lvlJc w:val="left"/>
      <w:pPr>
        <w:ind w:left="360" w:hanging="360"/>
      </w:pPr>
      <w:rPr>
        <w:i w:val="0"/>
      </w:rPr>
    </w:lvl>
    <w:lvl w:ilvl="1">
      <w:start w:val="1"/>
      <w:numFmt w:val="decimal"/>
      <w:isLgl/>
      <w:lvlText w:val="%1.%2"/>
      <w:lvlJc w:val="left"/>
      <w:pPr>
        <w:ind w:left="445" w:hanging="44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4B39099D"/>
    <w:multiLevelType w:val="multilevel"/>
    <w:tmpl w:val="2C2CF9C4"/>
    <w:lvl w:ilvl="0">
      <w:start w:val="16"/>
      <w:numFmt w:val="decimal"/>
      <w:lvlText w:val="%1."/>
      <w:lvlJc w:val="left"/>
      <w:pPr>
        <w:ind w:left="360" w:hanging="360"/>
      </w:pPr>
      <w:rPr>
        <w:rFonts w:hint="default"/>
        <w:i w:val="0"/>
      </w:rPr>
    </w:lvl>
    <w:lvl w:ilvl="1">
      <w:start w:val="1"/>
      <w:numFmt w:val="decimal"/>
      <w:isLgl/>
      <w:lvlText w:val="%1.%2"/>
      <w:lvlJc w:val="left"/>
      <w:pPr>
        <w:ind w:left="445" w:hanging="44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59920044"/>
    <w:multiLevelType w:val="singleLevel"/>
    <w:tmpl w:val="F7E0D4E8"/>
    <w:lvl w:ilvl="0">
      <w:start w:val="12"/>
      <w:numFmt w:val="upperLetter"/>
      <w:pStyle w:val="Heading7"/>
      <w:lvlText w:val="%1."/>
      <w:lvlJc w:val="left"/>
      <w:pPr>
        <w:tabs>
          <w:tab w:val="num" w:pos="360"/>
        </w:tabs>
        <w:ind w:left="360" w:hanging="360"/>
      </w:pPr>
      <w:rPr>
        <w:rFonts w:hint="default"/>
      </w:rPr>
    </w:lvl>
  </w:abstractNum>
  <w:abstractNum w:abstractNumId="7" w15:restartNumberingAfterBreak="0">
    <w:nsid w:val="66575178"/>
    <w:multiLevelType w:val="hybridMultilevel"/>
    <w:tmpl w:val="53E017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9367EA6"/>
    <w:multiLevelType w:val="hybridMultilevel"/>
    <w:tmpl w:val="11B0071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8C43AD5"/>
    <w:multiLevelType w:val="singleLevel"/>
    <w:tmpl w:val="0409000F"/>
    <w:lvl w:ilvl="0">
      <w:start w:val="1"/>
      <w:numFmt w:val="decimal"/>
      <w:pStyle w:val="Level1"/>
      <w:lvlText w:val="%1."/>
      <w:lvlJc w:val="left"/>
      <w:pPr>
        <w:tabs>
          <w:tab w:val="num" w:pos="360"/>
        </w:tabs>
        <w:ind w:left="360" w:hanging="360"/>
      </w:pPr>
      <w:rPr>
        <w:rFonts w:hint="default"/>
      </w:rPr>
    </w:lvl>
  </w:abstractNum>
  <w:num w:numId="1">
    <w:abstractNumId w:val="8"/>
  </w:num>
  <w:num w:numId="2">
    <w:abstractNumId w:val="4"/>
  </w:num>
  <w:num w:numId="3">
    <w:abstractNumId w:val="0"/>
  </w:num>
  <w:num w:numId="4">
    <w:abstractNumId w:val="6"/>
  </w:num>
  <w:num w:numId="5">
    <w:abstractNumId w:val="9"/>
  </w:num>
  <w:num w:numId="6">
    <w:abstractNumId w:val="3"/>
  </w:num>
  <w:num w:numId="7">
    <w:abstractNumId w:val="2"/>
  </w:num>
  <w:num w:numId="8">
    <w:abstractNumId w:val="7"/>
  </w:num>
  <w:num w:numId="9">
    <w:abstractNumId w:val="1"/>
  </w:num>
  <w:num w:numId="10">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696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882"/>
    <w:rsid w:val="000008EA"/>
    <w:rsid w:val="00003E99"/>
    <w:rsid w:val="000051CD"/>
    <w:rsid w:val="00011EE1"/>
    <w:rsid w:val="00012DD1"/>
    <w:rsid w:val="00013270"/>
    <w:rsid w:val="000152CF"/>
    <w:rsid w:val="00015E4B"/>
    <w:rsid w:val="00020ED6"/>
    <w:rsid w:val="00021D9E"/>
    <w:rsid w:val="00023556"/>
    <w:rsid w:val="00023D0F"/>
    <w:rsid w:val="0002411D"/>
    <w:rsid w:val="00024450"/>
    <w:rsid w:val="00025249"/>
    <w:rsid w:val="0002688C"/>
    <w:rsid w:val="00031C03"/>
    <w:rsid w:val="0003575C"/>
    <w:rsid w:val="00036DCE"/>
    <w:rsid w:val="00042392"/>
    <w:rsid w:val="0004359A"/>
    <w:rsid w:val="00046736"/>
    <w:rsid w:val="00046945"/>
    <w:rsid w:val="00046DD4"/>
    <w:rsid w:val="000530D7"/>
    <w:rsid w:val="00064A4C"/>
    <w:rsid w:val="00064CB0"/>
    <w:rsid w:val="00067C17"/>
    <w:rsid w:val="0007010E"/>
    <w:rsid w:val="00070AE0"/>
    <w:rsid w:val="00073AE5"/>
    <w:rsid w:val="00074C4F"/>
    <w:rsid w:val="00074FE7"/>
    <w:rsid w:val="000761E1"/>
    <w:rsid w:val="00076DD2"/>
    <w:rsid w:val="000809AA"/>
    <w:rsid w:val="000820CF"/>
    <w:rsid w:val="00083889"/>
    <w:rsid w:val="000843F8"/>
    <w:rsid w:val="00086016"/>
    <w:rsid w:val="00086396"/>
    <w:rsid w:val="00087D40"/>
    <w:rsid w:val="00087ECB"/>
    <w:rsid w:val="0009011D"/>
    <w:rsid w:val="0009203C"/>
    <w:rsid w:val="00092321"/>
    <w:rsid w:val="00096326"/>
    <w:rsid w:val="00097C7A"/>
    <w:rsid w:val="000A17C1"/>
    <w:rsid w:val="000A30F0"/>
    <w:rsid w:val="000A4165"/>
    <w:rsid w:val="000A5712"/>
    <w:rsid w:val="000B6BBE"/>
    <w:rsid w:val="000C24E5"/>
    <w:rsid w:val="000C2E7F"/>
    <w:rsid w:val="000C388D"/>
    <w:rsid w:val="000C74F7"/>
    <w:rsid w:val="000D1B0C"/>
    <w:rsid w:val="000D260F"/>
    <w:rsid w:val="000D3557"/>
    <w:rsid w:val="000D5530"/>
    <w:rsid w:val="000E4ED6"/>
    <w:rsid w:val="000F4BA5"/>
    <w:rsid w:val="000F7EB3"/>
    <w:rsid w:val="00100105"/>
    <w:rsid w:val="00103B7F"/>
    <w:rsid w:val="00104256"/>
    <w:rsid w:val="00105452"/>
    <w:rsid w:val="0010680C"/>
    <w:rsid w:val="00110469"/>
    <w:rsid w:val="00110722"/>
    <w:rsid w:val="00111AC6"/>
    <w:rsid w:val="00111F02"/>
    <w:rsid w:val="00114178"/>
    <w:rsid w:val="00114942"/>
    <w:rsid w:val="0011515A"/>
    <w:rsid w:val="00115A7F"/>
    <w:rsid w:val="001171EF"/>
    <w:rsid w:val="001215BC"/>
    <w:rsid w:val="001215C7"/>
    <w:rsid w:val="001232AF"/>
    <w:rsid w:val="00123CB8"/>
    <w:rsid w:val="00125A68"/>
    <w:rsid w:val="00137BE2"/>
    <w:rsid w:val="001427E8"/>
    <w:rsid w:val="001478D4"/>
    <w:rsid w:val="00156244"/>
    <w:rsid w:val="00161996"/>
    <w:rsid w:val="00161BC7"/>
    <w:rsid w:val="0016252E"/>
    <w:rsid w:val="00164E64"/>
    <w:rsid w:val="00171CF0"/>
    <w:rsid w:val="00172AE9"/>
    <w:rsid w:val="00173333"/>
    <w:rsid w:val="001752F1"/>
    <w:rsid w:val="00176171"/>
    <w:rsid w:val="0018555E"/>
    <w:rsid w:val="00187989"/>
    <w:rsid w:val="00187BD6"/>
    <w:rsid w:val="00193977"/>
    <w:rsid w:val="00194C4F"/>
    <w:rsid w:val="00197640"/>
    <w:rsid w:val="001A11B4"/>
    <w:rsid w:val="001A1497"/>
    <w:rsid w:val="001A21E2"/>
    <w:rsid w:val="001A72FB"/>
    <w:rsid w:val="001A7C81"/>
    <w:rsid w:val="001B0566"/>
    <w:rsid w:val="001B0CA3"/>
    <w:rsid w:val="001B1E8E"/>
    <w:rsid w:val="001B3D42"/>
    <w:rsid w:val="001B48F7"/>
    <w:rsid w:val="001B75AE"/>
    <w:rsid w:val="001C1668"/>
    <w:rsid w:val="001D068D"/>
    <w:rsid w:val="001D0A9E"/>
    <w:rsid w:val="001D12AA"/>
    <w:rsid w:val="001D22E2"/>
    <w:rsid w:val="001D29DD"/>
    <w:rsid w:val="001D529A"/>
    <w:rsid w:val="001D6B5A"/>
    <w:rsid w:val="001E195B"/>
    <w:rsid w:val="001E2A9D"/>
    <w:rsid w:val="001E4E1C"/>
    <w:rsid w:val="001E55A6"/>
    <w:rsid w:val="001E5AD4"/>
    <w:rsid w:val="001F64CF"/>
    <w:rsid w:val="001F6B8E"/>
    <w:rsid w:val="0020025C"/>
    <w:rsid w:val="0020083E"/>
    <w:rsid w:val="0020247B"/>
    <w:rsid w:val="00202A19"/>
    <w:rsid w:val="002034AF"/>
    <w:rsid w:val="00204525"/>
    <w:rsid w:val="00205799"/>
    <w:rsid w:val="00206636"/>
    <w:rsid w:val="00206C3D"/>
    <w:rsid w:val="002071CE"/>
    <w:rsid w:val="0021018F"/>
    <w:rsid w:val="00211BEB"/>
    <w:rsid w:val="00212CAE"/>
    <w:rsid w:val="00225412"/>
    <w:rsid w:val="002254EA"/>
    <w:rsid w:val="00225643"/>
    <w:rsid w:val="0022696D"/>
    <w:rsid w:val="0023426C"/>
    <w:rsid w:val="002343AF"/>
    <w:rsid w:val="00235CAB"/>
    <w:rsid w:val="002404E7"/>
    <w:rsid w:val="0024243B"/>
    <w:rsid w:val="00242AD1"/>
    <w:rsid w:val="002437B9"/>
    <w:rsid w:val="00243DC1"/>
    <w:rsid w:val="00244176"/>
    <w:rsid w:val="00244F8D"/>
    <w:rsid w:val="0024674F"/>
    <w:rsid w:val="00246B59"/>
    <w:rsid w:val="002528BD"/>
    <w:rsid w:val="00257D6F"/>
    <w:rsid w:val="00265589"/>
    <w:rsid w:val="00266C5F"/>
    <w:rsid w:val="0027146C"/>
    <w:rsid w:val="002714B4"/>
    <w:rsid w:val="00273974"/>
    <w:rsid w:val="00275240"/>
    <w:rsid w:val="00275E14"/>
    <w:rsid w:val="0027606D"/>
    <w:rsid w:val="0027659B"/>
    <w:rsid w:val="00276B3B"/>
    <w:rsid w:val="0028034B"/>
    <w:rsid w:val="00281A8C"/>
    <w:rsid w:val="00281CB0"/>
    <w:rsid w:val="00284CD2"/>
    <w:rsid w:val="002877D0"/>
    <w:rsid w:val="002915C4"/>
    <w:rsid w:val="00293A9B"/>
    <w:rsid w:val="0029556A"/>
    <w:rsid w:val="00296BDD"/>
    <w:rsid w:val="0029730F"/>
    <w:rsid w:val="0029791B"/>
    <w:rsid w:val="002A1243"/>
    <w:rsid w:val="002A2DA9"/>
    <w:rsid w:val="002A2F19"/>
    <w:rsid w:val="002A36CB"/>
    <w:rsid w:val="002A3A69"/>
    <w:rsid w:val="002A42B7"/>
    <w:rsid w:val="002A52FF"/>
    <w:rsid w:val="002A61A4"/>
    <w:rsid w:val="002A786A"/>
    <w:rsid w:val="002B7101"/>
    <w:rsid w:val="002C0BF1"/>
    <w:rsid w:val="002C0E66"/>
    <w:rsid w:val="002C19D6"/>
    <w:rsid w:val="002C7490"/>
    <w:rsid w:val="002D705D"/>
    <w:rsid w:val="002E7258"/>
    <w:rsid w:val="002E760C"/>
    <w:rsid w:val="002F1104"/>
    <w:rsid w:val="002F2EC4"/>
    <w:rsid w:val="002F4EB6"/>
    <w:rsid w:val="003024F2"/>
    <w:rsid w:val="00305677"/>
    <w:rsid w:val="00306165"/>
    <w:rsid w:val="00306E23"/>
    <w:rsid w:val="00306E68"/>
    <w:rsid w:val="00307113"/>
    <w:rsid w:val="00310A92"/>
    <w:rsid w:val="00310C61"/>
    <w:rsid w:val="00312195"/>
    <w:rsid w:val="00315867"/>
    <w:rsid w:val="0031621E"/>
    <w:rsid w:val="00317B8E"/>
    <w:rsid w:val="00317D2B"/>
    <w:rsid w:val="00317EFF"/>
    <w:rsid w:val="003200FB"/>
    <w:rsid w:val="00322AC7"/>
    <w:rsid w:val="00324DA9"/>
    <w:rsid w:val="00330E04"/>
    <w:rsid w:val="003310A7"/>
    <w:rsid w:val="003313EF"/>
    <w:rsid w:val="003314BA"/>
    <w:rsid w:val="003328FA"/>
    <w:rsid w:val="00332B7B"/>
    <w:rsid w:val="003407B5"/>
    <w:rsid w:val="003443F6"/>
    <w:rsid w:val="0035492C"/>
    <w:rsid w:val="0035610A"/>
    <w:rsid w:val="0036140B"/>
    <w:rsid w:val="00361E73"/>
    <w:rsid w:val="00365237"/>
    <w:rsid w:val="003663A9"/>
    <w:rsid w:val="00366530"/>
    <w:rsid w:val="0036726F"/>
    <w:rsid w:val="0037031A"/>
    <w:rsid w:val="00371C1F"/>
    <w:rsid w:val="00371EC2"/>
    <w:rsid w:val="00374003"/>
    <w:rsid w:val="00374919"/>
    <w:rsid w:val="00377FAC"/>
    <w:rsid w:val="003800CB"/>
    <w:rsid w:val="00380807"/>
    <w:rsid w:val="00382B89"/>
    <w:rsid w:val="00383C1A"/>
    <w:rsid w:val="00384087"/>
    <w:rsid w:val="00384425"/>
    <w:rsid w:val="0038511C"/>
    <w:rsid w:val="003856B5"/>
    <w:rsid w:val="00386B51"/>
    <w:rsid w:val="003872FD"/>
    <w:rsid w:val="00390EC0"/>
    <w:rsid w:val="003A15F6"/>
    <w:rsid w:val="003A2BC7"/>
    <w:rsid w:val="003B116B"/>
    <w:rsid w:val="003B1A3A"/>
    <w:rsid w:val="003B509C"/>
    <w:rsid w:val="003C130D"/>
    <w:rsid w:val="003C4DB1"/>
    <w:rsid w:val="003D7973"/>
    <w:rsid w:val="003E048A"/>
    <w:rsid w:val="003E1E20"/>
    <w:rsid w:val="003E64E4"/>
    <w:rsid w:val="003E6DAA"/>
    <w:rsid w:val="003E7AB6"/>
    <w:rsid w:val="003E7DEA"/>
    <w:rsid w:val="003F363C"/>
    <w:rsid w:val="003F3EF2"/>
    <w:rsid w:val="003F57E2"/>
    <w:rsid w:val="003F7880"/>
    <w:rsid w:val="00400FBF"/>
    <w:rsid w:val="00401282"/>
    <w:rsid w:val="00402389"/>
    <w:rsid w:val="00405CA9"/>
    <w:rsid w:val="004077FF"/>
    <w:rsid w:val="004118FB"/>
    <w:rsid w:val="0041208B"/>
    <w:rsid w:val="0041287A"/>
    <w:rsid w:val="004139D4"/>
    <w:rsid w:val="00416F24"/>
    <w:rsid w:val="0041700E"/>
    <w:rsid w:val="00417855"/>
    <w:rsid w:val="00417EF9"/>
    <w:rsid w:val="00422121"/>
    <w:rsid w:val="00422A96"/>
    <w:rsid w:val="004275BF"/>
    <w:rsid w:val="00431C07"/>
    <w:rsid w:val="00432D5E"/>
    <w:rsid w:val="00440A0A"/>
    <w:rsid w:val="004428F7"/>
    <w:rsid w:val="00442BEB"/>
    <w:rsid w:val="0044439F"/>
    <w:rsid w:val="00444BAB"/>
    <w:rsid w:val="0045033D"/>
    <w:rsid w:val="00452A96"/>
    <w:rsid w:val="00452EBB"/>
    <w:rsid w:val="00452F6D"/>
    <w:rsid w:val="00454038"/>
    <w:rsid w:val="00454ED7"/>
    <w:rsid w:val="00455C89"/>
    <w:rsid w:val="00456475"/>
    <w:rsid w:val="00460CE6"/>
    <w:rsid w:val="0046144E"/>
    <w:rsid w:val="00466B5F"/>
    <w:rsid w:val="00467FB5"/>
    <w:rsid w:val="004716AD"/>
    <w:rsid w:val="004720C1"/>
    <w:rsid w:val="004737E7"/>
    <w:rsid w:val="00473CA0"/>
    <w:rsid w:val="004750F8"/>
    <w:rsid w:val="00476235"/>
    <w:rsid w:val="00476385"/>
    <w:rsid w:val="0048164E"/>
    <w:rsid w:val="00483820"/>
    <w:rsid w:val="00487F81"/>
    <w:rsid w:val="00490D2E"/>
    <w:rsid w:val="004921D3"/>
    <w:rsid w:val="004924DC"/>
    <w:rsid w:val="004928A5"/>
    <w:rsid w:val="00493E94"/>
    <w:rsid w:val="00495C2A"/>
    <w:rsid w:val="00495CB4"/>
    <w:rsid w:val="00496969"/>
    <w:rsid w:val="004A02B4"/>
    <w:rsid w:val="004A2739"/>
    <w:rsid w:val="004A44BA"/>
    <w:rsid w:val="004A5750"/>
    <w:rsid w:val="004A5E38"/>
    <w:rsid w:val="004A7A22"/>
    <w:rsid w:val="004B0858"/>
    <w:rsid w:val="004B0E9D"/>
    <w:rsid w:val="004B214E"/>
    <w:rsid w:val="004B30EE"/>
    <w:rsid w:val="004B3F24"/>
    <w:rsid w:val="004B4AB1"/>
    <w:rsid w:val="004B6592"/>
    <w:rsid w:val="004B661B"/>
    <w:rsid w:val="004B6CE3"/>
    <w:rsid w:val="004B72DE"/>
    <w:rsid w:val="004C0A73"/>
    <w:rsid w:val="004C163F"/>
    <w:rsid w:val="004C39EE"/>
    <w:rsid w:val="004C5087"/>
    <w:rsid w:val="004C650B"/>
    <w:rsid w:val="004C7E5F"/>
    <w:rsid w:val="004D0468"/>
    <w:rsid w:val="004D0C1B"/>
    <w:rsid w:val="004D11B8"/>
    <w:rsid w:val="004D2ECD"/>
    <w:rsid w:val="004D334E"/>
    <w:rsid w:val="004D502D"/>
    <w:rsid w:val="004D5856"/>
    <w:rsid w:val="004E02E1"/>
    <w:rsid w:val="004E2E78"/>
    <w:rsid w:val="004E3601"/>
    <w:rsid w:val="004E3A1B"/>
    <w:rsid w:val="004E5432"/>
    <w:rsid w:val="004E59DE"/>
    <w:rsid w:val="004F0CAE"/>
    <w:rsid w:val="004F0F53"/>
    <w:rsid w:val="004F4687"/>
    <w:rsid w:val="004F510F"/>
    <w:rsid w:val="004F605D"/>
    <w:rsid w:val="00502090"/>
    <w:rsid w:val="0050258C"/>
    <w:rsid w:val="00504D39"/>
    <w:rsid w:val="00507B07"/>
    <w:rsid w:val="00514D6A"/>
    <w:rsid w:val="00515252"/>
    <w:rsid w:val="005177A2"/>
    <w:rsid w:val="00527B76"/>
    <w:rsid w:val="005306D7"/>
    <w:rsid w:val="005315BE"/>
    <w:rsid w:val="00531829"/>
    <w:rsid w:val="00532BB9"/>
    <w:rsid w:val="00532EFD"/>
    <w:rsid w:val="005341CA"/>
    <w:rsid w:val="0053445D"/>
    <w:rsid w:val="005376D9"/>
    <w:rsid w:val="00541BC3"/>
    <w:rsid w:val="00542A77"/>
    <w:rsid w:val="00543661"/>
    <w:rsid w:val="00543B60"/>
    <w:rsid w:val="005446A6"/>
    <w:rsid w:val="00544D26"/>
    <w:rsid w:val="00546849"/>
    <w:rsid w:val="005473C7"/>
    <w:rsid w:val="00550F6C"/>
    <w:rsid w:val="005579C1"/>
    <w:rsid w:val="00560CFB"/>
    <w:rsid w:val="00560F97"/>
    <w:rsid w:val="00564C1C"/>
    <w:rsid w:val="0057059F"/>
    <w:rsid w:val="0057072F"/>
    <w:rsid w:val="00572FB8"/>
    <w:rsid w:val="00575528"/>
    <w:rsid w:val="0057770A"/>
    <w:rsid w:val="0058194C"/>
    <w:rsid w:val="00585B62"/>
    <w:rsid w:val="00586B86"/>
    <w:rsid w:val="00590C98"/>
    <w:rsid w:val="005911C9"/>
    <w:rsid w:val="00591BAD"/>
    <w:rsid w:val="00593D4D"/>
    <w:rsid w:val="005946C4"/>
    <w:rsid w:val="00595D3C"/>
    <w:rsid w:val="0059764E"/>
    <w:rsid w:val="005A0F0F"/>
    <w:rsid w:val="005A2ED4"/>
    <w:rsid w:val="005A416E"/>
    <w:rsid w:val="005A5F68"/>
    <w:rsid w:val="005B0C42"/>
    <w:rsid w:val="005B1B46"/>
    <w:rsid w:val="005B248C"/>
    <w:rsid w:val="005B291C"/>
    <w:rsid w:val="005B6858"/>
    <w:rsid w:val="005B7643"/>
    <w:rsid w:val="005C072B"/>
    <w:rsid w:val="005C44FD"/>
    <w:rsid w:val="005C5A0F"/>
    <w:rsid w:val="005C6929"/>
    <w:rsid w:val="005C7FEB"/>
    <w:rsid w:val="005D0200"/>
    <w:rsid w:val="005D27FA"/>
    <w:rsid w:val="005D697F"/>
    <w:rsid w:val="005E1539"/>
    <w:rsid w:val="005E3D9B"/>
    <w:rsid w:val="005E4BAD"/>
    <w:rsid w:val="005E7823"/>
    <w:rsid w:val="005F4089"/>
    <w:rsid w:val="005F5165"/>
    <w:rsid w:val="005F5CB6"/>
    <w:rsid w:val="005F5F9E"/>
    <w:rsid w:val="005F70B4"/>
    <w:rsid w:val="00602D1F"/>
    <w:rsid w:val="00606B6E"/>
    <w:rsid w:val="0060756B"/>
    <w:rsid w:val="006079D7"/>
    <w:rsid w:val="00613D50"/>
    <w:rsid w:val="00613E2A"/>
    <w:rsid w:val="00615B73"/>
    <w:rsid w:val="00617750"/>
    <w:rsid w:val="00621A59"/>
    <w:rsid w:val="00622C90"/>
    <w:rsid w:val="00622CF2"/>
    <w:rsid w:val="00624868"/>
    <w:rsid w:val="00624B15"/>
    <w:rsid w:val="00624D49"/>
    <w:rsid w:val="006250D7"/>
    <w:rsid w:val="00625B22"/>
    <w:rsid w:val="006262D8"/>
    <w:rsid w:val="006263F9"/>
    <w:rsid w:val="006274D7"/>
    <w:rsid w:val="00627E20"/>
    <w:rsid w:val="00630DAA"/>
    <w:rsid w:val="006312D5"/>
    <w:rsid w:val="00631AB9"/>
    <w:rsid w:val="00632BD7"/>
    <w:rsid w:val="00636E9C"/>
    <w:rsid w:val="00640C7F"/>
    <w:rsid w:val="00641DF6"/>
    <w:rsid w:val="00644841"/>
    <w:rsid w:val="0064746F"/>
    <w:rsid w:val="00653935"/>
    <w:rsid w:val="00656DFB"/>
    <w:rsid w:val="006601DA"/>
    <w:rsid w:val="00667A88"/>
    <w:rsid w:val="00672257"/>
    <w:rsid w:val="006740DB"/>
    <w:rsid w:val="00677557"/>
    <w:rsid w:val="00677C94"/>
    <w:rsid w:val="00680081"/>
    <w:rsid w:val="00680CC5"/>
    <w:rsid w:val="006813F7"/>
    <w:rsid w:val="00683299"/>
    <w:rsid w:val="0068455F"/>
    <w:rsid w:val="00685B13"/>
    <w:rsid w:val="006934CA"/>
    <w:rsid w:val="00694833"/>
    <w:rsid w:val="006949BD"/>
    <w:rsid w:val="006971A4"/>
    <w:rsid w:val="006A2DB4"/>
    <w:rsid w:val="006A4DD6"/>
    <w:rsid w:val="006B035E"/>
    <w:rsid w:val="006B157E"/>
    <w:rsid w:val="006B427A"/>
    <w:rsid w:val="006B669B"/>
    <w:rsid w:val="006C0E7D"/>
    <w:rsid w:val="006C2B4B"/>
    <w:rsid w:val="006C55C3"/>
    <w:rsid w:val="006C6626"/>
    <w:rsid w:val="006C669B"/>
    <w:rsid w:val="006C72F6"/>
    <w:rsid w:val="006C75F7"/>
    <w:rsid w:val="006C7F0F"/>
    <w:rsid w:val="006D1463"/>
    <w:rsid w:val="006D4BB1"/>
    <w:rsid w:val="006D65F6"/>
    <w:rsid w:val="006D7DA6"/>
    <w:rsid w:val="006E1D1C"/>
    <w:rsid w:val="006E394E"/>
    <w:rsid w:val="006E3CD5"/>
    <w:rsid w:val="006E4708"/>
    <w:rsid w:val="006E5305"/>
    <w:rsid w:val="006F0E7F"/>
    <w:rsid w:val="006F20ED"/>
    <w:rsid w:val="006F3773"/>
    <w:rsid w:val="00701815"/>
    <w:rsid w:val="00701857"/>
    <w:rsid w:val="00704000"/>
    <w:rsid w:val="0071184C"/>
    <w:rsid w:val="0071363F"/>
    <w:rsid w:val="00715BF0"/>
    <w:rsid w:val="007208DE"/>
    <w:rsid w:val="00721426"/>
    <w:rsid w:val="00725D07"/>
    <w:rsid w:val="00730502"/>
    <w:rsid w:val="00731952"/>
    <w:rsid w:val="007324AD"/>
    <w:rsid w:val="00733EA7"/>
    <w:rsid w:val="007403EA"/>
    <w:rsid w:val="00750C38"/>
    <w:rsid w:val="0075320F"/>
    <w:rsid w:val="007539C5"/>
    <w:rsid w:val="00753F07"/>
    <w:rsid w:val="00755C59"/>
    <w:rsid w:val="00761F65"/>
    <w:rsid w:val="0076440E"/>
    <w:rsid w:val="0076477B"/>
    <w:rsid w:val="00764DC5"/>
    <w:rsid w:val="00766543"/>
    <w:rsid w:val="007674C5"/>
    <w:rsid w:val="00773C0B"/>
    <w:rsid w:val="00773E01"/>
    <w:rsid w:val="00774386"/>
    <w:rsid w:val="00775AD4"/>
    <w:rsid w:val="007778E4"/>
    <w:rsid w:val="00784BAC"/>
    <w:rsid w:val="0078670E"/>
    <w:rsid w:val="00786CE2"/>
    <w:rsid w:val="007915E9"/>
    <w:rsid w:val="00792E5E"/>
    <w:rsid w:val="00794504"/>
    <w:rsid w:val="007A05AB"/>
    <w:rsid w:val="007A1E0A"/>
    <w:rsid w:val="007A27D7"/>
    <w:rsid w:val="007A2B79"/>
    <w:rsid w:val="007A3603"/>
    <w:rsid w:val="007A4440"/>
    <w:rsid w:val="007B1841"/>
    <w:rsid w:val="007B1D56"/>
    <w:rsid w:val="007B274C"/>
    <w:rsid w:val="007B3229"/>
    <w:rsid w:val="007B36D1"/>
    <w:rsid w:val="007B5F60"/>
    <w:rsid w:val="007B691A"/>
    <w:rsid w:val="007C18C9"/>
    <w:rsid w:val="007C3B9C"/>
    <w:rsid w:val="007C3BD1"/>
    <w:rsid w:val="007C4332"/>
    <w:rsid w:val="007C7A5F"/>
    <w:rsid w:val="007D03ED"/>
    <w:rsid w:val="007D1E1C"/>
    <w:rsid w:val="007D27B2"/>
    <w:rsid w:val="007D3298"/>
    <w:rsid w:val="007D4710"/>
    <w:rsid w:val="007E1C9D"/>
    <w:rsid w:val="007E2D4C"/>
    <w:rsid w:val="007E44B2"/>
    <w:rsid w:val="007F246A"/>
    <w:rsid w:val="007F7AEB"/>
    <w:rsid w:val="007F7CC0"/>
    <w:rsid w:val="008012FD"/>
    <w:rsid w:val="00801A82"/>
    <w:rsid w:val="00801DAE"/>
    <w:rsid w:val="008035F7"/>
    <w:rsid w:val="0080386D"/>
    <w:rsid w:val="00803A31"/>
    <w:rsid w:val="00804E0D"/>
    <w:rsid w:val="00812B33"/>
    <w:rsid w:val="00812E84"/>
    <w:rsid w:val="00814CB8"/>
    <w:rsid w:val="0081508E"/>
    <w:rsid w:val="008153F6"/>
    <w:rsid w:val="00823C3A"/>
    <w:rsid w:val="00824294"/>
    <w:rsid w:val="00827481"/>
    <w:rsid w:val="00827A2D"/>
    <w:rsid w:val="00830040"/>
    <w:rsid w:val="00833733"/>
    <w:rsid w:val="00840860"/>
    <w:rsid w:val="0084658D"/>
    <w:rsid w:val="00847090"/>
    <w:rsid w:val="0085343E"/>
    <w:rsid w:val="00854C7C"/>
    <w:rsid w:val="00856254"/>
    <w:rsid w:val="00857887"/>
    <w:rsid w:val="00860501"/>
    <w:rsid w:val="00861F75"/>
    <w:rsid w:val="008642A3"/>
    <w:rsid w:val="00864E32"/>
    <w:rsid w:val="00867823"/>
    <w:rsid w:val="00871559"/>
    <w:rsid w:val="0087223A"/>
    <w:rsid w:val="00872377"/>
    <w:rsid w:val="00872BFA"/>
    <w:rsid w:val="008744DF"/>
    <w:rsid w:val="00881983"/>
    <w:rsid w:val="00882B76"/>
    <w:rsid w:val="00883D0C"/>
    <w:rsid w:val="00884693"/>
    <w:rsid w:val="0088762B"/>
    <w:rsid w:val="008905E5"/>
    <w:rsid w:val="00891D5F"/>
    <w:rsid w:val="00893389"/>
    <w:rsid w:val="00893DCA"/>
    <w:rsid w:val="00897371"/>
    <w:rsid w:val="008A164C"/>
    <w:rsid w:val="008B2417"/>
    <w:rsid w:val="008B282A"/>
    <w:rsid w:val="008C17BA"/>
    <w:rsid w:val="008C5336"/>
    <w:rsid w:val="008C5418"/>
    <w:rsid w:val="008C5C42"/>
    <w:rsid w:val="008D4FA1"/>
    <w:rsid w:val="008E0694"/>
    <w:rsid w:val="008E4778"/>
    <w:rsid w:val="008E734D"/>
    <w:rsid w:val="008F4792"/>
    <w:rsid w:val="008F4DDC"/>
    <w:rsid w:val="008F4FB5"/>
    <w:rsid w:val="008F571F"/>
    <w:rsid w:val="008F6004"/>
    <w:rsid w:val="008F6F58"/>
    <w:rsid w:val="00903721"/>
    <w:rsid w:val="00906B61"/>
    <w:rsid w:val="00906FA2"/>
    <w:rsid w:val="00912D2C"/>
    <w:rsid w:val="00916715"/>
    <w:rsid w:val="00917497"/>
    <w:rsid w:val="00917792"/>
    <w:rsid w:val="00917B41"/>
    <w:rsid w:val="00917CBA"/>
    <w:rsid w:val="0092347E"/>
    <w:rsid w:val="00923B53"/>
    <w:rsid w:val="00925B15"/>
    <w:rsid w:val="009353FD"/>
    <w:rsid w:val="009355B4"/>
    <w:rsid w:val="009405D7"/>
    <w:rsid w:val="0094354D"/>
    <w:rsid w:val="00944A45"/>
    <w:rsid w:val="00944C72"/>
    <w:rsid w:val="0094555B"/>
    <w:rsid w:val="00945B0B"/>
    <w:rsid w:val="009511FD"/>
    <w:rsid w:val="00953B06"/>
    <w:rsid w:val="0095771A"/>
    <w:rsid w:val="00957F3E"/>
    <w:rsid w:val="0096015F"/>
    <w:rsid w:val="009604A9"/>
    <w:rsid w:val="009627E7"/>
    <w:rsid w:val="00962F25"/>
    <w:rsid w:val="00963314"/>
    <w:rsid w:val="00966A88"/>
    <w:rsid w:val="00972DAD"/>
    <w:rsid w:val="0097471C"/>
    <w:rsid w:val="009753BA"/>
    <w:rsid w:val="0097555D"/>
    <w:rsid w:val="00976B07"/>
    <w:rsid w:val="00981FA4"/>
    <w:rsid w:val="009828EF"/>
    <w:rsid w:val="0099000A"/>
    <w:rsid w:val="009975FB"/>
    <w:rsid w:val="00997E38"/>
    <w:rsid w:val="009A0074"/>
    <w:rsid w:val="009A1FEB"/>
    <w:rsid w:val="009A2835"/>
    <w:rsid w:val="009A5227"/>
    <w:rsid w:val="009A6683"/>
    <w:rsid w:val="009A6757"/>
    <w:rsid w:val="009B2727"/>
    <w:rsid w:val="009B34ED"/>
    <w:rsid w:val="009B591D"/>
    <w:rsid w:val="009B7507"/>
    <w:rsid w:val="009B7DCB"/>
    <w:rsid w:val="009D111A"/>
    <w:rsid w:val="009D311D"/>
    <w:rsid w:val="009E08A4"/>
    <w:rsid w:val="009E30A1"/>
    <w:rsid w:val="009E4B60"/>
    <w:rsid w:val="009E5906"/>
    <w:rsid w:val="009E6945"/>
    <w:rsid w:val="009F056B"/>
    <w:rsid w:val="009F6C32"/>
    <w:rsid w:val="00A0234E"/>
    <w:rsid w:val="00A058AE"/>
    <w:rsid w:val="00A0649D"/>
    <w:rsid w:val="00A06E70"/>
    <w:rsid w:val="00A07D17"/>
    <w:rsid w:val="00A1022A"/>
    <w:rsid w:val="00A10440"/>
    <w:rsid w:val="00A11D86"/>
    <w:rsid w:val="00A140BF"/>
    <w:rsid w:val="00A17B89"/>
    <w:rsid w:val="00A21DA0"/>
    <w:rsid w:val="00A23016"/>
    <w:rsid w:val="00A25E7D"/>
    <w:rsid w:val="00A30DCF"/>
    <w:rsid w:val="00A35436"/>
    <w:rsid w:val="00A3607E"/>
    <w:rsid w:val="00A37706"/>
    <w:rsid w:val="00A41291"/>
    <w:rsid w:val="00A436FB"/>
    <w:rsid w:val="00A43D60"/>
    <w:rsid w:val="00A4539B"/>
    <w:rsid w:val="00A472F2"/>
    <w:rsid w:val="00A473D2"/>
    <w:rsid w:val="00A525B5"/>
    <w:rsid w:val="00A5337B"/>
    <w:rsid w:val="00A53A0E"/>
    <w:rsid w:val="00A572BF"/>
    <w:rsid w:val="00A6004A"/>
    <w:rsid w:val="00A63E26"/>
    <w:rsid w:val="00A6467F"/>
    <w:rsid w:val="00A669A6"/>
    <w:rsid w:val="00A66C95"/>
    <w:rsid w:val="00A7215A"/>
    <w:rsid w:val="00A75F13"/>
    <w:rsid w:val="00A75FCC"/>
    <w:rsid w:val="00A7638A"/>
    <w:rsid w:val="00A7772F"/>
    <w:rsid w:val="00A823AF"/>
    <w:rsid w:val="00A83670"/>
    <w:rsid w:val="00A83869"/>
    <w:rsid w:val="00A83A3C"/>
    <w:rsid w:val="00A840E0"/>
    <w:rsid w:val="00A8644E"/>
    <w:rsid w:val="00A904D2"/>
    <w:rsid w:val="00A907C1"/>
    <w:rsid w:val="00A90ED9"/>
    <w:rsid w:val="00A91E3B"/>
    <w:rsid w:val="00A94E37"/>
    <w:rsid w:val="00A97580"/>
    <w:rsid w:val="00AA7A65"/>
    <w:rsid w:val="00AB1604"/>
    <w:rsid w:val="00AC58B8"/>
    <w:rsid w:val="00AC643F"/>
    <w:rsid w:val="00AC6E37"/>
    <w:rsid w:val="00AD095D"/>
    <w:rsid w:val="00AD65DE"/>
    <w:rsid w:val="00AE0FE5"/>
    <w:rsid w:val="00AE2A7A"/>
    <w:rsid w:val="00AE2D72"/>
    <w:rsid w:val="00AE4B5E"/>
    <w:rsid w:val="00AF0AEE"/>
    <w:rsid w:val="00AF13D1"/>
    <w:rsid w:val="00AF1FA5"/>
    <w:rsid w:val="00AF4E0C"/>
    <w:rsid w:val="00AF4F7E"/>
    <w:rsid w:val="00AF6B1A"/>
    <w:rsid w:val="00B005DB"/>
    <w:rsid w:val="00B01E25"/>
    <w:rsid w:val="00B02A70"/>
    <w:rsid w:val="00B04AEC"/>
    <w:rsid w:val="00B05FD0"/>
    <w:rsid w:val="00B071CF"/>
    <w:rsid w:val="00B10E4B"/>
    <w:rsid w:val="00B11681"/>
    <w:rsid w:val="00B13026"/>
    <w:rsid w:val="00B16430"/>
    <w:rsid w:val="00B16807"/>
    <w:rsid w:val="00B16CDA"/>
    <w:rsid w:val="00B16DAA"/>
    <w:rsid w:val="00B201CC"/>
    <w:rsid w:val="00B2041F"/>
    <w:rsid w:val="00B207EF"/>
    <w:rsid w:val="00B2193F"/>
    <w:rsid w:val="00B219D2"/>
    <w:rsid w:val="00B337D7"/>
    <w:rsid w:val="00B34EE1"/>
    <w:rsid w:val="00B37BC7"/>
    <w:rsid w:val="00B40A90"/>
    <w:rsid w:val="00B41677"/>
    <w:rsid w:val="00B417F1"/>
    <w:rsid w:val="00B42991"/>
    <w:rsid w:val="00B42D37"/>
    <w:rsid w:val="00B42F91"/>
    <w:rsid w:val="00B43324"/>
    <w:rsid w:val="00B43F37"/>
    <w:rsid w:val="00B44C46"/>
    <w:rsid w:val="00B450C8"/>
    <w:rsid w:val="00B46D05"/>
    <w:rsid w:val="00B479E2"/>
    <w:rsid w:val="00B51542"/>
    <w:rsid w:val="00B5313A"/>
    <w:rsid w:val="00B54B2C"/>
    <w:rsid w:val="00B55D15"/>
    <w:rsid w:val="00B55F0D"/>
    <w:rsid w:val="00B61B3A"/>
    <w:rsid w:val="00B62F60"/>
    <w:rsid w:val="00B6485C"/>
    <w:rsid w:val="00B665DA"/>
    <w:rsid w:val="00B739E8"/>
    <w:rsid w:val="00B7654D"/>
    <w:rsid w:val="00B80AB6"/>
    <w:rsid w:val="00B84432"/>
    <w:rsid w:val="00B84938"/>
    <w:rsid w:val="00B907E3"/>
    <w:rsid w:val="00B90E12"/>
    <w:rsid w:val="00B94278"/>
    <w:rsid w:val="00B962C2"/>
    <w:rsid w:val="00BA0633"/>
    <w:rsid w:val="00BA42ED"/>
    <w:rsid w:val="00BA556D"/>
    <w:rsid w:val="00BA57C4"/>
    <w:rsid w:val="00BB01B0"/>
    <w:rsid w:val="00BB1EB1"/>
    <w:rsid w:val="00BB2FC0"/>
    <w:rsid w:val="00BB2FE8"/>
    <w:rsid w:val="00BB43DB"/>
    <w:rsid w:val="00BB4E5C"/>
    <w:rsid w:val="00BC2D68"/>
    <w:rsid w:val="00BC3AE0"/>
    <w:rsid w:val="00BC56BD"/>
    <w:rsid w:val="00BC59FF"/>
    <w:rsid w:val="00BC6D94"/>
    <w:rsid w:val="00BD0A35"/>
    <w:rsid w:val="00BD2D70"/>
    <w:rsid w:val="00BD3E31"/>
    <w:rsid w:val="00BD4C7D"/>
    <w:rsid w:val="00BD516E"/>
    <w:rsid w:val="00BD5B34"/>
    <w:rsid w:val="00BD6509"/>
    <w:rsid w:val="00BE0882"/>
    <w:rsid w:val="00BE1559"/>
    <w:rsid w:val="00BE41AD"/>
    <w:rsid w:val="00BF0F45"/>
    <w:rsid w:val="00BF2819"/>
    <w:rsid w:val="00BF65E9"/>
    <w:rsid w:val="00BF7C18"/>
    <w:rsid w:val="00C00770"/>
    <w:rsid w:val="00C013DB"/>
    <w:rsid w:val="00C026BB"/>
    <w:rsid w:val="00C06070"/>
    <w:rsid w:val="00C06492"/>
    <w:rsid w:val="00C0721B"/>
    <w:rsid w:val="00C11CEB"/>
    <w:rsid w:val="00C204F0"/>
    <w:rsid w:val="00C22772"/>
    <w:rsid w:val="00C24DDB"/>
    <w:rsid w:val="00C25094"/>
    <w:rsid w:val="00C3017A"/>
    <w:rsid w:val="00C318DE"/>
    <w:rsid w:val="00C322EF"/>
    <w:rsid w:val="00C32DFD"/>
    <w:rsid w:val="00C351A2"/>
    <w:rsid w:val="00C37543"/>
    <w:rsid w:val="00C375DB"/>
    <w:rsid w:val="00C37B09"/>
    <w:rsid w:val="00C40AAC"/>
    <w:rsid w:val="00C41F29"/>
    <w:rsid w:val="00C444E8"/>
    <w:rsid w:val="00C457FA"/>
    <w:rsid w:val="00C46304"/>
    <w:rsid w:val="00C472DA"/>
    <w:rsid w:val="00C54156"/>
    <w:rsid w:val="00C56784"/>
    <w:rsid w:val="00C620D7"/>
    <w:rsid w:val="00C64B87"/>
    <w:rsid w:val="00C64D1B"/>
    <w:rsid w:val="00C65312"/>
    <w:rsid w:val="00C65E53"/>
    <w:rsid w:val="00C70151"/>
    <w:rsid w:val="00C72251"/>
    <w:rsid w:val="00C744E8"/>
    <w:rsid w:val="00C74597"/>
    <w:rsid w:val="00C76804"/>
    <w:rsid w:val="00C80430"/>
    <w:rsid w:val="00C80A27"/>
    <w:rsid w:val="00C813CA"/>
    <w:rsid w:val="00C8257C"/>
    <w:rsid w:val="00C82C93"/>
    <w:rsid w:val="00C82E64"/>
    <w:rsid w:val="00C8349A"/>
    <w:rsid w:val="00C84427"/>
    <w:rsid w:val="00C84E08"/>
    <w:rsid w:val="00C9108B"/>
    <w:rsid w:val="00C9511F"/>
    <w:rsid w:val="00CA100C"/>
    <w:rsid w:val="00CA15BE"/>
    <w:rsid w:val="00CA20C3"/>
    <w:rsid w:val="00CA356A"/>
    <w:rsid w:val="00CA6A7B"/>
    <w:rsid w:val="00CB0E0E"/>
    <w:rsid w:val="00CB380F"/>
    <w:rsid w:val="00CB3AD8"/>
    <w:rsid w:val="00CB5FAD"/>
    <w:rsid w:val="00CC117F"/>
    <w:rsid w:val="00CC3670"/>
    <w:rsid w:val="00CC5E9D"/>
    <w:rsid w:val="00CC70D4"/>
    <w:rsid w:val="00CD689A"/>
    <w:rsid w:val="00CD6FA8"/>
    <w:rsid w:val="00CE0882"/>
    <w:rsid w:val="00CE11FC"/>
    <w:rsid w:val="00CE4939"/>
    <w:rsid w:val="00CE6B2E"/>
    <w:rsid w:val="00CE6F64"/>
    <w:rsid w:val="00CF0799"/>
    <w:rsid w:val="00CF2494"/>
    <w:rsid w:val="00CF476A"/>
    <w:rsid w:val="00D0525B"/>
    <w:rsid w:val="00D0634F"/>
    <w:rsid w:val="00D06C39"/>
    <w:rsid w:val="00D06CF3"/>
    <w:rsid w:val="00D0777B"/>
    <w:rsid w:val="00D07E6C"/>
    <w:rsid w:val="00D1021C"/>
    <w:rsid w:val="00D104D9"/>
    <w:rsid w:val="00D11075"/>
    <w:rsid w:val="00D11175"/>
    <w:rsid w:val="00D1367E"/>
    <w:rsid w:val="00D17803"/>
    <w:rsid w:val="00D22C98"/>
    <w:rsid w:val="00D25FE0"/>
    <w:rsid w:val="00D2761D"/>
    <w:rsid w:val="00D27969"/>
    <w:rsid w:val="00D32940"/>
    <w:rsid w:val="00D3301F"/>
    <w:rsid w:val="00D34316"/>
    <w:rsid w:val="00D36B1C"/>
    <w:rsid w:val="00D36F11"/>
    <w:rsid w:val="00D45395"/>
    <w:rsid w:val="00D45543"/>
    <w:rsid w:val="00D46CBC"/>
    <w:rsid w:val="00D53AF8"/>
    <w:rsid w:val="00D553E9"/>
    <w:rsid w:val="00D55AF0"/>
    <w:rsid w:val="00D55B1B"/>
    <w:rsid w:val="00D56CFD"/>
    <w:rsid w:val="00D60332"/>
    <w:rsid w:val="00D60761"/>
    <w:rsid w:val="00D61009"/>
    <w:rsid w:val="00D61B31"/>
    <w:rsid w:val="00D61B82"/>
    <w:rsid w:val="00D66CE6"/>
    <w:rsid w:val="00D6702F"/>
    <w:rsid w:val="00D67AAE"/>
    <w:rsid w:val="00D70257"/>
    <w:rsid w:val="00D717DE"/>
    <w:rsid w:val="00D73B4F"/>
    <w:rsid w:val="00D73D13"/>
    <w:rsid w:val="00D74375"/>
    <w:rsid w:val="00D82BEE"/>
    <w:rsid w:val="00D8344C"/>
    <w:rsid w:val="00D91515"/>
    <w:rsid w:val="00D91AFE"/>
    <w:rsid w:val="00D94036"/>
    <w:rsid w:val="00D94F86"/>
    <w:rsid w:val="00D95139"/>
    <w:rsid w:val="00D952F7"/>
    <w:rsid w:val="00D95516"/>
    <w:rsid w:val="00D95837"/>
    <w:rsid w:val="00D97788"/>
    <w:rsid w:val="00DA1F70"/>
    <w:rsid w:val="00DA2F00"/>
    <w:rsid w:val="00DA4781"/>
    <w:rsid w:val="00DA6475"/>
    <w:rsid w:val="00DA7594"/>
    <w:rsid w:val="00DB6977"/>
    <w:rsid w:val="00DB7A2A"/>
    <w:rsid w:val="00DC0B68"/>
    <w:rsid w:val="00DC3994"/>
    <w:rsid w:val="00DC4C7A"/>
    <w:rsid w:val="00DC5302"/>
    <w:rsid w:val="00DC6251"/>
    <w:rsid w:val="00DC7CBA"/>
    <w:rsid w:val="00DC7EEA"/>
    <w:rsid w:val="00DD150F"/>
    <w:rsid w:val="00DD1934"/>
    <w:rsid w:val="00DD2B10"/>
    <w:rsid w:val="00DD2FD6"/>
    <w:rsid w:val="00DD5315"/>
    <w:rsid w:val="00DD7D58"/>
    <w:rsid w:val="00DE2D05"/>
    <w:rsid w:val="00DE49FA"/>
    <w:rsid w:val="00DE5C57"/>
    <w:rsid w:val="00DF1E6C"/>
    <w:rsid w:val="00DF4239"/>
    <w:rsid w:val="00DF6B03"/>
    <w:rsid w:val="00E004A4"/>
    <w:rsid w:val="00E008B4"/>
    <w:rsid w:val="00E0110A"/>
    <w:rsid w:val="00E01233"/>
    <w:rsid w:val="00E01658"/>
    <w:rsid w:val="00E02C2D"/>
    <w:rsid w:val="00E03525"/>
    <w:rsid w:val="00E05B15"/>
    <w:rsid w:val="00E07EF2"/>
    <w:rsid w:val="00E100AA"/>
    <w:rsid w:val="00E12925"/>
    <w:rsid w:val="00E12CC1"/>
    <w:rsid w:val="00E145C4"/>
    <w:rsid w:val="00E14F4F"/>
    <w:rsid w:val="00E16822"/>
    <w:rsid w:val="00E21A95"/>
    <w:rsid w:val="00E23404"/>
    <w:rsid w:val="00E246DE"/>
    <w:rsid w:val="00E25C86"/>
    <w:rsid w:val="00E25F13"/>
    <w:rsid w:val="00E267A9"/>
    <w:rsid w:val="00E31980"/>
    <w:rsid w:val="00E32062"/>
    <w:rsid w:val="00E323BE"/>
    <w:rsid w:val="00E3700F"/>
    <w:rsid w:val="00E40D01"/>
    <w:rsid w:val="00E43C53"/>
    <w:rsid w:val="00E47995"/>
    <w:rsid w:val="00E50DE8"/>
    <w:rsid w:val="00E51420"/>
    <w:rsid w:val="00E51BC7"/>
    <w:rsid w:val="00E56CD6"/>
    <w:rsid w:val="00E56E95"/>
    <w:rsid w:val="00E56F21"/>
    <w:rsid w:val="00E6047A"/>
    <w:rsid w:val="00E61F1A"/>
    <w:rsid w:val="00E67F57"/>
    <w:rsid w:val="00E71EE8"/>
    <w:rsid w:val="00E75905"/>
    <w:rsid w:val="00E80335"/>
    <w:rsid w:val="00E808CA"/>
    <w:rsid w:val="00E819F2"/>
    <w:rsid w:val="00E82006"/>
    <w:rsid w:val="00E8276A"/>
    <w:rsid w:val="00E84941"/>
    <w:rsid w:val="00E85349"/>
    <w:rsid w:val="00E90B52"/>
    <w:rsid w:val="00E91171"/>
    <w:rsid w:val="00E91FFD"/>
    <w:rsid w:val="00E931EA"/>
    <w:rsid w:val="00E9466F"/>
    <w:rsid w:val="00E94DAA"/>
    <w:rsid w:val="00E95C7A"/>
    <w:rsid w:val="00E95CBF"/>
    <w:rsid w:val="00E95D15"/>
    <w:rsid w:val="00E95FCC"/>
    <w:rsid w:val="00EA0CBD"/>
    <w:rsid w:val="00EA0D75"/>
    <w:rsid w:val="00EA29AD"/>
    <w:rsid w:val="00EB0853"/>
    <w:rsid w:val="00EB1A22"/>
    <w:rsid w:val="00EB60B7"/>
    <w:rsid w:val="00EB7195"/>
    <w:rsid w:val="00EC1599"/>
    <w:rsid w:val="00EC2906"/>
    <w:rsid w:val="00EC2C4D"/>
    <w:rsid w:val="00EC427E"/>
    <w:rsid w:val="00EC5D6E"/>
    <w:rsid w:val="00EC7383"/>
    <w:rsid w:val="00EC73B8"/>
    <w:rsid w:val="00EC745B"/>
    <w:rsid w:val="00ED2D4B"/>
    <w:rsid w:val="00ED5A9F"/>
    <w:rsid w:val="00ED62B7"/>
    <w:rsid w:val="00ED6671"/>
    <w:rsid w:val="00EE0FA1"/>
    <w:rsid w:val="00EE313E"/>
    <w:rsid w:val="00EE38C4"/>
    <w:rsid w:val="00EE6124"/>
    <w:rsid w:val="00EF2944"/>
    <w:rsid w:val="00EF6C55"/>
    <w:rsid w:val="00EF7342"/>
    <w:rsid w:val="00F03614"/>
    <w:rsid w:val="00F0458D"/>
    <w:rsid w:val="00F04956"/>
    <w:rsid w:val="00F05296"/>
    <w:rsid w:val="00F0795A"/>
    <w:rsid w:val="00F107F8"/>
    <w:rsid w:val="00F1144F"/>
    <w:rsid w:val="00F13C06"/>
    <w:rsid w:val="00F14558"/>
    <w:rsid w:val="00F1540A"/>
    <w:rsid w:val="00F1698D"/>
    <w:rsid w:val="00F175CE"/>
    <w:rsid w:val="00F17899"/>
    <w:rsid w:val="00F205DF"/>
    <w:rsid w:val="00F22894"/>
    <w:rsid w:val="00F22C4E"/>
    <w:rsid w:val="00F22F2A"/>
    <w:rsid w:val="00F23BE2"/>
    <w:rsid w:val="00F24C14"/>
    <w:rsid w:val="00F2663E"/>
    <w:rsid w:val="00F26919"/>
    <w:rsid w:val="00F27AFA"/>
    <w:rsid w:val="00F30D9C"/>
    <w:rsid w:val="00F313B4"/>
    <w:rsid w:val="00F317A8"/>
    <w:rsid w:val="00F31C6E"/>
    <w:rsid w:val="00F3211B"/>
    <w:rsid w:val="00F36748"/>
    <w:rsid w:val="00F445CC"/>
    <w:rsid w:val="00F46D0F"/>
    <w:rsid w:val="00F47822"/>
    <w:rsid w:val="00F47995"/>
    <w:rsid w:val="00F51276"/>
    <w:rsid w:val="00F5524C"/>
    <w:rsid w:val="00F56F27"/>
    <w:rsid w:val="00F62CBB"/>
    <w:rsid w:val="00F62CF9"/>
    <w:rsid w:val="00F64C6E"/>
    <w:rsid w:val="00F70D09"/>
    <w:rsid w:val="00F711E5"/>
    <w:rsid w:val="00F71FE1"/>
    <w:rsid w:val="00F721CA"/>
    <w:rsid w:val="00F72F65"/>
    <w:rsid w:val="00F7522D"/>
    <w:rsid w:val="00F75439"/>
    <w:rsid w:val="00F8783E"/>
    <w:rsid w:val="00F87F6A"/>
    <w:rsid w:val="00F94023"/>
    <w:rsid w:val="00F95323"/>
    <w:rsid w:val="00F96914"/>
    <w:rsid w:val="00FA246A"/>
    <w:rsid w:val="00FA2551"/>
    <w:rsid w:val="00FA2919"/>
    <w:rsid w:val="00FA3508"/>
    <w:rsid w:val="00FA458A"/>
    <w:rsid w:val="00FA5FB7"/>
    <w:rsid w:val="00FA78D5"/>
    <w:rsid w:val="00FB0C9C"/>
    <w:rsid w:val="00FB421D"/>
    <w:rsid w:val="00FB5238"/>
    <w:rsid w:val="00FC0260"/>
    <w:rsid w:val="00FC1042"/>
    <w:rsid w:val="00FC2882"/>
    <w:rsid w:val="00FC47DD"/>
    <w:rsid w:val="00FC5788"/>
    <w:rsid w:val="00FC59D7"/>
    <w:rsid w:val="00FC627D"/>
    <w:rsid w:val="00FD0B1D"/>
    <w:rsid w:val="00FD1F2D"/>
    <w:rsid w:val="00FD229A"/>
    <w:rsid w:val="00FD3F92"/>
    <w:rsid w:val="00FD42F5"/>
    <w:rsid w:val="00FD4FE0"/>
    <w:rsid w:val="00FD5E15"/>
    <w:rsid w:val="00FD7521"/>
    <w:rsid w:val="00FD7540"/>
    <w:rsid w:val="00FE0C87"/>
    <w:rsid w:val="00FE10AD"/>
    <w:rsid w:val="00FE4825"/>
    <w:rsid w:val="00FE65B4"/>
    <w:rsid w:val="00FE6E7F"/>
    <w:rsid w:val="00FE6F14"/>
    <w:rsid w:val="00FE740E"/>
    <w:rsid w:val="00FF0C1E"/>
    <w:rsid w:val="00FF116D"/>
    <w:rsid w:val="00FF3E0F"/>
    <w:rsid w:val="00FF7851"/>
    <w:rsid w:val="00FF7E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50358AC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Body"/>
    <w:next w:val="BodyText"/>
    <w:uiPriority w:val="99"/>
    <w:qFormat/>
  </w:style>
  <w:style w:type="paragraph" w:styleId="Heading1">
    <w:name w:val="heading 1"/>
    <w:basedOn w:val="Normal"/>
    <w:next w:val="Normal"/>
    <w:link w:val="Heading1Char"/>
    <w:qFormat/>
    <w:rsid w:val="00FC288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FC288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FC288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nhideWhenUsed/>
    <w:qFormat/>
    <w:rsid w:val="00FC288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qFormat/>
    <w:rsid w:val="00624B15"/>
    <w:pPr>
      <w:keepNext/>
      <w:widowControl w:val="0"/>
      <w:tabs>
        <w:tab w:val="left" w:pos="0"/>
      </w:tabs>
      <w:suppressAutoHyphens/>
      <w:spacing w:after="0" w:line="240" w:lineRule="auto"/>
      <w:ind w:left="720"/>
      <w:outlineLvl w:val="4"/>
    </w:pPr>
    <w:rPr>
      <w:rFonts w:ascii="Times New Roman" w:eastAsia="Times New Roman" w:hAnsi="Times New Roman" w:cs="Times New Roman"/>
      <w:b/>
      <w:bCs/>
      <w:snapToGrid w:val="0"/>
      <w:sz w:val="24"/>
      <w:szCs w:val="20"/>
      <w:u w:val="single"/>
    </w:rPr>
  </w:style>
  <w:style w:type="paragraph" w:styleId="Heading6">
    <w:name w:val="heading 6"/>
    <w:basedOn w:val="Normal"/>
    <w:next w:val="Normal"/>
    <w:link w:val="Heading6Char"/>
    <w:qFormat/>
    <w:rsid w:val="00624B15"/>
    <w:pPr>
      <w:keepNext/>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720"/>
      <w:outlineLvl w:val="5"/>
    </w:pPr>
    <w:rPr>
      <w:rFonts w:ascii="Times New Roman" w:eastAsia="Times New Roman" w:hAnsi="Times New Roman" w:cs="Times New Roman"/>
      <w:sz w:val="24"/>
      <w:szCs w:val="20"/>
      <w:u w:val="single"/>
    </w:rPr>
  </w:style>
  <w:style w:type="paragraph" w:styleId="Heading7">
    <w:name w:val="heading 7"/>
    <w:basedOn w:val="Normal"/>
    <w:next w:val="Normal"/>
    <w:link w:val="Heading7Char"/>
    <w:uiPriority w:val="99"/>
    <w:qFormat/>
    <w:rsid w:val="00624B15"/>
    <w:pPr>
      <w:keepNext/>
      <w:numPr>
        <w:numId w:val="4"/>
      </w:numPr>
      <w:spacing w:after="0" w:line="480" w:lineRule="auto"/>
      <w:outlineLvl w:val="6"/>
    </w:pPr>
    <w:rPr>
      <w:rFonts w:ascii="Times New Roman" w:eastAsia="Times New Roman" w:hAnsi="Times New Roman" w:cs="Times New Roman"/>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FC2882"/>
    <w:pPr>
      <w:widowControl w:val="0"/>
      <w:spacing w:after="0" w:line="240" w:lineRule="auto"/>
      <w:contextualSpacing/>
    </w:pPr>
    <w:rPr>
      <w:rFonts w:asciiTheme="majorHAnsi" w:eastAsiaTheme="majorEastAsia" w:hAnsiTheme="majorHAnsi" w:cstheme="majorBidi"/>
      <w:snapToGrid w:val="0"/>
      <w:spacing w:val="-10"/>
      <w:kern w:val="28"/>
      <w:sz w:val="56"/>
      <w:szCs w:val="56"/>
    </w:rPr>
  </w:style>
  <w:style w:type="character" w:customStyle="1" w:styleId="TitleChar">
    <w:name w:val="Title Char"/>
    <w:basedOn w:val="DefaultParagraphFont"/>
    <w:link w:val="Title"/>
    <w:rsid w:val="00FC2882"/>
    <w:rPr>
      <w:rFonts w:asciiTheme="majorHAnsi" w:eastAsiaTheme="majorEastAsia" w:hAnsiTheme="majorHAnsi" w:cstheme="majorBidi"/>
      <w:snapToGrid w:val="0"/>
      <w:spacing w:val="-10"/>
      <w:kern w:val="28"/>
      <w:sz w:val="56"/>
      <w:szCs w:val="56"/>
    </w:rPr>
  </w:style>
  <w:style w:type="character" w:customStyle="1" w:styleId="Heading1Char">
    <w:name w:val="Heading 1 Char"/>
    <w:basedOn w:val="DefaultParagraphFont"/>
    <w:link w:val="Heading1"/>
    <w:rsid w:val="00FC2882"/>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FC2882"/>
    <w:pPr>
      <w:ind w:left="720"/>
      <w:contextualSpacing/>
    </w:pPr>
  </w:style>
  <w:style w:type="character" w:customStyle="1" w:styleId="Heading2Char">
    <w:name w:val="Heading 2 Char"/>
    <w:basedOn w:val="DefaultParagraphFont"/>
    <w:link w:val="Heading2"/>
    <w:rsid w:val="00FC288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rsid w:val="00FC2882"/>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rsid w:val="00FC2882"/>
    <w:rPr>
      <w:rFonts w:asciiTheme="majorHAnsi" w:eastAsiaTheme="majorEastAsia" w:hAnsiTheme="majorHAnsi" w:cstheme="majorBidi"/>
      <w:i/>
      <w:iCs/>
      <w:color w:val="2F5496" w:themeColor="accent1" w:themeShade="BF"/>
    </w:rPr>
  </w:style>
  <w:style w:type="character" w:styleId="FootnoteReference">
    <w:name w:val="footnote reference"/>
    <w:uiPriority w:val="99"/>
    <w:semiHidden/>
    <w:rsid w:val="00FC2882"/>
    <w:rPr>
      <w:vertAlign w:val="superscript"/>
    </w:rPr>
  </w:style>
  <w:style w:type="paragraph" w:customStyle="1" w:styleId="Norman">
    <w:name w:val="Norman"/>
    <w:basedOn w:val="Normal"/>
    <w:next w:val="Normal"/>
    <w:link w:val="NormanChar"/>
    <w:rsid w:val="007A3603"/>
  </w:style>
  <w:style w:type="paragraph" w:styleId="BodyText">
    <w:name w:val="Body Text"/>
    <w:basedOn w:val="Normal"/>
    <w:link w:val="BodyTextChar"/>
    <w:uiPriority w:val="99"/>
    <w:unhideWhenUsed/>
    <w:rsid w:val="00FC2882"/>
    <w:pPr>
      <w:spacing w:after="120"/>
    </w:pPr>
  </w:style>
  <w:style w:type="character" w:customStyle="1" w:styleId="BodyTextChar">
    <w:name w:val="Body Text Char"/>
    <w:basedOn w:val="DefaultParagraphFont"/>
    <w:link w:val="BodyText"/>
    <w:uiPriority w:val="99"/>
    <w:rsid w:val="00FC2882"/>
  </w:style>
  <w:style w:type="paragraph" w:styleId="BodyTextIndent">
    <w:name w:val="Body Text Indent"/>
    <w:basedOn w:val="Normal"/>
    <w:link w:val="BodyTextIndentChar"/>
    <w:uiPriority w:val="99"/>
    <w:unhideWhenUsed/>
    <w:rsid w:val="007A3603"/>
    <w:pPr>
      <w:spacing w:after="120"/>
      <w:ind w:left="360"/>
    </w:pPr>
  </w:style>
  <w:style w:type="character" w:customStyle="1" w:styleId="NormanChar">
    <w:name w:val="Norman Char"/>
    <w:basedOn w:val="DefaultParagraphFont"/>
    <w:link w:val="Norman"/>
    <w:rsid w:val="007A3603"/>
  </w:style>
  <w:style w:type="character" w:customStyle="1" w:styleId="BodyTextIndentChar">
    <w:name w:val="Body Text Indent Char"/>
    <w:basedOn w:val="DefaultParagraphFont"/>
    <w:link w:val="BodyTextIndent"/>
    <w:uiPriority w:val="99"/>
    <w:rsid w:val="007A3603"/>
  </w:style>
  <w:style w:type="paragraph" w:styleId="FootnoteText">
    <w:name w:val="footnote text"/>
    <w:basedOn w:val="Normal"/>
    <w:link w:val="FootnoteTextChar"/>
    <w:uiPriority w:val="99"/>
    <w:rsid w:val="007A3603"/>
    <w:pPr>
      <w:widowControl w:val="0"/>
      <w:spacing w:after="0" w:line="240" w:lineRule="auto"/>
    </w:pPr>
    <w:rPr>
      <w:rFonts w:ascii="Courier New" w:eastAsia="Times New Roman" w:hAnsi="Courier New" w:cs="Times New Roman"/>
      <w:snapToGrid w:val="0"/>
      <w:sz w:val="24"/>
      <w:szCs w:val="20"/>
    </w:rPr>
  </w:style>
  <w:style w:type="character" w:customStyle="1" w:styleId="FootnoteTextChar">
    <w:name w:val="Footnote Text Char"/>
    <w:basedOn w:val="DefaultParagraphFont"/>
    <w:link w:val="FootnoteText"/>
    <w:uiPriority w:val="99"/>
    <w:rsid w:val="007A3603"/>
    <w:rPr>
      <w:rFonts w:ascii="Courier New" w:eastAsia="Times New Roman" w:hAnsi="Courier New" w:cs="Times New Roman"/>
      <w:snapToGrid w:val="0"/>
      <w:sz w:val="24"/>
      <w:szCs w:val="20"/>
    </w:rPr>
  </w:style>
  <w:style w:type="paragraph" w:customStyle="1" w:styleId="Body2">
    <w:name w:val="Body2"/>
    <w:basedOn w:val="Normal"/>
    <w:qFormat/>
    <w:rsid w:val="007A3603"/>
    <w:pPr>
      <w:spacing w:after="0" w:line="240" w:lineRule="auto"/>
    </w:pPr>
    <w:rPr>
      <w:rFonts w:ascii="Times New Roman" w:eastAsia="Times New Roman" w:hAnsi="Times New Roman" w:cs="Times New Roman"/>
      <w:sz w:val="24"/>
      <w:szCs w:val="24"/>
    </w:rPr>
  </w:style>
  <w:style w:type="character" w:styleId="Hyperlink">
    <w:name w:val="Hyperlink"/>
    <w:uiPriority w:val="99"/>
    <w:rsid w:val="00D11175"/>
    <w:rPr>
      <w:u w:val="single"/>
    </w:rPr>
  </w:style>
  <w:style w:type="paragraph" w:customStyle="1" w:styleId="BodyA">
    <w:name w:val="Body A"/>
    <w:rsid w:val="00624B15"/>
    <w:pPr>
      <w:widowControl w:val="0"/>
      <w:pBdr>
        <w:top w:val="nil"/>
        <w:left w:val="nil"/>
        <w:bottom w:val="nil"/>
        <w:right w:val="nil"/>
        <w:between w:val="nil"/>
        <w:bar w:val="nil"/>
      </w:pBdr>
      <w:spacing w:after="0" w:line="240" w:lineRule="auto"/>
    </w:pPr>
    <w:rPr>
      <w:rFonts w:ascii="Courier" w:eastAsia="Arial Unicode MS" w:hAnsi="Arial Unicode MS" w:cs="Arial Unicode MS"/>
      <w:color w:val="000000"/>
      <w:sz w:val="24"/>
      <w:szCs w:val="24"/>
      <w:u w:color="000000"/>
      <w:bdr w:val="nil"/>
      <w:lang w:val="pt-PT"/>
    </w:rPr>
  </w:style>
  <w:style w:type="character" w:customStyle="1" w:styleId="Heading5Char">
    <w:name w:val="Heading 5 Char"/>
    <w:basedOn w:val="DefaultParagraphFont"/>
    <w:link w:val="Heading5"/>
    <w:rsid w:val="00624B15"/>
    <w:rPr>
      <w:rFonts w:ascii="Times New Roman" w:eastAsia="Times New Roman" w:hAnsi="Times New Roman" w:cs="Times New Roman"/>
      <w:b/>
      <w:bCs/>
      <w:snapToGrid w:val="0"/>
      <w:sz w:val="24"/>
      <w:szCs w:val="20"/>
      <w:u w:val="single"/>
    </w:rPr>
  </w:style>
  <w:style w:type="character" w:customStyle="1" w:styleId="Heading6Char">
    <w:name w:val="Heading 6 Char"/>
    <w:basedOn w:val="DefaultParagraphFont"/>
    <w:link w:val="Heading6"/>
    <w:rsid w:val="00624B15"/>
    <w:rPr>
      <w:rFonts w:ascii="Times New Roman" w:eastAsia="Times New Roman" w:hAnsi="Times New Roman" w:cs="Times New Roman"/>
      <w:sz w:val="24"/>
      <w:szCs w:val="20"/>
      <w:u w:val="single"/>
      <w:shd w:val="clear" w:color="auto" w:fill="FFFFFF"/>
    </w:rPr>
  </w:style>
  <w:style w:type="character" w:customStyle="1" w:styleId="Heading7Char">
    <w:name w:val="Heading 7 Char"/>
    <w:basedOn w:val="DefaultParagraphFont"/>
    <w:link w:val="Heading7"/>
    <w:uiPriority w:val="99"/>
    <w:rsid w:val="00624B15"/>
    <w:rPr>
      <w:rFonts w:ascii="Times New Roman" w:eastAsia="Times New Roman" w:hAnsi="Times New Roman" w:cs="Times New Roman"/>
      <w:sz w:val="24"/>
      <w:szCs w:val="20"/>
      <w:u w:val="single"/>
    </w:rPr>
  </w:style>
  <w:style w:type="paragraph" w:styleId="EndnoteText">
    <w:name w:val="endnote text"/>
    <w:basedOn w:val="Normal"/>
    <w:link w:val="EndnoteTextChar"/>
    <w:uiPriority w:val="99"/>
    <w:rsid w:val="00624B15"/>
    <w:pPr>
      <w:widowControl w:val="0"/>
      <w:spacing w:after="0" w:line="240" w:lineRule="auto"/>
    </w:pPr>
    <w:rPr>
      <w:rFonts w:ascii="Courier New" w:eastAsia="Times New Roman" w:hAnsi="Courier New" w:cs="Times New Roman"/>
      <w:snapToGrid w:val="0"/>
      <w:sz w:val="24"/>
      <w:szCs w:val="20"/>
    </w:rPr>
  </w:style>
  <w:style w:type="character" w:customStyle="1" w:styleId="EndnoteTextChar">
    <w:name w:val="Endnote Text Char"/>
    <w:basedOn w:val="DefaultParagraphFont"/>
    <w:link w:val="EndnoteText"/>
    <w:uiPriority w:val="99"/>
    <w:rsid w:val="00624B15"/>
    <w:rPr>
      <w:rFonts w:ascii="Courier New" w:eastAsia="Times New Roman" w:hAnsi="Courier New" w:cs="Times New Roman"/>
      <w:snapToGrid w:val="0"/>
      <w:sz w:val="24"/>
      <w:szCs w:val="20"/>
    </w:rPr>
  </w:style>
  <w:style w:type="character" w:styleId="EndnoteReference">
    <w:name w:val="endnote reference"/>
    <w:rsid w:val="00624B15"/>
    <w:rPr>
      <w:vertAlign w:val="superscript"/>
    </w:rPr>
  </w:style>
  <w:style w:type="character" w:customStyle="1" w:styleId="DefaultPara">
    <w:name w:val="Default Para"/>
    <w:basedOn w:val="DefaultParagraphFont"/>
    <w:rsid w:val="00624B15"/>
  </w:style>
  <w:style w:type="character" w:customStyle="1" w:styleId="footnoteref">
    <w:name w:val="footnote ref"/>
    <w:basedOn w:val="DefaultParagraphFont"/>
    <w:rsid w:val="00624B15"/>
  </w:style>
  <w:style w:type="paragraph" w:customStyle="1" w:styleId="a">
    <w:name w:val="_"/>
    <w:uiPriority w:val="99"/>
    <w:rsid w:val="00624B15"/>
    <w:pPr>
      <w:widowControl w:val="0"/>
      <w:tabs>
        <w:tab w:val="left" w:pos="-720"/>
      </w:tabs>
      <w:suppressAutoHyphens/>
      <w:spacing w:after="0" w:line="240" w:lineRule="auto"/>
    </w:pPr>
    <w:rPr>
      <w:rFonts w:ascii="Courier New" w:eastAsia="Times New Roman" w:hAnsi="Courier New" w:cs="Times New Roman"/>
      <w:snapToGrid w:val="0"/>
      <w:sz w:val="20"/>
      <w:szCs w:val="20"/>
    </w:rPr>
  </w:style>
  <w:style w:type="paragraph" w:customStyle="1" w:styleId="BodyTextIn">
    <w:name w:val="Body Text In"/>
    <w:uiPriority w:val="99"/>
    <w:rsid w:val="00624B15"/>
    <w:pPr>
      <w:widowControl w:val="0"/>
      <w:tabs>
        <w:tab w:val="left" w:pos="0"/>
      </w:tabs>
      <w:suppressAutoHyphens/>
      <w:spacing w:after="0" w:line="240" w:lineRule="auto"/>
    </w:pPr>
    <w:rPr>
      <w:rFonts w:ascii="Courier New" w:eastAsia="Times New Roman" w:hAnsi="Courier New" w:cs="Times New Roman"/>
      <w:i/>
      <w:snapToGrid w:val="0"/>
      <w:sz w:val="20"/>
      <w:szCs w:val="20"/>
    </w:rPr>
  </w:style>
  <w:style w:type="paragraph" w:styleId="TOC1">
    <w:name w:val="toc 1"/>
    <w:basedOn w:val="Normal"/>
    <w:next w:val="Normal"/>
    <w:autoRedefine/>
    <w:uiPriority w:val="39"/>
    <w:rsid w:val="00624B15"/>
    <w:pPr>
      <w:widowControl w:val="0"/>
      <w:tabs>
        <w:tab w:val="right" w:leader="dot" w:pos="9360"/>
      </w:tabs>
      <w:suppressAutoHyphens/>
      <w:spacing w:before="480" w:after="0" w:line="240" w:lineRule="auto"/>
      <w:ind w:left="720" w:right="720" w:hanging="720"/>
    </w:pPr>
    <w:rPr>
      <w:rFonts w:ascii="Courier New" w:eastAsia="Times New Roman" w:hAnsi="Courier New" w:cs="Times New Roman"/>
      <w:snapToGrid w:val="0"/>
      <w:sz w:val="20"/>
      <w:szCs w:val="20"/>
    </w:rPr>
  </w:style>
  <w:style w:type="paragraph" w:styleId="TOC2">
    <w:name w:val="toc 2"/>
    <w:basedOn w:val="Normal"/>
    <w:next w:val="Normal"/>
    <w:autoRedefine/>
    <w:uiPriority w:val="39"/>
    <w:rsid w:val="00624B15"/>
    <w:pPr>
      <w:widowControl w:val="0"/>
      <w:tabs>
        <w:tab w:val="right" w:leader="dot" w:pos="9360"/>
      </w:tabs>
      <w:suppressAutoHyphens/>
      <w:spacing w:after="0" w:line="240" w:lineRule="auto"/>
      <w:ind w:left="1440" w:right="720" w:hanging="720"/>
    </w:pPr>
    <w:rPr>
      <w:rFonts w:ascii="Courier New" w:eastAsia="Times New Roman" w:hAnsi="Courier New" w:cs="Times New Roman"/>
      <w:snapToGrid w:val="0"/>
      <w:sz w:val="20"/>
      <w:szCs w:val="20"/>
    </w:rPr>
  </w:style>
  <w:style w:type="paragraph" w:styleId="TOC3">
    <w:name w:val="toc 3"/>
    <w:basedOn w:val="Normal"/>
    <w:next w:val="Normal"/>
    <w:autoRedefine/>
    <w:uiPriority w:val="39"/>
    <w:rsid w:val="00624B15"/>
    <w:pPr>
      <w:widowControl w:val="0"/>
      <w:tabs>
        <w:tab w:val="right" w:leader="dot" w:pos="9360"/>
      </w:tabs>
      <w:suppressAutoHyphens/>
      <w:spacing w:after="0" w:line="240" w:lineRule="auto"/>
      <w:ind w:left="2160" w:right="720" w:hanging="720"/>
    </w:pPr>
    <w:rPr>
      <w:rFonts w:ascii="Courier New" w:eastAsia="Times New Roman" w:hAnsi="Courier New" w:cs="Times New Roman"/>
      <w:snapToGrid w:val="0"/>
      <w:sz w:val="20"/>
      <w:szCs w:val="20"/>
    </w:rPr>
  </w:style>
  <w:style w:type="paragraph" w:styleId="TOC4">
    <w:name w:val="toc 4"/>
    <w:basedOn w:val="Normal"/>
    <w:next w:val="Normal"/>
    <w:autoRedefine/>
    <w:uiPriority w:val="39"/>
    <w:rsid w:val="00624B15"/>
    <w:pPr>
      <w:widowControl w:val="0"/>
      <w:tabs>
        <w:tab w:val="right" w:leader="dot" w:pos="9360"/>
      </w:tabs>
      <w:suppressAutoHyphens/>
      <w:spacing w:after="0" w:line="240" w:lineRule="auto"/>
      <w:ind w:left="2880" w:right="720" w:hanging="720"/>
    </w:pPr>
    <w:rPr>
      <w:rFonts w:ascii="Courier New" w:eastAsia="Times New Roman" w:hAnsi="Courier New" w:cs="Times New Roman"/>
      <w:snapToGrid w:val="0"/>
      <w:sz w:val="20"/>
      <w:szCs w:val="20"/>
    </w:rPr>
  </w:style>
  <w:style w:type="paragraph" w:styleId="TOC5">
    <w:name w:val="toc 5"/>
    <w:basedOn w:val="Normal"/>
    <w:next w:val="Normal"/>
    <w:autoRedefine/>
    <w:uiPriority w:val="99"/>
    <w:rsid w:val="00624B15"/>
    <w:pPr>
      <w:widowControl w:val="0"/>
      <w:tabs>
        <w:tab w:val="right" w:leader="dot" w:pos="9360"/>
      </w:tabs>
      <w:suppressAutoHyphens/>
      <w:spacing w:after="0" w:line="240" w:lineRule="auto"/>
      <w:ind w:left="3600" w:right="720" w:hanging="720"/>
    </w:pPr>
    <w:rPr>
      <w:rFonts w:ascii="Courier New" w:eastAsia="Times New Roman" w:hAnsi="Courier New" w:cs="Times New Roman"/>
      <w:snapToGrid w:val="0"/>
      <w:sz w:val="20"/>
      <w:szCs w:val="20"/>
    </w:rPr>
  </w:style>
  <w:style w:type="paragraph" w:styleId="TOC6">
    <w:name w:val="toc 6"/>
    <w:basedOn w:val="Normal"/>
    <w:next w:val="Normal"/>
    <w:autoRedefine/>
    <w:uiPriority w:val="99"/>
    <w:rsid w:val="00624B15"/>
    <w:pPr>
      <w:widowControl w:val="0"/>
      <w:tabs>
        <w:tab w:val="right" w:pos="9360"/>
      </w:tabs>
      <w:suppressAutoHyphens/>
      <w:spacing w:after="0" w:line="240" w:lineRule="auto"/>
      <w:ind w:left="720" w:hanging="720"/>
    </w:pPr>
    <w:rPr>
      <w:rFonts w:ascii="Courier New" w:eastAsia="Times New Roman" w:hAnsi="Courier New" w:cs="Times New Roman"/>
      <w:snapToGrid w:val="0"/>
      <w:sz w:val="20"/>
      <w:szCs w:val="20"/>
    </w:rPr>
  </w:style>
  <w:style w:type="paragraph" w:styleId="TOC7">
    <w:name w:val="toc 7"/>
    <w:basedOn w:val="Normal"/>
    <w:next w:val="Normal"/>
    <w:autoRedefine/>
    <w:uiPriority w:val="99"/>
    <w:rsid w:val="00624B15"/>
    <w:pPr>
      <w:widowControl w:val="0"/>
      <w:suppressAutoHyphens/>
      <w:spacing w:after="0" w:line="240" w:lineRule="auto"/>
      <w:ind w:left="720" w:hanging="720"/>
    </w:pPr>
    <w:rPr>
      <w:rFonts w:ascii="Courier New" w:eastAsia="Times New Roman" w:hAnsi="Courier New" w:cs="Times New Roman"/>
      <w:snapToGrid w:val="0"/>
      <w:sz w:val="20"/>
      <w:szCs w:val="20"/>
    </w:rPr>
  </w:style>
  <w:style w:type="paragraph" w:styleId="TOC8">
    <w:name w:val="toc 8"/>
    <w:basedOn w:val="Normal"/>
    <w:next w:val="Normal"/>
    <w:autoRedefine/>
    <w:uiPriority w:val="99"/>
    <w:rsid w:val="00624B15"/>
    <w:pPr>
      <w:widowControl w:val="0"/>
      <w:tabs>
        <w:tab w:val="right" w:pos="9360"/>
      </w:tabs>
      <w:suppressAutoHyphens/>
      <w:spacing w:after="0" w:line="240" w:lineRule="auto"/>
      <w:ind w:left="720" w:hanging="720"/>
    </w:pPr>
    <w:rPr>
      <w:rFonts w:ascii="Courier New" w:eastAsia="Times New Roman" w:hAnsi="Courier New" w:cs="Times New Roman"/>
      <w:snapToGrid w:val="0"/>
      <w:sz w:val="20"/>
      <w:szCs w:val="20"/>
    </w:rPr>
  </w:style>
  <w:style w:type="paragraph" w:styleId="TOC9">
    <w:name w:val="toc 9"/>
    <w:basedOn w:val="Normal"/>
    <w:next w:val="Normal"/>
    <w:autoRedefine/>
    <w:uiPriority w:val="99"/>
    <w:rsid w:val="00624B15"/>
    <w:pPr>
      <w:widowControl w:val="0"/>
      <w:tabs>
        <w:tab w:val="right" w:leader="dot" w:pos="9360"/>
      </w:tabs>
      <w:suppressAutoHyphens/>
      <w:spacing w:after="0" w:line="240" w:lineRule="auto"/>
      <w:ind w:left="720" w:hanging="720"/>
    </w:pPr>
    <w:rPr>
      <w:rFonts w:ascii="Courier New" w:eastAsia="Times New Roman" w:hAnsi="Courier New" w:cs="Times New Roman"/>
      <w:snapToGrid w:val="0"/>
      <w:sz w:val="20"/>
      <w:szCs w:val="20"/>
    </w:rPr>
  </w:style>
  <w:style w:type="paragraph" w:styleId="Index1">
    <w:name w:val="index 1"/>
    <w:basedOn w:val="Normal"/>
    <w:next w:val="Normal"/>
    <w:autoRedefine/>
    <w:uiPriority w:val="99"/>
    <w:rsid w:val="00624B15"/>
    <w:pPr>
      <w:widowControl w:val="0"/>
      <w:tabs>
        <w:tab w:val="right" w:leader="dot" w:pos="9360"/>
      </w:tabs>
      <w:suppressAutoHyphens/>
      <w:spacing w:after="0" w:line="240" w:lineRule="auto"/>
      <w:ind w:left="1440" w:right="720" w:hanging="1440"/>
    </w:pPr>
    <w:rPr>
      <w:rFonts w:ascii="Courier New" w:eastAsia="Times New Roman" w:hAnsi="Courier New" w:cs="Times New Roman"/>
      <w:snapToGrid w:val="0"/>
      <w:sz w:val="20"/>
      <w:szCs w:val="20"/>
    </w:rPr>
  </w:style>
  <w:style w:type="paragraph" w:styleId="Index2">
    <w:name w:val="index 2"/>
    <w:basedOn w:val="Normal"/>
    <w:next w:val="Normal"/>
    <w:autoRedefine/>
    <w:uiPriority w:val="99"/>
    <w:rsid w:val="00624B15"/>
    <w:pPr>
      <w:widowControl w:val="0"/>
      <w:tabs>
        <w:tab w:val="right" w:leader="dot" w:pos="9360"/>
      </w:tabs>
      <w:suppressAutoHyphens/>
      <w:spacing w:after="0" w:line="240" w:lineRule="auto"/>
      <w:ind w:left="1440" w:right="720" w:hanging="720"/>
    </w:pPr>
    <w:rPr>
      <w:rFonts w:ascii="Courier New" w:eastAsia="Times New Roman" w:hAnsi="Courier New" w:cs="Times New Roman"/>
      <w:snapToGrid w:val="0"/>
      <w:sz w:val="20"/>
      <w:szCs w:val="20"/>
    </w:rPr>
  </w:style>
  <w:style w:type="paragraph" w:styleId="TOAHeading">
    <w:name w:val="toa heading"/>
    <w:basedOn w:val="Normal"/>
    <w:next w:val="Normal"/>
    <w:uiPriority w:val="99"/>
    <w:rsid w:val="00624B15"/>
    <w:pPr>
      <w:widowControl w:val="0"/>
      <w:tabs>
        <w:tab w:val="right" w:pos="9360"/>
      </w:tabs>
      <w:suppressAutoHyphens/>
      <w:spacing w:after="0" w:line="240" w:lineRule="auto"/>
    </w:pPr>
    <w:rPr>
      <w:rFonts w:ascii="Courier New" w:eastAsia="Times New Roman" w:hAnsi="Courier New" w:cs="Times New Roman"/>
      <w:snapToGrid w:val="0"/>
      <w:sz w:val="20"/>
      <w:szCs w:val="20"/>
    </w:rPr>
  </w:style>
  <w:style w:type="paragraph" w:styleId="Caption">
    <w:name w:val="caption"/>
    <w:basedOn w:val="Normal"/>
    <w:next w:val="Normal"/>
    <w:uiPriority w:val="99"/>
    <w:qFormat/>
    <w:rsid w:val="00624B15"/>
    <w:pPr>
      <w:widowControl w:val="0"/>
      <w:spacing w:after="0" w:line="240" w:lineRule="auto"/>
    </w:pPr>
    <w:rPr>
      <w:rFonts w:ascii="Courier New" w:eastAsia="Times New Roman" w:hAnsi="Courier New" w:cs="Times New Roman"/>
      <w:snapToGrid w:val="0"/>
      <w:sz w:val="24"/>
      <w:szCs w:val="20"/>
    </w:rPr>
  </w:style>
  <w:style w:type="character" w:customStyle="1" w:styleId="EquationCaption">
    <w:name w:val="_Equation Caption"/>
    <w:rsid w:val="00624B15"/>
  </w:style>
  <w:style w:type="paragraph" w:styleId="BodyTextIndent2">
    <w:name w:val="Body Text Indent 2"/>
    <w:basedOn w:val="Normal"/>
    <w:link w:val="BodyTextIndent2Char"/>
    <w:uiPriority w:val="99"/>
    <w:rsid w:val="00624B15"/>
    <w:pPr>
      <w:widowControl w:val="0"/>
      <w:tabs>
        <w:tab w:val="left" w:pos="0"/>
        <w:tab w:val="left" w:pos="1800"/>
        <w:tab w:val="left" w:pos="2160"/>
      </w:tabs>
      <w:suppressAutoHyphens/>
      <w:spacing w:after="0" w:line="240" w:lineRule="auto"/>
      <w:ind w:left="2160" w:hanging="2160"/>
    </w:pPr>
    <w:rPr>
      <w:rFonts w:ascii="Times New Roman" w:eastAsia="Times New Roman" w:hAnsi="Times New Roman" w:cs="Times New Roman"/>
      <w:snapToGrid w:val="0"/>
      <w:color w:val="000000"/>
      <w:sz w:val="24"/>
      <w:szCs w:val="20"/>
    </w:rPr>
  </w:style>
  <w:style w:type="character" w:customStyle="1" w:styleId="BodyTextIndent2Char">
    <w:name w:val="Body Text Indent 2 Char"/>
    <w:basedOn w:val="DefaultParagraphFont"/>
    <w:link w:val="BodyTextIndent2"/>
    <w:uiPriority w:val="99"/>
    <w:rsid w:val="00624B15"/>
    <w:rPr>
      <w:rFonts w:ascii="Times New Roman" w:eastAsia="Times New Roman" w:hAnsi="Times New Roman" w:cs="Times New Roman"/>
      <w:snapToGrid w:val="0"/>
      <w:color w:val="000000"/>
      <w:sz w:val="24"/>
      <w:szCs w:val="20"/>
    </w:rPr>
  </w:style>
  <w:style w:type="paragraph" w:styleId="Footer">
    <w:name w:val="footer"/>
    <w:basedOn w:val="Normal"/>
    <w:link w:val="FooterChar"/>
    <w:uiPriority w:val="99"/>
    <w:rsid w:val="00624B15"/>
    <w:pPr>
      <w:widowControl w:val="0"/>
      <w:tabs>
        <w:tab w:val="center" w:pos="4320"/>
        <w:tab w:val="right" w:pos="8640"/>
      </w:tabs>
      <w:spacing w:after="0" w:line="240" w:lineRule="auto"/>
    </w:pPr>
    <w:rPr>
      <w:rFonts w:ascii="Courier New" w:eastAsia="Times New Roman" w:hAnsi="Courier New" w:cs="Times New Roman"/>
      <w:snapToGrid w:val="0"/>
      <w:sz w:val="20"/>
      <w:szCs w:val="20"/>
    </w:rPr>
  </w:style>
  <w:style w:type="character" w:customStyle="1" w:styleId="FooterChar">
    <w:name w:val="Footer Char"/>
    <w:basedOn w:val="DefaultParagraphFont"/>
    <w:link w:val="Footer"/>
    <w:uiPriority w:val="99"/>
    <w:rsid w:val="00624B15"/>
    <w:rPr>
      <w:rFonts w:ascii="Courier New" w:eastAsia="Times New Roman" w:hAnsi="Courier New" w:cs="Times New Roman"/>
      <w:snapToGrid w:val="0"/>
      <w:sz w:val="20"/>
      <w:szCs w:val="20"/>
    </w:rPr>
  </w:style>
  <w:style w:type="character" w:styleId="PageNumber">
    <w:name w:val="page number"/>
    <w:basedOn w:val="DefaultParagraphFont"/>
    <w:rsid w:val="00624B15"/>
  </w:style>
  <w:style w:type="paragraph" w:styleId="BodyTextIndent3">
    <w:name w:val="Body Text Indent 3"/>
    <w:basedOn w:val="Normal"/>
    <w:link w:val="BodyTextIndent3Char"/>
    <w:uiPriority w:val="99"/>
    <w:rsid w:val="00624B15"/>
    <w:pPr>
      <w:widowControl w:val="0"/>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hanging="720"/>
    </w:pPr>
    <w:rPr>
      <w:rFonts w:ascii="Times New Roman" w:eastAsia="Times New Roman" w:hAnsi="Times New Roman" w:cs="Times New Roman"/>
      <w:snapToGrid w:val="0"/>
      <w:sz w:val="24"/>
      <w:szCs w:val="20"/>
    </w:rPr>
  </w:style>
  <w:style w:type="character" w:customStyle="1" w:styleId="BodyTextIndent3Char">
    <w:name w:val="Body Text Indent 3 Char"/>
    <w:basedOn w:val="DefaultParagraphFont"/>
    <w:link w:val="BodyTextIndent3"/>
    <w:uiPriority w:val="99"/>
    <w:rsid w:val="00624B15"/>
    <w:rPr>
      <w:rFonts w:ascii="Times New Roman" w:eastAsia="Times New Roman" w:hAnsi="Times New Roman" w:cs="Times New Roman"/>
      <w:snapToGrid w:val="0"/>
      <w:sz w:val="24"/>
      <w:szCs w:val="20"/>
    </w:rPr>
  </w:style>
  <w:style w:type="paragraph" w:styleId="Header">
    <w:name w:val="header"/>
    <w:basedOn w:val="Normal"/>
    <w:link w:val="HeaderChar"/>
    <w:uiPriority w:val="99"/>
    <w:rsid w:val="00624B15"/>
    <w:pPr>
      <w:widowControl w:val="0"/>
      <w:tabs>
        <w:tab w:val="center" w:pos="4320"/>
        <w:tab w:val="right" w:pos="8640"/>
      </w:tabs>
      <w:spacing w:after="0" w:line="240" w:lineRule="auto"/>
    </w:pPr>
    <w:rPr>
      <w:rFonts w:ascii="Courier New" w:eastAsia="Times New Roman" w:hAnsi="Courier New" w:cs="Times New Roman"/>
      <w:snapToGrid w:val="0"/>
      <w:sz w:val="20"/>
      <w:szCs w:val="20"/>
    </w:rPr>
  </w:style>
  <w:style w:type="character" w:customStyle="1" w:styleId="HeaderChar">
    <w:name w:val="Header Char"/>
    <w:basedOn w:val="DefaultParagraphFont"/>
    <w:link w:val="Header"/>
    <w:uiPriority w:val="99"/>
    <w:rsid w:val="00624B15"/>
    <w:rPr>
      <w:rFonts w:ascii="Courier New" w:eastAsia="Times New Roman" w:hAnsi="Courier New" w:cs="Times New Roman"/>
      <w:snapToGrid w:val="0"/>
      <w:sz w:val="20"/>
      <w:szCs w:val="20"/>
    </w:rPr>
  </w:style>
  <w:style w:type="paragraph" w:customStyle="1" w:styleId="Level1">
    <w:name w:val="Level 1"/>
    <w:basedOn w:val="Normal"/>
    <w:link w:val="Level1Char"/>
    <w:qFormat/>
    <w:rsid w:val="00624B15"/>
    <w:pPr>
      <w:widowControl w:val="0"/>
      <w:numPr>
        <w:numId w:val="5"/>
      </w:numPr>
      <w:spacing w:after="0" w:line="240" w:lineRule="auto"/>
      <w:ind w:left="720" w:hanging="720"/>
      <w:outlineLvl w:val="0"/>
    </w:pPr>
    <w:rPr>
      <w:rFonts w:ascii="Times New Roman" w:eastAsia="Times New Roman" w:hAnsi="Times New Roman" w:cs="Times New Roman"/>
      <w:snapToGrid w:val="0"/>
      <w:sz w:val="24"/>
      <w:szCs w:val="20"/>
    </w:rPr>
  </w:style>
  <w:style w:type="paragraph" w:customStyle="1" w:styleId="BodyTextI1">
    <w:name w:val="Body Text I1"/>
    <w:basedOn w:val="Normal"/>
    <w:uiPriority w:val="99"/>
    <w:rsid w:val="00624B15"/>
    <w:pPr>
      <w:widowControl w:val="0"/>
      <w:tabs>
        <w:tab w:val="left" w:pos="0"/>
        <w:tab w:val="left" w:pos="711"/>
        <w:tab w:val="left" w:pos="1584"/>
        <w:tab w:val="left" w:pos="5760"/>
        <w:tab w:val="left" w:pos="6480"/>
        <w:tab w:val="left" w:pos="7200"/>
        <w:tab w:val="left" w:pos="7920"/>
        <w:tab w:val="left" w:pos="8640"/>
        <w:tab w:val="right" w:pos="9360"/>
      </w:tabs>
      <w:spacing w:after="0" w:line="480" w:lineRule="auto"/>
      <w:ind w:firstLine="711"/>
    </w:pPr>
    <w:rPr>
      <w:rFonts w:ascii="Courier New" w:eastAsia="Times New Roman" w:hAnsi="Courier New" w:cs="Times New Roman"/>
      <w:snapToGrid w:val="0"/>
      <w:sz w:val="24"/>
      <w:szCs w:val="20"/>
    </w:rPr>
  </w:style>
  <w:style w:type="paragraph" w:styleId="BlockText">
    <w:name w:val="Block Text"/>
    <w:basedOn w:val="Normal"/>
    <w:uiPriority w:val="99"/>
    <w:rsid w:val="00624B15"/>
    <w:pPr>
      <w:widowControl w:val="0"/>
      <w:tabs>
        <w:tab w:val="left" w:pos="-720"/>
        <w:tab w:val="left" w:pos="0"/>
      </w:tabs>
      <w:suppressAutoHyphens/>
      <w:spacing w:after="0" w:line="240" w:lineRule="auto"/>
      <w:ind w:left="720" w:right="720" w:hanging="720"/>
    </w:pPr>
    <w:rPr>
      <w:rFonts w:ascii="Times New Roman" w:eastAsia="Times New Roman" w:hAnsi="Times New Roman" w:cs="Times New Roman"/>
      <w:snapToGrid w:val="0"/>
      <w:color w:val="000000"/>
      <w:sz w:val="24"/>
      <w:szCs w:val="20"/>
    </w:rPr>
  </w:style>
  <w:style w:type="paragraph" w:styleId="BalloonText">
    <w:name w:val="Balloon Text"/>
    <w:basedOn w:val="Normal"/>
    <w:link w:val="BalloonTextChar"/>
    <w:uiPriority w:val="99"/>
    <w:rsid w:val="00624B15"/>
    <w:pPr>
      <w:widowControl w:val="0"/>
      <w:spacing w:after="0" w:line="240" w:lineRule="auto"/>
    </w:pPr>
    <w:rPr>
      <w:rFonts w:ascii="Tahoma" w:eastAsia="Times New Roman" w:hAnsi="Tahoma" w:cs="Tahoma"/>
      <w:snapToGrid w:val="0"/>
      <w:sz w:val="16"/>
      <w:szCs w:val="16"/>
    </w:rPr>
  </w:style>
  <w:style w:type="character" w:customStyle="1" w:styleId="BalloonTextChar">
    <w:name w:val="Balloon Text Char"/>
    <w:basedOn w:val="DefaultParagraphFont"/>
    <w:link w:val="BalloonText"/>
    <w:uiPriority w:val="99"/>
    <w:rsid w:val="00624B15"/>
    <w:rPr>
      <w:rFonts w:ascii="Tahoma" w:eastAsia="Times New Roman" w:hAnsi="Tahoma" w:cs="Tahoma"/>
      <w:snapToGrid w:val="0"/>
      <w:sz w:val="16"/>
      <w:szCs w:val="16"/>
    </w:rPr>
  </w:style>
  <w:style w:type="character" w:styleId="CommentReference">
    <w:name w:val="annotation reference"/>
    <w:uiPriority w:val="99"/>
    <w:rsid w:val="00624B15"/>
    <w:rPr>
      <w:sz w:val="16"/>
      <w:szCs w:val="16"/>
    </w:rPr>
  </w:style>
  <w:style w:type="paragraph" w:styleId="CommentText">
    <w:name w:val="annotation text"/>
    <w:basedOn w:val="Normal"/>
    <w:link w:val="CommentTextChar"/>
    <w:uiPriority w:val="99"/>
    <w:rsid w:val="00624B15"/>
    <w:pPr>
      <w:widowControl w:val="0"/>
      <w:spacing w:after="0" w:line="240" w:lineRule="auto"/>
    </w:pPr>
    <w:rPr>
      <w:rFonts w:ascii="Courier New" w:eastAsia="Times New Roman" w:hAnsi="Courier New" w:cs="Times New Roman"/>
      <w:snapToGrid w:val="0"/>
      <w:sz w:val="20"/>
      <w:szCs w:val="20"/>
    </w:rPr>
  </w:style>
  <w:style w:type="character" w:customStyle="1" w:styleId="CommentTextChar">
    <w:name w:val="Comment Text Char"/>
    <w:basedOn w:val="DefaultParagraphFont"/>
    <w:link w:val="CommentText"/>
    <w:uiPriority w:val="99"/>
    <w:rsid w:val="00624B15"/>
    <w:rPr>
      <w:rFonts w:ascii="Courier New" w:eastAsia="Times New Roman" w:hAnsi="Courier New" w:cs="Times New Roman"/>
      <w:snapToGrid w:val="0"/>
      <w:sz w:val="20"/>
      <w:szCs w:val="20"/>
    </w:rPr>
  </w:style>
  <w:style w:type="paragraph" w:styleId="CommentSubject">
    <w:name w:val="annotation subject"/>
    <w:basedOn w:val="CommentText"/>
    <w:next w:val="CommentText"/>
    <w:link w:val="CommentSubjectChar"/>
    <w:uiPriority w:val="99"/>
    <w:rsid w:val="00624B15"/>
    <w:rPr>
      <w:b/>
      <w:bCs/>
    </w:rPr>
  </w:style>
  <w:style w:type="character" w:customStyle="1" w:styleId="CommentSubjectChar">
    <w:name w:val="Comment Subject Char"/>
    <w:basedOn w:val="CommentTextChar"/>
    <w:link w:val="CommentSubject"/>
    <w:uiPriority w:val="99"/>
    <w:rsid w:val="00624B15"/>
    <w:rPr>
      <w:rFonts w:ascii="Courier New" w:eastAsia="Times New Roman" w:hAnsi="Courier New" w:cs="Times New Roman"/>
      <w:b/>
      <w:bCs/>
      <w:snapToGrid w:val="0"/>
      <w:sz w:val="20"/>
      <w:szCs w:val="20"/>
    </w:rPr>
  </w:style>
  <w:style w:type="paragraph" w:styleId="Revision">
    <w:name w:val="Revision"/>
    <w:hidden/>
    <w:uiPriority w:val="99"/>
    <w:semiHidden/>
    <w:rsid w:val="00624B15"/>
    <w:pPr>
      <w:spacing w:after="0" w:line="240" w:lineRule="auto"/>
    </w:pPr>
    <w:rPr>
      <w:rFonts w:ascii="Courier New" w:eastAsia="Times New Roman" w:hAnsi="Courier New" w:cs="Times New Roman"/>
      <w:snapToGrid w:val="0"/>
      <w:sz w:val="20"/>
      <w:szCs w:val="20"/>
    </w:rPr>
  </w:style>
  <w:style w:type="table" w:styleId="TableGrid">
    <w:name w:val="Table Grid"/>
    <w:basedOn w:val="TableNormal"/>
    <w:rsid w:val="00624B1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624B15"/>
  </w:style>
  <w:style w:type="paragraph" w:customStyle="1" w:styleId="HeaderFooter">
    <w:name w:val="Header &amp; Footer"/>
    <w:rsid w:val="00624B15"/>
    <w:pPr>
      <w:pBdr>
        <w:top w:val="nil"/>
        <w:left w:val="nil"/>
        <w:bottom w:val="nil"/>
        <w:right w:val="nil"/>
        <w:between w:val="nil"/>
        <w:bar w:val="nil"/>
      </w:pBdr>
      <w:tabs>
        <w:tab w:val="right" w:pos="9020"/>
      </w:tabs>
      <w:spacing w:after="0" w:line="240" w:lineRule="auto"/>
    </w:pPr>
    <w:rPr>
      <w:rFonts w:ascii="Helvetica" w:eastAsia="Helvetica" w:hAnsi="Helvetica" w:cs="Helvetica"/>
      <w:color w:val="000000"/>
      <w:sz w:val="24"/>
      <w:szCs w:val="24"/>
      <w:bdr w:val="nil"/>
    </w:rPr>
  </w:style>
  <w:style w:type="paragraph" w:customStyle="1" w:styleId="Heading">
    <w:name w:val="Heading"/>
    <w:next w:val="BodyA"/>
    <w:rsid w:val="00624B15"/>
    <w:pPr>
      <w:keepNext/>
      <w:widowControl w:val="0"/>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outlineLvl w:val="0"/>
    </w:pPr>
    <w:rPr>
      <w:rFonts w:ascii="Courier" w:eastAsia="Arial Unicode MS" w:hAnsi="Arial Unicode MS" w:cs="Arial Unicode MS"/>
      <w:b/>
      <w:bCs/>
      <w:color w:val="000000"/>
      <w:sz w:val="24"/>
      <w:szCs w:val="24"/>
      <w:u w:color="000000"/>
      <w:bdr w:val="nil"/>
    </w:rPr>
  </w:style>
  <w:style w:type="character" w:customStyle="1" w:styleId="Hyperlink0">
    <w:name w:val="Hyperlink.0"/>
    <w:basedOn w:val="footnoteref"/>
    <w:rsid w:val="00624B15"/>
    <w:rPr>
      <w:color w:val="0000FF"/>
      <w:u w:val="single" w:color="0000FF"/>
      <w:lang w:val="en-US"/>
    </w:rPr>
  </w:style>
  <w:style w:type="character" w:customStyle="1" w:styleId="Hyperlink1">
    <w:name w:val="Hyperlink.1"/>
    <w:basedOn w:val="footnoteref"/>
    <w:rsid w:val="00624B15"/>
    <w:rPr>
      <w:color w:val="0000FF"/>
      <w:sz w:val="20"/>
      <w:szCs w:val="20"/>
      <w:u w:val="single" w:color="0000FF"/>
    </w:rPr>
  </w:style>
  <w:style w:type="paragraph" w:styleId="NormalWeb">
    <w:name w:val="Normal (Web)"/>
    <w:uiPriority w:val="99"/>
    <w:rsid w:val="00624B15"/>
    <w:pPr>
      <w:pBdr>
        <w:top w:val="nil"/>
        <w:left w:val="nil"/>
        <w:bottom w:val="nil"/>
        <w:right w:val="nil"/>
        <w:between w:val="nil"/>
        <w:bar w:val="nil"/>
      </w:pBdr>
      <w:spacing w:before="100" w:after="100" w:line="240" w:lineRule="auto"/>
    </w:pPr>
    <w:rPr>
      <w:rFonts w:ascii="Times New Roman" w:eastAsia="Arial Unicode MS" w:hAnsi="Arial Unicode MS" w:cs="Arial Unicode MS"/>
      <w:color w:val="000000"/>
      <w:sz w:val="24"/>
      <w:szCs w:val="24"/>
      <w:u w:color="000000"/>
      <w:bdr w:val="nil"/>
    </w:rPr>
  </w:style>
  <w:style w:type="paragraph" w:customStyle="1" w:styleId="BodyAA">
    <w:name w:val="Body A A"/>
    <w:rsid w:val="00624B15"/>
    <w:pPr>
      <w:widowControl w:val="0"/>
      <w:pBdr>
        <w:top w:val="nil"/>
        <w:left w:val="nil"/>
        <w:bottom w:val="nil"/>
        <w:right w:val="nil"/>
        <w:between w:val="nil"/>
        <w:bar w:val="nil"/>
      </w:pBdr>
      <w:spacing w:after="0" w:line="240" w:lineRule="auto"/>
    </w:pPr>
    <w:rPr>
      <w:rFonts w:ascii="Courier" w:eastAsia="Arial Unicode MS" w:hAnsi="Arial Unicode MS" w:cs="Arial Unicode MS"/>
      <w:color w:val="000000"/>
      <w:sz w:val="24"/>
      <w:szCs w:val="24"/>
      <w:u w:color="000000"/>
      <w:bdr w:val="nil"/>
    </w:rPr>
  </w:style>
  <w:style w:type="character" w:customStyle="1" w:styleId="Hyperlink2">
    <w:name w:val="Hyperlink.2"/>
    <w:basedOn w:val="footnoteref"/>
    <w:rsid w:val="00624B15"/>
    <w:rPr>
      <w:color w:val="0000FF"/>
      <w:u w:val="single" w:color="0000FF"/>
    </w:rPr>
  </w:style>
  <w:style w:type="character" w:customStyle="1" w:styleId="Hyperlink3">
    <w:name w:val="Hyperlink.3"/>
    <w:basedOn w:val="footnoteref"/>
    <w:rsid w:val="00624B15"/>
    <w:rPr>
      <w:color w:val="0000FF"/>
      <w:u w:val="single" w:color="000000"/>
      <w:lang w:val="en-US"/>
    </w:rPr>
  </w:style>
  <w:style w:type="character" w:customStyle="1" w:styleId="Hyperlink4">
    <w:name w:val="Hyperlink.4"/>
    <w:basedOn w:val="footnoteref"/>
    <w:rsid w:val="00624B15"/>
    <w:rPr>
      <w:color w:val="0000FF"/>
      <w:u w:val="single" w:color="0000FF"/>
      <w:lang w:val="nl-NL"/>
    </w:rPr>
  </w:style>
  <w:style w:type="character" w:customStyle="1" w:styleId="Hyperlink5">
    <w:name w:val="Hyperlink.5"/>
    <w:basedOn w:val="footnoteref"/>
    <w:rsid w:val="00624B15"/>
    <w:rPr>
      <w:color w:val="0000FF"/>
      <w:u w:val="single" w:color="0000FF"/>
      <w:lang w:val="it-IT"/>
    </w:rPr>
  </w:style>
  <w:style w:type="paragraph" w:customStyle="1" w:styleId="Default">
    <w:name w:val="Default"/>
    <w:rsid w:val="00624B15"/>
    <w:pPr>
      <w:widowControl w:val="0"/>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rPr>
  </w:style>
  <w:style w:type="character" w:customStyle="1" w:styleId="Hyperlink6">
    <w:name w:val="Hyperlink.6"/>
    <w:basedOn w:val="footnoteref"/>
    <w:rsid w:val="00624B15"/>
    <w:rPr>
      <w:color w:val="0000FF"/>
      <w:u w:val="single" w:color="0000FF"/>
    </w:rPr>
  </w:style>
  <w:style w:type="character" w:customStyle="1" w:styleId="Hyperlink7">
    <w:name w:val="Hyperlink.7"/>
    <w:basedOn w:val="footnoteref"/>
    <w:rsid w:val="00624B15"/>
    <w:rPr>
      <w:color w:val="0000FF"/>
      <w:u w:val="single" w:color="0000FF"/>
    </w:rPr>
  </w:style>
  <w:style w:type="character" w:customStyle="1" w:styleId="Hyperlink8">
    <w:name w:val="Hyperlink.8"/>
    <w:basedOn w:val="footnoteref"/>
    <w:rsid w:val="00624B15"/>
    <w:rPr>
      <w:b w:val="0"/>
      <w:bCs w:val="0"/>
      <w:color w:val="0000FF"/>
      <w:u w:val="single" w:color="0000FF"/>
    </w:rPr>
  </w:style>
  <w:style w:type="character" w:customStyle="1" w:styleId="Hyperlink9">
    <w:name w:val="Hyperlink.9"/>
    <w:basedOn w:val="footnoteref"/>
    <w:rsid w:val="00624B15"/>
    <w:rPr>
      <w:color w:val="000000"/>
      <w:u w:val="none" w:color="000000"/>
      <w:lang w:val="en-US"/>
    </w:rPr>
  </w:style>
  <w:style w:type="table" w:customStyle="1" w:styleId="TableGrid1">
    <w:name w:val="Table Grid1"/>
    <w:basedOn w:val="TableNormal"/>
    <w:next w:val="TableGrid"/>
    <w:rsid w:val="00624B1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rsid w:val="00624B15"/>
    <w:rPr>
      <w:color w:val="800080"/>
      <w:u w:val="single"/>
    </w:rPr>
  </w:style>
  <w:style w:type="paragraph" w:customStyle="1" w:styleId="ColorfulList-Accent11">
    <w:name w:val="Colorful List - Accent 11"/>
    <w:basedOn w:val="Normal"/>
    <w:uiPriority w:val="34"/>
    <w:qFormat/>
    <w:rsid w:val="00624B15"/>
    <w:pPr>
      <w:spacing w:after="200" w:line="276" w:lineRule="auto"/>
      <w:ind w:left="720"/>
      <w:contextualSpacing/>
    </w:pPr>
    <w:rPr>
      <w:rFonts w:ascii="Calibri" w:eastAsia="Times New Roman" w:hAnsi="Calibri" w:cs="Times New Roman"/>
    </w:rPr>
  </w:style>
  <w:style w:type="paragraph" w:customStyle="1" w:styleId="MediumGrid21">
    <w:name w:val="Medium Grid 21"/>
    <w:uiPriority w:val="1"/>
    <w:qFormat/>
    <w:rsid w:val="00624B15"/>
    <w:pPr>
      <w:spacing w:after="0" w:line="240" w:lineRule="auto"/>
    </w:pPr>
    <w:rPr>
      <w:rFonts w:ascii="Calibri" w:eastAsia="Calibri" w:hAnsi="Calibri" w:cs="Times New Roman"/>
    </w:rPr>
  </w:style>
  <w:style w:type="paragraph" w:customStyle="1" w:styleId="Pa42">
    <w:name w:val="Pa42"/>
    <w:basedOn w:val="Default"/>
    <w:next w:val="Default"/>
    <w:uiPriority w:val="99"/>
    <w:rsid w:val="00624B15"/>
    <w:pPr>
      <w:widowControl/>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81" w:lineRule="atLeast"/>
    </w:pPr>
    <w:rPr>
      <w:rFonts w:ascii="Open Sans" w:eastAsia="Calibri" w:hAnsi="Open Sans" w:cs="Times New Roman"/>
      <w:color w:val="auto"/>
      <w:bdr w:val="none" w:sz="0" w:space="0" w:color="auto"/>
    </w:rPr>
  </w:style>
  <w:style w:type="paragraph" w:customStyle="1" w:styleId="Div">
    <w:name w:val="Div"/>
    <w:basedOn w:val="Normal"/>
    <w:uiPriority w:val="99"/>
    <w:rsid w:val="00624B15"/>
    <w:pPr>
      <w:shd w:val="solid" w:color="FFFFFF" w:fill="auto"/>
      <w:spacing w:after="0" w:line="240" w:lineRule="auto"/>
    </w:pPr>
    <w:rPr>
      <w:rFonts w:ascii="Courier New" w:eastAsia="Courier New" w:hAnsi="Courier New" w:cs="Courier New"/>
      <w:color w:val="000000"/>
      <w:sz w:val="24"/>
      <w:szCs w:val="24"/>
      <w:lang w:val="ru-RU" w:eastAsia="ru-RU"/>
    </w:rPr>
  </w:style>
  <w:style w:type="paragraph" w:customStyle="1" w:styleId="ColorfulShading-Accent11">
    <w:name w:val="Colorful Shading - Accent 11"/>
    <w:hidden/>
    <w:uiPriority w:val="99"/>
    <w:rsid w:val="00624B15"/>
    <w:pPr>
      <w:spacing w:after="0" w:line="240" w:lineRule="auto"/>
    </w:pPr>
    <w:rPr>
      <w:rFonts w:ascii="Calibri" w:eastAsia="Calibri" w:hAnsi="Calibri" w:cs="Times New Roman"/>
    </w:rPr>
  </w:style>
  <w:style w:type="character" w:customStyle="1" w:styleId="ptext-41">
    <w:name w:val="ptext-41"/>
    <w:rsid w:val="00624B15"/>
  </w:style>
  <w:style w:type="numbering" w:customStyle="1" w:styleId="NoList11">
    <w:name w:val="No List11"/>
    <w:next w:val="NoList"/>
    <w:uiPriority w:val="99"/>
    <w:semiHidden/>
    <w:unhideWhenUsed/>
    <w:rsid w:val="00624B15"/>
  </w:style>
  <w:style w:type="paragraph" w:customStyle="1" w:styleId="font5">
    <w:name w:val="font5"/>
    <w:basedOn w:val="Normal"/>
    <w:uiPriority w:val="99"/>
    <w:rsid w:val="00624B15"/>
    <w:pPr>
      <w:spacing w:before="100" w:beforeAutospacing="1" w:after="100" w:afterAutospacing="1" w:line="240" w:lineRule="auto"/>
    </w:pPr>
    <w:rPr>
      <w:rFonts w:ascii="Calibri" w:eastAsia="Times New Roman" w:hAnsi="Calibri" w:cs="Times New Roman"/>
      <w:color w:val="000000"/>
      <w:sz w:val="20"/>
      <w:szCs w:val="20"/>
    </w:rPr>
  </w:style>
  <w:style w:type="paragraph" w:customStyle="1" w:styleId="xl65">
    <w:name w:val="xl65"/>
    <w:basedOn w:val="Normal"/>
    <w:rsid w:val="00624B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7">
    <w:name w:val="xl67"/>
    <w:basedOn w:val="Normal"/>
    <w:rsid w:val="00624B15"/>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8">
    <w:name w:val="xl68"/>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69">
    <w:name w:val="xl69"/>
    <w:basedOn w:val="Normal"/>
    <w:rsid w:val="00624B15"/>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0">
    <w:name w:val="xl70"/>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1">
    <w:name w:val="xl71"/>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2">
    <w:name w:val="xl72"/>
    <w:basedOn w:val="Normal"/>
    <w:rsid w:val="00624B1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3">
    <w:name w:val="xl73"/>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4">
    <w:name w:val="xl74"/>
    <w:basedOn w:val="Normal"/>
    <w:rsid w:val="00624B1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5">
    <w:name w:val="xl75"/>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6">
    <w:name w:val="xl76"/>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7">
    <w:name w:val="xl77"/>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8">
    <w:name w:val="xl78"/>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9">
    <w:name w:val="xl79"/>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0">
    <w:name w:val="xl80"/>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1">
    <w:name w:val="xl81"/>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2">
    <w:name w:val="xl82"/>
    <w:basedOn w:val="Normal"/>
    <w:rsid w:val="00624B15"/>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3">
    <w:name w:val="xl83"/>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4">
    <w:name w:val="xl84"/>
    <w:basedOn w:val="Normal"/>
    <w:rsid w:val="00624B15"/>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5">
    <w:name w:val="xl85"/>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86">
    <w:name w:val="xl86"/>
    <w:basedOn w:val="Normal"/>
    <w:rsid w:val="00624B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7">
    <w:name w:val="xl87"/>
    <w:basedOn w:val="Normal"/>
    <w:rsid w:val="00624B15"/>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fullcenter">
    <w:name w:val="fullcenter"/>
    <w:basedOn w:val="Normal"/>
    <w:uiPriority w:val="99"/>
    <w:rsid w:val="00624B15"/>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linktoamn">
    <w:name w:val="linktoamn"/>
    <w:basedOn w:val="Normal"/>
    <w:uiPriority w:val="99"/>
    <w:rsid w:val="00624B15"/>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frpage">
    <w:name w:val="bfrpage"/>
    <w:basedOn w:val="Normal"/>
    <w:uiPriority w:val="99"/>
    <w:rsid w:val="00624B15"/>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reghd">
    <w:name w:val="breghd"/>
    <w:basedOn w:val="Normal"/>
    <w:uiPriority w:val="99"/>
    <w:rsid w:val="00624B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ffdates">
    <w:name w:val="effdates"/>
    <w:basedOn w:val="Normal"/>
    <w:uiPriority w:val="99"/>
    <w:rsid w:val="00624B15"/>
    <w:pPr>
      <w:spacing w:before="100" w:beforeAutospacing="1" w:after="100" w:afterAutospacing="1" w:line="240" w:lineRule="auto"/>
      <w:ind w:firstLine="480"/>
    </w:pPr>
    <w:rPr>
      <w:rFonts w:ascii="Times New Roman" w:eastAsia="Times New Roman" w:hAnsi="Times New Roman" w:cs="Times New Roman"/>
      <w:smallCaps/>
      <w:sz w:val="24"/>
      <w:szCs w:val="24"/>
    </w:rPr>
  </w:style>
  <w:style w:type="paragraph" w:customStyle="1" w:styleId="updated">
    <w:name w:val="updated"/>
    <w:basedOn w:val="Normal"/>
    <w:uiPriority w:val="99"/>
    <w:rsid w:val="00624B15"/>
    <w:pPr>
      <w:spacing w:before="100" w:beforeAutospacing="1" w:after="100" w:afterAutospacing="1" w:line="240" w:lineRule="auto"/>
      <w:jc w:val="center"/>
    </w:pPr>
    <w:rPr>
      <w:rFonts w:ascii="Arial" w:eastAsia="Times New Roman" w:hAnsi="Arial" w:cs="Arial"/>
      <w:b/>
      <w:bCs/>
      <w:color w:val="FF0000"/>
      <w:sz w:val="27"/>
      <w:szCs w:val="27"/>
    </w:rPr>
  </w:style>
  <w:style w:type="paragraph" w:customStyle="1" w:styleId="contact">
    <w:name w:val="contact"/>
    <w:basedOn w:val="Normal"/>
    <w:uiPriority w:val="99"/>
    <w:rsid w:val="00624B15"/>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top-menu">
    <w:name w:val="top-menu"/>
    <w:basedOn w:val="Normal"/>
    <w:uiPriority w:val="99"/>
    <w:rsid w:val="00624B15"/>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op-menu-pipe">
    <w:name w:val="top-menu-pipe"/>
    <w:basedOn w:val="Normal"/>
    <w:uiPriority w:val="99"/>
    <w:rsid w:val="00624B15"/>
    <w:pPr>
      <w:spacing w:after="0" w:line="240" w:lineRule="auto"/>
      <w:ind w:firstLine="480"/>
    </w:pPr>
    <w:rPr>
      <w:rFonts w:ascii="Times New Roman" w:eastAsia="Times New Roman" w:hAnsi="Times New Roman" w:cs="Times New Roman"/>
      <w:sz w:val="24"/>
      <w:szCs w:val="24"/>
    </w:rPr>
  </w:style>
  <w:style w:type="paragraph" w:customStyle="1" w:styleId="clear">
    <w:name w:val="clear"/>
    <w:basedOn w:val="Normal"/>
    <w:uiPriority w:val="99"/>
    <w:rsid w:val="00624B15"/>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hits">
    <w:name w:val="hits"/>
    <w:basedOn w:val="Normal"/>
    <w:uiPriority w:val="99"/>
    <w:rsid w:val="00624B15"/>
    <w:pPr>
      <w:spacing w:before="100" w:beforeAutospacing="1" w:after="100" w:afterAutospacing="1" w:line="240" w:lineRule="auto"/>
      <w:ind w:firstLine="480"/>
    </w:pPr>
    <w:rPr>
      <w:rFonts w:ascii="Times New Roman" w:eastAsia="Times New Roman" w:hAnsi="Times New Roman" w:cs="Times New Roman"/>
      <w:color w:val="FF0000"/>
      <w:sz w:val="24"/>
      <w:szCs w:val="24"/>
    </w:rPr>
  </w:style>
  <w:style w:type="paragraph" w:customStyle="1" w:styleId="noticelink">
    <w:name w:val="noticelink"/>
    <w:basedOn w:val="Normal"/>
    <w:uiPriority w:val="99"/>
    <w:rsid w:val="00624B15"/>
    <w:pPr>
      <w:spacing w:before="100" w:beforeAutospacing="1" w:after="100" w:afterAutospacing="1" w:line="240" w:lineRule="auto"/>
      <w:ind w:firstLine="480"/>
    </w:pPr>
    <w:rPr>
      <w:rFonts w:ascii="Times New Roman" w:eastAsia="Times New Roman" w:hAnsi="Times New Roman" w:cs="Times New Roman"/>
      <w:color w:val="0000FF"/>
      <w:sz w:val="21"/>
      <w:szCs w:val="21"/>
      <w:u w:val="single"/>
    </w:rPr>
  </w:style>
  <w:style w:type="paragraph" w:customStyle="1" w:styleId="menu-home-title">
    <w:name w:val="menu-home-title"/>
    <w:basedOn w:val="Normal"/>
    <w:uiPriority w:val="99"/>
    <w:rsid w:val="00624B15"/>
    <w:pPr>
      <w:spacing w:before="100" w:beforeAutospacing="1" w:after="100" w:afterAutospacing="1" w:line="240" w:lineRule="auto"/>
      <w:ind w:firstLine="480"/>
    </w:pPr>
    <w:rPr>
      <w:rFonts w:ascii="Times New Roman" w:eastAsia="Times New Roman" w:hAnsi="Times New Roman" w:cs="Times New Roman"/>
      <w:color w:val="000000"/>
      <w:sz w:val="24"/>
      <w:szCs w:val="24"/>
    </w:rPr>
  </w:style>
  <w:style w:type="paragraph" w:customStyle="1" w:styleId="menu-customers-title">
    <w:name w:val="menu-customers-title"/>
    <w:basedOn w:val="Normal"/>
    <w:uiPriority w:val="99"/>
    <w:rsid w:val="00624B15"/>
    <w:pPr>
      <w:spacing w:before="100" w:beforeAutospacing="1" w:after="100" w:afterAutospacing="1" w:line="240" w:lineRule="auto"/>
      <w:ind w:firstLine="480"/>
    </w:pPr>
    <w:rPr>
      <w:rFonts w:ascii="Times New Roman" w:eastAsia="Times New Roman" w:hAnsi="Times New Roman" w:cs="Times New Roman"/>
      <w:color w:val="666633"/>
      <w:sz w:val="24"/>
      <w:szCs w:val="24"/>
    </w:rPr>
  </w:style>
  <w:style w:type="paragraph" w:customStyle="1" w:styleId="menu-vendors-title">
    <w:name w:val="menu-vendors-title"/>
    <w:basedOn w:val="Normal"/>
    <w:uiPriority w:val="99"/>
    <w:rsid w:val="00624B15"/>
    <w:pPr>
      <w:spacing w:before="100" w:beforeAutospacing="1" w:after="100" w:afterAutospacing="1" w:line="240" w:lineRule="auto"/>
      <w:ind w:firstLine="480"/>
    </w:pPr>
    <w:rPr>
      <w:rFonts w:ascii="Times New Roman" w:eastAsia="Times New Roman" w:hAnsi="Times New Roman" w:cs="Times New Roman"/>
      <w:color w:val="333366"/>
      <w:sz w:val="24"/>
      <w:szCs w:val="24"/>
    </w:rPr>
  </w:style>
  <w:style w:type="paragraph" w:customStyle="1" w:styleId="menu-libraries-title">
    <w:name w:val="menu-libraries-title"/>
    <w:basedOn w:val="Normal"/>
    <w:uiPriority w:val="99"/>
    <w:rsid w:val="00624B15"/>
    <w:pPr>
      <w:spacing w:before="100" w:beforeAutospacing="1" w:after="100" w:afterAutospacing="1" w:line="240" w:lineRule="auto"/>
      <w:ind w:firstLine="480"/>
    </w:pPr>
    <w:rPr>
      <w:rFonts w:ascii="Times New Roman" w:eastAsia="Times New Roman" w:hAnsi="Times New Roman" w:cs="Times New Roman"/>
      <w:color w:val="006666"/>
      <w:sz w:val="24"/>
      <w:szCs w:val="24"/>
    </w:rPr>
  </w:style>
  <w:style w:type="paragraph" w:customStyle="1" w:styleId="two-col-layout-table">
    <w:name w:val="two-col-layout-table"/>
    <w:basedOn w:val="Normal"/>
    <w:uiPriority w:val="99"/>
    <w:rsid w:val="00624B15"/>
    <w:pPr>
      <w:pBdr>
        <w:top w:val="single" w:sz="36" w:space="0" w:color="FFFFFF"/>
      </w:pBdr>
      <w:shd w:val="clear" w:color="auto" w:fill="FFFFFF"/>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wo-col-layout-left">
    <w:name w:val="two-col-layout-left"/>
    <w:basedOn w:val="Normal"/>
    <w:uiPriority w:val="99"/>
    <w:rsid w:val="00624B15"/>
    <w:pPr>
      <w:pBdr>
        <w:right w:val="single" w:sz="6" w:space="4"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menu-search-title">
    <w:name w:val="menu-search-title"/>
    <w:basedOn w:val="Normal"/>
    <w:uiPriority w:val="99"/>
    <w:rsid w:val="00624B15"/>
    <w:pPr>
      <w:spacing w:before="100" w:beforeAutospacing="1" w:after="100" w:afterAutospacing="1" w:line="240" w:lineRule="auto"/>
      <w:ind w:firstLine="480"/>
    </w:pPr>
    <w:rPr>
      <w:rFonts w:ascii="Times New Roman" w:eastAsia="Times New Roman" w:hAnsi="Times New Roman" w:cs="Times New Roman"/>
      <w:color w:val="990033"/>
      <w:sz w:val="24"/>
      <w:szCs w:val="24"/>
    </w:rPr>
  </w:style>
  <w:style w:type="paragraph" w:customStyle="1" w:styleId="left-menu-title">
    <w:name w:val="left-menu-title"/>
    <w:basedOn w:val="Normal"/>
    <w:uiPriority w:val="99"/>
    <w:rsid w:val="00624B15"/>
    <w:pPr>
      <w:spacing w:before="100" w:beforeAutospacing="1" w:after="100" w:afterAutospacing="1" w:line="210" w:lineRule="atLeast"/>
      <w:ind w:firstLine="480"/>
    </w:pPr>
    <w:rPr>
      <w:rFonts w:ascii="Times New Roman" w:eastAsia="Times New Roman" w:hAnsi="Times New Roman" w:cs="Times New Roman"/>
      <w:b/>
      <w:bCs/>
      <w:spacing w:val="15"/>
      <w:sz w:val="17"/>
      <w:szCs w:val="17"/>
    </w:rPr>
  </w:style>
  <w:style w:type="paragraph" w:customStyle="1" w:styleId="left-menu-sublinks">
    <w:name w:val="left-menu-sublinks"/>
    <w:basedOn w:val="Normal"/>
    <w:uiPriority w:val="99"/>
    <w:rsid w:val="00624B15"/>
    <w:pPr>
      <w:spacing w:before="100" w:beforeAutospacing="1" w:after="100" w:afterAutospacing="1" w:line="240" w:lineRule="auto"/>
      <w:ind w:left="150" w:firstLine="480"/>
    </w:pPr>
    <w:rPr>
      <w:rFonts w:ascii="Times New Roman" w:eastAsia="Times New Roman" w:hAnsi="Times New Roman" w:cs="Times New Roman"/>
      <w:sz w:val="24"/>
      <w:szCs w:val="24"/>
    </w:rPr>
  </w:style>
  <w:style w:type="paragraph" w:customStyle="1" w:styleId="sidebar-title-bar">
    <w:name w:val="sidebar-title-bar"/>
    <w:basedOn w:val="Normal"/>
    <w:uiPriority w:val="99"/>
    <w:rsid w:val="00624B15"/>
    <w:pPr>
      <w:shd w:val="clear" w:color="auto" w:fill="999999"/>
      <w:spacing w:before="100" w:beforeAutospacing="1" w:after="100" w:afterAutospacing="1" w:line="240" w:lineRule="auto"/>
      <w:ind w:firstLine="480"/>
    </w:pPr>
    <w:rPr>
      <w:rFonts w:ascii="Times New Roman" w:eastAsia="Times New Roman" w:hAnsi="Times New Roman" w:cs="Times New Roman"/>
      <w:color w:val="FFFFFF"/>
      <w:spacing w:val="20"/>
      <w:sz w:val="17"/>
      <w:szCs w:val="17"/>
    </w:rPr>
  </w:style>
  <w:style w:type="paragraph" w:customStyle="1" w:styleId="collection-latest-resources-mask">
    <w:name w:val="collection-latest-resources-mask"/>
    <w:basedOn w:val="Normal"/>
    <w:uiPriority w:val="99"/>
    <w:rsid w:val="00624B15"/>
    <w:pPr>
      <w:spacing w:before="150" w:after="100" w:afterAutospacing="1" w:line="240" w:lineRule="auto"/>
      <w:ind w:firstLine="480"/>
    </w:pPr>
    <w:rPr>
      <w:rFonts w:ascii="Times New Roman" w:eastAsia="Times New Roman" w:hAnsi="Times New Roman" w:cs="Times New Roman"/>
      <w:sz w:val="24"/>
      <w:szCs w:val="24"/>
    </w:rPr>
  </w:style>
  <w:style w:type="paragraph" w:customStyle="1" w:styleId="vert-spacer-450">
    <w:name w:val="vert-spacer-450"/>
    <w:basedOn w:val="Normal"/>
    <w:uiPriority w:val="99"/>
    <w:rsid w:val="00624B15"/>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page-title">
    <w:name w:val="page-title"/>
    <w:basedOn w:val="Normal"/>
    <w:uiPriority w:val="99"/>
    <w:rsid w:val="00624B15"/>
    <w:pPr>
      <w:spacing w:after="0" w:line="240" w:lineRule="auto"/>
      <w:ind w:firstLine="480"/>
    </w:pPr>
    <w:rPr>
      <w:rFonts w:ascii="Times New Roman" w:eastAsia="Times New Roman" w:hAnsi="Times New Roman" w:cs="Times New Roman"/>
      <w:caps/>
      <w:sz w:val="27"/>
      <w:szCs w:val="27"/>
    </w:rPr>
  </w:style>
  <w:style w:type="paragraph" w:customStyle="1" w:styleId="hd1">
    <w:name w:val="hd1"/>
    <w:basedOn w:val="Normal"/>
    <w:uiPriority w:val="99"/>
    <w:rsid w:val="00624B15"/>
    <w:pPr>
      <w:spacing w:before="100" w:beforeAutospacing="1" w:after="100" w:afterAutospacing="1" w:line="240" w:lineRule="auto"/>
      <w:ind w:firstLine="480"/>
      <w:jc w:val="center"/>
    </w:pPr>
    <w:rPr>
      <w:rFonts w:ascii="Times New Roman" w:eastAsia="Times New Roman" w:hAnsi="Times New Roman" w:cs="Times New Roman"/>
      <w:smallCaps/>
      <w:sz w:val="24"/>
      <w:szCs w:val="24"/>
    </w:rPr>
  </w:style>
  <w:style w:type="paragraph" w:customStyle="1" w:styleId="hd2">
    <w:name w:val="hd2"/>
    <w:basedOn w:val="Normal"/>
    <w:uiPriority w:val="99"/>
    <w:rsid w:val="00624B15"/>
    <w:pPr>
      <w:spacing w:before="100" w:beforeAutospacing="1" w:after="100" w:afterAutospacing="1" w:line="240" w:lineRule="auto"/>
      <w:ind w:firstLine="480"/>
      <w:jc w:val="center"/>
    </w:pPr>
    <w:rPr>
      <w:rFonts w:ascii="Times New Roman" w:eastAsia="Times New Roman" w:hAnsi="Times New Roman" w:cs="Times New Roman"/>
      <w:i/>
      <w:iCs/>
      <w:sz w:val="24"/>
      <w:szCs w:val="24"/>
    </w:rPr>
  </w:style>
  <w:style w:type="paragraph" w:customStyle="1" w:styleId="hd3">
    <w:name w:val="hd3"/>
    <w:basedOn w:val="Normal"/>
    <w:uiPriority w:val="99"/>
    <w:rsid w:val="00624B15"/>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4">
    <w:name w:val="hd4"/>
    <w:basedOn w:val="Normal"/>
    <w:uiPriority w:val="99"/>
    <w:rsid w:val="00624B15"/>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5">
    <w:name w:val="hd5"/>
    <w:basedOn w:val="Normal"/>
    <w:uiPriority w:val="99"/>
    <w:rsid w:val="00624B15"/>
    <w:pPr>
      <w:spacing w:before="100" w:beforeAutospacing="1" w:after="100" w:afterAutospacing="1" w:line="240" w:lineRule="auto"/>
      <w:ind w:firstLine="480"/>
      <w:jc w:val="center"/>
    </w:pPr>
    <w:rPr>
      <w:rFonts w:ascii="Times New Roman" w:eastAsia="Times New Roman" w:hAnsi="Times New Roman" w:cs="Times New Roman"/>
      <w:b/>
      <w:bCs/>
      <w:sz w:val="23"/>
      <w:szCs w:val="23"/>
    </w:rPr>
  </w:style>
  <w:style w:type="paragraph" w:customStyle="1" w:styleId="hed1">
    <w:name w:val="hed1"/>
    <w:basedOn w:val="Normal"/>
    <w:uiPriority w:val="99"/>
    <w:rsid w:val="00624B15"/>
    <w:pPr>
      <w:spacing w:before="100" w:beforeAutospacing="1" w:after="100" w:afterAutospacing="1" w:line="240" w:lineRule="auto"/>
      <w:ind w:firstLine="480"/>
      <w:jc w:val="center"/>
    </w:pPr>
    <w:rPr>
      <w:rFonts w:ascii="Times New Roman" w:eastAsia="Times New Roman" w:hAnsi="Times New Roman" w:cs="Times New Roman"/>
      <w:b/>
      <w:bCs/>
      <w:sz w:val="20"/>
      <w:szCs w:val="20"/>
    </w:rPr>
  </w:style>
  <w:style w:type="paragraph" w:customStyle="1" w:styleId="frp">
    <w:name w:val="frp"/>
    <w:basedOn w:val="Normal"/>
    <w:uiPriority w:val="99"/>
    <w:rsid w:val="00624B15"/>
    <w:pPr>
      <w:spacing w:before="100" w:beforeAutospacing="1" w:after="100" w:afterAutospacing="1" w:line="240" w:lineRule="auto"/>
      <w:ind w:right="480"/>
      <w:jc w:val="right"/>
    </w:pPr>
    <w:rPr>
      <w:rFonts w:ascii="Times New Roman" w:eastAsia="Times New Roman" w:hAnsi="Times New Roman" w:cs="Times New Roman"/>
      <w:sz w:val="24"/>
      <w:szCs w:val="24"/>
    </w:rPr>
  </w:style>
  <w:style w:type="paragraph" w:customStyle="1" w:styleId="frp0">
    <w:name w:val="frp0"/>
    <w:basedOn w:val="Normal"/>
    <w:uiPriority w:val="99"/>
    <w:rsid w:val="00624B15"/>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p1">
    <w:name w:val="p1"/>
    <w:basedOn w:val="Normal"/>
    <w:uiPriority w:val="99"/>
    <w:rsid w:val="00624B15"/>
    <w:pPr>
      <w:spacing w:before="100" w:beforeAutospacing="1" w:after="100" w:afterAutospacing="1" w:line="240" w:lineRule="auto"/>
      <w:ind w:left="1440" w:hanging="480"/>
    </w:pPr>
    <w:rPr>
      <w:rFonts w:ascii="Times New Roman" w:eastAsia="Times New Roman" w:hAnsi="Times New Roman" w:cs="Times New Roman"/>
      <w:sz w:val="24"/>
      <w:szCs w:val="24"/>
    </w:rPr>
  </w:style>
  <w:style w:type="paragraph" w:customStyle="1" w:styleId="p-1">
    <w:name w:val="p-1"/>
    <w:basedOn w:val="Normal"/>
    <w:uiPriority w:val="99"/>
    <w:rsid w:val="00624B15"/>
    <w:pPr>
      <w:spacing w:before="100" w:beforeAutospacing="1" w:after="100" w:afterAutospacing="1" w:line="240" w:lineRule="auto"/>
      <w:ind w:left="480"/>
    </w:pPr>
    <w:rPr>
      <w:rFonts w:ascii="Times New Roman" w:eastAsia="Times New Roman" w:hAnsi="Times New Roman" w:cs="Times New Roman"/>
      <w:sz w:val="24"/>
      <w:szCs w:val="24"/>
    </w:rPr>
  </w:style>
  <w:style w:type="paragraph" w:customStyle="1" w:styleId="p2">
    <w:name w:val="p2"/>
    <w:basedOn w:val="Normal"/>
    <w:uiPriority w:val="99"/>
    <w:rsid w:val="00624B15"/>
    <w:pPr>
      <w:spacing w:before="100" w:beforeAutospacing="1" w:after="100" w:afterAutospacing="1" w:line="240" w:lineRule="auto"/>
      <w:ind w:left="480" w:firstLine="480"/>
    </w:pPr>
    <w:rPr>
      <w:rFonts w:ascii="Times New Roman" w:eastAsia="Times New Roman" w:hAnsi="Times New Roman" w:cs="Times New Roman"/>
      <w:sz w:val="24"/>
      <w:szCs w:val="24"/>
    </w:rPr>
  </w:style>
  <w:style w:type="paragraph" w:customStyle="1" w:styleId="p-2">
    <w:name w:val="p-2"/>
    <w:basedOn w:val="Normal"/>
    <w:uiPriority w:val="99"/>
    <w:rsid w:val="00624B15"/>
    <w:pPr>
      <w:spacing w:before="100" w:beforeAutospacing="1" w:after="100" w:afterAutospacing="1" w:line="240" w:lineRule="auto"/>
      <w:ind w:left="960"/>
    </w:pPr>
    <w:rPr>
      <w:rFonts w:ascii="Times New Roman" w:eastAsia="Times New Roman" w:hAnsi="Times New Roman" w:cs="Times New Roman"/>
      <w:sz w:val="24"/>
      <w:szCs w:val="24"/>
    </w:rPr>
  </w:style>
  <w:style w:type="paragraph" w:customStyle="1" w:styleId="p-3">
    <w:name w:val="p-3"/>
    <w:basedOn w:val="Normal"/>
    <w:uiPriority w:val="99"/>
    <w:rsid w:val="00624B15"/>
    <w:pPr>
      <w:spacing w:before="100" w:beforeAutospacing="1" w:after="100" w:afterAutospacing="1" w:line="240" w:lineRule="auto"/>
      <w:ind w:left="960" w:hanging="480"/>
    </w:pPr>
    <w:rPr>
      <w:rFonts w:ascii="Times New Roman" w:eastAsia="Times New Roman" w:hAnsi="Times New Roman" w:cs="Times New Roman"/>
      <w:sz w:val="24"/>
      <w:szCs w:val="24"/>
    </w:rPr>
  </w:style>
  <w:style w:type="paragraph" w:customStyle="1" w:styleId="fp">
    <w:name w:val="fp"/>
    <w:basedOn w:val="Normal"/>
    <w:uiPriority w:val="99"/>
    <w:rsid w:val="00624B15"/>
    <w:pPr>
      <w:spacing w:before="200" w:after="100" w:afterAutospacing="1" w:line="240" w:lineRule="auto"/>
    </w:pPr>
    <w:rPr>
      <w:rFonts w:ascii="Times New Roman" w:eastAsia="Times New Roman" w:hAnsi="Times New Roman" w:cs="Times New Roman"/>
      <w:sz w:val="24"/>
      <w:szCs w:val="24"/>
    </w:rPr>
  </w:style>
  <w:style w:type="paragraph" w:customStyle="1" w:styleId="contentsp">
    <w:name w:val="contentsp"/>
    <w:basedOn w:val="Normal"/>
    <w:uiPriority w:val="99"/>
    <w:rsid w:val="00624B15"/>
    <w:pPr>
      <w:spacing w:before="200" w:after="100" w:afterAutospacing="1" w:line="240" w:lineRule="auto"/>
    </w:pPr>
    <w:rPr>
      <w:rFonts w:ascii="Times New Roman" w:eastAsia="Times New Roman" w:hAnsi="Times New Roman" w:cs="Times New Roman"/>
      <w:b/>
      <w:bCs/>
      <w:sz w:val="20"/>
      <w:szCs w:val="20"/>
    </w:rPr>
  </w:style>
  <w:style w:type="paragraph" w:customStyle="1" w:styleId="contentsg">
    <w:name w:val="contentsg"/>
    <w:basedOn w:val="Normal"/>
    <w:uiPriority w:val="99"/>
    <w:rsid w:val="00624B15"/>
    <w:pPr>
      <w:spacing w:before="200" w:after="100" w:afterAutospacing="1" w:line="240" w:lineRule="auto"/>
    </w:pPr>
    <w:rPr>
      <w:rFonts w:ascii="Times New Roman" w:eastAsia="Times New Roman" w:hAnsi="Times New Roman" w:cs="Times New Roman"/>
      <w:smallCaps/>
      <w:sz w:val="20"/>
      <w:szCs w:val="20"/>
    </w:rPr>
  </w:style>
  <w:style w:type="paragraph" w:customStyle="1" w:styleId="updatetitle">
    <w:name w:val="updatetitle"/>
    <w:basedOn w:val="Normal"/>
    <w:uiPriority w:val="99"/>
    <w:rsid w:val="00624B15"/>
    <w:pPr>
      <w:spacing w:before="200" w:after="100" w:afterAutospacing="1" w:line="240" w:lineRule="auto"/>
    </w:pPr>
    <w:rPr>
      <w:rFonts w:ascii="Times New Roman" w:eastAsia="Times New Roman" w:hAnsi="Times New Roman" w:cs="Times New Roman"/>
      <w:sz w:val="24"/>
      <w:szCs w:val="24"/>
    </w:rPr>
  </w:style>
  <w:style w:type="paragraph" w:customStyle="1" w:styleId="updatebold">
    <w:name w:val="updatebold"/>
    <w:basedOn w:val="Normal"/>
    <w:uiPriority w:val="99"/>
    <w:rsid w:val="00624B15"/>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updatebodytest">
    <w:name w:val="updatebodytest"/>
    <w:basedOn w:val="Normal"/>
    <w:uiPriority w:val="99"/>
    <w:rsid w:val="00624B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urce">
    <w:name w:val="source"/>
    <w:basedOn w:val="Normal"/>
    <w:uiPriority w:val="99"/>
    <w:rsid w:val="00624B15"/>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dnote">
    <w:name w:val="ednote"/>
    <w:basedOn w:val="Normal"/>
    <w:uiPriority w:val="99"/>
    <w:rsid w:val="00624B15"/>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ffdnot">
    <w:name w:val="effdnot"/>
    <w:basedOn w:val="Normal"/>
    <w:uiPriority w:val="99"/>
    <w:rsid w:val="00624B15"/>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xample">
    <w:name w:val="example"/>
    <w:basedOn w:val="Normal"/>
    <w:uiPriority w:val="99"/>
    <w:rsid w:val="00624B15"/>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rossref">
    <w:name w:val="crossref"/>
    <w:basedOn w:val="Normal"/>
    <w:uiPriority w:val="99"/>
    <w:rsid w:val="00624B15"/>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note">
    <w:name w:val="note"/>
    <w:basedOn w:val="Normal"/>
    <w:uiPriority w:val="99"/>
    <w:rsid w:val="00624B15"/>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ita">
    <w:name w:val="cita"/>
    <w:basedOn w:val="Normal"/>
    <w:uiPriority w:val="99"/>
    <w:rsid w:val="00624B15"/>
    <w:pPr>
      <w:spacing w:before="200" w:after="100" w:afterAutospacing="1" w:line="240" w:lineRule="auto"/>
    </w:pPr>
    <w:rPr>
      <w:rFonts w:ascii="Times New Roman" w:eastAsia="Times New Roman" w:hAnsi="Times New Roman" w:cs="Times New Roman"/>
      <w:sz w:val="18"/>
      <w:szCs w:val="18"/>
    </w:rPr>
  </w:style>
  <w:style w:type="paragraph" w:customStyle="1" w:styleId="appro">
    <w:name w:val="appro"/>
    <w:basedOn w:val="Normal"/>
    <w:uiPriority w:val="99"/>
    <w:rsid w:val="00624B15"/>
    <w:pPr>
      <w:spacing w:before="200" w:after="100" w:afterAutospacing="1" w:line="240" w:lineRule="auto"/>
    </w:pPr>
    <w:rPr>
      <w:rFonts w:ascii="Times New Roman" w:eastAsia="Times New Roman" w:hAnsi="Times New Roman" w:cs="Times New Roman"/>
      <w:sz w:val="18"/>
      <w:szCs w:val="18"/>
    </w:rPr>
  </w:style>
  <w:style w:type="paragraph" w:customStyle="1" w:styleId="auth">
    <w:name w:val="auth"/>
    <w:basedOn w:val="Normal"/>
    <w:uiPriority w:val="99"/>
    <w:rsid w:val="00624B15"/>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parauth">
    <w:name w:val="parauth"/>
    <w:basedOn w:val="Normal"/>
    <w:uiPriority w:val="99"/>
    <w:rsid w:val="00624B15"/>
    <w:pPr>
      <w:spacing w:before="200" w:after="100" w:afterAutospacing="1" w:line="240" w:lineRule="auto"/>
    </w:pPr>
    <w:rPr>
      <w:rFonts w:ascii="Times New Roman" w:eastAsia="Times New Roman" w:hAnsi="Times New Roman" w:cs="Times New Roman"/>
      <w:sz w:val="18"/>
      <w:szCs w:val="18"/>
    </w:rPr>
  </w:style>
  <w:style w:type="paragraph" w:customStyle="1" w:styleId="secauth">
    <w:name w:val="secauth"/>
    <w:basedOn w:val="Normal"/>
    <w:uiPriority w:val="99"/>
    <w:rsid w:val="00624B15"/>
    <w:pPr>
      <w:spacing w:before="200" w:after="100" w:afterAutospacing="1" w:line="240" w:lineRule="auto"/>
    </w:pPr>
    <w:rPr>
      <w:rFonts w:ascii="Times New Roman" w:eastAsia="Times New Roman" w:hAnsi="Times New Roman" w:cs="Times New Roman"/>
      <w:sz w:val="18"/>
      <w:szCs w:val="18"/>
    </w:rPr>
  </w:style>
  <w:style w:type="paragraph" w:customStyle="1" w:styleId="Title1">
    <w:name w:val="Title1"/>
    <w:basedOn w:val="Normal"/>
    <w:uiPriority w:val="99"/>
    <w:rsid w:val="00624B15"/>
    <w:pPr>
      <w:spacing w:before="200" w:after="100" w:afterAutospacing="1" w:line="240" w:lineRule="auto"/>
    </w:pPr>
    <w:rPr>
      <w:rFonts w:ascii="Times New Roman" w:eastAsia="Times New Roman" w:hAnsi="Times New Roman" w:cs="Times New Roman"/>
      <w:sz w:val="24"/>
      <w:szCs w:val="24"/>
    </w:rPr>
  </w:style>
  <w:style w:type="paragraph" w:customStyle="1" w:styleId="Subtitle1">
    <w:name w:val="Subtitle1"/>
    <w:basedOn w:val="Normal"/>
    <w:uiPriority w:val="99"/>
    <w:rsid w:val="00624B15"/>
    <w:pPr>
      <w:spacing w:before="200" w:after="100" w:afterAutospacing="1" w:line="240" w:lineRule="auto"/>
    </w:pPr>
    <w:rPr>
      <w:rFonts w:ascii="Times New Roman" w:eastAsia="Times New Roman" w:hAnsi="Times New Roman" w:cs="Times New Roman"/>
      <w:sz w:val="24"/>
      <w:szCs w:val="24"/>
    </w:rPr>
  </w:style>
  <w:style w:type="paragraph" w:customStyle="1" w:styleId="chapter">
    <w:name w:val="chapter"/>
    <w:basedOn w:val="Normal"/>
    <w:uiPriority w:val="99"/>
    <w:rsid w:val="00624B15"/>
    <w:pPr>
      <w:spacing w:before="200" w:after="100" w:afterAutospacing="1" w:line="240" w:lineRule="auto"/>
    </w:pPr>
    <w:rPr>
      <w:rFonts w:ascii="Times New Roman" w:eastAsia="Times New Roman" w:hAnsi="Times New Roman" w:cs="Times New Roman"/>
      <w:sz w:val="24"/>
      <w:szCs w:val="24"/>
    </w:rPr>
  </w:style>
  <w:style w:type="paragraph" w:customStyle="1" w:styleId="subchapter">
    <w:name w:val="subchapter"/>
    <w:basedOn w:val="Normal"/>
    <w:uiPriority w:val="99"/>
    <w:rsid w:val="00624B15"/>
    <w:pPr>
      <w:spacing w:before="200" w:after="100" w:afterAutospacing="1" w:line="240" w:lineRule="auto"/>
    </w:pPr>
    <w:rPr>
      <w:rFonts w:ascii="Times New Roman" w:eastAsia="Times New Roman" w:hAnsi="Times New Roman" w:cs="Times New Roman"/>
      <w:sz w:val="24"/>
      <w:szCs w:val="24"/>
    </w:rPr>
  </w:style>
  <w:style w:type="paragraph" w:customStyle="1" w:styleId="part">
    <w:name w:val="part"/>
    <w:basedOn w:val="Normal"/>
    <w:uiPriority w:val="99"/>
    <w:rsid w:val="00624B15"/>
    <w:pPr>
      <w:spacing w:before="200" w:after="100" w:afterAutospacing="1" w:line="240" w:lineRule="auto"/>
    </w:pPr>
    <w:rPr>
      <w:rFonts w:ascii="Times New Roman" w:eastAsia="Times New Roman" w:hAnsi="Times New Roman" w:cs="Times New Roman"/>
      <w:sz w:val="24"/>
      <w:szCs w:val="24"/>
    </w:rPr>
  </w:style>
  <w:style w:type="paragraph" w:customStyle="1" w:styleId="subpart">
    <w:name w:val="subpart"/>
    <w:basedOn w:val="Normal"/>
    <w:uiPriority w:val="99"/>
    <w:rsid w:val="00624B15"/>
    <w:pPr>
      <w:spacing w:before="200" w:after="100" w:afterAutospacing="1" w:line="240" w:lineRule="auto"/>
    </w:pPr>
    <w:rPr>
      <w:rFonts w:ascii="Times New Roman" w:eastAsia="Times New Roman" w:hAnsi="Times New Roman" w:cs="Times New Roman"/>
      <w:sz w:val="24"/>
      <w:szCs w:val="24"/>
    </w:rPr>
  </w:style>
  <w:style w:type="paragraph" w:customStyle="1" w:styleId="apphead">
    <w:name w:val="apphead"/>
    <w:basedOn w:val="Normal"/>
    <w:uiPriority w:val="99"/>
    <w:rsid w:val="00624B15"/>
    <w:pPr>
      <w:spacing w:before="200" w:after="100" w:line="240" w:lineRule="auto"/>
      <w:ind w:firstLine="480"/>
      <w:jc w:val="center"/>
    </w:pPr>
    <w:rPr>
      <w:rFonts w:ascii="Times New Roman" w:eastAsia="Times New Roman" w:hAnsi="Times New Roman" w:cs="Times New Roman"/>
      <w:smallCaps/>
      <w:sz w:val="20"/>
      <w:szCs w:val="20"/>
    </w:rPr>
  </w:style>
  <w:style w:type="paragraph" w:customStyle="1" w:styleId="sphead">
    <w:name w:val="sphead"/>
    <w:basedOn w:val="Normal"/>
    <w:uiPriority w:val="99"/>
    <w:rsid w:val="00624B15"/>
    <w:pPr>
      <w:spacing w:before="200" w:after="100" w:line="240" w:lineRule="auto"/>
    </w:pPr>
    <w:rPr>
      <w:rFonts w:ascii="Times New Roman" w:eastAsia="Times New Roman" w:hAnsi="Times New Roman" w:cs="Times New Roman"/>
      <w:b/>
      <w:bCs/>
      <w:sz w:val="27"/>
      <w:szCs w:val="27"/>
    </w:rPr>
  </w:style>
  <w:style w:type="paragraph" w:customStyle="1" w:styleId="cpsghead">
    <w:name w:val="cpsghead"/>
    <w:basedOn w:val="Normal"/>
    <w:uiPriority w:val="99"/>
    <w:rsid w:val="00624B15"/>
    <w:pPr>
      <w:spacing w:before="100" w:after="0" w:line="240" w:lineRule="auto"/>
    </w:pPr>
    <w:rPr>
      <w:rFonts w:ascii="Times New Roman" w:eastAsia="Times New Roman" w:hAnsi="Times New Roman" w:cs="Times New Roman"/>
      <w:smallCaps/>
      <w:sz w:val="18"/>
      <w:szCs w:val="18"/>
    </w:rPr>
  </w:style>
  <w:style w:type="paragraph" w:customStyle="1" w:styleId="tsghead">
    <w:name w:val="tsghead"/>
    <w:basedOn w:val="Normal"/>
    <w:uiPriority w:val="99"/>
    <w:rsid w:val="00624B15"/>
    <w:pPr>
      <w:spacing w:before="200" w:after="100" w:line="240" w:lineRule="auto"/>
    </w:pPr>
    <w:rPr>
      <w:rFonts w:ascii="Times New Roman" w:eastAsia="Times New Roman" w:hAnsi="Times New Roman" w:cs="Times New Roman"/>
      <w:b/>
      <w:bCs/>
      <w:smallCaps/>
      <w:sz w:val="27"/>
      <w:szCs w:val="27"/>
    </w:rPr>
  </w:style>
  <w:style w:type="paragraph" w:customStyle="1" w:styleId="sghead">
    <w:name w:val="sghead"/>
    <w:basedOn w:val="Normal"/>
    <w:uiPriority w:val="99"/>
    <w:rsid w:val="00624B15"/>
    <w:pPr>
      <w:spacing w:before="200" w:after="100" w:line="240" w:lineRule="auto"/>
      <w:jc w:val="center"/>
    </w:pPr>
    <w:rPr>
      <w:rFonts w:ascii="Times New Roman" w:eastAsia="Times New Roman" w:hAnsi="Times New Roman" w:cs="Times New Roman"/>
      <w:smallCaps/>
      <w:sz w:val="20"/>
      <w:szCs w:val="20"/>
    </w:rPr>
  </w:style>
  <w:style w:type="paragraph" w:customStyle="1" w:styleId="stars">
    <w:name w:val="stars"/>
    <w:basedOn w:val="Normal"/>
    <w:uiPriority w:val="99"/>
    <w:rsid w:val="00624B15"/>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cap">
    <w:name w:val="tcap"/>
    <w:basedOn w:val="Normal"/>
    <w:uiPriority w:val="99"/>
    <w:rsid w:val="00624B15"/>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bcap">
    <w:name w:val="bcap"/>
    <w:basedOn w:val="Normal"/>
    <w:uiPriority w:val="99"/>
    <w:rsid w:val="00624B15"/>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p-1">
    <w:name w:val="fp-1"/>
    <w:basedOn w:val="Normal"/>
    <w:uiPriority w:val="99"/>
    <w:rsid w:val="00624B15"/>
    <w:pPr>
      <w:spacing w:before="200" w:after="100" w:line="240" w:lineRule="auto"/>
      <w:ind w:left="480" w:hanging="480"/>
    </w:pPr>
    <w:rPr>
      <w:rFonts w:ascii="Times New Roman" w:eastAsia="Times New Roman" w:hAnsi="Times New Roman" w:cs="Times New Roman"/>
      <w:sz w:val="24"/>
      <w:szCs w:val="24"/>
    </w:rPr>
  </w:style>
  <w:style w:type="paragraph" w:customStyle="1" w:styleId="fp-2">
    <w:name w:val="fp-2"/>
    <w:basedOn w:val="Normal"/>
    <w:uiPriority w:val="99"/>
    <w:rsid w:val="00624B15"/>
    <w:pPr>
      <w:spacing w:before="200" w:after="100" w:line="240" w:lineRule="auto"/>
      <w:ind w:left="960" w:hanging="960"/>
    </w:pPr>
    <w:rPr>
      <w:rFonts w:ascii="Times New Roman" w:eastAsia="Times New Roman" w:hAnsi="Times New Roman" w:cs="Times New Roman"/>
      <w:sz w:val="24"/>
      <w:szCs w:val="24"/>
    </w:rPr>
  </w:style>
  <w:style w:type="paragraph" w:customStyle="1" w:styleId="fp1-2">
    <w:name w:val="fp1-2"/>
    <w:basedOn w:val="Normal"/>
    <w:uiPriority w:val="99"/>
    <w:rsid w:val="00624B15"/>
    <w:pPr>
      <w:spacing w:before="200" w:after="100" w:line="240" w:lineRule="auto"/>
      <w:ind w:left="960" w:hanging="480"/>
    </w:pPr>
    <w:rPr>
      <w:rFonts w:ascii="Times New Roman" w:eastAsia="Times New Roman" w:hAnsi="Times New Roman" w:cs="Times New Roman"/>
      <w:sz w:val="24"/>
      <w:szCs w:val="24"/>
    </w:rPr>
  </w:style>
  <w:style w:type="paragraph" w:customStyle="1" w:styleId="fp2-2">
    <w:name w:val="fp2-2"/>
    <w:basedOn w:val="Normal"/>
    <w:uiPriority w:val="99"/>
    <w:rsid w:val="00624B15"/>
    <w:pPr>
      <w:spacing w:before="200" w:after="100" w:line="240" w:lineRule="auto"/>
      <w:ind w:left="960"/>
    </w:pPr>
    <w:rPr>
      <w:rFonts w:ascii="Times New Roman" w:eastAsia="Times New Roman" w:hAnsi="Times New Roman" w:cs="Times New Roman"/>
      <w:sz w:val="24"/>
      <w:szCs w:val="24"/>
    </w:rPr>
  </w:style>
  <w:style w:type="paragraph" w:customStyle="1" w:styleId="fp2-3">
    <w:name w:val="fp2-3"/>
    <w:basedOn w:val="Normal"/>
    <w:uiPriority w:val="99"/>
    <w:rsid w:val="00624B15"/>
    <w:pPr>
      <w:spacing w:before="200" w:after="100" w:line="240" w:lineRule="auto"/>
      <w:ind w:left="1440" w:hanging="480"/>
    </w:pPr>
    <w:rPr>
      <w:rFonts w:ascii="Times New Roman" w:eastAsia="Times New Roman" w:hAnsi="Times New Roman" w:cs="Times New Roman"/>
      <w:sz w:val="24"/>
      <w:szCs w:val="24"/>
    </w:rPr>
  </w:style>
  <w:style w:type="paragraph" w:customStyle="1" w:styleId="contents">
    <w:name w:val="contents"/>
    <w:basedOn w:val="Normal"/>
    <w:uiPriority w:val="99"/>
    <w:rsid w:val="00624B15"/>
    <w:pPr>
      <w:spacing w:before="200" w:after="100" w:line="240" w:lineRule="auto"/>
    </w:pPr>
    <w:rPr>
      <w:rFonts w:ascii="Times New Roman" w:eastAsia="Times New Roman" w:hAnsi="Times New Roman" w:cs="Times New Roman"/>
      <w:sz w:val="24"/>
      <w:szCs w:val="24"/>
    </w:rPr>
  </w:style>
  <w:style w:type="paragraph" w:customStyle="1" w:styleId="three-col-layout-middle">
    <w:name w:val="three-col-layout-middle"/>
    <w:basedOn w:val="Normal"/>
    <w:uiPriority w:val="99"/>
    <w:rsid w:val="00624B15"/>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hree-col-layout-right">
    <w:name w:val="three-col-layout-right"/>
    <w:basedOn w:val="Normal"/>
    <w:uiPriority w:val="99"/>
    <w:rsid w:val="00624B15"/>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extract">
    <w:name w:val="extract"/>
    <w:basedOn w:val="Normal"/>
    <w:uiPriority w:val="99"/>
    <w:rsid w:val="00624B15"/>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ftnt">
    <w:name w:val="ftnt"/>
    <w:basedOn w:val="Normal"/>
    <w:uiPriority w:val="99"/>
    <w:rsid w:val="00624B15"/>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tpl">
    <w:name w:val="tpl"/>
    <w:basedOn w:val="Normal"/>
    <w:uiPriority w:val="99"/>
    <w:rsid w:val="00624B15"/>
    <w:pPr>
      <w:spacing w:before="100" w:beforeAutospacing="1" w:after="100" w:afterAutospacing="1" w:line="240" w:lineRule="auto"/>
      <w:ind w:firstLine="480"/>
    </w:pPr>
    <w:rPr>
      <w:rFonts w:ascii="Times New Roman" w:eastAsia="Times New Roman" w:hAnsi="Times New Roman" w:cs="Times New Roman"/>
      <w:sz w:val="20"/>
      <w:szCs w:val="20"/>
    </w:rPr>
  </w:style>
  <w:style w:type="paragraph" w:customStyle="1" w:styleId="sechd">
    <w:name w:val="sechd"/>
    <w:basedOn w:val="Normal"/>
    <w:uiPriority w:val="99"/>
    <w:rsid w:val="00624B15"/>
    <w:pPr>
      <w:spacing w:after="100" w:afterAutospacing="1" w:line="240" w:lineRule="auto"/>
    </w:pPr>
    <w:rPr>
      <w:rFonts w:ascii="Times New Roman" w:eastAsia="Times New Roman" w:hAnsi="Times New Roman" w:cs="Times New Roman"/>
      <w:sz w:val="24"/>
      <w:szCs w:val="24"/>
    </w:rPr>
  </w:style>
  <w:style w:type="paragraph" w:customStyle="1" w:styleId="centry">
    <w:name w:val="c_entry"/>
    <w:basedOn w:val="Normal"/>
    <w:uiPriority w:val="99"/>
    <w:rsid w:val="00624B15"/>
    <w:pPr>
      <w:spacing w:after="100" w:afterAutospacing="1" w:line="240" w:lineRule="auto"/>
    </w:pPr>
    <w:rPr>
      <w:rFonts w:ascii="Times New Roman" w:eastAsia="Times New Roman" w:hAnsi="Times New Roman" w:cs="Times New Roman"/>
      <w:sz w:val="24"/>
      <w:szCs w:val="24"/>
    </w:rPr>
  </w:style>
  <w:style w:type="paragraph" w:customStyle="1" w:styleId="su">
    <w:name w:val="su"/>
    <w:basedOn w:val="Normal"/>
    <w:uiPriority w:val="99"/>
    <w:rsid w:val="00624B15"/>
    <w:pPr>
      <w:spacing w:before="100" w:beforeAutospacing="1" w:after="100" w:afterAutospacing="1" w:line="240" w:lineRule="auto"/>
      <w:ind w:firstLine="480"/>
    </w:pPr>
    <w:rPr>
      <w:rFonts w:ascii="Times New Roman" w:eastAsia="Times New Roman" w:hAnsi="Times New Roman" w:cs="Times New Roman"/>
      <w:sz w:val="17"/>
      <w:szCs w:val="17"/>
      <w:vertAlign w:val="superscript"/>
    </w:rPr>
  </w:style>
  <w:style w:type="paragraph" w:customStyle="1" w:styleId="gpotblhang">
    <w:name w:val="gpotbl_hang"/>
    <w:basedOn w:val="Normal"/>
    <w:uiPriority w:val="99"/>
    <w:rsid w:val="00624B15"/>
    <w:pPr>
      <w:spacing w:before="100" w:beforeAutospacing="1" w:after="100" w:afterAutospacing="1" w:line="240" w:lineRule="auto"/>
      <w:ind w:hanging="480"/>
    </w:pPr>
    <w:rPr>
      <w:rFonts w:ascii="Times New Roman" w:eastAsia="Times New Roman" w:hAnsi="Times New Roman" w:cs="Times New Roman"/>
      <w:sz w:val="24"/>
      <w:szCs w:val="24"/>
    </w:rPr>
  </w:style>
  <w:style w:type="paragraph" w:customStyle="1" w:styleId="gpotbltable">
    <w:name w:val="gpotbl_table"/>
    <w:basedOn w:val="Normal"/>
    <w:uiPriority w:val="99"/>
    <w:rsid w:val="00624B15"/>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gpotbldiv">
    <w:name w:val="gpotbl_div"/>
    <w:basedOn w:val="Normal"/>
    <w:uiPriority w:val="99"/>
    <w:rsid w:val="00624B15"/>
    <w:pPr>
      <w:pBdr>
        <w:top w:val="single" w:sz="12" w:space="0" w:color="000000"/>
        <w:left w:val="single" w:sz="12" w:space="0" w:color="000000"/>
        <w:bottom w:val="single" w:sz="12" w:space="0" w:color="000000"/>
        <w:right w:val="single" w:sz="12" w:space="0" w:color="000000"/>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gpotbltitle">
    <w:name w:val="gpotbl_title"/>
    <w:basedOn w:val="Normal"/>
    <w:uiPriority w:val="99"/>
    <w:rsid w:val="00624B15"/>
    <w:pPr>
      <w:spacing w:before="100" w:beforeAutospacing="1" w:after="100" w:afterAutospacing="1" w:line="240" w:lineRule="auto"/>
      <w:ind w:firstLine="480"/>
      <w:jc w:val="center"/>
    </w:pPr>
    <w:rPr>
      <w:rFonts w:ascii="Times New Roman" w:eastAsia="Times New Roman" w:hAnsi="Times New Roman" w:cs="Times New Roman"/>
      <w:b/>
      <w:bCs/>
      <w:smallCaps/>
      <w:sz w:val="24"/>
      <w:szCs w:val="24"/>
    </w:rPr>
  </w:style>
  <w:style w:type="paragraph" w:customStyle="1" w:styleId="gpotbldescription">
    <w:name w:val="gpotbl_description"/>
    <w:basedOn w:val="Normal"/>
    <w:uiPriority w:val="99"/>
    <w:rsid w:val="00624B15"/>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gpotblcell">
    <w:name w:val="gpotbl_cell"/>
    <w:basedOn w:val="Normal"/>
    <w:uiPriority w:val="99"/>
    <w:rsid w:val="00624B15"/>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top"/>
    </w:pPr>
    <w:rPr>
      <w:rFonts w:ascii="Times New Roman" w:eastAsia="Times New Roman" w:hAnsi="Times New Roman" w:cs="Times New Roman"/>
      <w:sz w:val="24"/>
      <w:szCs w:val="24"/>
    </w:rPr>
  </w:style>
  <w:style w:type="paragraph" w:customStyle="1" w:styleId="gpotblcolhed">
    <w:name w:val="gpotbl_colhed"/>
    <w:basedOn w:val="Normal"/>
    <w:uiPriority w:val="99"/>
    <w:rsid w:val="00624B15"/>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bottom"/>
    </w:pPr>
    <w:rPr>
      <w:rFonts w:ascii="Times New Roman" w:eastAsia="Times New Roman" w:hAnsi="Times New Roman" w:cs="Times New Roman"/>
      <w:sz w:val="24"/>
      <w:szCs w:val="24"/>
    </w:rPr>
  </w:style>
  <w:style w:type="character" w:customStyle="1" w:styleId="fpdash">
    <w:name w:val="fpdash"/>
    <w:rsid w:val="00624B15"/>
    <w:rPr>
      <w:shd w:val="clear" w:color="auto" w:fill="FFFFFF"/>
    </w:rPr>
  </w:style>
  <w:style w:type="character" w:customStyle="1" w:styleId="pdash">
    <w:name w:val="pdash"/>
    <w:rsid w:val="00624B15"/>
    <w:rPr>
      <w:shd w:val="clear" w:color="auto" w:fill="FFFFFF"/>
    </w:rPr>
  </w:style>
  <w:style w:type="character" w:customStyle="1" w:styleId="ptext-27">
    <w:name w:val="ptext-27"/>
    <w:rsid w:val="00624B15"/>
  </w:style>
  <w:style w:type="numbering" w:customStyle="1" w:styleId="NoList2">
    <w:name w:val="No List2"/>
    <w:next w:val="NoList"/>
    <w:uiPriority w:val="99"/>
    <w:semiHidden/>
    <w:unhideWhenUsed/>
    <w:rsid w:val="00624B15"/>
  </w:style>
  <w:style w:type="table" w:customStyle="1" w:styleId="TableGrid11">
    <w:name w:val="Table Grid11"/>
    <w:basedOn w:val="TableNormal"/>
    <w:next w:val="TableGrid"/>
    <w:uiPriority w:val="59"/>
    <w:rsid w:val="00624B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8">
    <w:name w:val="xl88"/>
    <w:basedOn w:val="Normal"/>
    <w:rsid w:val="00624B15"/>
    <w:pPr>
      <w:spacing w:before="100" w:beforeAutospacing="1" w:after="100" w:afterAutospacing="1" w:line="240" w:lineRule="auto"/>
      <w:jc w:val="center"/>
    </w:pPr>
    <w:rPr>
      <w:rFonts w:ascii="Times New Roman" w:eastAsia="Times New Roman" w:hAnsi="Times New Roman" w:cs="Times New Roman"/>
      <w:sz w:val="18"/>
      <w:szCs w:val="18"/>
    </w:rPr>
  </w:style>
  <w:style w:type="numbering" w:customStyle="1" w:styleId="NoList3">
    <w:name w:val="No List3"/>
    <w:next w:val="NoList"/>
    <w:uiPriority w:val="99"/>
    <w:semiHidden/>
    <w:unhideWhenUsed/>
    <w:rsid w:val="00624B15"/>
  </w:style>
  <w:style w:type="paragraph" w:customStyle="1" w:styleId="xl89">
    <w:name w:val="xl89"/>
    <w:basedOn w:val="Normal"/>
    <w:rsid w:val="00624B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90">
    <w:name w:val="xl90"/>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91">
    <w:name w:val="xl91"/>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92">
    <w:name w:val="xl92"/>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93">
    <w:name w:val="xl93"/>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94">
    <w:name w:val="xl94"/>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95">
    <w:name w:val="xl95"/>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96">
    <w:name w:val="xl96"/>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97">
    <w:name w:val="xl97"/>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98">
    <w:name w:val="xl98"/>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99">
    <w:name w:val="xl99"/>
    <w:basedOn w:val="Normal"/>
    <w:rsid w:val="00624B15"/>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0">
    <w:name w:val="xl100"/>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01">
    <w:name w:val="xl101"/>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02">
    <w:name w:val="xl102"/>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03">
    <w:name w:val="xl103"/>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04">
    <w:name w:val="xl104"/>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5">
    <w:name w:val="xl105"/>
    <w:basedOn w:val="Normal"/>
    <w:rsid w:val="00624B15"/>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6">
    <w:name w:val="xl106"/>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7">
    <w:name w:val="xl107"/>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08">
    <w:name w:val="xl108"/>
    <w:basedOn w:val="Normal"/>
    <w:rsid w:val="00624B15"/>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09">
    <w:name w:val="xl109"/>
    <w:basedOn w:val="Normal"/>
    <w:rsid w:val="00624B15"/>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10">
    <w:name w:val="xl110"/>
    <w:basedOn w:val="Normal"/>
    <w:rsid w:val="00624B15"/>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11">
    <w:name w:val="xl111"/>
    <w:basedOn w:val="Normal"/>
    <w:rsid w:val="00624B15"/>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12">
    <w:name w:val="xl112"/>
    <w:basedOn w:val="Normal"/>
    <w:rsid w:val="00624B15"/>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13">
    <w:name w:val="xl113"/>
    <w:basedOn w:val="Normal"/>
    <w:rsid w:val="00624B15"/>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14">
    <w:name w:val="xl114"/>
    <w:basedOn w:val="Normal"/>
    <w:rsid w:val="00624B15"/>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15">
    <w:name w:val="xl115"/>
    <w:basedOn w:val="Normal"/>
    <w:rsid w:val="00624B15"/>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16">
    <w:name w:val="xl116"/>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17">
    <w:name w:val="xl117"/>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18">
    <w:name w:val="xl118"/>
    <w:basedOn w:val="Normal"/>
    <w:rsid w:val="00624B15"/>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19">
    <w:name w:val="xl119"/>
    <w:basedOn w:val="Normal"/>
    <w:rsid w:val="00624B15"/>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20">
    <w:name w:val="xl120"/>
    <w:basedOn w:val="Normal"/>
    <w:rsid w:val="00624B15"/>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21">
    <w:name w:val="xl121"/>
    <w:basedOn w:val="Normal"/>
    <w:rsid w:val="00624B15"/>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22">
    <w:name w:val="xl122"/>
    <w:basedOn w:val="Normal"/>
    <w:rsid w:val="00624B15"/>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23">
    <w:name w:val="xl123"/>
    <w:basedOn w:val="Normal"/>
    <w:rsid w:val="00624B15"/>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24">
    <w:name w:val="xl124"/>
    <w:basedOn w:val="Normal"/>
    <w:rsid w:val="00624B15"/>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25">
    <w:name w:val="xl125"/>
    <w:basedOn w:val="Normal"/>
    <w:rsid w:val="00624B15"/>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26">
    <w:name w:val="xl126"/>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27">
    <w:name w:val="xl127"/>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28">
    <w:name w:val="xl128"/>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29">
    <w:name w:val="xl129"/>
    <w:basedOn w:val="Normal"/>
    <w:rsid w:val="00624B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30">
    <w:name w:val="xl130"/>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131">
    <w:name w:val="xl131"/>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32">
    <w:name w:val="xl132"/>
    <w:basedOn w:val="Normal"/>
    <w:rsid w:val="00624B1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33">
    <w:name w:val="xl133"/>
    <w:basedOn w:val="Normal"/>
    <w:rsid w:val="00624B15"/>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134">
    <w:name w:val="xl134"/>
    <w:basedOn w:val="Normal"/>
    <w:rsid w:val="00624B15"/>
    <w:pPr>
      <w:spacing w:before="100" w:beforeAutospacing="1" w:after="100" w:afterAutospacing="1" w:line="240" w:lineRule="auto"/>
    </w:pPr>
    <w:rPr>
      <w:rFonts w:ascii="Times New Roman" w:eastAsia="Times New Roman" w:hAnsi="Times New Roman" w:cs="Times New Roman"/>
      <w:sz w:val="18"/>
      <w:szCs w:val="18"/>
    </w:rPr>
  </w:style>
  <w:style w:type="character" w:styleId="PlaceholderText">
    <w:name w:val="Placeholder Text"/>
    <w:basedOn w:val="DefaultParagraphFont"/>
    <w:uiPriority w:val="99"/>
    <w:semiHidden/>
    <w:rsid w:val="00624B15"/>
    <w:rPr>
      <w:color w:val="808080"/>
    </w:rPr>
  </w:style>
  <w:style w:type="paragraph" w:customStyle="1" w:styleId="Level2">
    <w:name w:val="Level 2"/>
    <w:basedOn w:val="TOC2"/>
    <w:link w:val="Level2Char"/>
    <w:qFormat/>
    <w:rsid w:val="00624B15"/>
    <w:pPr>
      <w:widowControl/>
      <w:tabs>
        <w:tab w:val="clear" w:pos="9360"/>
        <w:tab w:val="right" w:leader="dot" w:pos="8630"/>
      </w:tabs>
      <w:suppressAutoHyphens w:val="0"/>
      <w:ind w:left="200" w:right="0" w:firstLine="0"/>
    </w:pPr>
    <w:rPr>
      <w:rFonts w:ascii="Calibri Light" w:hAnsi="Calibri Light"/>
      <w:smallCaps/>
      <w:snapToGrid/>
      <w:color w:val="000000"/>
    </w:rPr>
  </w:style>
  <w:style w:type="character" w:customStyle="1" w:styleId="Level2Char">
    <w:name w:val="Level 2 Char"/>
    <w:basedOn w:val="DefaultParagraphFont"/>
    <w:link w:val="Level2"/>
    <w:rsid w:val="00624B15"/>
    <w:rPr>
      <w:rFonts w:ascii="Calibri Light" w:eastAsia="Times New Roman" w:hAnsi="Calibri Light" w:cs="Times New Roman"/>
      <w:smallCaps/>
      <w:color w:val="000000"/>
      <w:sz w:val="20"/>
      <w:szCs w:val="20"/>
    </w:rPr>
  </w:style>
  <w:style w:type="character" w:customStyle="1" w:styleId="Level1Char">
    <w:name w:val="Level 1 Char"/>
    <w:basedOn w:val="DefaultParagraphFont"/>
    <w:link w:val="Level1"/>
    <w:rsid w:val="00624B15"/>
    <w:rPr>
      <w:rFonts w:ascii="Times New Roman" w:eastAsia="Times New Roman" w:hAnsi="Times New Roman" w:cs="Times New Roman"/>
      <w:snapToGrid w:val="0"/>
      <w:sz w:val="24"/>
      <w:szCs w:val="20"/>
    </w:rPr>
  </w:style>
  <w:style w:type="paragraph" w:styleId="NoSpacing">
    <w:name w:val="No Spacing"/>
    <w:uiPriority w:val="1"/>
    <w:qFormat/>
    <w:rsid w:val="00624B15"/>
    <w:pPr>
      <w:spacing w:after="0" w:line="240" w:lineRule="auto"/>
    </w:pPr>
    <w:rPr>
      <w:rFonts w:ascii="Calibri" w:eastAsia="Calibri" w:hAnsi="Calibri" w:cs="Times New Roman"/>
    </w:rPr>
  </w:style>
  <w:style w:type="character" w:customStyle="1" w:styleId="StyleFootnoteReferenceBlack">
    <w:name w:val="Style Footnote Reference + Black"/>
    <w:basedOn w:val="FootnoteReference"/>
    <w:rsid w:val="00624B15"/>
    <w:rPr>
      <w:color w:val="000000"/>
      <w:vertAlign w:val="superscript"/>
    </w:rPr>
  </w:style>
  <w:style w:type="paragraph" w:customStyle="1" w:styleId="xl135">
    <w:name w:val="xl135"/>
    <w:basedOn w:val="Normal"/>
    <w:rsid w:val="00624B1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36">
    <w:name w:val="xl136"/>
    <w:basedOn w:val="Normal"/>
    <w:rsid w:val="00624B15"/>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37">
    <w:name w:val="xl137"/>
    <w:basedOn w:val="Normal"/>
    <w:rsid w:val="00624B1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38">
    <w:name w:val="xl138"/>
    <w:basedOn w:val="Normal"/>
    <w:rsid w:val="00624B1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139">
    <w:name w:val="xl139"/>
    <w:basedOn w:val="Normal"/>
    <w:rsid w:val="00624B15"/>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40">
    <w:name w:val="xl140"/>
    <w:basedOn w:val="Normal"/>
    <w:rsid w:val="00624B1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141">
    <w:name w:val="xl141"/>
    <w:basedOn w:val="Normal"/>
    <w:rsid w:val="00624B1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142">
    <w:name w:val="xl142"/>
    <w:basedOn w:val="Normal"/>
    <w:rsid w:val="00624B15"/>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43">
    <w:name w:val="xl143"/>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4">
    <w:name w:val="xl144"/>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5">
    <w:name w:val="xl145"/>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6">
    <w:name w:val="xl146"/>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47">
    <w:name w:val="xl147"/>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48">
    <w:name w:val="xl148"/>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49">
    <w:name w:val="xl149"/>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50">
    <w:name w:val="xl150"/>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51">
    <w:name w:val="xl151"/>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52">
    <w:name w:val="xl152"/>
    <w:basedOn w:val="Normal"/>
    <w:rsid w:val="00624B15"/>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53">
    <w:name w:val="xl153"/>
    <w:basedOn w:val="Normal"/>
    <w:rsid w:val="00624B15"/>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154">
    <w:name w:val="xl154"/>
    <w:basedOn w:val="Normal"/>
    <w:rsid w:val="00624B1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155">
    <w:name w:val="xl155"/>
    <w:basedOn w:val="Normal"/>
    <w:rsid w:val="00624B15"/>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56">
    <w:name w:val="xl156"/>
    <w:basedOn w:val="Normal"/>
    <w:rsid w:val="00624B15"/>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157">
    <w:name w:val="xl157"/>
    <w:basedOn w:val="Normal"/>
    <w:rsid w:val="00624B15"/>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158">
    <w:name w:val="xl158"/>
    <w:basedOn w:val="Normal"/>
    <w:rsid w:val="00624B15"/>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159">
    <w:name w:val="xl159"/>
    <w:basedOn w:val="Normal"/>
    <w:rsid w:val="00624B15"/>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160">
    <w:name w:val="xl160"/>
    <w:basedOn w:val="Normal"/>
    <w:rsid w:val="00624B15"/>
    <w:pP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161">
    <w:name w:val="xl161"/>
    <w:basedOn w:val="Normal"/>
    <w:rsid w:val="00624B15"/>
    <w:pP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162">
    <w:name w:val="xl162"/>
    <w:basedOn w:val="Normal"/>
    <w:rsid w:val="00624B15"/>
    <w:pP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163">
    <w:name w:val="xl163"/>
    <w:basedOn w:val="Normal"/>
    <w:rsid w:val="00624B15"/>
    <w:pP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164">
    <w:name w:val="xl164"/>
    <w:basedOn w:val="Normal"/>
    <w:rsid w:val="00624B1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rPr>
  </w:style>
  <w:style w:type="paragraph" w:customStyle="1" w:styleId="xl165">
    <w:name w:val="xl165"/>
    <w:basedOn w:val="Normal"/>
    <w:rsid w:val="00624B1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rPr>
  </w:style>
  <w:style w:type="paragraph" w:customStyle="1" w:styleId="xl166">
    <w:name w:val="xl166"/>
    <w:basedOn w:val="Normal"/>
    <w:rsid w:val="00624B1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rPr>
  </w:style>
  <w:style w:type="paragraph" w:customStyle="1" w:styleId="xl167">
    <w:name w:val="xl167"/>
    <w:basedOn w:val="Normal"/>
    <w:rsid w:val="00624B1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rPr>
  </w:style>
  <w:style w:type="paragraph" w:customStyle="1" w:styleId="xl168">
    <w:name w:val="xl168"/>
    <w:basedOn w:val="Normal"/>
    <w:rsid w:val="00624B15"/>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rPr>
  </w:style>
  <w:style w:type="paragraph" w:customStyle="1" w:styleId="xl169">
    <w:name w:val="xl169"/>
    <w:basedOn w:val="Normal"/>
    <w:rsid w:val="00624B1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character" w:customStyle="1" w:styleId="UnresolvedMention1">
    <w:name w:val="Unresolved Mention1"/>
    <w:basedOn w:val="DefaultParagraphFont"/>
    <w:uiPriority w:val="99"/>
    <w:semiHidden/>
    <w:unhideWhenUsed/>
    <w:rsid w:val="00624B15"/>
    <w:rPr>
      <w:color w:val="808080"/>
      <w:shd w:val="clear" w:color="auto" w:fill="E6E6E6"/>
    </w:rPr>
  </w:style>
  <w:style w:type="character" w:customStyle="1" w:styleId="page">
    <w:name w:val="page"/>
    <w:basedOn w:val="DefaultParagraphFont"/>
    <w:rsid w:val="00624B15"/>
  </w:style>
  <w:style w:type="paragraph" w:styleId="TOCHeading">
    <w:name w:val="TOC Heading"/>
    <w:basedOn w:val="Heading1"/>
    <w:next w:val="Normal"/>
    <w:uiPriority w:val="39"/>
    <w:unhideWhenUsed/>
    <w:qFormat/>
    <w:rsid w:val="003310A7"/>
    <w:pPr>
      <w:outlineLvl w:val="9"/>
    </w:pPr>
  </w:style>
  <w:style w:type="paragraph" w:customStyle="1" w:styleId="TableCaption">
    <w:name w:val="Table Caption"/>
    <w:basedOn w:val="Normal"/>
    <w:qFormat/>
    <w:rsid w:val="001A149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line="240" w:lineRule="auto"/>
      <w:jc w:val="center"/>
    </w:pPr>
    <w:rPr>
      <w:rFonts w:ascii="Times New Roman" w:eastAsia="Times New Roman" w:hAnsi="Times New Roman"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882394">
      <w:bodyDiv w:val="1"/>
      <w:marLeft w:val="0"/>
      <w:marRight w:val="0"/>
      <w:marTop w:val="0"/>
      <w:marBottom w:val="0"/>
      <w:divBdr>
        <w:top w:val="none" w:sz="0" w:space="0" w:color="auto"/>
        <w:left w:val="none" w:sz="0" w:space="0" w:color="auto"/>
        <w:bottom w:val="none" w:sz="0" w:space="0" w:color="auto"/>
        <w:right w:val="none" w:sz="0" w:space="0" w:color="auto"/>
      </w:divBdr>
    </w:div>
    <w:div w:id="279335088">
      <w:bodyDiv w:val="1"/>
      <w:marLeft w:val="0"/>
      <w:marRight w:val="0"/>
      <w:marTop w:val="0"/>
      <w:marBottom w:val="0"/>
      <w:divBdr>
        <w:top w:val="none" w:sz="0" w:space="0" w:color="auto"/>
        <w:left w:val="none" w:sz="0" w:space="0" w:color="auto"/>
        <w:bottom w:val="none" w:sz="0" w:space="0" w:color="auto"/>
        <w:right w:val="none" w:sz="0" w:space="0" w:color="auto"/>
      </w:divBdr>
    </w:div>
    <w:div w:id="302007143">
      <w:bodyDiv w:val="1"/>
      <w:marLeft w:val="0"/>
      <w:marRight w:val="0"/>
      <w:marTop w:val="0"/>
      <w:marBottom w:val="0"/>
      <w:divBdr>
        <w:top w:val="none" w:sz="0" w:space="0" w:color="auto"/>
        <w:left w:val="none" w:sz="0" w:space="0" w:color="auto"/>
        <w:bottom w:val="none" w:sz="0" w:space="0" w:color="auto"/>
        <w:right w:val="none" w:sz="0" w:space="0" w:color="auto"/>
      </w:divBdr>
    </w:div>
    <w:div w:id="367266781">
      <w:bodyDiv w:val="1"/>
      <w:marLeft w:val="0"/>
      <w:marRight w:val="0"/>
      <w:marTop w:val="0"/>
      <w:marBottom w:val="0"/>
      <w:divBdr>
        <w:top w:val="none" w:sz="0" w:space="0" w:color="auto"/>
        <w:left w:val="none" w:sz="0" w:space="0" w:color="auto"/>
        <w:bottom w:val="none" w:sz="0" w:space="0" w:color="auto"/>
        <w:right w:val="none" w:sz="0" w:space="0" w:color="auto"/>
      </w:divBdr>
    </w:div>
    <w:div w:id="602156427">
      <w:bodyDiv w:val="1"/>
      <w:marLeft w:val="0"/>
      <w:marRight w:val="0"/>
      <w:marTop w:val="0"/>
      <w:marBottom w:val="0"/>
      <w:divBdr>
        <w:top w:val="none" w:sz="0" w:space="0" w:color="auto"/>
        <w:left w:val="none" w:sz="0" w:space="0" w:color="auto"/>
        <w:bottom w:val="none" w:sz="0" w:space="0" w:color="auto"/>
        <w:right w:val="none" w:sz="0" w:space="0" w:color="auto"/>
      </w:divBdr>
    </w:div>
    <w:div w:id="692459248">
      <w:bodyDiv w:val="1"/>
      <w:marLeft w:val="0"/>
      <w:marRight w:val="0"/>
      <w:marTop w:val="0"/>
      <w:marBottom w:val="0"/>
      <w:divBdr>
        <w:top w:val="none" w:sz="0" w:space="0" w:color="auto"/>
        <w:left w:val="none" w:sz="0" w:space="0" w:color="auto"/>
        <w:bottom w:val="none" w:sz="0" w:space="0" w:color="auto"/>
        <w:right w:val="none" w:sz="0" w:space="0" w:color="auto"/>
      </w:divBdr>
    </w:div>
    <w:div w:id="779106702">
      <w:bodyDiv w:val="1"/>
      <w:marLeft w:val="0"/>
      <w:marRight w:val="0"/>
      <w:marTop w:val="0"/>
      <w:marBottom w:val="0"/>
      <w:divBdr>
        <w:top w:val="none" w:sz="0" w:space="0" w:color="auto"/>
        <w:left w:val="none" w:sz="0" w:space="0" w:color="auto"/>
        <w:bottom w:val="none" w:sz="0" w:space="0" w:color="auto"/>
        <w:right w:val="none" w:sz="0" w:space="0" w:color="auto"/>
      </w:divBdr>
    </w:div>
    <w:div w:id="818617216">
      <w:bodyDiv w:val="1"/>
      <w:marLeft w:val="0"/>
      <w:marRight w:val="0"/>
      <w:marTop w:val="0"/>
      <w:marBottom w:val="0"/>
      <w:divBdr>
        <w:top w:val="none" w:sz="0" w:space="0" w:color="auto"/>
        <w:left w:val="none" w:sz="0" w:space="0" w:color="auto"/>
        <w:bottom w:val="none" w:sz="0" w:space="0" w:color="auto"/>
        <w:right w:val="none" w:sz="0" w:space="0" w:color="auto"/>
      </w:divBdr>
    </w:div>
    <w:div w:id="1246768977">
      <w:bodyDiv w:val="1"/>
      <w:marLeft w:val="0"/>
      <w:marRight w:val="0"/>
      <w:marTop w:val="0"/>
      <w:marBottom w:val="0"/>
      <w:divBdr>
        <w:top w:val="none" w:sz="0" w:space="0" w:color="auto"/>
        <w:left w:val="none" w:sz="0" w:space="0" w:color="auto"/>
        <w:bottom w:val="none" w:sz="0" w:space="0" w:color="auto"/>
        <w:right w:val="none" w:sz="0" w:space="0" w:color="auto"/>
      </w:divBdr>
    </w:div>
    <w:div w:id="1259020342">
      <w:bodyDiv w:val="1"/>
      <w:marLeft w:val="0"/>
      <w:marRight w:val="0"/>
      <w:marTop w:val="0"/>
      <w:marBottom w:val="0"/>
      <w:divBdr>
        <w:top w:val="none" w:sz="0" w:space="0" w:color="auto"/>
        <w:left w:val="none" w:sz="0" w:space="0" w:color="auto"/>
        <w:bottom w:val="none" w:sz="0" w:space="0" w:color="auto"/>
        <w:right w:val="none" w:sz="0" w:space="0" w:color="auto"/>
      </w:divBdr>
    </w:div>
    <w:div w:id="1413969333">
      <w:bodyDiv w:val="1"/>
      <w:marLeft w:val="0"/>
      <w:marRight w:val="0"/>
      <w:marTop w:val="0"/>
      <w:marBottom w:val="0"/>
      <w:divBdr>
        <w:top w:val="none" w:sz="0" w:space="0" w:color="auto"/>
        <w:left w:val="none" w:sz="0" w:space="0" w:color="auto"/>
        <w:bottom w:val="none" w:sz="0" w:space="0" w:color="auto"/>
        <w:right w:val="none" w:sz="0" w:space="0" w:color="auto"/>
      </w:divBdr>
    </w:div>
    <w:div w:id="1621644734">
      <w:bodyDiv w:val="1"/>
      <w:marLeft w:val="0"/>
      <w:marRight w:val="0"/>
      <w:marTop w:val="0"/>
      <w:marBottom w:val="0"/>
      <w:divBdr>
        <w:top w:val="none" w:sz="0" w:space="0" w:color="auto"/>
        <w:left w:val="none" w:sz="0" w:space="0" w:color="auto"/>
        <w:bottom w:val="none" w:sz="0" w:space="0" w:color="auto"/>
        <w:right w:val="none" w:sz="0" w:space="0" w:color="auto"/>
      </w:divBdr>
    </w:div>
    <w:div w:id="1745031970">
      <w:bodyDiv w:val="1"/>
      <w:marLeft w:val="0"/>
      <w:marRight w:val="0"/>
      <w:marTop w:val="0"/>
      <w:marBottom w:val="0"/>
      <w:divBdr>
        <w:top w:val="none" w:sz="0" w:space="0" w:color="auto"/>
        <w:left w:val="none" w:sz="0" w:space="0" w:color="auto"/>
        <w:bottom w:val="none" w:sz="0" w:space="0" w:color="auto"/>
        <w:right w:val="none" w:sz="0" w:space="0" w:color="auto"/>
      </w:divBdr>
    </w:div>
    <w:div w:id="1831406646">
      <w:bodyDiv w:val="1"/>
      <w:marLeft w:val="0"/>
      <w:marRight w:val="0"/>
      <w:marTop w:val="0"/>
      <w:marBottom w:val="0"/>
      <w:divBdr>
        <w:top w:val="none" w:sz="0" w:space="0" w:color="auto"/>
        <w:left w:val="none" w:sz="0" w:space="0" w:color="auto"/>
        <w:bottom w:val="none" w:sz="0" w:space="0" w:color="auto"/>
        <w:right w:val="none" w:sz="0" w:space="0" w:color="auto"/>
      </w:divBdr>
    </w:div>
    <w:div w:id="1842164452">
      <w:bodyDiv w:val="1"/>
      <w:marLeft w:val="0"/>
      <w:marRight w:val="0"/>
      <w:marTop w:val="0"/>
      <w:marBottom w:val="0"/>
      <w:divBdr>
        <w:top w:val="none" w:sz="0" w:space="0" w:color="auto"/>
        <w:left w:val="none" w:sz="0" w:space="0" w:color="auto"/>
        <w:bottom w:val="none" w:sz="0" w:space="0" w:color="auto"/>
        <w:right w:val="none" w:sz="0" w:space="0" w:color="auto"/>
      </w:divBdr>
    </w:div>
    <w:div w:id="1899050353">
      <w:bodyDiv w:val="1"/>
      <w:marLeft w:val="0"/>
      <w:marRight w:val="0"/>
      <w:marTop w:val="0"/>
      <w:marBottom w:val="0"/>
      <w:divBdr>
        <w:top w:val="none" w:sz="0" w:space="0" w:color="auto"/>
        <w:left w:val="none" w:sz="0" w:space="0" w:color="auto"/>
        <w:bottom w:val="none" w:sz="0" w:space="0" w:color="auto"/>
        <w:right w:val="none" w:sz="0" w:space="0" w:color="auto"/>
      </w:divBdr>
    </w:div>
    <w:div w:id="1956018075">
      <w:bodyDiv w:val="1"/>
      <w:marLeft w:val="0"/>
      <w:marRight w:val="0"/>
      <w:marTop w:val="0"/>
      <w:marBottom w:val="0"/>
      <w:divBdr>
        <w:top w:val="none" w:sz="0" w:space="0" w:color="auto"/>
        <w:left w:val="none" w:sz="0" w:space="0" w:color="auto"/>
        <w:bottom w:val="none" w:sz="0" w:space="0" w:color="auto"/>
        <w:right w:val="none" w:sz="0" w:space="0" w:color="auto"/>
      </w:divBdr>
    </w:div>
    <w:div w:id="1983654354">
      <w:bodyDiv w:val="1"/>
      <w:marLeft w:val="0"/>
      <w:marRight w:val="0"/>
      <w:marTop w:val="0"/>
      <w:marBottom w:val="0"/>
      <w:divBdr>
        <w:top w:val="none" w:sz="0" w:space="0" w:color="auto"/>
        <w:left w:val="none" w:sz="0" w:space="0" w:color="auto"/>
        <w:bottom w:val="none" w:sz="0" w:space="0" w:color="auto"/>
        <w:right w:val="none" w:sz="0" w:space="0" w:color="auto"/>
      </w:divBdr>
    </w:div>
    <w:div w:id="2050303396">
      <w:bodyDiv w:val="1"/>
      <w:marLeft w:val="0"/>
      <w:marRight w:val="0"/>
      <w:marTop w:val="0"/>
      <w:marBottom w:val="0"/>
      <w:divBdr>
        <w:top w:val="none" w:sz="0" w:space="0" w:color="auto"/>
        <w:left w:val="none" w:sz="0" w:space="0" w:color="auto"/>
        <w:bottom w:val="none" w:sz="0" w:space="0" w:color="auto"/>
        <w:right w:val="none" w:sz="0" w:space="0" w:color="auto"/>
      </w:divBdr>
    </w:div>
    <w:div w:id="2069724106">
      <w:bodyDiv w:val="1"/>
      <w:marLeft w:val="0"/>
      <w:marRight w:val="0"/>
      <w:marTop w:val="0"/>
      <w:marBottom w:val="0"/>
      <w:divBdr>
        <w:top w:val="none" w:sz="0" w:space="0" w:color="auto"/>
        <w:left w:val="none" w:sz="0" w:space="0" w:color="auto"/>
        <w:bottom w:val="none" w:sz="0" w:space="0" w:color="auto"/>
        <w:right w:val="none" w:sz="0" w:space="0" w:color="auto"/>
      </w:divBdr>
    </w:div>
    <w:div w:id="2101750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bls.gov/oes/current/oes_nat.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86a8e296-5f29-4af2-954b-0de0d1e1f8bc"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472235C4FA53B24482309DD5F448B1F1" ma:contentTypeVersion="17" ma:contentTypeDescription="Create a new document." ma:contentTypeScope="" ma:versionID="e93587687ba00e8d173ea81fd6fb39d9">
  <xsd:schema xmlns:xsd="http://www.w3.org/2001/XMLSchema" xmlns:xs="http://www.w3.org/2001/XMLSchema" xmlns:p="http://schemas.microsoft.com/office/2006/metadata/properties" xmlns:ns2="144ea41b-304c-4c03-99c4-debb02094f92" targetNamespace="http://schemas.microsoft.com/office/2006/metadata/properties" ma:root="true" ma:fieldsID="698f1c3dcbf016f94fbc5e367451ae48" ns2:_="">
    <xsd:import namespace="144ea41b-304c-4c03-99c4-debb02094f92"/>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4ea41b-304c-4c03-99c4-debb02094f9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E0EF9F-FE01-4CEA-8878-51D70462970A}">
  <ds:schemaRefs>
    <ds:schemaRef ds:uri="Microsoft.SharePoint.Taxonomy.ContentTypeSync"/>
  </ds:schemaRefs>
</ds:datastoreItem>
</file>

<file path=customXml/itemProps2.xml><?xml version="1.0" encoding="utf-8"?>
<ds:datastoreItem xmlns:ds="http://schemas.openxmlformats.org/officeDocument/2006/customXml" ds:itemID="{EBF838E2-ADB6-4252-80D3-49CB880FAC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4ea41b-304c-4c03-99c4-debb02094f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5D8C4D-767C-4637-ACF7-E941410FCA97}">
  <ds:schemaRefs>
    <ds:schemaRef ds:uri="http://schemas.microsoft.com/office/infopath/2007/PartnerControls"/>
    <ds:schemaRef ds:uri="http://purl.org/dc/elements/1.1/"/>
    <ds:schemaRef ds:uri="http://schemas.microsoft.com/office/2006/documentManagement/types"/>
    <ds:schemaRef ds:uri="144ea41b-304c-4c03-99c4-debb02094f92"/>
    <ds:schemaRef ds:uri="http://purl.org/dc/terms/"/>
    <ds:schemaRef ds:uri="http://schemas.openxmlformats.org/package/2006/metadata/core-properties"/>
    <ds:schemaRef ds:uri="http://purl.org/dc/dcmitype/"/>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C4CEA677-ED6C-4148-843A-A4D99083738C}">
  <ds:schemaRefs>
    <ds:schemaRef ds:uri="http://schemas.microsoft.com/sharepoint/v3/contenttype/forms"/>
  </ds:schemaRefs>
</ds:datastoreItem>
</file>

<file path=customXml/itemProps5.xml><?xml version="1.0" encoding="utf-8"?>
<ds:datastoreItem xmlns:ds="http://schemas.openxmlformats.org/officeDocument/2006/customXml" ds:itemID="{31B51ACC-2E2F-49EB-AE3D-3ABE462FC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9762</Words>
  <Characters>55649</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Supporting Statement – Part A</vt:lpstr>
    </vt:vector>
  </TitlesOfParts>
  <Company/>
  <LinksUpToDate>false</LinksUpToDate>
  <CharactersWithSpaces>65281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 Part A</dc:title>
  <dc:subject/>
  <dc:creator/>
  <cp:keywords/>
  <dc:description/>
  <cp:lastModifiedBy/>
  <cp:revision>1</cp:revision>
  <dcterms:created xsi:type="dcterms:W3CDTF">2022-05-13T20:27:00Z</dcterms:created>
  <dcterms:modified xsi:type="dcterms:W3CDTF">2022-05-13T20:27:00Z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0x010100472235C4FA53B24482309DD5F448B1F1</vt:lpwstr>
  </property>
  <property fmtid="{D5CDD505-2E9C-101B-9397-08002B2CF9AE}" pid="3" name="_NewReviewCycle">
    <vt:lpwstr/>
  </property>
</Properties>
</file>