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CellMar>
          <w:left w:w="120" w:type="dxa"/>
          <w:right w:w="120" w:type="dxa"/>
        </w:tblCellMar>
        <w:tblLook w:val="0000" w:firstRow="0" w:lastRow="0" w:firstColumn="0" w:lastColumn="0" w:noHBand="0" w:noVBand="0"/>
      </w:tblPr>
      <w:tblGrid>
        <w:gridCol w:w="1624"/>
        <w:gridCol w:w="3916"/>
        <w:gridCol w:w="3730"/>
      </w:tblGrid>
      <w:tr w:rsidRPr="00B66B55" w:rsidR="000E74B7" w:rsidTr="00823650" w14:paraId="596647F7" w14:textId="77777777">
        <w:trPr>
          <w:trHeight w:val="870"/>
          <w:jc w:val="center"/>
        </w:trPr>
        <w:tc>
          <w:tcPr>
            <w:tcW w:w="0" w:type="auto"/>
            <w:tcBorders>
              <w:top w:val="single" w:color="auto" w:sz="36" w:space="0"/>
              <w:left w:val="single" w:color="auto" w:sz="36" w:space="0"/>
            </w:tcBorders>
          </w:tcPr>
          <w:p w:rsidRPr="00B66B55" w:rsidR="000E74B7" w:rsidP="00094274" w:rsidRDefault="000E74B7" w14:paraId="794D0C3F" w14:textId="77777777">
            <w:pPr>
              <w:tabs>
                <w:tab w:val="left" w:pos="0"/>
              </w:tabs>
              <w:suppressAutoHyphens/>
              <w:rPr>
                <w:spacing w:val="-5"/>
                <w:szCs w:val="24"/>
              </w:rPr>
            </w:pPr>
            <w:r w:rsidRPr="00B66B55">
              <w:rPr>
                <w:spacing w:val="-12"/>
                <w:szCs w:val="24"/>
              </w:rPr>
              <w:t>ACF</w:t>
            </w:r>
          </w:p>
        </w:tc>
        <w:tc>
          <w:tcPr>
            <w:tcW w:w="0" w:type="auto"/>
            <w:gridSpan w:val="2"/>
            <w:tcBorders>
              <w:top w:val="single" w:color="auto" w:sz="36" w:space="0"/>
              <w:left w:val="single" w:color="auto" w:sz="6" w:space="0"/>
              <w:right w:val="single" w:color="auto" w:sz="36" w:space="0"/>
            </w:tcBorders>
            <w:vAlign w:val="center"/>
          </w:tcPr>
          <w:p w:rsidRPr="00B66B55" w:rsidR="000E74B7" w:rsidP="00823650" w:rsidRDefault="000E74B7" w14:paraId="1BDBC6CC" w14:textId="093A15B3">
            <w:pPr>
              <w:tabs>
                <w:tab w:val="center" w:pos="3719"/>
              </w:tabs>
              <w:suppressAutoHyphens/>
              <w:jc w:val="center"/>
              <w:rPr>
                <w:spacing w:val="-3"/>
                <w:szCs w:val="24"/>
              </w:rPr>
            </w:pPr>
            <w:r w:rsidRPr="00B66B55">
              <w:rPr>
                <w:spacing w:val="-3"/>
                <w:szCs w:val="24"/>
              </w:rPr>
              <w:t>U.S</w:t>
            </w:r>
            <w:r w:rsidR="008923CF">
              <w:rPr>
                <w:spacing w:val="-3"/>
                <w:szCs w:val="24"/>
              </w:rPr>
              <w:t xml:space="preserve">. </w:t>
            </w:r>
            <w:r w:rsidRPr="00B66B55">
              <w:rPr>
                <w:spacing w:val="-3"/>
                <w:szCs w:val="24"/>
              </w:rPr>
              <w:t>DEPARTMENT OF HEALTH AND HUMAN SERVICES</w:t>
            </w:r>
          </w:p>
        </w:tc>
      </w:tr>
      <w:tr w:rsidRPr="00B66B55" w:rsidR="006D5C73" w:rsidTr="00C77AFB" w14:paraId="142A9A87" w14:textId="77777777">
        <w:trPr>
          <w:trHeight w:val="432"/>
          <w:jc w:val="center"/>
        </w:trPr>
        <w:tc>
          <w:tcPr>
            <w:tcW w:w="0" w:type="auto"/>
            <w:vMerge w:val="restart"/>
            <w:tcBorders>
              <w:left w:val="single" w:color="auto" w:sz="36" w:space="0"/>
            </w:tcBorders>
          </w:tcPr>
          <w:p w:rsidRPr="00B66B55" w:rsidR="000E74B7" w:rsidP="00094274" w:rsidRDefault="000E74B7" w14:paraId="43E3AFFD" w14:textId="77777777">
            <w:pPr>
              <w:tabs>
                <w:tab w:val="left" w:pos="-720"/>
              </w:tabs>
              <w:suppressAutoHyphens/>
              <w:rPr>
                <w:spacing w:val="-3"/>
                <w:szCs w:val="24"/>
              </w:rPr>
            </w:pPr>
            <w:r w:rsidRPr="00B66B55">
              <w:rPr>
                <w:spacing w:val="-5"/>
                <w:szCs w:val="24"/>
              </w:rPr>
              <w:t>Administration</w:t>
            </w:r>
            <w:r w:rsidRPr="00B66B55">
              <w:rPr>
                <w:spacing w:val="-3"/>
                <w:szCs w:val="24"/>
              </w:rPr>
              <w:br/>
            </w:r>
            <w:r w:rsidRPr="00B66B55">
              <w:rPr>
                <w:spacing w:val="-5"/>
                <w:szCs w:val="24"/>
              </w:rPr>
              <w:t>for Children</w:t>
            </w:r>
            <w:r w:rsidRPr="00B66B55">
              <w:rPr>
                <w:spacing w:val="-3"/>
                <w:szCs w:val="24"/>
              </w:rPr>
              <w:br/>
            </w:r>
            <w:r w:rsidRPr="00B66B55">
              <w:rPr>
                <w:spacing w:val="-5"/>
                <w:szCs w:val="24"/>
              </w:rPr>
              <w:t>and Families</w:t>
            </w:r>
          </w:p>
        </w:tc>
        <w:tc>
          <w:tcPr>
            <w:tcW w:w="3697" w:type="dxa"/>
            <w:tcBorders>
              <w:top w:val="single" w:color="auto" w:sz="6" w:space="0"/>
              <w:left w:val="single" w:color="auto" w:sz="6" w:space="0"/>
            </w:tcBorders>
            <w:vAlign w:val="center"/>
          </w:tcPr>
          <w:p w:rsidRPr="00B66B55" w:rsidR="000E74B7" w:rsidP="005B769B" w:rsidRDefault="000E74B7" w14:paraId="10E34DE9" w14:textId="4B994DFC">
            <w:pPr>
              <w:tabs>
                <w:tab w:val="left" w:pos="-720"/>
              </w:tabs>
              <w:suppressAutoHyphens/>
              <w:rPr>
                <w:spacing w:val="-3"/>
                <w:szCs w:val="24"/>
              </w:rPr>
            </w:pPr>
            <w:r w:rsidRPr="00B66B55">
              <w:rPr>
                <w:b/>
                <w:spacing w:val="-3"/>
                <w:szCs w:val="24"/>
              </w:rPr>
              <w:t>1</w:t>
            </w:r>
            <w:r w:rsidR="008923CF">
              <w:rPr>
                <w:b/>
                <w:spacing w:val="-3"/>
                <w:szCs w:val="24"/>
              </w:rPr>
              <w:t xml:space="preserve">.  </w:t>
            </w:r>
            <w:r w:rsidRPr="00B66B55">
              <w:rPr>
                <w:b/>
                <w:spacing w:val="-3"/>
                <w:szCs w:val="24"/>
              </w:rPr>
              <w:t>Log No:</w:t>
            </w:r>
            <w:r w:rsidRPr="00B66B55">
              <w:rPr>
                <w:spacing w:val="-3"/>
                <w:szCs w:val="24"/>
              </w:rPr>
              <w:t xml:space="preserve"> </w:t>
            </w:r>
            <w:r w:rsidR="008923CF">
              <w:rPr>
                <w:spacing w:val="-3"/>
                <w:szCs w:val="24"/>
              </w:rPr>
              <w:t xml:space="preserve"> </w:t>
            </w:r>
            <w:r w:rsidRPr="00B66B55" w:rsidR="00552B9D">
              <w:rPr>
                <w:spacing w:val="-3"/>
                <w:szCs w:val="24"/>
              </w:rPr>
              <w:t>CCDF-ACF-PI-</w:t>
            </w:r>
            <w:r w:rsidRPr="00B66B55" w:rsidR="003D609E">
              <w:rPr>
                <w:spacing w:val="-3"/>
                <w:szCs w:val="24"/>
              </w:rPr>
              <w:t>202</w:t>
            </w:r>
            <w:r w:rsidRPr="00B66B55" w:rsidR="005B769B">
              <w:rPr>
                <w:spacing w:val="-3"/>
                <w:szCs w:val="24"/>
              </w:rPr>
              <w:t>1-</w:t>
            </w:r>
            <w:r w:rsidRPr="006D5C73" w:rsidR="005B769B">
              <w:rPr>
                <w:spacing w:val="-3"/>
                <w:szCs w:val="24"/>
                <w:highlight w:val="yellow"/>
              </w:rPr>
              <w:t>XX</w:t>
            </w:r>
          </w:p>
        </w:tc>
        <w:tc>
          <w:tcPr>
            <w:tcW w:w="3465" w:type="dxa"/>
            <w:tcBorders>
              <w:top w:val="single" w:color="auto" w:sz="6" w:space="0"/>
              <w:left w:val="single" w:color="auto" w:sz="6" w:space="0"/>
              <w:right w:val="single" w:color="auto" w:sz="36" w:space="0"/>
            </w:tcBorders>
            <w:vAlign w:val="center"/>
          </w:tcPr>
          <w:p w:rsidRPr="00B66B55" w:rsidR="000E74B7" w:rsidP="005B769B" w:rsidRDefault="000E74B7" w14:paraId="7B30A4AE" w14:textId="40861786">
            <w:pPr>
              <w:tabs>
                <w:tab w:val="left" w:pos="-720"/>
              </w:tabs>
              <w:suppressAutoHyphens/>
              <w:rPr>
                <w:spacing w:val="-3"/>
                <w:szCs w:val="24"/>
              </w:rPr>
            </w:pPr>
            <w:r w:rsidRPr="00B66B55">
              <w:rPr>
                <w:b/>
                <w:spacing w:val="-3"/>
                <w:szCs w:val="24"/>
              </w:rPr>
              <w:t>2</w:t>
            </w:r>
            <w:r w:rsidR="008923CF">
              <w:rPr>
                <w:b/>
                <w:spacing w:val="-3"/>
                <w:szCs w:val="24"/>
              </w:rPr>
              <w:t xml:space="preserve">.  </w:t>
            </w:r>
            <w:r w:rsidRPr="00B66B55">
              <w:rPr>
                <w:b/>
                <w:spacing w:val="-3"/>
                <w:szCs w:val="24"/>
              </w:rPr>
              <w:t xml:space="preserve">Issuance Date: </w:t>
            </w:r>
            <w:r w:rsidR="008923CF">
              <w:rPr>
                <w:b/>
                <w:spacing w:val="-3"/>
                <w:szCs w:val="24"/>
              </w:rPr>
              <w:t xml:space="preserve"> </w:t>
            </w:r>
            <w:r w:rsidRPr="006D5C73" w:rsidR="005B769B">
              <w:rPr>
                <w:spacing w:val="-3"/>
                <w:szCs w:val="24"/>
                <w:highlight w:val="yellow"/>
              </w:rPr>
              <w:t>XX-XX</w:t>
            </w:r>
            <w:r w:rsidRPr="00B66B55" w:rsidR="005B769B">
              <w:rPr>
                <w:spacing w:val="-3"/>
                <w:szCs w:val="24"/>
              </w:rPr>
              <w:t>-2021</w:t>
            </w:r>
          </w:p>
        </w:tc>
      </w:tr>
      <w:tr w:rsidRPr="00B66B55" w:rsidR="000E74B7" w:rsidTr="00823650" w14:paraId="392BD7B0" w14:textId="77777777">
        <w:trPr>
          <w:trHeight w:val="432"/>
          <w:jc w:val="center"/>
        </w:trPr>
        <w:tc>
          <w:tcPr>
            <w:tcW w:w="0" w:type="auto"/>
            <w:vMerge/>
            <w:tcBorders>
              <w:left w:val="single" w:color="auto" w:sz="36" w:space="0"/>
            </w:tcBorders>
          </w:tcPr>
          <w:p w:rsidRPr="00B66B55" w:rsidR="000E74B7" w:rsidP="00094274" w:rsidRDefault="000E74B7" w14:paraId="4176F580" w14:textId="77777777">
            <w:pPr>
              <w:tabs>
                <w:tab w:val="left" w:pos="-720"/>
              </w:tabs>
              <w:suppressAutoHyphens/>
              <w:rPr>
                <w:spacing w:val="-3"/>
                <w:szCs w:val="24"/>
              </w:rPr>
            </w:pPr>
          </w:p>
        </w:tc>
        <w:tc>
          <w:tcPr>
            <w:tcW w:w="0" w:type="auto"/>
            <w:gridSpan w:val="2"/>
            <w:tcBorders>
              <w:top w:val="single" w:color="auto" w:sz="6" w:space="0"/>
              <w:left w:val="single" w:color="auto" w:sz="6" w:space="0"/>
              <w:right w:val="single" w:color="auto" w:sz="36" w:space="0"/>
            </w:tcBorders>
            <w:vAlign w:val="center"/>
          </w:tcPr>
          <w:p w:rsidRPr="00B66B55" w:rsidR="000E74B7" w:rsidP="00823650" w:rsidRDefault="000E74B7" w14:paraId="0BB4FBC8" w14:textId="0688EC2D">
            <w:pPr>
              <w:tabs>
                <w:tab w:val="left" w:pos="-720"/>
              </w:tabs>
              <w:suppressAutoHyphens/>
              <w:rPr>
                <w:spacing w:val="-3"/>
                <w:szCs w:val="24"/>
              </w:rPr>
            </w:pPr>
            <w:r w:rsidRPr="00B66B55">
              <w:rPr>
                <w:b/>
                <w:spacing w:val="-3"/>
                <w:szCs w:val="24"/>
              </w:rPr>
              <w:t>3</w:t>
            </w:r>
            <w:r w:rsidR="008923CF">
              <w:rPr>
                <w:b/>
                <w:spacing w:val="-3"/>
                <w:szCs w:val="24"/>
              </w:rPr>
              <w:t xml:space="preserve">.  </w:t>
            </w:r>
            <w:r w:rsidRPr="00B66B55">
              <w:rPr>
                <w:b/>
                <w:spacing w:val="-3"/>
                <w:szCs w:val="24"/>
              </w:rPr>
              <w:t>Originating Office:</w:t>
            </w:r>
            <w:r w:rsidRPr="00B66B55" w:rsidR="00B90469">
              <w:rPr>
                <w:b/>
                <w:spacing w:val="-3"/>
                <w:szCs w:val="24"/>
              </w:rPr>
              <w:t xml:space="preserve"> </w:t>
            </w:r>
            <w:r w:rsidRPr="00B66B55">
              <w:rPr>
                <w:spacing w:val="-3"/>
                <w:szCs w:val="24"/>
              </w:rPr>
              <w:t xml:space="preserve"> Office of Child Care </w:t>
            </w:r>
          </w:p>
        </w:tc>
      </w:tr>
      <w:tr w:rsidRPr="00B66B55" w:rsidR="000E74B7" w:rsidTr="00823650" w14:paraId="548AA9F0" w14:textId="77777777">
        <w:trPr>
          <w:trHeight w:val="432"/>
          <w:jc w:val="center"/>
        </w:trPr>
        <w:tc>
          <w:tcPr>
            <w:tcW w:w="0" w:type="auto"/>
            <w:vMerge/>
            <w:tcBorders>
              <w:left w:val="single" w:color="auto" w:sz="36" w:space="0"/>
              <w:bottom w:val="single" w:color="auto" w:sz="36" w:space="0"/>
            </w:tcBorders>
          </w:tcPr>
          <w:p w:rsidRPr="00B66B55" w:rsidR="000E74B7" w:rsidP="00094274" w:rsidRDefault="000E74B7" w14:paraId="61FE3EF8" w14:textId="77777777">
            <w:pPr>
              <w:tabs>
                <w:tab w:val="left" w:pos="-720"/>
              </w:tabs>
              <w:suppressAutoHyphens/>
              <w:rPr>
                <w:spacing w:val="-3"/>
                <w:szCs w:val="24"/>
              </w:rPr>
            </w:pPr>
          </w:p>
        </w:tc>
        <w:tc>
          <w:tcPr>
            <w:tcW w:w="0" w:type="auto"/>
            <w:gridSpan w:val="2"/>
            <w:tcBorders>
              <w:top w:val="single" w:color="auto" w:sz="6" w:space="0"/>
              <w:left w:val="single" w:color="auto" w:sz="6" w:space="0"/>
              <w:bottom w:val="single" w:color="auto" w:sz="36" w:space="0"/>
              <w:right w:val="single" w:color="auto" w:sz="36" w:space="0"/>
            </w:tcBorders>
            <w:vAlign w:val="center"/>
          </w:tcPr>
          <w:p w:rsidRPr="00B66B55" w:rsidR="000E74B7" w:rsidP="005B769B" w:rsidRDefault="000E74B7" w14:paraId="71C2AD99" w14:textId="2DC28BFF">
            <w:pPr>
              <w:tabs>
                <w:tab w:val="left" w:pos="-720"/>
              </w:tabs>
              <w:suppressAutoHyphens/>
              <w:rPr>
                <w:spacing w:val="-3"/>
                <w:szCs w:val="24"/>
              </w:rPr>
            </w:pPr>
            <w:r w:rsidRPr="00B66B55">
              <w:rPr>
                <w:b/>
                <w:spacing w:val="-3"/>
                <w:szCs w:val="24"/>
              </w:rPr>
              <w:t>4</w:t>
            </w:r>
            <w:r w:rsidR="008923CF">
              <w:rPr>
                <w:b/>
                <w:spacing w:val="-3"/>
                <w:szCs w:val="24"/>
              </w:rPr>
              <w:t xml:space="preserve">.  </w:t>
            </w:r>
            <w:r w:rsidRPr="00B66B55">
              <w:rPr>
                <w:b/>
                <w:spacing w:val="-3"/>
                <w:szCs w:val="24"/>
              </w:rPr>
              <w:t>Key Words:</w:t>
            </w:r>
            <w:r w:rsidRPr="00B66B55">
              <w:rPr>
                <w:spacing w:val="-3"/>
                <w:szCs w:val="24"/>
              </w:rPr>
              <w:t xml:space="preserve"> </w:t>
            </w:r>
            <w:bookmarkStart w:name="OLE_LINK3" w:id="0"/>
            <w:bookmarkStart w:name="OLE_LINK4" w:id="1"/>
            <w:r w:rsidRPr="00B66B55" w:rsidR="00B90469">
              <w:rPr>
                <w:spacing w:val="-3"/>
                <w:szCs w:val="24"/>
              </w:rPr>
              <w:t xml:space="preserve"> </w:t>
            </w:r>
            <w:r w:rsidRPr="00B66B55">
              <w:rPr>
                <w:szCs w:val="24"/>
              </w:rPr>
              <w:t>Child Care and Development Fund</w:t>
            </w:r>
            <w:r w:rsidRPr="00B66B55" w:rsidR="00CE7710">
              <w:rPr>
                <w:szCs w:val="24"/>
              </w:rPr>
              <w:t xml:space="preserve">, </w:t>
            </w:r>
            <w:r w:rsidRPr="00B66B55">
              <w:rPr>
                <w:szCs w:val="24"/>
              </w:rPr>
              <w:t xml:space="preserve">CCDF, </w:t>
            </w:r>
            <w:bookmarkEnd w:id="0"/>
            <w:bookmarkEnd w:id="1"/>
            <w:r w:rsidR="006D5C73">
              <w:rPr>
                <w:szCs w:val="24"/>
              </w:rPr>
              <w:t>American Rescue Plan Act, ARP Act</w:t>
            </w:r>
          </w:p>
        </w:tc>
      </w:tr>
    </w:tbl>
    <w:p w:rsidRPr="00B66B55" w:rsidR="000E74B7" w:rsidP="00C75080" w:rsidRDefault="00C75080" w14:paraId="66A630A1" w14:textId="77777777">
      <w:pPr>
        <w:tabs>
          <w:tab w:val="left" w:pos="6705"/>
        </w:tabs>
        <w:rPr>
          <w:b/>
          <w:szCs w:val="24"/>
        </w:rPr>
      </w:pPr>
      <w:r w:rsidRPr="00B66B55">
        <w:rPr>
          <w:b/>
          <w:szCs w:val="24"/>
        </w:rPr>
        <w:tab/>
      </w:r>
    </w:p>
    <w:p w:rsidRPr="00B66B55" w:rsidR="000E74B7" w:rsidP="00094274" w:rsidRDefault="000E74B7" w14:paraId="10A48588" w14:textId="77777777">
      <w:pPr>
        <w:jc w:val="center"/>
        <w:outlineLvl w:val="0"/>
        <w:rPr>
          <w:b/>
          <w:szCs w:val="24"/>
        </w:rPr>
      </w:pPr>
      <w:r w:rsidRPr="00B66B55">
        <w:rPr>
          <w:b/>
          <w:szCs w:val="24"/>
        </w:rPr>
        <w:t>PROGRAM INSTRUCTION</w:t>
      </w:r>
    </w:p>
    <w:p w:rsidRPr="00B66B55" w:rsidR="000E74B7" w:rsidP="00094274" w:rsidRDefault="000E74B7" w14:paraId="12A35B3F" w14:textId="77777777">
      <w:pPr>
        <w:rPr>
          <w:szCs w:val="24"/>
        </w:rPr>
      </w:pPr>
    </w:p>
    <w:tbl>
      <w:tblPr>
        <w:tblW w:w="9985" w:type="dxa"/>
        <w:tblInd w:w="-90" w:type="dxa"/>
        <w:tblLayout w:type="fixed"/>
        <w:tblLook w:val="04A0" w:firstRow="1" w:lastRow="0" w:firstColumn="1" w:lastColumn="0" w:noHBand="0" w:noVBand="1"/>
      </w:tblPr>
      <w:tblGrid>
        <w:gridCol w:w="1667"/>
        <w:gridCol w:w="8318"/>
      </w:tblGrid>
      <w:tr w:rsidRPr="00B66B55" w:rsidR="00FA45ED" w:rsidTr="00CB482E" w14:paraId="45C0F3CF" w14:textId="77777777">
        <w:tc>
          <w:tcPr>
            <w:tcW w:w="1667" w:type="dxa"/>
          </w:tcPr>
          <w:p w:rsidRPr="00B66B55" w:rsidR="000E74B7" w:rsidP="00094274" w:rsidRDefault="000E74B7" w14:paraId="1FF03324" w14:textId="77777777">
            <w:pPr>
              <w:rPr>
                <w:b/>
                <w:szCs w:val="24"/>
              </w:rPr>
            </w:pPr>
            <w:r w:rsidRPr="00B66B55">
              <w:rPr>
                <w:b/>
                <w:szCs w:val="24"/>
              </w:rPr>
              <w:t>To:</w:t>
            </w:r>
          </w:p>
        </w:tc>
        <w:tc>
          <w:tcPr>
            <w:tcW w:w="8318" w:type="dxa"/>
          </w:tcPr>
          <w:p w:rsidRPr="00B66B55" w:rsidR="000E74B7" w:rsidP="00094274" w:rsidRDefault="005B769B" w14:paraId="5CE6A8D8" w14:textId="3BBF774B">
            <w:pPr>
              <w:rPr>
                <w:szCs w:val="24"/>
              </w:rPr>
            </w:pPr>
            <w:r w:rsidRPr="00B66B55">
              <w:rPr>
                <w:szCs w:val="24"/>
              </w:rPr>
              <w:t>State</w:t>
            </w:r>
            <w:r w:rsidR="006D5C73">
              <w:rPr>
                <w:szCs w:val="24"/>
              </w:rPr>
              <w:t xml:space="preserve"> and </w:t>
            </w:r>
            <w:r w:rsidRPr="00B66B55">
              <w:rPr>
                <w:szCs w:val="24"/>
              </w:rPr>
              <w:t xml:space="preserve">Territory </w:t>
            </w:r>
            <w:r w:rsidR="009A1359">
              <w:rPr>
                <w:szCs w:val="24"/>
              </w:rPr>
              <w:t xml:space="preserve">CCDF </w:t>
            </w:r>
            <w:r w:rsidRPr="00B66B55" w:rsidR="000E74B7">
              <w:rPr>
                <w:szCs w:val="24"/>
              </w:rPr>
              <w:t>Lead Agencies a</w:t>
            </w:r>
            <w:r w:rsidRPr="00B66B55" w:rsidR="00552B9D">
              <w:rPr>
                <w:szCs w:val="24"/>
              </w:rPr>
              <w:t>dministering the Child Care and Development Fund (CCDF) program</w:t>
            </w:r>
            <w:r w:rsidRPr="00B66B55" w:rsidR="000E74B7">
              <w:rPr>
                <w:szCs w:val="24"/>
              </w:rPr>
              <w:t>, as amended</w:t>
            </w:r>
            <w:r w:rsidRPr="00B66B55" w:rsidR="00B349AB">
              <w:rPr>
                <w:szCs w:val="24"/>
              </w:rPr>
              <w:t>,</w:t>
            </w:r>
            <w:r w:rsidRPr="00B66B55" w:rsidR="000E74B7">
              <w:rPr>
                <w:szCs w:val="24"/>
              </w:rPr>
              <w:t xml:space="preserve"> and other interested parties.</w:t>
            </w:r>
          </w:p>
          <w:p w:rsidRPr="00B66B55" w:rsidR="00BD656E" w:rsidP="00094274" w:rsidRDefault="00BD656E" w14:paraId="17E84C39" w14:textId="77777777">
            <w:pPr>
              <w:rPr>
                <w:szCs w:val="24"/>
              </w:rPr>
            </w:pPr>
          </w:p>
        </w:tc>
      </w:tr>
      <w:tr w:rsidRPr="00B66B55" w:rsidR="00FA45ED" w:rsidTr="00CB482E" w14:paraId="4ACF1044" w14:textId="77777777">
        <w:tc>
          <w:tcPr>
            <w:tcW w:w="1667" w:type="dxa"/>
          </w:tcPr>
          <w:p w:rsidRPr="00B66B55" w:rsidR="000E74B7" w:rsidP="00094274" w:rsidRDefault="000E74B7" w14:paraId="16562285" w14:textId="77777777">
            <w:pPr>
              <w:rPr>
                <w:b/>
                <w:szCs w:val="24"/>
              </w:rPr>
            </w:pPr>
            <w:r w:rsidRPr="00B66B55">
              <w:rPr>
                <w:b/>
                <w:szCs w:val="24"/>
              </w:rPr>
              <w:t>Subject:</w:t>
            </w:r>
          </w:p>
        </w:tc>
        <w:tc>
          <w:tcPr>
            <w:tcW w:w="8318" w:type="dxa"/>
          </w:tcPr>
          <w:p w:rsidRPr="00B66B55" w:rsidR="00BD656E" w:rsidP="00FB44BC" w:rsidRDefault="002220CD" w14:paraId="01770563" w14:textId="3851FF08">
            <w:pPr>
              <w:rPr>
                <w:szCs w:val="24"/>
              </w:rPr>
            </w:pPr>
            <w:bookmarkStart w:name="_Hlk84849288" w:id="2"/>
            <w:r w:rsidRPr="00F46839">
              <w:rPr>
                <w:szCs w:val="24"/>
              </w:rPr>
              <w:t xml:space="preserve">Notification of Obligation Target </w:t>
            </w:r>
            <w:r w:rsidRPr="00F46839" w:rsidR="00270473">
              <w:rPr>
                <w:szCs w:val="24"/>
              </w:rPr>
              <w:t>Status</w:t>
            </w:r>
            <w:r w:rsidRPr="00F46839" w:rsidR="00BD5CD8">
              <w:rPr>
                <w:szCs w:val="24"/>
              </w:rPr>
              <w:t xml:space="preserve"> </w:t>
            </w:r>
            <w:r w:rsidRPr="00F46839">
              <w:rPr>
                <w:szCs w:val="24"/>
              </w:rPr>
              <w:t xml:space="preserve">for </w:t>
            </w:r>
            <w:r w:rsidRPr="00F46839" w:rsidR="005B769B">
              <w:rPr>
                <w:szCs w:val="24"/>
              </w:rPr>
              <w:t xml:space="preserve">CCDF </w:t>
            </w:r>
            <w:r w:rsidRPr="00F46839" w:rsidR="006D5C73">
              <w:rPr>
                <w:szCs w:val="24"/>
              </w:rPr>
              <w:t>American Rescue Plan (ARP) Act</w:t>
            </w:r>
            <w:r w:rsidRPr="00F46839" w:rsidR="005B769B">
              <w:rPr>
                <w:szCs w:val="24"/>
              </w:rPr>
              <w:t xml:space="preserve"> </w:t>
            </w:r>
            <w:r w:rsidRPr="00F46839" w:rsidR="006D5C73">
              <w:rPr>
                <w:szCs w:val="24"/>
              </w:rPr>
              <w:t xml:space="preserve">Stabilization </w:t>
            </w:r>
            <w:r w:rsidRPr="00F46839" w:rsidR="005B769B">
              <w:rPr>
                <w:szCs w:val="24"/>
              </w:rPr>
              <w:t>Funds</w:t>
            </w:r>
            <w:bookmarkEnd w:id="2"/>
            <w:r w:rsidRPr="00F46839" w:rsidR="005B769B">
              <w:rPr>
                <w:szCs w:val="24"/>
              </w:rPr>
              <w:t>.</w:t>
            </w:r>
          </w:p>
          <w:p w:rsidRPr="00B66B55" w:rsidR="00FB44BC" w:rsidP="00FB44BC" w:rsidRDefault="00FB44BC" w14:paraId="4E165BDD" w14:textId="77777777">
            <w:pPr>
              <w:rPr>
                <w:szCs w:val="24"/>
              </w:rPr>
            </w:pPr>
          </w:p>
        </w:tc>
      </w:tr>
      <w:tr w:rsidRPr="00B66B55" w:rsidR="00FA45ED" w:rsidTr="00CB482E" w14:paraId="147991F1" w14:textId="77777777">
        <w:tc>
          <w:tcPr>
            <w:tcW w:w="1667" w:type="dxa"/>
          </w:tcPr>
          <w:p w:rsidRPr="00B66B55" w:rsidR="000E74B7" w:rsidP="00094274" w:rsidRDefault="000E74B7" w14:paraId="04AFE3FD" w14:textId="77777777">
            <w:pPr>
              <w:rPr>
                <w:b/>
                <w:szCs w:val="24"/>
              </w:rPr>
            </w:pPr>
            <w:r w:rsidRPr="00B66B55">
              <w:rPr>
                <w:b/>
                <w:szCs w:val="24"/>
              </w:rPr>
              <w:t>References:</w:t>
            </w:r>
          </w:p>
        </w:tc>
        <w:tc>
          <w:tcPr>
            <w:tcW w:w="8318" w:type="dxa"/>
          </w:tcPr>
          <w:p w:rsidR="000D1EF7" w:rsidP="005B769B" w:rsidRDefault="005B769B" w14:paraId="5311B6E7" w14:textId="1764495D">
            <w:pPr>
              <w:rPr>
                <w:szCs w:val="24"/>
              </w:rPr>
            </w:pPr>
            <w:r w:rsidRPr="00B66B55">
              <w:rPr>
                <w:szCs w:val="24"/>
              </w:rPr>
              <w:t xml:space="preserve">The </w:t>
            </w:r>
            <w:r w:rsidR="006D5C73">
              <w:rPr>
                <w:szCs w:val="24"/>
              </w:rPr>
              <w:t>Child Care and Development Block Grant (</w:t>
            </w:r>
            <w:r w:rsidRPr="00B66B55">
              <w:rPr>
                <w:szCs w:val="24"/>
              </w:rPr>
              <w:t>CCDBG</w:t>
            </w:r>
            <w:r w:rsidR="006D5C73">
              <w:rPr>
                <w:szCs w:val="24"/>
              </w:rPr>
              <w:t>)</w:t>
            </w:r>
            <w:r w:rsidRPr="00B66B55">
              <w:rPr>
                <w:szCs w:val="24"/>
              </w:rPr>
              <w:t xml:space="preserve"> Act (42 U.S.C</w:t>
            </w:r>
            <w:r w:rsidR="008923CF">
              <w:rPr>
                <w:szCs w:val="24"/>
              </w:rPr>
              <w:t xml:space="preserve">.  </w:t>
            </w:r>
            <w:r w:rsidRPr="00B66B55">
              <w:rPr>
                <w:szCs w:val="24"/>
              </w:rPr>
              <w:t xml:space="preserve">9857 </w:t>
            </w:r>
            <w:r w:rsidRPr="00B66B55">
              <w:rPr>
                <w:i/>
                <w:szCs w:val="24"/>
              </w:rPr>
              <w:t>et seq</w:t>
            </w:r>
            <w:r w:rsidRPr="00B66B55">
              <w:rPr>
                <w:szCs w:val="24"/>
              </w:rPr>
              <w:t xml:space="preserve">.); 45 CFR Parts 98 and 99; </w:t>
            </w:r>
            <w:bookmarkStart w:name="_Hlk84763869" w:id="3"/>
            <w:r w:rsidRPr="004567F3" w:rsidR="002220CD">
              <w:rPr>
                <w:szCs w:val="24"/>
              </w:rPr>
              <w:t xml:space="preserve">American Rescue Plan (ARP) </w:t>
            </w:r>
            <w:r w:rsidR="006D5C73">
              <w:rPr>
                <w:szCs w:val="24"/>
              </w:rPr>
              <w:t>Act (P.L. 117-2</w:t>
            </w:r>
            <w:r w:rsidR="00896079">
              <w:rPr>
                <w:szCs w:val="24"/>
              </w:rPr>
              <w:t>, Sec. 2202</w:t>
            </w:r>
            <w:r w:rsidR="006D5C73">
              <w:rPr>
                <w:szCs w:val="24"/>
              </w:rPr>
              <w:t>)</w:t>
            </w:r>
            <w:bookmarkEnd w:id="3"/>
            <w:r w:rsidR="002220CD">
              <w:rPr>
                <w:szCs w:val="24"/>
              </w:rPr>
              <w:t>.</w:t>
            </w:r>
          </w:p>
          <w:p w:rsidRPr="00B66B55" w:rsidR="00955601" w:rsidP="005B769B" w:rsidRDefault="00955601" w14:paraId="639CE13B" w14:textId="60F93276">
            <w:pPr>
              <w:rPr>
                <w:szCs w:val="24"/>
              </w:rPr>
            </w:pPr>
          </w:p>
        </w:tc>
      </w:tr>
      <w:tr w:rsidRPr="00B66B55" w:rsidR="00FA45ED" w:rsidTr="00CB482E" w14:paraId="14197FF2" w14:textId="77777777">
        <w:tc>
          <w:tcPr>
            <w:tcW w:w="1667" w:type="dxa"/>
          </w:tcPr>
          <w:p w:rsidRPr="00B66B55" w:rsidR="000E74B7" w:rsidP="00094274" w:rsidRDefault="000E74B7" w14:paraId="16E0878C" w14:textId="77777777">
            <w:pPr>
              <w:rPr>
                <w:b/>
                <w:szCs w:val="24"/>
              </w:rPr>
            </w:pPr>
            <w:r w:rsidRPr="00B66B55">
              <w:rPr>
                <w:b/>
                <w:szCs w:val="24"/>
              </w:rPr>
              <w:t>Purpose:</w:t>
            </w:r>
          </w:p>
        </w:tc>
        <w:tc>
          <w:tcPr>
            <w:tcW w:w="8318" w:type="dxa"/>
          </w:tcPr>
          <w:p w:rsidRPr="00B66B55" w:rsidR="00465318" w:rsidP="00465318" w:rsidRDefault="00465318" w14:paraId="09F25D92" w14:textId="458BC00B">
            <w:pPr>
              <w:rPr>
                <w:szCs w:val="24"/>
              </w:rPr>
            </w:pPr>
            <w:r w:rsidRPr="00B66B55">
              <w:rPr>
                <w:szCs w:val="24"/>
              </w:rPr>
              <w:t xml:space="preserve">This Program Instruction (PI) provides </w:t>
            </w:r>
            <w:r w:rsidR="00864F84">
              <w:rPr>
                <w:szCs w:val="24"/>
              </w:rPr>
              <w:t>directions</w:t>
            </w:r>
            <w:r w:rsidRPr="00B66B55">
              <w:rPr>
                <w:szCs w:val="24"/>
              </w:rPr>
              <w:t xml:space="preserve"> for </w:t>
            </w:r>
            <w:r w:rsidR="005659F0">
              <w:rPr>
                <w:szCs w:val="24"/>
              </w:rPr>
              <w:t xml:space="preserve">state and territory CCDF lead agencies to </w:t>
            </w:r>
            <w:r w:rsidRPr="00B66B55">
              <w:rPr>
                <w:szCs w:val="24"/>
              </w:rPr>
              <w:t xml:space="preserve">submit </w:t>
            </w:r>
            <w:bookmarkStart w:name="_Hlk84762638" w:id="4"/>
            <w:r w:rsidRPr="00F46839" w:rsidR="0022259D">
              <w:rPr>
                <w:szCs w:val="24"/>
              </w:rPr>
              <w:t xml:space="preserve">Notification of Obligation Target </w:t>
            </w:r>
            <w:r w:rsidRPr="00F46839" w:rsidR="00270473">
              <w:rPr>
                <w:szCs w:val="24"/>
              </w:rPr>
              <w:t>Status</w:t>
            </w:r>
            <w:r w:rsidRPr="00F46839" w:rsidR="00BD5CD8">
              <w:rPr>
                <w:szCs w:val="24"/>
              </w:rPr>
              <w:t xml:space="preserve"> </w:t>
            </w:r>
            <w:r w:rsidRPr="00F46839" w:rsidR="0022259D">
              <w:rPr>
                <w:szCs w:val="24"/>
              </w:rPr>
              <w:t>for CCDF American Rescue Plan (ARP) Act Stabilization Funds</w:t>
            </w:r>
            <w:bookmarkEnd w:id="4"/>
            <w:r w:rsidR="0022259D">
              <w:rPr>
                <w:szCs w:val="24"/>
              </w:rPr>
              <w:t xml:space="preserve">. </w:t>
            </w:r>
            <w:r w:rsidR="005659F0">
              <w:rPr>
                <w:szCs w:val="24"/>
              </w:rPr>
              <w:t>Directions for tribal CCDF lead agencies will be released through separate guidance.</w:t>
            </w:r>
          </w:p>
          <w:p w:rsidRPr="00B66B55" w:rsidR="00FB44BC" w:rsidP="008C1E8B" w:rsidRDefault="00FB44BC" w14:paraId="65C3657E" w14:textId="77777777">
            <w:pPr>
              <w:rPr>
                <w:szCs w:val="24"/>
              </w:rPr>
            </w:pPr>
          </w:p>
        </w:tc>
      </w:tr>
      <w:tr w:rsidRPr="00B66B55" w:rsidR="00FA45ED" w:rsidTr="00CB482E" w14:paraId="772471AF" w14:textId="77777777">
        <w:tc>
          <w:tcPr>
            <w:tcW w:w="1667" w:type="dxa"/>
          </w:tcPr>
          <w:p w:rsidRPr="00B66B55" w:rsidR="000E74B7" w:rsidP="00094274" w:rsidRDefault="007776D2" w14:paraId="314E3358" w14:textId="77777777">
            <w:pPr>
              <w:rPr>
                <w:b/>
                <w:szCs w:val="24"/>
              </w:rPr>
            </w:pPr>
            <w:r w:rsidRPr="00B66B55">
              <w:rPr>
                <w:b/>
                <w:szCs w:val="24"/>
              </w:rPr>
              <w:t xml:space="preserve">Background: </w:t>
            </w:r>
          </w:p>
        </w:tc>
        <w:tc>
          <w:tcPr>
            <w:tcW w:w="8318" w:type="dxa"/>
          </w:tcPr>
          <w:p w:rsidRPr="00B66B55" w:rsidR="005659F0" w:rsidP="00465318" w:rsidRDefault="00465318" w14:paraId="0125EFD2" w14:textId="6FA77B68">
            <w:pPr>
              <w:rPr>
                <w:szCs w:val="24"/>
              </w:rPr>
            </w:pPr>
            <w:r w:rsidRPr="00B66B55">
              <w:rPr>
                <w:szCs w:val="24"/>
              </w:rPr>
              <w:t xml:space="preserve">The </w:t>
            </w:r>
            <w:r w:rsidR="002220CD">
              <w:rPr>
                <w:szCs w:val="24"/>
              </w:rPr>
              <w:t>American Rescue Plan (ARP) Act</w:t>
            </w:r>
            <w:r w:rsidRPr="00B66B55">
              <w:rPr>
                <w:szCs w:val="24"/>
              </w:rPr>
              <w:t xml:space="preserve"> </w:t>
            </w:r>
            <w:r w:rsidR="002220CD">
              <w:rPr>
                <w:szCs w:val="24"/>
              </w:rPr>
              <w:t xml:space="preserve">enacted on March 11, 2021, </w:t>
            </w:r>
            <w:r w:rsidRPr="00B66B55">
              <w:rPr>
                <w:szCs w:val="24"/>
              </w:rPr>
              <w:t>allocated $</w:t>
            </w:r>
            <w:r w:rsidR="002220CD">
              <w:rPr>
                <w:szCs w:val="24"/>
              </w:rPr>
              <w:t>24</w:t>
            </w:r>
            <w:r w:rsidRPr="00B66B55">
              <w:rPr>
                <w:szCs w:val="24"/>
              </w:rPr>
              <w:t xml:space="preserve"> billion for Child Care and Development Fund (CCDF) </w:t>
            </w:r>
            <w:r w:rsidR="009A1359">
              <w:rPr>
                <w:szCs w:val="24"/>
              </w:rPr>
              <w:t xml:space="preserve">lead </w:t>
            </w:r>
            <w:r w:rsidR="0010527B">
              <w:rPr>
                <w:szCs w:val="24"/>
              </w:rPr>
              <w:t>agencies</w:t>
            </w:r>
            <w:r w:rsidR="00B742A1">
              <w:rPr>
                <w:szCs w:val="24"/>
              </w:rPr>
              <w:t xml:space="preserve"> </w:t>
            </w:r>
            <w:r w:rsidRPr="00B66B55">
              <w:rPr>
                <w:szCs w:val="24"/>
              </w:rPr>
              <w:t xml:space="preserve">to </w:t>
            </w:r>
            <w:r w:rsidR="002220CD">
              <w:rPr>
                <w:szCs w:val="24"/>
              </w:rPr>
              <w:t xml:space="preserve">provide stabilization </w:t>
            </w:r>
            <w:r w:rsidR="00313FAE">
              <w:rPr>
                <w:szCs w:val="24"/>
              </w:rPr>
              <w:t>sub</w:t>
            </w:r>
            <w:r w:rsidR="002220CD">
              <w:rPr>
                <w:szCs w:val="24"/>
              </w:rPr>
              <w:t>grants to child care providers</w:t>
            </w:r>
            <w:r w:rsidR="00B742A1">
              <w:rPr>
                <w:szCs w:val="24"/>
              </w:rPr>
              <w:t>.</w:t>
            </w:r>
            <w:r w:rsidR="002220CD">
              <w:rPr>
                <w:szCs w:val="24"/>
              </w:rPr>
              <w:t xml:space="preserve"> The ARP Act </w:t>
            </w:r>
            <w:r w:rsidRPr="00B66B55">
              <w:rPr>
                <w:szCs w:val="24"/>
              </w:rPr>
              <w:t xml:space="preserve">requires </w:t>
            </w:r>
            <w:r w:rsidR="00B742A1">
              <w:rPr>
                <w:szCs w:val="24"/>
              </w:rPr>
              <w:t xml:space="preserve">CCDF lead agencies </w:t>
            </w:r>
            <w:r w:rsidRPr="00B66B55">
              <w:rPr>
                <w:szCs w:val="24"/>
              </w:rPr>
              <w:t xml:space="preserve">to </w:t>
            </w:r>
            <w:r w:rsidR="002220CD">
              <w:rPr>
                <w:szCs w:val="24"/>
              </w:rPr>
              <w:t xml:space="preserve">notify the </w:t>
            </w:r>
            <w:r w:rsidRPr="00B66B55">
              <w:rPr>
                <w:szCs w:val="24"/>
              </w:rPr>
              <w:t xml:space="preserve">Secretary of Health and Human Services (HHS) </w:t>
            </w:r>
            <w:r w:rsidR="002220CD">
              <w:rPr>
                <w:szCs w:val="24"/>
              </w:rPr>
              <w:t xml:space="preserve">if </w:t>
            </w:r>
            <w:r w:rsidR="008B5FD5">
              <w:rPr>
                <w:szCs w:val="24"/>
              </w:rPr>
              <w:t>they are</w:t>
            </w:r>
            <w:r w:rsidR="002220CD">
              <w:rPr>
                <w:szCs w:val="24"/>
              </w:rPr>
              <w:t xml:space="preserve"> unable to obligate at least 50 percent of the funds that are available for subgrants</w:t>
            </w:r>
            <w:r w:rsidR="00B742A1">
              <w:rPr>
                <w:szCs w:val="24"/>
              </w:rPr>
              <w:t xml:space="preserve"> within </w:t>
            </w:r>
            <w:r w:rsidR="002220CD">
              <w:rPr>
                <w:szCs w:val="24"/>
              </w:rPr>
              <w:t>9 months of enactment of the law</w:t>
            </w:r>
            <w:r w:rsidR="0010527B">
              <w:rPr>
                <w:szCs w:val="24"/>
              </w:rPr>
              <w:t>, which is</w:t>
            </w:r>
            <w:r w:rsidR="00B742A1">
              <w:rPr>
                <w:szCs w:val="24"/>
              </w:rPr>
              <w:t xml:space="preserve"> December 11</w:t>
            </w:r>
            <w:r w:rsidR="006B549C">
              <w:rPr>
                <w:szCs w:val="24"/>
              </w:rPr>
              <w:t>, 2021</w:t>
            </w:r>
            <w:r w:rsidR="008923CF">
              <w:rPr>
                <w:szCs w:val="24"/>
              </w:rPr>
              <w:t>.</w:t>
            </w:r>
          </w:p>
          <w:p w:rsidRPr="00B66B55" w:rsidR="007776D2" w:rsidP="008804F1" w:rsidRDefault="007776D2" w14:paraId="5008A811" w14:textId="77777777">
            <w:pPr>
              <w:rPr>
                <w:szCs w:val="24"/>
              </w:rPr>
            </w:pPr>
          </w:p>
        </w:tc>
      </w:tr>
      <w:tr w:rsidRPr="00B66B55" w:rsidR="00FA45ED" w:rsidTr="00CB482E" w14:paraId="30FD6B1E" w14:textId="77777777">
        <w:tc>
          <w:tcPr>
            <w:tcW w:w="1667" w:type="dxa"/>
          </w:tcPr>
          <w:p w:rsidRPr="00B66B55" w:rsidR="000E74B7" w:rsidP="00094274" w:rsidRDefault="000E74B7" w14:paraId="4C2A3ACA" w14:textId="77777777">
            <w:pPr>
              <w:rPr>
                <w:b/>
                <w:szCs w:val="24"/>
              </w:rPr>
            </w:pPr>
            <w:r w:rsidRPr="00B66B55">
              <w:rPr>
                <w:b/>
                <w:szCs w:val="24"/>
              </w:rPr>
              <w:t>Guidance:</w:t>
            </w:r>
          </w:p>
        </w:tc>
        <w:tc>
          <w:tcPr>
            <w:tcW w:w="8318" w:type="dxa"/>
          </w:tcPr>
          <w:p w:rsidR="000A7CAE" w:rsidP="0005382E" w:rsidRDefault="0022259D" w14:paraId="055EE419" w14:textId="31798BF2">
            <w:pPr>
              <w:rPr>
                <w:szCs w:val="24"/>
              </w:rPr>
            </w:pPr>
            <w:r>
              <w:rPr>
                <w:b/>
                <w:szCs w:val="24"/>
              </w:rPr>
              <w:t>Notification</w:t>
            </w:r>
            <w:r w:rsidRPr="00B66B55">
              <w:rPr>
                <w:b/>
                <w:szCs w:val="24"/>
              </w:rPr>
              <w:t xml:space="preserve"> </w:t>
            </w:r>
            <w:r w:rsidRPr="00B66B55" w:rsidR="0005382E">
              <w:rPr>
                <w:b/>
                <w:szCs w:val="24"/>
              </w:rPr>
              <w:t>Requirements:</w:t>
            </w:r>
            <w:r w:rsidRPr="00B66B55" w:rsidR="0005382E">
              <w:rPr>
                <w:szCs w:val="24"/>
              </w:rPr>
              <w:t xml:space="preserve"> </w:t>
            </w:r>
            <w:r w:rsidR="00F0270C">
              <w:rPr>
                <w:szCs w:val="24"/>
              </w:rPr>
              <w:t xml:space="preserve"> </w:t>
            </w:r>
            <w:r w:rsidR="008B5FD5">
              <w:rPr>
                <w:szCs w:val="24"/>
              </w:rPr>
              <w:t>If a state or territory CCDF lead agency is</w:t>
            </w:r>
            <w:r w:rsidR="000A7CAE">
              <w:rPr>
                <w:szCs w:val="24"/>
              </w:rPr>
              <w:t xml:space="preserve"> unable to obligate 50 percent of the ARP Act Stabilization funds available for subgrants</w:t>
            </w:r>
            <w:r w:rsidR="008B5FD5">
              <w:rPr>
                <w:szCs w:val="24"/>
              </w:rPr>
              <w:t xml:space="preserve"> by December 11, the lead agency must send an email notification to OCC</w:t>
            </w:r>
            <w:r w:rsidR="000A7CAE">
              <w:rPr>
                <w:szCs w:val="24"/>
              </w:rPr>
              <w:t xml:space="preserve">. The email </w:t>
            </w:r>
            <w:r w:rsidR="00F94529">
              <w:rPr>
                <w:szCs w:val="24"/>
              </w:rPr>
              <w:t xml:space="preserve">must include the percentage of ARP Act Stabilization funds available for subgrants that will be obligated by December 11 and </w:t>
            </w:r>
            <w:r w:rsidR="00793806">
              <w:rPr>
                <w:szCs w:val="24"/>
              </w:rPr>
              <w:t xml:space="preserve">must </w:t>
            </w:r>
            <w:r w:rsidR="000A7CAE">
              <w:rPr>
                <w:szCs w:val="24"/>
              </w:rPr>
              <w:t xml:space="preserve">be submitted by the state or territory </w:t>
            </w:r>
            <w:r w:rsidR="00313FAE">
              <w:rPr>
                <w:szCs w:val="24"/>
              </w:rPr>
              <w:t xml:space="preserve">CCDF </w:t>
            </w:r>
            <w:r w:rsidR="000A7CAE">
              <w:rPr>
                <w:szCs w:val="24"/>
              </w:rPr>
              <w:t xml:space="preserve">lead agency official who is authorized to report on behalf of the CCDF program. </w:t>
            </w:r>
            <w:r>
              <w:rPr>
                <w:szCs w:val="24"/>
              </w:rPr>
              <w:t>S</w:t>
            </w:r>
            <w:r w:rsidR="000A7CAE">
              <w:rPr>
                <w:szCs w:val="24"/>
              </w:rPr>
              <w:t xml:space="preserve">tate and territory CCDF lead agencies who </w:t>
            </w:r>
            <w:r>
              <w:rPr>
                <w:szCs w:val="24"/>
              </w:rPr>
              <w:t>will</w:t>
            </w:r>
            <w:r w:rsidR="000A7CAE">
              <w:rPr>
                <w:szCs w:val="24"/>
              </w:rPr>
              <w:t xml:space="preserve"> </w:t>
            </w:r>
            <w:r>
              <w:rPr>
                <w:szCs w:val="24"/>
              </w:rPr>
              <w:t xml:space="preserve">obligate 50 percent </w:t>
            </w:r>
            <w:r w:rsidR="00F94529">
              <w:rPr>
                <w:szCs w:val="24"/>
              </w:rPr>
              <w:t xml:space="preserve">of the </w:t>
            </w:r>
            <w:r>
              <w:rPr>
                <w:szCs w:val="24"/>
              </w:rPr>
              <w:t>ARP Act Stabilization funds</w:t>
            </w:r>
            <w:r w:rsidR="00F94529">
              <w:rPr>
                <w:szCs w:val="24"/>
              </w:rPr>
              <w:t xml:space="preserve"> available for subgrants</w:t>
            </w:r>
            <w:r>
              <w:rPr>
                <w:szCs w:val="24"/>
              </w:rPr>
              <w:t xml:space="preserve"> </w:t>
            </w:r>
            <w:r w:rsidR="007116FA">
              <w:rPr>
                <w:szCs w:val="24"/>
              </w:rPr>
              <w:t xml:space="preserve">by December 11, 2021, </w:t>
            </w:r>
            <w:r>
              <w:rPr>
                <w:szCs w:val="24"/>
              </w:rPr>
              <w:t xml:space="preserve">are not required to </w:t>
            </w:r>
            <w:r w:rsidR="000A7CAE">
              <w:rPr>
                <w:szCs w:val="24"/>
              </w:rPr>
              <w:t xml:space="preserve">submit an email notification. </w:t>
            </w:r>
          </w:p>
          <w:p w:rsidR="007A17DF" w:rsidP="0005382E" w:rsidRDefault="007A17DF" w14:paraId="1361EF57" w14:textId="391A8625">
            <w:pPr>
              <w:rPr>
                <w:szCs w:val="24"/>
              </w:rPr>
            </w:pPr>
          </w:p>
          <w:p w:rsidR="007A17DF" w:rsidP="007A17DF" w:rsidRDefault="007A17DF" w14:paraId="068FA777" w14:textId="250F9B97">
            <w:pPr>
              <w:rPr>
                <w:szCs w:val="24"/>
              </w:rPr>
            </w:pPr>
            <w:r w:rsidRPr="003C669C">
              <w:rPr>
                <w:b/>
                <w:bCs/>
                <w:szCs w:val="24"/>
              </w:rPr>
              <w:t>Submission</w:t>
            </w:r>
            <w:r>
              <w:rPr>
                <w:szCs w:val="24"/>
              </w:rPr>
              <w:t>: State and territory CCDF l</w:t>
            </w:r>
            <w:r w:rsidRPr="00B66B55">
              <w:rPr>
                <w:szCs w:val="24"/>
              </w:rPr>
              <w:t xml:space="preserve">ead agencies must </w:t>
            </w:r>
            <w:r w:rsidRPr="0007748F">
              <w:rPr>
                <w:b/>
                <w:szCs w:val="24"/>
                <w:u w:val="single"/>
              </w:rPr>
              <w:t>email</w:t>
            </w:r>
            <w:r w:rsidRPr="00B66B55">
              <w:rPr>
                <w:szCs w:val="24"/>
              </w:rPr>
              <w:t xml:space="preserve"> the OCC Regional Program Manager (RPM) a</w:t>
            </w:r>
            <w:r>
              <w:rPr>
                <w:szCs w:val="24"/>
              </w:rPr>
              <w:t xml:space="preserve"> notification from a CCDF lead agency official who is </w:t>
            </w:r>
            <w:r>
              <w:rPr>
                <w:szCs w:val="24"/>
              </w:rPr>
              <w:lastRenderedPageBreak/>
              <w:t>authorized to report on behalf of the CCDF program.</w:t>
            </w:r>
            <w:r w:rsidRPr="00B66B55">
              <w:rPr>
                <w:szCs w:val="24"/>
              </w:rPr>
              <w:t xml:space="preserve"> </w:t>
            </w:r>
            <w:r w:rsidR="00F94529">
              <w:rPr>
                <w:szCs w:val="24"/>
              </w:rPr>
              <w:t xml:space="preserve">The email must include the percentage of ARP Act Stabilization funds available for subgrants that the state or territory will obligate by December 11. </w:t>
            </w:r>
          </w:p>
          <w:p w:rsidR="007A17DF" w:rsidP="007A17DF" w:rsidRDefault="007A17DF" w14:paraId="192053EE" w14:textId="77777777">
            <w:pPr>
              <w:rPr>
                <w:b/>
                <w:bCs/>
                <w:szCs w:val="24"/>
              </w:rPr>
            </w:pPr>
          </w:p>
          <w:p w:rsidR="007A17DF" w:rsidP="007A17DF" w:rsidRDefault="007A17DF" w14:paraId="3529BB70" w14:textId="11657C46">
            <w:pPr>
              <w:rPr>
                <w:szCs w:val="24"/>
              </w:rPr>
            </w:pPr>
            <w:r w:rsidRPr="003C669C">
              <w:rPr>
                <w:b/>
                <w:bCs/>
                <w:szCs w:val="24"/>
              </w:rPr>
              <w:t xml:space="preserve">Submission Deadline: </w:t>
            </w:r>
            <w:r>
              <w:rPr>
                <w:szCs w:val="24"/>
              </w:rPr>
              <w:t xml:space="preserve">Email notifications from state and territory </w:t>
            </w:r>
            <w:r w:rsidRPr="00B66B55">
              <w:rPr>
                <w:szCs w:val="24"/>
              </w:rPr>
              <w:t xml:space="preserve">CCDF lead agencies </w:t>
            </w:r>
            <w:r>
              <w:rPr>
                <w:szCs w:val="24"/>
              </w:rPr>
              <w:t xml:space="preserve">unable to obligate 50 percent of the ARP Act Stabilization funds </w:t>
            </w:r>
            <w:r w:rsidR="00F94529">
              <w:rPr>
                <w:szCs w:val="24"/>
              </w:rPr>
              <w:t xml:space="preserve">available for subgrants </w:t>
            </w:r>
            <w:r>
              <w:rPr>
                <w:szCs w:val="24"/>
              </w:rPr>
              <w:t xml:space="preserve">by December 11, 2021 must be submitted no later than </w:t>
            </w:r>
            <w:r w:rsidR="00F94529">
              <w:rPr>
                <w:szCs w:val="24"/>
              </w:rPr>
              <w:t xml:space="preserve">Monday, </w:t>
            </w:r>
            <w:r>
              <w:rPr>
                <w:szCs w:val="24"/>
              </w:rPr>
              <w:t>December 6</w:t>
            </w:r>
            <w:r w:rsidRPr="00B66B55">
              <w:rPr>
                <w:szCs w:val="24"/>
              </w:rPr>
              <w:t>, 2021</w:t>
            </w:r>
            <w:r w:rsidR="007B27C9">
              <w:rPr>
                <w:szCs w:val="24"/>
              </w:rPr>
              <w:t>.</w:t>
            </w:r>
            <w:r>
              <w:rPr>
                <w:szCs w:val="24"/>
              </w:rPr>
              <w:t xml:space="preserve"> </w:t>
            </w:r>
          </w:p>
          <w:p w:rsidR="0005382E" w:rsidP="0005382E" w:rsidRDefault="0005382E" w14:paraId="322FD5E3" w14:textId="67311EC6">
            <w:pPr>
              <w:rPr>
                <w:szCs w:val="24"/>
              </w:rPr>
            </w:pPr>
          </w:p>
          <w:p w:rsidR="000A7CAE" w:rsidRDefault="00313FAE" w14:paraId="62768FF5" w14:textId="76648FA8">
            <w:pPr>
              <w:rPr>
                <w:szCs w:val="24"/>
              </w:rPr>
            </w:pPr>
            <w:r w:rsidRPr="004567F3">
              <w:rPr>
                <w:b/>
                <w:bCs/>
                <w:szCs w:val="24"/>
              </w:rPr>
              <w:t xml:space="preserve">Calculating the </w:t>
            </w:r>
            <w:r w:rsidR="00F94529">
              <w:rPr>
                <w:b/>
                <w:bCs/>
                <w:szCs w:val="24"/>
              </w:rPr>
              <w:t>Funds Available for Subgrants</w:t>
            </w:r>
            <w:r w:rsidRPr="004567F3">
              <w:rPr>
                <w:b/>
                <w:bCs/>
                <w:szCs w:val="24"/>
              </w:rPr>
              <w:t>:</w:t>
            </w:r>
            <w:r w:rsidRPr="004567F3">
              <w:rPr>
                <w:szCs w:val="24"/>
              </w:rPr>
              <w:t xml:space="preserve"> The ARP Act allows state and territory CCDF lead agencies to set aside up to 10 percent of the child care stabilization funds for administrative expenses, supply building, and technical assistance. Funds that CCDF lead agencies set aside for these activities should not be included in calculations for the obligation target. For example, if a CCDF lead agency was awarded </w:t>
            </w:r>
            <w:r w:rsidRPr="004567F3" w:rsidR="00F67B07">
              <w:rPr>
                <w:szCs w:val="24"/>
              </w:rPr>
              <w:t xml:space="preserve">$10 million in </w:t>
            </w:r>
            <w:r w:rsidR="00F94529">
              <w:rPr>
                <w:szCs w:val="24"/>
              </w:rPr>
              <w:t>ARP Act S</w:t>
            </w:r>
            <w:r w:rsidRPr="004567F3" w:rsidR="00F67B07">
              <w:rPr>
                <w:szCs w:val="24"/>
              </w:rPr>
              <w:t xml:space="preserve">tabilization funds, they could set aside up to $1 million for administrative expenses, supply building, and technical assistance. </w:t>
            </w:r>
            <w:r w:rsidR="0010527B">
              <w:rPr>
                <w:szCs w:val="24"/>
              </w:rPr>
              <w:t>In this case</w:t>
            </w:r>
            <w:r w:rsidRPr="004567F3" w:rsidR="00F67B07">
              <w:rPr>
                <w:szCs w:val="24"/>
              </w:rPr>
              <w:t xml:space="preserve">, the obligation target would be 50 percent of the amount </w:t>
            </w:r>
            <w:r w:rsidRPr="00F67B07" w:rsidR="00F67B07">
              <w:t xml:space="preserve">available for subgrants (i.e., 50 percent of $9 million). </w:t>
            </w:r>
            <w:r w:rsidRPr="00F67B07" w:rsidR="008C2E74">
              <w:rPr>
                <w:szCs w:val="24"/>
              </w:rPr>
              <w:t xml:space="preserve">OCC recognizes that CCDF lead agencies may not </w:t>
            </w:r>
            <w:r w:rsidRPr="004567F3" w:rsidR="00F67B07">
              <w:rPr>
                <w:szCs w:val="24"/>
              </w:rPr>
              <w:t xml:space="preserve">yet </w:t>
            </w:r>
            <w:r w:rsidRPr="00F67B07" w:rsidR="008C2E74">
              <w:rPr>
                <w:szCs w:val="24"/>
              </w:rPr>
              <w:t>have determined the amount to set</w:t>
            </w:r>
            <w:r w:rsidRPr="004567F3" w:rsidR="00F67B07">
              <w:rPr>
                <w:szCs w:val="24"/>
              </w:rPr>
              <w:t xml:space="preserve"> </w:t>
            </w:r>
            <w:r w:rsidRPr="00F67B07" w:rsidR="008C2E74">
              <w:rPr>
                <w:szCs w:val="24"/>
              </w:rPr>
              <w:t>aside</w:t>
            </w:r>
            <w:r w:rsidRPr="004567F3" w:rsidR="00F67B07">
              <w:rPr>
                <w:szCs w:val="24"/>
              </w:rPr>
              <w:t xml:space="preserve"> for these activities</w:t>
            </w:r>
            <w:r w:rsidRPr="00F67B07" w:rsidR="008C2E74">
              <w:rPr>
                <w:szCs w:val="24"/>
              </w:rPr>
              <w:t xml:space="preserve"> and recommends that CCDF lead agencies use their best estimate</w:t>
            </w:r>
            <w:r w:rsidR="0010527B">
              <w:rPr>
                <w:szCs w:val="24"/>
              </w:rPr>
              <w:t xml:space="preserve"> in calculating the funds that are available for subgrants</w:t>
            </w:r>
            <w:r w:rsidRPr="00F67B07" w:rsidR="008C2E74">
              <w:rPr>
                <w:szCs w:val="24"/>
              </w:rPr>
              <w:t>.</w:t>
            </w:r>
            <w:r w:rsidR="008C2E74">
              <w:rPr>
                <w:szCs w:val="24"/>
              </w:rPr>
              <w:t xml:space="preserve"> </w:t>
            </w:r>
          </w:p>
          <w:p w:rsidR="001B5D7E" w:rsidRDefault="001B5D7E" w14:paraId="0AE821BC" w14:textId="3CC193EE">
            <w:pPr>
              <w:rPr>
                <w:szCs w:val="24"/>
              </w:rPr>
            </w:pPr>
          </w:p>
          <w:p w:rsidR="001B5D7E" w:rsidRDefault="001B5D7E" w14:paraId="6954F21E" w14:textId="28916B27">
            <w:pPr>
              <w:rPr>
                <w:szCs w:val="24"/>
              </w:rPr>
            </w:pPr>
            <w:r w:rsidRPr="001B5D7E">
              <w:rPr>
                <w:szCs w:val="24"/>
              </w:rPr>
              <w:t xml:space="preserve">When determining whether ARP Act stabilization funds are “obligated,” lead agencies should use the definition they use for CCDF program funds. As required at </w:t>
            </w:r>
            <w:hyperlink w:tooltip="https://protect-us.mimecast.com/s/ORXCC2kQL0fZkPYHnlUMt?domain=ecfr.gov" w:history="1" r:id="rId8">
              <w:r w:rsidRPr="001B5D7E">
                <w:rPr>
                  <w:rStyle w:val="Hyperlink"/>
                  <w:szCs w:val="24"/>
                </w:rPr>
                <w:t>45 CFR 98.60(d)(4)(ii)</w:t>
              </w:r>
            </w:hyperlink>
            <w:r w:rsidRPr="001B5D7E">
              <w:rPr>
                <w:szCs w:val="24"/>
              </w:rPr>
              <w:t xml:space="preserve">, if the lead agency does not have an applicable requirement, the regulation at </w:t>
            </w:r>
            <w:hyperlink w:tooltip="https://protect-us.mimecast.com/s/7wVFC31PMAs9m6kTqkBel?domain=ecfr.gov" w:history="1" r:id="rId9">
              <w:r w:rsidRPr="001B5D7E">
                <w:rPr>
                  <w:rStyle w:val="Hyperlink"/>
                  <w:szCs w:val="24"/>
                </w:rPr>
                <w:t>45 CFR 75.2</w:t>
              </w:r>
            </w:hyperlink>
            <w:r w:rsidRPr="001B5D7E">
              <w:rPr>
                <w:szCs w:val="24"/>
              </w:rPr>
              <w:t>, Expenditures and Obligations, applies.</w:t>
            </w:r>
          </w:p>
          <w:p w:rsidR="000A7CAE" w:rsidP="0005382E" w:rsidRDefault="000A7CAE" w14:paraId="623464BD" w14:textId="0F099063">
            <w:pPr>
              <w:rPr>
                <w:szCs w:val="24"/>
              </w:rPr>
            </w:pPr>
          </w:p>
          <w:p w:rsidR="0005382E" w:rsidP="0005382E" w:rsidRDefault="002D2388" w14:paraId="12472BFF" w14:textId="139F3551">
            <w:pPr>
              <w:rPr>
                <w:szCs w:val="24"/>
              </w:rPr>
            </w:pPr>
            <w:r w:rsidRPr="004567F3">
              <w:rPr>
                <w:b/>
                <w:bCs/>
                <w:szCs w:val="24"/>
              </w:rPr>
              <w:t xml:space="preserve">Notification </w:t>
            </w:r>
            <w:r w:rsidRPr="00B66B55" w:rsidR="0005382E">
              <w:rPr>
                <w:b/>
                <w:szCs w:val="24"/>
              </w:rPr>
              <w:t>Acceptance</w:t>
            </w:r>
            <w:r w:rsidRPr="00B66B55" w:rsidR="0005382E">
              <w:rPr>
                <w:szCs w:val="24"/>
              </w:rPr>
              <w:t>:</w:t>
            </w:r>
            <w:r w:rsidR="00F0270C">
              <w:rPr>
                <w:szCs w:val="24"/>
              </w:rPr>
              <w:t xml:space="preserve"> </w:t>
            </w:r>
            <w:r w:rsidRPr="00B66B55" w:rsidR="0005382E">
              <w:rPr>
                <w:szCs w:val="24"/>
              </w:rPr>
              <w:t xml:space="preserve"> OCC will confirm receipt and acceptance of the </w:t>
            </w:r>
            <w:r w:rsidR="0022259D">
              <w:rPr>
                <w:szCs w:val="24"/>
              </w:rPr>
              <w:t xml:space="preserve">notification </w:t>
            </w:r>
            <w:r w:rsidR="00CD2626">
              <w:rPr>
                <w:szCs w:val="24"/>
              </w:rPr>
              <w:t xml:space="preserve">and may follow up with </w:t>
            </w:r>
            <w:r w:rsidR="0022259D">
              <w:rPr>
                <w:szCs w:val="24"/>
              </w:rPr>
              <w:t xml:space="preserve">state and territory </w:t>
            </w:r>
            <w:r w:rsidR="00F67B07">
              <w:rPr>
                <w:szCs w:val="24"/>
              </w:rPr>
              <w:t xml:space="preserve">CCDF </w:t>
            </w:r>
            <w:r w:rsidR="00CD2626">
              <w:rPr>
                <w:szCs w:val="24"/>
              </w:rPr>
              <w:t xml:space="preserve">lead agencies to identify </w:t>
            </w:r>
            <w:r w:rsidR="0022259D">
              <w:rPr>
                <w:szCs w:val="24"/>
              </w:rPr>
              <w:t xml:space="preserve">and provide technical assistance for </w:t>
            </w:r>
            <w:r w:rsidR="00CD2626">
              <w:rPr>
                <w:szCs w:val="24"/>
              </w:rPr>
              <w:t xml:space="preserve">barriers </w:t>
            </w:r>
            <w:r w:rsidR="0022259D">
              <w:rPr>
                <w:szCs w:val="24"/>
              </w:rPr>
              <w:t>in</w:t>
            </w:r>
            <w:r w:rsidR="00CD2626">
              <w:rPr>
                <w:szCs w:val="24"/>
              </w:rPr>
              <w:t xml:space="preserve"> obligating the funds</w:t>
            </w:r>
            <w:r w:rsidR="0022259D">
              <w:rPr>
                <w:szCs w:val="24"/>
              </w:rPr>
              <w:t>.</w:t>
            </w:r>
          </w:p>
          <w:p w:rsidR="00581BDE" w:rsidP="0005382E" w:rsidRDefault="00581BDE" w14:paraId="319CC88D" w14:textId="499692C5">
            <w:pPr>
              <w:rPr>
                <w:szCs w:val="24"/>
              </w:rPr>
            </w:pPr>
          </w:p>
          <w:p w:rsidR="008C2E74" w:rsidP="0005382E" w:rsidRDefault="00511243" w14:paraId="40B77759" w14:textId="19A7C12C">
            <w:pPr>
              <w:rPr>
                <w:szCs w:val="24"/>
              </w:rPr>
            </w:pPr>
            <w:r w:rsidRPr="003C669C">
              <w:rPr>
                <w:b/>
                <w:bCs/>
                <w:szCs w:val="24"/>
              </w:rPr>
              <w:t>Use of Data:</w:t>
            </w:r>
            <w:r>
              <w:rPr>
                <w:szCs w:val="24"/>
              </w:rPr>
              <w:t xml:space="preserve"> </w:t>
            </w:r>
            <w:r>
              <w:t>The ARP Act does not require CCDF lead agencies to return funds unobligated by December 11.</w:t>
            </w:r>
            <w:r w:rsidR="001A42D1">
              <w:t xml:space="preserve"> OCC will use this information to target technical assistance (TA) to states and territories that have not made progress on obligating APR Act </w:t>
            </w:r>
            <w:r w:rsidR="007116FA">
              <w:t xml:space="preserve">stabilization </w:t>
            </w:r>
            <w:r w:rsidR="001A42D1">
              <w:t>funds.</w:t>
            </w:r>
            <w:r w:rsidR="00F94529">
              <w:t xml:space="preserve"> </w:t>
            </w:r>
            <w:r w:rsidR="001A2F44">
              <w:t>The</w:t>
            </w:r>
            <w:r w:rsidR="00F94529">
              <w:t xml:space="preserve"> percentage of </w:t>
            </w:r>
            <w:r w:rsidR="00F46839">
              <w:t xml:space="preserve">ARP Act </w:t>
            </w:r>
            <w:r w:rsidR="00F94529">
              <w:t>Stabilization funds available for subgrant</w:t>
            </w:r>
            <w:r w:rsidR="00F73ADC">
              <w:t>s</w:t>
            </w:r>
            <w:r w:rsidR="001A2F44">
              <w:t xml:space="preserve"> will allow </w:t>
            </w:r>
            <w:r w:rsidR="00F94529">
              <w:t xml:space="preserve">OCC </w:t>
            </w:r>
            <w:r w:rsidR="001A2F44">
              <w:t>to target TA resources among the states and territories who have not met the obligation target.</w:t>
            </w:r>
            <w:r>
              <w:rPr>
                <w:szCs w:val="24"/>
              </w:rPr>
              <w:br/>
            </w:r>
          </w:p>
          <w:p w:rsidR="00511243" w:rsidP="0005382E" w:rsidRDefault="002D2388" w14:paraId="673C9350" w14:textId="2C14255F">
            <w:pPr>
              <w:rPr>
                <w:szCs w:val="24"/>
              </w:rPr>
            </w:pPr>
            <w:r>
              <w:rPr>
                <w:b/>
                <w:bCs/>
                <w:szCs w:val="24"/>
              </w:rPr>
              <w:t>Notification</w:t>
            </w:r>
            <w:r w:rsidRPr="004567F3" w:rsidR="00CD2626">
              <w:rPr>
                <w:b/>
                <w:bCs/>
                <w:szCs w:val="24"/>
              </w:rPr>
              <w:t xml:space="preserve"> Verification:</w:t>
            </w:r>
            <w:r w:rsidR="00CD2626">
              <w:rPr>
                <w:szCs w:val="24"/>
              </w:rPr>
              <w:t xml:space="preserve"> </w:t>
            </w:r>
            <w:bookmarkStart w:name="_Hlk86661607" w:id="5"/>
            <w:r w:rsidR="00CD2626">
              <w:rPr>
                <w:szCs w:val="24"/>
              </w:rPr>
              <w:t>State and territory CCDF lead agencies are required to submit the ACF-696 financial reporting form</w:t>
            </w:r>
            <w:r w:rsidR="0050122F">
              <w:rPr>
                <w:rStyle w:val="FootnoteReference"/>
                <w:szCs w:val="24"/>
              </w:rPr>
              <w:footnoteReference w:id="2"/>
            </w:r>
            <w:r w:rsidR="00CD2626">
              <w:rPr>
                <w:szCs w:val="24"/>
              </w:rPr>
              <w:t xml:space="preserve"> </w:t>
            </w:r>
            <w:r w:rsidRPr="004567F3" w:rsidR="00CD2626">
              <w:rPr>
                <w:szCs w:val="24"/>
              </w:rPr>
              <w:t xml:space="preserve">30 days after </w:t>
            </w:r>
            <w:r w:rsidR="00CD2626">
              <w:rPr>
                <w:szCs w:val="24"/>
              </w:rPr>
              <w:t>the end of the fiscal quarter</w:t>
            </w:r>
            <w:bookmarkEnd w:id="5"/>
            <w:r w:rsidR="00CD2626">
              <w:rPr>
                <w:szCs w:val="24"/>
              </w:rPr>
              <w:t xml:space="preserve">. </w:t>
            </w:r>
            <w:r w:rsidR="00511243">
              <w:rPr>
                <w:szCs w:val="24"/>
              </w:rPr>
              <w:t xml:space="preserve">OCC will use two pieces of information from the </w:t>
            </w:r>
            <w:r w:rsidR="00CD2626">
              <w:rPr>
                <w:szCs w:val="24"/>
              </w:rPr>
              <w:t>ACF-696 report due on January 31</w:t>
            </w:r>
            <w:r w:rsidR="00F67B07">
              <w:rPr>
                <w:szCs w:val="24"/>
              </w:rPr>
              <w:t>, 2022,</w:t>
            </w:r>
            <w:r w:rsidR="00CD2626">
              <w:rPr>
                <w:szCs w:val="24"/>
              </w:rPr>
              <w:t xml:space="preserve"> for the period ending December 31</w:t>
            </w:r>
            <w:r w:rsidR="00F67B07">
              <w:rPr>
                <w:szCs w:val="24"/>
              </w:rPr>
              <w:t>, 2021</w:t>
            </w:r>
            <w:r w:rsidR="00511243">
              <w:rPr>
                <w:szCs w:val="24"/>
              </w:rPr>
              <w:t>.</w:t>
            </w:r>
          </w:p>
          <w:p w:rsidR="00511243" w:rsidP="0005382E" w:rsidRDefault="00511243" w14:paraId="1A96D4C4" w14:textId="77777777">
            <w:pPr>
              <w:rPr>
                <w:szCs w:val="24"/>
              </w:rPr>
            </w:pPr>
          </w:p>
          <w:p w:rsidR="00511243" w:rsidP="00511243" w:rsidRDefault="00511243" w14:paraId="29324DD0" w14:textId="5D20BA8E">
            <w:pPr>
              <w:pStyle w:val="ListParagraph"/>
              <w:numPr>
                <w:ilvl w:val="0"/>
                <w:numId w:val="18"/>
              </w:numPr>
              <w:rPr>
                <w:rFonts w:ascii="Times New Roman" w:hAnsi="Times New Roman"/>
                <w:sz w:val="24"/>
                <w:szCs w:val="24"/>
              </w:rPr>
            </w:pPr>
            <w:r w:rsidRPr="003C669C">
              <w:rPr>
                <w:rFonts w:ascii="Times New Roman" w:hAnsi="Times New Roman"/>
                <w:sz w:val="24"/>
                <w:szCs w:val="24"/>
              </w:rPr>
              <w:lastRenderedPageBreak/>
              <w:t>A question has been added to the ACF-696 for</w:t>
            </w:r>
            <w:r w:rsidR="00FF0CD5">
              <w:rPr>
                <w:rFonts w:ascii="Times New Roman" w:hAnsi="Times New Roman"/>
                <w:sz w:val="24"/>
                <w:szCs w:val="24"/>
              </w:rPr>
              <w:t>m</w:t>
            </w:r>
            <w:r w:rsidRPr="003C669C">
              <w:rPr>
                <w:rFonts w:ascii="Times New Roman" w:hAnsi="Times New Roman"/>
                <w:sz w:val="24"/>
                <w:szCs w:val="24"/>
              </w:rPr>
              <w:t xml:space="preserve"> to ask,</w:t>
            </w:r>
            <w:r w:rsidRPr="003C669C" w:rsidR="00CD2626">
              <w:rPr>
                <w:rFonts w:ascii="Times New Roman" w:hAnsi="Times New Roman"/>
                <w:sz w:val="24"/>
                <w:szCs w:val="24"/>
              </w:rPr>
              <w:t xml:space="preserve"> “Was the </w:t>
            </w:r>
            <w:r w:rsidRPr="003C669C" w:rsidR="00F67B07">
              <w:rPr>
                <w:rFonts w:ascii="Times New Roman" w:hAnsi="Times New Roman"/>
                <w:sz w:val="24"/>
                <w:szCs w:val="24"/>
              </w:rPr>
              <w:t>s</w:t>
            </w:r>
            <w:r w:rsidRPr="003C669C" w:rsidR="00CD2626">
              <w:rPr>
                <w:rFonts w:ascii="Times New Roman" w:hAnsi="Times New Roman"/>
                <w:sz w:val="24"/>
                <w:szCs w:val="24"/>
              </w:rPr>
              <w:t xml:space="preserve">tate or </w:t>
            </w:r>
            <w:r w:rsidRPr="003C669C" w:rsidR="00F67B07">
              <w:rPr>
                <w:rFonts w:ascii="Times New Roman" w:hAnsi="Times New Roman"/>
                <w:sz w:val="24"/>
                <w:szCs w:val="24"/>
              </w:rPr>
              <w:t>t</w:t>
            </w:r>
            <w:r w:rsidRPr="003C669C" w:rsidR="00CD2626">
              <w:rPr>
                <w:rFonts w:ascii="Times New Roman" w:hAnsi="Times New Roman"/>
                <w:sz w:val="24"/>
                <w:szCs w:val="24"/>
              </w:rPr>
              <w:t>erritory unable to obligate at least 50</w:t>
            </w:r>
            <w:r w:rsidRPr="003C669C" w:rsidR="00F67B07">
              <w:rPr>
                <w:rFonts w:ascii="Times New Roman" w:hAnsi="Times New Roman"/>
                <w:sz w:val="24"/>
                <w:szCs w:val="24"/>
              </w:rPr>
              <w:t xml:space="preserve"> percent</w:t>
            </w:r>
            <w:r w:rsidRPr="003C669C" w:rsidR="00CD2626">
              <w:rPr>
                <w:rFonts w:ascii="Times New Roman" w:hAnsi="Times New Roman"/>
                <w:sz w:val="24"/>
                <w:szCs w:val="24"/>
              </w:rPr>
              <w:t xml:space="preserve"> of the CCDF stabilization grants by December 11, 2021?” </w:t>
            </w:r>
            <w:r>
              <w:rPr>
                <w:rFonts w:ascii="Times New Roman" w:hAnsi="Times New Roman"/>
                <w:sz w:val="24"/>
                <w:szCs w:val="24"/>
              </w:rPr>
              <w:t>States and territories should respond to this question based on the obligation status of the stabilization funds on December 11, 2021. For example</w:t>
            </w:r>
            <w:r w:rsidR="00F11259">
              <w:rPr>
                <w:rFonts w:ascii="Times New Roman" w:hAnsi="Times New Roman"/>
                <w:sz w:val="24"/>
                <w:szCs w:val="24"/>
              </w:rPr>
              <w:t>,</w:t>
            </w:r>
            <w:r>
              <w:rPr>
                <w:rFonts w:ascii="Times New Roman" w:hAnsi="Times New Roman"/>
                <w:sz w:val="24"/>
                <w:szCs w:val="24"/>
              </w:rPr>
              <w:t xml:space="preserve"> if a state obligated 25 percent of the stabilization funds available for subgrants by December 11, 2021, but obligated 50 percent of the funds by December 31, 2021, the state should mark “Yes” for this question. </w:t>
            </w:r>
          </w:p>
          <w:p w:rsidR="00511243" w:rsidP="003C669C" w:rsidRDefault="00511243" w14:paraId="5A2D643E" w14:textId="77777777">
            <w:pPr>
              <w:pStyle w:val="ListParagraph"/>
              <w:rPr>
                <w:rFonts w:ascii="Times New Roman" w:hAnsi="Times New Roman"/>
                <w:sz w:val="24"/>
                <w:szCs w:val="24"/>
              </w:rPr>
            </w:pPr>
          </w:p>
          <w:p w:rsidRPr="003C669C" w:rsidR="001A42D1" w:rsidP="003C669C" w:rsidRDefault="00CD2626" w14:paraId="0D872110" w14:textId="0E939588">
            <w:pPr>
              <w:pStyle w:val="ListParagraph"/>
              <w:numPr>
                <w:ilvl w:val="0"/>
                <w:numId w:val="18"/>
              </w:numPr>
              <w:rPr>
                <w:rFonts w:ascii="Times New Roman" w:hAnsi="Times New Roman"/>
                <w:sz w:val="24"/>
                <w:szCs w:val="24"/>
              </w:rPr>
            </w:pPr>
            <w:r w:rsidRPr="001A42D1">
              <w:rPr>
                <w:rFonts w:ascii="Times New Roman" w:hAnsi="Times New Roman"/>
                <w:sz w:val="24"/>
                <w:szCs w:val="24"/>
              </w:rPr>
              <w:t xml:space="preserve">OCC will </w:t>
            </w:r>
            <w:r w:rsidR="001A42D1">
              <w:rPr>
                <w:rFonts w:ascii="Times New Roman" w:hAnsi="Times New Roman"/>
                <w:sz w:val="24"/>
                <w:szCs w:val="24"/>
              </w:rPr>
              <w:t xml:space="preserve">monitor </w:t>
            </w:r>
            <w:r w:rsidRPr="001A42D1" w:rsidR="001A42D1">
              <w:rPr>
                <w:rFonts w:ascii="Times New Roman" w:hAnsi="Times New Roman"/>
                <w:sz w:val="24"/>
                <w:szCs w:val="24"/>
              </w:rPr>
              <w:t xml:space="preserve">the dollar amount of </w:t>
            </w:r>
            <w:r w:rsidR="001A42D1">
              <w:rPr>
                <w:rFonts w:ascii="Times New Roman" w:hAnsi="Times New Roman"/>
                <w:sz w:val="24"/>
                <w:szCs w:val="24"/>
              </w:rPr>
              <w:t xml:space="preserve">ARP Act </w:t>
            </w:r>
            <w:r w:rsidRPr="001A42D1" w:rsidR="001A42D1">
              <w:rPr>
                <w:rFonts w:ascii="Times New Roman" w:hAnsi="Times New Roman"/>
                <w:sz w:val="24"/>
                <w:szCs w:val="24"/>
              </w:rPr>
              <w:t xml:space="preserve">stabilization funds </w:t>
            </w:r>
            <w:r w:rsidR="001A42D1">
              <w:rPr>
                <w:rFonts w:ascii="Times New Roman" w:hAnsi="Times New Roman"/>
                <w:sz w:val="24"/>
                <w:szCs w:val="24"/>
              </w:rPr>
              <w:t xml:space="preserve">that have been obligated to identify any needs for targeted TA. </w:t>
            </w:r>
            <w:r w:rsidR="00F11259">
              <w:rPr>
                <w:rFonts w:ascii="Times New Roman" w:hAnsi="Times New Roman"/>
                <w:sz w:val="24"/>
                <w:szCs w:val="24"/>
              </w:rPr>
              <w:t xml:space="preserve">OCC recognizes that states and territories that </w:t>
            </w:r>
            <w:r w:rsidR="008822C6">
              <w:rPr>
                <w:rFonts w:ascii="Times New Roman" w:hAnsi="Times New Roman"/>
                <w:sz w:val="24"/>
                <w:szCs w:val="24"/>
              </w:rPr>
              <w:t>were unable to obligate 50 percent of the ARP Act stabilization funds available for subgrants may have done so by December 31, 2021.</w:t>
            </w:r>
          </w:p>
          <w:p w:rsidRPr="003C669C" w:rsidR="001A42D1" w:rsidP="00F11259" w:rsidRDefault="001A42D1" w14:paraId="4053503B" w14:textId="77777777">
            <w:pPr>
              <w:rPr>
                <w:szCs w:val="24"/>
              </w:rPr>
            </w:pPr>
          </w:p>
          <w:p w:rsidRPr="004567F3" w:rsidR="002D2388" w:rsidP="0005382E" w:rsidRDefault="002D2388" w14:paraId="5A3302B0" w14:textId="205D2C74">
            <w:pPr>
              <w:rPr>
                <w:szCs w:val="24"/>
              </w:rPr>
            </w:pPr>
            <w:r w:rsidRPr="004567F3">
              <w:rPr>
                <w:b/>
                <w:bCs/>
              </w:rPr>
              <w:t xml:space="preserve">Unobligated Funds: </w:t>
            </w:r>
            <w:r>
              <w:t xml:space="preserve">The ARP Act does not require </w:t>
            </w:r>
            <w:r w:rsidR="00F67B07">
              <w:t xml:space="preserve">CCDF </w:t>
            </w:r>
            <w:r>
              <w:t xml:space="preserve">lead agencies to return funds unobligated by December 11. </w:t>
            </w:r>
            <w:r w:rsidR="00D05838">
              <w:t>However, s</w:t>
            </w:r>
            <w:r w:rsidRPr="00D05838" w:rsidR="00D05838">
              <w:t xml:space="preserve">tate </w:t>
            </w:r>
            <w:r w:rsidR="00F67B07">
              <w:t xml:space="preserve">CCDF </w:t>
            </w:r>
            <w:r w:rsidRPr="00D05838" w:rsidR="00D05838">
              <w:t xml:space="preserve">lead agencies must notify </w:t>
            </w:r>
            <w:r w:rsidR="00F67B07">
              <w:t>OCC</w:t>
            </w:r>
            <w:r w:rsidRPr="00D05838" w:rsidR="00D05838">
              <w:t xml:space="preserve"> by April 1, 2022,</w:t>
            </w:r>
            <w:r w:rsidR="001A2F44">
              <w:rPr>
                <w:rStyle w:val="FootnoteReference"/>
              </w:rPr>
              <w:footnoteReference w:id="3"/>
            </w:r>
            <w:r w:rsidRPr="00D05838" w:rsidR="00D05838">
              <w:t xml:space="preserve"> if they will be unable to obligate any part of their ARP </w:t>
            </w:r>
            <w:r w:rsidR="00F67B07">
              <w:t>Act s</w:t>
            </w:r>
            <w:r w:rsidRPr="00D05838" w:rsidR="00D05838">
              <w:t>tabilization funds by September 30, 2022.</w:t>
            </w:r>
            <w:r w:rsidR="00D05838">
              <w:rPr>
                <w:rStyle w:val="FootnoteReference"/>
              </w:rPr>
              <w:footnoteReference w:id="4"/>
            </w:r>
            <w:r w:rsidRPr="00D05838" w:rsidR="00D05838">
              <w:t xml:space="preserve"> In accordance with 45 CFR 98.64, in most cases, </w:t>
            </w:r>
            <w:r w:rsidR="007116FA">
              <w:t xml:space="preserve">OCC </w:t>
            </w:r>
            <w:r w:rsidR="006C6651">
              <w:t>will</w:t>
            </w:r>
            <w:r w:rsidR="007116FA">
              <w:t xml:space="preserve"> reallot </w:t>
            </w:r>
            <w:r w:rsidRPr="00D05838" w:rsidR="00D05838">
              <w:t xml:space="preserve">unobligated state </w:t>
            </w:r>
            <w:r w:rsidR="009A1359">
              <w:t xml:space="preserve">CCDF program </w:t>
            </w:r>
            <w:r w:rsidRPr="00D05838" w:rsidR="00D05838">
              <w:t>funds identified by the April 1 deadline to other state</w:t>
            </w:r>
            <w:r w:rsidR="009A1359">
              <w:t xml:space="preserve"> CCDF lead agencie</w:t>
            </w:r>
            <w:r w:rsidRPr="00D05838" w:rsidR="00D05838">
              <w:t>s in proportion to their original allotments.</w:t>
            </w:r>
            <w:r w:rsidR="00D05838">
              <w:rPr>
                <w:rStyle w:val="FootnoteReference"/>
              </w:rPr>
              <w:footnoteReference w:id="5"/>
            </w:r>
            <w:r w:rsidRPr="00D05838" w:rsidR="00D05838">
              <w:t xml:space="preserve"> To be eligible to receive reallot</w:t>
            </w:r>
            <w:r w:rsidR="00D05838">
              <w:t>t</w:t>
            </w:r>
            <w:r w:rsidRPr="00D05838" w:rsidR="00D05838">
              <w:t xml:space="preserve">ed </w:t>
            </w:r>
            <w:r w:rsidR="009A1359">
              <w:t xml:space="preserve">CCDF program </w:t>
            </w:r>
            <w:r w:rsidRPr="00D05838" w:rsidR="00D05838">
              <w:t>funds, state</w:t>
            </w:r>
            <w:r w:rsidR="00F67B07">
              <w:t xml:space="preserve"> CCDF lead agencies</w:t>
            </w:r>
            <w:r w:rsidRPr="00D05838" w:rsidR="00D05838">
              <w:t xml:space="preserve"> must indicate their interest on their ACF-696 quarterly report due April 30, 2022.</w:t>
            </w:r>
          </w:p>
          <w:p w:rsidRPr="00B66B55" w:rsidR="004B0A7A" w:rsidRDefault="004B0A7A" w14:paraId="3151FA55" w14:textId="5F707E5F">
            <w:pPr>
              <w:rPr>
                <w:szCs w:val="24"/>
              </w:rPr>
            </w:pPr>
          </w:p>
        </w:tc>
      </w:tr>
      <w:tr w:rsidRPr="00B66B55" w:rsidR="00FA45ED" w:rsidTr="004567F3" w14:paraId="5EEDE9D2" w14:textId="77777777">
        <w:trPr>
          <w:trHeight w:val="990"/>
        </w:trPr>
        <w:tc>
          <w:tcPr>
            <w:tcW w:w="1667" w:type="dxa"/>
          </w:tcPr>
          <w:p w:rsidRPr="00B66B55" w:rsidR="000E74B7" w:rsidP="00F0270C" w:rsidRDefault="000E74B7" w14:paraId="727BEC27" w14:textId="02F19555">
            <w:pPr>
              <w:rPr>
                <w:b/>
                <w:szCs w:val="24"/>
              </w:rPr>
            </w:pPr>
            <w:r w:rsidRPr="00B66B55">
              <w:rPr>
                <w:b/>
                <w:szCs w:val="24"/>
              </w:rPr>
              <w:lastRenderedPageBreak/>
              <w:t>Resources</w:t>
            </w:r>
            <w:r w:rsidRPr="00B66B55" w:rsidR="00763ED2">
              <w:rPr>
                <w:b/>
                <w:szCs w:val="24"/>
              </w:rPr>
              <w:t>:</w:t>
            </w:r>
          </w:p>
        </w:tc>
        <w:tc>
          <w:tcPr>
            <w:tcW w:w="8318" w:type="dxa"/>
          </w:tcPr>
          <w:p w:rsidR="00CB482E" w:rsidP="002B7324" w:rsidRDefault="003174EB" w14:paraId="02269493" w14:textId="7D5F1298">
            <w:pPr>
              <w:numPr>
                <w:ilvl w:val="0"/>
                <w:numId w:val="3"/>
              </w:numPr>
              <w:rPr>
                <w:szCs w:val="24"/>
              </w:rPr>
            </w:pPr>
            <w:r>
              <w:rPr>
                <w:szCs w:val="24"/>
              </w:rPr>
              <w:t>American Rescue Plan Act</w:t>
            </w:r>
          </w:p>
          <w:p w:rsidR="00343B59" w:rsidP="00CB482E" w:rsidRDefault="00343B59" w14:paraId="5FC5B83F" w14:textId="76F59811">
            <w:pPr>
              <w:rPr>
                <w:szCs w:val="24"/>
              </w:rPr>
            </w:pPr>
            <w:r w:rsidRPr="001A3299">
              <w:rPr>
                <w:szCs w:val="24"/>
              </w:rPr>
              <w:t xml:space="preserve">      </w:t>
            </w:r>
            <w:hyperlink w:history="1" r:id="rId10">
              <w:r w:rsidRPr="001A3299">
                <w:rPr>
                  <w:rStyle w:val="Hyperlink"/>
                  <w:szCs w:val="24"/>
                </w:rPr>
                <w:t>https://www.congress.gov/117/plaws/publ2/PLAW-117publ2.pdf</w:t>
              </w:r>
            </w:hyperlink>
          </w:p>
          <w:p w:rsidRPr="001A3299" w:rsidR="00343B59" w:rsidP="002B7324" w:rsidRDefault="000E74B7" w14:paraId="17F84831" w14:textId="362A0CAF">
            <w:pPr>
              <w:numPr>
                <w:ilvl w:val="0"/>
                <w:numId w:val="3"/>
              </w:numPr>
              <w:rPr>
                <w:rStyle w:val="Hyperlink"/>
                <w:color w:val="auto"/>
                <w:szCs w:val="24"/>
                <w:u w:val="none"/>
              </w:rPr>
            </w:pPr>
            <w:r w:rsidRPr="00B66B55">
              <w:rPr>
                <w:szCs w:val="24"/>
              </w:rPr>
              <w:t>CCDF Final Regulations (</w:t>
            </w:r>
            <w:r w:rsidRPr="00B66B55" w:rsidR="00D43A95">
              <w:rPr>
                <w:szCs w:val="24"/>
              </w:rPr>
              <w:t>2016</w:t>
            </w:r>
            <w:r w:rsidRPr="00B66B55">
              <w:rPr>
                <w:szCs w:val="24"/>
              </w:rPr>
              <w:t xml:space="preserve">) </w:t>
            </w:r>
            <w:hyperlink w:history="1" r:id="rId11">
              <w:r w:rsidRPr="00EB7C57" w:rsidR="00343B59">
                <w:rPr>
                  <w:rStyle w:val="Hyperlink"/>
                  <w:szCs w:val="24"/>
                </w:rPr>
                <w:t>https://www.acf.hhs.gov/sites/default/files/documents/occ/ccdf_tracked_changes_of_existing_regulations.pdf</w:t>
              </w:r>
            </w:hyperlink>
          </w:p>
          <w:p w:rsidRPr="00B66B55" w:rsidR="000E74B7" w:rsidP="001A3299" w:rsidRDefault="00343B59" w14:paraId="3041410F" w14:textId="5664A505">
            <w:pPr>
              <w:numPr>
                <w:ilvl w:val="0"/>
                <w:numId w:val="3"/>
              </w:numPr>
              <w:tabs>
                <w:tab w:val="clear" w:pos="360"/>
                <w:tab w:val="num" w:pos="300"/>
              </w:tabs>
              <w:rPr>
                <w:szCs w:val="24"/>
              </w:rPr>
            </w:pPr>
            <w:r w:rsidDel="00343B59">
              <w:t xml:space="preserve"> </w:t>
            </w:r>
            <w:r w:rsidRPr="00B66B55" w:rsidR="000E74B7">
              <w:rPr>
                <w:szCs w:val="24"/>
              </w:rPr>
              <w:t>CCDBG Law (</w:t>
            </w:r>
            <w:r w:rsidRPr="00B66B55" w:rsidR="00D43A95">
              <w:rPr>
                <w:szCs w:val="24"/>
              </w:rPr>
              <w:t>2014</w:t>
            </w:r>
            <w:r w:rsidRPr="00B66B55" w:rsidR="000E74B7">
              <w:rPr>
                <w:szCs w:val="24"/>
              </w:rPr>
              <w:t xml:space="preserve">) </w:t>
            </w:r>
          </w:p>
          <w:p w:rsidR="00343B59" w:rsidP="00343B59" w:rsidRDefault="003A4778" w14:paraId="5294CD4F" w14:textId="51896B84">
            <w:pPr>
              <w:ind w:left="360"/>
              <w:rPr>
                <w:rStyle w:val="Hyperlink"/>
                <w:szCs w:val="24"/>
              </w:rPr>
            </w:pPr>
            <w:hyperlink w:history="1" r:id="rId12">
              <w:r w:rsidRPr="00EB7C57" w:rsidR="00343B59">
                <w:rPr>
                  <w:rStyle w:val="Hyperlink"/>
                  <w:szCs w:val="24"/>
                </w:rPr>
                <w:t>https://www.acf.hhs.gov/sites/default/files/documents/occ/child_care_and_development_block_grant_markup.pdf</w:t>
              </w:r>
            </w:hyperlink>
          </w:p>
          <w:p w:rsidRPr="00B66B55" w:rsidR="00F67B07" w:rsidP="001A3299" w:rsidRDefault="00343B59" w14:paraId="38BA5223" w14:textId="3CA27397">
            <w:pPr>
              <w:ind w:left="360"/>
              <w:rPr>
                <w:szCs w:val="24"/>
              </w:rPr>
            </w:pPr>
            <w:r>
              <w:t xml:space="preserve"> </w:t>
            </w:r>
          </w:p>
        </w:tc>
      </w:tr>
      <w:tr w:rsidRPr="00B66B55" w:rsidR="00FA45ED" w:rsidTr="00CB482E" w14:paraId="6B3A5463" w14:textId="77777777">
        <w:tc>
          <w:tcPr>
            <w:tcW w:w="1667" w:type="dxa"/>
          </w:tcPr>
          <w:p w:rsidRPr="00B66B55" w:rsidR="000E74B7" w:rsidP="00094274" w:rsidRDefault="000E74B7" w14:paraId="157E63C3" w14:textId="77777777">
            <w:pPr>
              <w:rPr>
                <w:b/>
                <w:szCs w:val="24"/>
              </w:rPr>
            </w:pPr>
            <w:r w:rsidRPr="00B66B55">
              <w:rPr>
                <w:b/>
                <w:szCs w:val="24"/>
              </w:rPr>
              <w:t>Inquiries:</w:t>
            </w:r>
          </w:p>
        </w:tc>
        <w:tc>
          <w:tcPr>
            <w:tcW w:w="8318" w:type="dxa"/>
          </w:tcPr>
          <w:p w:rsidR="00343B59" w:rsidP="00CD34C1" w:rsidRDefault="00442262" w14:paraId="7A562F64" w14:textId="77777777">
            <w:pPr>
              <w:rPr>
                <w:sz w:val="23"/>
                <w:szCs w:val="23"/>
              </w:rPr>
            </w:pPr>
            <w:r w:rsidRPr="00B66B55">
              <w:rPr>
                <w:szCs w:val="24"/>
              </w:rPr>
              <w:t>Please direct any questions to the Child Care Program Manager in the appropriate ACF Regional Office.</w:t>
            </w:r>
            <w:r w:rsidR="003174EB">
              <w:rPr>
                <w:szCs w:val="24"/>
              </w:rPr>
              <w:t xml:space="preserve"> </w:t>
            </w:r>
            <w:r w:rsidR="003174EB">
              <w:rPr>
                <w:sz w:val="23"/>
                <w:szCs w:val="23"/>
              </w:rPr>
              <w:t xml:space="preserve">Contact information for Regional Offices can be found at </w:t>
            </w:r>
          </w:p>
          <w:p w:rsidRPr="00B66B55" w:rsidR="00955601" w:rsidP="001A3299" w:rsidRDefault="00343B59" w14:paraId="4263016C" w14:textId="55407C93">
            <w:pPr>
              <w:rPr>
                <w:szCs w:val="24"/>
              </w:rPr>
            </w:pPr>
            <w:r w:rsidRPr="000672BB">
              <w:rPr>
                <w:sz w:val="23"/>
                <w:szCs w:val="23"/>
              </w:rPr>
              <w:t>https://www.acf.hhs.gov/occ/contact-information/office-child-care-regional-program-managers</w:t>
            </w:r>
            <w:r>
              <w:rPr>
                <w:sz w:val="23"/>
                <w:szCs w:val="23"/>
              </w:rPr>
              <w:t xml:space="preserve"> </w:t>
            </w:r>
          </w:p>
        </w:tc>
      </w:tr>
    </w:tbl>
    <w:p w:rsidRPr="00B66B55" w:rsidR="000E74B7" w:rsidP="00094274" w:rsidRDefault="000E74B7" w14:paraId="37C45719" w14:textId="77777777">
      <w:pPr>
        <w:rPr>
          <w:szCs w:val="24"/>
        </w:rPr>
      </w:pPr>
    </w:p>
    <w:p w:rsidRPr="00B66B55" w:rsidR="000E74B7" w:rsidP="00094274" w:rsidRDefault="000E74B7" w14:paraId="024E1AC0" w14:textId="77777777">
      <w:pPr>
        <w:rPr>
          <w:szCs w:val="24"/>
        </w:rPr>
      </w:pPr>
    </w:p>
    <w:p w:rsidRPr="00B66B55" w:rsidR="000E74B7" w:rsidP="00094274" w:rsidRDefault="000E74B7" w14:paraId="0964E1DD" w14:textId="77777777">
      <w:pPr>
        <w:rPr>
          <w:szCs w:val="24"/>
        </w:rPr>
      </w:pPr>
    </w:p>
    <w:p w:rsidRPr="00B66B55" w:rsidR="000E74B7" w:rsidP="00094274" w:rsidRDefault="000E74B7" w14:paraId="7E3991E8" w14:textId="77777777">
      <w:pPr>
        <w:rPr>
          <w:szCs w:val="24"/>
        </w:rPr>
      </w:pPr>
    </w:p>
    <w:p w:rsidRPr="00B66B55" w:rsidR="00973180" w:rsidP="00973180" w:rsidRDefault="000E74B7" w14:paraId="019F7214" w14:textId="07CFA3F5">
      <w:pPr>
        <w:keepNext/>
        <w:ind w:left="4320" w:right="1152"/>
        <w:rPr>
          <w:szCs w:val="24"/>
        </w:rPr>
      </w:pPr>
      <w:r w:rsidRPr="00B66B55">
        <w:rPr>
          <w:szCs w:val="24"/>
        </w:rPr>
        <w:tab/>
      </w:r>
      <w:r w:rsidRPr="00B66B55" w:rsidR="00F17417">
        <w:rPr>
          <w:szCs w:val="24"/>
        </w:rPr>
        <w:t>/s/</w:t>
      </w:r>
    </w:p>
    <w:p w:rsidRPr="00B66B55" w:rsidR="000E74B7" w:rsidP="00094274" w:rsidRDefault="000E74B7" w14:paraId="5CE816BF" w14:textId="6DB381C2">
      <w:pPr>
        <w:keepNext/>
        <w:tabs>
          <w:tab w:val="left" w:pos="5040"/>
        </w:tabs>
        <w:rPr>
          <w:szCs w:val="24"/>
        </w:rPr>
      </w:pPr>
      <w:r w:rsidRPr="00B66B55">
        <w:rPr>
          <w:szCs w:val="24"/>
        </w:rPr>
        <w:tab/>
        <w:t>______________________________</w:t>
      </w:r>
    </w:p>
    <w:p w:rsidRPr="00B66B55" w:rsidR="000E74B7" w:rsidP="00094274" w:rsidRDefault="000E74B7" w14:paraId="4EBD810B" w14:textId="36E45BC9">
      <w:pPr>
        <w:keepNext/>
        <w:tabs>
          <w:tab w:val="left" w:pos="5040"/>
        </w:tabs>
        <w:rPr>
          <w:szCs w:val="24"/>
        </w:rPr>
      </w:pPr>
      <w:r w:rsidRPr="00B66B55">
        <w:rPr>
          <w:szCs w:val="24"/>
        </w:rPr>
        <w:tab/>
      </w:r>
      <w:r w:rsidR="003174EB">
        <w:rPr>
          <w:szCs w:val="24"/>
        </w:rPr>
        <w:t>Ruth Fr</w:t>
      </w:r>
      <w:r w:rsidR="00884904">
        <w:rPr>
          <w:szCs w:val="24"/>
        </w:rPr>
        <w:t>ie</w:t>
      </w:r>
      <w:r w:rsidR="003174EB">
        <w:rPr>
          <w:szCs w:val="24"/>
        </w:rPr>
        <w:t>dman</w:t>
      </w:r>
      <w:r w:rsidRPr="00B66B55" w:rsidR="008804F1">
        <w:rPr>
          <w:szCs w:val="24"/>
        </w:rPr>
        <w:t>, Ph</w:t>
      </w:r>
      <w:r w:rsidR="00F0270C">
        <w:rPr>
          <w:szCs w:val="24"/>
        </w:rPr>
        <w:t>.</w:t>
      </w:r>
      <w:r w:rsidRPr="00B66B55" w:rsidR="008804F1">
        <w:rPr>
          <w:szCs w:val="24"/>
        </w:rPr>
        <w:t>D.</w:t>
      </w:r>
    </w:p>
    <w:p w:rsidRPr="00B66B55" w:rsidR="000E74B7" w:rsidP="00094274" w:rsidRDefault="000E74B7" w14:paraId="570C5843" w14:textId="71A205AF">
      <w:pPr>
        <w:keepNext/>
        <w:tabs>
          <w:tab w:val="left" w:pos="5040"/>
        </w:tabs>
        <w:rPr>
          <w:szCs w:val="24"/>
        </w:rPr>
      </w:pPr>
      <w:r w:rsidRPr="00B66B55">
        <w:rPr>
          <w:szCs w:val="24"/>
        </w:rPr>
        <w:tab/>
        <w:t>Director</w:t>
      </w:r>
    </w:p>
    <w:p w:rsidRPr="00B66B55" w:rsidR="000E74B7" w:rsidP="00094274" w:rsidRDefault="000E74B7" w14:paraId="0FA2F74E" w14:textId="77777777">
      <w:pPr>
        <w:keepNext/>
        <w:tabs>
          <w:tab w:val="left" w:pos="5040"/>
        </w:tabs>
        <w:rPr>
          <w:szCs w:val="24"/>
        </w:rPr>
      </w:pPr>
      <w:r w:rsidRPr="00B66B55">
        <w:rPr>
          <w:szCs w:val="24"/>
        </w:rPr>
        <w:tab/>
        <w:t>Office of Child Care</w:t>
      </w:r>
    </w:p>
    <w:p w:rsidRPr="00B66B55" w:rsidR="000E74B7" w:rsidP="00094274" w:rsidRDefault="000E74B7" w14:paraId="79F63390" w14:textId="77777777">
      <w:pPr>
        <w:pStyle w:val="SigBox"/>
        <w:tabs>
          <w:tab w:val="clear" w:pos="4320"/>
          <w:tab w:val="clear" w:pos="8640"/>
          <w:tab w:val="left" w:pos="1440"/>
        </w:tabs>
        <w:rPr>
          <w:szCs w:val="24"/>
        </w:rPr>
      </w:pPr>
    </w:p>
    <w:p w:rsidRPr="004567F3" w:rsidR="000E74B7" w:rsidP="00094274" w:rsidRDefault="00896079" w14:paraId="14FB797D" w14:textId="1FE2BD94">
      <w:pPr>
        <w:pStyle w:val="SigBox"/>
        <w:tabs>
          <w:tab w:val="clear" w:pos="4320"/>
          <w:tab w:val="clear" w:pos="8640"/>
          <w:tab w:val="left" w:pos="1440"/>
        </w:tabs>
        <w:rPr>
          <w:rFonts w:eastAsiaTheme="minorHAnsi"/>
          <w:sz w:val="20"/>
          <w:szCs w:val="24"/>
        </w:rPr>
      </w:pPr>
      <w:r w:rsidRPr="000E2102">
        <w:rPr>
          <w:b/>
          <w:sz w:val="20"/>
        </w:rPr>
        <w:t xml:space="preserve">Paperwork Reduction Act of 1995 (Pub. L. 104-13) Statement of Public Burden:  </w:t>
      </w:r>
      <w:r w:rsidRPr="004567F3">
        <w:rPr>
          <w:rFonts w:eastAsiaTheme="minorHAnsi"/>
          <w:sz w:val="20"/>
          <w:szCs w:val="24"/>
        </w:rPr>
        <w:t>Through this information collection</w:t>
      </w:r>
      <w:r w:rsidR="002C59EB">
        <w:rPr>
          <w:rFonts w:eastAsiaTheme="minorHAnsi"/>
          <w:sz w:val="20"/>
          <w:szCs w:val="24"/>
        </w:rPr>
        <w:t xml:space="preserve"> effort</w:t>
      </w:r>
      <w:r w:rsidRPr="004567F3">
        <w:rPr>
          <w:rFonts w:eastAsiaTheme="minorHAnsi"/>
          <w:sz w:val="20"/>
          <w:szCs w:val="24"/>
        </w:rPr>
        <w:t>,</w:t>
      </w:r>
      <w:r w:rsidR="002C59EB">
        <w:rPr>
          <w:rFonts w:eastAsiaTheme="minorHAnsi"/>
          <w:sz w:val="20"/>
          <w:szCs w:val="24"/>
        </w:rPr>
        <w:t xml:space="preserve"> the Administration for Children and Families</w:t>
      </w:r>
      <w:r w:rsidRPr="004567F3">
        <w:rPr>
          <w:rFonts w:eastAsiaTheme="minorHAnsi"/>
          <w:sz w:val="20"/>
          <w:szCs w:val="24"/>
        </w:rPr>
        <w:t xml:space="preserve"> is gathering data on your </w:t>
      </w:r>
      <w:r w:rsidRPr="005A6B9D" w:rsidR="002C59EB">
        <w:rPr>
          <w:rFonts w:eastAsiaTheme="minorHAnsi"/>
          <w:sz w:val="20"/>
          <w:szCs w:val="24"/>
        </w:rPr>
        <w:t xml:space="preserve">Child Care and Development </w:t>
      </w:r>
      <w:r w:rsidR="002C59EB">
        <w:rPr>
          <w:rFonts w:eastAsiaTheme="minorHAnsi"/>
          <w:sz w:val="20"/>
          <w:szCs w:val="24"/>
        </w:rPr>
        <w:t xml:space="preserve">program’s </w:t>
      </w:r>
      <w:r w:rsidRPr="004567F3">
        <w:rPr>
          <w:rFonts w:eastAsiaTheme="minorHAnsi"/>
          <w:sz w:val="20"/>
          <w:szCs w:val="24"/>
        </w:rPr>
        <w:t xml:space="preserve">progress in obligating </w:t>
      </w:r>
      <w:r w:rsidRPr="004C51BF" w:rsidR="002C59EB">
        <w:rPr>
          <w:rFonts w:eastAsiaTheme="minorHAnsi"/>
          <w:sz w:val="20"/>
          <w:szCs w:val="24"/>
        </w:rPr>
        <w:t>American Rescue Plan Act</w:t>
      </w:r>
      <w:r w:rsidR="002C59EB">
        <w:rPr>
          <w:rFonts w:eastAsiaTheme="minorHAnsi"/>
          <w:sz w:val="20"/>
          <w:szCs w:val="24"/>
        </w:rPr>
        <w:t xml:space="preserve"> </w:t>
      </w:r>
      <w:r w:rsidR="001A2F44">
        <w:rPr>
          <w:rFonts w:eastAsiaTheme="minorHAnsi"/>
          <w:sz w:val="20"/>
          <w:szCs w:val="24"/>
        </w:rPr>
        <w:t>S</w:t>
      </w:r>
      <w:r w:rsidR="002C59EB">
        <w:rPr>
          <w:rFonts w:eastAsiaTheme="minorHAnsi"/>
          <w:sz w:val="20"/>
          <w:szCs w:val="24"/>
        </w:rPr>
        <w:t xml:space="preserve">tabilization </w:t>
      </w:r>
      <w:r w:rsidR="001A2F44">
        <w:rPr>
          <w:rFonts w:eastAsiaTheme="minorHAnsi"/>
          <w:sz w:val="20"/>
          <w:szCs w:val="24"/>
        </w:rPr>
        <w:t xml:space="preserve">funds </w:t>
      </w:r>
      <w:r w:rsidRPr="004567F3">
        <w:rPr>
          <w:rFonts w:eastAsiaTheme="minorHAnsi"/>
          <w:sz w:val="20"/>
          <w:szCs w:val="24"/>
        </w:rPr>
        <w:t>meant to provide subgrants to child care providers. The public reporting burden for this collection of information is estimated to average 1 hour per response, including the time for reviewing instructions, gathering and maintaining the data needed, and reviewing the collection of information. Th</w:t>
      </w:r>
      <w:r w:rsidR="00051197">
        <w:rPr>
          <w:rFonts w:eastAsiaTheme="minorHAnsi"/>
          <w:sz w:val="20"/>
          <w:szCs w:val="24"/>
        </w:rPr>
        <w:t>e</w:t>
      </w:r>
      <w:r w:rsidRPr="004567F3">
        <w:rPr>
          <w:rFonts w:eastAsiaTheme="minorHAnsi"/>
          <w:sz w:val="20"/>
          <w:szCs w:val="24"/>
        </w:rPr>
        <w:t xml:space="preserve"> information is required to retain a benefit (Pub. L. 117-2, section 2022). An agency may not conduct or sponsor, and a person is not required to respond to, a collection of information subject to the requirements of the Paperwork Reduction Act of 1995, unless </w:t>
      </w:r>
      <w:r w:rsidR="00051197">
        <w:rPr>
          <w:rFonts w:eastAsiaTheme="minorHAnsi"/>
          <w:sz w:val="20"/>
          <w:szCs w:val="24"/>
        </w:rPr>
        <w:t>that agency or person</w:t>
      </w:r>
      <w:r w:rsidRPr="004567F3">
        <w:rPr>
          <w:rFonts w:eastAsiaTheme="minorHAnsi"/>
          <w:sz w:val="20"/>
          <w:szCs w:val="24"/>
        </w:rPr>
        <w:t xml:space="preserve"> displays a currently valid </w:t>
      </w:r>
      <w:r w:rsidR="00051197">
        <w:rPr>
          <w:rFonts w:eastAsiaTheme="minorHAnsi"/>
          <w:sz w:val="20"/>
          <w:szCs w:val="24"/>
        </w:rPr>
        <w:t>Office of Management and Budget (</w:t>
      </w:r>
      <w:r w:rsidRPr="004567F3">
        <w:rPr>
          <w:rFonts w:eastAsiaTheme="minorHAnsi"/>
          <w:sz w:val="20"/>
          <w:szCs w:val="24"/>
        </w:rPr>
        <w:t>OMB</w:t>
      </w:r>
      <w:r w:rsidR="00051197">
        <w:rPr>
          <w:rFonts w:eastAsiaTheme="minorHAnsi"/>
          <w:sz w:val="20"/>
          <w:szCs w:val="24"/>
        </w:rPr>
        <w:t>)</w:t>
      </w:r>
      <w:r w:rsidRPr="004567F3">
        <w:rPr>
          <w:rFonts w:eastAsiaTheme="minorHAnsi"/>
          <w:sz w:val="20"/>
          <w:szCs w:val="24"/>
        </w:rPr>
        <w:t xml:space="preserve"> control number. The OMB # is </w:t>
      </w:r>
      <w:r w:rsidRPr="00F46839" w:rsidR="00F46839">
        <w:rPr>
          <w:rFonts w:eastAsiaTheme="minorHAnsi"/>
          <w:sz w:val="20"/>
          <w:szCs w:val="24"/>
        </w:rPr>
        <w:t>0970-0510</w:t>
      </w:r>
      <w:r w:rsidRPr="004567F3">
        <w:rPr>
          <w:rFonts w:eastAsiaTheme="minorHAnsi"/>
          <w:sz w:val="20"/>
          <w:szCs w:val="24"/>
        </w:rPr>
        <w:t xml:space="preserve"> and the expiration date is </w:t>
      </w:r>
      <w:r w:rsidR="00F46839">
        <w:rPr>
          <w:rFonts w:eastAsiaTheme="minorHAnsi"/>
          <w:sz w:val="20"/>
          <w:szCs w:val="24"/>
        </w:rPr>
        <w:t>6/30/2024</w:t>
      </w:r>
      <w:r w:rsidRPr="004567F3">
        <w:rPr>
          <w:rFonts w:eastAsiaTheme="minorHAnsi"/>
          <w:sz w:val="20"/>
          <w:szCs w:val="24"/>
        </w:rPr>
        <w:t xml:space="preserve">. If you have any comments on this collection of information, please contact </w:t>
      </w:r>
      <w:r w:rsidRPr="004567F3" w:rsidR="002C59EB">
        <w:rPr>
          <w:rFonts w:eastAsiaTheme="minorHAnsi"/>
          <w:sz w:val="20"/>
          <w:szCs w:val="24"/>
        </w:rPr>
        <w:t>Rachel McKinnon,</w:t>
      </w:r>
      <w:r w:rsidRPr="004567F3">
        <w:rPr>
          <w:rFonts w:eastAsiaTheme="minorHAnsi"/>
          <w:sz w:val="20"/>
          <w:szCs w:val="24"/>
        </w:rPr>
        <w:t xml:space="preserve"> Office of Child Care, by email at </w:t>
      </w:r>
      <w:r w:rsidRPr="004567F3" w:rsidR="002C59EB">
        <w:rPr>
          <w:rFonts w:eastAsiaTheme="minorHAnsi"/>
          <w:sz w:val="20"/>
          <w:szCs w:val="24"/>
        </w:rPr>
        <w:t>rachel.mckinnon</w:t>
      </w:r>
      <w:r w:rsidRPr="004567F3">
        <w:rPr>
          <w:rFonts w:eastAsiaTheme="minorHAnsi"/>
          <w:sz w:val="20"/>
          <w:szCs w:val="24"/>
        </w:rPr>
        <w:t>@acf.hhs.gov.</w:t>
      </w:r>
    </w:p>
    <w:sectPr w:rsidRPr="004567F3" w:rsidR="000E74B7" w:rsidSect="009F03B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31CF9" w14:textId="77777777" w:rsidR="003A4778" w:rsidRDefault="003A4778">
      <w:r>
        <w:separator/>
      </w:r>
    </w:p>
  </w:endnote>
  <w:endnote w:type="continuationSeparator" w:id="0">
    <w:p w14:paraId="2979C725" w14:textId="77777777" w:rsidR="003A4778" w:rsidRDefault="003A4778">
      <w:r>
        <w:continuationSeparator/>
      </w:r>
    </w:p>
  </w:endnote>
  <w:endnote w:type="continuationNotice" w:id="1">
    <w:p w14:paraId="17EBA9C7" w14:textId="77777777" w:rsidR="003A4778" w:rsidRDefault="003A47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4ADA7" w14:textId="77777777" w:rsidR="0081786B" w:rsidRDefault="00817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6A524" w14:textId="0D1B89F9" w:rsidR="00F57D56" w:rsidRDefault="002471C9">
    <w:pPr>
      <w:pStyle w:val="Footer"/>
      <w:jc w:val="center"/>
    </w:pPr>
    <w:r>
      <w:fldChar w:fldCharType="begin"/>
    </w:r>
    <w:r w:rsidR="00F57D56">
      <w:instrText xml:space="preserve"> PAGE   \* MERGEFORMAT </w:instrText>
    </w:r>
    <w:r>
      <w:fldChar w:fldCharType="separate"/>
    </w:r>
    <w:r w:rsidR="003E3398">
      <w:rPr>
        <w:noProof/>
      </w:rPr>
      <w:t>3</w:t>
    </w:r>
    <w:r>
      <w:fldChar w:fldCharType="end"/>
    </w:r>
  </w:p>
  <w:p w14:paraId="27CA3E4E" w14:textId="77777777" w:rsidR="00F57D56" w:rsidRDefault="00F57D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205E" w14:textId="77777777" w:rsidR="0081786B" w:rsidRDefault="00817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15995" w14:textId="77777777" w:rsidR="003A4778" w:rsidRDefault="003A4778">
      <w:r>
        <w:separator/>
      </w:r>
    </w:p>
  </w:footnote>
  <w:footnote w:type="continuationSeparator" w:id="0">
    <w:p w14:paraId="25EE3B26" w14:textId="77777777" w:rsidR="003A4778" w:rsidRDefault="003A4778">
      <w:r>
        <w:continuationSeparator/>
      </w:r>
    </w:p>
  </w:footnote>
  <w:footnote w:type="continuationNotice" w:id="1">
    <w:p w14:paraId="5B093832" w14:textId="77777777" w:rsidR="003A4778" w:rsidRDefault="003A4778"/>
  </w:footnote>
  <w:footnote w:id="2">
    <w:p w14:paraId="1BEA7F90" w14:textId="73D9FE73" w:rsidR="0050122F" w:rsidRDefault="0050122F">
      <w:pPr>
        <w:pStyle w:val="FootnoteText"/>
      </w:pPr>
      <w:bookmarkStart w:id="6" w:name="_Hlk86661624"/>
      <w:r>
        <w:rPr>
          <w:rStyle w:val="FootnoteReference"/>
        </w:rPr>
        <w:footnoteRef/>
      </w:r>
      <w:r>
        <w:t xml:space="preserve"> The Form ACF-696 Financial Report has OMB approval under 0970-0510, and the currently approved version includes changes due to the ARP Act.</w:t>
      </w:r>
      <w:bookmarkEnd w:id="6"/>
    </w:p>
  </w:footnote>
  <w:footnote w:id="3">
    <w:p w14:paraId="317F2566" w14:textId="7D9E0610" w:rsidR="001A2F44" w:rsidRDefault="001A2F44">
      <w:pPr>
        <w:pStyle w:val="FootnoteText"/>
      </w:pPr>
      <w:r>
        <w:rPr>
          <w:rStyle w:val="FootnoteReference"/>
        </w:rPr>
        <w:footnoteRef/>
      </w:r>
      <w:r>
        <w:t xml:space="preserve"> OCC will obtain PRA clearance for the April 1 data collection through a separate submission.</w:t>
      </w:r>
    </w:p>
  </w:footnote>
  <w:footnote w:id="4">
    <w:p w14:paraId="7A2654C6" w14:textId="048253E0" w:rsidR="00D05838" w:rsidRDefault="00D05838" w:rsidP="004567F3">
      <w:pPr>
        <w:pStyle w:val="Default"/>
      </w:pPr>
      <w:r>
        <w:rPr>
          <w:rStyle w:val="FootnoteReference"/>
        </w:rPr>
        <w:footnoteRef/>
      </w:r>
      <w:r>
        <w:t xml:space="preserve"> </w:t>
      </w:r>
      <w:r>
        <w:rPr>
          <w:sz w:val="20"/>
          <w:szCs w:val="20"/>
        </w:rPr>
        <w:t xml:space="preserve">The CCDBG Act at section 658(O)(f) defines “state” for the purposes of reallotment as “only the 50 states, the District of Columbia, and the Commonwealth of Puerto Rico.” (42 U.S.C. 9858m(f)). Therefore, territories </w:t>
      </w:r>
      <w:r w:rsidR="009F6106">
        <w:rPr>
          <w:sz w:val="20"/>
          <w:szCs w:val="20"/>
        </w:rPr>
        <w:t xml:space="preserve">other than Puerto Rico </w:t>
      </w:r>
      <w:r>
        <w:rPr>
          <w:sz w:val="20"/>
          <w:szCs w:val="20"/>
        </w:rPr>
        <w:t>are not eligible for reallotment.</w:t>
      </w:r>
    </w:p>
  </w:footnote>
  <w:footnote w:id="5">
    <w:p w14:paraId="1B8BC483" w14:textId="09378B9F" w:rsidR="00D05838" w:rsidRDefault="00D05838" w:rsidP="004567F3">
      <w:pPr>
        <w:pStyle w:val="Default"/>
      </w:pPr>
      <w:r>
        <w:rPr>
          <w:rStyle w:val="FootnoteReference"/>
        </w:rPr>
        <w:footnoteRef/>
      </w:r>
      <w:r>
        <w:t xml:space="preserve"> </w:t>
      </w:r>
      <w:r>
        <w:rPr>
          <w:sz w:val="20"/>
          <w:szCs w:val="20"/>
        </w:rPr>
        <w:t>45 C.F.R. 98.64(b)(2)(ii) says that funds will not be reallotted (but will instead revert to the federal government) if the amount available for reallotment is less than $25,000.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077B" w14:textId="77777777" w:rsidR="000E74B7" w:rsidRDefault="002471C9">
    <w:pPr>
      <w:pStyle w:val="Header"/>
      <w:framePr w:wrap="around" w:vAnchor="text" w:hAnchor="margin" w:xAlign="right" w:y="1"/>
      <w:rPr>
        <w:rStyle w:val="PageNumber"/>
      </w:rPr>
    </w:pPr>
    <w:r>
      <w:rPr>
        <w:rStyle w:val="PageNumber"/>
      </w:rPr>
      <w:fldChar w:fldCharType="begin"/>
    </w:r>
    <w:r w:rsidR="000E74B7">
      <w:rPr>
        <w:rStyle w:val="PageNumber"/>
      </w:rPr>
      <w:instrText xml:space="preserve">PAGE  </w:instrText>
    </w:r>
    <w:r>
      <w:rPr>
        <w:rStyle w:val="PageNumber"/>
      </w:rPr>
      <w:fldChar w:fldCharType="separate"/>
    </w:r>
    <w:r w:rsidR="000E74B7">
      <w:rPr>
        <w:rStyle w:val="PageNumber"/>
        <w:noProof/>
      </w:rPr>
      <w:t>3</w:t>
    </w:r>
    <w:r>
      <w:rPr>
        <w:rStyle w:val="PageNumber"/>
      </w:rPr>
      <w:fldChar w:fldCharType="end"/>
    </w:r>
  </w:p>
  <w:p w14:paraId="012CAAB1" w14:textId="77777777" w:rsidR="000E74B7" w:rsidRDefault="000E74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320AE" w14:textId="1E53B2C2" w:rsidR="000E74B7" w:rsidRDefault="000E74B7" w:rsidP="00F57D5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C69A1" w14:textId="52694136" w:rsidR="0053228E" w:rsidRDefault="003A4778">
    <w:pPr>
      <w:pStyle w:val="Header"/>
    </w:pPr>
    <w:sdt>
      <w:sdtPr>
        <w:id w:val="1441721437"/>
        <w:docPartObj>
          <w:docPartGallery w:val="Watermarks"/>
          <w:docPartUnique/>
        </w:docPartObj>
      </w:sdtPr>
      <w:sdtEndPr/>
      <w:sdtContent>
        <w:r>
          <w:rPr>
            <w:noProof/>
          </w:rPr>
          <w:pict w14:anchorId="5D7EB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3228E" w:rsidRPr="009B611C">
      <w:t xml:space="preserve">OMB Control Number: </w:t>
    </w:r>
    <w:r w:rsidR="0053228E">
      <w:t xml:space="preserve"> </w:t>
    </w:r>
    <w:bookmarkStart w:id="7" w:name="_Hlk86401999"/>
    <w:r w:rsidR="0053228E" w:rsidRPr="009B611C">
      <w:t>0970-05</w:t>
    </w:r>
    <w:r w:rsidR="0053228E">
      <w:t>10</w:t>
    </w:r>
    <w:bookmarkEnd w:id="7"/>
    <w:r w:rsidR="0053228E">
      <w:t xml:space="preserve">, </w:t>
    </w:r>
    <w:r w:rsidR="0053228E" w:rsidRPr="009B611C">
      <w:t xml:space="preserve">Expiration </w:t>
    </w:r>
    <w:r w:rsidR="0053228E">
      <w:t>D</w:t>
    </w:r>
    <w:r w:rsidR="0053228E" w:rsidRPr="009B611C">
      <w:t>ate:</w:t>
    </w:r>
    <w:r w:rsidR="0053228E">
      <w:t xml:space="preserve">  </w:t>
    </w:r>
    <w:r w:rsidR="00B01475">
      <w:t>6/30/2024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D0"/>
    <w:multiLevelType w:val="multilevel"/>
    <w:tmpl w:val="94A2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46D3"/>
    <w:multiLevelType w:val="hybridMultilevel"/>
    <w:tmpl w:val="8A46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5D80"/>
    <w:multiLevelType w:val="hybridMultilevel"/>
    <w:tmpl w:val="8C681C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93DB6"/>
    <w:multiLevelType w:val="hybridMultilevel"/>
    <w:tmpl w:val="5A68A41A"/>
    <w:lvl w:ilvl="0" w:tplc="9A0898A0">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115BE2"/>
    <w:multiLevelType w:val="hybridMultilevel"/>
    <w:tmpl w:val="4F48FA1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157989"/>
    <w:multiLevelType w:val="hybridMultilevel"/>
    <w:tmpl w:val="AF3E9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8E2D4A"/>
    <w:multiLevelType w:val="hybridMultilevel"/>
    <w:tmpl w:val="B136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B7748"/>
    <w:multiLevelType w:val="hybridMultilevel"/>
    <w:tmpl w:val="251CED4E"/>
    <w:lvl w:ilvl="0" w:tplc="9A0898A0">
      <w:start w:val="1"/>
      <w:numFmt w:val="bullet"/>
      <w:lvlText w:val=""/>
      <w:lvlJc w:val="left"/>
      <w:pPr>
        <w:tabs>
          <w:tab w:val="num" w:pos="360"/>
        </w:tabs>
        <w:ind w:left="360" w:hanging="360"/>
      </w:pPr>
      <w:rPr>
        <w:rFonts w:ascii="Wingdings" w:hAnsi="Wingdings" w:hint="default"/>
        <w:sz w:val="24"/>
      </w:rPr>
    </w:lvl>
    <w:lvl w:ilvl="1" w:tplc="04090005">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614304"/>
    <w:multiLevelType w:val="hybridMultilevel"/>
    <w:tmpl w:val="DD44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151FC"/>
    <w:multiLevelType w:val="hybridMultilevel"/>
    <w:tmpl w:val="04ACA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F620C"/>
    <w:multiLevelType w:val="hybridMultilevel"/>
    <w:tmpl w:val="88B628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A0EB1"/>
    <w:multiLevelType w:val="hybridMultilevel"/>
    <w:tmpl w:val="F8C0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426A3"/>
    <w:multiLevelType w:val="hybridMultilevel"/>
    <w:tmpl w:val="D53CE3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703E4192"/>
    <w:multiLevelType w:val="hybridMultilevel"/>
    <w:tmpl w:val="A26EFB80"/>
    <w:lvl w:ilvl="0" w:tplc="9A0898A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CB4FDA"/>
    <w:multiLevelType w:val="hybridMultilevel"/>
    <w:tmpl w:val="4628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B46D00"/>
    <w:multiLevelType w:val="hybridMultilevel"/>
    <w:tmpl w:val="F76EB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76AD7"/>
    <w:multiLevelType w:val="hybridMultilevel"/>
    <w:tmpl w:val="3518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4"/>
  </w:num>
  <w:num w:numId="5">
    <w:abstractNumId w:val="15"/>
  </w:num>
  <w:num w:numId="6">
    <w:abstractNumId w:val="10"/>
  </w:num>
  <w:num w:numId="7">
    <w:abstractNumId w:val="2"/>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1"/>
  </w:num>
  <w:num w:numId="16">
    <w:abstractNumId w:val="16"/>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B8"/>
    <w:rsid w:val="0001104F"/>
    <w:rsid w:val="00016A8F"/>
    <w:rsid w:val="00023C00"/>
    <w:rsid w:val="00025E4A"/>
    <w:rsid w:val="0002788F"/>
    <w:rsid w:val="000367AF"/>
    <w:rsid w:val="00051197"/>
    <w:rsid w:val="0005382E"/>
    <w:rsid w:val="00060140"/>
    <w:rsid w:val="00065BB3"/>
    <w:rsid w:val="00073FE5"/>
    <w:rsid w:val="0007748F"/>
    <w:rsid w:val="000856ED"/>
    <w:rsid w:val="00091830"/>
    <w:rsid w:val="00094274"/>
    <w:rsid w:val="000A27A7"/>
    <w:rsid w:val="000A3C94"/>
    <w:rsid w:val="000A7CAE"/>
    <w:rsid w:val="000B06DF"/>
    <w:rsid w:val="000B0F38"/>
    <w:rsid w:val="000B37AF"/>
    <w:rsid w:val="000B6041"/>
    <w:rsid w:val="000D1EF7"/>
    <w:rsid w:val="000D1F8C"/>
    <w:rsid w:val="000D5BCB"/>
    <w:rsid w:val="000D5C3A"/>
    <w:rsid w:val="000E2102"/>
    <w:rsid w:val="000E74B7"/>
    <w:rsid w:val="000F2B3F"/>
    <w:rsid w:val="000F33AE"/>
    <w:rsid w:val="000F527E"/>
    <w:rsid w:val="0010068D"/>
    <w:rsid w:val="00100A96"/>
    <w:rsid w:val="00103550"/>
    <w:rsid w:val="0010527B"/>
    <w:rsid w:val="0011263F"/>
    <w:rsid w:val="00117F8F"/>
    <w:rsid w:val="00122F5E"/>
    <w:rsid w:val="00131D3E"/>
    <w:rsid w:val="00133129"/>
    <w:rsid w:val="00135FDA"/>
    <w:rsid w:val="00140AE4"/>
    <w:rsid w:val="001429B1"/>
    <w:rsid w:val="001436AA"/>
    <w:rsid w:val="001533C1"/>
    <w:rsid w:val="001579FA"/>
    <w:rsid w:val="0016500E"/>
    <w:rsid w:val="0018164B"/>
    <w:rsid w:val="00182C22"/>
    <w:rsid w:val="00187049"/>
    <w:rsid w:val="00192305"/>
    <w:rsid w:val="001A2F44"/>
    <w:rsid w:val="001A3299"/>
    <w:rsid w:val="001A42D1"/>
    <w:rsid w:val="001B2CBC"/>
    <w:rsid w:val="001B5D7E"/>
    <w:rsid w:val="001C56E9"/>
    <w:rsid w:val="001C6438"/>
    <w:rsid w:val="001E0021"/>
    <w:rsid w:val="001E75D2"/>
    <w:rsid w:val="001F329C"/>
    <w:rsid w:val="001F34A0"/>
    <w:rsid w:val="002061E6"/>
    <w:rsid w:val="00213316"/>
    <w:rsid w:val="002220CD"/>
    <w:rsid w:val="0022259D"/>
    <w:rsid w:val="00225518"/>
    <w:rsid w:val="00226BA6"/>
    <w:rsid w:val="00233751"/>
    <w:rsid w:val="002358C8"/>
    <w:rsid w:val="002455A8"/>
    <w:rsid w:val="002471C9"/>
    <w:rsid w:val="002546FB"/>
    <w:rsid w:val="0026633D"/>
    <w:rsid w:val="00266786"/>
    <w:rsid w:val="00270473"/>
    <w:rsid w:val="00272617"/>
    <w:rsid w:val="00277143"/>
    <w:rsid w:val="00277AC5"/>
    <w:rsid w:val="00287CB8"/>
    <w:rsid w:val="00296DD4"/>
    <w:rsid w:val="002A3C21"/>
    <w:rsid w:val="002B0446"/>
    <w:rsid w:val="002B25A7"/>
    <w:rsid w:val="002B7324"/>
    <w:rsid w:val="002C59EB"/>
    <w:rsid w:val="002C7EC7"/>
    <w:rsid w:val="002D2388"/>
    <w:rsid w:val="002D5224"/>
    <w:rsid w:val="002D53CA"/>
    <w:rsid w:val="002D56FF"/>
    <w:rsid w:val="002E1ADC"/>
    <w:rsid w:val="002E75A8"/>
    <w:rsid w:val="002F6F8C"/>
    <w:rsid w:val="003077E4"/>
    <w:rsid w:val="00311F6C"/>
    <w:rsid w:val="00312A01"/>
    <w:rsid w:val="00313FAE"/>
    <w:rsid w:val="003174EB"/>
    <w:rsid w:val="00324C17"/>
    <w:rsid w:val="0034318D"/>
    <w:rsid w:val="00343B59"/>
    <w:rsid w:val="003476FF"/>
    <w:rsid w:val="0036294C"/>
    <w:rsid w:val="00376B02"/>
    <w:rsid w:val="00376DC8"/>
    <w:rsid w:val="00376DD2"/>
    <w:rsid w:val="0038097A"/>
    <w:rsid w:val="003820B8"/>
    <w:rsid w:val="00383EB2"/>
    <w:rsid w:val="003970CF"/>
    <w:rsid w:val="003A426F"/>
    <w:rsid w:val="003A4778"/>
    <w:rsid w:val="003A5AC3"/>
    <w:rsid w:val="003A7831"/>
    <w:rsid w:val="003A78C0"/>
    <w:rsid w:val="003C54D6"/>
    <w:rsid w:val="003C5CA2"/>
    <w:rsid w:val="003C669C"/>
    <w:rsid w:val="003D07CF"/>
    <w:rsid w:val="003D1D4C"/>
    <w:rsid w:val="003D609E"/>
    <w:rsid w:val="003E03FE"/>
    <w:rsid w:val="003E3398"/>
    <w:rsid w:val="003E4D72"/>
    <w:rsid w:val="003F0C14"/>
    <w:rsid w:val="003F32E8"/>
    <w:rsid w:val="003F4C45"/>
    <w:rsid w:val="00406A2D"/>
    <w:rsid w:val="004107E1"/>
    <w:rsid w:val="004107ED"/>
    <w:rsid w:val="00413A35"/>
    <w:rsid w:val="00423334"/>
    <w:rsid w:val="00425976"/>
    <w:rsid w:val="00430745"/>
    <w:rsid w:val="00442262"/>
    <w:rsid w:val="004467A4"/>
    <w:rsid w:val="00455A7B"/>
    <w:rsid w:val="004567F3"/>
    <w:rsid w:val="0045724C"/>
    <w:rsid w:val="00465318"/>
    <w:rsid w:val="0046538F"/>
    <w:rsid w:val="00477592"/>
    <w:rsid w:val="004819C4"/>
    <w:rsid w:val="00483A22"/>
    <w:rsid w:val="00493D52"/>
    <w:rsid w:val="004A260C"/>
    <w:rsid w:val="004B0A7A"/>
    <w:rsid w:val="004C0C49"/>
    <w:rsid w:val="004C0D92"/>
    <w:rsid w:val="004D0877"/>
    <w:rsid w:val="004D38D9"/>
    <w:rsid w:val="004E1A67"/>
    <w:rsid w:val="0050122F"/>
    <w:rsid w:val="00502A1D"/>
    <w:rsid w:val="00502BEC"/>
    <w:rsid w:val="00510B42"/>
    <w:rsid w:val="00511243"/>
    <w:rsid w:val="0053228E"/>
    <w:rsid w:val="00552B9D"/>
    <w:rsid w:val="005659F0"/>
    <w:rsid w:val="00567B79"/>
    <w:rsid w:val="00572EB0"/>
    <w:rsid w:val="00574C73"/>
    <w:rsid w:val="00576390"/>
    <w:rsid w:val="00576578"/>
    <w:rsid w:val="00580485"/>
    <w:rsid w:val="00581BDE"/>
    <w:rsid w:val="005836B7"/>
    <w:rsid w:val="005865E3"/>
    <w:rsid w:val="005913A5"/>
    <w:rsid w:val="00591C04"/>
    <w:rsid w:val="005976A6"/>
    <w:rsid w:val="005A3714"/>
    <w:rsid w:val="005B02F3"/>
    <w:rsid w:val="005B11BE"/>
    <w:rsid w:val="005B48BC"/>
    <w:rsid w:val="005B769B"/>
    <w:rsid w:val="005C1657"/>
    <w:rsid w:val="005D00A8"/>
    <w:rsid w:val="005E3ED6"/>
    <w:rsid w:val="00631AB4"/>
    <w:rsid w:val="00637DAD"/>
    <w:rsid w:val="006401BC"/>
    <w:rsid w:val="0064030A"/>
    <w:rsid w:val="00643533"/>
    <w:rsid w:val="00644F2E"/>
    <w:rsid w:val="00650C78"/>
    <w:rsid w:val="006605D3"/>
    <w:rsid w:val="00661402"/>
    <w:rsid w:val="00667650"/>
    <w:rsid w:val="00676946"/>
    <w:rsid w:val="00683157"/>
    <w:rsid w:val="006845AF"/>
    <w:rsid w:val="00694AB3"/>
    <w:rsid w:val="006A04AD"/>
    <w:rsid w:val="006B549C"/>
    <w:rsid w:val="006B6271"/>
    <w:rsid w:val="006B62CE"/>
    <w:rsid w:val="006C453B"/>
    <w:rsid w:val="006C6619"/>
    <w:rsid w:val="006C6651"/>
    <w:rsid w:val="006D1C7F"/>
    <w:rsid w:val="006D5C73"/>
    <w:rsid w:val="006F26F1"/>
    <w:rsid w:val="006F5725"/>
    <w:rsid w:val="007021B2"/>
    <w:rsid w:val="00704839"/>
    <w:rsid w:val="007116FA"/>
    <w:rsid w:val="007130F3"/>
    <w:rsid w:val="00714EA0"/>
    <w:rsid w:val="00726536"/>
    <w:rsid w:val="00727D50"/>
    <w:rsid w:val="00735EA5"/>
    <w:rsid w:val="00743190"/>
    <w:rsid w:val="00743CD6"/>
    <w:rsid w:val="00745DA0"/>
    <w:rsid w:val="00751530"/>
    <w:rsid w:val="00763ED2"/>
    <w:rsid w:val="00766482"/>
    <w:rsid w:val="007716FA"/>
    <w:rsid w:val="007776D2"/>
    <w:rsid w:val="00784CE5"/>
    <w:rsid w:val="007912A2"/>
    <w:rsid w:val="00793806"/>
    <w:rsid w:val="00797585"/>
    <w:rsid w:val="007A17DF"/>
    <w:rsid w:val="007A3AFA"/>
    <w:rsid w:val="007B27C9"/>
    <w:rsid w:val="007B6FFC"/>
    <w:rsid w:val="007C2E32"/>
    <w:rsid w:val="007C3128"/>
    <w:rsid w:val="007C48A4"/>
    <w:rsid w:val="007C7A0F"/>
    <w:rsid w:val="007D7C4A"/>
    <w:rsid w:val="007E3FE8"/>
    <w:rsid w:val="007E685A"/>
    <w:rsid w:val="007E6D92"/>
    <w:rsid w:val="007F14E7"/>
    <w:rsid w:val="007F153E"/>
    <w:rsid w:val="007F3912"/>
    <w:rsid w:val="0080263C"/>
    <w:rsid w:val="008037A4"/>
    <w:rsid w:val="00815D5B"/>
    <w:rsid w:val="00815EAE"/>
    <w:rsid w:val="0081786B"/>
    <w:rsid w:val="00823650"/>
    <w:rsid w:val="00823EE0"/>
    <w:rsid w:val="00826D72"/>
    <w:rsid w:val="0082702F"/>
    <w:rsid w:val="00832919"/>
    <w:rsid w:val="008335FE"/>
    <w:rsid w:val="0083585A"/>
    <w:rsid w:val="00843223"/>
    <w:rsid w:val="00844203"/>
    <w:rsid w:val="00864F84"/>
    <w:rsid w:val="00866C4B"/>
    <w:rsid w:val="00870AB5"/>
    <w:rsid w:val="00874EBE"/>
    <w:rsid w:val="008804F1"/>
    <w:rsid w:val="008822C6"/>
    <w:rsid w:val="00884147"/>
    <w:rsid w:val="00884904"/>
    <w:rsid w:val="0089228E"/>
    <w:rsid w:val="008923CF"/>
    <w:rsid w:val="00896079"/>
    <w:rsid w:val="008A092A"/>
    <w:rsid w:val="008A11D1"/>
    <w:rsid w:val="008A5E58"/>
    <w:rsid w:val="008B5FD5"/>
    <w:rsid w:val="008C1E8B"/>
    <w:rsid w:val="008C2E74"/>
    <w:rsid w:val="008C4C35"/>
    <w:rsid w:val="008C52E0"/>
    <w:rsid w:val="008D1389"/>
    <w:rsid w:val="008D1F2C"/>
    <w:rsid w:val="008D54BE"/>
    <w:rsid w:val="008D56E3"/>
    <w:rsid w:val="008D6031"/>
    <w:rsid w:val="008D7D1C"/>
    <w:rsid w:val="008E256A"/>
    <w:rsid w:val="008E3598"/>
    <w:rsid w:val="008E7F99"/>
    <w:rsid w:val="008F4D36"/>
    <w:rsid w:val="00902368"/>
    <w:rsid w:val="00904752"/>
    <w:rsid w:val="00905119"/>
    <w:rsid w:val="009155C3"/>
    <w:rsid w:val="00915DFB"/>
    <w:rsid w:val="0091656F"/>
    <w:rsid w:val="00916BD7"/>
    <w:rsid w:val="00923CD6"/>
    <w:rsid w:val="00927921"/>
    <w:rsid w:val="00930450"/>
    <w:rsid w:val="00934C8F"/>
    <w:rsid w:val="00943CBB"/>
    <w:rsid w:val="009476AA"/>
    <w:rsid w:val="00947D9D"/>
    <w:rsid w:val="009501A9"/>
    <w:rsid w:val="0095362E"/>
    <w:rsid w:val="00955601"/>
    <w:rsid w:val="009578BE"/>
    <w:rsid w:val="0096045B"/>
    <w:rsid w:val="00973180"/>
    <w:rsid w:val="00974BF4"/>
    <w:rsid w:val="00976965"/>
    <w:rsid w:val="00984462"/>
    <w:rsid w:val="00987D57"/>
    <w:rsid w:val="009962DF"/>
    <w:rsid w:val="009A1359"/>
    <w:rsid w:val="009A3482"/>
    <w:rsid w:val="009B5183"/>
    <w:rsid w:val="009B6793"/>
    <w:rsid w:val="009B6B44"/>
    <w:rsid w:val="009C64FA"/>
    <w:rsid w:val="009D274C"/>
    <w:rsid w:val="009F03BD"/>
    <w:rsid w:val="009F6106"/>
    <w:rsid w:val="00A0744B"/>
    <w:rsid w:val="00A17639"/>
    <w:rsid w:val="00A23C8B"/>
    <w:rsid w:val="00A24BCF"/>
    <w:rsid w:val="00A264B3"/>
    <w:rsid w:val="00A3590A"/>
    <w:rsid w:val="00A35C2C"/>
    <w:rsid w:val="00A36105"/>
    <w:rsid w:val="00A42CD9"/>
    <w:rsid w:val="00A477DD"/>
    <w:rsid w:val="00A52996"/>
    <w:rsid w:val="00A546BA"/>
    <w:rsid w:val="00A571EB"/>
    <w:rsid w:val="00A658BC"/>
    <w:rsid w:val="00A67DA5"/>
    <w:rsid w:val="00A723A9"/>
    <w:rsid w:val="00A923DF"/>
    <w:rsid w:val="00A93658"/>
    <w:rsid w:val="00A95070"/>
    <w:rsid w:val="00AA4213"/>
    <w:rsid w:val="00AB0A59"/>
    <w:rsid w:val="00AB1009"/>
    <w:rsid w:val="00AB4B88"/>
    <w:rsid w:val="00AC1485"/>
    <w:rsid w:val="00AC4599"/>
    <w:rsid w:val="00AD3C61"/>
    <w:rsid w:val="00AD5AD2"/>
    <w:rsid w:val="00AF05F0"/>
    <w:rsid w:val="00AF06F3"/>
    <w:rsid w:val="00AF0B6B"/>
    <w:rsid w:val="00AF0F4F"/>
    <w:rsid w:val="00AF76CF"/>
    <w:rsid w:val="00B01475"/>
    <w:rsid w:val="00B025B7"/>
    <w:rsid w:val="00B065E4"/>
    <w:rsid w:val="00B066DC"/>
    <w:rsid w:val="00B25E52"/>
    <w:rsid w:val="00B349AB"/>
    <w:rsid w:val="00B50D27"/>
    <w:rsid w:val="00B51DE2"/>
    <w:rsid w:val="00B5678A"/>
    <w:rsid w:val="00B571FD"/>
    <w:rsid w:val="00B62FB1"/>
    <w:rsid w:val="00B63426"/>
    <w:rsid w:val="00B66B55"/>
    <w:rsid w:val="00B7079B"/>
    <w:rsid w:val="00B742A1"/>
    <w:rsid w:val="00B82F7E"/>
    <w:rsid w:val="00B86AB6"/>
    <w:rsid w:val="00B87D5D"/>
    <w:rsid w:val="00B900DB"/>
    <w:rsid w:val="00B90469"/>
    <w:rsid w:val="00B95A0B"/>
    <w:rsid w:val="00BA190D"/>
    <w:rsid w:val="00BB11AC"/>
    <w:rsid w:val="00BB2F48"/>
    <w:rsid w:val="00BB559A"/>
    <w:rsid w:val="00BB5A22"/>
    <w:rsid w:val="00BC161C"/>
    <w:rsid w:val="00BC3D2C"/>
    <w:rsid w:val="00BD1CEC"/>
    <w:rsid w:val="00BD5CD8"/>
    <w:rsid w:val="00BD656E"/>
    <w:rsid w:val="00BD71AC"/>
    <w:rsid w:val="00BE7356"/>
    <w:rsid w:val="00BE76FA"/>
    <w:rsid w:val="00C02A23"/>
    <w:rsid w:val="00C138CA"/>
    <w:rsid w:val="00C20BA3"/>
    <w:rsid w:val="00C271C1"/>
    <w:rsid w:val="00C30178"/>
    <w:rsid w:val="00C30A4E"/>
    <w:rsid w:val="00C33B2A"/>
    <w:rsid w:val="00C33E23"/>
    <w:rsid w:val="00C40076"/>
    <w:rsid w:val="00C55F55"/>
    <w:rsid w:val="00C56739"/>
    <w:rsid w:val="00C64C3D"/>
    <w:rsid w:val="00C75080"/>
    <w:rsid w:val="00C77AFB"/>
    <w:rsid w:val="00C84452"/>
    <w:rsid w:val="00CA7061"/>
    <w:rsid w:val="00CB2BC0"/>
    <w:rsid w:val="00CB482E"/>
    <w:rsid w:val="00CD2626"/>
    <w:rsid w:val="00CD34C1"/>
    <w:rsid w:val="00CD48DE"/>
    <w:rsid w:val="00CD5756"/>
    <w:rsid w:val="00CD7260"/>
    <w:rsid w:val="00CE30EB"/>
    <w:rsid w:val="00CE743D"/>
    <w:rsid w:val="00CE7710"/>
    <w:rsid w:val="00CF2684"/>
    <w:rsid w:val="00CF30A2"/>
    <w:rsid w:val="00D03050"/>
    <w:rsid w:val="00D0340E"/>
    <w:rsid w:val="00D05838"/>
    <w:rsid w:val="00D0727D"/>
    <w:rsid w:val="00D131C2"/>
    <w:rsid w:val="00D14D2A"/>
    <w:rsid w:val="00D16CF4"/>
    <w:rsid w:val="00D21605"/>
    <w:rsid w:val="00D31ACF"/>
    <w:rsid w:val="00D36B58"/>
    <w:rsid w:val="00D408C7"/>
    <w:rsid w:val="00D43A95"/>
    <w:rsid w:val="00D52EBB"/>
    <w:rsid w:val="00D63111"/>
    <w:rsid w:val="00D66479"/>
    <w:rsid w:val="00D676BC"/>
    <w:rsid w:val="00D7072B"/>
    <w:rsid w:val="00D726B7"/>
    <w:rsid w:val="00D850BF"/>
    <w:rsid w:val="00D8717F"/>
    <w:rsid w:val="00D915A0"/>
    <w:rsid w:val="00DA50A4"/>
    <w:rsid w:val="00DA7C83"/>
    <w:rsid w:val="00DB778A"/>
    <w:rsid w:val="00DC0567"/>
    <w:rsid w:val="00DC3942"/>
    <w:rsid w:val="00DC76E9"/>
    <w:rsid w:val="00DD1092"/>
    <w:rsid w:val="00DD5B3C"/>
    <w:rsid w:val="00E07F14"/>
    <w:rsid w:val="00E21DC7"/>
    <w:rsid w:val="00E321A5"/>
    <w:rsid w:val="00E32EE2"/>
    <w:rsid w:val="00E37EA9"/>
    <w:rsid w:val="00E551E8"/>
    <w:rsid w:val="00E614C3"/>
    <w:rsid w:val="00E722E4"/>
    <w:rsid w:val="00E77558"/>
    <w:rsid w:val="00E947CA"/>
    <w:rsid w:val="00EA23BD"/>
    <w:rsid w:val="00EA2BCE"/>
    <w:rsid w:val="00EA3B1A"/>
    <w:rsid w:val="00EB580B"/>
    <w:rsid w:val="00EC2D76"/>
    <w:rsid w:val="00ED3B8F"/>
    <w:rsid w:val="00ED6FEA"/>
    <w:rsid w:val="00EF167A"/>
    <w:rsid w:val="00EF4B80"/>
    <w:rsid w:val="00EF4CB7"/>
    <w:rsid w:val="00F00336"/>
    <w:rsid w:val="00F0270C"/>
    <w:rsid w:val="00F11259"/>
    <w:rsid w:val="00F166A0"/>
    <w:rsid w:val="00F17417"/>
    <w:rsid w:val="00F364C9"/>
    <w:rsid w:val="00F42489"/>
    <w:rsid w:val="00F46839"/>
    <w:rsid w:val="00F51FFE"/>
    <w:rsid w:val="00F54DC0"/>
    <w:rsid w:val="00F57A56"/>
    <w:rsid w:val="00F57D56"/>
    <w:rsid w:val="00F61074"/>
    <w:rsid w:val="00F65E1A"/>
    <w:rsid w:val="00F67B07"/>
    <w:rsid w:val="00F73ADC"/>
    <w:rsid w:val="00F75B1C"/>
    <w:rsid w:val="00F84291"/>
    <w:rsid w:val="00F8555D"/>
    <w:rsid w:val="00F9026F"/>
    <w:rsid w:val="00F94529"/>
    <w:rsid w:val="00F94BC4"/>
    <w:rsid w:val="00FA1C9F"/>
    <w:rsid w:val="00FA2901"/>
    <w:rsid w:val="00FA324E"/>
    <w:rsid w:val="00FA45ED"/>
    <w:rsid w:val="00FA4FE5"/>
    <w:rsid w:val="00FA62E9"/>
    <w:rsid w:val="00FB44BC"/>
    <w:rsid w:val="00FB469E"/>
    <w:rsid w:val="00FB6521"/>
    <w:rsid w:val="00FC0A7B"/>
    <w:rsid w:val="00FC1692"/>
    <w:rsid w:val="00FC4630"/>
    <w:rsid w:val="00FC69BA"/>
    <w:rsid w:val="00FF0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2E8166"/>
  <w15:docId w15:val="{F835708D-B9C2-4379-A801-315AB649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0B8"/>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Box">
    <w:name w:val="SigBox"/>
    <w:uiPriority w:val="99"/>
    <w:rsid w:val="003820B8"/>
    <w:pPr>
      <w:tabs>
        <w:tab w:val="center" w:pos="4320"/>
        <w:tab w:val="right" w:pos="8640"/>
      </w:tabs>
    </w:pPr>
    <w:rPr>
      <w:sz w:val="24"/>
    </w:rPr>
  </w:style>
  <w:style w:type="paragraph" w:styleId="Header">
    <w:name w:val="header"/>
    <w:basedOn w:val="Normal"/>
    <w:link w:val="HeaderChar"/>
    <w:uiPriority w:val="99"/>
    <w:rsid w:val="003820B8"/>
    <w:pPr>
      <w:tabs>
        <w:tab w:val="center" w:pos="4320"/>
        <w:tab w:val="right" w:pos="8640"/>
      </w:tabs>
    </w:pPr>
  </w:style>
  <w:style w:type="character" w:customStyle="1" w:styleId="HeaderChar">
    <w:name w:val="Header Char"/>
    <w:basedOn w:val="DefaultParagraphFont"/>
    <w:link w:val="Header"/>
    <w:uiPriority w:val="99"/>
    <w:semiHidden/>
    <w:rsid w:val="008C3E85"/>
    <w:rPr>
      <w:sz w:val="24"/>
      <w:szCs w:val="20"/>
    </w:rPr>
  </w:style>
  <w:style w:type="character" w:styleId="PageNumber">
    <w:name w:val="page number"/>
    <w:basedOn w:val="DefaultParagraphFont"/>
    <w:uiPriority w:val="99"/>
    <w:rsid w:val="003820B8"/>
    <w:rPr>
      <w:rFonts w:cs="Times New Roman"/>
    </w:rPr>
  </w:style>
  <w:style w:type="character" w:styleId="Hyperlink">
    <w:name w:val="Hyperlink"/>
    <w:basedOn w:val="DefaultParagraphFont"/>
    <w:uiPriority w:val="99"/>
    <w:rsid w:val="003820B8"/>
    <w:rPr>
      <w:rFonts w:cs="Times New Roman"/>
      <w:color w:val="0000FF"/>
      <w:u w:val="single"/>
    </w:rPr>
  </w:style>
  <w:style w:type="character" w:styleId="CommentReference">
    <w:name w:val="annotation reference"/>
    <w:basedOn w:val="DefaultParagraphFont"/>
    <w:uiPriority w:val="99"/>
    <w:semiHidden/>
    <w:rsid w:val="003820B8"/>
    <w:rPr>
      <w:rFonts w:cs="Times New Roman"/>
      <w:sz w:val="16"/>
      <w:szCs w:val="16"/>
    </w:rPr>
  </w:style>
  <w:style w:type="paragraph" w:styleId="CommentText">
    <w:name w:val="annotation text"/>
    <w:basedOn w:val="Normal"/>
    <w:link w:val="CommentTextChar"/>
    <w:uiPriority w:val="99"/>
    <w:semiHidden/>
    <w:rsid w:val="003820B8"/>
    <w:rPr>
      <w:sz w:val="20"/>
    </w:rPr>
  </w:style>
  <w:style w:type="character" w:customStyle="1" w:styleId="CommentTextChar">
    <w:name w:val="Comment Text Char"/>
    <w:basedOn w:val="DefaultParagraphFont"/>
    <w:link w:val="CommentText"/>
    <w:uiPriority w:val="99"/>
    <w:semiHidden/>
    <w:rsid w:val="008C3E85"/>
    <w:rPr>
      <w:sz w:val="20"/>
      <w:szCs w:val="20"/>
    </w:rPr>
  </w:style>
  <w:style w:type="paragraph" w:styleId="BalloonText">
    <w:name w:val="Balloon Text"/>
    <w:basedOn w:val="Normal"/>
    <w:link w:val="BalloonTextChar"/>
    <w:uiPriority w:val="99"/>
    <w:semiHidden/>
    <w:rsid w:val="003820B8"/>
    <w:rPr>
      <w:rFonts w:ascii="Tahoma" w:hAnsi="Tahoma" w:cs="Tahoma"/>
      <w:sz w:val="16"/>
      <w:szCs w:val="16"/>
    </w:rPr>
  </w:style>
  <w:style w:type="character" w:customStyle="1" w:styleId="BalloonTextChar">
    <w:name w:val="Balloon Text Char"/>
    <w:basedOn w:val="DefaultParagraphFont"/>
    <w:link w:val="BalloonText"/>
    <w:uiPriority w:val="99"/>
    <w:semiHidden/>
    <w:rsid w:val="008C3E85"/>
    <w:rPr>
      <w:sz w:val="0"/>
      <w:szCs w:val="0"/>
    </w:rPr>
  </w:style>
  <w:style w:type="paragraph" w:styleId="CommentSubject">
    <w:name w:val="annotation subject"/>
    <w:basedOn w:val="CommentText"/>
    <w:next w:val="CommentText"/>
    <w:link w:val="CommentSubjectChar"/>
    <w:uiPriority w:val="99"/>
    <w:semiHidden/>
    <w:rsid w:val="009B5183"/>
    <w:rPr>
      <w:b/>
      <w:bCs/>
    </w:rPr>
  </w:style>
  <w:style w:type="character" w:customStyle="1" w:styleId="CommentSubjectChar">
    <w:name w:val="Comment Subject Char"/>
    <w:basedOn w:val="CommentTextChar"/>
    <w:link w:val="CommentSubject"/>
    <w:uiPriority w:val="99"/>
    <w:semiHidden/>
    <w:rsid w:val="008C3E85"/>
    <w:rPr>
      <w:b/>
      <w:bCs/>
      <w:sz w:val="20"/>
      <w:szCs w:val="20"/>
    </w:rPr>
  </w:style>
  <w:style w:type="paragraph" w:styleId="ListParagraph">
    <w:name w:val="List Paragraph"/>
    <w:basedOn w:val="Normal"/>
    <w:uiPriority w:val="34"/>
    <w:qFormat/>
    <w:rsid w:val="002A3C21"/>
    <w:pPr>
      <w:ind w:left="720"/>
    </w:pPr>
    <w:rPr>
      <w:rFonts w:ascii="Calibri" w:hAnsi="Calibri"/>
      <w:sz w:val="22"/>
      <w:szCs w:val="22"/>
    </w:rPr>
  </w:style>
  <w:style w:type="paragraph" w:styleId="DocumentMap">
    <w:name w:val="Document Map"/>
    <w:basedOn w:val="Normal"/>
    <w:link w:val="DocumentMapChar"/>
    <w:uiPriority w:val="99"/>
    <w:semiHidden/>
    <w:rsid w:val="00C30A4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8C3E85"/>
    <w:rPr>
      <w:sz w:val="0"/>
      <w:szCs w:val="0"/>
    </w:rPr>
  </w:style>
  <w:style w:type="paragraph" w:styleId="Footer">
    <w:name w:val="footer"/>
    <w:basedOn w:val="Normal"/>
    <w:link w:val="FooterChar"/>
    <w:uiPriority w:val="99"/>
    <w:unhideWhenUsed/>
    <w:rsid w:val="00F57D56"/>
    <w:pPr>
      <w:tabs>
        <w:tab w:val="center" w:pos="4680"/>
        <w:tab w:val="right" w:pos="9360"/>
      </w:tabs>
    </w:pPr>
  </w:style>
  <w:style w:type="character" w:customStyle="1" w:styleId="FooterChar">
    <w:name w:val="Footer Char"/>
    <w:basedOn w:val="DefaultParagraphFont"/>
    <w:link w:val="Footer"/>
    <w:uiPriority w:val="99"/>
    <w:rsid w:val="00F57D56"/>
    <w:rPr>
      <w:sz w:val="24"/>
      <w:szCs w:val="20"/>
    </w:rPr>
  </w:style>
  <w:style w:type="paragraph" w:styleId="PlainText">
    <w:name w:val="Plain Text"/>
    <w:basedOn w:val="Normal"/>
    <w:link w:val="PlainTextChar"/>
    <w:uiPriority w:val="99"/>
    <w:semiHidden/>
    <w:unhideWhenUsed/>
    <w:rsid w:val="00502A1D"/>
    <w:rPr>
      <w:rFonts w:ascii="Consolas" w:eastAsia="Calibri" w:hAnsi="Consolas"/>
      <w:sz w:val="21"/>
      <w:szCs w:val="21"/>
    </w:rPr>
  </w:style>
  <w:style w:type="character" w:customStyle="1" w:styleId="PlainTextChar">
    <w:name w:val="Plain Text Char"/>
    <w:basedOn w:val="DefaultParagraphFont"/>
    <w:link w:val="PlainText"/>
    <w:uiPriority w:val="99"/>
    <w:semiHidden/>
    <w:rsid w:val="00502A1D"/>
    <w:rPr>
      <w:rFonts w:ascii="Consolas" w:eastAsia="Calibri" w:hAnsi="Consolas"/>
      <w:sz w:val="21"/>
      <w:szCs w:val="21"/>
    </w:rPr>
  </w:style>
  <w:style w:type="character" w:styleId="FollowedHyperlink">
    <w:name w:val="FollowedHyperlink"/>
    <w:basedOn w:val="DefaultParagraphFont"/>
    <w:uiPriority w:val="99"/>
    <w:semiHidden/>
    <w:unhideWhenUsed/>
    <w:rsid w:val="009B6793"/>
    <w:rPr>
      <w:color w:val="800080" w:themeColor="followedHyperlink"/>
      <w:u w:val="single"/>
    </w:rPr>
  </w:style>
  <w:style w:type="character" w:styleId="Emphasis">
    <w:name w:val="Emphasis"/>
    <w:basedOn w:val="DefaultParagraphFont"/>
    <w:uiPriority w:val="20"/>
    <w:qFormat/>
    <w:locked/>
    <w:rsid w:val="000D1EF7"/>
    <w:rPr>
      <w:i/>
      <w:iCs/>
    </w:rPr>
  </w:style>
  <w:style w:type="table" w:styleId="GridTable1Light">
    <w:name w:val="Grid Table 1 Light"/>
    <w:basedOn w:val="TableNormal"/>
    <w:uiPriority w:val="46"/>
    <w:rsid w:val="00763E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FA45E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FA4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77AC5"/>
    <w:pPr>
      <w:spacing w:before="100" w:beforeAutospacing="1" w:after="100" w:afterAutospacing="1"/>
    </w:pPr>
    <w:rPr>
      <w:rFonts w:eastAsiaTheme="minorHAnsi"/>
      <w:szCs w:val="24"/>
    </w:rPr>
  </w:style>
  <w:style w:type="paragraph" w:styleId="FootnoteText">
    <w:name w:val="footnote text"/>
    <w:basedOn w:val="Normal"/>
    <w:link w:val="FootnoteTextChar"/>
    <w:uiPriority w:val="99"/>
    <w:semiHidden/>
    <w:unhideWhenUsed/>
    <w:rsid w:val="00D05838"/>
    <w:rPr>
      <w:sz w:val="20"/>
    </w:rPr>
  </w:style>
  <w:style w:type="character" w:customStyle="1" w:styleId="FootnoteTextChar">
    <w:name w:val="Footnote Text Char"/>
    <w:basedOn w:val="DefaultParagraphFont"/>
    <w:link w:val="FootnoteText"/>
    <w:uiPriority w:val="99"/>
    <w:semiHidden/>
    <w:rsid w:val="00D05838"/>
  </w:style>
  <w:style w:type="character" w:styleId="FootnoteReference">
    <w:name w:val="footnote reference"/>
    <w:basedOn w:val="DefaultParagraphFont"/>
    <w:uiPriority w:val="99"/>
    <w:semiHidden/>
    <w:unhideWhenUsed/>
    <w:rsid w:val="00D05838"/>
    <w:rPr>
      <w:vertAlign w:val="superscript"/>
    </w:rPr>
  </w:style>
  <w:style w:type="paragraph" w:customStyle="1" w:styleId="Default">
    <w:name w:val="Default"/>
    <w:rsid w:val="00D05838"/>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3174EB"/>
    <w:rPr>
      <w:color w:val="605E5C"/>
      <w:shd w:val="clear" w:color="auto" w:fill="E1DFDD"/>
    </w:rPr>
  </w:style>
  <w:style w:type="paragraph" w:styleId="Revision">
    <w:name w:val="Revision"/>
    <w:hidden/>
    <w:uiPriority w:val="99"/>
    <w:semiHidden/>
    <w:rsid w:val="00581BDE"/>
    <w:rPr>
      <w:sz w:val="24"/>
    </w:rPr>
  </w:style>
  <w:style w:type="character" w:styleId="UnresolvedMention">
    <w:name w:val="Unresolved Mention"/>
    <w:basedOn w:val="DefaultParagraphFont"/>
    <w:uiPriority w:val="99"/>
    <w:semiHidden/>
    <w:unhideWhenUsed/>
    <w:rsid w:val="00343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8511">
      <w:bodyDiv w:val="1"/>
      <w:marLeft w:val="0"/>
      <w:marRight w:val="0"/>
      <w:marTop w:val="0"/>
      <w:marBottom w:val="0"/>
      <w:divBdr>
        <w:top w:val="none" w:sz="0" w:space="0" w:color="auto"/>
        <w:left w:val="none" w:sz="0" w:space="0" w:color="auto"/>
        <w:bottom w:val="none" w:sz="0" w:space="0" w:color="auto"/>
        <w:right w:val="none" w:sz="0" w:space="0" w:color="auto"/>
      </w:divBdr>
    </w:div>
    <w:div w:id="285818129">
      <w:bodyDiv w:val="1"/>
      <w:marLeft w:val="0"/>
      <w:marRight w:val="0"/>
      <w:marTop w:val="0"/>
      <w:marBottom w:val="0"/>
      <w:divBdr>
        <w:top w:val="none" w:sz="0" w:space="0" w:color="auto"/>
        <w:left w:val="none" w:sz="0" w:space="0" w:color="auto"/>
        <w:bottom w:val="none" w:sz="0" w:space="0" w:color="auto"/>
        <w:right w:val="none" w:sz="0" w:space="0" w:color="auto"/>
      </w:divBdr>
    </w:div>
    <w:div w:id="764543405">
      <w:bodyDiv w:val="1"/>
      <w:marLeft w:val="0"/>
      <w:marRight w:val="0"/>
      <w:marTop w:val="0"/>
      <w:marBottom w:val="0"/>
      <w:divBdr>
        <w:top w:val="none" w:sz="0" w:space="0" w:color="auto"/>
        <w:left w:val="none" w:sz="0" w:space="0" w:color="auto"/>
        <w:bottom w:val="none" w:sz="0" w:space="0" w:color="auto"/>
        <w:right w:val="none" w:sz="0" w:space="0" w:color="auto"/>
      </w:divBdr>
    </w:div>
    <w:div w:id="884485855">
      <w:marLeft w:val="0"/>
      <w:marRight w:val="0"/>
      <w:marTop w:val="0"/>
      <w:marBottom w:val="0"/>
      <w:divBdr>
        <w:top w:val="none" w:sz="0" w:space="0" w:color="auto"/>
        <w:left w:val="none" w:sz="0" w:space="0" w:color="auto"/>
        <w:bottom w:val="none" w:sz="0" w:space="0" w:color="auto"/>
        <w:right w:val="none" w:sz="0" w:space="0" w:color="auto"/>
      </w:divBdr>
    </w:div>
    <w:div w:id="990910481">
      <w:bodyDiv w:val="1"/>
      <w:marLeft w:val="0"/>
      <w:marRight w:val="0"/>
      <w:marTop w:val="0"/>
      <w:marBottom w:val="0"/>
      <w:divBdr>
        <w:top w:val="none" w:sz="0" w:space="0" w:color="auto"/>
        <w:left w:val="none" w:sz="0" w:space="0" w:color="auto"/>
        <w:bottom w:val="none" w:sz="0" w:space="0" w:color="auto"/>
        <w:right w:val="none" w:sz="0" w:space="0" w:color="auto"/>
      </w:divBdr>
    </w:div>
    <w:div w:id="1297033213">
      <w:bodyDiv w:val="1"/>
      <w:marLeft w:val="0"/>
      <w:marRight w:val="0"/>
      <w:marTop w:val="0"/>
      <w:marBottom w:val="0"/>
      <w:divBdr>
        <w:top w:val="none" w:sz="0" w:space="0" w:color="auto"/>
        <w:left w:val="none" w:sz="0" w:space="0" w:color="auto"/>
        <w:bottom w:val="none" w:sz="0" w:space="0" w:color="auto"/>
        <w:right w:val="none" w:sz="0" w:space="0" w:color="auto"/>
      </w:divBdr>
    </w:div>
    <w:div w:id="1970814455">
      <w:bodyDiv w:val="1"/>
      <w:marLeft w:val="0"/>
      <w:marRight w:val="0"/>
      <w:marTop w:val="0"/>
      <w:marBottom w:val="0"/>
      <w:divBdr>
        <w:top w:val="none" w:sz="0" w:space="0" w:color="auto"/>
        <w:left w:val="none" w:sz="0" w:space="0" w:color="auto"/>
        <w:bottom w:val="none" w:sz="0" w:space="0" w:color="auto"/>
        <w:right w:val="none" w:sz="0" w:space="0" w:color="auto"/>
      </w:divBdr>
    </w:div>
    <w:div w:id="20148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5/subtitle-A/subchapter-A/part-9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f.hhs.gov/sites/default/files/documents/occ/child_care_and_development_block_grant_markup.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f.hhs.gov/sites/default/files/documents/occ/ccdf_tracked_changes_of_existing_regulat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gress.gov/117/plaws/publ2/PLAW-117publ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urrent/title-45/subtitle-A/subchapter-A/part-7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05A1-5B29-4164-99E6-476DF074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CCDF-ACF-PI-2011-03, Child Care and Development Fund (CCDF), Plan, Preprint, (ACF-118)</vt:lpstr>
    </vt:vector>
  </TitlesOfParts>
  <Company>Department of Health and Human Services</Company>
  <LinksUpToDate>false</LinksUpToDate>
  <CharactersWithSpaces>9155</CharactersWithSpaces>
  <SharedDoc>false</SharedDoc>
  <HLinks>
    <vt:vector size="24" baseType="variant">
      <vt:variant>
        <vt:i4>7274614</vt:i4>
      </vt:variant>
      <vt:variant>
        <vt:i4>9</vt:i4>
      </vt:variant>
      <vt:variant>
        <vt:i4>0</vt:i4>
      </vt:variant>
      <vt:variant>
        <vt:i4>5</vt:i4>
      </vt:variant>
      <vt:variant>
        <vt:lpwstr>http://www.acf.hhs.gov/programs/occ/law/ccdbgact/index.htm</vt:lpwstr>
      </vt:variant>
      <vt:variant>
        <vt:lpwstr/>
      </vt:variant>
      <vt:variant>
        <vt:i4>7143524</vt:i4>
      </vt:variant>
      <vt:variant>
        <vt:i4>6</vt:i4>
      </vt:variant>
      <vt:variant>
        <vt:i4>0</vt:i4>
      </vt:variant>
      <vt:variant>
        <vt:i4>5</vt:i4>
      </vt:variant>
      <vt:variant>
        <vt:lpwstr>http://www.acf.hhs.gov/programs/occ/law/finalrul/index.htm</vt:lpwstr>
      </vt:variant>
      <vt:variant>
        <vt:lpwstr/>
      </vt:variant>
      <vt:variant>
        <vt:i4>1114177</vt:i4>
      </vt:variant>
      <vt:variant>
        <vt:i4>3</vt:i4>
      </vt:variant>
      <vt:variant>
        <vt:i4>0</vt:i4>
      </vt:variant>
      <vt:variant>
        <vt:i4>5</vt:i4>
      </vt:variant>
      <vt:variant>
        <vt:lpwstr>http://www.acf.hhs.gov/programs/occ/law/guidance/current/</vt:lpwstr>
      </vt:variant>
      <vt:variant>
        <vt:lpwstr/>
      </vt:variant>
      <vt:variant>
        <vt:i4>3342445</vt:i4>
      </vt:variant>
      <vt:variant>
        <vt:i4>0</vt:i4>
      </vt:variant>
      <vt:variant>
        <vt:i4>0</vt:i4>
      </vt:variant>
      <vt:variant>
        <vt:i4>5</vt:i4>
      </vt:variant>
      <vt:variant>
        <vt:lpwstr>http://www.acf.hhs.gov/programs/occ/law/state_topic_application.htm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CCDF-ACF-PI-2011-03, Child Care and Development Fund (CCDF), Plan, Preprint, (ACF-118)</dc:title>
  <dc:subject>CCDF-ACF-PI-2011-03, Child Care and Development Fund (CCDF), Plan, Preprint, (ACF-118)</dc:subject>
  <dc:creator>McKinnon, Rachel (ACF)</dc:creator>
  <cp:lastModifiedBy>McKinnon, Rachel (ACF)</cp:lastModifiedBy>
  <cp:revision>3</cp:revision>
  <cp:lastPrinted>2019-11-14T16:06:00Z</cp:lastPrinted>
  <dcterms:created xsi:type="dcterms:W3CDTF">2021-11-22T12:53:00Z</dcterms:created>
  <dcterms:modified xsi:type="dcterms:W3CDTF">2021-11-22T12:53:00Z</dcterms:modified>
</cp:coreProperties>
</file>