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CCE" w:rsidRDefault="00374CCE" w14:paraId="26096B93" w14:textId="77777777">
      <w:pPr>
        <w:jc w:val="left"/>
        <w:rPr>
          <w:rFonts w:ascii="Trebuchet MS" w:hAnsi="Trebuchet MS"/>
          <w:color w:val="000080"/>
          <w:sz w:val="48"/>
          <w:szCs w:val="48"/>
        </w:rPr>
      </w:pPr>
      <w:bookmarkStart w:name="_Toc452886157" w:id="0"/>
      <w:bookmarkStart w:name="_Toc461867411" w:id="1"/>
      <w:bookmarkStart w:name="_Toc461936331" w:id="2"/>
    </w:p>
    <w:p w:rsidR="00374CCE" w:rsidRDefault="00374CCE" w14:paraId="5270A737" w14:textId="4CA1988E">
      <w:pPr>
        <w:jc w:val="center"/>
        <w:rPr>
          <w:rFonts w:ascii="Trebuchet MS" w:hAnsi="Trebuchet MS"/>
          <w:color w:val="000080"/>
          <w:sz w:val="48"/>
          <w:szCs w:val="48"/>
        </w:rPr>
      </w:pPr>
      <w:r w:rsidRPr="006F2C59">
        <w:rPr>
          <w:rFonts w:ascii="Trebuchet MS" w:hAnsi="Trebuchet MS"/>
          <w:b/>
          <w:color w:val="000080"/>
          <w:sz w:val="48"/>
          <w:szCs w:val="48"/>
        </w:rPr>
        <w:t>Application for Data Collection</w:t>
      </w:r>
      <w:r>
        <w:rPr>
          <w:rFonts w:ascii="Trebuchet MS" w:hAnsi="Trebuchet MS"/>
          <w:color w:val="000080"/>
          <w:sz w:val="48"/>
          <w:szCs w:val="48"/>
        </w:rPr>
        <w:t>:</w:t>
      </w:r>
    </w:p>
    <w:p w:rsidR="00374CCE" w:rsidRDefault="00374CCE" w14:paraId="46CBC764" w14:textId="77777777">
      <w:pPr>
        <w:jc w:val="center"/>
        <w:rPr>
          <w:rFonts w:ascii="Trebuchet MS" w:hAnsi="Trebuchet MS"/>
          <w:color w:val="000080"/>
          <w:sz w:val="48"/>
          <w:szCs w:val="48"/>
        </w:rPr>
      </w:pPr>
    </w:p>
    <w:p w:rsidRPr="006F2C59" w:rsidR="005156C4" w:rsidRDefault="00374CCE" w14:paraId="12AD1C13" w14:textId="77777777">
      <w:pPr>
        <w:jc w:val="center"/>
        <w:rPr>
          <w:rFonts w:ascii="Trebuchet MS" w:hAnsi="Trebuchet MS"/>
          <w:b/>
          <w:color w:val="000080"/>
          <w:sz w:val="48"/>
          <w:szCs w:val="48"/>
        </w:rPr>
      </w:pPr>
      <w:r w:rsidRPr="006F2C59">
        <w:rPr>
          <w:rFonts w:ascii="Trebuchet MS" w:hAnsi="Trebuchet MS"/>
          <w:b/>
          <w:color w:val="000080"/>
          <w:sz w:val="48"/>
          <w:szCs w:val="48"/>
        </w:rPr>
        <w:t>Supporting Statement for</w:t>
      </w:r>
    </w:p>
    <w:p w:rsidRPr="006F2C59" w:rsidR="00374CCE" w:rsidRDefault="00E17B6F" w14:paraId="161AC917" w14:textId="143AF639">
      <w:pPr>
        <w:jc w:val="center"/>
        <w:rPr>
          <w:rFonts w:ascii="Trebuchet MS" w:hAnsi="Trebuchet MS"/>
          <w:b/>
          <w:color w:val="000080"/>
          <w:sz w:val="48"/>
          <w:szCs w:val="48"/>
        </w:rPr>
      </w:pPr>
      <w:proofErr w:type="gramStart"/>
      <w:r>
        <w:rPr>
          <w:rFonts w:ascii="Trebuchet MS" w:hAnsi="Trebuchet MS"/>
          <w:b/>
          <w:color w:val="000080"/>
          <w:sz w:val="48"/>
          <w:szCs w:val="48"/>
        </w:rPr>
        <w:t>1</w:t>
      </w:r>
      <w:r w:rsidR="007950B2">
        <w:rPr>
          <w:rFonts w:ascii="Trebuchet MS" w:hAnsi="Trebuchet MS"/>
          <w:b/>
          <w:color w:val="000080"/>
          <w:sz w:val="48"/>
          <w:szCs w:val="48"/>
        </w:rPr>
        <w:t>5</w:t>
      </w:r>
      <w:r w:rsidRPr="00E17B6F">
        <w:rPr>
          <w:rFonts w:ascii="Trebuchet MS" w:hAnsi="Trebuchet MS"/>
          <w:b/>
          <w:color w:val="000080"/>
          <w:sz w:val="48"/>
          <w:szCs w:val="48"/>
          <w:vertAlign w:val="superscript"/>
        </w:rPr>
        <w:t>th</w:t>
      </w:r>
      <w:proofErr w:type="gramEnd"/>
      <w:r w:rsidRPr="006F2C59" w:rsidR="00374CCE">
        <w:rPr>
          <w:rFonts w:ascii="Trebuchet MS" w:hAnsi="Trebuchet MS"/>
          <w:b/>
          <w:color w:val="000080"/>
          <w:sz w:val="48"/>
          <w:szCs w:val="48"/>
        </w:rPr>
        <w:t xml:space="preserve"> National</w:t>
      </w:r>
      <w:r w:rsidRPr="006F2C59" w:rsidR="005156C4">
        <w:rPr>
          <w:rFonts w:ascii="Trebuchet MS" w:hAnsi="Trebuchet MS"/>
          <w:b/>
          <w:color w:val="000080"/>
          <w:sz w:val="48"/>
          <w:szCs w:val="48"/>
        </w:rPr>
        <w:t xml:space="preserve"> </w:t>
      </w:r>
      <w:r w:rsidRPr="006F2C59" w:rsidR="00374CCE">
        <w:rPr>
          <w:rFonts w:ascii="Trebuchet MS" w:hAnsi="Trebuchet MS"/>
          <w:b/>
          <w:color w:val="000080"/>
          <w:sz w:val="48"/>
          <w:szCs w:val="48"/>
        </w:rPr>
        <w:t>S</w:t>
      </w:r>
      <w:r w:rsidRPr="006F2C59" w:rsidR="005156C4">
        <w:rPr>
          <w:rFonts w:ascii="Trebuchet MS" w:hAnsi="Trebuchet MS"/>
          <w:b/>
          <w:color w:val="000080"/>
          <w:sz w:val="48"/>
          <w:szCs w:val="48"/>
        </w:rPr>
        <w:t>urvey</w:t>
      </w:r>
      <w:r w:rsidRPr="006F2C59" w:rsidR="00374CCE">
        <w:rPr>
          <w:rFonts w:ascii="Trebuchet MS" w:hAnsi="Trebuchet MS"/>
          <w:b/>
          <w:color w:val="000080"/>
          <w:sz w:val="48"/>
          <w:szCs w:val="48"/>
        </w:rPr>
        <w:t xml:space="preserve"> of</w:t>
      </w:r>
    </w:p>
    <w:p w:rsidRPr="006F2C59" w:rsidR="00374CCE" w:rsidRDefault="00374CCE" w14:paraId="1CA13613" w14:textId="77777777">
      <w:pPr>
        <w:jc w:val="center"/>
        <w:rPr>
          <w:rFonts w:ascii="Trebuchet MS" w:hAnsi="Trebuchet MS"/>
          <w:b/>
          <w:color w:val="000080"/>
          <w:sz w:val="48"/>
          <w:szCs w:val="48"/>
        </w:rPr>
      </w:pPr>
      <w:r w:rsidRPr="006F2C59">
        <w:rPr>
          <w:rFonts w:ascii="Trebuchet MS" w:hAnsi="Trebuchet MS"/>
          <w:b/>
          <w:color w:val="000080"/>
          <w:sz w:val="48"/>
          <w:szCs w:val="48"/>
        </w:rPr>
        <w:t>O</w:t>
      </w:r>
      <w:r w:rsidRPr="006F2C59" w:rsidR="00EE5169">
        <w:rPr>
          <w:rFonts w:ascii="Trebuchet MS" w:hAnsi="Trebuchet MS"/>
          <w:b/>
          <w:color w:val="000080"/>
          <w:sz w:val="48"/>
          <w:szCs w:val="48"/>
        </w:rPr>
        <w:t>lder Americans Act Participants</w:t>
      </w:r>
    </w:p>
    <w:p w:rsidR="00374CCE" w:rsidRDefault="00374CCE" w14:paraId="6FA42BA6" w14:textId="77777777">
      <w:pPr>
        <w:jc w:val="center"/>
        <w:rPr>
          <w:rFonts w:ascii="Trebuchet MS" w:hAnsi="Trebuchet MS"/>
          <w:color w:val="000080"/>
          <w:sz w:val="48"/>
          <w:szCs w:val="48"/>
        </w:rPr>
      </w:pPr>
    </w:p>
    <w:p w:rsidR="00D97AFA" w:rsidRDefault="00D97AFA" w14:paraId="082B7AB7" w14:textId="77777777">
      <w:pPr>
        <w:jc w:val="center"/>
        <w:rPr>
          <w:rFonts w:ascii="Trebuchet MS" w:hAnsi="Trebuchet MS"/>
          <w:color w:val="000080"/>
          <w:sz w:val="48"/>
          <w:szCs w:val="48"/>
        </w:rPr>
      </w:pPr>
    </w:p>
    <w:p w:rsidR="00D97AFA" w:rsidRDefault="00D97AFA" w14:paraId="070F7841" w14:textId="0CA12489">
      <w:pPr>
        <w:jc w:val="center"/>
        <w:rPr>
          <w:rFonts w:ascii="Trebuchet MS" w:hAnsi="Trebuchet MS"/>
          <w:color w:val="000080"/>
          <w:sz w:val="48"/>
          <w:szCs w:val="48"/>
        </w:rPr>
      </w:pPr>
    </w:p>
    <w:p w:rsidR="00D97AFA" w:rsidRDefault="00D97AFA" w14:paraId="77850ACF" w14:textId="77777777">
      <w:pPr>
        <w:jc w:val="center"/>
        <w:rPr>
          <w:rFonts w:ascii="Trebuchet MS" w:hAnsi="Trebuchet MS"/>
          <w:color w:val="000080"/>
          <w:sz w:val="48"/>
          <w:szCs w:val="48"/>
        </w:rPr>
      </w:pPr>
    </w:p>
    <w:p w:rsidR="00C56DAD" w:rsidRDefault="003B3E5A" w14:paraId="45FCA60E" w14:textId="246BAE91">
      <w:pPr>
        <w:jc w:val="center"/>
        <w:rPr>
          <w:rFonts w:ascii="Trebuchet MS" w:hAnsi="Trebuchet MS"/>
          <w:b/>
        </w:rPr>
      </w:pPr>
      <w:r>
        <w:rPr>
          <w:rFonts w:ascii="Trebuchet MS" w:hAnsi="Trebuchet MS"/>
          <w:b/>
        </w:rPr>
        <w:t>Updated</w:t>
      </w:r>
    </w:p>
    <w:p w:rsidR="00A82AF4" w:rsidRDefault="00D00C91" w14:paraId="087B2E7F" w14:textId="671DBD89">
      <w:pPr>
        <w:jc w:val="center"/>
        <w:rPr>
          <w:rFonts w:ascii="Trebuchet MS" w:hAnsi="Trebuchet MS"/>
          <w:b/>
        </w:rPr>
      </w:pPr>
      <w:r>
        <w:rPr>
          <w:rFonts w:ascii="Trebuchet MS" w:hAnsi="Trebuchet MS"/>
          <w:b/>
        </w:rPr>
        <w:t>April 1</w:t>
      </w:r>
      <w:r w:rsidRPr="00B431BA" w:rsidR="00E17B6F">
        <w:rPr>
          <w:rFonts w:ascii="Trebuchet MS" w:hAnsi="Trebuchet MS"/>
          <w:b/>
        </w:rPr>
        <w:t>,</w:t>
      </w:r>
      <w:r w:rsidR="00E17B6F">
        <w:rPr>
          <w:rFonts w:ascii="Trebuchet MS" w:hAnsi="Trebuchet MS"/>
          <w:b/>
        </w:rPr>
        <w:t xml:space="preserve"> 20</w:t>
      </w:r>
      <w:r w:rsidR="007950B2">
        <w:rPr>
          <w:rFonts w:ascii="Trebuchet MS" w:hAnsi="Trebuchet MS"/>
          <w:b/>
        </w:rPr>
        <w:t>2</w:t>
      </w:r>
      <w:r w:rsidR="00183004">
        <w:rPr>
          <w:rFonts w:ascii="Trebuchet MS" w:hAnsi="Trebuchet MS"/>
          <w:b/>
        </w:rPr>
        <w:t>1</w:t>
      </w:r>
      <w:r w:rsidR="00A82AF4">
        <w:rPr>
          <w:rFonts w:ascii="Trebuchet MS" w:hAnsi="Trebuchet MS"/>
          <w:b/>
        </w:rPr>
        <w:t xml:space="preserve"> </w:t>
      </w:r>
    </w:p>
    <w:p w:rsidR="00374CCE" w:rsidRDefault="00374CCE" w14:paraId="78B37595" w14:textId="77777777">
      <w:pPr>
        <w:jc w:val="left"/>
      </w:pPr>
    </w:p>
    <w:p w:rsidR="00374CCE" w:rsidRDefault="00374CCE" w14:paraId="17B2BEDB" w14:textId="77777777">
      <w:pPr>
        <w:jc w:val="left"/>
      </w:pPr>
    </w:p>
    <w:p w:rsidR="00374CCE" w:rsidRDefault="00374CCE" w14:paraId="3F50966C" w14:textId="77777777">
      <w:pPr>
        <w:jc w:val="left"/>
      </w:pPr>
    </w:p>
    <w:p w:rsidR="00374CCE" w:rsidRDefault="00374CCE" w14:paraId="11A79649" w14:textId="77777777">
      <w:pPr>
        <w:jc w:val="left"/>
      </w:pPr>
    </w:p>
    <w:p w:rsidR="006B63E3" w:rsidRDefault="00DE08D1" w14:paraId="41B13B00" w14:textId="77777777">
      <w:pPr>
        <w:spacing w:line="240" w:lineRule="auto"/>
        <w:jc w:val="left"/>
        <w:rPr>
          <w:b/>
          <w:sz w:val="18"/>
          <w:szCs w:val="18"/>
        </w:rPr>
      </w:pPr>
      <w:r>
        <w:rPr>
          <w:b/>
          <w:sz w:val="18"/>
          <w:szCs w:val="18"/>
        </w:rPr>
        <w:br w:type="page"/>
      </w:r>
    </w:p>
    <w:p w:rsidR="00DE08D1" w:rsidRDefault="00DE08D1" w14:paraId="47315175" w14:textId="77777777">
      <w:pPr>
        <w:spacing w:line="240" w:lineRule="auto"/>
        <w:jc w:val="left"/>
        <w:rPr>
          <w:b/>
          <w:sz w:val="18"/>
          <w:szCs w:val="18"/>
        </w:rPr>
      </w:pPr>
    </w:p>
    <w:p w:rsidRPr="006B63E3" w:rsidR="006F2C59" w:rsidP="00F261BC" w:rsidRDefault="006F2C59" w14:paraId="4A0EC2E8" w14:textId="77777777">
      <w:pPr>
        <w:pStyle w:val="TC-TableofContentsHeading"/>
        <w:ind w:left="0"/>
        <w:rPr>
          <w:sz w:val="40"/>
          <w:szCs w:val="40"/>
        </w:rPr>
      </w:pPr>
      <w:r w:rsidRPr="006B63E3">
        <w:rPr>
          <w:sz w:val="40"/>
          <w:szCs w:val="40"/>
        </w:rPr>
        <w:t xml:space="preserve">Table of </w:t>
      </w:r>
      <w:r w:rsidR="00F261BC">
        <w:rPr>
          <w:sz w:val="40"/>
          <w:szCs w:val="40"/>
        </w:rPr>
        <w:t>C</w:t>
      </w:r>
      <w:r w:rsidRPr="006B63E3">
        <w:rPr>
          <w:sz w:val="40"/>
          <w:szCs w:val="40"/>
        </w:rPr>
        <w:t>ontents</w:t>
      </w:r>
    </w:p>
    <w:p w:rsidR="006F2C59" w:rsidP="006F2C59" w:rsidRDefault="006F2C59" w14:paraId="33580A1C" w14:textId="77777777">
      <w:pPr>
        <w:pStyle w:val="T0-ChapPgHd"/>
      </w:pPr>
      <w:r w:rsidRPr="006B63E3">
        <w:rPr>
          <w:rFonts w:ascii="Franklin Gothic Medium" w:hAnsi="Franklin Gothic Medium"/>
          <w:b/>
          <w:color w:val="002060"/>
          <w:sz w:val="32"/>
          <w:szCs w:val="32"/>
        </w:rPr>
        <w:t>Chapter</w:t>
      </w:r>
      <w:r>
        <w:tab/>
        <w:t>Page</w:t>
      </w:r>
    </w:p>
    <w:p w:rsidR="006F2C59" w:rsidP="006F2C59" w:rsidRDefault="006F2C59" w14:paraId="5388A71E" w14:textId="77777777">
      <w:pPr>
        <w:pStyle w:val="T0-ChapPgHd"/>
      </w:pPr>
    </w:p>
    <w:p w:rsidRPr="006F2C59" w:rsidR="006F2C59" w:rsidP="006F2C59" w:rsidRDefault="006F2C59" w14:paraId="3C8006A9" w14:textId="77777777">
      <w:pPr>
        <w:pStyle w:val="TOC1"/>
        <w:rPr>
          <w:noProof/>
          <w:webHidden/>
          <w:sz w:val="24"/>
          <w:szCs w:val="24"/>
        </w:rPr>
      </w:pPr>
      <w:r w:rsidRPr="006F2C59">
        <w:rPr>
          <w:rStyle w:val="Hyperlink"/>
          <w:noProof/>
          <w:color w:val="auto"/>
          <w:sz w:val="24"/>
          <w:szCs w:val="24"/>
          <w:u w:val="none"/>
        </w:rPr>
        <w:t>A</w:t>
      </w:r>
      <w:r w:rsidR="006B63E3">
        <w:rPr>
          <w:rStyle w:val="Hyperlink"/>
          <w:noProof/>
          <w:color w:val="auto"/>
          <w:sz w:val="24"/>
          <w:szCs w:val="24"/>
          <w:u w:val="none"/>
        </w:rPr>
        <w:t>.</w:t>
      </w:r>
      <w:r w:rsidRPr="006F2C59">
        <w:rPr>
          <w:rStyle w:val="Hyperlink"/>
          <w:noProof/>
          <w:color w:val="auto"/>
          <w:sz w:val="24"/>
          <w:szCs w:val="24"/>
          <w:u w:val="none"/>
        </w:rPr>
        <w:tab/>
        <w:t>Justification</w:t>
      </w:r>
      <w:r w:rsidRPr="006F2C59">
        <w:rPr>
          <w:noProof/>
          <w:webHidden/>
          <w:sz w:val="24"/>
          <w:szCs w:val="24"/>
        </w:rPr>
        <w:tab/>
      </w:r>
      <w:r w:rsidRPr="006F2C59">
        <w:rPr>
          <w:noProof/>
          <w:webHidden/>
          <w:sz w:val="24"/>
          <w:szCs w:val="24"/>
        </w:rPr>
        <w:tab/>
        <w:t>1-1</w:t>
      </w:r>
    </w:p>
    <w:p w:rsidRPr="006F2C59" w:rsidR="006F2C59" w:rsidP="006F2C59" w:rsidRDefault="006F2C59" w14:paraId="168C564B" w14:textId="77777777">
      <w:pPr>
        <w:pStyle w:val="TOC1"/>
        <w:rPr>
          <w:noProof/>
          <w:sz w:val="24"/>
          <w:szCs w:val="24"/>
        </w:rPr>
      </w:pPr>
    </w:p>
    <w:p w:rsidRPr="006F2C59" w:rsidR="006F2C59" w:rsidP="006F2C59" w:rsidRDefault="006F2C59" w14:paraId="20D72702" w14:textId="77777777">
      <w:pPr>
        <w:pStyle w:val="TOC2"/>
        <w:rPr>
          <w:noProof/>
          <w:sz w:val="24"/>
          <w:szCs w:val="24"/>
        </w:rPr>
      </w:pPr>
      <w:r w:rsidRPr="006F2C59">
        <w:rPr>
          <w:rStyle w:val="Hyperlink"/>
          <w:noProof/>
          <w:color w:val="auto"/>
          <w:sz w:val="24"/>
          <w:szCs w:val="24"/>
          <w:u w:val="none"/>
        </w:rPr>
        <w:t>A.1</w:t>
      </w:r>
      <w:r w:rsidRPr="006F2C59">
        <w:rPr>
          <w:noProof/>
          <w:sz w:val="24"/>
          <w:szCs w:val="24"/>
        </w:rPr>
        <w:tab/>
      </w:r>
      <w:r w:rsidRPr="006F2C59">
        <w:rPr>
          <w:rStyle w:val="Hyperlink"/>
          <w:noProof/>
          <w:color w:val="auto"/>
          <w:sz w:val="24"/>
          <w:szCs w:val="24"/>
          <w:u w:val="none"/>
        </w:rPr>
        <w:t>Circumstances Making the Collection of Information Necessary</w:t>
      </w:r>
      <w:r w:rsidRPr="006F2C59">
        <w:rPr>
          <w:noProof/>
          <w:webHidden/>
          <w:sz w:val="24"/>
          <w:szCs w:val="24"/>
        </w:rPr>
        <w:tab/>
        <w:t>1-1</w:t>
      </w:r>
    </w:p>
    <w:p w:rsidRPr="006F2C59" w:rsidR="006F2C59" w:rsidP="006F2C59" w:rsidRDefault="006F2C59" w14:paraId="79002E32" w14:textId="77777777">
      <w:pPr>
        <w:pStyle w:val="TOC2"/>
        <w:rPr>
          <w:noProof/>
          <w:sz w:val="24"/>
          <w:szCs w:val="24"/>
        </w:rPr>
      </w:pPr>
      <w:r w:rsidRPr="006F2C59">
        <w:rPr>
          <w:rStyle w:val="Hyperlink"/>
          <w:noProof/>
          <w:color w:val="auto"/>
          <w:sz w:val="24"/>
          <w:szCs w:val="24"/>
          <w:u w:val="none"/>
        </w:rPr>
        <w:t>A.2</w:t>
      </w:r>
      <w:r w:rsidRPr="006F2C59">
        <w:rPr>
          <w:noProof/>
          <w:sz w:val="24"/>
          <w:szCs w:val="24"/>
        </w:rPr>
        <w:tab/>
      </w:r>
      <w:r w:rsidRPr="006F2C59">
        <w:rPr>
          <w:rStyle w:val="Hyperlink"/>
          <w:noProof/>
          <w:color w:val="auto"/>
          <w:sz w:val="24"/>
          <w:szCs w:val="24"/>
          <w:u w:val="none"/>
        </w:rPr>
        <w:t>Purpose and Use of the Information Collection</w:t>
      </w:r>
      <w:r w:rsidRPr="006F2C59">
        <w:rPr>
          <w:noProof/>
          <w:webHidden/>
          <w:sz w:val="24"/>
          <w:szCs w:val="24"/>
        </w:rPr>
        <w:tab/>
      </w:r>
      <w:r w:rsidRPr="006F2C59">
        <w:rPr>
          <w:noProof/>
          <w:webHidden/>
          <w:sz w:val="24"/>
          <w:szCs w:val="24"/>
        </w:rPr>
        <w:tab/>
        <w:t>1-5</w:t>
      </w:r>
    </w:p>
    <w:p w:rsidRPr="006F2C59" w:rsidR="006F2C59" w:rsidP="006F2C59" w:rsidRDefault="006F2C59" w14:paraId="16F93664" w14:textId="77777777">
      <w:pPr>
        <w:pStyle w:val="TOC2"/>
        <w:rPr>
          <w:noProof/>
          <w:sz w:val="24"/>
          <w:szCs w:val="24"/>
        </w:rPr>
      </w:pPr>
      <w:r w:rsidRPr="006F2C59">
        <w:rPr>
          <w:rStyle w:val="Hyperlink"/>
          <w:noProof/>
          <w:color w:val="auto"/>
          <w:sz w:val="24"/>
          <w:szCs w:val="24"/>
          <w:u w:val="none"/>
        </w:rPr>
        <w:t>A.3</w:t>
      </w:r>
      <w:r w:rsidRPr="006F2C59">
        <w:rPr>
          <w:noProof/>
          <w:sz w:val="24"/>
          <w:szCs w:val="24"/>
        </w:rPr>
        <w:tab/>
      </w:r>
      <w:r w:rsidRPr="006F2C59">
        <w:rPr>
          <w:rStyle w:val="Hyperlink"/>
          <w:noProof/>
          <w:color w:val="auto"/>
          <w:sz w:val="24"/>
          <w:szCs w:val="24"/>
          <w:u w:val="none"/>
        </w:rPr>
        <w:t>Use of Improved Information Technology and Burden Reduction</w:t>
      </w:r>
      <w:r w:rsidRPr="006F2C59">
        <w:rPr>
          <w:noProof/>
          <w:webHidden/>
          <w:sz w:val="24"/>
          <w:szCs w:val="24"/>
        </w:rPr>
        <w:tab/>
        <w:t>1-5</w:t>
      </w:r>
    </w:p>
    <w:p w:rsidRPr="006F2C59" w:rsidR="006F2C59" w:rsidP="006F2C59" w:rsidRDefault="006F2C59" w14:paraId="71A8687A" w14:textId="77777777">
      <w:pPr>
        <w:pStyle w:val="TOC2"/>
        <w:rPr>
          <w:noProof/>
          <w:sz w:val="24"/>
          <w:szCs w:val="24"/>
        </w:rPr>
      </w:pPr>
      <w:r w:rsidRPr="006F2C59">
        <w:rPr>
          <w:rStyle w:val="Hyperlink"/>
          <w:noProof/>
          <w:color w:val="auto"/>
          <w:sz w:val="24"/>
          <w:szCs w:val="24"/>
          <w:u w:val="none"/>
        </w:rPr>
        <w:t>A.4</w:t>
      </w:r>
      <w:r w:rsidRPr="006F2C59">
        <w:rPr>
          <w:noProof/>
          <w:sz w:val="24"/>
          <w:szCs w:val="24"/>
        </w:rPr>
        <w:tab/>
      </w:r>
      <w:r w:rsidRPr="006F2C59">
        <w:rPr>
          <w:rStyle w:val="Hyperlink"/>
          <w:noProof/>
          <w:color w:val="auto"/>
          <w:sz w:val="24"/>
          <w:szCs w:val="24"/>
          <w:u w:val="none"/>
        </w:rPr>
        <w:t>Efforts to Identify Duplication and Use of Similar Information</w:t>
      </w:r>
      <w:r w:rsidRPr="006F2C59">
        <w:rPr>
          <w:noProof/>
          <w:webHidden/>
          <w:sz w:val="24"/>
          <w:szCs w:val="24"/>
        </w:rPr>
        <w:tab/>
      </w:r>
      <w:r w:rsidRPr="006F2C59">
        <w:rPr>
          <w:noProof/>
          <w:webHidden/>
          <w:sz w:val="24"/>
          <w:szCs w:val="24"/>
        </w:rPr>
        <w:tab/>
        <w:t>1-7</w:t>
      </w:r>
    </w:p>
    <w:p w:rsidRPr="006F2C59" w:rsidR="006F2C59" w:rsidP="006F2C59" w:rsidRDefault="006F2C59" w14:paraId="64BCFB77" w14:textId="26D5B559">
      <w:pPr>
        <w:pStyle w:val="TOC2"/>
        <w:rPr>
          <w:noProof/>
          <w:sz w:val="24"/>
          <w:szCs w:val="24"/>
        </w:rPr>
      </w:pPr>
      <w:r w:rsidRPr="006F2C59">
        <w:rPr>
          <w:rStyle w:val="Hyperlink"/>
          <w:noProof/>
          <w:color w:val="auto"/>
          <w:sz w:val="24"/>
          <w:szCs w:val="24"/>
          <w:u w:val="none"/>
        </w:rPr>
        <w:t>A.5</w:t>
      </w:r>
      <w:r w:rsidRPr="006F2C59">
        <w:rPr>
          <w:noProof/>
          <w:sz w:val="24"/>
          <w:szCs w:val="24"/>
        </w:rPr>
        <w:tab/>
      </w:r>
      <w:r w:rsidRPr="006F2C59">
        <w:rPr>
          <w:rStyle w:val="Hyperlink"/>
          <w:noProof/>
          <w:color w:val="auto"/>
          <w:sz w:val="24"/>
          <w:szCs w:val="24"/>
          <w:u w:val="none"/>
        </w:rPr>
        <w:t>Impact on Small Businesses or Other Small Entities</w:t>
      </w:r>
      <w:r w:rsidRPr="006F2C59">
        <w:rPr>
          <w:noProof/>
          <w:webHidden/>
          <w:sz w:val="24"/>
          <w:szCs w:val="24"/>
        </w:rPr>
        <w:tab/>
      </w:r>
      <w:r w:rsidRPr="006F2C59">
        <w:rPr>
          <w:noProof/>
          <w:webHidden/>
          <w:sz w:val="24"/>
          <w:szCs w:val="24"/>
        </w:rPr>
        <w:tab/>
        <w:t>1-</w:t>
      </w:r>
      <w:r w:rsidR="00C93DB1">
        <w:rPr>
          <w:noProof/>
          <w:webHidden/>
          <w:sz w:val="24"/>
          <w:szCs w:val="24"/>
        </w:rPr>
        <w:t>8</w:t>
      </w:r>
    </w:p>
    <w:p w:rsidRPr="006F2C59" w:rsidR="006F2C59" w:rsidP="006F2C59" w:rsidRDefault="006F2C59" w14:paraId="4107FAD8" w14:textId="77777777">
      <w:pPr>
        <w:pStyle w:val="TOC2"/>
        <w:rPr>
          <w:noProof/>
          <w:sz w:val="24"/>
          <w:szCs w:val="24"/>
        </w:rPr>
      </w:pPr>
      <w:r w:rsidRPr="006F2C59">
        <w:rPr>
          <w:rStyle w:val="Hyperlink"/>
          <w:noProof/>
          <w:color w:val="auto"/>
          <w:sz w:val="24"/>
          <w:szCs w:val="24"/>
          <w:u w:val="none"/>
        </w:rPr>
        <w:t>A.6</w:t>
      </w:r>
      <w:r w:rsidRPr="006F2C59">
        <w:rPr>
          <w:noProof/>
          <w:sz w:val="24"/>
          <w:szCs w:val="24"/>
        </w:rPr>
        <w:tab/>
      </w:r>
      <w:r w:rsidRPr="006F2C59">
        <w:rPr>
          <w:rStyle w:val="Hyperlink"/>
          <w:noProof/>
          <w:color w:val="auto"/>
          <w:sz w:val="24"/>
          <w:szCs w:val="24"/>
          <w:u w:val="none"/>
        </w:rPr>
        <w:t>Consequences of Collecting the Information Less Frequently</w:t>
      </w:r>
      <w:r w:rsidRPr="006F2C59">
        <w:rPr>
          <w:noProof/>
          <w:webHidden/>
          <w:sz w:val="24"/>
          <w:szCs w:val="24"/>
        </w:rPr>
        <w:tab/>
      </w:r>
      <w:r w:rsidRPr="006F2C59">
        <w:rPr>
          <w:noProof/>
          <w:webHidden/>
          <w:sz w:val="24"/>
          <w:szCs w:val="24"/>
        </w:rPr>
        <w:tab/>
        <w:t>1-8</w:t>
      </w:r>
    </w:p>
    <w:p w:rsidRPr="006F2C59" w:rsidR="006F2C59" w:rsidP="00CE6E5F" w:rsidRDefault="006F2C59" w14:paraId="27020906" w14:textId="07180C9D">
      <w:pPr>
        <w:pStyle w:val="TOC2"/>
        <w:rPr>
          <w:noProof/>
          <w:sz w:val="24"/>
          <w:szCs w:val="24"/>
        </w:rPr>
      </w:pPr>
      <w:r w:rsidRPr="006F2C59">
        <w:rPr>
          <w:rStyle w:val="Hyperlink"/>
          <w:noProof/>
          <w:color w:val="auto"/>
          <w:sz w:val="24"/>
          <w:szCs w:val="24"/>
          <w:u w:val="none"/>
        </w:rPr>
        <w:t>A.7</w:t>
      </w:r>
      <w:r w:rsidRPr="006F2C59">
        <w:rPr>
          <w:noProof/>
          <w:sz w:val="24"/>
          <w:szCs w:val="24"/>
        </w:rPr>
        <w:tab/>
      </w:r>
      <w:r w:rsidRPr="006F2C59">
        <w:rPr>
          <w:rStyle w:val="Hyperlink"/>
          <w:noProof/>
          <w:color w:val="auto"/>
          <w:sz w:val="24"/>
          <w:szCs w:val="24"/>
          <w:u w:val="none"/>
        </w:rPr>
        <w:t>Special Circumstances</w:t>
      </w:r>
      <w:r w:rsidRPr="006F2C59">
        <w:rPr>
          <w:noProof/>
          <w:webHidden/>
          <w:sz w:val="24"/>
          <w:szCs w:val="24"/>
        </w:rPr>
        <w:tab/>
      </w:r>
      <w:r>
        <w:rPr>
          <w:noProof/>
          <w:webHidden/>
          <w:sz w:val="24"/>
          <w:szCs w:val="24"/>
        </w:rPr>
        <w:tab/>
      </w:r>
      <w:r w:rsidRPr="006F2C59">
        <w:rPr>
          <w:noProof/>
          <w:webHidden/>
          <w:sz w:val="24"/>
          <w:szCs w:val="24"/>
        </w:rPr>
        <w:t>1-8</w:t>
      </w:r>
    </w:p>
    <w:p w:rsidR="006F2C59" w:rsidP="006F2C59" w:rsidRDefault="006F2C59" w14:paraId="1420EFD1" w14:textId="77777777">
      <w:pPr>
        <w:pStyle w:val="TOC2"/>
        <w:rPr>
          <w:rStyle w:val="Hyperlink"/>
          <w:noProof/>
          <w:color w:val="auto"/>
          <w:sz w:val="24"/>
          <w:szCs w:val="24"/>
          <w:u w:val="none"/>
        </w:rPr>
      </w:pPr>
      <w:r w:rsidRPr="006F2C59">
        <w:rPr>
          <w:rStyle w:val="Hyperlink"/>
          <w:noProof/>
          <w:color w:val="auto"/>
          <w:sz w:val="24"/>
          <w:szCs w:val="24"/>
          <w:u w:val="none"/>
        </w:rPr>
        <w:t>A.8</w:t>
      </w:r>
      <w:r w:rsidRPr="006F2C59">
        <w:rPr>
          <w:noProof/>
          <w:sz w:val="24"/>
          <w:szCs w:val="24"/>
        </w:rPr>
        <w:tab/>
      </w:r>
      <w:r w:rsidRPr="006F2C59">
        <w:rPr>
          <w:rStyle w:val="Hyperlink"/>
          <w:noProof/>
          <w:color w:val="auto"/>
          <w:sz w:val="24"/>
          <w:szCs w:val="24"/>
          <w:u w:val="none"/>
        </w:rPr>
        <w:t>Comments in Response to the Federal Register Notice and</w:t>
      </w:r>
    </w:p>
    <w:p w:rsidRPr="006F2C59" w:rsidR="006F2C59" w:rsidP="006F2C59" w:rsidRDefault="006F2C59" w14:paraId="4E9CE716" w14:textId="0A1C6E7F">
      <w:pPr>
        <w:pStyle w:val="TOC2"/>
        <w:rPr>
          <w:noProof/>
          <w:sz w:val="24"/>
          <w:szCs w:val="24"/>
        </w:rPr>
      </w:pPr>
      <w:r>
        <w:rPr>
          <w:rStyle w:val="Hyperlink"/>
          <w:noProof/>
          <w:color w:val="auto"/>
          <w:sz w:val="24"/>
          <w:szCs w:val="24"/>
          <w:u w:val="none"/>
        </w:rPr>
        <w:tab/>
      </w:r>
      <w:r w:rsidRPr="006F2C59">
        <w:rPr>
          <w:rStyle w:val="Hyperlink"/>
          <w:noProof/>
          <w:color w:val="auto"/>
          <w:sz w:val="24"/>
          <w:szCs w:val="24"/>
          <w:u w:val="none"/>
        </w:rPr>
        <w:t>Efforts to Consult Outside the Agency</w:t>
      </w:r>
      <w:r w:rsidRPr="006F2C59">
        <w:rPr>
          <w:noProof/>
          <w:webHidden/>
          <w:sz w:val="24"/>
          <w:szCs w:val="24"/>
        </w:rPr>
        <w:tab/>
      </w:r>
      <w:r w:rsidRPr="006F2C59">
        <w:rPr>
          <w:noProof/>
          <w:webHidden/>
          <w:sz w:val="24"/>
          <w:szCs w:val="24"/>
        </w:rPr>
        <w:tab/>
        <w:t>1-</w:t>
      </w:r>
      <w:r w:rsidR="00935309">
        <w:rPr>
          <w:noProof/>
          <w:webHidden/>
          <w:sz w:val="24"/>
          <w:szCs w:val="24"/>
        </w:rPr>
        <w:t>8</w:t>
      </w:r>
    </w:p>
    <w:p w:rsidRPr="006F2C59" w:rsidR="006F2C59" w:rsidP="006F2C59" w:rsidRDefault="006F2C59" w14:paraId="745A1FBD" w14:textId="7FF790AE">
      <w:pPr>
        <w:pStyle w:val="TOC2"/>
        <w:rPr>
          <w:noProof/>
          <w:sz w:val="24"/>
          <w:szCs w:val="24"/>
        </w:rPr>
      </w:pPr>
      <w:r w:rsidRPr="006F2C59">
        <w:rPr>
          <w:rStyle w:val="Hyperlink"/>
          <w:noProof/>
          <w:color w:val="auto"/>
          <w:sz w:val="24"/>
          <w:szCs w:val="24"/>
          <w:u w:val="none"/>
        </w:rPr>
        <w:t>A.9</w:t>
      </w:r>
      <w:r w:rsidRPr="006F2C59">
        <w:rPr>
          <w:noProof/>
          <w:sz w:val="24"/>
          <w:szCs w:val="24"/>
        </w:rPr>
        <w:tab/>
      </w:r>
      <w:r w:rsidRPr="006F2C59">
        <w:rPr>
          <w:rStyle w:val="Hyperlink"/>
          <w:noProof/>
          <w:color w:val="auto"/>
          <w:sz w:val="24"/>
          <w:szCs w:val="24"/>
          <w:u w:val="none"/>
        </w:rPr>
        <w:t>Explanation of Any Payments or Gift to Respondents</w:t>
      </w:r>
      <w:r w:rsidRPr="006F2C59">
        <w:rPr>
          <w:noProof/>
          <w:webHidden/>
          <w:sz w:val="24"/>
          <w:szCs w:val="24"/>
        </w:rPr>
        <w:tab/>
      </w:r>
      <w:r w:rsidRPr="006F2C59">
        <w:rPr>
          <w:noProof/>
          <w:webHidden/>
          <w:sz w:val="24"/>
          <w:szCs w:val="24"/>
        </w:rPr>
        <w:tab/>
        <w:t>1-</w:t>
      </w:r>
      <w:r w:rsidR="00E95811">
        <w:rPr>
          <w:noProof/>
          <w:webHidden/>
          <w:sz w:val="24"/>
          <w:szCs w:val="24"/>
        </w:rPr>
        <w:t>1</w:t>
      </w:r>
      <w:r w:rsidR="00935309">
        <w:rPr>
          <w:noProof/>
          <w:webHidden/>
          <w:sz w:val="24"/>
          <w:szCs w:val="24"/>
        </w:rPr>
        <w:t>3</w:t>
      </w:r>
    </w:p>
    <w:p w:rsidRPr="006F2C59" w:rsidR="006F2C59" w:rsidP="006F2C59" w:rsidRDefault="006F2C59" w14:paraId="40809351" w14:textId="6AC98C4A">
      <w:pPr>
        <w:pStyle w:val="TOC2"/>
        <w:rPr>
          <w:noProof/>
          <w:sz w:val="24"/>
          <w:szCs w:val="24"/>
        </w:rPr>
      </w:pPr>
      <w:r w:rsidRPr="006F2C59">
        <w:rPr>
          <w:rStyle w:val="Hyperlink"/>
          <w:noProof/>
          <w:color w:val="auto"/>
          <w:sz w:val="24"/>
          <w:szCs w:val="24"/>
          <w:u w:val="none"/>
        </w:rPr>
        <w:t>A.10</w:t>
      </w:r>
      <w:r w:rsidRPr="006F2C59">
        <w:rPr>
          <w:noProof/>
          <w:sz w:val="24"/>
          <w:szCs w:val="24"/>
        </w:rPr>
        <w:tab/>
      </w:r>
      <w:r w:rsidRPr="006F2C59">
        <w:rPr>
          <w:rStyle w:val="Hyperlink"/>
          <w:noProof/>
          <w:color w:val="auto"/>
          <w:sz w:val="24"/>
          <w:szCs w:val="24"/>
          <w:u w:val="none"/>
        </w:rPr>
        <w:t xml:space="preserve">Assurances of </w:t>
      </w:r>
      <w:r w:rsidR="001B412E">
        <w:rPr>
          <w:rStyle w:val="Hyperlink"/>
          <w:noProof/>
          <w:color w:val="auto"/>
          <w:sz w:val="24"/>
          <w:szCs w:val="24"/>
          <w:u w:val="none"/>
        </w:rPr>
        <w:t>Privacy</w:t>
      </w:r>
      <w:r w:rsidRPr="006F2C59">
        <w:rPr>
          <w:rStyle w:val="Hyperlink"/>
          <w:noProof/>
          <w:color w:val="auto"/>
          <w:sz w:val="24"/>
          <w:szCs w:val="24"/>
          <w:u w:val="none"/>
        </w:rPr>
        <w:t xml:space="preserve"> Provided to Respondents</w:t>
      </w:r>
      <w:r w:rsidRPr="006F2C59">
        <w:rPr>
          <w:noProof/>
          <w:webHidden/>
          <w:sz w:val="24"/>
          <w:szCs w:val="24"/>
        </w:rPr>
        <w:tab/>
      </w:r>
      <w:r w:rsidRPr="006F2C59">
        <w:rPr>
          <w:noProof/>
          <w:webHidden/>
          <w:sz w:val="24"/>
          <w:szCs w:val="24"/>
        </w:rPr>
        <w:tab/>
        <w:t>1-1</w:t>
      </w:r>
      <w:r w:rsidR="00935309">
        <w:rPr>
          <w:noProof/>
          <w:webHidden/>
          <w:sz w:val="24"/>
          <w:szCs w:val="24"/>
        </w:rPr>
        <w:t>3</w:t>
      </w:r>
    </w:p>
    <w:p w:rsidRPr="006F2C59" w:rsidR="006F2C59" w:rsidP="006F2C59" w:rsidRDefault="006F2C59" w14:paraId="1FA0556E" w14:textId="1A0A362D">
      <w:pPr>
        <w:pStyle w:val="TOC2"/>
        <w:rPr>
          <w:noProof/>
          <w:sz w:val="24"/>
          <w:szCs w:val="24"/>
        </w:rPr>
      </w:pPr>
      <w:r w:rsidRPr="006F2C59">
        <w:rPr>
          <w:rStyle w:val="Hyperlink"/>
          <w:noProof/>
          <w:color w:val="auto"/>
          <w:sz w:val="24"/>
          <w:szCs w:val="24"/>
          <w:u w:val="none"/>
        </w:rPr>
        <w:t>A.11</w:t>
      </w:r>
      <w:r w:rsidRPr="006F2C59">
        <w:rPr>
          <w:noProof/>
          <w:sz w:val="24"/>
          <w:szCs w:val="24"/>
        </w:rPr>
        <w:tab/>
      </w:r>
      <w:r w:rsidRPr="006F2C59">
        <w:rPr>
          <w:rStyle w:val="Hyperlink"/>
          <w:noProof/>
          <w:color w:val="auto"/>
          <w:sz w:val="24"/>
          <w:szCs w:val="24"/>
          <w:u w:val="none"/>
        </w:rPr>
        <w:t>Justification  for Sensitive Questions</w:t>
      </w:r>
      <w:r w:rsidRPr="006F2C59">
        <w:rPr>
          <w:noProof/>
          <w:webHidden/>
          <w:sz w:val="24"/>
          <w:szCs w:val="24"/>
        </w:rPr>
        <w:tab/>
      </w:r>
      <w:r w:rsidRPr="006F2C59">
        <w:rPr>
          <w:noProof/>
          <w:webHidden/>
          <w:sz w:val="24"/>
          <w:szCs w:val="24"/>
        </w:rPr>
        <w:tab/>
        <w:t>1-1</w:t>
      </w:r>
      <w:r w:rsidR="00935309">
        <w:rPr>
          <w:noProof/>
          <w:webHidden/>
          <w:sz w:val="24"/>
          <w:szCs w:val="24"/>
        </w:rPr>
        <w:t>5</w:t>
      </w:r>
    </w:p>
    <w:p w:rsidRPr="006F2C59" w:rsidR="006F2C59" w:rsidP="006F2C59" w:rsidRDefault="006F2C59" w14:paraId="64FA2FFB" w14:textId="33376AAE">
      <w:pPr>
        <w:pStyle w:val="TOC2"/>
        <w:rPr>
          <w:noProof/>
          <w:sz w:val="24"/>
          <w:szCs w:val="24"/>
        </w:rPr>
      </w:pPr>
      <w:r w:rsidRPr="006F2C59">
        <w:rPr>
          <w:rStyle w:val="Hyperlink"/>
          <w:noProof/>
          <w:color w:val="auto"/>
          <w:sz w:val="24"/>
          <w:szCs w:val="24"/>
          <w:u w:val="none"/>
        </w:rPr>
        <w:t>A.12</w:t>
      </w:r>
      <w:r w:rsidRPr="006F2C59">
        <w:rPr>
          <w:noProof/>
          <w:sz w:val="24"/>
          <w:szCs w:val="24"/>
        </w:rPr>
        <w:tab/>
      </w:r>
      <w:r w:rsidRPr="006F2C59">
        <w:rPr>
          <w:rStyle w:val="Hyperlink"/>
          <w:noProof/>
          <w:color w:val="auto"/>
          <w:sz w:val="24"/>
          <w:szCs w:val="24"/>
          <w:u w:val="none"/>
        </w:rPr>
        <w:t xml:space="preserve">Estimates of Annualized Burden Hours and Costs </w:t>
      </w:r>
      <w:r w:rsidRPr="006F2C59">
        <w:rPr>
          <w:noProof/>
          <w:webHidden/>
          <w:sz w:val="24"/>
          <w:szCs w:val="24"/>
        </w:rPr>
        <w:tab/>
      </w:r>
      <w:r w:rsidRPr="006F2C59">
        <w:rPr>
          <w:noProof/>
          <w:webHidden/>
          <w:sz w:val="24"/>
          <w:szCs w:val="24"/>
        </w:rPr>
        <w:tab/>
        <w:t>1-1</w:t>
      </w:r>
      <w:r w:rsidR="00935309">
        <w:rPr>
          <w:noProof/>
          <w:webHidden/>
          <w:sz w:val="24"/>
          <w:szCs w:val="24"/>
        </w:rPr>
        <w:t>6</w:t>
      </w:r>
    </w:p>
    <w:p w:rsidR="006F2C59" w:rsidP="006F2C59" w:rsidRDefault="006F2C59" w14:paraId="6D0F93E9" w14:textId="77777777">
      <w:pPr>
        <w:pStyle w:val="TOC2"/>
        <w:rPr>
          <w:rStyle w:val="Hyperlink"/>
          <w:noProof/>
          <w:color w:val="auto"/>
          <w:sz w:val="24"/>
          <w:szCs w:val="24"/>
          <w:u w:val="none"/>
        </w:rPr>
      </w:pPr>
      <w:r w:rsidRPr="006F2C59">
        <w:rPr>
          <w:rStyle w:val="Hyperlink"/>
          <w:noProof/>
          <w:color w:val="auto"/>
          <w:sz w:val="24"/>
          <w:szCs w:val="24"/>
          <w:u w:val="none"/>
        </w:rPr>
        <w:t>A.13</w:t>
      </w:r>
      <w:r w:rsidRPr="006F2C59">
        <w:rPr>
          <w:noProof/>
          <w:sz w:val="24"/>
          <w:szCs w:val="24"/>
        </w:rPr>
        <w:tab/>
      </w:r>
      <w:r w:rsidRPr="006F2C59">
        <w:rPr>
          <w:rStyle w:val="Hyperlink"/>
          <w:noProof/>
          <w:color w:val="auto"/>
          <w:sz w:val="24"/>
          <w:szCs w:val="24"/>
          <w:u w:val="none"/>
        </w:rPr>
        <w:t xml:space="preserve">Estimates of Other Total Annual Cost Burden to </w:t>
      </w:r>
    </w:p>
    <w:p w:rsidRPr="006F2C59" w:rsidR="006F2C59" w:rsidP="006F2C59" w:rsidRDefault="006F2C59" w14:paraId="09AA48C9" w14:textId="4D30E714">
      <w:pPr>
        <w:pStyle w:val="TOC2"/>
        <w:rPr>
          <w:noProof/>
          <w:sz w:val="24"/>
          <w:szCs w:val="24"/>
        </w:rPr>
      </w:pPr>
      <w:r>
        <w:rPr>
          <w:rStyle w:val="Hyperlink"/>
          <w:noProof/>
          <w:color w:val="auto"/>
          <w:sz w:val="24"/>
          <w:szCs w:val="24"/>
          <w:u w:val="none"/>
        </w:rPr>
        <w:tab/>
      </w:r>
      <w:r w:rsidRPr="006F2C59">
        <w:rPr>
          <w:rStyle w:val="Hyperlink"/>
          <w:noProof/>
          <w:color w:val="auto"/>
          <w:sz w:val="24"/>
          <w:szCs w:val="24"/>
          <w:u w:val="none"/>
        </w:rPr>
        <w:t>Respondents and Record Keepers</w:t>
      </w:r>
      <w:r w:rsidRPr="006F2C59">
        <w:rPr>
          <w:noProof/>
          <w:webHidden/>
          <w:sz w:val="24"/>
          <w:szCs w:val="24"/>
        </w:rPr>
        <w:tab/>
      </w:r>
      <w:r w:rsidRPr="006F2C59">
        <w:rPr>
          <w:noProof/>
          <w:webHidden/>
          <w:sz w:val="24"/>
          <w:szCs w:val="24"/>
        </w:rPr>
        <w:tab/>
        <w:t>1-1</w:t>
      </w:r>
      <w:r w:rsidR="00935309">
        <w:rPr>
          <w:noProof/>
          <w:webHidden/>
          <w:sz w:val="24"/>
          <w:szCs w:val="24"/>
        </w:rPr>
        <w:t>7</w:t>
      </w:r>
    </w:p>
    <w:p w:rsidRPr="006F2C59" w:rsidR="006F2C59" w:rsidP="006F2C59" w:rsidRDefault="006F2C59" w14:paraId="64B6F34D" w14:textId="62CA3F45">
      <w:pPr>
        <w:pStyle w:val="TOC2"/>
        <w:rPr>
          <w:noProof/>
          <w:sz w:val="24"/>
          <w:szCs w:val="24"/>
        </w:rPr>
      </w:pPr>
      <w:r w:rsidRPr="006F2C59">
        <w:rPr>
          <w:rStyle w:val="Hyperlink"/>
          <w:noProof/>
          <w:color w:val="auto"/>
          <w:sz w:val="24"/>
          <w:szCs w:val="24"/>
          <w:u w:val="none"/>
        </w:rPr>
        <w:t xml:space="preserve">A.14 </w:t>
      </w:r>
      <w:r w:rsidRPr="006F2C59">
        <w:rPr>
          <w:noProof/>
          <w:sz w:val="24"/>
          <w:szCs w:val="24"/>
        </w:rPr>
        <w:tab/>
      </w:r>
      <w:r w:rsidRPr="006F2C59">
        <w:rPr>
          <w:rStyle w:val="Hyperlink"/>
          <w:noProof/>
          <w:color w:val="auto"/>
          <w:sz w:val="24"/>
          <w:szCs w:val="24"/>
          <w:u w:val="none"/>
        </w:rPr>
        <w:t>Annualized Cost to the Federal Government</w:t>
      </w:r>
      <w:r w:rsidRPr="006F2C59">
        <w:rPr>
          <w:noProof/>
          <w:webHidden/>
          <w:sz w:val="24"/>
          <w:szCs w:val="24"/>
        </w:rPr>
        <w:tab/>
      </w:r>
      <w:r w:rsidRPr="006F2C59">
        <w:rPr>
          <w:noProof/>
          <w:webHidden/>
          <w:sz w:val="24"/>
          <w:szCs w:val="24"/>
        </w:rPr>
        <w:tab/>
        <w:t>1-</w:t>
      </w:r>
      <w:r w:rsidR="00935309">
        <w:rPr>
          <w:noProof/>
          <w:webHidden/>
          <w:sz w:val="24"/>
          <w:szCs w:val="24"/>
        </w:rPr>
        <w:t>17</w:t>
      </w:r>
    </w:p>
    <w:p w:rsidRPr="006F2C59" w:rsidR="006F2C59" w:rsidP="006F2C59" w:rsidRDefault="006F2C59" w14:paraId="59A0B839" w14:textId="38A1C6F6">
      <w:pPr>
        <w:pStyle w:val="TOC2"/>
        <w:rPr>
          <w:noProof/>
          <w:sz w:val="24"/>
          <w:szCs w:val="24"/>
        </w:rPr>
      </w:pPr>
      <w:r w:rsidRPr="006F2C59">
        <w:rPr>
          <w:rStyle w:val="Hyperlink"/>
          <w:noProof/>
          <w:color w:val="auto"/>
          <w:sz w:val="24"/>
          <w:szCs w:val="24"/>
          <w:u w:val="none"/>
        </w:rPr>
        <w:t>A.15</w:t>
      </w:r>
      <w:r w:rsidRPr="006F2C59">
        <w:rPr>
          <w:noProof/>
          <w:sz w:val="24"/>
          <w:szCs w:val="24"/>
        </w:rPr>
        <w:tab/>
        <w:t xml:space="preserve">Explanation for </w:t>
      </w:r>
      <w:r w:rsidRPr="006F2C59">
        <w:rPr>
          <w:rStyle w:val="Hyperlink"/>
          <w:noProof/>
          <w:color w:val="auto"/>
          <w:sz w:val="24"/>
          <w:szCs w:val="24"/>
          <w:u w:val="none"/>
        </w:rPr>
        <w:t>Program Changes or Adjustments</w:t>
      </w:r>
      <w:r w:rsidRPr="006F2C59">
        <w:rPr>
          <w:noProof/>
          <w:webHidden/>
          <w:sz w:val="24"/>
          <w:szCs w:val="24"/>
        </w:rPr>
        <w:tab/>
      </w:r>
      <w:r w:rsidRPr="006F2C59">
        <w:rPr>
          <w:noProof/>
          <w:webHidden/>
          <w:sz w:val="24"/>
          <w:szCs w:val="24"/>
        </w:rPr>
        <w:tab/>
        <w:t>1-</w:t>
      </w:r>
      <w:r w:rsidR="00935309">
        <w:rPr>
          <w:noProof/>
          <w:webHidden/>
          <w:sz w:val="24"/>
          <w:szCs w:val="24"/>
        </w:rPr>
        <w:t>17</w:t>
      </w:r>
    </w:p>
    <w:p w:rsidR="006F2C59" w:rsidP="006F2C59" w:rsidRDefault="006F2C59" w14:paraId="05C84817" w14:textId="77777777">
      <w:pPr>
        <w:pStyle w:val="TOC2"/>
        <w:rPr>
          <w:rStyle w:val="Hyperlink"/>
          <w:noProof/>
          <w:color w:val="auto"/>
          <w:sz w:val="24"/>
          <w:szCs w:val="24"/>
          <w:u w:val="none"/>
        </w:rPr>
      </w:pPr>
      <w:r w:rsidRPr="006F2C59">
        <w:rPr>
          <w:rStyle w:val="Hyperlink"/>
          <w:noProof/>
          <w:color w:val="auto"/>
          <w:sz w:val="24"/>
          <w:szCs w:val="24"/>
          <w:u w:val="none"/>
        </w:rPr>
        <w:t>A.16</w:t>
      </w:r>
      <w:r w:rsidRPr="006F2C59">
        <w:rPr>
          <w:noProof/>
          <w:sz w:val="24"/>
          <w:szCs w:val="24"/>
        </w:rPr>
        <w:tab/>
      </w:r>
      <w:r w:rsidRPr="006F2C59">
        <w:rPr>
          <w:rStyle w:val="Hyperlink"/>
          <w:noProof/>
          <w:color w:val="auto"/>
          <w:sz w:val="24"/>
          <w:szCs w:val="24"/>
          <w:u w:val="none"/>
        </w:rPr>
        <w:t>Plans for Tabulation and Publication and Project Time</w:t>
      </w:r>
    </w:p>
    <w:p w:rsidRPr="006F2C59" w:rsidR="006F2C59" w:rsidP="006F2C59" w:rsidRDefault="006F2C59" w14:paraId="6F82449D" w14:textId="59279252">
      <w:pPr>
        <w:pStyle w:val="TOC2"/>
        <w:rPr>
          <w:noProof/>
          <w:sz w:val="24"/>
          <w:szCs w:val="24"/>
        </w:rPr>
      </w:pPr>
      <w:r>
        <w:rPr>
          <w:rStyle w:val="Hyperlink"/>
          <w:noProof/>
          <w:color w:val="auto"/>
          <w:sz w:val="24"/>
          <w:szCs w:val="24"/>
          <w:u w:val="none"/>
        </w:rPr>
        <w:tab/>
      </w:r>
      <w:r w:rsidRPr="006F2C59">
        <w:rPr>
          <w:rStyle w:val="Hyperlink"/>
          <w:noProof/>
          <w:color w:val="auto"/>
          <w:sz w:val="24"/>
          <w:szCs w:val="24"/>
          <w:u w:val="none"/>
        </w:rPr>
        <w:t xml:space="preserve"> Schedule</w:t>
      </w:r>
      <w:r w:rsidRPr="006F2C59">
        <w:rPr>
          <w:noProof/>
          <w:webHidden/>
          <w:sz w:val="24"/>
          <w:szCs w:val="24"/>
        </w:rPr>
        <w:tab/>
      </w:r>
      <w:r w:rsidRPr="006F2C59">
        <w:rPr>
          <w:noProof/>
          <w:webHidden/>
          <w:sz w:val="24"/>
          <w:szCs w:val="24"/>
        </w:rPr>
        <w:tab/>
        <w:t>1-</w:t>
      </w:r>
      <w:r w:rsidR="00935309">
        <w:rPr>
          <w:noProof/>
          <w:webHidden/>
          <w:sz w:val="24"/>
          <w:szCs w:val="24"/>
        </w:rPr>
        <w:t>18</w:t>
      </w:r>
    </w:p>
    <w:p w:rsidRPr="006F2C59" w:rsidR="006F2C59" w:rsidP="006F2C59" w:rsidRDefault="006F2C59" w14:paraId="738F25F4" w14:textId="43FBEC22">
      <w:pPr>
        <w:pStyle w:val="TOC2"/>
        <w:rPr>
          <w:noProof/>
          <w:sz w:val="24"/>
          <w:szCs w:val="24"/>
        </w:rPr>
      </w:pPr>
      <w:r w:rsidRPr="006F2C59">
        <w:rPr>
          <w:rStyle w:val="Hyperlink"/>
          <w:noProof/>
          <w:color w:val="auto"/>
          <w:sz w:val="24"/>
          <w:szCs w:val="24"/>
          <w:u w:val="none"/>
        </w:rPr>
        <w:t>A.17</w:t>
      </w:r>
      <w:r w:rsidRPr="006F2C59">
        <w:rPr>
          <w:noProof/>
          <w:sz w:val="24"/>
          <w:szCs w:val="24"/>
        </w:rPr>
        <w:tab/>
      </w:r>
      <w:r w:rsidRPr="006F2C59">
        <w:rPr>
          <w:rStyle w:val="Hyperlink"/>
          <w:noProof/>
          <w:color w:val="auto"/>
          <w:sz w:val="24"/>
          <w:szCs w:val="24"/>
          <w:u w:val="none"/>
        </w:rPr>
        <w:t xml:space="preserve">Reason(s) Display </w:t>
      </w:r>
      <w:r w:rsidR="009A2AC6">
        <w:rPr>
          <w:rStyle w:val="Hyperlink"/>
          <w:noProof/>
          <w:color w:val="auto"/>
          <w:sz w:val="24"/>
          <w:szCs w:val="24"/>
          <w:u w:val="none"/>
        </w:rPr>
        <w:t xml:space="preserve">of </w:t>
      </w:r>
      <w:r w:rsidRPr="006F2C59">
        <w:rPr>
          <w:rStyle w:val="Hyperlink"/>
          <w:noProof/>
          <w:color w:val="auto"/>
          <w:sz w:val="24"/>
          <w:szCs w:val="24"/>
          <w:u w:val="none"/>
        </w:rPr>
        <w:t>OMB Expiration Date is Inappropriate</w:t>
      </w:r>
      <w:r w:rsidRPr="006F2C59">
        <w:rPr>
          <w:noProof/>
          <w:webHidden/>
          <w:sz w:val="24"/>
          <w:szCs w:val="24"/>
        </w:rPr>
        <w:tab/>
      </w:r>
      <w:r w:rsidRPr="006F2C59">
        <w:rPr>
          <w:noProof/>
          <w:webHidden/>
          <w:sz w:val="24"/>
          <w:szCs w:val="24"/>
        </w:rPr>
        <w:tab/>
        <w:t>1-</w:t>
      </w:r>
      <w:r w:rsidR="00935309">
        <w:rPr>
          <w:noProof/>
          <w:webHidden/>
          <w:sz w:val="24"/>
          <w:szCs w:val="24"/>
        </w:rPr>
        <w:t>19</w:t>
      </w:r>
    </w:p>
    <w:p w:rsidR="006F2C59" w:rsidP="006F2C59" w:rsidRDefault="006F2C59" w14:paraId="55B009A2" w14:textId="77777777">
      <w:pPr>
        <w:pStyle w:val="TOC2"/>
        <w:rPr>
          <w:rStyle w:val="Hyperlink"/>
          <w:noProof/>
          <w:color w:val="auto"/>
          <w:sz w:val="24"/>
          <w:szCs w:val="24"/>
          <w:u w:val="none"/>
        </w:rPr>
      </w:pPr>
      <w:r w:rsidRPr="006F2C59">
        <w:rPr>
          <w:rStyle w:val="Hyperlink"/>
          <w:noProof/>
          <w:color w:val="auto"/>
          <w:sz w:val="24"/>
          <w:szCs w:val="24"/>
          <w:u w:val="none"/>
        </w:rPr>
        <w:t>A.18</w:t>
      </w:r>
      <w:r w:rsidRPr="006F2C59">
        <w:rPr>
          <w:noProof/>
          <w:sz w:val="24"/>
          <w:szCs w:val="24"/>
        </w:rPr>
        <w:tab/>
      </w:r>
      <w:r w:rsidRPr="006F2C59">
        <w:rPr>
          <w:rStyle w:val="Hyperlink"/>
          <w:noProof/>
          <w:color w:val="auto"/>
          <w:sz w:val="24"/>
          <w:szCs w:val="24"/>
          <w:u w:val="none"/>
        </w:rPr>
        <w:t xml:space="preserve">Exception to Certification for Paperwork Reducation </w:t>
      </w:r>
    </w:p>
    <w:p w:rsidRPr="006F2C59" w:rsidR="006F2C59" w:rsidP="006F2C59" w:rsidRDefault="006F2C59" w14:paraId="5D6E7FC4" w14:textId="341581BC">
      <w:pPr>
        <w:pStyle w:val="TOC2"/>
        <w:rPr>
          <w:noProof/>
          <w:webHidden/>
          <w:sz w:val="24"/>
          <w:szCs w:val="24"/>
        </w:rPr>
      </w:pPr>
      <w:r>
        <w:rPr>
          <w:rStyle w:val="Hyperlink"/>
          <w:noProof/>
          <w:color w:val="auto"/>
          <w:sz w:val="24"/>
          <w:szCs w:val="24"/>
          <w:u w:val="none"/>
        </w:rPr>
        <w:tab/>
      </w:r>
      <w:r w:rsidRPr="006F2C59">
        <w:rPr>
          <w:rStyle w:val="Hyperlink"/>
          <w:noProof/>
          <w:color w:val="auto"/>
          <w:sz w:val="24"/>
          <w:szCs w:val="24"/>
          <w:u w:val="none"/>
        </w:rPr>
        <w:t>Act Submissions</w:t>
      </w:r>
      <w:r w:rsidRPr="006F2C59">
        <w:rPr>
          <w:noProof/>
          <w:webHidden/>
          <w:sz w:val="24"/>
          <w:szCs w:val="24"/>
        </w:rPr>
        <w:tab/>
      </w:r>
      <w:r w:rsidRPr="006F2C59">
        <w:rPr>
          <w:noProof/>
          <w:webHidden/>
          <w:sz w:val="24"/>
          <w:szCs w:val="24"/>
        </w:rPr>
        <w:tab/>
        <w:t>1-</w:t>
      </w:r>
      <w:r w:rsidR="00935309">
        <w:rPr>
          <w:noProof/>
          <w:webHidden/>
          <w:sz w:val="24"/>
          <w:szCs w:val="24"/>
        </w:rPr>
        <w:t>19</w:t>
      </w:r>
    </w:p>
    <w:p w:rsidRPr="006F2C59" w:rsidR="006F2C59" w:rsidP="006F2C59" w:rsidRDefault="006F2C59" w14:paraId="73285BF7" w14:textId="77777777">
      <w:pPr>
        <w:pStyle w:val="TOC2"/>
        <w:rPr>
          <w:noProof/>
          <w:sz w:val="24"/>
          <w:szCs w:val="24"/>
        </w:rPr>
      </w:pPr>
    </w:p>
    <w:p w:rsidR="006F2C59" w:rsidP="006F2C59" w:rsidRDefault="006F2C59" w14:paraId="6E5D03CB" w14:textId="77777777">
      <w:pPr>
        <w:pStyle w:val="TOC1"/>
        <w:rPr>
          <w:rStyle w:val="Hyperlink"/>
          <w:noProof/>
          <w:color w:val="auto"/>
          <w:sz w:val="24"/>
          <w:szCs w:val="24"/>
          <w:u w:val="none"/>
        </w:rPr>
      </w:pPr>
      <w:r w:rsidRPr="006F2C59">
        <w:rPr>
          <w:rStyle w:val="Hyperlink"/>
          <w:noProof/>
          <w:color w:val="auto"/>
          <w:sz w:val="24"/>
          <w:szCs w:val="24"/>
          <w:u w:val="none"/>
        </w:rPr>
        <w:t>B.</w:t>
      </w:r>
      <w:r w:rsidRPr="006F2C59">
        <w:rPr>
          <w:rStyle w:val="Hyperlink"/>
          <w:noProof/>
          <w:color w:val="auto"/>
          <w:sz w:val="24"/>
          <w:szCs w:val="24"/>
          <w:u w:val="none"/>
        </w:rPr>
        <w:tab/>
        <w:t>Collection of Information Employing Statistical</w:t>
      </w:r>
    </w:p>
    <w:p w:rsidRPr="006F2C59" w:rsidR="006F2C59" w:rsidP="006F2C59" w:rsidRDefault="006F2C59" w14:paraId="016786B3" w14:textId="77777777">
      <w:pPr>
        <w:pStyle w:val="TOC1"/>
        <w:rPr>
          <w:noProof/>
          <w:webHidden/>
          <w:sz w:val="24"/>
          <w:szCs w:val="24"/>
        </w:rPr>
      </w:pPr>
      <w:r>
        <w:rPr>
          <w:rStyle w:val="Hyperlink"/>
          <w:noProof/>
          <w:color w:val="auto"/>
          <w:sz w:val="24"/>
          <w:szCs w:val="24"/>
          <w:u w:val="none"/>
        </w:rPr>
        <w:tab/>
      </w:r>
      <w:r w:rsidRPr="006F2C59">
        <w:rPr>
          <w:rStyle w:val="Hyperlink"/>
          <w:noProof/>
          <w:color w:val="auto"/>
          <w:sz w:val="24"/>
          <w:szCs w:val="24"/>
          <w:u w:val="none"/>
        </w:rPr>
        <w:t xml:space="preserve"> Methods</w:t>
      </w:r>
      <w:r w:rsidRPr="006F2C59">
        <w:rPr>
          <w:noProof/>
          <w:webHidden/>
          <w:sz w:val="24"/>
          <w:szCs w:val="24"/>
        </w:rPr>
        <w:tab/>
      </w:r>
      <w:r w:rsidRPr="006F2C59">
        <w:rPr>
          <w:noProof/>
          <w:webHidden/>
          <w:sz w:val="24"/>
          <w:szCs w:val="24"/>
        </w:rPr>
        <w:tab/>
        <w:t>2-1</w:t>
      </w:r>
    </w:p>
    <w:p w:rsidRPr="006F2C59" w:rsidR="006F2C59" w:rsidP="006F2C59" w:rsidRDefault="006F2C59" w14:paraId="7BA72F8E" w14:textId="77777777">
      <w:pPr>
        <w:pStyle w:val="TOC1"/>
        <w:rPr>
          <w:noProof/>
          <w:sz w:val="24"/>
          <w:szCs w:val="24"/>
        </w:rPr>
      </w:pPr>
    </w:p>
    <w:p w:rsidRPr="006F2C59" w:rsidR="006F2C59" w:rsidP="006F2C59" w:rsidRDefault="006F2C59" w14:paraId="57D85312" w14:textId="77777777">
      <w:pPr>
        <w:pStyle w:val="TOC2"/>
        <w:rPr>
          <w:noProof/>
          <w:sz w:val="24"/>
          <w:szCs w:val="24"/>
        </w:rPr>
      </w:pPr>
      <w:r w:rsidRPr="006F2C59">
        <w:rPr>
          <w:rStyle w:val="Hyperlink"/>
          <w:noProof/>
          <w:color w:val="auto"/>
          <w:sz w:val="24"/>
          <w:szCs w:val="24"/>
          <w:u w:val="none"/>
        </w:rPr>
        <w:t>B.1</w:t>
      </w:r>
      <w:r w:rsidRPr="006F2C59">
        <w:rPr>
          <w:noProof/>
          <w:sz w:val="24"/>
          <w:szCs w:val="24"/>
        </w:rPr>
        <w:tab/>
      </w:r>
      <w:r w:rsidRPr="006F2C59">
        <w:rPr>
          <w:rStyle w:val="Hyperlink"/>
          <w:noProof/>
          <w:color w:val="auto"/>
          <w:sz w:val="24"/>
          <w:szCs w:val="24"/>
          <w:u w:val="none"/>
        </w:rPr>
        <w:t>Respondent Universe and Sampling Methods</w:t>
      </w:r>
      <w:r w:rsidRPr="006F2C59">
        <w:rPr>
          <w:noProof/>
          <w:webHidden/>
          <w:sz w:val="24"/>
          <w:szCs w:val="24"/>
        </w:rPr>
        <w:tab/>
      </w:r>
      <w:r w:rsidRPr="006F2C59">
        <w:rPr>
          <w:noProof/>
          <w:webHidden/>
          <w:sz w:val="24"/>
          <w:szCs w:val="24"/>
        </w:rPr>
        <w:tab/>
        <w:t>2-1</w:t>
      </w:r>
    </w:p>
    <w:p w:rsidRPr="006F2C59" w:rsidR="006F2C59" w:rsidP="006F2C59" w:rsidRDefault="006F2C59" w14:paraId="20F7C1EB" w14:textId="19B309BE">
      <w:pPr>
        <w:pStyle w:val="TOC2"/>
        <w:rPr>
          <w:noProof/>
          <w:sz w:val="24"/>
          <w:szCs w:val="24"/>
        </w:rPr>
      </w:pPr>
      <w:r w:rsidRPr="006F2C59">
        <w:rPr>
          <w:rStyle w:val="Hyperlink"/>
          <w:noProof/>
          <w:color w:val="auto"/>
          <w:sz w:val="24"/>
          <w:szCs w:val="24"/>
          <w:u w:val="none"/>
        </w:rPr>
        <w:t>B.2</w:t>
      </w:r>
      <w:r w:rsidRPr="006F2C59">
        <w:rPr>
          <w:noProof/>
          <w:sz w:val="24"/>
          <w:szCs w:val="24"/>
        </w:rPr>
        <w:tab/>
      </w:r>
      <w:r w:rsidRPr="006F2C59">
        <w:rPr>
          <w:rStyle w:val="Hyperlink"/>
          <w:noProof/>
          <w:color w:val="auto"/>
          <w:sz w:val="24"/>
          <w:szCs w:val="24"/>
          <w:u w:val="none"/>
        </w:rPr>
        <w:t>Procedures for the Collection of Information</w:t>
      </w:r>
      <w:r w:rsidRPr="006F2C59">
        <w:rPr>
          <w:noProof/>
          <w:webHidden/>
          <w:sz w:val="24"/>
          <w:szCs w:val="24"/>
        </w:rPr>
        <w:tab/>
      </w:r>
      <w:r w:rsidRPr="006F2C59">
        <w:rPr>
          <w:noProof/>
          <w:webHidden/>
          <w:sz w:val="24"/>
          <w:szCs w:val="24"/>
        </w:rPr>
        <w:tab/>
        <w:t>2-</w:t>
      </w:r>
      <w:r w:rsidR="00935309">
        <w:rPr>
          <w:noProof/>
          <w:webHidden/>
          <w:sz w:val="24"/>
          <w:szCs w:val="24"/>
        </w:rPr>
        <w:t>5</w:t>
      </w:r>
    </w:p>
    <w:p w:rsidR="006F2C59" w:rsidP="006F2C59" w:rsidRDefault="006F2C59" w14:paraId="5BD708D2" w14:textId="77777777">
      <w:pPr>
        <w:pStyle w:val="TOC2"/>
        <w:rPr>
          <w:rStyle w:val="Hyperlink"/>
          <w:noProof/>
          <w:color w:val="auto"/>
          <w:sz w:val="24"/>
          <w:szCs w:val="24"/>
          <w:u w:val="none"/>
        </w:rPr>
      </w:pPr>
      <w:r w:rsidRPr="006F2C59">
        <w:rPr>
          <w:rStyle w:val="Hyperlink"/>
          <w:noProof/>
          <w:color w:val="auto"/>
          <w:sz w:val="24"/>
          <w:szCs w:val="24"/>
          <w:u w:val="none"/>
        </w:rPr>
        <w:t>B.3</w:t>
      </w:r>
      <w:r w:rsidRPr="006F2C59">
        <w:rPr>
          <w:noProof/>
          <w:sz w:val="24"/>
          <w:szCs w:val="24"/>
        </w:rPr>
        <w:tab/>
      </w:r>
      <w:r w:rsidRPr="006F2C59">
        <w:rPr>
          <w:rStyle w:val="Hyperlink"/>
          <w:noProof/>
          <w:color w:val="auto"/>
          <w:sz w:val="24"/>
          <w:szCs w:val="24"/>
          <w:u w:val="none"/>
        </w:rPr>
        <w:t xml:space="preserve">Methods to Maximize Response Rates and Deal with </w:t>
      </w:r>
    </w:p>
    <w:p w:rsidRPr="006F2C59" w:rsidR="006F2C59" w:rsidP="006F2C59" w:rsidRDefault="006F2C59" w14:paraId="637A3FD2" w14:textId="5CA066B6">
      <w:pPr>
        <w:pStyle w:val="TOC2"/>
        <w:rPr>
          <w:noProof/>
          <w:sz w:val="24"/>
          <w:szCs w:val="24"/>
        </w:rPr>
      </w:pPr>
      <w:r>
        <w:rPr>
          <w:rStyle w:val="Hyperlink"/>
          <w:noProof/>
          <w:color w:val="auto"/>
          <w:sz w:val="24"/>
          <w:szCs w:val="24"/>
          <w:u w:val="none"/>
        </w:rPr>
        <w:tab/>
      </w:r>
      <w:r w:rsidRPr="006F2C59">
        <w:rPr>
          <w:rStyle w:val="Hyperlink"/>
          <w:noProof/>
          <w:color w:val="auto"/>
          <w:sz w:val="24"/>
          <w:szCs w:val="24"/>
          <w:u w:val="none"/>
        </w:rPr>
        <w:t>Nonresponse</w:t>
      </w:r>
      <w:r w:rsidRPr="006F2C59">
        <w:rPr>
          <w:noProof/>
          <w:webHidden/>
          <w:sz w:val="24"/>
          <w:szCs w:val="24"/>
        </w:rPr>
        <w:tab/>
      </w:r>
      <w:r w:rsidRPr="006F2C59">
        <w:rPr>
          <w:noProof/>
          <w:webHidden/>
          <w:sz w:val="24"/>
          <w:szCs w:val="24"/>
        </w:rPr>
        <w:tab/>
        <w:t>2-1</w:t>
      </w:r>
      <w:r w:rsidR="00935309">
        <w:rPr>
          <w:noProof/>
          <w:webHidden/>
          <w:sz w:val="24"/>
          <w:szCs w:val="24"/>
        </w:rPr>
        <w:t>3</w:t>
      </w:r>
    </w:p>
    <w:p w:rsidRPr="006F2C59" w:rsidR="006F2C59" w:rsidP="006F2C59" w:rsidRDefault="006F2C59" w14:paraId="63EF4BD4" w14:textId="79BFD655">
      <w:pPr>
        <w:pStyle w:val="TOC2"/>
        <w:rPr>
          <w:noProof/>
          <w:sz w:val="24"/>
          <w:szCs w:val="24"/>
        </w:rPr>
      </w:pPr>
      <w:r w:rsidRPr="006F2C59">
        <w:rPr>
          <w:rStyle w:val="Hyperlink"/>
          <w:noProof/>
          <w:color w:val="auto"/>
          <w:sz w:val="24"/>
          <w:szCs w:val="24"/>
          <w:u w:val="none"/>
        </w:rPr>
        <w:t>B.4</w:t>
      </w:r>
      <w:r w:rsidRPr="006F2C59">
        <w:rPr>
          <w:noProof/>
          <w:sz w:val="24"/>
          <w:szCs w:val="24"/>
        </w:rPr>
        <w:tab/>
      </w:r>
      <w:r w:rsidRPr="006F2C59">
        <w:rPr>
          <w:rStyle w:val="Hyperlink"/>
          <w:noProof/>
          <w:color w:val="auto"/>
          <w:sz w:val="24"/>
          <w:szCs w:val="24"/>
          <w:u w:val="none"/>
        </w:rPr>
        <w:t>Test of Procedures or Methods to be Undertaken</w:t>
      </w:r>
      <w:r w:rsidRPr="006F2C59">
        <w:rPr>
          <w:noProof/>
          <w:webHidden/>
          <w:sz w:val="24"/>
          <w:szCs w:val="24"/>
        </w:rPr>
        <w:tab/>
      </w:r>
      <w:r w:rsidRPr="006F2C59">
        <w:rPr>
          <w:noProof/>
          <w:webHidden/>
          <w:sz w:val="24"/>
          <w:szCs w:val="24"/>
        </w:rPr>
        <w:tab/>
        <w:t>2-1</w:t>
      </w:r>
      <w:r w:rsidR="00935309">
        <w:rPr>
          <w:noProof/>
          <w:webHidden/>
          <w:sz w:val="24"/>
          <w:szCs w:val="24"/>
        </w:rPr>
        <w:t>4</w:t>
      </w:r>
    </w:p>
    <w:p w:rsidR="006F2C59" w:rsidP="006F2C59" w:rsidRDefault="006F2C59" w14:paraId="6E3CFD79" w14:textId="77777777">
      <w:pPr>
        <w:pStyle w:val="TOC2"/>
        <w:rPr>
          <w:rStyle w:val="Hyperlink"/>
          <w:noProof/>
          <w:color w:val="auto"/>
          <w:sz w:val="24"/>
          <w:szCs w:val="24"/>
          <w:u w:val="none"/>
        </w:rPr>
      </w:pPr>
      <w:r w:rsidRPr="006F2C59">
        <w:rPr>
          <w:rStyle w:val="Hyperlink"/>
          <w:noProof/>
          <w:color w:val="auto"/>
          <w:sz w:val="24"/>
          <w:szCs w:val="24"/>
          <w:u w:val="none"/>
        </w:rPr>
        <w:t>B.5</w:t>
      </w:r>
      <w:r w:rsidRPr="006F2C59">
        <w:rPr>
          <w:noProof/>
          <w:sz w:val="24"/>
          <w:szCs w:val="24"/>
        </w:rPr>
        <w:tab/>
        <w:t xml:space="preserve">Individuals </w:t>
      </w:r>
      <w:r w:rsidRPr="006F2C59">
        <w:rPr>
          <w:rStyle w:val="Hyperlink"/>
          <w:noProof/>
          <w:color w:val="auto"/>
          <w:sz w:val="24"/>
          <w:szCs w:val="24"/>
          <w:u w:val="none"/>
        </w:rPr>
        <w:t>Consulted on Statistical Aspects and Individuals</w:t>
      </w:r>
    </w:p>
    <w:p w:rsidRPr="006F2C59" w:rsidR="006F2C59" w:rsidP="006F2C59" w:rsidRDefault="006F2C59" w14:paraId="34D4F5A8" w14:textId="61981ABD">
      <w:pPr>
        <w:pStyle w:val="TOC2"/>
        <w:rPr>
          <w:noProof/>
          <w:webHidden/>
          <w:sz w:val="24"/>
          <w:szCs w:val="24"/>
        </w:rPr>
      </w:pPr>
      <w:r>
        <w:rPr>
          <w:rStyle w:val="Hyperlink"/>
          <w:noProof/>
          <w:color w:val="auto"/>
          <w:sz w:val="24"/>
          <w:szCs w:val="24"/>
          <w:u w:val="none"/>
        </w:rPr>
        <w:tab/>
      </w:r>
      <w:r w:rsidRPr="006F2C59">
        <w:rPr>
          <w:rStyle w:val="Hyperlink"/>
          <w:noProof/>
          <w:color w:val="auto"/>
          <w:sz w:val="24"/>
          <w:szCs w:val="24"/>
          <w:u w:val="none"/>
        </w:rPr>
        <w:t xml:space="preserve"> Collecting and/or Analyzing Data</w:t>
      </w:r>
      <w:r w:rsidRPr="006F2C59">
        <w:rPr>
          <w:noProof/>
          <w:webHidden/>
          <w:sz w:val="24"/>
          <w:szCs w:val="24"/>
        </w:rPr>
        <w:tab/>
      </w:r>
      <w:r w:rsidRPr="006F2C59">
        <w:rPr>
          <w:noProof/>
          <w:webHidden/>
          <w:sz w:val="24"/>
          <w:szCs w:val="24"/>
        </w:rPr>
        <w:tab/>
        <w:t>2-1</w:t>
      </w:r>
      <w:r w:rsidR="00935309">
        <w:rPr>
          <w:noProof/>
          <w:webHidden/>
          <w:sz w:val="24"/>
          <w:szCs w:val="24"/>
        </w:rPr>
        <w:t>5</w:t>
      </w:r>
    </w:p>
    <w:p w:rsidRPr="006F2C59" w:rsidR="006F2C59" w:rsidP="006F2C59" w:rsidRDefault="006F2C59" w14:paraId="68E0FAAE" w14:textId="77777777">
      <w:pPr>
        <w:pStyle w:val="TOC2"/>
        <w:rPr>
          <w:noProof/>
          <w:sz w:val="24"/>
          <w:szCs w:val="24"/>
        </w:rPr>
      </w:pPr>
    </w:p>
    <w:p w:rsidR="006F2C59" w:rsidP="006F2C59" w:rsidRDefault="006F2C59" w14:paraId="19FDDE73" w14:textId="77777777">
      <w:pPr>
        <w:rPr>
          <w:rFonts w:ascii="Franklin Gothic Medium" w:hAnsi="Franklin Gothic Medium"/>
          <w:u w:val="words"/>
        </w:rPr>
      </w:pPr>
      <w:r>
        <w:br w:type="page"/>
      </w:r>
    </w:p>
    <w:p w:rsidR="006F2C59" w:rsidP="006A348F" w:rsidRDefault="006F2C59" w14:paraId="3B4B9135" w14:textId="77777777">
      <w:pPr>
        <w:pStyle w:val="TC-TableofContentsHeading"/>
        <w:ind w:left="0"/>
      </w:pPr>
      <w:r w:rsidRPr="006B63E3">
        <w:rPr>
          <w:sz w:val="40"/>
          <w:szCs w:val="40"/>
        </w:rPr>
        <w:lastRenderedPageBreak/>
        <w:t>Table of Contents</w:t>
      </w:r>
      <w:r>
        <w:t xml:space="preserve"> </w:t>
      </w:r>
      <w:r>
        <w:br/>
        <w:t>(continued)</w:t>
      </w:r>
    </w:p>
    <w:p w:rsidR="006F2C59" w:rsidP="006F2C59" w:rsidRDefault="006F2C59" w14:paraId="5D0E7744" w14:textId="77777777">
      <w:pPr>
        <w:pStyle w:val="T0-ChapPgHd"/>
      </w:pPr>
      <w:r w:rsidRPr="006B63E3">
        <w:rPr>
          <w:rFonts w:ascii="Franklin Gothic Medium" w:hAnsi="Franklin Gothic Medium"/>
          <w:b/>
          <w:color w:val="002060"/>
          <w:sz w:val="32"/>
          <w:szCs w:val="32"/>
          <w:u w:val="none"/>
        </w:rPr>
        <w:t>Exhibits</w:t>
      </w:r>
      <w:r>
        <w:tab/>
        <w:t>Page</w:t>
      </w:r>
    </w:p>
    <w:p w:rsidR="006F2C59" w:rsidP="006F2C59" w:rsidRDefault="006F2C59" w14:paraId="0F0263D1" w14:textId="77777777">
      <w:pPr>
        <w:pStyle w:val="T0-ChapPgHd"/>
      </w:pPr>
    </w:p>
    <w:p w:rsidRPr="006B63E3" w:rsidR="006F2C59" w:rsidP="006F2C59" w:rsidRDefault="006F2C59" w14:paraId="69BC02EB" w14:textId="77777777">
      <w:pPr>
        <w:pStyle w:val="TOC1"/>
        <w:rPr>
          <w:rStyle w:val="Hyperlink"/>
          <w:caps w:val="0"/>
          <w:noProof/>
          <w:color w:val="auto"/>
          <w:sz w:val="24"/>
          <w:szCs w:val="24"/>
          <w:u w:val="none"/>
        </w:rPr>
      </w:pPr>
      <w:r w:rsidRPr="006B63E3">
        <w:rPr>
          <w:rStyle w:val="Hyperlink"/>
          <w:noProof/>
          <w:color w:val="auto"/>
          <w:sz w:val="24"/>
          <w:szCs w:val="24"/>
          <w:u w:val="none"/>
        </w:rPr>
        <w:t>A-1</w:t>
      </w:r>
      <w:r w:rsidRPr="006B63E3">
        <w:rPr>
          <w:rStyle w:val="Hyperlink"/>
          <w:noProof/>
          <w:color w:val="auto"/>
          <w:sz w:val="24"/>
          <w:szCs w:val="24"/>
          <w:u w:val="none"/>
        </w:rPr>
        <w:tab/>
      </w:r>
      <w:r w:rsidRPr="006B63E3">
        <w:rPr>
          <w:caps w:val="0"/>
          <w:sz w:val="24"/>
          <w:szCs w:val="24"/>
        </w:rPr>
        <w:t>Estimated Hour and Annual Cost Response Burden</w:t>
      </w:r>
      <w:r w:rsidRPr="006B63E3">
        <w:rPr>
          <w:rStyle w:val="Hyperlink"/>
          <w:caps w:val="0"/>
          <w:noProof/>
          <w:color w:val="auto"/>
          <w:sz w:val="24"/>
          <w:szCs w:val="24"/>
          <w:u w:val="none"/>
        </w:rPr>
        <w:tab/>
      </w:r>
      <w:r w:rsidRPr="006B63E3">
        <w:rPr>
          <w:rStyle w:val="Hyperlink"/>
          <w:caps w:val="0"/>
          <w:noProof/>
          <w:color w:val="auto"/>
          <w:sz w:val="24"/>
          <w:szCs w:val="24"/>
          <w:u w:val="none"/>
        </w:rPr>
        <w:tab/>
        <w:t>1-16</w:t>
      </w:r>
    </w:p>
    <w:p w:rsidRPr="006B63E3" w:rsidR="006F2C59" w:rsidP="006F2C59" w:rsidRDefault="006F2C59" w14:paraId="6CC8E1D6" w14:textId="77777777">
      <w:pPr>
        <w:pStyle w:val="TOC1"/>
        <w:rPr>
          <w:caps w:val="0"/>
          <w:noProof/>
          <w:sz w:val="24"/>
          <w:szCs w:val="24"/>
        </w:rPr>
      </w:pPr>
      <w:r w:rsidRPr="006B63E3">
        <w:rPr>
          <w:rStyle w:val="Hyperlink"/>
          <w:caps w:val="0"/>
          <w:noProof/>
          <w:color w:val="auto"/>
          <w:sz w:val="24"/>
          <w:szCs w:val="24"/>
          <w:u w:val="none"/>
        </w:rPr>
        <w:t>A-2</w:t>
      </w:r>
      <w:r w:rsidRPr="006B63E3">
        <w:rPr>
          <w:rStyle w:val="Hyperlink"/>
          <w:caps w:val="0"/>
          <w:noProof/>
          <w:color w:val="auto"/>
          <w:sz w:val="24"/>
          <w:szCs w:val="24"/>
          <w:u w:val="none"/>
        </w:rPr>
        <w:tab/>
      </w:r>
      <w:r w:rsidRPr="006B63E3">
        <w:rPr>
          <w:caps w:val="0"/>
          <w:sz w:val="24"/>
          <w:szCs w:val="24"/>
        </w:rPr>
        <w:t>Total Annualized Cost to the Federal Government</w:t>
      </w:r>
      <w:r w:rsidRPr="006B63E3">
        <w:rPr>
          <w:rStyle w:val="Hyperlink"/>
          <w:caps w:val="0"/>
          <w:noProof/>
          <w:color w:val="auto"/>
          <w:sz w:val="24"/>
          <w:szCs w:val="24"/>
          <w:u w:val="none"/>
        </w:rPr>
        <w:t xml:space="preserve"> </w:t>
      </w:r>
      <w:r w:rsidRPr="006B63E3">
        <w:rPr>
          <w:caps w:val="0"/>
          <w:noProof/>
          <w:webHidden/>
          <w:sz w:val="24"/>
          <w:szCs w:val="24"/>
        </w:rPr>
        <w:tab/>
      </w:r>
      <w:r w:rsidRPr="006B63E3">
        <w:rPr>
          <w:caps w:val="0"/>
          <w:noProof/>
          <w:webHidden/>
          <w:sz w:val="24"/>
          <w:szCs w:val="24"/>
        </w:rPr>
        <w:tab/>
        <w:t>1-17</w:t>
      </w:r>
    </w:p>
    <w:p w:rsidRPr="006B63E3" w:rsidR="006F2C59" w:rsidP="006F2C59" w:rsidRDefault="006F2C59" w14:paraId="718CC13B" w14:textId="77777777">
      <w:pPr>
        <w:pStyle w:val="TOC1"/>
        <w:rPr>
          <w:caps w:val="0"/>
          <w:noProof/>
          <w:sz w:val="24"/>
          <w:szCs w:val="24"/>
        </w:rPr>
      </w:pPr>
      <w:r w:rsidRPr="006B63E3">
        <w:rPr>
          <w:rStyle w:val="Hyperlink"/>
          <w:caps w:val="0"/>
          <w:noProof/>
          <w:color w:val="auto"/>
          <w:sz w:val="24"/>
          <w:szCs w:val="24"/>
          <w:u w:val="none"/>
        </w:rPr>
        <w:t>A-3</w:t>
      </w:r>
      <w:r w:rsidRPr="006B63E3">
        <w:rPr>
          <w:rStyle w:val="Hyperlink"/>
          <w:caps w:val="0"/>
          <w:noProof/>
          <w:color w:val="auto"/>
          <w:sz w:val="24"/>
          <w:szCs w:val="24"/>
          <w:u w:val="none"/>
        </w:rPr>
        <w:tab/>
      </w:r>
      <w:r w:rsidRPr="006B63E3">
        <w:rPr>
          <w:caps w:val="0"/>
          <w:sz w:val="24"/>
          <w:szCs w:val="24"/>
        </w:rPr>
        <w:t>Data Collection Timetable</w:t>
      </w:r>
      <w:r w:rsidRPr="006B63E3">
        <w:rPr>
          <w:caps w:val="0"/>
          <w:noProof/>
          <w:webHidden/>
          <w:sz w:val="24"/>
          <w:szCs w:val="24"/>
        </w:rPr>
        <w:tab/>
      </w:r>
      <w:r w:rsidRPr="006B63E3">
        <w:rPr>
          <w:caps w:val="0"/>
          <w:noProof/>
          <w:webHidden/>
          <w:sz w:val="24"/>
          <w:szCs w:val="24"/>
        </w:rPr>
        <w:tab/>
        <w:t>1-18</w:t>
      </w:r>
    </w:p>
    <w:p w:rsidRPr="006B63E3" w:rsidR="006F2C59" w:rsidP="006F2C59" w:rsidRDefault="006F2C59" w14:paraId="3FDDE341" w14:textId="77777777">
      <w:pPr>
        <w:pStyle w:val="TOC1"/>
        <w:rPr>
          <w:rStyle w:val="Hyperlink"/>
          <w:caps w:val="0"/>
          <w:noProof/>
          <w:color w:val="auto"/>
          <w:sz w:val="24"/>
          <w:szCs w:val="24"/>
          <w:u w:val="none"/>
        </w:rPr>
      </w:pPr>
    </w:p>
    <w:p w:rsidRPr="006B63E3" w:rsidR="006F2C59" w:rsidP="006F2C59" w:rsidRDefault="006F2C59" w14:paraId="3E6400F7" w14:textId="1CF15014">
      <w:pPr>
        <w:pStyle w:val="TOC1"/>
        <w:rPr>
          <w:noProof/>
          <w:sz w:val="24"/>
          <w:szCs w:val="24"/>
        </w:rPr>
      </w:pPr>
      <w:r w:rsidRPr="006B63E3">
        <w:rPr>
          <w:rStyle w:val="Hyperlink"/>
          <w:caps w:val="0"/>
          <w:noProof/>
          <w:color w:val="auto"/>
          <w:sz w:val="24"/>
          <w:szCs w:val="24"/>
          <w:u w:val="none"/>
        </w:rPr>
        <w:t>B-1</w:t>
      </w:r>
      <w:r w:rsidRPr="006B63E3">
        <w:rPr>
          <w:rStyle w:val="Hyperlink"/>
          <w:caps w:val="0"/>
          <w:noProof/>
          <w:color w:val="auto"/>
          <w:sz w:val="24"/>
          <w:szCs w:val="24"/>
          <w:u w:val="none"/>
        </w:rPr>
        <w:tab/>
      </w:r>
      <w:r w:rsidRPr="006B63E3">
        <w:rPr>
          <w:caps w:val="0"/>
          <w:sz w:val="24"/>
          <w:szCs w:val="24"/>
        </w:rPr>
        <w:t>Respondent Universe</w:t>
      </w:r>
      <w:r w:rsidRPr="006B63E3">
        <w:rPr>
          <w:noProof/>
          <w:webHidden/>
          <w:sz w:val="24"/>
          <w:szCs w:val="24"/>
        </w:rPr>
        <w:tab/>
      </w:r>
      <w:r w:rsidRPr="006B63E3">
        <w:rPr>
          <w:noProof/>
          <w:webHidden/>
          <w:sz w:val="24"/>
          <w:szCs w:val="24"/>
        </w:rPr>
        <w:tab/>
        <w:t>2-</w:t>
      </w:r>
      <w:r w:rsidR="00EB55C7">
        <w:rPr>
          <w:noProof/>
          <w:webHidden/>
          <w:sz w:val="24"/>
          <w:szCs w:val="24"/>
        </w:rPr>
        <w:t>3</w:t>
      </w:r>
    </w:p>
    <w:p w:rsidRPr="005C7085" w:rsidR="006F2C59" w:rsidP="006F2C59" w:rsidRDefault="006F2C59" w14:paraId="1D85E118" w14:textId="77777777">
      <w:pPr>
        <w:pStyle w:val="TOC1"/>
        <w:rPr>
          <w:rStyle w:val="Hyperlink"/>
          <w:rFonts w:ascii="Garamond" w:hAnsi="Garamond"/>
          <w:noProof/>
        </w:rPr>
      </w:pPr>
    </w:p>
    <w:p w:rsidRPr="005C7085" w:rsidR="006F2C59" w:rsidP="006F2C59" w:rsidRDefault="006F2C59" w14:paraId="341915A2" w14:textId="77777777">
      <w:pPr>
        <w:rPr>
          <w:rFonts w:ascii="Garamond" w:hAnsi="Garamond"/>
          <w:b/>
        </w:rPr>
      </w:pPr>
    </w:p>
    <w:p w:rsidR="006F2C59" w:rsidP="006F2C59" w:rsidRDefault="006F2C59" w14:paraId="415FBF5E" w14:textId="77777777">
      <w:pPr>
        <w:pStyle w:val="SL-FlLftSgl"/>
        <w:jc w:val="center"/>
        <w:rPr>
          <w:rFonts w:ascii="Garamond" w:hAnsi="Garamond"/>
          <w:b/>
        </w:rPr>
      </w:pPr>
    </w:p>
    <w:p w:rsidRPr="006B63E3" w:rsidR="006F2C59" w:rsidP="006F2C59" w:rsidRDefault="006F2C59" w14:paraId="113D58FC" w14:textId="77777777">
      <w:pPr>
        <w:pStyle w:val="SL-FlLftSgl"/>
        <w:jc w:val="center"/>
        <w:rPr>
          <w:rFonts w:ascii="Garamond" w:hAnsi="Garamond"/>
          <w:b/>
          <w:color w:val="1F497D" w:themeColor="text2"/>
        </w:rPr>
      </w:pPr>
    </w:p>
    <w:p w:rsidR="006F2C59" w:rsidP="006F2C59" w:rsidRDefault="006F2C59" w14:paraId="798B7B3C" w14:textId="77777777">
      <w:pPr>
        <w:pStyle w:val="T0-ChapPgHd"/>
      </w:pPr>
      <w:r w:rsidRPr="006B63E3">
        <w:rPr>
          <w:rFonts w:ascii="Franklin Gothic Medium" w:hAnsi="Franklin Gothic Medium"/>
          <w:b/>
          <w:color w:val="002060"/>
          <w:sz w:val="32"/>
          <w:szCs w:val="32"/>
          <w:u w:val="none"/>
        </w:rPr>
        <w:t>Tables</w:t>
      </w:r>
      <w:r>
        <w:tab/>
        <w:t>Page</w:t>
      </w:r>
    </w:p>
    <w:p w:rsidR="006F2C59" w:rsidP="006F2C59" w:rsidRDefault="006F2C59" w14:paraId="770395C5" w14:textId="77777777">
      <w:pPr>
        <w:pStyle w:val="T0-ChapPgHd"/>
      </w:pPr>
    </w:p>
    <w:p w:rsidRPr="006B63E3" w:rsidR="006F2C59" w:rsidP="006F2C59" w:rsidRDefault="006F2C59" w14:paraId="5F9592D6" w14:textId="34736238">
      <w:pPr>
        <w:pStyle w:val="TOC1"/>
        <w:rPr>
          <w:rStyle w:val="Hyperlink"/>
          <w:caps w:val="0"/>
          <w:noProof/>
          <w:color w:val="auto"/>
          <w:sz w:val="24"/>
          <w:szCs w:val="24"/>
          <w:u w:val="none"/>
        </w:rPr>
      </w:pPr>
      <w:r w:rsidRPr="006B63E3">
        <w:rPr>
          <w:rStyle w:val="Hyperlink"/>
          <w:caps w:val="0"/>
          <w:noProof/>
          <w:color w:val="auto"/>
          <w:sz w:val="24"/>
          <w:szCs w:val="24"/>
          <w:u w:val="none"/>
        </w:rPr>
        <w:t>A-1</w:t>
      </w:r>
      <w:r w:rsidRPr="006B63E3">
        <w:rPr>
          <w:rStyle w:val="Hyperlink"/>
          <w:caps w:val="0"/>
          <w:noProof/>
          <w:color w:val="auto"/>
          <w:sz w:val="24"/>
          <w:szCs w:val="24"/>
          <w:u w:val="none"/>
        </w:rPr>
        <w:tab/>
      </w:r>
      <w:r w:rsidRPr="006B63E3">
        <w:rPr>
          <w:caps w:val="0"/>
          <w:sz w:val="24"/>
          <w:szCs w:val="24"/>
        </w:rPr>
        <w:t>Federal Register Comments and ACL Responses</w:t>
      </w:r>
      <w:r w:rsidR="00935309">
        <w:rPr>
          <w:rStyle w:val="Hyperlink"/>
          <w:caps w:val="0"/>
          <w:noProof/>
          <w:color w:val="auto"/>
          <w:sz w:val="24"/>
          <w:szCs w:val="24"/>
          <w:u w:val="none"/>
        </w:rPr>
        <w:tab/>
      </w:r>
      <w:r w:rsidR="00935309">
        <w:rPr>
          <w:rStyle w:val="Hyperlink"/>
          <w:caps w:val="0"/>
          <w:noProof/>
          <w:color w:val="auto"/>
          <w:sz w:val="24"/>
          <w:szCs w:val="24"/>
          <w:u w:val="none"/>
        </w:rPr>
        <w:tab/>
        <w:t>1-9</w:t>
      </w:r>
    </w:p>
    <w:p w:rsidRPr="006B63E3" w:rsidR="006F2C59" w:rsidP="006F2C59" w:rsidRDefault="006F2C59" w14:paraId="082F07B8" w14:textId="77777777">
      <w:pPr>
        <w:pStyle w:val="TOC1"/>
        <w:rPr>
          <w:rStyle w:val="Hyperlink"/>
          <w:caps w:val="0"/>
          <w:noProof/>
          <w:color w:val="auto"/>
          <w:sz w:val="24"/>
          <w:szCs w:val="24"/>
          <w:u w:val="none"/>
        </w:rPr>
      </w:pPr>
    </w:p>
    <w:p w:rsidR="006B63E3" w:rsidP="006F2C59" w:rsidRDefault="006F2C59" w14:paraId="0F47C782" w14:textId="77777777">
      <w:pPr>
        <w:pStyle w:val="TOC1"/>
        <w:rPr>
          <w:caps w:val="0"/>
          <w:sz w:val="24"/>
          <w:szCs w:val="24"/>
        </w:rPr>
      </w:pPr>
      <w:r w:rsidRPr="006B63E3">
        <w:rPr>
          <w:rStyle w:val="Hyperlink"/>
          <w:caps w:val="0"/>
          <w:noProof/>
          <w:color w:val="auto"/>
          <w:sz w:val="24"/>
          <w:szCs w:val="24"/>
          <w:u w:val="none"/>
        </w:rPr>
        <w:t>B-1</w:t>
      </w:r>
      <w:r w:rsidRPr="006B63E3">
        <w:rPr>
          <w:rStyle w:val="Hyperlink"/>
          <w:caps w:val="0"/>
          <w:noProof/>
          <w:color w:val="auto"/>
          <w:sz w:val="24"/>
          <w:szCs w:val="24"/>
          <w:u w:val="none"/>
        </w:rPr>
        <w:tab/>
      </w:r>
      <w:r w:rsidRPr="006B63E3">
        <w:rPr>
          <w:caps w:val="0"/>
          <w:sz w:val="24"/>
          <w:szCs w:val="24"/>
        </w:rPr>
        <w:t>Half-widths of 95 percent confidence intervals by various sample sizes</w:t>
      </w:r>
    </w:p>
    <w:p w:rsidRPr="006B63E3" w:rsidR="006F2C59" w:rsidP="006F2C59" w:rsidRDefault="006B63E3" w14:paraId="4FBD7967" w14:textId="1633A720">
      <w:pPr>
        <w:pStyle w:val="TOC1"/>
        <w:rPr>
          <w:caps w:val="0"/>
          <w:noProof/>
          <w:webHidden/>
          <w:sz w:val="24"/>
          <w:szCs w:val="24"/>
        </w:rPr>
      </w:pPr>
      <w:r>
        <w:rPr>
          <w:caps w:val="0"/>
          <w:sz w:val="24"/>
          <w:szCs w:val="24"/>
        </w:rPr>
        <w:tab/>
      </w:r>
      <w:r w:rsidRPr="006B63E3" w:rsidR="006F2C59">
        <w:rPr>
          <w:caps w:val="0"/>
          <w:sz w:val="24"/>
          <w:szCs w:val="24"/>
        </w:rPr>
        <w:t xml:space="preserve"> and estimates of target characteristics</w:t>
      </w:r>
      <w:r w:rsidRPr="006B63E3" w:rsidR="006F2C59">
        <w:rPr>
          <w:caps w:val="0"/>
          <w:noProof/>
          <w:webHidden/>
          <w:sz w:val="24"/>
          <w:szCs w:val="24"/>
        </w:rPr>
        <w:tab/>
      </w:r>
      <w:r w:rsidRPr="006B63E3" w:rsidR="006F2C59">
        <w:rPr>
          <w:caps w:val="0"/>
          <w:noProof/>
          <w:webHidden/>
          <w:sz w:val="24"/>
          <w:szCs w:val="24"/>
        </w:rPr>
        <w:tab/>
        <w:t>2-</w:t>
      </w:r>
      <w:r w:rsidR="00EB55C7">
        <w:rPr>
          <w:caps w:val="0"/>
          <w:noProof/>
          <w:webHidden/>
          <w:sz w:val="24"/>
          <w:szCs w:val="24"/>
        </w:rPr>
        <w:t>8</w:t>
      </w:r>
    </w:p>
    <w:p w:rsidR="006B63E3" w:rsidP="006F2C59" w:rsidRDefault="006F2C59" w14:paraId="32E74095" w14:textId="77777777">
      <w:pPr>
        <w:pStyle w:val="TOC1"/>
        <w:rPr>
          <w:caps w:val="0"/>
          <w:sz w:val="24"/>
          <w:szCs w:val="24"/>
        </w:rPr>
      </w:pPr>
      <w:r w:rsidRPr="006B63E3">
        <w:rPr>
          <w:rStyle w:val="Hyperlink"/>
          <w:caps w:val="0"/>
          <w:noProof/>
          <w:color w:val="auto"/>
          <w:sz w:val="24"/>
          <w:szCs w:val="24"/>
          <w:u w:val="none"/>
        </w:rPr>
        <w:t>B-2</w:t>
      </w:r>
      <w:r w:rsidRPr="006B63E3">
        <w:rPr>
          <w:rStyle w:val="Hyperlink"/>
          <w:caps w:val="0"/>
          <w:noProof/>
          <w:color w:val="auto"/>
          <w:sz w:val="24"/>
          <w:szCs w:val="24"/>
          <w:u w:val="none"/>
        </w:rPr>
        <w:tab/>
      </w:r>
      <w:r w:rsidRPr="006B63E3">
        <w:rPr>
          <w:caps w:val="0"/>
          <w:sz w:val="24"/>
          <w:szCs w:val="24"/>
        </w:rPr>
        <w:t xml:space="preserve">Half-widths of 95 percent confidence intervals for the difference </w:t>
      </w:r>
    </w:p>
    <w:p w:rsidR="006B63E3" w:rsidP="006F2C59" w:rsidRDefault="006B63E3" w14:paraId="6CA557A3" w14:textId="77777777">
      <w:pPr>
        <w:pStyle w:val="TOC1"/>
        <w:rPr>
          <w:caps w:val="0"/>
          <w:sz w:val="24"/>
          <w:szCs w:val="24"/>
        </w:rPr>
      </w:pPr>
      <w:r>
        <w:rPr>
          <w:caps w:val="0"/>
          <w:sz w:val="24"/>
          <w:szCs w:val="24"/>
        </w:rPr>
        <w:tab/>
      </w:r>
      <w:r w:rsidRPr="006B63E3" w:rsidR="006F2C59">
        <w:rPr>
          <w:caps w:val="0"/>
          <w:sz w:val="24"/>
          <w:szCs w:val="24"/>
        </w:rPr>
        <w:t xml:space="preserve">between two estimates by various sample sizes and for various </w:t>
      </w:r>
    </w:p>
    <w:p w:rsidRPr="006B63E3" w:rsidR="006F2C59" w:rsidP="006F2C59" w:rsidRDefault="006B63E3" w14:paraId="1E1FFB4F" w14:textId="11DCB043">
      <w:pPr>
        <w:pStyle w:val="TOC1"/>
        <w:rPr>
          <w:caps w:val="0"/>
          <w:noProof/>
          <w:sz w:val="24"/>
          <w:szCs w:val="24"/>
        </w:rPr>
      </w:pPr>
      <w:r>
        <w:rPr>
          <w:caps w:val="0"/>
          <w:sz w:val="24"/>
          <w:szCs w:val="24"/>
        </w:rPr>
        <w:tab/>
      </w:r>
      <w:r w:rsidRPr="006B63E3" w:rsidR="006F2C59">
        <w:rPr>
          <w:caps w:val="0"/>
          <w:sz w:val="24"/>
          <w:szCs w:val="24"/>
        </w:rPr>
        <w:t>averages of the two estimates</w:t>
      </w:r>
      <w:r w:rsidRPr="006B63E3" w:rsidR="006F2C59">
        <w:rPr>
          <w:caps w:val="0"/>
          <w:noProof/>
          <w:webHidden/>
          <w:sz w:val="24"/>
          <w:szCs w:val="24"/>
        </w:rPr>
        <w:tab/>
      </w:r>
      <w:r w:rsidRPr="006B63E3" w:rsidR="006F2C59">
        <w:rPr>
          <w:caps w:val="0"/>
          <w:noProof/>
          <w:webHidden/>
          <w:sz w:val="24"/>
          <w:szCs w:val="24"/>
        </w:rPr>
        <w:tab/>
        <w:t>2-</w:t>
      </w:r>
      <w:r w:rsidR="00EB55C7">
        <w:rPr>
          <w:caps w:val="0"/>
          <w:noProof/>
          <w:webHidden/>
          <w:sz w:val="24"/>
          <w:szCs w:val="24"/>
        </w:rPr>
        <w:t>10</w:t>
      </w:r>
    </w:p>
    <w:p w:rsidRPr="00B409B2" w:rsidR="006F2C59" w:rsidP="006F2C59" w:rsidRDefault="006F2C59" w14:paraId="4BF8B92D" w14:textId="77777777">
      <w:pPr>
        <w:pStyle w:val="TOC1"/>
        <w:rPr>
          <w:noProof/>
          <w:szCs w:val="22"/>
        </w:rPr>
      </w:pPr>
    </w:p>
    <w:p w:rsidR="006F2C59" w:rsidP="006F2C59" w:rsidRDefault="006F2C59" w14:paraId="1FE4C506" w14:textId="77777777">
      <w:pPr>
        <w:pStyle w:val="T0-ChapPgHd"/>
      </w:pPr>
    </w:p>
    <w:p w:rsidR="006F2C59" w:rsidP="006F2C59" w:rsidRDefault="006F2C59" w14:paraId="26672A35" w14:textId="77777777">
      <w:pPr>
        <w:pStyle w:val="T0-ChapPgHd"/>
      </w:pPr>
    </w:p>
    <w:p w:rsidR="006F2C59" w:rsidP="006F2C59" w:rsidRDefault="006F2C59" w14:paraId="5ECB017A" w14:textId="77777777">
      <w:pPr>
        <w:pStyle w:val="T0-ChapPgHd"/>
      </w:pPr>
    </w:p>
    <w:p w:rsidRPr="006B63E3" w:rsidR="006F2C59" w:rsidP="006F2C59" w:rsidRDefault="006F2C59" w14:paraId="2D049770" w14:textId="5FB4EDF7">
      <w:pPr>
        <w:pStyle w:val="T0-ChapPgHd"/>
        <w:rPr>
          <w:rFonts w:ascii="Franklin Gothic Medium" w:hAnsi="Franklin Gothic Medium"/>
          <w:b/>
          <w:color w:val="002060"/>
          <w:sz w:val="32"/>
          <w:szCs w:val="32"/>
          <w:u w:val="none"/>
        </w:rPr>
      </w:pPr>
      <w:r w:rsidRPr="006B63E3">
        <w:rPr>
          <w:rFonts w:ascii="Franklin Gothic Medium" w:hAnsi="Franklin Gothic Medium"/>
          <w:b/>
          <w:color w:val="002060"/>
          <w:sz w:val="32"/>
          <w:szCs w:val="32"/>
          <w:u w:val="none"/>
        </w:rPr>
        <w:t>Appendices</w:t>
      </w:r>
      <w:r w:rsidR="00C93DB1">
        <w:rPr>
          <w:rFonts w:ascii="Franklin Gothic Medium" w:hAnsi="Franklin Gothic Medium"/>
          <w:b/>
          <w:color w:val="002060"/>
          <w:sz w:val="32"/>
          <w:szCs w:val="32"/>
          <w:u w:val="none"/>
        </w:rPr>
        <w:t xml:space="preserve"> (separate document)</w:t>
      </w:r>
      <w:r w:rsidRPr="006B63E3">
        <w:rPr>
          <w:rFonts w:ascii="Franklin Gothic Medium" w:hAnsi="Franklin Gothic Medium"/>
          <w:b/>
          <w:color w:val="002060"/>
          <w:sz w:val="32"/>
          <w:szCs w:val="32"/>
          <w:u w:val="none"/>
        </w:rPr>
        <w:tab/>
      </w:r>
    </w:p>
    <w:p w:rsidRPr="005C7085" w:rsidR="006F2C59" w:rsidP="006F2C59" w:rsidRDefault="006F2C59" w14:paraId="24326FAB" w14:textId="77777777">
      <w:pPr>
        <w:pStyle w:val="TOC1"/>
        <w:rPr>
          <w:rStyle w:val="Hyperlink"/>
          <w:rFonts w:ascii="Garamond" w:hAnsi="Garamond"/>
          <w:noProof/>
        </w:rPr>
      </w:pPr>
    </w:p>
    <w:p w:rsidRPr="006B63E3" w:rsidR="006F2C59" w:rsidP="006F2C59" w:rsidRDefault="006F2C59" w14:paraId="3DF2ADA4" w14:textId="77777777">
      <w:pPr>
        <w:pStyle w:val="TOC1"/>
        <w:rPr>
          <w:caps w:val="0"/>
          <w:sz w:val="24"/>
          <w:szCs w:val="24"/>
        </w:rPr>
      </w:pPr>
      <w:r w:rsidRPr="006B63E3">
        <w:rPr>
          <w:sz w:val="24"/>
          <w:szCs w:val="24"/>
        </w:rPr>
        <w:t>A</w:t>
      </w:r>
      <w:r w:rsidRPr="006B63E3">
        <w:rPr>
          <w:rFonts w:ascii="Garamond" w:hAnsi="Garamond"/>
          <w:sz w:val="24"/>
          <w:szCs w:val="24"/>
        </w:rPr>
        <w:tab/>
      </w:r>
      <w:r w:rsidRPr="006B63E3">
        <w:rPr>
          <w:caps w:val="0"/>
          <w:sz w:val="24"/>
          <w:szCs w:val="24"/>
        </w:rPr>
        <w:t>Pertinent Legislation</w:t>
      </w:r>
    </w:p>
    <w:p w:rsidRPr="006B63E3" w:rsidR="006F2C59" w:rsidP="006F2C59" w:rsidRDefault="006F2C59" w14:paraId="21FC4119" w14:textId="77777777">
      <w:pPr>
        <w:pStyle w:val="TOC1"/>
        <w:rPr>
          <w:caps w:val="0"/>
          <w:sz w:val="24"/>
          <w:szCs w:val="24"/>
        </w:rPr>
      </w:pPr>
      <w:r w:rsidRPr="006B63E3">
        <w:rPr>
          <w:caps w:val="0"/>
          <w:sz w:val="24"/>
          <w:szCs w:val="24"/>
        </w:rPr>
        <w:t>B</w:t>
      </w:r>
      <w:r w:rsidRPr="006B63E3">
        <w:rPr>
          <w:caps w:val="0"/>
          <w:sz w:val="24"/>
          <w:szCs w:val="24"/>
        </w:rPr>
        <w:tab/>
        <w:t xml:space="preserve">Instructions for Creating Numbered Client Lists </w:t>
      </w:r>
      <w:r w:rsidR="00E56906">
        <w:rPr>
          <w:caps w:val="0"/>
          <w:noProof/>
          <w:sz w:val="24"/>
          <w:szCs w:val="24"/>
        </w:rPr>
        <mc:AlternateContent>
          <mc:Choice Requires="wps">
            <w:drawing>
              <wp:anchor distT="0" distB="0" distL="114300" distR="114300" simplePos="0" relativeHeight="251725824" behindDoc="0" locked="0" layoutInCell="1" allowOverlap="1" wp14:editId="39343F22" wp14:anchorId="50A3DBCE">
                <wp:simplePos x="0" y="0"/>
                <wp:positionH relativeFrom="column">
                  <wp:posOffset>314325</wp:posOffset>
                </wp:positionH>
                <wp:positionV relativeFrom="paragraph">
                  <wp:posOffset>3343910</wp:posOffset>
                </wp:positionV>
                <wp:extent cx="5172075" cy="495300"/>
                <wp:effectExtent l="0" t="0" r="0" b="3175"/>
                <wp:wrapNone/>
                <wp:docPr id="11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0C91" w:rsidP="006F2C59" w:rsidRDefault="00D00C91" w14:paraId="197E21B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0A3DBCE">
                <v:stroke joinstyle="miter"/>
                <v:path gradientshapeok="t" o:connecttype="rect"/>
              </v:shapetype>
              <v:shape id="Text Box 88" style="position:absolute;left:0;text-align:left;margin-left:24.75pt;margin-top:263.3pt;width:407.25pt;height:3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">
                <v:textbox>
                  <w:txbxContent>
                    <w:p w:rsidR="00D00C91" w:rsidP="006F2C59" w:rsidRDefault="00D00C91" w14:paraId="197E21BC" w14:textId="77777777"/>
                  </w:txbxContent>
                </v:textbox>
              </v:shape>
            </w:pict>
          </mc:Fallback>
        </mc:AlternateContent>
      </w:r>
      <w:r w:rsidR="00F17282">
        <w:rPr>
          <w:caps w:val="0"/>
          <w:sz w:val="24"/>
          <w:szCs w:val="24"/>
        </w:rPr>
        <w:t>for Sampling</w:t>
      </w:r>
    </w:p>
    <w:p w:rsidRPr="006B63E3" w:rsidR="006F2C59" w:rsidP="006F2C59" w:rsidRDefault="006F2C59" w14:paraId="655A31B9" w14:textId="77777777">
      <w:pPr>
        <w:pStyle w:val="TOC1"/>
        <w:rPr>
          <w:caps w:val="0"/>
          <w:sz w:val="24"/>
          <w:szCs w:val="24"/>
        </w:rPr>
      </w:pPr>
      <w:r w:rsidRPr="006B63E3">
        <w:rPr>
          <w:caps w:val="0"/>
          <w:sz w:val="24"/>
          <w:szCs w:val="24"/>
        </w:rPr>
        <w:t>C</w:t>
      </w:r>
      <w:r w:rsidRPr="006B63E3">
        <w:rPr>
          <w:caps w:val="0"/>
          <w:sz w:val="24"/>
          <w:szCs w:val="24"/>
        </w:rPr>
        <w:tab/>
        <w:t>Instructions for AAA Access to the Survey Website &amp; How to Submit Data</w:t>
      </w:r>
    </w:p>
    <w:p w:rsidR="006A348F" w:rsidP="006B63E3" w:rsidRDefault="006F2C59" w14:paraId="503277A6" w14:textId="77777777">
      <w:pPr>
        <w:pStyle w:val="TOC1"/>
        <w:ind w:left="1440" w:hanging="1152"/>
        <w:rPr>
          <w:caps w:val="0"/>
          <w:sz w:val="24"/>
          <w:szCs w:val="24"/>
        </w:rPr>
      </w:pPr>
      <w:r w:rsidRPr="006B63E3">
        <w:rPr>
          <w:caps w:val="0"/>
          <w:sz w:val="24"/>
          <w:szCs w:val="24"/>
        </w:rPr>
        <w:t>D</w:t>
      </w:r>
      <w:r w:rsidRPr="006B63E3">
        <w:rPr>
          <w:caps w:val="0"/>
          <w:sz w:val="24"/>
          <w:szCs w:val="24"/>
        </w:rPr>
        <w:tab/>
      </w:r>
      <w:r w:rsidRPr="006A348F">
        <w:rPr>
          <w:b/>
          <w:i/>
          <w:caps w:val="0"/>
          <w:sz w:val="24"/>
          <w:szCs w:val="24"/>
        </w:rPr>
        <w:t>Federal Register</w:t>
      </w:r>
      <w:r w:rsidRPr="006B63E3">
        <w:rPr>
          <w:caps w:val="0"/>
          <w:sz w:val="24"/>
          <w:szCs w:val="24"/>
        </w:rPr>
        <w:t xml:space="preserve"> Notice Published by A</w:t>
      </w:r>
      <w:r w:rsidRPr="006B63E3" w:rsidR="006B63E3">
        <w:rPr>
          <w:caps w:val="0"/>
          <w:sz w:val="24"/>
          <w:szCs w:val="24"/>
        </w:rPr>
        <w:t>CL</w:t>
      </w:r>
      <w:r w:rsidRPr="006B63E3">
        <w:rPr>
          <w:caps w:val="0"/>
          <w:sz w:val="24"/>
          <w:szCs w:val="24"/>
        </w:rPr>
        <w:t>/A</w:t>
      </w:r>
      <w:r w:rsidRPr="006B63E3" w:rsidR="006B63E3">
        <w:rPr>
          <w:caps w:val="0"/>
          <w:sz w:val="24"/>
          <w:szCs w:val="24"/>
        </w:rPr>
        <w:t>oA</w:t>
      </w:r>
      <w:r w:rsidRPr="006B63E3">
        <w:rPr>
          <w:caps w:val="0"/>
          <w:sz w:val="24"/>
          <w:szCs w:val="24"/>
        </w:rPr>
        <w:t xml:space="preserve"> for the</w:t>
      </w:r>
      <w:r w:rsidR="006A348F">
        <w:rPr>
          <w:caps w:val="0"/>
          <w:sz w:val="24"/>
          <w:szCs w:val="24"/>
        </w:rPr>
        <w:t xml:space="preserve"> </w:t>
      </w:r>
      <w:r w:rsidRPr="006B63E3">
        <w:rPr>
          <w:caps w:val="0"/>
          <w:sz w:val="24"/>
          <w:szCs w:val="24"/>
        </w:rPr>
        <w:t>Proposed</w:t>
      </w:r>
      <w:r w:rsidR="006A348F">
        <w:rPr>
          <w:caps w:val="0"/>
          <w:sz w:val="24"/>
          <w:szCs w:val="24"/>
        </w:rPr>
        <w:t xml:space="preserve">   </w:t>
      </w:r>
    </w:p>
    <w:p w:rsidRPr="006B63E3" w:rsidR="006F2C59" w:rsidP="006B63E3" w:rsidRDefault="006A348F" w14:paraId="3B24F54B" w14:textId="77777777">
      <w:pPr>
        <w:pStyle w:val="TOC1"/>
        <w:ind w:left="1440" w:hanging="1152"/>
        <w:rPr>
          <w:caps w:val="0"/>
          <w:sz w:val="24"/>
          <w:szCs w:val="24"/>
        </w:rPr>
      </w:pPr>
      <w:r>
        <w:rPr>
          <w:caps w:val="0"/>
          <w:sz w:val="24"/>
          <w:szCs w:val="24"/>
        </w:rPr>
        <w:tab/>
        <w:t xml:space="preserve">  </w:t>
      </w:r>
      <w:r w:rsidRPr="006B63E3" w:rsidR="006F2C59">
        <w:rPr>
          <w:caps w:val="0"/>
          <w:sz w:val="24"/>
          <w:szCs w:val="24"/>
        </w:rPr>
        <w:t>Information Collection</w:t>
      </w:r>
    </w:p>
    <w:p w:rsidRPr="006B63E3" w:rsidR="006F2C59" w:rsidP="006F2C59" w:rsidRDefault="006F2C59" w14:paraId="13E31DDC" w14:textId="77777777">
      <w:pPr>
        <w:pStyle w:val="TOC1"/>
        <w:rPr>
          <w:caps w:val="0"/>
          <w:sz w:val="24"/>
          <w:szCs w:val="24"/>
        </w:rPr>
      </w:pPr>
      <w:r w:rsidRPr="006B63E3">
        <w:rPr>
          <w:caps w:val="0"/>
          <w:sz w:val="24"/>
          <w:szCs w:val="24"/>
        </w:rPr>
        <w:t>E</w:t>
      </w:r>
      <w:r w:rsidRPr="006B63E3">
        <w:rPr>
          <w:caps w:val="0"/>
          <w:sz w:val="24"/>
          <w:szCs w:val="24"/>
        </w:rPr>
        <w:tab/>
        <w:t>Westat Assurance of Confidentiality Agreement</w:t>
      </w:r>
    </w:p>
    <w:p w:rsidR="00BA3EE1" w:rsidP="00110A96" w:rsidRDefault="00BA3EE1" w14:paraId="73B8C64F" w14:textId="372CFD88">
      <w:pPr>
        <w:pStyle w:val="TOC1"/>
        <w:rPr>
          <w:caps w:val="0"/>
          <w:sz w:val="24"/>
          <w:szCs w:val="24"/>
        </w:rPr>
      </w:pPr>
      <w:r>
        <w:rPr>
          <w:caps w:val="0"/>
          <w:sz w:val="24"/>
          <w:szCs w:val="24"/>
        </w:rPr>
        <w:t>F</w:t>
      </w:r>
      <w:r>
        <w:rPr>
          <w:caps w:val="0"/>
          <w:sz w:val="24"/>
          <w:szCs w:val="24"/>
        </w:rPr>
        <w:tab/>
        <w:t xml:space="preserve">Notification Letter </w:t>
      </w:r>
      <w:r w:rsidR="00B8290F">
        <w:rPr>
          <w:caps w:val="0"/>
          <w:sz w:val="24"/>
          <w:szCs w:val="24"/>
        </w:rPr>
        <w:t>for</w:t>
      </w:r>
      <w:r>
        <w:rPr>
          <w:caps w:val="0"/>
          <w:sz w:val="24"/>
          <w:szCs w:val="24"/>
        </w:rPr>
        <w:t xml:space="preserve"> Selected Clients</w:t>
      </w:r>
    </w:p>
    <w:p w:rsidRPr="006B63E3" w:rsidR="00110A96" w:rsidP="00110A96" w:rsidRDefault="00BA3EE1" w14:paraId="447EA79D" w14:textId="33B6EEB9">
      <w:pPr>
        <w:pStyle w:val="TOC1"/>
        <w:rPr>
          <w:caps w:val="0"/>
          <w:sz w:val="24"/>
          <w:szCs w:val="24"/>
        </w:rPr>
      </w:pPr>
      <w:r>
        <w:rPr>
          <w:caps w:val="0"/>
          <w:sz w:val="24"/>
          <w:szCs w:val="24"/>
        </w:rPr>
        <w:t>G</w:t>
      </w:r>
      <w:r w:rsidRPr="006B63E3" w:rsidR="006F2C59">
        <w:rPr>
          <w:caps w:val="0"/>
          <w:sz w:val="24"/>
          <w:szCs w:val="24"/>
        </w:rPr>
        <w:tab/>
      </w:r>
      <w:r w:rsidRPr="006B63E3" w:rsidR="00110A96">
        <w:rPr>
          <w:caps w:val="0"/>
          <w:sz w:val="24"/>
          <w:szCs w:val="24"/>
        </w:rPr>
        <w:t xml:space="preserve">Notification Letter </w:t>
      </w:r>
      <w:r w:rsidR="00B8290F">
        <w:rPr>
          <w:caps w:val="0"/>
          <w:sz w:val="24"/>
          <w:szCs w:val="24"/>
        </w:rPr>
        <w:t>for</w:t>
      </w:r>
      <w:r w:rsidRPr="006B63E3" w:rsidR="00110A96">
        <w:rPr>
          <w:caps w:val="0"/>
          <w:sz w:val="24"/>
          <w:szCs w:val="24"/>
        </w:rPr>
        <w:t xml:space="preserve"> State Units on Aging</w:t>
      </w:r>
    </w:p>
    <w:p w:rsidRPr="006B63E3" w:rsidR="006F2C59" w:rsidP="006F2C59" w:rsidRDefault="00E56906" w14:paraId="2D828DBB" w14:textId="0F0F8552">
      <w:pPr>
        <w:pStyle w:val="TOC1"/>
        <w:rPr>
          <w:caps w:val="0"/>
          <w:sz w:val="24"/>
          <w:szCs w:val="24"/>
        </w:rPr>
      </w:pPr>
      <w:r>
        <w:rPr>
          <w:caps w:val="0"/>
          <w:noProof/>
          <w:sz w:val="24"/>
          <w:szCs w:val="24"/>
        </w:rPr>
        <mc:AlternateContent>
          <mc:Choice Requires="wps">
            <w:drawing>
              <wp:anchor distT="0" distB="0" distL="114300" distR="114300" simplePos="0" relativeHeight="251726848" behindDoc="0" locked="0" layoutInCell="1" allowOverlap="1" wp14:editId="1883652C" wp14:anchorId="2466D844">
                <wp:simplePos x="0" y="0"/>
                <wp:positionH relativeFrom="column">
                  <wp:posOffset>314325</wp:posOffset>
                </wp:positionH>
                <wp:positionV relativeFrom="paragraph">
                  <wp:posOffset>3343910</wp:posOffset>
                </wp:positionV>
                <wp:extent cx="5172075" cy="495300"/>
                <wp:effectExtent l="0" t="0" r="0" b="3175"/>
                <wp:wrapNone/>
                <wp:docPr id="9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0C91" w:rsidP="006F2C59" w:rsidRDefault="00D00C91" w14:paraId="4B7CA9D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style="position:absolute;left:0;text-align:left;margin-left:24.75pt;margin-top:263.3pt;width:407.25pt;height:3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" w14:anchorId="2466D844">
                <v:textbox>
                  <w:txbxContent>
                    <w:p w:rsidR="00D00C91" w:rsidP="006F2C59" w:rsidRDefault="00D00C91" w14:paraId="4B7CA9DC" w14:textId="77777777"/>
                  </w:txbxContent>
                </v:textbox>
              </v:shape>
            </w:pict>
          </mc:Fallback>
        </mc:AlternateContent>
      </w:r>
      <w:r w:rsidR="00BA3EE1">
        <w:rPr>
          <w:caps w:val="0"/>
          <w:sz w:val="24"/>
          <w:szCs w:val="24"/>
        </w:rPr>
        <w:t>H</w:t>
      </w:r>
      <w:r w:rsidRPr="006B63E3" w:rsidR="006F2C59">
        <w:rPr>
          <w:caps w:val="0"/>
          <w:sz w:val="24"/>
          <w:szCs w:val="24"/>
        </w:rPr>
        <w:tab/>
      </w:r>
      <w:r w:rsidRPr="006B63E3" w:rsidR="00110A96">
        <w:rPr>
          <w:caps w:val="0"/>
          <w:sz w:val="24"/>
          <w:szCs w:val="24"/>
        </w:rPr>
        <w:t xml:space="preserve">Notification Letter </w:t>
      </w:r>
      <w:r w:rsidR="00B8290F">
        <w:rPr>
          <w:caps w:val="0"/>
          <w:sz w:val="24"/>
          <w:szCs w:val="24"/>
        </w:rPr>
        <w:t>for</w:t>
      </w:r>
      <w:r w:rsidRPr="006B63E3" w:rsidR="00110A96">
        <w:rPr>
          <w:caps w:val="0"/>
          <w:sz w:val="24"/>
          <w:szCs w:val="24"/>
        </w:rPr>
        <w:t xml:space="preserve"> </w:t>
      </w:r>
      <w:r w:rsidR="00110A96">
        <w:rPr>
          <w:caps w:val="0"/>
          <w:sz w:val="24"/>
          <w:szCs w:val="24"/>
        </w:rPr>
        <w:t>Area Agencies</w:t>
      </w:r>
      <w:r w:rsidRPr="006B63E3" w:rsidR="00110A96">
        <w:rPr>
          <w:caps w:val="0"/>
          <w:sz w:val="24"/>
          <w:szCs w:val="24"/>
        </w:rPr>
        <w:t xml:space="preserve"> on Aging </w:t>
      </w:r>
    </w:p>
    <w:p w:rsidRPr="006B63E3" w:rsidR="006F2C59" w:rsidP="006F2C59" w:rsidRDefault="00BA3EE1" w14:paraId="048403A6" w14:textId="59359D71">
      <w:pPr>
        <w:pStyle w:val="TOC1"/>
        <w:rPr>
          <w:caps w:val="0"/>
          <w:sz w:val="24"/>
          <w:szCs w:val="24"/>
        </w:rPr>
      </w:pPr>
      <w:r>
        <w:rPr>
          <w:caps w:val="0"/>
          <w:sz w:val="24"/>
          <w:szCs w:val="24"/>
        </w:rPr>
        <w:t>I</w:t>
      </w:r>
      <w:r w:rsidRPr="006B63E3" w:rsidR="006F2C59">
        <w:rPr>
          <w:caps w:val="0"/>
          <w:sz w:val="24"/>
          <w:szCs w:val="24"/>
        </w:rPr>
        <w:tab/>
      </w:r>
      <w:r w:rsidRPr="006B63E3" w:rsidR="001C061E">
        <w:rPr>
          <w:caps w:val="0"/>
          <w:sz w:val="24"/>
          <w:szCs w:val="24"/>
        </w:rPr>
        <w:t>Agency Information Packet</w:t>
      </w:r>
    </w:p>
    <w:p w:rsidR="001C061E" w:rsidP="001C061E" w:rsidRDefault="001C061E" w14:paraId="1F3A05B5" w14:textId="063ED06A">
      <w:pPr>
        <w:pStyle w:val="TOC1"/>
        <w:rPr>
          <w:caps w:val="0"/>
          <w:sz w:val="24"/>
          <w:szCs w:val="24"/>
        </w:rPr>
      </w:pPr>
      <w:r>
        <w:rPr>
          <w:caps w:val="0"/>
          <w:noProof/>
          <w:sz w:val="24"/>
          <w:szCs w:val="24"/>
        </w:rPr>
        <mc:AlternateContent>
          <mc:Choice Requires="wps">
            <w:drawing>
              <wp:anchor distT="0" distB="0" distL="114300" distR="114300" simplePos="0" relativeHeight="251728896" behindDoc="0" locked="0" layoutInCell="1" allowOverlap="1" wp14:editId="782F50D1" wp14:anchorId="0FF9AB5A">
                <wp:simplePos x="0" y="0"/>
                <wp:positionH relativeFrom="column">
                  <wp:posOffset>314325</wp:posOffset>
                </wp:positionH>
                <wp:positionV relativeFrom="paragraph">
                  <wp:posOffset>3343910</wp:posOffset>
                </wp:positionV>
                <wp:extent cx="5172075" cy="495300"/>
                <wp:effectExtent l="0" t="0" r="0" b="3175"/>
                <wp:wrapNone/>
                <wp:docPr id="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0C91" w:rsidP="001C061E" w:rsidRDefault="00D00C91" w14:paraId="106E8BA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24.75pt;margin-top:263.3pt;width:407.25pt;height:3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" w14:anchorId="0FF9AB5A">
                <v:textbox>
                  <w:txbxContent>
                    <w:p w:rsidR="00D00C91" w:rsidP="001C061E" w:rsidRDefault="00D00C91" w14:paraId="106E8BA4" w14:textId="77777777"/>
                  </w:txbxContent>
                </v:textbox>
              </v:shape>
            </w:pict>
          </mc:Fallback>
        </mc:AlternateContent>
      </w:r>
      <w:r>
        <w:rPr>
          <w:caps w:val="0"/>
          <w:sz w:val="24"/>
          <w:szCs w:val="24"/>
        </w:rPr>
        <w:t>J</w:t>
      </w:r>
      <w:r w:rsidRPr="006B63E3">
        <w:rPr>
          <w:caps w:val="0"/>
          <w:sz w:val="24"/>
          <w:szCs w:val="24"/>
        </w:rPr>
        <w:tab/>
        <w:t>Survey Instrument/Questionnaire</w:t>
      </w:r>
      <w:r>
        <w:rPr>
          <w:caps w:val="0"/>
          <w:sz w:val="24"/>
          <w:szCs w:val="24"/>
        </w:rPr>
        <w:t xml:space="preserve"> [</w:t>
      </w:r>
      <w:r w:rsidRPr="00DC3806">
        <w:rPr>
          <w:caps w:val="0"/>
          <w:sz w:val="24"/>
          <w:szCs w:val="24"/>
        </w:rPr>
        <w:t>see separate document</w:t>
      </w:r>
      <w:r>
        <w:rPr>
          <w:caps w:val="0"/>
          <w:sz w:val="24"/>
          <w:szCs w:val="24"/>
        </w:rPr>
        <w:t>]</w:t>
      </w:r>
    </w:p>
    <w:p w:rsidRPr="006B63E3" w:rsidR="005E0300" w:rsidP="001C061E" w:rsidRDefault="005E0300" w14:paraId="32CE3605" w14:textId="1A938831">
      <w:pPr>
        <w:pStyle w:val="TOC1"/>
        <w:rPr>
          <w:caps w:val="0"/>
          <w:sz w:val="24"/>
          <w:szCs w:val="24"/>
        </w:rPr>
      </w:pPr>
      <w:r>
        <w:rPr>
          <w:caps w:val="0"/>
          <w:sz w:val="24"/>
          <w:szCs w:val="24"/>
        </w:rPr>
        <w:t>K</w:t>
      </w:r>
      <w:r>
        <w:rPr>
          <w:caps w:val="0"/>
          <w:sz w:val="24"/>
          <w:szCs w:val="24"/>
        </w:rPr>
        <w:tab/>
        <w:t xml:space="preserve">COVID Module </w:t>
      </w:r>
      <w:r w:rsidR="00CA7F63">
        <w:rPr>
          <w:caps w:val="0"/>
          <w:sz w:val="24"/>
          <w:szCs w:val="24"/>
        </w:rPr>
        <w:t xml:space="preserve">for 2021 </w:t>
      </w:r>
      <w:r>
        <w:rPr>
          <w:caps w:val="0"/>
          <w:sz w:val="24"/>
          <w:szCs w:val="24"/>
        </w:rPr>
        <w:t>[see separate document]</w:t>
      </w:r>
    </w:p>
    <w:p w:rsidRPr="006B63E3" w:rsidR="006F2C59" w:rsidP="00036B67" w:rsidRDefault="006F2C59" w14:paraId="47FF892B" w14:textId="71626DA1">
      <w:pPr>
        <w:pStyle w:val="TOC1"/>
        <w:rPr>
          <w:rFonts w:ascii="Franklin Gothic Medium" w:hAnsi="Franklin Gothic Medium"/>
          <w:b/>
          <w:caps w:val="0"/>
          <w:color w:val="324162"/>
          <w:sz w:val="24"/>
          <w:szCs w:val="24"/>
        </w:rPr>
      </w:pPr>
      <w:r w:rsidRPr="006B63E3">
        <w:rPr>
          <w:caps w:val="0"/>
          <w:sz w:val="24"/>
          <w:szCs w:val="24"/>
        </w:rPr>
        <w:tab/>
      </w:r>
    </w:p>
    <w:p w:rsidRPr="006B63E3" w:rsidR="006F2C59" w:rsidRDefault="006F2C59" w14:paraId="313E0E4A" w14:textId="77777777">
      <w:pPr>
        <w:spacing w:line="240" w:lineRule="auto"/>
        <w:jc w:val="left"/>
        <w:rPr>
          <w:sz w:val="24"/>
          <w:szCs w:val="24"/>
        </w:rPr>
      </w:pPr>
      <w:r w:rsidRPr="006B63E3">
        <w:rPr>
          <w:b/>
          <w:sz w:val="24"/>
          <w:szCs w:val="24"/>
        </w:rPr>
        <w:br w:type="page"/>
      </w:r>
    </w:p>
    <w:p w:rsidR="00796BE2" w:rsidP="00444C9D" w:rsidRDefault="00796BE2" w14:paraId="34B6F44A" w14:textId="77777777">
      <w:pPr>
        <w:spacing w:line="240" w:lineRule="auto"/>
        <w:jc w:val="left"/>
        <w:rPr>
          <w:b/>
          <w:sz w:val="18"/>
          <w:szCs w:val="18"/>
        </w:rPr>
        <w:sectPr w:rsidR="00796BE2" w:rsidSect="00F870D7">
          <w:footerReference w:type="first" r:id="rId8"/>
          <w:pgSz w:w="12240" w:h="15840" w:code="1"/>
          <w:pgMar w:top="1008" w:right="1440" w:bottom="1152" w:left="1440" w:header="720" w:footer="576" w:gutter="0"/>
          <w:pgNumType w:fmt="lowerRoman" w:start="3"/>
          <w:cols w:space="720"/>
          <w:noEndnote/>
        </w:sectPr>
      </w:pPr>
    </w:p>
    <w:bookmarkEnd w:id="0"/>
    <w:bookmarkEnd w:id="1"/>
    <w:bookmarkEnd w:id="2"/>
    <w:p w:rsidR="004E7BE5" w:rsidP="004E7BE5" w:rsidRDefault="004E7BE5" w14:paraId="69C698B1" w14:textId="77777777">
      <w:pPr>
        <w:spacing w:before="720"/>
        <w:jc w:val="left"/>
        <w:rPr>
          <w:b/>
          <w:sz w:val="24"/>
          <w:szCs w:val="24"/>
        </w:rPr>
      </w:pPr>
      <w:r w:rsidRPr="005E0321">
        <w:rPr>
          <w:rFonts w:ascii="Franklin Gothic Medium" w:hAnsi="Franklin Gothic Medium"/>
          <w:b/>
          <w:sz w:val="72"/>
          <w:szCs w:val="72"/>
          <w:bdr w:val="single" w:color="auto" w:sz="4" w:space="0"/>
          <w:shd w:val="pct12" w:color="auto" w:fill="1F497D"/>
        </w:rPr>
        <w:lastRenderedPageBreak/>
        <w:t>A</w:t>
      </w:r>
      <w:r w:rsidRPr="005E0321">
        <w:rPr>
          <w:rFonts w:ascii="Franklin Gothic Medium" w:hAnsi="Franklin Gothic Medium"/>
          <w:b/>
          <w:color w:val="1F497D"/>
          <w:sz w:val="96"/>
          <w:szCs w:val="96"/>
          <w:bdr w:val="single" w:color="auto" w:sz="4" w:space="0"/>
          <w:shd w:val="pct12" w:color="auto" w:fill="1F497D"/>
        </w:rPr>
        <w:t>.</w:t>
      </w:r>
      <w:r w:rsidRPr="005E0321">
        <w:rPr>
          <w:b/>
          <w:color w:val="1F497D"/>
          <w:sz w:val="24"/>
          <w:szCs w:val="24"/>
        </w:rPr>
        <w:t xml:space="preserve">    </w:t>
      </w:r>
      <w:r w:rsidRPr="005E0321">
        <w:rPr>
          <w:rFonts w:ascii="Franklin Gothic Medium" w:hAnsi="Franklin Gothic Medium"/>
          <w:b/>
          <w:color w:val="17365D"/>
          <w:sz w:val="40"/>
          <w:szCs w:val="40"/>
        </w:rPr>
        <w:t>Justification</w:t>
      </w:r>
    </w:p>
    <w:p w:rsidR="004E7BE5" w:rsidP="00B1150F" w:rsidRDefault="004E7BE5" w14:paraId="02DCA807" w14:textId="77777777">
      <w:pPr>
        <w:jc w:val="right"/>
        <w:rPr>
          <w:sz w:val="24"/>
          <w:szCs w:val="24"/>
        </w:rPr>
      </w:pPr>
    </w:p>
    <w:p w:rsidR="004E7BE5" w:rsidP="004E7BE5" w:rsidRDefault="004E7BE5" w14:paraId="6626D355" w14:textId="77777777">
      <w:pPr>
        <w:jc w:val="left"/>
        <w:rPr>
          <w:sz w:val="24"/>
          <w:szCs w:val="24"/>
        </w:rPr>
      </w:pPr>
    </w:p>
    <w:p w:rsidRPr="005E0321" w:rsidR="004E7BE5" w:rsidP="00CA7F63" w:rsidRDefault="004E7BE5" w14:paraId="0C36D64C" w14:textId="131A872C">
      <w:pPr>
        <w:ind w:left="1440" w:hanging="1440"/>
        <w:jc w:val="left"/>
        <w:rPr>
          <w:rFonts w:ascii="Franklin Gothic Medium" w:hAnsi="Franklin Gothic Medium"/>
          <w:b/>
          <w:color w:val="17365D"/>
          <w:sz w:val="32"/>
          <w:szCs w:val="32"/>
        </w:rPr>
      </w:pPr>
      <w:r w:rsidRPr="005E0321">
        <w:rPr>
          <w:rFonts w:ascii="Franklin Gothic Medium" w:hAnsi="Franklin Gothic Medium"/>
          <w:b/>
          <w:color w:val="17365D"/>
          <w:sz w:val="32"/>
          <w:szCs w:val="32"/>
        </w:rPr>
        <w:t>A.1</w:t>
      </w:r>
      <w:r w:rsidR="00CA7F63">
        <w:rPr>
          <w:rFonts w:ascii="Franklin Gothic Medium" w:hAnsi="Franklin Gothic Medium"/>
          <w:b/>
          <w:color w:val="17365D"/>
          <w:sz w:val="32"/>
          <w:szCs w:val="32"/>
        </w:rPr>
        <w:tab/>
      </w:r>
      <w:r w:rsidRPr="005E0321">
        <w:rPr>
          <w:rFonts w:ascii="Franklin Gothic Medium" w:hAnsi="Franklin Gothic Medium"/>
          <w:b/>
          <w:color w:val="17365D"/>
          <w:sz w:val="32"/>
          <w:szCs w:val="32"/>
        </w:rPr>
        <w:t>Circumstances Making the Collection of Information</w:t>
      </w:r>
      <w:r w:rsidR="00CA7F63">
        <w:rPr>
          <w:rFonts w:ascii="Franklin Gothic Medium" w:hAnsi="Franklin Gothic Medium"/>
          <w:b/>
          <w:color w:val="17365D"/>
          <w:sz w:val="32"/>
          <w:szCs w:val="32"/>
        </w:rPr>
        <w:t xml:space="preserve"> </w:t>
      </w:r>
      <w:r>
        <w:rPr>
          <w:rFonts w:ascii="Franklin Gothic Medium" w:hAnsi="Franklin Gothic Medium"/>
          <w:b/>
          <w:color w:val="17365D"/>
          <w:sz w:val="32"/>
          <w:szCs w:val="32"/>
        </w:rPr>
        <w:t>Necessary</w:t>
      </w:r>
      <w:r w:rsidRPr="005E0321">
        <w:rPr>
          <w:rFonts w:ascii="Franklin Gothic Medium" w:hAnsi="Franklin Gothic Medium"/>
          <w:b/>
          <w:color w:val="17365D"/>
          <w:sz w:val="32"/>
          <w:szCs w:val="32"/>
        </w:rPr>
        <w:t xml:space="preserve"> </w:t>
      </w:r>
      <w:r>
        <w:rPr>
          <w:rFonts w:ascii="Franklin Gothic Medium" w:hAnsi="Franklin Gothic Medium"/>
          <w:b/>
          <w:color w:val="17365D"/>
          <w:sz w:val="32"/>
          <w:szCs w:val="32"/>
        </w:rPr>
        <w:t xml:space="preserve">                                               </w:t>
      </w:r>
    </w:p>
    <w:p w:rsidRPr="00595D48" w:rsidR="004E7BE5" w:rsidP="004E7BE5" w:rsidRDefault="004E7BE5" w14:paraId="2EC7D2B0" w14:textId="77777777">
      <w:pPr>
        <w:jc w:val="left"/>
        <w:rPr>
          <w:b/>
          <w:sz w:val="24"/>
          <w:szCs w:val="24"/>
        </w:rPr>
      </w:pPr>
    </w:p>
    <w:p w:rsidR="004E7BE5" w:rsidP="004E7BE5" w:rsidRDefault="004E7BE5" w14:paraId="42EA82CD" w14:textId="77777777">
      <w:pPr>
        <w:jc w:val="left"/>
        <w:rPr>
          <w:b/>
          <w:sz w:val="24"/>
          <w:szCs w:val="24"/>
        </w:rPr>
      </w:pPr>
    </w:p>
    <w:p w:rsidRPr="00053045" w:rsidR="004E7BE5" w:rsidP="004E7BE5" w:rsidRDefault="004E7BE5" w14:paraId="39A8DCA6" w14:textId="77777777">
      <w:pPr>
        <w:jc w:val="left"/>
        <w:rPr>
          <w:b/>
          <w:sz w:val="24"/>
          <w:szCs w:val="24"/>
        </w:rPr>
      </w:pPr>
      <w:r w:rsidRPr="00053045">
        <w:rPr>
          <w:b/>
          <w:sz w:val="24"/>
          <w:szCs w:val="24"/>
        </w:rPr>
        <w:t>Introduction</w:t>
      </w:r>
    </w:p>
    <w:p w:rsidR="004E7BE5" w:rsidP="004E7BE5" w:rsidRDefault="004E7BE5" w14:paraId="1E258E8B" w14:textId="77777777">
      <w:pPr>
        <w:jc w:val="left"/>
        <w:rPr>
          <w:b/>
          <w:sz w:val="24"/>
          <w:szCs w:val="24"/>
        </w:rPr>
      </w:pPr>
    </w:p>
    <w:p w:rsidR="004E7BE5" w:rsidP="004E7BE5" w:rsidRDefault="004E7BE5" w14:paraId="21DA33DA" w14:textId="7CF7214E">
      <w:pPr>
        <w:jc w:val="left"/>
        <w:rPr>
          <w:szCs w:val="22"/>
        </w:rPr>
      </w:pPr>
      <w:r w:rsidRPr="00972129">
        <w:rPr>
          <w:szCs w:val="22"/>
        </w:rPr>
        <w:t>This OMB package requests clearance to conduct a</w:t>
      </w:r>
      <w:r w:rsidR="007950B2">
        <w:rPr>
          <w:szCs w:val="22"/>
        </w:rPr>
        <w:t>n annual</w:t>
      </w:r>
      <w:r w:rsidRPr="00972129">
        <w:rPr>
          <w:szCs w:val="22"/>
        </w:rPr>
        <w:t xml:space="preserve"> </w:t>
      </w:r>
      <w:r w:rsidR="007950B2">
        <w:rPr>
          <w:szCs w:val="22"/>
        </w:rPr>
        <w:t>cross sectional</w:t>
      </w:r>
      <w:r w:rsidRPr="00972129">
        <w:rPr>
          <w:szCs w:val="22"/>
        </w:rPr>
        <w:t xml:space="preserve"> survey of Older Americans Act (OAA) </w:t>
      </w:r>
      <w:r w:rsidR="00577AD3">
        <w:rPr>
          <w:szCs w:val="22"/>
        </w:rPr>
        <w:t>participants</w:t>
      </w:r>
      <w:r w:rsidRPr="00972129">
        <w:rPr>
          <w:szCs w:val="22"/>
        </w:rPr>
        <w:t xml:space="preserve">. The survey will be the </w:t>
      </w:r>
      <w:r w:rsidR="007950B2">
        <w:rPr>
          <w:szCs w:val="22"/>
        </w:rPr>
        <w:t>15th</w:t>
      </w:r>
      <w:r w:rsidRPr="00972129">
        <w:rPr>
          <w:szCs w:val="22"/>
        </w:rPr>
        <w:t xml:space="preserve"> in a series of national surveys of OAA clients</w:t>
      </w:r>
      <w:r>
        <w:rPr>
          <w:szCs w:val="22"/>
        </w:rPr>
        <w:t xml:space="preserve">. </w:t>
      </w:r>
      <w:r w:rsidRPr="00972129">
        <w:rPr>
          <w:szCs w:val="22"/>
        </w:rPr>
        <w:t xml:space="preserve">The first </w:t>
      </w:r>
      <w:r w:rsidR="00E17B6F">
        <w:rPr>
          <w:szCs w:val="22"/>
        </w:rPr>
        <w:t>1</w:t>
      </w:r>
      <w:r w:rsidR="007950B2">
        <w:rPr>
          <w:szCs w:val="22"/>
        </w:rPr>
        <w:t>4</w:t>
      </w:r>
      <w:r w:rsidR="00BC0CF0">
        <w:rPr>
          <w:szCs w:val="22"/>
        </w:rPr>
        <w:t xml:space="preserve"> </w:t>
      </w:r>
      <w:r w:rsidRPr="00972129">
        <w:rPr>
          <w:szCs w:val="22"/>
        </w:rPr>
        <w:t xml:space="preserve">surveys provided important cross-sectional data on service recipients (e.g., consumer assessment of services, reported outcomes, physical functioning, quality of life, and demographic information). </w:t>
      </w:r>
      <w:r w:rsidRPr="00972129" w:rsidR="000C640B">
        <w:rPr>
          <w:szCs w:val="22"/>
        </w:rPr>
        <w:t>The survey</w:t>
      </w:r>
      <w:r w:rsidRPr="00972129">
        <w:rPr>
          <w:szCs w:val="22"/>
        </w:rPr>
        <w:t xml:space="preserve"> will continue to provide rich cross-sectional data.</w:t>
      </w:r>
    </w:p>
    <w:p w:rsidR="005263C3" w:rsidP="004E7BE5" w:rsidRDefault="005263C3" w14:paraId="4B04055E" w14:textId="77777777">
      <w:pPr>
        <w:jc w:val="left"/>
        <w:rPr>
          <w:szCs w:val="22"/>
        </w:rPr>
      </w:pPr>
    </w:p>
    <w:p w:rsidR="00725D80" w:rsidP="004E7BE5" w:rsidRDefault="005263C3" w14:paraId="744EB273" w14:textId="5C27780A">
      <w:pPr>
        <w:jc w:val="left"/>
        <w:rPr>
          <w:szCs w:val="22"/>
        </w:rPr>
      </w:pPr>
      <w:r w:rsidRPr="00044FA3">
        <w:rPr>
          <w:szCs w:val="22"/>
        </w:rPr>
        <w:t xml:space="preserve">This survey has </w:t>
      </w:r>
      <w:r w:rsidRPr="00ED674D">
        <w:rPr>
          <w:szCs w:val="22"/>
        </w:rPr>
        <w:t xml:space="preserve">remained </w:t>
      </w:r>
      <w:r w:rsidRPr="00ED674D" w:rsidR="006102C0">
        <w:rPr>
          <w:szCs w:val="22"/>
        </w:rPr>
        <w:t xml:space="preserve">essentially </w:t>
      </w:r>
      <w:r w:rsidRPr="00ED674D">
        <w:rPr>
          <w:szCs w:val="22"/>
        </w:rPr>
        <w:t>the same</w:t>
      </w:r>
      <w:r w:rsidRPr="00044FA3">
        <w:rPr>
          <w:szCs w:val="22"/>
        </w:rPr>
        <w:t xml:space="preserve"> since the last OMB a</w:t>
      </w:r>
      <w:r w:rsidR="007910B9">
        <w:rPr>
          <w:szCs w:val="22"/>
        </w:rPr>
        <w:t>ction on 8/</w:t>
      </w:r>
      <w:r w:rsidR="00171391">
        <w:rPr>
          <w:szCs w:val="22"/>
        </w:rPr>
        <w:t>20</w:t>
      </w:r>
      <w:r w:rsidR="007910B9">
        <w:rPr>
          <w:szCs w:val="22"/>
        </w:rPr>
        <w:t xml:space="preserve">/2019 </w:t>
      </w:r>
      <w:r w:rsidRPr="00044FA3">
        <w:rPr>
          <w:szCs w:val="22"/>
        </w:rPr>
        <w:t xml:space="preserve">(OMB Control No: 0985-0023). </w:t>
      </w:r>
      <w:r w:rsidRPr="00ED674D">
        <w:rPr>
          <w:szCs w:val="22"/>
        </w:rPr>
        <w:t xml:space="preserve">The sampling methodology </w:t>
      </w:r>
      <w:r w:rsidRPr="00ED674D" w:rsidR="00ED674D">
        <w:rPr>
          <w:szCs w:val="22"/>
        </w:rPr>
        <w:t>is been updated to be more precise, modifying the Stage I sampling design to utilize agency client counts rather than budget size. The</w:t>
      </w:r>
      <w:r w:rsidRPr="00ED674D">
        <w:rPr>
          <w:szCs w:val="22"/>
        </w:rPr>
        <w:t xml:space="preserve"> data collection procedures are identical to the previous survey approved in 201</w:t>
      </w:r>
      <w:r w:rsidRPr="00ED674D" w:rsidR="000C640B">
        <w:rPr>
          <w:szCs w:val="22"/>
        </w:rPr>
        <w:t>7</w:t>
      </w:r>
      <w:r w:rsidRPr="00ED674D" w:rsidR="00725D80">
        <w:rPr>
          <w:szCs w:val="22"/>
        </w:rPr>
        <w:t>. The survey questionnaire is unchanged</w:t>
      </w:r>
      <w:r w:rsidR="00ED674D">
        <w:rPr>
          <w:szCs w:val="22"/>
        </w:rPr>
        <w:t>.</w:t>
      </w:r>
    </w:p>
    <w:p w:rsidR="00237F5D" w:rsidP="004E7BE5" w:rsidRDefault="00237F5D" w14:paraId="7E588999" w14:textId="085A5D57">
      <w:pPr>
        <w:jc w:val="left"/>
        <w:rPr>
          <w:szCs w:val="22"/>
        </w:rPr>
      </w:pPr>
    </w:p>
    <w:p w:rsidRPr="00237F5D" w:rsidR="00171391" w:rsidP="00171391" w:rsidRDefault="00171391" w14:paraId="25B26BA5" w14:textId="77777777">
      <w:pPr>
        <w:jc w:val="left"/>
        <w:rPr>
          <w:szCs w:val="22"/>
        </w:rPr>
      </w:pPr>
      <w:r w:rsidRPr="00171391">
        <w:rPr>
          <w:szCs w:val="22"/>
        </w:rPr>
        <w:t>The 15th survey originally scheduled t</w:t>
      </w:r>
      <w:r>
        <w:rPr>
          <w:szCs w:val="22"/>
        </w:rPr>
        <w:t>o be conducted in 2020 was</w:t>
      </w:r>
      <w:r w:rsidRPr="00171391">
        <w:rPr>
          <w:szCs w:val="22"/>
        </w:rPr>
        <w:t xml:space="preserve"> postponed due to the COVID-19 pandemic and disruptions in service delivery provided by the aging network. </w:t>
      </w:r>
      <w:r w:rsidRPr="00237F5D">
        <w:rPr>
          <w:szCs w:val="22"/>
        </w:rPr>
        <w:t xml:space="preserve">As part of a nationwide effort to slow transmission of COVID-19, communities have closed locations such as senior centers, adult day care centers, and congregate meal facilities where many older adults received vital home- and community-based services. In addition, many of the in-home services that help older adults to remain in their homes, such as home-delivered meals, homemaker services, and respite care </w:t>
      </w:r>
      <w:proofErr w:type="gramStart"/>
      <w:r w:rsidRPr="00237F5D">
        <w:rPr>
          <w:szCs w:val="22"/>
        </w:rPr>
        <w:t>have been curtailed</w:t>
      </w:r>
      <w:proofErr w:type="gramEnd"/>
      <w:r w:rsidRPr="00237F5D">
        <w:rPr>
          <w:szCs w:val="22"/>
        </w:rPr>
        <w:t xml:space="preserve"> due to fear of spreading COVID-19. </w:t>
      </w:r>
    </w:p>
    <w:p w:rsidRPr="00237F5D" w:rsidR="00171391" w:rsidP="00171391" w:rsidRDefault="00171391" w14:paraId="48D86D50" w14:textId="77777777">
      <w:pPr>
        <w:jc w:val="left"/>
        <w:rPr>
          <w:szCs w:val="22"/>
        </w:rPr>
      </w:pPr>
    </w:p>
    <w:p w:rsidR="001E6BC8" w:rsidP="001E6BC8" w:rsidRDefault="00171391" w14:paraId="29A70C42" w14:textId="6D88BEBA">
      <w:pPr>
        <w:jc w:val="left"/>
        <w:rPr>
          <w:szCs w:val="22"/>
        </w:rPr>
      </w:pPr>
      <w:r w:rsidRPr="00237F5D">
        <w:rPr>
          <w:szCs w:val="22"/>
        </w:rPr>
        <w:t xml:space="preserve">This, combined with </w:t>
      </w:r>
      <w:proofErr w:type="gramStart"/>
      <w:r w:rsidRPr="00237F5D">
        <w:rPr>
          <w:szCs w:val="22"/>
        </w:rPr>
        <w:t>families and friends unable to assist loved ones due to the fear of spreading the virus, have left many older adults isolated</w:t>
      </w:r>
      <w:proofErr w:type="gramEnd"/>
      <w:r w:rsidRPr="00237F5D">
        <w:rPr>
          <w:szCs w:val="22"/>
        </w:rPr>
        <w:t xml:space="preserve"> and without the programs and services they need to remain living safely in the comm</w:t>
      </w:r>
      <w:r w:rsidR="001E6BC8">
        <w:rPr>
          <w:szCs w:val="22"/>
        </w:rPr>
        <w:t xml:space="preserve">unity. Consequently, ACL is requesting the addition of </w:t>
      </w:r>
      <w:r w:rsidRPr="00171391" w:rsidR="001E6BC8">
        <w:rPr>
          <w:szCs w:val="22"/>
        </w:rPr>
        <w:t xml:space="preserve">a </w:t>
      </w:r>
      <w:r w:rsidR="001E6BC8">
        <w:rPr>
          <w:szCs w:val="22"/>
        </w:rPr>
        <w:t xml:space="preserve">one-time </w:t>
      </w:r>
      <w:r w:rsidRPr="00171391" w:rsidR="001E6BC8">
        <w:rPr>
          <w:szCs w:val="22"/>
        </w:rPr>
        <w:t xml:space="preserve">module on COVID-19. This module supplants the module on Emergency Preparedness that was included in the 60-day FRN due to the ongoing health crisis older adults are experiencing </w:t>
      </w:r>
      <w:proofErr w:type="gramStart"/>
      <w:r w:rsidRPr="00171391" w:rsidR="001E6BC8">
        <w:rPr>
          <w:szCs w:val="22"/>
        </w:rPr>
        <w:t>as a result</w:t>
      </w:r>
      <w:proofErr w:type="gramEnd"/>
      <w:r w:rsidRPr="00171391" w:rsidR="001E6BC8">
        <w:rPr>
          <w:szCs w:val="22"/>
        </w:rPr>
        <w:t xml:space="preserve"> of COVID-19. The Emergency Preparedness module </w:t>
      </w:r>
      <w:proofErr w:type="gramStart"/>
      <w:r w:rsidRPr="00171391" w:rsidR="001E6BC8">
        <w:rPr>
          <w:szCs w:val="22"/>
        </w:rPr>
        <w:t>will be added</w:t>
      </w:r>
      <w:proofErr w:type="gramEnd"/>
      <w:r w:rsidRPr="00171391" w:rsidR="001E6BC8">
        <w:rPr>
          <w:szCs w:val="22"/>
        </w:rPr>
        <w:t xml:space="preserve"> to the 2022 collection instrument. The purpose of adding questions on COVID-19 to the NSOAAP i</w:t>
      </w:r>
      <w:r w:rsidR="00875935">
        <w:rPr>
          <w:szCs w:val="22"/>
        </w:rPr>
        <w:t>s to measure the effect the pandemic</w:t>
      </w:r>
      <w:r w:rsidRPr="00171391" w:rsidR="001E6BC8">
        <w:rPr>
          <w:szCs w:val="22"/>
        </w:rPr>
        <w:t xml:space="preserve"> has had on older adults’ access to and use of Older Americans Act programs and services during the past year.</w:t>
      </w:r>
    </w:p>
    <w:p w:rsidR="001E6BC8" w:rsidP="00171391" w:rsidRDefault="001E6BC8" w14:paraId="12EB41D5" w14:textId="77777777">
      <w:pPr>
        <w:jc w:val="left"/>
        <w:rPr>
          <w:szCs w:val="22"/>
        </w:rPr>
      </w:pPr>
    </w:p>
    <w:p w:rsidR="001E6BC8" w:rsidP="00171391" w:rsidRDefault="001E6BC8" w14:paraId="48CF31CC" w14:textId="77777777">
      <w:pPr>
        <w:jc w:val="left"/>
        <w:rPr>
          <w:szCs w:val="22"/>
        </w:rPr>
      </w:pPr>
    </w:p>
    <w:p w:rsidR="00577AD3" w:rsidP="004E7BE5" w:rsidRDefault="00577AD3" w14:paraId="0A20D4AD" w14:textId="28152925">
      <w:pPr>
        <w:jc w:val="left"/>
        <w:rPr>
          <w:szCs w:val="22"/>
        </w:rPr>
      </w:pPr>
    </w:p>
    <w:p w:rsidR="004E7BE5" w:rsidP="004E7BE5" w:rsidRDefault="004E7BE5" w14:paraId="288B9DBB" w14:textId="77777777">
      <w:pPr>
        <w:jc w:val="left"/>
        <w:rPr>
          <w:sz w:val="24"/>
          <w:szCs w:val="24"/>
        </w:rPr>
      </w:pPr>
    </w:p>
    <w:p w:rsidR="00FF61A3" w:rsidRDefault="00FF61A3" w14:paraId="6D386797" w14:textId="77777777">
      <w:pPr>
        <w:spacing w:line="240" w:lineRule="auto"/>
        <w:jc w:val="left"/>
        <w:rPr>
          <w:b/>
          <w:szCs w:val="22"/>
        </w:rPr>
      </w:pPr>
      <w:r>
        <w:rPr>
          <w:b/>
          <w:szCs w:val="22"/>
        </w:rPr>
        <w:br w:type="page"/>
      </w:r>
    </w:p>
    <w:p w:rsidRPr="00053045" w:rsidR="004E7BE5" w:rsidP="004E7BE5" w:rsidRDefault="00B4537D" w14:paraId="0F2EE135" w14:textId="5A4D9420">
      <w:pPr>
        <w:jc w:val="left"/>
        <w:rPr>
          <w:b/>
          <w:sz w:val="24"/>
          <w:szCs w:val="24"/>
        </w:rPr>
      </w:pPr>
      <w:r w:rsidRPr="00053045">
        <w:rPr>
          <w:b/>
          <w:sz w:val="24"/>
          <w:szCs w:val="24"/>
        </w:rPr>
        <w:lastRenderedPageBreak/>
        <w:t>ACL</w:t>
      </w:r>
      <w:r w:rsidRPr="00053045" w:rsidR="00112F9E">
        <w:rPr>
          <w:b/>
          <w:sz w:val="24"/>
          <w:szCs w:val="24"/>
        </w:rPr>
        <w:t>/</w:t>
      </w:r>
      <w:proofErr w:type="spellStart"/>
      <w:r w:rsidRPr="00053045" w:rsidR="00112F9E">
        <w:rPr>
          <w:b/>
          <w:sz w:val="24"/>
          <w:szCs w:val="24"/>
        </w:rPr>
        <w:t>AoA</w:t>
      </w:r>
      <w:r w:rsidRPr="00053045">
        <w:rPr>
          <w:b/>
          <w:sz w:val="24"/>
          <w:szCs w:val="24"/>
        </w:rPr>
        <w:t>’s</w:t>
      </w:r>
      <w:proofErr w:type="spellEnd"/>
      <w:r w:rsidRPr="00053045" w:rsidR="004E7BE5">
        <w:rPr>
          <w:b/>
          <w:sz w:val="24"/>
          <w:szCs w:val="24"/>
        </w:rPr>
        <w:t xml:space="preserve"> Strategy of Program Improvement</w:t>
      </w:r>
    </w:p>
    <w:p w:rsidRPr="00CE505B" w:rsidR="004E7BE5" w:rsidP="004E7BE5" w:rsidRDefault="004E7BE5" w14:paraId="148272AB" w14:textId="77777777">
      <w:pPr>
        <w:jc w:val="left"/>
        <w:rPr>
          <w:sz w:val="24"/>
          <w:szCs w:val="24"/>
        </w:rPr>
      </w:pPr>
    </w:p>
    <w:p w:rsidRPr="00972129" w:rsidR="004E7BE5" w:rsidP="004E7BE5" w:rsidRDefault="004E7BE5" w14:paraId="6B75B760" w14:textId="77777777">
      <w:pPr>
        <w:spacing w:line="280" w:lineRule="atLeast"/>
        <w:jc w:val="left"/>
        <w:rPr>
          <w:szCs w:val="22"/>
        </w:rPr>
      </w:pPr>
      <w:proofErr w:type="gramStart"/>
      <w:r w:rsidRPr="00972129">
        <w:rPr>
          <w:szCs w:val="22"/>
        </w:rPr>
        <w:t xml:space="preserve">The Administration </w:t>
      </w:r>
      <w:r w:rsidR="00B4537D">
        <w:rPr>
          <w:szCs w:val="22"/>
        </w:rPr>
        <w:t>for</w:t>
      </w:r>
      <w:r w:rsidRPr="00972129">
        <w:rPr>
          <w:szCs w:val="22"/>
        </w:rPr>
        <w:t xml:space="preserve"> </w:t>
      </w:r>
      <w:r w:rsidR="00B4537D">
        <w:rPr>
          <w:szCs w:val="22"/>
        </w:rPr>
        <w:t>Community Living</w:t>
      </w:r>
      <w:r w:rsidR="00927A6B">
        <w:rPr>
          <w:szCs w:val="22"/>
        </w:rPr>
        <w:t xml:space="preserve">’s </w:t>
      </w:r>
      <w:r w:rsidR="004736BC">
        <w:rPr>
          <w:szCs w:val="22"/>
        </w:rPr>
        <w:t>Administration on Aging</w:t>
      </w:r>
      <w:r w:rsidRPr="00972129">
        <w:rPr>
          <w:szCs w:val="22"/>
        </w:rPr>
        <w:t xml:space="preserve"> (A</w:t>
      </w:r>
      <w:r w:rsidR="00B4537D">
        <w:rPr>
          <w:szCs w:val="22"/>
        </w:rPr>
        <w:t>CL</w:t>
      </w:r>
      <w:r w:rsidR="004736BC">
        <w:rPr>
          <w:szCs w:val="22"/>
        </w:rPr>
        <w:t>/AoA</w:t>
      </w:r>
      <w:r w:rsidRPr="00972129">
        <w:rPr>
          <w:szCs w:val="22"/>
        </w:rPr>
        <w:t xml:space="preserve">) has an ongoing strategy of program improvement through enhanced program performance measurement, in compliance with requirements of the Office of Management and Budget’s (OMB) program reviews, the </w:t>
      </w:r>
      <w:r w:rsidRPr="00927A6B" w:rsidR="00927A6B">
        <w:rPr>
          <w:sz w:val="24"/>
          <w:szCs w:val="24"/>
        </w:rPr>
        <w:t>GPRA Modernization Act of 2010 (GPRAMA)</w:t>
      </w:r>
      <w:r w:rsidRPr="00927A6B">
        <w:rPr>
          <w:szCs w:val="22"/>
        </w:rPr>
        <w:t>, and</w:t>
      </w:r>
      <w:r w:rsidRPr="00972129">
        <w:rPr>
          <w:szCs w:val="22"/>
        </w:rPr>
        <w:t xml:space="preserve"> the OAA Section 202(f), by proposing to conduct further studies of program outcomes</w:t>
      </w:r>
      <w:r>
        <w:rPr>
          <w:szCs w:val="22"/>
        </w:rPr>
        <w:t xml:space="preserve"> (see Appendix A for the pertinent legislation)</w:t>
      </w:r>
      <w:r w:rsidRPr="00972129">
        <w:rPr>
          <w:szCs w:val="22"/>
        </w:rPr>
        <w:t>.</w:t>
      </w:r>
      <w:proofErr w:type="gramEnd"/>
      <w:r w:rsidRPr="00972129">
        <w:rPr>
          <w:szCs w:val="22"/>
        </w:rPr>
        <w:t xml:space="preserve"> </w:t>
      </w:r>
    </w:p>
    <w:p w:rsidRPr="00972129" w:rsidR="004E7BE5" w:rsidP="004E7BE5" w:rsidRDefault="004E7BE5" w14:paraId="1E08D2FE" w14:textId="77777777">
      <w:pPr>
        <w:spacing w:line="280" w:lineRule="atLeast"/>
        <w:jc w:val="left"/>
        <w:rPr>
          <w:szCs w:val="22"/>
        </w:rPr>
      </w:pPr>
    </w:p>
    <w:p w:rsidRPr="00972129" w:rsidR="004E7BE5" w:rsidP="004E7BE5" w:rsidRDefault="004E7BE5" w14:paraId="53930A27" w14:textId="0B353512">
      <w:pPr>
        <w:spacing w:line="280" w:lineRule="atLeast"/>
        <w:jc w:val="left"/>
        <w:rPr>
          <w:szCs w:val="22"/>
        </w:rPr>
      </w:pPr>
      <w:r w:rsidRPr="00972129">
        <w:rPr>
          <w:szCs w:val="22"/>
        </w:rPr>
        <w:t>Previously, A</w:t>
      </w:r>
      <w:r w:rsidR="00B4537D">
        <w:rPr>
          <w:szCs w:val="22"/>
        </w:rPr>
        <w:t>CL</w:t>
      </w:r>
      <w:r w:rsidR="004736BC">
        <w:rPr>
          <w:szCs w:val="22"/>
        </w:rPr>
        <w:t>/</w:t>
      </w:r>
      <w:r w:rsidR="00B4537D">
        <w:rPr>
          <w:szCs w:val="22"/>
        </w:rPr>
        <w:t>A</w:t>
      </w:r>
      <w:r w:rsidRPr="00972129">
        <w:rPr>
          <w:szCs w:val="22"/>
        </w:rPr>
        <w:t xml:space="preserve">oA conducted </w:t>
      </w:r>
      <w:r w:rsidR="00E17B6F">
        <w:rPr>
          <w:szCs w:val="22"/>
        </w:rPr>
        <w:t>1</w:t>
      </w:r>
      <w:r w:rsidR="00875935">
        <w:rPr>
          <w:szCs w:val="22"/>
        </w:rPr>
        <w:t>4</w:t>
      </w:r>
      <w:r w:rsidR="00C13FA5">
        <w:rPr>
          <w:szCs w:val="22"/>
        </w:rPr>
        <w:t xml:space="preserve"> </w:t>
      </w:r>
      <w:r w:rsidRPr="00972129">
        <w:rPr>
          <w:szCs w:val="22"/>
        </w:rPr>
        <w:t>cross-sectional surveys</w:t>
      </w:r>
      <w:r>
        <w:rPr>
          <w:szCs w:val="22"/>
        </w:rPr>
        <w:t xml:space="preserve">. </w:t>
      </w:r>
      <w:r w:rsidRPr="00972129">
        <w:rPr>
          <w:szCs w:val="22"/>
        </w:rPr>
        <w:t xml:space="preserve">The </w:t>
      </w:r>
      <w:r w:rsidR="00E17B6F">
        <w:rPr>
          <w:szCs w:val="22"/>
        </w:rPr>
        <w:t>1</w:t>
      </w:r>
      <w:r w:rsidR="00875935">
        <w:rPr>
          <w:szCs w:val="22"/>
        </w:rPr>
        <w:t>4</w:t>
      </w:r>
      <w:r w:rsidR="00E17B6F">
        <w:rPr>
          <w:szCs w:val="22"/>
        </w:rPr>
        <w:t xml:space="preserve"> </w:t>
      </w:r>
      <w:r w:rsidRPr="00972129">
        <w:rPr>
          <w:szCs w:val="22"/>
        </w:rPr>
        <w:t xml:space="preserve">surveys and their OMB control numbers </w:t>
      </w:r>
      <w:proofErr w:type="gramStart"/>
      <w:r w:rsidRPr="00972129">
        <w:rPr>
          <w:szCs w:val="22"/>
        </w:rPr>
        <w:t>are listed</w:t>
      </w:r>
      <w:proofErr w:type="gramEnd"/>
      <w:r w:rsidRPr="00972129">
        <w:rPr>
          <w:szCs w:val="22"/>
        </w:rPr>
        <w:t xml:space="preserve"> below:</w:t>
      </w:r>
    </w:p>
    <w:p w:rsidRPr="00972129" w:rsidR="004E7BE5" w:rsidP="004E7BE5" w:rsidRDefault="004E7BE5" w14:paraId="4AF956A1" w14:textId="77777777">
      <w:pPr>
        <w:spacing w:line="280" w:lineRule="atLeast"/>
        <w:jc w:val="left"/>
        <w:rPr>
          <w:szCs w:val="22"/>
        </w:rPr>
      </w:pPr>
    </w:p>
    <w:p w:rsidRPr="00972129" w:rsidR="004E7BE5" w:rsidP="00831CB9" w:rsidRDefault="004E7BE5" w14:paraId="5A7D3DDF" w14:textId="77777777">
      <w:pPr>
        <w:pStyle w:val="ListParagraph"/>
        <w:numPr>
          <w:ilvl w:val="0"/>
          <w:numId w:val="5"/>
        </w:numPr>
        <w:spacing w:line="280" w:lineRule="atLeast"/>
        <w:contextualSpacing/>
        <w:jc w:val="left"/>
        <w:rPr>
          <w:szCs w:val="22"/>
        </w:rPr>
      </w:pPr>
      <w:r w:rsidRPr="00972129">
        <w:rPr>
          <w:szCs w:val="22"/>
        </w:rPr>
        <w:t>Two pilot studies of Older Americans Act Title III Service Recipients in 2003 and 2004 (OMB control numbers 0985-0014 and 0985-0017);</w:t>
      </w:r>
    </w:p>
    <w:p w:rsidRPr="00972129" w:rsidR="004E7BE5" w:rsidP="00831CB9" w:rsidRDefault="004E7BE5" w14:paraId="11BB769F" w14:textId="77777777">
      <w:pPr>
        <w:pStyle w:val="ListParagraph"/>
        <w:numPr>
          <w:ilvl w:val="0"/>
          <w:numId w:val="5"/>
        </w:numPr>
        <w:spacing w:line="280" w:lineRule="atLeast"/>
        <w:contextualSpacing/>
        <w:jc w:val="left"/>
        <w:rPr>
          <w:szCs w:val="22"/>
        </w:rPr>
      </w:pPr>
      <w:r w:rsidRPr="00972129">
        <w:rPr>
          <w:szCs w:val="22"/>
        </w:rPr>
        <w:t xml:space="preserve">Third National Survey of OAA Title III Service Recipients  conducted in 2005 (OMB control number 0985-0020); </w:t>
      </w:r>
    </w:p>
    <w:p w:rsidR="00927A6B" w:rsidP="00831CB9" w:rsidRDefault="004E7BE5" w14:paraId="5FC266BC" w14:textId="77777777">
      <w:pPr>
        <w:pStyle w:val="ListParagraph"/>
        <w:numPr>
          <w:ilvl w:val="0"/>
          <w:numId w:val="5"/>
        </w:numPr>
        <w:spacing w:line="280" w:lineRule="atLeast"/>
        <w:contextualSpacing/>
        <w:jc w:val="left"/>
        <w:rPr>
          <w:szCs w:val="22"/>
        </w:rPr>
      </w:pPr>
      <w:r w:rsidRPr="00927A6B">
        <w:rPr>
          <w:szCs w:val="22"/>
        </w:rPr>
        <w:t xml:space="preserve">Fourth National Survey of OAA Title III Service Recipients conducted in 2008 (OMB control number 0985-0023); </w:t>
      </w:r>
    </w:p>
    <w:p w:rsidRPr="00927A6B" w:rsidR="00B4537D" w:rsidP="00831CB9" w:rsidRDefault="004E7BE5" w14:paraId="3FEC243F" w14:textId="77777777">
      <w:pPr>
        <w:pStyle w:val="ListParagraph"/>
        <w:numPr>
          <w:ilvl w:val="0"/>
          <w:numId w:val="5"/>
        </w:numPr>
        <w:spacing w:line="280" w:lineRule="atLeast"/>
        <w:contextualSpacing/>
        <w:jc w:val="left"/>
        <w:rPr>
          <w:szCs w:val="22"/>
        </w:rPr>
      </w:pPr>
      <w:r w:rsidRPr="00927A6B">
        <w:rPr>
          <w:szCs w:val="22"/>
        </w:rPr>
        <w:t>Fifth National Survey of OAA Title III Service Recipients conducted in 2009 (OMB control number 0985-0023).</w:t>
      </w:r>
    </w:p>
    <w:p w:rsidRPr="00972129" w:rsidR="00B4537D" w:rsidP="00831CB9" w:rsidRDefault="00B4537D" w14:paraId="61375894" w14:textId="77777777">
      <w:pPr>
        <w:pStyle w:val="ListParagraph"/>
        <w:numPr>
          <w:ilvl w:val="0"/>
          <w:numId w:val="5"/>
        </w:numPr>
        <w:spacing w:line="280" w:lineRule="atLeast"/>
        <w:contextualSpacing/>
        <w:jc w:val="left"/>
        <w:rPr>
          <w:szCs w:val="22"/>
        </w:rPr>
      </w:pPr>
      <w:r>
        <w:rPr>
          <w:szCs w:val="22"/>
        </w:rPr>
        <w:t>Sixth</w:t>
      </w:r>
      <w:r w:rsidRPr="00972129">
        <w:rPr>
          <w:szCs w:val="22"/>
        </w:rPr>
        <w:t xml:space="preserve"> National Survey of OAA Title III Service Recipients conducted in 20</w:t>
      </w:r>
      <w:r>
        <w:rPr>
          <w:szCs w:val="22"/>
        </w:rPr>
        <w:t>11</w:t>
      </w:r>
      <w:r w:rsidRPr="00972129">
        <w:rPr>
          <w:szCs w:val="22"/>
        </w:rPr>
        <w:t xml:space="preserve"> (OMB control number 0985-0023). </w:t>
      </w:r>
    </w:p>
    <w:p w:rsidRPr="00972129" w:rsidR="00B4537D" w:rsidP="00831CB9" w:rsidRDefault="00B4537D" w14:paraId="234E21D9" w14:textId="77777777">
      <w:pPr>
        <w:pStyle w:val="ListParagraph"/>
        <w:numPr>
          <w:ilvl w:val="0"/>
          <w:numId w:val="5"/>
        </w:numPr>
        <w:spacing w:line="280" w:lineRule="atLeast"/>
        <w:contextualSpacing/>
        <w:jc w:val="left"/>
        <w:rPr>
          <w:szCs w:val="22"/>
        </w:rPr>
      </w:pPr>
      <w:r>
        <w:rPr>
          <w:szCs w:val="22"/>
        </w:rPr>
        <w:t>Seventh</w:t>
      </w:r>
      <w:r w:rsidRPr="00972129">
        <w:rPr>
          <w:szCs w:val="22"/>
        </w:rPr>
        <w:t xml:space="preserve"> National Survey of O</w:t>
      </w:r>
      <w:r w:rsidR="00EE5169">
        <w:rPr>
          <w:szCs w:val="22"/>
        </w:rPr>
        <w:t>lder Americans Act Participants</w:t>
      </w:r>
      <w:r w:rsidRPr="00972129">
        <w:rPr>
          <w:szCs w:val="22"/>
        </w:rPr>
        <w:t xml:space="preserve"> conducted in 20</w:t>
      </w:r>
      <w:r>
        <w:rPr>
          <w:szCs w:val="22"/>
        </w:rPr>
        <w:t>12</w:t>
      </w:r>
      <w:r w:rsidRPr="00972129">
        <w:rPr>
          <w:szCs w:val="22"/>
        </w:rPr>
        <w:t xml:space="preserve"> (OMB control number 0985-0023). </w:t>
      </w:r>
    </w:p>
    <w:p w:rsidR="00B4537D" w:rsidP="00831CB9" w:rsidRDefault="00B4537D" w14:paraId="077553E2" w14:textId="77777777">
      <w:pPr>
        <w:pStyle w:val="ListParagraph"/>
        <w:numPr>
          <w:ilvl w:val="0"/>
          <w:numId w:val="5"/>
        </w:numPr>
        <w:spacing w:line="280" w:lineRule="atLeast"/>
        <w:contextualSpacing/>
        <w:jc w:val="left"/>
        <w:rPr>
          <w:szCs w:val="22"/>
        </w:rPr>
      </w:pPr>
      <w:r>
        <w:rPr>
          <w:szCs w:val="22"/>
        </w:rPr>
        <w:t>Eighth</w:t>
      </w:r>
      <w:r w:rsidRPr="00972129">
        <w:rPr>
          <w:szCs w:val="22"/>
        </w:rPr>
        <w:t xml:space="preserve"> National Survey of O</w:t>
      </w:r>
      <w:r w:rsidR="00EE5169">
        <w:rPr>
          <w:szCs w:val="22"/>
        </w:rPr>
        <w:t>lder Americans Act Participants</w:t>
      </w:r>
      <w:r w:rsidRPr="00972129">
        <w:rPr>
          <w:szCs w:val="22"/>
        </w:rPr>
        <w:t xml:space="preserve"> conducted in 20</w:t>
      </w:r>
      <w:r>
        <w:rPr>
          <w:szCs w:val="22"/>
        </w:rPr>
        <w:t>13</w:t>
      </w:r>
      <w:r w:rsidRPr="00972129">
        <w:rPr>
          <w:szCs w:val="22"/>
        </w:rPr>
        <w:t xml:space="preserve"> (OMB control number 0985-0023). </w:t>
      </w:r>
    </w:p>
    <w:p w:rsidR="00E17B6F" w:rsidP="00E17B6F" w:rsidRDefault="00B418E1" w14:paraId="3B1FB49B" w14:textId="77777777">
      <w:pPr>
        <w:pStyle w:val="ListParagraph"/>
        <w:numPr>
          <w:ilvl w:val="0"/>
          <w:numId w:val="5"/>
        </w:numPr>
        <w:spacing w:line="280" w:lineRule="atLeast"/>
        <w:contextualSpacing/>
        <w:jc w:val="left"/>
        <w:rPr>
          <w:szCs w:val="22"/>
        </w:rPr>
      </w:pPr>
      <w:r>
        <w:rPr>
          <w:szCs w:val="22"/>
        </w:rPr>
        <w:t>Ninth</w:t>
      </w:r>
      <w:r w:rsidRPr="00972129" w:rsidR="00E17B6F">
        <w:rPr>
          <w:szCs w:val="22"/>
        </w:rPr>
        <w:t xml:space="preserve"> National Survey of O</w:t>
      </w:r>
      <w:r w:rsidR="00E17B6F">
        <w:rPr>
          <w:szCs w:val="22"/>
        </w:rPr>
        <w:t>lder Americans Act Participants</w:t>
      </w:r>
      <w:r w:rsidRPr="00972129" w:rsidR="00E17B6F">
        <w:rPr>
          <w:szCs w:val="22"/>
        </w:rPr>
        <w:t xml:space="preserve"> conducted in 20</w:t>
      </w:r>
      <w:r w:rsidR="00E17B6F">
        <w:rPr>
          <w:szCs w:val="22"/>
        </w:rPr>
        <w:t>14</w:t>
      </w:r>
      <w:r w:rsidRPr="00972129" w:rsidR="00E17B6F">
        <w:rPr>
          <w:szCs w:val="22"/>
        </w:rPr>
        <w:t xml:space="preserve"> (OMB control number 0985-0023). </w:t>
      </w:r>
    </w:p>
    <w:p w:rsidR="00E17B6F" w:rsidP="00E17B6F" w:rsidRDefault="00E17B6F" w14:paraId="4A607E4B" w14:textId="77777777">
      <w:pPr>
        <w:pStyle w:val="ListParagraph"/>
        <w:numPr>
          <w:ilvl w:val="0"/>
          <w:numId w:val="5"/>
        </w:numPr>
        <w:spacing w:line="280" w:lineRule="atLeast"/>
        <w:contextualSpacing/>
        <w:jc w:val="left"/>
        <w:rPr>
          <w:szCs w:val="22"/>
        </w:rPr>
      </w:pPr>
      <w:r>
        <w:rPr>
          <w:szCs w:val="22"/>
        </w:rPr>
        <w:t>Tenth</w:t>
      </w:r>
      <w:r w:rsidRPr="00972129">
        <w:rPr>
          <w:szCs w:val="22"/>
        </w:rPr>
        <w:t xml:space="preserve"> National Survey of O</w:t>
      </w:r>
      <w:r>
        <w:rPr>
          <w:szCs w:val="22"/>
        </w:rPr>
        <w:t>lder Americans Act Participants</w:t>
      </w:r>
      <w:r w:rsidRPr="00972129">
        <w:rPr>
          <w:szCs w:val="22"/>
        </w:rPr>
        <w:t xml:space="preserve"> conducted in </w:t>
      </w:r>
      <w:r w:rsidRPr="005A73EA">
        <w:rPr>
          <w:szCs w:val="22"/>
        </w:rPr>
        <w:t>2015</w:t>
      </w:r>
      <w:r w:rsidRPr="00972129">
        <w:rPr>
          <w:szCs w:val="22"/>
        </w:rPr>
        <w:t xml:space="preserve"> (OMB control number 0985-0023). </w:t>
      </w:r>
    </w:p>
    <w:p w:rsidR="00E17B6F" w:rsidP="00E17B6F" w:rsidRDefault="00E17B6F" w14:paraId="72D9D0DE" w14:textId="77777777">
      <w:pPr>
        <w:pStyle w:val="ListParagraph"/>
        <w:numPr>
          <w:ilvl w:val="0"/>
          <w:numId w:val="5"/>
        </w:numPr>
        <w:spacing w:line="280" w:lineRule="atLeast"/>
        <w:contextualSpacing/>
        <w:jc w:val="left"/>
        <w:rPr>
          <w:szCs w:val="22"/>
        </w:rPr>
      </w:pPr>
      <w:r>
        <w:rPr>
          <w:szCs w:val="22"/>
        </w:rPr>
        <w:t>Eleventh</w:t>
      </w:r>
      <w:r w:rsidRPr="00972129">
        <w:rPr>
          <w:szCs w:val="22"/>
        </w:rPr>
        <w:t xml:space="preserve"> National Survey of O</w:t>
      </w:r>
      <w:r>
        <w:rPr>
          <w:szCs w:val="22"/>
        </w:rPr>
        <w:t>lder Americans Act Participants</w:t>
      </w:r>
      <w:r w:rsidRPr="00972129">
        <w:rPr>
          <w:szCs w:val="22"/>
        </w:rPr>
        <w:t xml:space="preserve"> conducted in 20</w:t>
      </w:r>
      <w:r>
        <w:rPr>
          <w:szCs w:val="22"/>
        </w:rPr>
        <w:t>16</w:t>
      </w:r>
      <w:r w:rsidRPr="00972129">
        <w:rPr>
          <w:szCs w:val="22"/>
        </w:rPr>
        <w:t xml:space="preserve"> (OMB control number 0985-0023). </w:t>
      </w:r>
    </w:p>
    <w:p w:rsidR="007950B2" w:rsidP="007950B2" w:rsidRDefault="007950B2" w14:paraId="2C50E8AA" w14:textId="3F20A640">
      <w:pPr>
        <w:pStyle w:val="ListParagraph"/>
        <w:numPr>
          <w:ilvl w:val="0"/>
          <w:numId w:val="5"/>
        </w:numPr>
        <w:spacing w:line="280" w:lineRule="atLeast"/>
        <w:contextualSpacing/>
        <w:jc w:val="left"/>
        <w:rPr>
          <w:szCs w:val="22"/>
        </w:rPr>
      </w:pPr>
      <w:r>
        <w:rPr>
          <w:szCs w:val="22"/>
        </w:rPr>
        <w:t>Twelfth</w:t>
      </w:r>
      <w:r w:rsidRPr="00972129">
        <w:rPr>
          <w:szCs w:val="22"/>
        </w:rPr>
        <w:t xml:space="preserve"> National Survey of O</w:t>
      </w:r>
      <w:r>
        <w:rPr>
          <w:szCs w:val="22"/>
        </w:rPr>
        <w:t>lder Americans Act Participants</w:t>
      </w:r>
      <w:r w:rsidRPr="00972129">
        <w:rPr>
          <w:szCs w:val="22"/>
        </w:rPr>
        <w:t xml:space="preserve"> conducted in 20</w:t>
      </w:r>
      <w:r>
        <w:rPr>
          <w:szCs w:val="22"/>
        </w:rPr>
        <w:t>17</w:t>
      </w:r>
      <w:r w:rsidRPr="00972129">
        <w:rPr>
          <w:szCs w:val="22"/>
        </w:rPr>
        <w:t xml:space="preserve"> (OMB control number 0985-0023). </w:t>
      </w:r>
    </w:p>
    <w:p w:rsidR="007950B2" w:rsidP="007950B2" w:rsidRDefault="007950B2" w14:paraId="19591CCF" w14:textId="50754D04">
      <w:pPr>
        <w:pStyle w:val="ListParagraph"/>
        <w:numPr>
          <w:ilvl w:val="0"/>
          <w:numId w:val="5"/>
        </w:numPr>
        <w:spacing w:line="280" w:lineRule="atLeast"/>
        <w:contextualSpacing/>
        <w:jc w:val="left"/>
        <w:rPr>
          <w:szCs w:val="22"/>
        </w:rPr>
      </w:pPr>
      <w:r>
        <w:rPr>
          <w:szCs w:val="22"/>
        </w:rPr>
        <w:t>Thirteenth</w:t>
      </w:r>
      <w:r w:rsidRPr="00972129">
        <w:rPr>
          <w:szCs w:val="22"/>
        </w:rPr>
        <w:t xml:space="preserve"> National Survey of O</w:t>
      </w:r>
      <w:r>
        <w:rPr>
          <w:szCs w:val="22"/>
        </w:rPr>
        <w:t>lder Americans Act Participants</w:t>
      </w:r>
      <w:r w:rsidRPr="00972129">
        <w:rPr>
          <w:szCs w:val="22"/>
        </w:rPr>
        <w:t xml:space="preserve"> conducted in 20</w:t>
      </w:r>
      <w:r>
        <w:rPr>
          <w:szCs w:val="22"/>
        </w:rPr>
        <w:t>18</w:t>
      </w:r>
      <w:r w:rsidRPr="00972129">
        <w:rPr>
          <w:szCs w:val="22"/>
        </w:rPr>
        <w:t xml:space="preserve"> (OMB control number 0985-0023). </w:t>
      </w:r>
    </w:p>
    <w:p w:rsidR="00DC3806" w:rsidP="007950B2" w:rsidRDefault="007950B2" w14:paraId="24DD3DBE" w14:textId="36E6FF78">
      <w:pPr>
        <w:pStyle w:val="ListParagraph"/>
        <w:numPr>
          <w:ilvl w:val="0"/>
          <w:numId w:val="5"/>
        </w:numPr>
        <w:spacing w:line="280" w:lineRule="atLeast"/>
        <w:contextualSpacing/>
        <w:jc w:val="left"/>
        <w:rPr>
          <w:szCs w:val="22"/>
        </w:rPr>
      </w:pPr>
      <w:r>
        <w:rPr>
          <w:szCs w:val="22"/>
        </w:rPr>
        <w:t>Fourteenth</w:t>
      </w:r>
      <w:r w:rsidRPr="00972129">
        <w:rPr>
          <w:szCs w:val="22"/>
        </w:rPr>
        <w:t xml:space="preserve"> National Survey of O</w:t>
      </w:r>
      <w:r>
        <w:rPr>
          <w:szCs w:val="22"/>
        </w:rPr>
        <w:t>lder Americans Act Participants</w:t>
      </w:r>
      <w:r w:rsidRPr="00972129">
        <w:rPr>
          <w:szCs w:val="22"/>
        </w:rPr>
        <w:t xml:space="preserve"> conducted in 20</w:t>
      </w:r>
      <w:r>
        <w:rPr>
          <w:szCs w:val="22"/>
        </w:rPr>
        <w:t>19</w:t>
      </w:r>
      <w:r w:rsidRPr="00972129">
        <w:rPr>
          <w:szCs w:val="22"/>
        </w:rPr>
        <w:t xml:space="preserve"> (OMB control number 0985-0023). </w:t>
      </w:r>
    </w:p>
    <w:p w:rsidRPr="00136E3C" w:rsidR="007950B2" w:rsidP="00DC3806" w:rsidRDefault="00391CF1" w14:paraId="4B30234A" w14:textId="1D400524">
      <w:pPr>
        <w:pStyle w:val="ListParagraph"/>
        <w:numPr>
          <w:ilvl w:val="0"/>
          <w:numId w:val="5"/>
        </w:numPr>
        <w:spacing w:line="280" w:lineRule="atLeast"/>
        <w:contextualSpacing/>
        <w:jc w:val="left"/>
      </w:pPr>
      <w:r>
        <w:t xml:space="preserve">The Fifteenth </w:t>
      </w:r>
      <w:r w:rsidRPr="00136E3C" w:rsidR="007950B2">
        <w:t xml:space="preserve">National Survey of Older Americans Act Participants </w:t>
      </w:r>
      <w:proofErr w:type="gramStart"/>
      <w:r>
        <w:t>was scheduled to be conducted</w:t>
      </w:r>
      <w:proofErr w:type="gramEnd"/>
      <w:r>
        <w:t xml:space="preserve"> in 2020, but it had to be postponed until 2021 due to the coronavirus pandemic and the resulting disruption in delivery of services to OAA recipients.</w:t>
      </w:r>
      <w:r w:rsidRPr="00136E3C" w:rsidR="007950B2">
        <w:t xml:space="preserve"> </w:t>
      </w:r>
    </w:p>
    <w:p w:rsidRPr="00391CF1" w:rsidR="00E17B6F" w:rsidP="00391CF1" w:rsidRDefault="00E17B6F" w14:paraId="292EDBBF" w14:textId="77777777">
      <w:pPr>
        <w:spacing w:line="280" w:lineRule="atLeast"/>
        <w:ind w:left="360"/>
        <w:contextualSpacing/>
        <w:jc w:val="left"/>
        <w:rPr>
          <w:szCs w:val="22"/>
        </w:rPr>
      </w:pPr>
    </w:p>
    <w:p w:rsidRPr="00972129" w:rsidR="004E7BE5" w:rsidP="004E7BE5" w:rsidRDefault="004E7BE5" w14:paraId="05B0F50C" w14:textId="77777777">
      <w:pPr>
        <w:pStyle w:val="ListParagraph"/>
        <w:spacing w:line="280" w:lineRule="atLeast"/>
        <w:jc w:val="left"/>
        <w:rPr>
          <w:szCs w:val="22"/>
        </w:rPr>
      </w:pPr>
    </w:p>
    <w:p w:rsidRPr="00972129" w:rsidR="004E7BE5" w:rsidP="004E7BE5" w:rsidRDefault="004E7BE5" w14:paraId="70B58BD9" w14:textId="10590234">
      <w:pPr>
        <w:keepNext/>
        <w:keepLines/>
        <w:spacing w:line="280" w:lineRule="atLeast"/>
        <w:jc w:val="left"/>
        <w:rPr>
          <w:szCs w:val="22"/>
        </w:rPr>
      </w:pPr>
      <w:r w:rsidRPr="00972129">
        <w:rPr>
          <w:szCs w:val="22"/>
        </w:rPr>
        <w:lastRenderedPageBreak/>
        <w:t xml:space="preserve">The surveys have enabled </w:t>
      </w:r>
      <w:r w:rsidR="00B4537D">
        <w:rPr>
          <w:szCs w:val="22"/>
        </w:rPr>
        <w:t>ACL/</w:t>
      </w:r>
      <w:r w:rsidRPr="00972129">
        <w:rPr>
          <w:szCs w:val="22"/>
        </w:rPr>
        <w:t>AoA to establish baselines and performance targets for annual and long-term outcome measures required by OMB and incorporate new performance information in agency budget justifications and performance plans. Further, the studies demonstrated that services provided under Title III:</w:t>
      </w:r>
    </w:p>
    <w:p w:rsidRPr="00CE505B" w:rsidR="004E7BE5" w:rsidP="004E7BE5" w:rsidRDefault="004E7BE5" w14:paraId="7FC2F066" w14:textId="77777777">
      <w:pPr>
        <w:keepNext/>
        <w:keepLines/>
        <w:spacing w:line="280" w:lineRule="atLeast"/>
        <w:jc w:val="left"/>
        <w:rPr>
          <w:sz w:val="24"/>
          <w:szCs w:val="24"/>
        </w:rPr>
      </w:pPr>
    </w:p>
    <w:p w:rsidRPr="00972129" w:rsidR="004E7BE5" w:rsidP="00831CB9" w:rsidRDefault="004E7BE5" w14:paraId="748D80E6" w14:textId="77777777">
      <w:pPr>
        <w:keepNext/>
        <w:keepLines/>
        <w:numPr>
          <w:ilvl w:val="0"/>
          <w:numId w:val="10"/>
        </w:numPr>
        <w:jc w:val="left"/>
        <w:rPr>
          <w:szCs w:val="22"/>
        </w:rPr>
      </w:pPr>
      <w:r w:rsidRPr="00972129">
        <w:rPr>
          <w:szCs w:val="22"/>
        </w:rPr>
        <w:t>Are effectively targeted to vulnerable populations</w:t>
      </w:r>
    </w:p>
    <w:p w:rsidRPr="00972129" w:rsidR="004E7BE5" w:rsidP="00831CB9" w:rsidRDefault="004E7BE5" w14:paraId="7396DD87" w14:textId="77777777">
      <w:pPr>
        <w:keepNext/>
        <w:keepLines/>
        <w:numPr>
          <w:ilvl w:val="0"/>
          <w:numId w:val="10"/>
        </w:numPr>
        <w:jc w:val="left"/>
        <w:rPr>
          <w:szCs w:val="22"/>
        </w:rPr>
      </w:pPr>
      <w:r w:rsidRPr="00972129">
        <w:rPr>
          <w:szCs w:val="22"/>
        </w:rPr>
        <w:t>Are provided to individuals who need the services</w:t>
      </w:r>
    </w:p>
    <w:p w:rsidRPr="00972129" w:rsidR="004E7BE5" w:rsidP="00831CB9" w:rsidRDefault="004E7BE5" w14:paraId="7DBD8C7C" w14:textId="77777777">
      <w:pPr>
        <w:keepNext/>
        <w:keepLines/>
        <w:numPr>
          <w:ilvl w:val="0"/>
          <w:numId w:val="10"/>
        </w:numPr>
        <w:jc w:val="left"/>
        <w:rPr>
          <w:szCs w:val="22"/>
        </w:rPr>
      </w:pPr>
      <w:r w:rsidRPr="00972129">
        <w:rPr>
          <w:szCs w:val="22"/>
        </w:rPr>
        <w:t>Are highly rated by recipients (quality)</w:t>
      </w:r>
    </w:p>
    <w:p w:rsidRPr="00972129" w:rsidR="004E7BE5" w:rsidP="00831CB9" w:rsidRDefault="004E7BE5" w14:paraId="6BC36868" w14:textId="77777777">
      <w:pPr>
        <w:numPr>
          <w:ilvl w:val="0"/>
          <w:numId w:val="10"/>
        </w:numPr>
        <w:jc w:val="left"/>
        <w:rPr>
          <w:szCs w:val="22"/>
        </w:rPr>
      </w:pPr>
      <w:r w:rsidRPr="00972129">
        <w:rPr>
          <w:szCs w:val="22"/>
        </w:rPr>
        <w:t>Provide assistance that is instrumental in enabling recipients to maintain their independence.</w:t>
      </w:r>
    </w:p>
    <w:p w:rsidRPr="00CE505B" w:rsidR="004E7BE5" w:rsidP="004E7BE5" w:rsidRDefault="004E7BE5" w14:paraId="42894542" w14:textId="77777777">
      <w:pPr>
        <w:jc w:val="left"/>
        <w:rPr>
          <w:sz w:val="24"/>
          <w:szCs w:val="24"/>
        </w:rPr>
      </w:pPr>
      <w:r w:rsidRPr="00CE505B">
        <w:rPr>
          <w:sz w:val="24"/>
          <w:szCs w:val="24"/>
        </w:rPr>
        <w:t xml:space="preserve"> </w:t>
      </w:r>
    </w:p>
    <w:p w:rsidR="00D914B6" w:rsidP="00053045" w:rsidRDefault="00D914B6" w14:paraId="17DB795B" w14:textId="17AB5CA7">
      <w:pPr>
        <w:pBdr>
          <w:top w:val="single" w:color="auto" w:sz="4" w:space="1"/>
          <w:left w:val="single" w:color="auto" w:sz="4" w:space="4"/>
          <w:bottom w:val="single" w:color="auto" w:sz="4" w:space="1"/>
          <w:right w:val="single" w:color="auto" w:sz="4" w:space="4"/>
        </w:pBdr>
        <w:rPr>
          <w:b/>
        </w:rPr>
      </w:pPr>
      <w:r>
        <w:rPr>
          <w:b/>
        </w:rPr>
        <w:t>With this submission, we are requesting OMB approval to conduct a fifteenth national survey, as well as sixteenth and seventeenth surveys if approved for three years</w:t>
      </w:r>
      <w:r w:rsidR="00CA7F63">
        <w:rPr>
          <w:b/>
        </w:rPr>
        <w:t>.</w:t>
      </w:r>
    </w:p>
    <w:p w:rsidR="00CA7F63" w:rsidP="00CA7F63" w:rsidRDefault="00CA7F63" w14:paraId="00A7408D" w14:textId="77777777">
      <w:pPr>
        <w:spacing w:line="240" w:lineRule="auto"/>
        <w:jc w:val="left"/>
        <w:rPr>
          <w:b/>
          <w:szCs w:val="22"/>
        </w:rPr>
      </w:pPr>
    </w:p>
    <w:p w:rsidR="00CA7F63" w:rsidP="00CA7F63" w:rsidRDefault="00CA7F63" w14:paraId="1C8C29C7" w14:textId="77777777">
      <w:pPr>
        <w:spacing w:line="240" w:lineRule="auto"/>
        <w:jc w:val="left"/>
        <w:rPr>
          <w:b/>
          <w:szCs w:val="22"/>
        </w:rPr>
      </w:pPr>
    </w:p>
    <w:p w:rsidRPr="00053045" w:rsidR="004E7BE5" w:rsidP="00CA7F63" w:rsidRDefault="004E7BE5" w14:paraId="2732C8F9" w14:textId="4CC42A00">
      <w:pPr>
        <w:spacing w:line="240" w:lineRule="auto"/>
        <w:jc w:val="left"/>
        <w:rPr>
          <w:b/>
          <w:sz w:val="24"/>
          <w:szCs w:val="24"/>
        </w:rPr>
      </w:pPr>
      <w:r w:rsidRPr="00053045">
        <w:rPr>
          <w:b/>
          <w:sz w:val="24"/>
          <w:szCs w:val="24"/>
        </w:rPr>
        <w:t>Performance Measurement Requirements</w:t>
      </w:r>
    </w:p>
    <w:p w:rsidRPr="00CE505B" w:rsidR="004E7BE5" w:rsidP="004E7BE5" w:rsidRDefault="004E7BE5" w14:paraId="6254C3AF" w14:textId="77777777">
      <w:pPr>
        <w:jc w:val="left"/>
        <w:rPr>
          <w:sz w:val="24"/>
          <w:szCs w:val="24"/>
        </w:rPr>
      </w:pPr>
    </w:p>
    <w:p w:rsidRPr="001D67C7" w:rsidR="004E7BE5" w:rsidP="004E7BE5" w:rsidRDefault="004E7BE5" w14:paraId="68E3F87F" w14:textId="0F0342F5">
      <w:pPr>
        <w:jc w:val="left"/>
        <w:rPr>
          <w:szCs w:val="22"/>
        </w:rPr>
      </w:pPr>
      <w:r w:rsidRPr="00820559">
        <w:rPr>
          <w:szCs w:val="22"/>
        </w:rPr>
        <w:t>GPRA</w:t>
      </w:r>
      <w:r w:rsidRPr="00820559" w:rsidR="00320E35">
        <w:rPr>
          <w:szCs w:val="22"/>
        </w:rPr>
        <w:t>MA</w:t>
      </w:r>
      <w:r w:rsidRPr="00820559">
        <w:rPr>
          <w:rStyle w:val="FootnoteReference"/>
          <w:szCs w:val="22"/>
          <w:vertAlign w:val="superscript"/>
        </w:rPr>
        <w:footnoteReference w:id="1"/>
      </w:r>
      <w:r w:rsidRPr="001E6BC8">
        <w:rPr>
          <w:szCs w:val="22"/>
        </w:rPr>
        <w:t xml:space="preserve"> requires federal agencies to develop annual and long-term performance outcome measures and to report on these measures annually. Section 20</w:t>
      </w:r>
      <w:r w:rsidRPr="001D67C7" w:rsidR="00252875">
        <w:rPr>
          <w:szCs w:val="22"/>
        </w:rPr>
        <w:t>3</w:t>
      </w:r>
      <w:r w:rsidRPr="001D67C7">
        <w:rPr>
          <w:szCs w:val="22"/>
        </w:rPr>
        <w:t xml:space="preserve">(f) of the </w:t>
      </w:r>
      <w:r w:rsidRPr="00820559">
        <w:rPr>
          <w:szCs w:val="22"/>
        </w:rPr>
        <w:t>OAA</w:t>
      </w:r>
      <w:r w:rsidRPr="00820559">
        <w:rPr>
          <w:rStyle w:val="FootnoteReference"/>
          <w:szCs w:val="22"/>
          <w:vertAlign w:val="superscript"/>
        </w:rPr>
        <w:footnoteReference w:id="2"/>
      </w:r>
      <w:r w:rsidRPr="001E6BC8">
        <w:rPr>
          <w:szCs w:val="22"/>
        </w:rPr>
        <w:t xml:space="preserve"> requires </w:t>
      </w:r>
      <w:r w:rsidRPr="001E6BC8" w:rsidR="00320E35">
        <w:rPr>
          <w:szCs w:val="22"/>
        </w:rPr>
        <w:t>ACL/</w:t>
      </w:r>
      <w:r w:rsidRPr="001E6BC8">
        <w:rPr>
          <w:szCs w:val="22"/>
        </w:rPr>
        <w:t>AoA to work collaboratively with State agencies and area agencies on aging (AAAs) to develop performance outcome measures.</w:t>
      </w:r>
      <w:r w:rsidRPr="001D67C7">
        <w:rPr>
          <w:szCs w:val="22"/>
        </w:rPr>
        <w:t xml:space="preserve"> </w:t>
      </w:r>
    </w:p>
    <w:p w:rsidRPr="001D67C7" w:rsidR="004E7BE5" w:rsidP="004E7BE5" w:rsidRDefault="004E7BE5" w14:paraId="0CC11DDF" w14:textId="77777777">
      <w:pPr>
        <w:jc w:val="left"/>
        <w:rPr>
          <w:szCs w:val="22"/>
        </w:rPr>
      </w:pPr>
    </w:p>
    <w:p w:rsidRPr="00A40468" w:rsidR="004E7BE5" w:rsidP="004E7BE5" w:rsidRDefault="004E7BE5" w14:paraId="67A39F8B" w14:textId="08BAE4AB">
      <w:pPr>
        <w:jc w:val="left"/>
        <w:rPr>
          <w:szCs w:val="22"/>
        </w:rPr>
      </w:pPr>
      <w:r w:rsidRPr="001D67C7">
        <w:rPr>
          <w:szCs w:val="22"/>
        </w:rPr>
        <w:t xml:space="preserve">Since the passage of GPRA in 1993, </w:t>
      </w:r>
      <w:r w:rsidRPr="001D67C7" w:rsidR="00320E35">
        <w:rPr>
          <w:szCs w:val="22"/>
        </w:rPr>
        <w:t>ACL/</w:t>
      </w:r>
      <w:r w:rsidRPr="00A40468">
        <w:rPr>
          <w:szCs w:val="22"/>
        </w:rPr>
        <w:t>AoA has accepted GPRA</w:t>
      </w:r>
      <w:r w:rsidRPr="00A40468" w:rsidR="00320E35">
        <w:rPr>
          <w:szCs w:val="22"/>
        </w:rPr>
        <w:t xml:space="preserve"> and GPRAMA</w:t>
      </w:r>
      <w:r w:rsidRPr="00A40468">
        <w:rPr>
          <w:szCs w:val="22"/>
        </w:rPr>
        <w:t xml:space="preserve"> as an opportunity to document each year the results that </w:t>
      </w:r>
      <w:proofErr w:type="gramStart"/>
      <w:r w:rsidRPr="00A40468">
        <w:rPr>
          <w:szCs w:val="22"/>
        </w:rPr>
        <w:t>are produced</w:t>
      </w:r>
      <w:proofErr w:type="gramEnd"/>
      <w:r w:rsidRPr="00A40468">
        <w:rPr>
          <w:szCs w:val="22"/>
        </w:rPr>
        <w:t xml:space="preserve"> through the programs it administers under the authority of OAA. It is the intent and commitment of </w:t>
      </w:r>
      <w:r w:rsidRPr="00A40468" w:rsidR="00C95A80">
        <w:rPr>
          <w:szCs w:val="22"/>
        </w:rPr>
        <w:t>ACL/</w:t>
      </w:r>
      <w:r w:rsidRPr="00A40468">
        <w:rPr>
          <w:szCs w:val="22"/>
        </w:rPr>
        <w:t>AoA, in concert with State and local program partners, to use the performance measurement tools of GPRA</w:t>
      </w:r>
      <w:r w:rsidRPr="00A40468" w:rsidR="00112F9E">
        <w:rPr>
          <w:szCs w:val="22"/>
        </w:rPr>
        <w:t>MA</w:t>
      </w:r>
      <w:r w:rsidRPr="00A40468">
        <w:rPr>
          <w:szCs w:val="22"/>
        </w:rPr>
        <w:t xml:space="preserve"> </w:t>
      </w:r>
      <w:proofErr w:type="gramStart"/>
      <w:r w:rsidRPr="00A40468">
        <w:rPr>
          <w:szCs w:val="22"/>
        </w:rPr>
        <w:t>to continuously improve</w:t>
      </w:r>
      <w:proofErr w:type="gramEnd"/>
      <w:r w:rsidRPr="00A40468">
        <w:rPr>
          <w:szCs w:val="22"/>
        </w:rPr>
        <w:t xml:space="preserve"> OAA programs and services for</w:t>
      </w:r>
      <w:r w:rsidR="00F4055F">
        <w:rPr>
          <w:szCs w:val="22"/>
        </w:rPr>
        <w:t xml:space="preserve"> older adults</w:t>
      </w:r>
      <w:r w:rsidRPr="00A40468">
        <w:rPr>
          <w:szCs w:val="22"/>
        </w:rPr>
        <w:t xml:space="preserve">. </w:t>
      </w:r>
    </w:p>
    <w:p w:rsidRPr="00A40468" w:rsidR="004E7BE5" w:rsidP="004E7BE5" w:rsidRDefault="004E7BE5" w14:paraId="0B2C85CB" w14:textId="77777777">
      <w:pPr>
        <w:jc w:val="left"/>
        <w:rPr>
          <w:szCs w:val="22"/>
        </w:rPr>
      </w:pPr>
    </w:p>
    <w:p w:rsidR="004E7BE5" w:rsidP="00D73867" w:rsidRDefault="00D73867" w14:paraId="46157E9C" w14:textId="22D43376">
      <w:pPr>
        <w:jc w:val="left"/>
        <w:rPr>
          <w:szCs w:val="22"/>
        </w:rPr>
      </w:pPr>
      <w:r w:rsidRPr="00A40468">
        <w:rPr>
          <w:szCs w:val="22"/>
        </w:rPr>
        <w:t xml:space="preserve">As described on ACL’s </w:t>
      </w:r>
      <w:proofErr w:type="gramStart"/>
      <w:r w:rsidRPr="00A40468">
        <w:rPr>
          <w:szCs w:val="22"/>
        </w:rPr>
        <w:t>website:</w:t>
      </w:r>
      <w:proofErr w:type="gramEnd"/>
      <w:r w:rsidRPr="00A40468">
        <w:rPr>
          <w:szCs w:val="22"/>
        </w:rPr>
        <w:t xml:space="preserve"> “</w:t>
      </w:r>
      <w:r w:rsidRPr="00A40468" w:rsidR="00164D68">
        <w:rPr>
          <w:szCs w:val="22"/>
          <w:shd w:val="clear" w:color="auto" w:fill="FFFFFF"/>
        </w:rPr>
        <w:t xml:space="preserve">The National Surveys of OAA Participants are a collection of annual national surveys of recipients of select Title III services. Their purpose is to obtain </w:t>
      </w:r>
      <w:proofErr w:type="gramStart"/>
      <w:r w:rsidRPr="00A40468" w:rsidR="00164D68">
        <w:rPr>
          <w:szCs w:val="22"/>
          <w:shd w:val="clear" w:color="auto" w:fill="FFFFFF"/>
        </w:rPr>
        <w:t>performance outcome measurement information</w:t>
      </w:r>
      <w:proofErr w:type="gramEnd"/>
      <w:r w:rsidRPr="00A40468" w:rsidR="00164D68">
        <w:rPr>
          <w:szCs w:val="22"/>
          <w:shd w:val="clear" w:color="auto" w:fill="FFFFFF"/>
        </w:rPr>
        <w:t xml:space="preserve">, which is then used in </w:t>
      </w:r>
      <w:proofErr w:type="spellStart"/>
      <w:r w:rsidRPr="00A40468" w:rsidR="00164D68">
        <w:rPr>
          <w:szCs w:val="22"/>
          <w:shd w:val="clear" w:color="auto" w:fill="FFFFFF"/>
        </w:rPr>
        <w:t>AoA’s</w:t>
      </w:r>
      <w:proofErr w:type="spellEnd"/>
      <w:r w:rsidRPr="00A40468" w:rsidR="00164D68">
        <w:rPr>
          <w:szCs w:val="22"/>
          <w:shd w:val="clear" w:color="auto" w:fill="FFFFFF"/>
        </w:rPr>
        <w:t xml:space="preserve"> GPRA plan and PART assessment. The survey instruments focus on consumer assessment of service quality and consumer-reported outcomes. The instruments also measure special needs characteristics such as physical and social functioning of the people who receive </w:t>
      </w:r>
      <w:r w:rsidRPr="00820559" w:rsidR="00164D68">
        <w:rPr>
          <w:szCs w:val="22"/>
          <w:shd w:val="clear" w:color="auto" w:fill="FFFFFF"/>
        </w:rPr>
        <w:t>services</w:t>
      </w:r>
      <w:r w:rsidRPr="00820559" w:rsidR="004E7BE5">
        <w:rPr>
          <w:szCs w:val="22"/>
        </w:rPr>
        <w:t xml:space="preserve">.” </w:t>
      </w:r>
      <w:r w:rsidRPr="00820559" w:rsidR="004E7BE5">
        <w:rPr>
          <w:rStyle w:val="FootnoteReference"/>
          <w:szCs w:val="22"/>
          <w:vertAlign w:val="superscript"/>
        </w:rPr>
        <w:footnoteReference w:id="3"/>
      </w:r>
      <w:r w:rsidRPr="004339FF" w:rsidR="004E7BE5">
        <w:rPr>
          <w:rFonts w:ascii="Verdana" w:hAnsi="Verdana"/>
          <w:sz w:val="18"/>
          <w:szCs w:val="18"/>
        </w:rPr>
        <w:t xml:space="preserve"> </w:t>
      </w:r>
    </w:p>
    <w:p w:rsidRPr="00053045" w:rsidR="004E7BE5" w:rsidP="004E7BE5" w:rsidRDefault="004E7BE5" w14:paraId="3CDA29A3" w14:textId="14C3EA9A">
      <w:pPr>
        <w:pStyle w:val="Heading2"/>
        <w:spacing w:before="120"/>
        <w:jc w:val="left"/>
        <w:rPr>
          <w:sz w:val="24"/>
          <w:szCs w:val="24"/>
        </w:rPr>
      </w:pPr>
      <w:r w:rsidRPr="00053045">
        <w:rPr>
          <w:sz w:val="24"/>
          <w:szCs w:val="24"/>
        </w:rPr>
        <w:t xml:space="preserve">OAA, Title III – Home and Community-Based Program </w:t>
      </w:r>
    </w:p>
    <w:p w:rsidRPr="00CE505B" w:rsidR="004E7BE5" w:rsidP="004E7BE5" w:rsidRDefault="004E7BE5" w14:paraId="187C1BA6" w14:textId="77777777">
      <w:pPr>
        <w:jc w:val="left"/>
        <w:rPr>
          <w:sz w:val="24"/>
          <w:szCs w:val="24"/>
        </w:rPr>
      </w:pPr>
      <w:r w:rsidRPr="00972129">
        <w:rPr>
          <w:szCs w:val="22"/>
        </w:rPr>
        <w:t xml:space="preserve">Title III of the OAA establishes a home and community-based care program for older persons and their caregivers, to enable them to live as independently as possible for as long as possible. States and local agencies </w:t>
      </w:r>
      <w:proofErr w:type="gramStart"/>
      <w:r w:rsidRPr="00972129">
        <w:rPr>
          <w:szCs w:val="22"/>
        </w:rPr>
        <w:t>are given</w:t>
      </w:r>
      <w:proofErr w:type="gramEnd"/>
      <w:r w:rsidRPr="00972129">
        <w:rPr>
          <w:szCs w:val="22"/>
        </w:rPr>
        <w:t xml:space="preserve"> much latitude to design services tailored to the needs of their regions and communities. </w:t>
      </w:r>
      <w:r w:rsidRPr="00972129">
        <w:rPr>
          <w:szCs w:val="22"/>
        </w:rPr>
        <w:lastRenderedPageBreak/>
        <w:t xml:space="preserve">One challenge for </w:t>
      </w:r>
      <w:r w:rsidR="00770577">
        <w:rPr>
          <w:szCs w:val="22"/>
        </w:rPr>
        <w:t>ACL/</w:t>
      </w:r>
      <w:r w:rsidRPr="00972129">
        <w:rPr>
          <w:szCs w:val="22"/>
        </w:rPr>
        <w:t xml:space="preserve">AoA is to devise a means to improve the performance of the program nationally, while preserving and promoting the diversity of program design. </w:t>
      </w:r>
      <w:r w:rsidR="00770577">
        <w:rPr>
          <w:szCs w:val="22"/>
        </w:rPr>
        <w:t>ACL/</w:t>
      </w:r>
      <w:r w:rsidRPr="00972129">
        <w:rPr>
          <w:szCs w:val="22"/>
        </w:rPr>
        <w:t xml:space="preserve">AoA has chosen to work toward improved program performance throughout the Aging Services Network by working collaboratively with States and AAAs to develop </w:t>
      </w:r>
      <w:proofErr w:type="gramStart"/>
      <w:r w:rsidRPr="00972129">
        <w:rPr>
          <w:szCs w:val="22"/>
        </w:rPr>
        <w:t>performance outcome measurement tools</w:t>
      </w:r>
      <w:proofErr w:type="gramEnd"/>
      <w:r w:rsidRPr="00972129">
        <w:rPr>
          <w:szCs w:val="22"/>
        </w:rPr>
        <w:t xml:space="preserve">. The tools identify elements of service quality so that states and AAAs can improve service systems at the local level. These same tools </w:t>
      </w:r>
      <w:proofErr w:type="gramStart"/>
      <w:r w:rsidRPr="00972129">
        <w:rPr>
          <w:szCs w:val="22"/>
        </w:rPr>
        <w:t>can also be employed</w:t>
      </w:r>
      <w:proofErr w:type="gramEnd"/>
      <w:r w:rsidRPr="00972129">
        <w:rPr>
          <w:szCs w:val="22"/>
        </w:rPr>
        <w:t xml:space="preserve"> by </w:t>
      </w:r>
      <w:r w:rsidR="00C95A80">
        <w:rPr>
          <w:szCs w:val="22"/>
        </w:rPr>
        <w:t>ACL/</w:t>
      </w:r>
      <w:r w:rsidRPr="00972129">
        <w:rPr>
          <w:szCs w:val="22"/>
        </w:rPr>
        <w:t>AoA to measure program performance at the national level</w:t>
      </w:r>
      <w:r w:rsidRPr="00CE505B">
        <w:rPr>
          <w:sz w:val="24"/>
          <w:szCs w:val="24"/>
        </w:rPr>
        <w:t>.</w:t>
      </w:r>
    </w:p>
    <w:p w:rsidRPr="00CE505B" w:rsidR="004E7BE5" w:rsidP="004E7BE5" w:rsidRDefault="004E7BE5" w14:paraId="6C3D6314" w14:textId="77777777">
      <w:pPr>
        <w:jc w:val="left"/>
        <w:rPr>
          <w:sz w:val="24"/>
          <w:szCs w:val="24"/>
        </w:rPr>
      </w:pPr>
    </w:p>
    <w:p w:rsidRPr="00053045" w:rsidR="004E7BE5" w:rsidP="004E7BE5" w:rsidRDefault="004E7BE5" w14:paraId="0A0EE3D0" w14:textId="77777777">
      <w:pPr>
        <w:keepNext/>
        <w:keepLines/>
        <w:jc w:val="left"/>
        <w:rPr>
          <w:b/>
          <w:sz w:val="24"/>
          <w:szCs w:val="24"/>
        </w:rPr>
      </w:pPr>
      <w:r w:rsidRPr="00053045">
        <w:rPr>
          <w:b/>
          <w:sz w:val="24"/>
          <w:szCs w:val="24"/>
        </w:rPr>
        <w:t>Performance Outcomes Measures Project (POMP)</w:t>
      </w:r>
    </w:p>
    <w:p w:rsidRPr="00CE505B" w:rsidR="004E7BE5" w:rsidP="004E7BE5" w:rsidRDefault="004E7BE5" w14:paraId="78466B9D" w14:textId="77777777">
      <w:pPr>
        <w:keepNext/>
        <w:keepLines/>
        <w:jc w:val="left"/>
        <w:rPr>
          <w:sz w:val="24"/>
          <w:szCs w:val="24"/>
        </w:rPr>
      </w:pPr>
    </w:p>
    <w:p w:rsidRPr="00972129" w:rsidR="004E7BE5" w:rsidP="004E7BE5" w:rsidRDefault="00927A6B" w14:paraId="409B6A0F" w14:textId="77777777">
      <w:pPr>
        <w:keepNext/>
        <w:keepLines/>
        <w:jc w:val="left"/>
        <w:rPr>
          <w:szCs w:val="22"/>
        </w:rPr>
      </w:pPr>
      <w:r w:rsidRPr="00972129">
        <w:rPr>
          <w:szCs w:val="22"/>
        </w:rPr>
        <w:t xml:space="preserve">For </w:t>
      </w:r>
      <w:r>
        <w:rPr>
          <w:szCs w:val="22"/>
        </w:rPr>
        <w:t>over</w:t>
      </w:r>
      <w:r w:rsidR="00EE5169">
        <w:rPr>
          <w:szCs w:val="22"/>
        </w:rPr>
        <w:t xml:space="preserve"> </w:t>
      </w:r>
      <w:r w:rsidRPr="00972129" w:rsidR="004E7BE5">
        <w:rPr>
          <w:szCs w:val="22"/>
        </w:rPr>
        <w:t xml:space="preserve">10 years, </w:t>
      </w:r>
      <w:r w:rsidR="00320E35">
        <w:rPr>
          <w:szCs w:val="22"/>
        </w:rPr>
        <w:t>ACL/</w:t>
      </w:r>
      <w:r w:rsidRPr="00972129" w:rsidR="004E7BE5">
        <w:rPr>
          <w:szCs w:val="22"/>
        </w:rPr>
        <w:t xml:space="preserve">AoA sponsored the Performance Outcomes Measures Project (POMP) demonstration, in which grants </w:t>
      </w:r>
      <w:proofErr w:type="gramStart"/>
      <w:r w:rsidR="00EE5169">
        <w:rPr>
          <w:szCs w:val="22"/>
        </w:rPr>
        <w:t>were</w:t>
      </w:r>
      <w:r w:rsidRPr="00972129" w:rsidR="004E7BE5">
        <w:rPr>
          <w:szCs w:val="22"/>
        </w:rPr>
        <w:t xml:space="preserve"> awarded</w:t>
      </w:r>
      <w:proofErr w:type="gramEnd"/>
      <w:r w:rsidRPr="00972129" w:rsidR="004E7BE5">
        <w:rPr>
          <w:szCs w:val="22"/>
        </w:rPr>
        <w:t xml:space="preserve"> to states, who then work</w:t>
      </w:r>
      <w:r w:rsidR="00EE5169">
        <w:rPr>
          <w:szCs w:val="22"/>
        </w:rPr>
        <w:t>ed</w:t>
      </w:r>
      <w:r w:rsidRPr="00972129" w:rsidR="004E7BE5">
        <w:rPr>
          <w:szCs w:val="22"/>
        </w:rPr>
        <w:t xml:space="preserve"> collaboratively to develop survey instruments that measure</w:t>
      </w:r>
      <w:r w:rsidR="00EE5169">
        <w:rPr>
          <w:szCs w:val="22"/>
        </w:rPr>
        <w:t>d</w:t>
      </w:r>
      <w:r w:rsidRPr="00972129" w:rsidR="004E7BE5">
        <w:rPr>
          <w:szCs w:val="22"/>
        </w:rPr>
        <w:t xml:space="preserve"> elements of service quality and consumer reported outcomes for various services provided under Title III of the OAA. Surveys</w:t>
      </w:r>
      <w:r w:rsidR="00320E35">
        <w:rPr>
          <w:szCs w:val="22"/>
        </w:rPr>
        <w:t xml:space="preserve"> </w:t>
      </w:r>
      <w:proofErr w:type="gramStart"/>
      <w:r w:rsidR="00320E35">
        <w:rPr>
          <w:szCs w:val="22"/>
        </w:rPr>
        <w:t>were</w:t>
      </w:r>
      <w:r w:rsidRPr="00972129" w:rsidR="004E7BE5">
        <w:rPr>
          <w:szCs w:val="22"/>
        </w:rPr>
        <w:t xml:space="preserve"> developed</w:t>
      </w:r>
      <w:proofErr w:type="gramEnd"/>
      <w:r w:rsidRPr="00972129" w:rsidR="004E7BE5">
        <w:rPr>
          <w:szCs w:val="22"/>
        </w:rPr>
        <w:t xml:space="preserve"> for the following topics:</w:t>
      </w:r>
    </w:p>
    <w:p w:rsidR="00320E35" w:rsidP="004E7BE5" w:rsidRDefault="00320E35" w14:paraId="25409D63" w14:textId="77777777">
      <w:pPr>
        <w:keepNext/>
        <w:keepLines/>
        <w:jc w:val="left"/>
        <w:rPr>
          <w:szCs w:val="22"/>
        </w:rPr>
      </w:pPr>
    </w:p>
    <w:p w:rsidRPr="000B5481" w:rsidR="004E7BE5" w:rsidP="004E7BE5" w:rsidRDefault="004E7BE5" w14:paraId="3AE2B3EF" w14:textId="77777777">
      <w:pPr>
        <w:keepNext/>
        <w:keepLines/>
        <w:jc w:val="left"/>
        <w:rPr>
          <w:szCs w:val="22"/>
        </w:rPr>
      </w:pPr>
      <w:r w:rsidRPr="000B5481">
        <w:rPr>
          <w:szCs w:val="22"/>
        </w:rPr>
        <w:t xml:space="preserve">Service Domains: </w:t>
      </w:r>
    </w:p>
    <w:p w:rsidRPr="000B5481" w:rsidR="004E7BE5" w:rsidP="00831CB9" w:rsidRDefault="004E7BE5" w14:paraId="261DB0EA" w14:textId="77777777">
      <w:pPr>
        <w:pStyle w:val="ListParagraph"/>
        <w:keepNext/>
        <w:keepLines/>
        <w:numPr>
          <w:ilvl w:val="0"/>
          <w:numId w:val="11"/>
        </w:numPr>
        <w:jc w:val="left"/>
        <w:rPr>
          <w:szCs w:val="22"/>
        </w:rPr>
      </w:pPr>
      <w:r w:rsidRPr="000B5481">
        <w:rPr>
          <w:szCs w:val="22"/>
        </w:rPr>
        <w:t>Nutrition (including congregate and home-delivered meals)</w:t>
      </w:r>
    </w:p>
    <w:p w:rsidRPr="000B5481" w:rsidR="004E7BE5" w:rsidP="00831CB9" w:rsidRDefault="004E7BE5" w14:paraId="5C18D9B9" w14:textId="77777777">
      <w:pPr>
        <w:pStyle w:val="ListParagraph"/>
        <w:keepNext/>
        <w:keepLines/>
        <w:numPr>
          <w:ilvl w:val="0"/>
          <w:numId w:val="8"/>
        </w:numPr>
        <w:spacing w:line="240" w:lineRule="auto"/>
        <w:contextualSpacing/>
        <w:jc w:val="left"/>
        <w:rPr>
          <w:szCs w:val="22"/>
        </w:rPr>
      </w:pPr>
      <w:r w:rsidRPr="000B5481">
        <w:rPr>
          <w:szCs w:val="22"/>
        </w:rPr>
        <w:t>Transportation</w:t>
      </w:r>
    </w:p>
    <w:p w:rsidRPr="000B5481" w:rsidR="004E7BE5" w:rsidP="00831CB9" w:rsidRDefault="004E7BE5" w14:paraId="40656A72" w14:textId="77777777">
      <w:pPr>
        <w:pStyle w:val="ListParagraph"/>
        <w:keepNext/>
        <w:keepLines/>
        <w:numPr>
          <w:ilvl w:val="0"/>
          <w:numId w:val="8"/>
        </w:numPr>
        <w:spacing w:line="240" w:lineRule="auto"/>
        <w:contextualSpacing/>
        <w:jc w:val="left"/>
        <w:rPr>
          <w:szCs w:val="22"/>
        </w:rPr>
      </w:pPr>
      <w:r w:rsidRPr="000B5481">
        <w:rPr>
          <w:szCs w:val="22"/>
        </w:rPr>
        <w:t>Information and Assistance</w:t>
      </w:r>
    </w:p>
    <w:p w:rsidRPr="000B5481" w:rsidR="004E7BE5" w:rsidP="00831CB9" w:rsidRDefault="004E7BE5" w14:paraId="0DB161E5" w14:textId="77777777">
      <w:pPr>
        <w:pStyle w:val="ListParagraph"/>
        <w:keepNext/>
        <w:keepLines/>
        <w:numPr>
          <w:ilvl w:val="0"/>
          <w:numId w:val="8"/>
        </w:numPr>
        <w:spacing w:line="240" w:lineRule="auto"/>
        <w:contextualSpacing/>
        <w:jc w:val="left"/>
        <w:rPr>
          <w:szCs w:val="22"/>
        </w:rPr>
      </w:pPr>
      <w:r w:rsidRPr="000B5481">
        <w:rPr>
          <w:szCs w:val="22"/>
        </w:rPr>
        <w:t xml:space="preserve">Homemaker/Housekeeper </w:t>
      </w:r>
    </w:p>
    <w:p w:rsidRPr="000B5481" w:rsidR="004E7BE5" w:rsidP="00831CB9" w:rsidRDefault="004E7BE5" w14:paraId="690556CB" w14:textId="77777777">
      <w:pPr>
        <w:pStyle w:val="ListParagraph"/>
        <w:numPr>
          <w:ilvl w:val="0"/>
          <w:numId w:val="8"/>
        </w:numPr>
        <w:spacing w:line="240" w:lineRule="auto"/>
        <w:contextualSpacing/>
        <w:jc w:val="left"/>
        <w:rPr>
          <w:szCs w:val="22"/>
        </w:rPr>
      </w:pPr>
      <w:r w:rsidRPr="000B5481">
        <w:rPr>
          <w:szCs w:val="22"/>
        </w:rPr>
        <w:t>Personal Care</w:t>
      </w:r>
    </w:p>
    <w:p w:rsidRPr="000B5481" w:rsidR="004E7BE5" w:rsidP="00831CB9" w:rsidRDefault="004E7BE5" w14:paraId="0CDFAA54" w14:textId="77777777">
      <w:pPr>
        <w:pStyle w:val="ListParagraph"/>
        <w:numPr>
          <w:ilvl w:val="0"/>
          <w:numId w:val="8"/>
        </w:numPr>
        <w:spacing w:line="240" w:lineRule="auto"/>
        <w:contextualSpacing/>
        <w:jc w:val="left"/>
        <w:rPr>
          <w:szCs w:val="22"/>
        </w:rPr>
      </w:pPr>
      <w:r w:rsidRPr="000B5481">
        <w:rPr>
          <w:szCs w:val="22"/>
        </w:rPr>
        <w:t>Caregiver Support</w:t>
      </w:r>
    </w:p>
    <w:p w:rsidRPr="000B5481" w:rsidR="004E7BE5" w:rsidP="00831CB9" w:rsidRDefault="004E7BE5" w14:paraId="7B96004D" w14:textId="77777777">
      <w:pPr>
        <w:pStyle w:val="ListParagraph"/>
        <w:numPr>
          <w:ilvl w:val="0"/>
          <w:numId w:val="8"/>
        </w:numPr>
        <w:spacing w:line="240" w:lineRule="auto"/>
        <w:contextualSpacing/>
        <w:jc w:val="left"/>
        <w:rPr>
          <w:szCs w:val="22"/>
        </w:rPr>
      </w:pPr>
      <w:r w:rsidRPr="000B5481">
        <w:rPr>
          <w:szCs w:val="22"/>
        </w:rPr>
        <w:t>Case Management</w:t>
      </w:r>
    </w:p>
    <w:p w:rsidRPr="000B5481" w:rsidR="004E7BE5" w:rsidP="00831CB9" w:rsidRDefault="004E7BE5" w14:paraId="4496751F" w14:textId="77777777">
      <w:pPr>
        <w:pStyle w:val="ListParagraph"/>
        <w:numPr>
          <w:ilvl w:val="0"/>
          <w:numId w:val="8"/>
        </w:numPr>
        <w:spacing w:line="240" w:lineRule="auto"/>
        <w:contextualSpacing/>
        <w:jc w:val="left"/>
        <w:rPr>
          <w:szCs w:val="22"/>
        </w:rPr>
      </w:pPr>
      <w:r w:rsidRPr="000B5481">
        <w:rPr>
          <w:szCs w:val="22"/>
        </w:rPr>
        <w:t>Senior Centers</w:t>
      </w:r>
    </w:p>
    <w:p w:rsidRPr="000B5481" w:rsidR="004E7BE5" w:rsidP="004E7BE5" w:rsidRDefault="004E7BE5" w14:paraId="5B17F682" w14:textId="77777777">
      <w:pPr>
        <w:jc w:val="left"/>
        <w:rPr>
          <w:szCs w:val="22"/>
        </w:rPr>
      </w:pPr>
    </w:p>
    <w:p w:rsidRPr="000B5481" w:rsidR="004E7BE5" w:rsidP="004E7BE5" w:rsidRDefault="004E7BE5" w14:paraId="4158C7AC" w14:textId="77777777">
      <w:pPr>
        <w:jc w:val="left"/>
        <w:rPr>
          <w:szCs w:val="22"/>
        </w:rPr>
      </w:pPr>
      <w:r w:rsidRPr="000B5481">
        <w:rPr>
          <w:szCs w:val="22"/>
        </w:rPr>
        <w:t>Client Characteristics:</w:t>
      </w:r>
    </w:p>
    <w:p w:rsidRPr="000B5481" w:rsidR="004E7BE5" w:rsidP="00831CB9" w:rsidRDefault="004E7BE5" w14:paraId="05F0E149" w14:textId="77777777">
      <w:pPr>
        <w:pStyle w:val="ListParagraph"/>
        <w:numPr>
          <w:ilvl w:val="0"/>
          <w:numId w:val="9"/>
        </w:numPr>
        <w:spacing w:line="240" w:lineRule="auto"/>
        <w:contextualSpacing/>
        <w:jc w:val="left"/>
        <w:rPr>
          <w:szCs w:val="22"/>
        </w:rPr>
      </w:pPr>
      <w:r w:rsidRPr="000B5481">
        <w:rPr>
          <w:szCs w:val="22"/>
        </w:rPr>
        <w:t>Physical Functioning</w:t>
      </w:r>
    </w:p>
    <w:p w:rsidRPr="000B5481" w:rsidR="004E7BE5" w:rsidP="00831CB9" w:rsidRDefault="004E7BE5" w14:paraId="04FF7228" w14:textId="77777777">
      <w:pPr>
        <w:pStyle w:val="ListParagraph"/>
        <w:numPr>
          <w:ilvl w:val="0"/>
          <w:numId w:val="9"/>
        </w:numPr>
        <w:spacing w:line="240" w:lineRule="auto"/>
        <w:contextualSpacing/>
        <w:jc w:val="left"/>
        <w:rPr>
          <w:szCs w:val="22"/>
        </w:rPr>
      </w:pPr>
      <w:r w:rsidRPr="000B5481">
        <w:rPr>
          <w:szCs w:val="22"/>
        </w:rPr>
        <w:t>Demographics</w:t>
      </w:r>
    </w:p>
    <w:p w:rsidRPr="000B5481" w:rsidR="004E7BE5" w:rsidP="00831CB9" w:rsidRDefault="004E7BE5" w14:paraId="56CB2AB1" w14:textId="77777777">
      <w:pPr>
        <w:pStyle w:val="ListParagraph"/>
        <w:numPr>
          <w:ilvl w:val="0"/>
          <w:numId w:val="9"/>
        </w:numPr>
        <w:spacing w:line="240" w:lineRule="auto"/>
        <w:contextualSpacing/>
        <w:jc w:val="left"/>
        <w:rPr>
          <w:szCs w:val="22"/>
        </w:rPr>
      </w:pPr>
      <w:r w:rsidRPr="000B5481">
        <w:rPr>
          <w:szCs w:val="22"/>
        </w:rPr>
        <w:t>Emotional Well-Being</w:t>
      </w:r>
    </w:p>
    <w:p w:rsidRPr="00CE505B" w:rsidR="004E7BE5" w:rsidP="00831CB9" w:rsidRDefault="004E7BE5" w14:paraId="4B31B10D" w14:textId="77777777">
      <w:pPr>
        <w:pStyle w:val="ListParagraph"/>
        <w:numPr>
          <w:ilvl w:val="0"/>
          <w:numId w:val="9"/>
        </w:numPr>
        <w:spacing w:line="240" w:lineRule="auto"/>
        <w:contextualSpacing/>
        <w:jc w:val="left"/>
        <w:rPr>
          <w:sz w:val="24"/>
          <w:szCs w:val="24"/>
        </w:rPr>
      </w:pPr>
      <w:r w:rsidRPr="000B5481">
        <w:rPr>
          <w:szCs w:val="22"/>
        </w:rPr>
        <w:t>Social Functioning</w:t>
      </w:r>
    </w:p>
    <w:p w:rsidRPr="00CE505B" w:rsidR="004E7BE5" w:rsidP="004E7BE5" w:rsidRDefault="004E7BE5" w14:paraId="6A19BF61" w14:textId="0CFFE0B0">
      <w:pPr>
        <w:jc w:val="left"/>
        <w:rPr>
          <w:sz w:val="24"/>
          <w:szCs w:val="24"/>
        </w:rPr>
      </w:pPr>
    </w:p>
    <w:p w:rsidRPr="000B5481" w:rsidR="004E7BE5" w:rsidP="004E7BE5" w:rsidRDefault="004E7BE5" w14:paraId="78CFDEA7" w14:textId="77777777">
      <w:pPr>
        <w:jc w:val="left"/>
        <w:rPr>
          <w:szCs w:val="22"/>
        </w:rPr>
      </w:pPr>
      <w:r w:rsidRPr="000B5481">
        <w:rPr>
          <w:szCs w:val="22"/>
        </w:rPr>
        <w:t>POMP demonstrat</w:t>
      </w:r>
      <w:r w:rsidR="00EE5169">
        <w:rPr>
          <w:szCs w:val="22"/>
        </w:rPr>
        <w:t>ed</w:t>
      </w:r>
      <w:r w:rsidRPr="000B5481">
        <w:rPr>
          <w:szCs w:val="22"/>
        </w:rPr>
        <w:t xml:space="preserve"> the ability of states and AAAs to apply statistically sound sampling techniques to obtain numeric measures of program performance.</w:t>
      </w:r>
    </w:p>
    <w:p w:rsidRPr="000B5481" w:rsidR="004E7BE5" w:rsidP="004E7BE5" w:rsidRDefault="004E7BE5" w14:paraId="599D9484" w14:textId="77777777">
      <w:pPr>
        <w:jc w:val="left"/>
        <w:rPr>
          <w:szCs w:val="22"/>
        </w:rPr>
      </w:pPr>
    </w:p>
    <w:p w:rsidRPr="000B5481" w:rsidR="004E7BE5" w:rsidP="004E7BE5" w:rsidRDefault="004E7BE5" w14:paraId="0D5782DE" w14:textId="6C58FE4E">
      <w:pPr>
        <w:jc w:val="left"/>
        <w:rPr>
          <w:szCs w:val="22"/>
        </w:rPr>
      </w:pPr>
      <w:r w:rsidRPr="000B5481">
        <w:rPr>
          <w:szCs w:val="22"/>
        </w:rPr>
        <w:t xml:space="preserve">The survey instruments developed under POMP – along with various tools necessary for implementation – </w:t>
      </w:r>
      <w:proofErr w:type="gramStart"/>
      <w:r w:rsidRPr="000B5481">
        <w:rPr>
          <w:szCs w:val="22"/>
        </w:rPr>
        <w:t>can be found</w:t>
      </w:r>
      <w:proofErr w:type="gramEnd"/>
      <w:r w:rsidRPr="000B5481">
        <w:rPr>
          <w:szCs w:val="22"/>
        </w:rPr>
        <w:t xml:space="preserve"> </w:t>
      </w:r>
      <w:r w:rsidRPr="00A87F0F">
        <w:rPr>
          <w:szCs w:val="22"/>
        </w:rPr>
        <w:t>at</w:t>
      </w:r>
      <w:r w:rsidRPr="00A87F0F" w:rsidR="00A13C0A">
        <w:rPr>
          <w:szCs w:val="22"/>
        </w:rPr>
        <w:t xml:space="preserve"> </w:t>
      </w:r>
      <w:hyperlink w:history="1" r:id="rId9">
        <w:r w:rsidRPr="00A87F0F" w:rsidR="000B3184">
          <w:rPr>
            <w:rStyle w:val="Hyperlink"/>
          </w:rPr>
          <w:t>https://acl.gov/programs/pomp</w:t>
        </w:r>
      </w:hyperlink>
      <w:r w:rsidRPr="000B5481">
        <w:rPr>
          <w:szCs w:val="22"/>
        </w:rPr>
        <w:t>. These performance measurement surveys have enabled some local agencies to obtain additional financial support and improve program management. Examples of uses of performance measurement at the state and local level follow:</w:t>
      </w:r>
    </w:p>
    <w:p w:rsidRPr="000B5481" w:rsidR="004E7BE5" w:rsidP="004E7BE5" w:rsidRDefault="004E7BE5" w14:paraId="71443C3D" w14:textId="77777777">
      <w:pPr>
        <w:jc w:val="left"/>
        <w:rPr>
          <w:szCs w:val="22"/>
        </w:rPr>
      </w:pPr>
    </w:p>
    <w:p w:rsidRPr="000B5481" w:rsidR="004E7BE5" w:rsidP="00831CB9" w:rsidRDefault="004E7BE5" w14:paraId="61C7D5D6" w14:textId="77777777">
      <w:pPr>
        <w:pStyle w:val="ListParagraph"/>
        <w:numPr>
          <w:ilvl w:val="0"/>
          <w:numId w:val="7"/>
        </w:numPr>
        <w:spacing w:line="240" w:lineRule="auto"/>
        <w:contextualSpacing/>
        <w:jc w:val="left"/>
        <w:rPr>
          <w:szCs w:val="22"/>
        </w:rPr>
      </w:pPr>
      <w:r w:rsidRPr="000B5481">
        <w:rPr>
          <w:szCs w:val="22"/>
        </w:rPr>
        <w:t>The Hawkeye Valley Area Agency on Aging in Waterloo, Iowa compiled information on the level of client support and satisfaction with services and received additional funding from the United Way for exemplary programs.</w:t>
      </w:r>
    </w:p>
    <w:p w:rsidRPr="000B5481" w:rsidR="004E7BE5" w:rsidP="00831CB9" w:rsidRDefault="004E7BE5" w14:paraId="4A635F50" w14:textId="77777777">
      <w:pPr>
        <w:pStyle w:val="ListParagraph"/>
        <w:numPr>
          <w:ilvl w:val="0"/>
          <w:numId w:val="7"/>
        </w:numPr>
        <w:spacing w:line="240" w:lineRule="auto"/>
        <w:contextualSpacing/>
        <w:jc w:val="left"/>
        <w:rPr>
          <w:szCs w:val="22"/>
        </w:rPr>
      </w:pPr>
      <w:r w:rsidRPr="000B5481">
        <w:rPr>
          <w:szCs w:val="22"/>
        </w:rPr>
        <w:t>The Area Agency on Aging in Cincinnati, Ohio expanded the use of Home Care Client Satisfaction Measure (HCSM) and incorporated it into an ongoing part of its case management process for all clients to improve service quality.</w:t>
      </w:r>
    </w:p>
    <w:p w:rsidRPr="000B5481" w:rsidR="004E7BE5" w:rsidP="00831CB9" w:rsidRDefault="004E7BE5" w14:paraId="614C6178" w14:textId="77777777">
      <w:pPr>
        <w:pStyle w:val="ListParagraph"/>
        <w:numPr>
          <w:ilvl w:val="0"/>
          <w:numId w:val="7"/>
        </w:numPr>
        <w:spacing w:line="240" w:lineRule="auto"/>
        <w:contextualSpacing/>
        <w:jc w:val="left"/>
        <w:rPr>
          <w:szCs w:val="22"/>
        </w:rPr>
      </w:pPr>
      <w:r w:rsidRPr="000B5481">
        <w:rPr>
          <w:szCs w:val="22"/>
        </w:rPr>
        <w:t xml:space="preserve">The Florida Department of Elder Affairs developed a computer simulation model that demonstrated the impact of home care programs on reducing nursing home admissions and showed the savings in Medicaid funds </w:t>
      </w:r>
    </w:p>
    <w:p w:rsidRPr="000B5481" w:rsidR="004E7BE5" w:rsidP="004E7BE5" w:rsidRDefault="004E7BE5" w14:paraId="4A441787" w14:textId="77777777">
      <w:pPr>
        <w:ind w:left="360"/>
        <w:jc w:val="left"/>
        <w:rPr>
          <w:szCs w:val="22"/>
        </w:rPr>
      </w:pPr>
    </w:p>
    <w:p w:rsidR="00A87F0F" w:rsidP="00A87F0F" w:rsidRDefault="00A87F0F" w14:paraId="135F0C32" w14:textId="745842DD">
      <w:r>
        <w:t xml:space="preserve">The </w:t>
      </w:r>
      <w:r w:rsidR="000D153A">
        <w:t>r</w:t>
      </w:r>
      <w:r>
        <w:t xml:space="preserve">ecipient and caregiver survey instruments national survey </w:t>
      </w:r>
      <w:proofErr w:type="gramStart"/>
      <w:r>
        <w:t>are based</w:t>
      </w:r>
      <w:proofErr w:type="gramEnd"/>
      <w:r>
        <w:t xml:space="preserve"> on the recipient surveys developed by POMP grantees. </w:t>
      </w:r>
    </w:p>
    <w:p w:rsidRPr="00CE505B" w:rsidR="004E7BE5" w:rsidP="004E7BE5" w:rsidRDefault="004E7BE5" w14:paraId="31477534" w14:textId="77777777">
      <w:pPr>
        <w:ind w:left="360"/>
        <w:jc w:val="left"/>
        <w:rPr>
          <w:sz w:val="24"/>
          <w:szCs w:val="24"/>
        </w:rPr>
      </w:pPr>
    </w:p>
    <w:p w:rsidR="000B3184" w:rsidP="005B3FD9" w:rsidRDefault="000B3184" w14:paraId="383E62EB" w14:textId="77777777">
      <w:pPr>
        <w:spacing w:line="240" w:lineRule="auto"/>
        <w:jc w:val="left"/>
        <w:rPr>
          <w:rFonts w:ascii="Franklin Gothic Medium" w:hAnsi="Franklin Gothic Medium"/>
          <w:color w:val="17365D"/>
          <w:sz w:val="32"/>
          <w:szCs w:val="32"/>
        </w:rPr>
      </w:pPr>
    </w:p>
    <w:p w:rsidRPr="00DC3806" w:rsidR="004E7BE5" w:rsidP="005B3FD9" w:rsidRDefault="004E7BE5" w14:paraId="3D9163F8" w14:textId="0C79D0F2">
      <w:pPr>
        <w:spacing w:line="240" w:lineRule="auto"/>
        <w:jc w:val="left"/>
        <w:rPr>
          <w:rFonts w:ascii="Franklin Gothic Medium" w:hAnsi="Franklin Gothic Medium"/>
          <w:b/>
          <w:bCs/>
          <w:color w:val="17365D"/>
          <w:sz w:val="32"/>
          <w:szCs w:val="32"/>
        </w:rPr>
      </w:pPr>
      <w:r w:rsidRPr="00DC3806">
        <w:rPr>
          <w:rFonts w:ascii="Franklin Gothic Medium" w:hAnsi="Franklin Gothic Medium"/>
          <w:b/>
          <w:color w:val="17365D"/>
          <w:sz w:val="32"/>
          <w:szCs w:val="32"/>
        </w:rPr>
        <w:t>A.2</w:t>
      </w:r>
      <w:r w:rsidR="00CA7F63">
        <w:rPr>
          <w:rFonts w:ascii="Franklin Gothic Medium" w:hAnsi="Franklin Gothic Medium"/>
          <w:b/>
          <w:color w:val="17365D"/>
          <w:sz w:val="32"/>
          <w:szCs w:val="32"/>
        </w:rPr>
        <w:tab/>
      </w:r>
      <w:r w:rsidR="00CA7F63">
        <w:rPr>
          <w:rFonts w:ascii="Franklin Gothic Medium" w:hAnsi="Franklin Gothic Medium"/>
          <w:b/>
          <w:color w:val="17365D"/>
          <w:sz w:val="32"/>
          <w:szCs w:val="32"/>
        </w:rPr>
        <w:tab/>
      </w:r>
      <w:r w:rsidRPr="00DC3806">
        <w:rPr>
          <w:rFonts w:ascii="Franklin Gothic Medium" w:hAnsi="Franklin Gothic Medium"/>
          <w:b/>
          <w:color w:val="17365D"/>
          <w:sz w:val="32"/>
          <w:szCs w:val="32"/>
        </w:rPr>
        <w:t>Purpose and Use of the Information Collection</w:t>
      </w:r>
      <w:r w:rsidRPr="00DC3806">
        <w:rPr>
          <w:rFonts w:ascii="Franklin Gothic Medium" w:hAnsi="Franklin Gothic Medium"/>
          <w:b/>
          <w:bCs/>
          <w:color w:val="17365D"/>
          <w:sz w:val="32"/>
          <w:szCs w:val="32"/>
        </w:rPr>
        <w:t xml:space="preserve"> </w:t>
      </w:r>
    </w:p>
    <w:p w:rsidR="00875935" w:rsidP="004E7BE5" w:rsidRDefault="00875935" w14:paraId="6BB65CFC" w14:textId="77777777">
      <w:pPr>
        <w:jc w:val="left"/>
        <w:rPr>
          <w:szCs w:val="22"/>
        </w:rPr>
      </w:pPr>
    </w:p>
    <w:p w:rsidRPr="000B5481" w:rsidR="004E7BE5" w:rsidP="004E7BE5" w:rsidRDefault="004E7BE5" w14:paraId="0DB4F28B" w14:textId="576F810B">
      <w:pPr>
        <w:jc w:val="left"/>
        <w:rPr>
          <w:szCs w:val="22"/>
        </w:rPr>
      </w:pPr>
      <w:r w:rsidRPr="000B5481">
        <w:rPr>
          <w:szCs w:val="22"/>
        </w:rPr>
        <w:t xml:space="preserve">The results of this information collection </w:t>
      </w:r>
      <w:proofErr w:type="gramStart"/>
      <w:r w:rsidRPr="000B5481">
        <w:rPr>
          <w:szCs w:val="22"/>
        </w:rPr>
        <w:t>will be used</w:t>
      </w:r>
      <w:proofErr w:type="gramEnd"/>
      <w:r w:rsidRPr="000B5481">
        <w:rPr>
          <w:szCs w:val="22"/>
        </w:rPr>
        <w:t xml:space="preserve"> to:</w:t>
      </w:r>
    </w:p>
    <w:p w:rsidRPr="000B5481" w:rsidR="004E7BE5" w:rsidP="004E7BE5" w:rsidRDefault="004E7BE5" w14:paraId="71C982FA" w14:textId="77777777">
      <w:pPr>
        <w:jc w:val="left"/>
        <w:rPr>
          <w:szCs w:val="22"/>
        </w:rPr>
      </w:pPr>
    </w:p>
    <w:p w:rsidRPr="000B5481" w:rsidR="004E7BE5" w:rsidP="00831CB9" w:rsidRDefault="004E7BE5" w14:paraId="5AB2B1C5" w14:textId="0F4905F1">
      <w:pPr>
        <w:pStyle w:val="ListParagraph"/>
        <w:numPr>
          <w:ilvl w:val="0"/>
          <w:numId w:val="6"/>
        </w:numPr>
        <w:spacing w:line="240" w:lineRule="auto"/>
        <w:contextualSpacing/>
        <w:jc w:val="left"/>
        <w:rPr>
          <w:bCs/>
          <w:szCs w:val="22"/>
        </w:rPr>
      </w:pPr>
      <w:r w:rsidRPr="000B5481">
        <w:rPr>
          <w:bCs/>
          <w:szCs w:val="22"/>
        </w:rPr>
        <w:t xml:space="preserve">Report on </w:t>
      </w:r>
      <w:r w:rsidR="00D2712F">
        <w:rPr>
          <w:bCs/>
          <w:szCs w:val="22"/>
        </w:rPr>
        <w:t>annual</w:t>
      </w:r>
      <w:r w:rsidRPr="005B5308">
        <w:rPr>
          <w:bCs/>
          <w:szCs w:val="22"/>
        </w:rPr>
        <w:t xml:space="preserve"> performance</w:t>
      </w:r>
      <w:r w:rsidRPr="000B5481">
        <w:rPr>
          <w:bCs/>
          <w:szCs w:val="22"/>
        </w:rPr>
        <w:t xml:space="preserve"> </w:t>
      </w:r>
      <w:r w:rsidR="00BD08AC">
        <w:rPr>
          <w:bCs/>
          <w:szCs w:val="22"/>
        </w:rPr>
        <w:t>results</w:t>
      </w:r>
      <w:r w:rsidRPr="000B5481">
        <w:rPr>
          <w:bCs/>
          <w:szCs w:val="22"/>
        </w:rPr>
        <w:t xml:space="preserve"> as required by OMB.</w:t>
      </w:r>
    </w:p>
    <w:p w:rsidRPr="000B5481" w:rsidR="004E7BE5" w:rsidP="00831CB9" w:rsidRDefault="004E7BE5" w14:paraId="790FFB5C" w14:textId="4C2CACE7">
      <w:pPr>
        <w:pStyle w:val="ListParagraph"/>
        <w:numPr>
          <w:ilvl w:val="0"/>
          <w:numId w:val="6"/>
        </w:numPr>
        <w:spacing w:line="240" w:lineRule="auto"/>
        <w:contextualSpacing/>
        <w:jc w:val="left"/>
        <w:rPr>
          <w:bCs/>
          <w:szCs w:val="22"/>
        </w:rPr>
      </w:pPr>
      <w:r w:rsidRPr="000B5481">
        <w:rPr>
          <w:bCs/>
          <w:szCs w:val="22"/>
        </w:rPr>
        <w:t>Provide national benchmarks for use by states and AAAs.</w:t>
      </w:r>
    </w:p>
    <w:p w:rsidRPr="000B5481" w:rsidR="004E7BE5" w:rsidP="00831CB9" w:rsidRDefault="00B93E80" w14:paraId="752AECA2" w14:textId="77777777">
      <w:pPr>
        <w:pStyle w:val="ListParagraph"/>
        <w:numPr>
          <w:ilvl w:val="0"/>
          <w:numId w:val="6"/>
        </w:numPr>
        <w:spacing w:line="240" w:lineRule="auto"/>
        <w:contextualSpacing/>
        <w:jc w:val="left"/>
        <w:rPr>
          <w:bCs/>
          <w:szCs w:val="22"/>
        </w:rPr>
      </w:pPr>
      <w:r>
        <w:rPr>
          <w:bCs/>
          <w:szCs w:val="22"/>
        </w:rPr>
        <w:t>P</w:t>
      </w:r>
      <w:r w:rsidRPr="000B5481" w:rsidR="004E7BE5">
        <w:rPr>
          <w:bCs/>
          <w:szCs w:val="22"/>
        </w:rPr>
        <w:t>rovide secondary data for analysis of various Title III program evaluations.</w:t>
      </w:r>
    </w:p>
    <w:p w:rsidRPr="000B5481" w:rsidR="004E7BE5" w:rsidP="00831CB9" w:rsidRDefault="004E7BE5" w14:paraId="0AC4F891" w14:textId="77777777">
      <w:pPr>
        <w:pStyle w:val="ListParagraph"/>
        <w:numPr>
          <w:ilvl w:val="0"/>
          <w:numId w:val="6"/>
        </w:numPr>
        <w:autoSpaceDE w:val="0"/>
        <w:autoSpaceDN w:val="0"/>
        <w:adjustRightInd w:val="0"/>
        <w:spacing w:line="240" w:lineRule="auto"/>
        <w:contextualSpacing/>
        <w:jc w:val="left"/>
        <w:rPr>
          <w:bCs/>
          <w:szCs w:val="22"/>
        </w:rPr>
      </w:pPr>
      <w:r w:rsidRPr="000B5481">
        <w:rPr>
          <w:bCs/>
          <w:szCs w:val="22"/>
        </w:rPr>
        <w:t xml:space="preserve">Provide performance information for key demographic subgroups, geographical </w:t>
      </w:r>
      <w:proofErr w:type="spellStart"/>
      <w:r w:rsidRPr="000B5481">
        <w:rPr>
          <w:bCs/>
          <w:szCs w:val="22"/>
        </w:rPr>
        <w:t>subregions</w:t>
      </w:r>
      <w:proofErr w:type="spellEnd"/>
      <w:r w:rsidRPr="000B5481">
        <w:rPr>
          <w:bCs/>
          <w:szCs w:val="22"/>
        </w:rPr>
        <w:t xml:space="preserve">, and different types of </w:t>
      </w:r>
      <w:proofErr w:type="gramStart"/>
      <w:r w:rsidRPr="000B5481">
        <w:rPr>
          <w:bCs/>
          <w:szCs w:val="22"/>
        </w:rPr>
        <w:t>AAAs which</w:t>
      </w:r>
      <w:proofErr w:type="gramEnd"/>
      <w:r w:rsidRPr="000B5481">
        <w:rPr>
          <w:bCs/>
          <w:szCs w:val="22"/>
        </w:rPr>
        <w:t xml:space="preserve"> will enable </w:t>
      </w:r>
      <w:r w:rsidR="00C95A80">
        <w:rPr>
          <w:bCs/>
          <w:szCs w:val="22"/>
        </w:rPr>
        <w:t>ACL/</w:t>
      </w:r>
      <w:r w:rsidRPr="000B5481">
        <w:rPr>
          <w:bCs/>
          <w:szCs w:val="22"/>
        </w:rPr>
        <w:t>AoA to identify variations in performance and examine the need for additional targeted technical assistance.</w:t>
      </w:r>
    </w:p>
    <w:p w:rsidRPr="000B5481" w:rsidR="004E7BE5" w:rsidP="004E7BE5" w:rsidRDefault="004E7BE5" w14:paraId="418093F0" w14:textId="77777777">
      <w:pPr>
        <w:jc w:val="left"/>
        <w:rPr>
          <w:b/>
          <w:bCs/>
          <w:szCs w:val="22"/>
        </w:rPr>
      </w:pPr>
    </w:p>
    <w:p w:rsidRPr="000B5481" w:rsidR="004E7BE5" w:rsidP="004E7BE5" w:rsidRDefault="004E7BE5" w14:paraId="7CB8400A" w14:textId="77777777">
      <w:pPr>
        <w:jc w:val="left"/>
        <w:rPr>
          <w:szCs w:val="22"/>
        </w:rPr>
      </w:pPr>
      <w:r w:rsidRPr="000B5481">
        <w:rPr>
          <w:szCs w:val="22"/>
        </w:rPr>
        <w:t xml:space="preserve">The </w:t>
      </w:r>
      <w:proofErr w:type="gramStart"/>
      <w:r w:rsidRPr="000B5481">
        <w:rPr>
          <w:szCs w:val="22"/>
        </w:rPr>
        <w:t xml:space="preserve">data will be used by the </w:t>
      </w:r>
      <w:r w:rsidRPr="004C6C8F" w:rsidR="0006762F">
        <w:t>Administrator of the Admin</w:t>
      </w:r>
      <w:r w:rsidR="00355F16">
        <w:t>istration for Community Living/</w:t>
      </w:r>
      <w:r w:rsidRPr="004C6C8F" w:rsidR="0006762F">
        <w:t>Assistant Secretary for Aging</w:t>
      </w:r>
      <w:proofErr w:type="gramEnd"/>
      <w:r w:rsidRPr="004C6C8F">
        <w:rPr>
          <w:szCs w:val="22"/>
        </w:rPr>
        <w:t xml:space="preserve"> i</w:t>
      </w:r>
      <w:r w:rsidRPr="0006762F">
        <w:rPr>
          <w:szCs w:val="22"/>
        </w:rPr>
        <w:t>n testimony</w:t>
      </w:r>
      <w:r w:rsidRPr="000B5481">
        <w:rPr>
          <w:szCs w:val="22"/>
        </w:rPr>
        <w:t xml:space="preserve"> and presentations; it will be incorporated into the agency’s Annual Report; and it will be used by program staff to identify areas that may need attention at the national level. For example, the </w:t>
      </w:r>
      <w:r w:rsidR="00B4537D">
        <w:rPr>
          <w:szCs w:val="22"/>
        </w:rPr>
        <w:t>ACL</w:t>
      </w:r>
      <w:r w:rsidRPr="000B5481">
        <w:rPr>
          <w:szCs w:val="22"/>
        </w:rPr>
        <w:t xml:space="preserve"> nutritionist is interested in examining nutritional intake information by key population subgroups to identify potential areas for technical assistance initiatives.</w:t>
      </w:r>
    </w:p>
    <w:p w:rsidR="00CF7827" w:rsidP="004E7BE5" w:rsidRDefault="00CF7827" w14:paraId="437DC861" w14:textId="77777777">
      <w:pPr>
        <w:pStyle w:val="Heading1"/>
        <w:keepNext w:val="0"/>
        <w:keepLines/>
        <w:jc w:val="left"/>
        <w:rPr>
          <w:rFonts w:ascii="Franklin Gothic Medium" w:hAnsi="Franklin Gothic Medium"/>
          <w:color w:val="17365D"/>
          <w:szCs w:val="32"/>
        </w:rPr>
      </w:pPr>
      <w:bookmarkStart w:name="_Toc461936334" w:id="3"/>
    </w:p>
    <w:p w:rsidRPr="00CF7827" w:rsidR="004E7BE5" w:rsidP="00CA7F63" w:rsidRDefault="00CA7F63" w14:paraId="4B7CF7BF" w14:textId="7BBEEC1F">
      <w:pPr>
        <w:pStyle w:val="Heading1"/>
        <w:keepNext w:val="0"/>
        <w:keepLines/>
        <w:ind w:left="1440" w:hanging="1440"/>
        <w:jc w:val="left"/>
        <w:rPr>
          <w:rFonts w:ascii="Franklin Gothic Medium" w:hAnsi="Franklin Gothic Medium"/>
          <w:color w:val="17365D"/>
          <w:sz w:val="32"/>
          <w:szCs w:val="32"/>
        </w:rPr>
      </w:pPr>
      <w:r>
        <w:rPr>
          <w:rFonts w:ascii="Franklin Gothic Medium" w:hAnsi="Franklin Gothic Medium"/>
          <w:color w:val="17365D"/>
          <w:sz w:val="32"/>
          <w:szCs w:val="32"/>
        </w:rPr>
        <w:t>A.3</w:t>
      </w:r>
      <w:r>
        <w:rPr>
          <w:rFonts w:ascii="Franklin Gothic Medium" w:hAnsi="Franklin Gothic Medium"/>
          <w:color w:val="17365D"/>
          <w:sz w:val="32"/>
          <w:szCs w:val="32"/>
        </w:rPr>
        <w:tab/>
      </w:r>
      <w:r>
        <w:rPr>
          <w:rFonts w:ascii="Franklin Gothic Medium" w:hAnsi="Franklin Gothic Medium"/>
          <w:color w:val="17365D"/>
          <w:sz w:val="32"/>
          <w:szCs w:val="32"/>
        </w:rPr>
        <w:tab/>
      </w:r>
      <w:r w:rsidRPr="00CF7827" w:rsidR="004E7BE5">
        <w:rPr>
          <w:rFonts w:ascii="Franklin Gothic Medium" w:hAnsi="Franklin Gothic Medium"/>
          <w:color w:val="17365D"/>
          <w:sz w:val="32"/>
          <w:szCs w:val="32"/>
        </w:rPr>
        <w:t xml:space="preserve">Use of Improved Information Technology </w:t>
      </w:r>
      <w:r w:rsidR="002B020F">
        <w:rPr>
          <w:rFonts w:ascii="Franklin Gothic Medium" w:hAnsi="Franklin Gothic Medium"/>
          <w:color w:val="17365D"/>
          <w:sz w:val="32"/>
          <w:szCs w:val="32"/>
        </w:rPr>
        <w:t>&amp;</w:t>
      </w:r>
      <w:r w:rsidRPr="00CF7827" w:rsidR="004E7BE5">
        <w:rPr>
          <w:rFonts w:ascii="Franklin Gothic Medium" w:hAnsi="Franklin Gothic Medium"/>
          <w:color w:val="17365D"/>
          <w:sz w:val="32"/>
          <w:szCs w:val="32"/>
        </w:rPr>
        <w:t xml:space="preserve"> Burden Reduction</w:t>
      </w:r>
      <w:bookmarkEnd w:id="3"/>
    </w:p>
    <w:p w:rsidRPr="00053045" w:rsidR="004E7BE5" w:rsidP="004E7BE5" w:rsidRDefault="004E7BE5" w14:paraId="1439314E" w14:textId="77777777">
      <w:pPr>
        <w:pStyle w:val="SL-FlLftSgl"/>
        <w:tabs>
          <w:tab w:val="left" w:pos="1152"/>
        </w:tabs>
        <w:jc w:val="left"/>
        <w:rPr>
          <w:b/>
          <w:color w:val="000000" w:themeColor="text1"/>
          <w:sz w:val="24"/>
          <w:szCs w:val="24"/>
        </w:rPr>
      </w:pPr>
      <w:r w:rsidRPr="00053045">
        <w:rPr>
          <w:b/>
          <w:color w:val="000000" w:themeColor="text1"/>
          <w:sz w:val="24"/>
          <w:szCs w:val="24"/>
        </w:rPr>
        <w:t>Use of Client Tracking Software to Generate Client Lists for Sampling</w:t>
      </w:r>
    </w:p>
    <w:p w:rsidR="004E7BE5" w:rsidP="004E7BE5" w:rsidRDefault="004E7BE5" w14:paraId="71254BC8" w14:textId="77777777">
      <w:pPr>
        <w:pStyle w:val="SL-FlLftSgl"/>
        <w:tabs>
          <w:tab w:val="left" w:pos="1152"/>
        </w:tabs>
        <w:jc w:val="left"/>
        <w:rPr>
          <w:b/>
        </w:rPr>
      </w:pPr>
    </w:p>
    <w:p w:rsidRPr="000B5481" w:rsidR="004E7BE5" w:rsidP="004E7BE5" w:rsidRDefault="004E7BE5" w14:paraId="3ED93EAD" w14:textId="77777777">
      <w:pPr>
        <w:pStyle w:val="SL-FlLftSgl"/>
        <w:jc w:val="left"/>
        <w:rPr>
          <w:szCs w:val="22"/>
        </w:rPr>
      </w:pPr>
      <w:r w:rsidRPr="000B5481">
        <w:rPr>
          <w:szCs w:val="22"/>
        </w:rPr>
        <w:t xml:space="preserve">The proposed procedures and materials requesting information from the </w:t>
      </w:r>
      <w:r>
        <w:rPr>
          <w:szCs w:val="22"/>
        </w:rPr>
        <w:t>a</w:t>
      </w:r>
      <w:r w:rsidRPr="000B5481">
        <w:rPr>
          <w:szCs w:val="22"/>
        </w:rPr>
        <w:t xml:space="preserve">gencies, as well as the telephone surveys of respondents, </w:t>
      </w:r>
      <w:proofErr w:type="gramStart"/>
      <w:r w:rsidRPr="000B5481">
        <w:rPr>
          <w:szCs w:val="22"/>
        </w:rPr>
        <w:t>have been designed</w:t>
      </w:r>
      <w:proofErr w:type="gramEnd"/>
      <w:r w:rsidRPr="000B5481">
        <w:rPr>
          <w:szCs w:val="22"/>
        </w:rPr>
        <w:t xml:space="preserve"> in a way that minimizes respondent burden. </w:t>
      </w:r>
    </w:p>
    <w:p w:rsidRPr="000B5481" w:rsidR="004E7BE5" w:rsidP="004E7BE5" w:rsidRDefault="004E7BE5" w14:paraId="2F4658FA" w14:textId="77777777">
      <w:pPr>
        <w:pStyle w:val="SL-FlLftSgl"/>
        <w:jc w:val="left"/>
        <w:rPr>
          <w:szCs w:val="22"/>
        </w:rPr>
      </w:pPr>
    </w:p>
    <w:p w:rsidRPr="000B5481" w:rsidR="004E7BE5" w:rsidP="004E7BE5" w:rsidRDefault="004E7BE5" w14:paraId="38D03867" w14:textId="69064E26">
      <w:pPr>
        <w:pStyle w:val="SL-FlLftSgl"/>
        <w:jc w:val="left"/>
        <w:rPr>
          <w:szCs w:val="22"/>
        </w:rPr>
      </w:pPr>
      <w:r w:rsidRPr="000B5481">
        <w:rPr>
          <w:szCs w:val="22"/>
        </w:rPr>
        <w:t xml:space="preserve">To reduce the burden for the Area Agencies on Aging (AAAs), the contractor (Westat) has developed procedures for client sampling that utilize the same client tracking management information systems that are used by States and AAAs to create the required State Program Reports for </w:t>
      </w:r>
      <w:r w:rsidR="00320E35">
        <w:rPr>
          <w:szCs w:val="22"/>
        </w:rPr>
        <w:t>ACL/</w:t>
      </w:r>
      <w:r w:rsidRPr="000B5481">
        <w:rPr>
          <w:szCs w:val="22"/>
        </w:rPr>
        <w:t xml:space="preserve">AoA. Since the implementation of the fourth national survey in 2008, the contractor (Westat) has worked cooperatively with vendors of commercial off-the-shelf client tracking software programs most commonly used by the State and Area Agencies on Aging to develop </w:t>
      </w:r>
      <w:proofErr w:type="gramStart"/>
      <w:r w:rsidRPr="000B5481">
        <w:rPr>
          <w:szCs w:val="22"/>
        </w:rPr>
        <w:t>step-by-step</w:t>
      </w:r>
      <w:proofErr w:type="gramEnd"/>
      <w:r w:rsidRPr="000B5481">
        <w:rPr>
          <w:szCs w:val="22"/>
        </w:rPr>
        <w:t xml:space="preserve"> instructions for the AAAs to use to generate client lists by service to use for a sample frame. It </w:t>
      </w:r>
      <w:proofErr w:type="gramStart"/>
      <w:r w:rsidRPr="000B5481">
        <w:rPr>
          <w:szCs w:val="22"/>
        </w:rPr>
        <w:t>is estimated</w:t>
      </w:r>
      <w:proofErr w:type="gramEnd"/>
      <w:r w:rsidRPr="000B5481">
        <w:rPr>
          <w:szCs w:val="22"/>
        </w:rPr>
        <w:t xml:space="preserve"> that over 95% of the AAAs now have this technological capability and are able to follow the instructions to produce their client lists by service. We will provide similar instructions for the </w:t>
      </w:r>
      <w:r w:rsidR="004251B5">
        <w:rPr>
          <w:szCs w:val="22"/>
        </w:rPr>
        <w:t>1</w:t>
      </w:r>
      <w:r w:rsidR="000B3184">
        <w:rPr>
          <w:szCs w:val="22"/>
        </w:rPr>
        <w:t>5</w:t>
      </w:r>
      <w:r w:rsidR="00D95557">
        <w:rPr>
          <w:szCs w:val="22"/>
        </w:rPr>
        <w:t>th</w:t>
      </w:r>
      <w:r w:rsidR="001D1354">
        <w:rPr>
          <w:szCs w:val="22"/>
        </w:rPr>
        <w:t xml:space="preserve"> </w:t>
      </w:r>
      <w:r w:rsidRPr="000B5481" w:rsidR="001D1354">
        <w:rPr>
          <w:szCs w:val="22"/>
        </w:rPr>
        <w:t>survey</w:t>
      </w:r>
      <w:r w:rsidRPr="000B5481">
        <w:rPr>
          <w:szCs w:val="22"/>
        </w:rPr>
        <w:t xml:space="preserve">. </w:t>
      </w:r>
      <w:r>
        <w:rPr>
          <w:szCs w:val="22"/>
        </w:rPr>
        <w:t xml:space="preserve">Appendix B contains an example of instructions created for </w:t>
      </w:r>
      <w:proofErr w:type="gramStart"/>
      <w:r>
        <w:rPr>
          <w:szCs w:val="22"/>
        </w:rPr>
        <w:t>agencies which</w:t>
      </w:r>
      <w:proofErr w:type="gramEnd"/>
      <w:r>
        <w:rPr>
          <w:szCs w:val="22"/>
        </w:rPr>
        <w:t xml:space="preserve"> use a commercial client tracking software system known as “</w:t>
      </w:r>
      <w:proofErr w:type="spellStart"/>
      <w:r w:rsidR="00153164">
        <w:rPr>
          <w:szCs w:val="22"/>
        </w:rPr>
        <w:t>PeerPlace</w:t>
      </w:r>
      <w:proofErr w:type="spellEnd"/>
      <w:r>
        <w:rPr>
          <w:szCs w:val="22"/>
        </w:rPr>
        <w:t xml:space="preserve">.” </w:t>
      </w:r>
    </w:p>
    <w:p w:rsidRPr="000B5481" w:rsidR="004E7BE5" w:rsidP="004E7BE5" w:rsidRDefault="004E7BE5" w14:paraId="27108922" w14:textId="77777777">
      <w:pPr>
        <w:pStyle w:val="SL-FlLftSgl"/>
        <w:jc w:val="left"/>
        <w:rPr>
          <w:szCs w:val="22"/>
        </w:rPr>
      </w:pPr>
    </w:p>
    <w:p w:rsidRPr="000B5481" w:rsidR="004E7BE5" w:rsidP="004E7BE5" w:rsidRDefault="004E7BE5" w14:paraId="40699C4B" w14:textId="77777777">
      <w:pPr>
        <w:pStyle w:val="SL-FlLftSgl"/>
        <w:jc w:val="left"/>
        <w:rPr>
          <w:szCs w:val="22"/>
        </w:rPr>
      </w:pPr>
      <w:r w:rsidRPr="000B5481">
        <w:rPr>
          <w:szCs w:val="22"/>
        </w:rPr>
        <w:t xml:space="preserve">In specific states that have their own proprietary client tracking software, the contractor (Westat) has worked directly with an Information Technology Specialist at the State-level to generate electronic client </w:t>
      </w:r>
      <w:r w:rsidRPr="000B5481">
        <w:rPr>
          <w:szCs w:val="22"/>
        </w:rPr>
        <w:lastRenderedPageBreak/>
        <w:t xml:space="preserve">lists for all of the AAAs selected for the national survey. This further reduces the burden for AAAs in states that have their own proprietary software. </w:t>
      </w:r>
    </w:p>
    <w:p w:rsidR="004E7BE5" w:rsidP="004E7BE5" w:rsidRDefault="004E7BE5" w14:paraId="2E9DB2E7" w14:textId="77777777">
      <w:pPr>
        <w:pStyle w:val="SL-FlLftSgl"/>
        <w:jc w:val="left"/>
      </w:pPr>
    </w:p>
    <w:p w:rsidR="004E7BE5" w:rsidP="004E7BE5" w:rsidRDefault="004E7BE5" w14:paraId="72E51098" w14:textId="77777777">
      <w:pPr>
        <w:pStyle w:val="SL-FlLftSgl"/>
        <w:jc w:val="left"/>
      </w:pPr>
    </w:p>
    <w:p w:rsidRPr="00053045" w:rsidR="004E7BE5" w:rsidP="00CA7F63" w:rsidRDefault="004E7BE5" w14:paraId="58BA9EC3" w14:textId="5D655827">
      <w:pPr>
        <w:spacing w:line="240" w:lineRule="auto"/>
        <w:jc w:val="left"/>
        <w:rPr>
          <w:b/>
          <w:bCs/>
          <w:color w:val="000000" w:themeColor="text1"/>
          <w:sz w:val="24"/>
          <w:szCs w:val="24"/>
        </w:rPr>
      </w:pPr>
      <w:r w:rsidRPr="00053045">
        <w:rPr>
          <w:b/>
          <w:bCs/>
          <w:color w:val="000000" w:themeColor="text1"/>
          <w:sz w:val="24"/>
          <w:szCs w:val="24"/>
        </w:rPr>
        <w:t>Use of Survey Web Site</w:t>
      </w:r>
    </w:p>
    <w:p w:rsidR="004E7BE5" w:rsidP="004E7BE5" w:rsidRDefault="004E7BE5" w14:paraId="0A698F50" w14:textId="77777777">
      <w:pPr>
        <w:tabs>
          <w:tab w:val="left" w:pos="1152"/>
        </w:tabs>
        <w:autoSpaceDE w:val="0"/>
        <w:autoSpaceDN w:val="0"/>
        <w:adjustRightInd w:val="0"/>
        <w:spacing w:line="240" w:lineRule="auto"/>
        <w:jc w:val="left"/>
        <w:rPr>
          <w:rFonts w:ascii="Franklin Gothic Medium" w:hAnsi="Franklin Gothic Medium"/>
          <w:b/>
          <w:bCs/>
          <w:color w:val="17365D"/>
          <w:sz w:val="24"/>
          <w:szCs w:val="24"/>
        </w:rPr>
      </w:pPr>
    </w:p>
    <w:p w:rsidRPr="000B5481" w:rsidR="004E7BE5" w:rsidP="004E7BE5" w:rsidRDefault="004E7BE5" w14:paraId="0EAB95D4" w14:textId="1AAC6184">
      <w:pPr>
        <w:pStyle w:val="SL-FlLftSgl"/>
        <w:jc w:val="left"/>
        <w:rPr>
          <w:szCs w:val="22"/>
        </w:rPr>
      </w:pPr>
      <w:r w:rsidRPr="000B5481">
        <w:rPr>
          <w:rFonts w:ascii="TimesNewRomanPSMT" w:hAnsi="TimesNewRomanPSMT" w:cs="TimesNewRomanPSMT"/>
          <w:szCs w:val="22"/>
        </w:rPr>
        <w:t xml:space="preserve">A National Survey web site application </w:t>
      </w:r>
      <w:hyperlink w:history="1" r:id="rId10">
        <w:r w:rsidRPr="006038CB" w:rsidR="00112F9E">
          <w:rPr>
            <w:rStyle w:val="Hyperlink"/>
            <w:rFonts w:ascii="TimesNewRomanPSMT" w:hAnsi="TimesNewRomanPSMT" w:cs="TimesNewRomanPSMT"/>
            <w:szCs w:val="22"/>
          </w:rPr>
          <w:t>https://aoasurvey.org</w:t>
        </w:r>
      </w:hyperlink>
      <w:r w:rsidR="006038CB">
        <w:rPr>
          <w:rFonts w:ascii="TimesNewRomanPSMT" w:hAnsi="TimesNewRomanPSMT" w:cs="TimesNewRomanPSMT"/>
          <w:szCs w:val="22"/>
        </w:rPr>
        <w:t xml:space="preserve"> </w:t>
      </w:r>
      <w:proofErr w:type="gramStart"/>
      <w:r w:rsidR="006038CB">
        <w:rPr>
          <w:rFonts w:ascii="TimesNewRomanPSMT" w:hAnsi="TimesNewRomanPSMT" w:cs="TimesNewRomanPSMT"/>
          <w:szCs w:val="22"/>
        </w:rPr>
        <w:t>h</w:t>
      </w:r>
      <w:r w:rsidRPr="000B5481">
        <w:rPr>
          <w:rFonts w:ascii="TimesNewRomanPSMT" w:hAnsi="TimesNewRomanPSMT" w:cs="TimesNewRomanPSMT"/>
          <w:szCs w:val="22"/>
        </w:rPr>
        <w:t>as been developed</w:t>
      </w:r>
      <w:proofErr w:type="gramEnd"/>
      <w:r w:rsidRPr="000B5481">
        <w:rPr>
          <w:rFonts w:ascii="TimesNewRomanPSMT" w:hAnsi="TimesNewRomanPSMT" w:cs="TimesNewRomanPSMT"/>
          <w:szCs w:val="22"/>
        </w:rPr>
        <w:t xml:space="preserve"> to support and assist with data collection. F</w:t>
      </w:r>
      <w:r w:rsidRPr="000B5481">
        <w:rPr>
          <w:szCs w:val="22"/>
        </w:rPr>
        <w:t xml:space="preserve">or the </w:t>
      </w:r>
      <w:r w:rsidR="00D95557">
        <w:rPr>
          <w:szCs w:val="22"/>
        </w:rPr>
        <w:t>5th</w:t>
      </w:r>
      <w:r w:rsidR="00EE5169">
        <w:rPr>
          <w:szCs w:val="22"/>
        </w:rPr>
        <w:t>-</w:t>
      </w:r>
      <w:r w:rsidR="00D95557">
        <w:rPr>
          <w:szCs w:val="22"/>
        </w:rPr>
        <w:t>1</w:t>
      </w:r>
      <w:r w:rsidR="000B3184">
        <w:rPr>
          <w:szCs w:val="22"/>
        </w:rPr>
        <w:t>4</w:t>
      </w:r>
      <w:r w:rsidR="00D95557">
        <w:rPr>
          <w:szCs w:val="22"/>
        </w:rPr>
        <w:t>th</w:t>
      </w:r>
      <w:r w:rsidRPr="000B5481">
        <w:rPr>
          <w:szCs w:val="22"/>
        </w:rPr>
        <w:t xml:space="preserve"> survey</w:t>
      </w:r>
      <w:r w:rsidR="00EE5169">
        <w:rPr>
          <w:szCs w:val="22"/>
        </w:rPr>
        <w:t>s</w:t>
      </w:r>
      <w:r w:rsidRPr="000B5481">
        <w:rPr>
          <w:szCs w:val="22"/>
        </w:rPr>
        <w:t xml:space="preserve">, the contractor (Westat) designed and utilized a secure </w:t>
      </w:r>
      <w:proofErr w:type="gramStart"/>
      <w:r w:rsidRPr="000B5481">
        <w:rPr>
          <w:szCs w:val="22"/>
        </w:rPr>
        <w:t>website which</w:t>
      </w:r>
      <w:proofErr w:type="gramEnd"/>
      <w:r w:rsidRPr="000B5481">
        <w:rPr>
          <w:szCs w:val="22"/>
        </w:rPr>
        <w:t xml:space="preserve"> the AAAs used to upload their lists of selected clients. That website </w:t>
      </w:r>
      <w:proofErr w:type="gramStart"/>
      <w:r w:rsidRPr="000B5481">
        <w:rPr>
          <w:szCs w:val="22"/>
        </w:rPr>
        <w:t xml:space="preserve">will be updated and further refined for the </w:t>
      </w:r>
      <w:r w:rsidR="000B3184">
        <w:rPr>
          <w:szCs w:val="22"/>
        </w:rPr>
        <w:t>15</w:t>
      </w:r>
      <w:r w:rsidR="004251B5">
        <w:rPr>
          <w:szCs w:val="22"/>
        </w:rPr>
        <w:t>th</w:t>
      </w:r>
      <w:r w:rsidR="00BD3FB1">
        <w:rPr>
          <w:szCs w:val="22"/>
        </w:rPr>
        <w:t xml:space="preserve"> </w:t>
      </w:r>
      <w:r w:rsidRPr="000B5481">
        <w:rPr>
          <w:szCs w:val="22"/>
        </w:rPr>
        <w:t>national survey</w:t>
      </w:r>
      <w:proofErr w:type="gramEnd"/>
      <w:r w:rsidRPr="000B5481">
        <w:rPr>
          <w:szCs w:val="22"/>
        </w:rPr>
        <w:t xml:space="preserve">. </w:t>
      </w:r>
    </w:p>
    <w:p w:rsidRPr="000B5481" w:rsidR="004E7BE5" w:rsidP="004E7BE5" w:rsidRDefault="004E7BE5" w14:paraId="679FAE78" w14:textId="77777777">
      <w:pPr>
        <w:autoSpaceDE w:val="0"/>
        <w:autoSpaceDN w:val="0"/>
        <w:adjustRightInd w:val="0"/>
        <w:jc w:val="left"/>
        <w:rPr>
          <w:rFonts w:ascii="TimesNewRomanPSMT" w:hAnsi="TimesNewRomanPSMT" w:cs="TimesNewRomanPSMT"/>
          <w:szCs w:val="22"/>
        </w:rPr>
      </w:pPr>
    </w:p>
    <w:p w:rsidRPr="000B5481" w:rsidR="004E7BE5" w:rsidP="004E7BE5" w:rsidRDefault="004E7BE5" w14:paraId="73F5243B" w14:textId="77777777">
      <w:pPr>
        <w:autoSpaceDE w:val="0"/>
        <w:autoSpaceDN w:val="0"/>
        <w:adjustRightInd w:val="0"/>
        <w:jc w:val="left"/>
        <w:rPr>
          <w:szCs w:val="22"/>
        </w:rPr>
      </w:pPr>
      <w:r w:rsidRPr="000B5481">
        <w:rPr>
          <w:rFonts w:ascii="TimesNewRomanPSMT" w:hAnsi="TimesNewRomanPSMT" w:cs="TimesNewRomanPSMT"/>
          <w:szCs w:val="22"/>
        </w:rPr>
        <w:t xml:space="preserve">The web site </w:t>
      </w:r>
      <w:proofErr w:type="gramStart"/>
      <w:r w:rsidRPr="000B5481">
        <w:rPr>
          <w:rFonts w:ascii="TimesNewRomanPSMT" w:hAnsi="TimesNewRomanPSMT" w:cs="TimesNewRomanPSMT"/>
          <w:szCs w:val="22"/>
        </w:rPr>
        <w:t>is divided</w:t>
      </w:r>
      <w:proofErr w:type="gramEnd"/>
      <w:r w:rsidRPr="000B5481">
        <w:rPr>
          <w:rFonts w:ascii="TimesNewRomanPSMT" w:hAnsi="TimesNewRomanPSMT" w:cs="TimesNewRomanPSMT"/>
          <w:szCs w:val="22"/>
        </w:rPr>
        <w:t xml:space="preserve"> into two major sections: the public and the restricted-access sections. </w:t>
      </w:r>
      <w:r w:rsidRPr="000B5481">
        <w:rPr>
          <w:szCs w:val="22"/>
        </w:rPr>
        <w:t xml:space="preserve">The public section is accessible to the </w:t>
      </w:r>
      <w:proofErr w:type="gramStart"/>
      <w:r w:rsidRPr="000B5481">
        <w:rPr>
          <w:szCs w:val="22"/>
        </w:rPr>
        <w:t>general public</w:t>
      </w:r>
      <w:proofErr w:type="gramEnd"/>
      <w:r w:rsidRPr="000B5481">
        <w:rPr>
          <w:szCs w:val="22"/>
        </w:rPr>
        <w:t>, without restrictions. It includes background information, frequently asked questions,</w:t>
      </w:r>
      <w:r w:rsidR="001D743B">
        <w:rPr>
          <w:szCs w:val="22"/>
        </w:rPr>
        <w:t xml:space="preserve"> and links to</w:t>
      </w:r>
      <w:r w:rsidRPr="000B5481">
        <w:rPr>
          <w:szCs w:val="22"/>
        </w:rPr>
        <w:t xml:space="preserve"> results of previous AoA National Surveys</w:t>
      </w:r>
      <w:r w:rsidR="001D743B">
        <w:rPr>
          <w:szCs w:val="22"/>
        </w:rPr>
        <w:t>.</w:t>
      </w:r>
      <w:r w:rsidRPr="000B5481">
        <w:rPr>
          <w:szCs w:val="22"/>
        </w:rPr>
        <w:t xml:space="preserve"> The purpose of th</w:t>
      </w:r>
      <w:r w:rsidR="00EE5169">
        <w:rPr>
          <w:szCs w:val="22"/>
        </w:rPr>
        <w:t>e public</w:t>
      </w:r>
      <w:r w:rsidRPr="000B5481">
        <w:rPr>
          <w:szCs w:val="22"/>
        </w:rPr>
        <w:t xml:space="preserve"> section is to provide State and Area Agencies on Aging, professionals in the field of aging, and service recipients and their families with information about the data collection effort and uses of the data.</w:t>
      </w:r>
    </w:p>
    <w:p w:rsidRPr="000B5481" w:rsidR="004E7BE5" w:rsidP="004E7BE5" w:rsidRDefault="004E7BE5" w14:paraId="1E7BE831" w14:textId="77777777">
      <w:pPr>
        <w:autoSpaceDE w:val="0"/>
        <w:autoSpaceDN w:val="0"/>
        <w:adjustRightInd w:val="0"/>
        <w:jc w:val="left"/>
        <w:rPr>
          <w:color w:val="0000FF"/>
          <w:szCs w:val="22"/>
        </w:rPr>
      </w:pPr>
    </w:p>
    <w:p w:rsidRPr="000B5481" w:rsidR="004E7BE5" w:rsidP="004E7BE5" w:rsidRDefault="004E7BE5" w14:paraId="128763EA" w14:textId="7ADBD602">
      <w:pPr>
        <w:autoSpaceDE w:val="0"/>
        <w:autoSpaceDN w:val="0"/>
        <w:adjustRightInd w:val="0"/>
        <w:jc w:val="left"/>
        <w:rPr>
          <w:szCs w:val="22"/>
        </w:rPr>
      </w:pPr>
      <w:r w:rsidRPr="000B5481">
        <w:rPr>
          <w:szCs w:val="22"/>
        </w:rPr>
        <w:t>The restricted-access section of the web site houses an</w:t>
      </w:r>
      <w:r w:rsidRPr="000B5481">
        <w:rPr>
          <w:bCs/>
          <w:szCs w:val="22"/>
        </w:rPr>
        <w:t xml:space="preserve"> electronic records receipt system</w:t>
      </w:r>
      <w:r w:rsidRPr="000B5481">
        <w:rPr>
          <w:b/>
          <w:bCs/>
          <w:szCs w:val="22"/>
        </w:rPr>
        <w:t xml:space="preserve">. </w:t>
      </w:r>
      <w:r w:rsidRPr="000B5481">
        <w:rPr>
          <w:szCs w:val="22"/>
        </w:rPr>
        <w:t xml:space="preserve">Area Agencies on Aging have the option of submitting </w:t>
      </w:r>
      <w:r w:rsidR="001B412E">
        <w:rPr>
          <w:szCs w:val="22"/>
        </w:rPr>
        <w:t>private personally identifiable</w:t>
      </w:r>
      <w:r w:rsidRPr="000B5481">
        <w:rPr>
          <w:szCs w:val="22"/>
        </w:rPr>
        <w:t xml:space="preserve"> client data to Westat via electronic files using the project web site. </w:t>
      </w:r>
      <w:r w:rsidRPr="00312AE4">
        <w:rPr>
          <w:szCs w:val="22"/>
        </w:rPr>
        <w:t>The web site </w:t>
      </w:r>
      <w:proofErr w:type="gramStart"/>
      <w:r w:rsidRPr="00312AE4">
        <w:rPr>
          <w:szCs w:val="22"/>
        </w:rPr>
        <w:t>was written</w:t>
      </w:r>
      <w:proofErr w:type="gramEnd"/>
      <w:r w:rsidRPr="00312AE4">
        <w:rPr>
          <w:szCs w:val="22"/>
        </w:rPr>
        <w:t xml:space="preserve"> in Active Server Pages (ASP), HTML, and JavaScript and</w:t>
      </w:r>
      <w:r w:rsidRPr="00312AE4" w:rsidR="00E56258">
        <w:rPr>
          <w:szCs w:val="22"/>
        </w:rPr>
        <w:t> uses</w:t>
      </w:r>
      <w:r w:rsidRPr="00312AE4">
        <w:rPr>
          <w:szCs w:val="22"/>
        </w:rPr>
        <w:t xml:space="preserve"> the industry-standard </w:t>
      </w:r>
      <w:r w:rsidRPr="00312AE4" w:rsidR="009B042B">
        <w:rPr>
          <w:szCs w:val="22"/>
        </w:rPr>
        <w:t>TLS</w:t>
      </w:r>
      <w:r w:rsidRPr="00312AE4">
        <w:rPr>
          <w:szCs w:val="22"/>
        </w:rPr>
        <w:t xml:space="preserve"> (</w:t>
      </w:r>
      <w:r w:rsidRPr="00312AE4" w:rsidR="009B042B">
        <w:rPr>
          <w:szCs w:val="22"/>
        </w:rPr>
        <w:t>Transport Layer Security</w:t>
      </w:r>
      <w:r w:rsidRPr="00312AE4">
        <w:rPr>
          <w:szCs w:val="22"/>
        </w:rPr>
        <w:t xml:space="preserve">) </w:t>
      </w:r>
      <w:r w:rsidRPr="00312AE4" w:rsidR="009B042B">
        <w:rPr>
          <w:szCs w:val="22"/>
        </w:rPr>
        <w:t xml:space="preserve">1.1/2 </w:t>
      </w:r>
      <w:r w:rsidRPr="00312AE4">
        <w:rPr>
          <w:szCs w:val="22"/>
        </w:rPr>
        <w:t>encryption for secure data submissions.</w:t>
      </w:r>
      <w:r w:rsidRPr="00312AE4" w:rsidR="00312AE4">
        <w:rPr>
          <w:szCs w:val="22"/>
        </w:rPr>
        <w:t xml:space="preserve"> </w:t>
      </w:r>
      <w:proofErr w:type="gramStart"/>
      <w:r w:rsidRPr="00312AE4" w:rsidR="00312AE4">
        <w:rPr>
          <w:szCs w:val="22"/>
        </w:rPr>
        <w:t>To further enhance</w:t>
      </w:r>
      <w:proofErr w:type="gramEnd"/>
      <w:r w:rsidRPr="00312AE4" w:rsidR="00312AE4">
        <w:rPr>
          <w:szCs w:val="22"/>
        </w:rPr>
        <w:t xml:space="preserve"> security, it</w:t>
      </w:r>
      <w:r w:rsidR="00312AE4">
        <w:rPr>
          <w:szCs w:val="22"/>
        </w:rPr>
        <w:t xml:space="preserve"> will be upgraded to a </w:t>
      </w:r>
      <w:r w:rsidR="00D2712F">
        <w:rPr>
          <w:szCs w:val="22"/>
        </w:rPr>
        <w:t>newer platform</w:t>
      </w:r>
      <w:r w:rsidR="00312AE4">
        <w:rPr>
          <w:szCs w:val="22"/>
        </w:rPr>
        <w:t xml:space="preserve"> prior to the start of the 15</w:t>
      </w:r>
      <w:r w:rsidRPr="00312AE4" w:rsidR="00312AE4">
        <w:rPr>
          <w:szCs w:val="22"/>
          <w:vertAlign w:val="superscript"/>
        </w:rPr>
        <w:t>th</w:t>
      </w:r>
      <w:r w:rsidR="00312AE4">
        <w:rPr>
          <w:szCs w:val="22"/>
        </w:rPr>
        <w:t xml:space="preserve"> national survey.</w:t>
      </w:r>
      <w:r w:rsidRPr="009B042B">
        <w:rPr>
          <w:szCs w:val="22"/>
        </w:rPr>
        <w:t xml:space="preserve"> Agencies</w:t>
      </w:r>
      <w:r w:rsidRPr="000B5481">
        <w:rPr>
          <w:szCs w:val="22"/>
        </w:rPr>
        <w:t xml:space="preserve"> choosing this option will receive usernames and passwords that enable their staff to sign on to the file upload utility on the web site. This system supports files in a large variety of file formats. Each agency's data file </w:t>
      </w:r>
      <w:proofErr w:type="gramStart"/>
      <w:r w:rsidRPr="000B5481">
        <w:rPr>
          <w:szCs w:val="22"/>
        </w:rPr>
        <w:t>will be processed</w:t>
      </w:r>
      <w:proofErr w:type="gramEnd"/>
      <w:r w:rsidRPr="000B5481">
        <w:rPr>
          <w:szCs w:val="22"/>
        </w:rPr>
        <w:t xml:space="preserve"> according to its structure and content. </w:t>
      </w:r>
    </w:p>
    <w:p w:rsidRPr="000B5481" w:rsidR="004E7BE5" w:rsidP="004E7BE5" w:rsidRDefault="004E7BE5" w14:paraId="6F10BFC0" w14:textId="77777777">
      <w:pPr>
        <w:autoSpaceDE w:val="0"/>
        <w:autoSpaceDN w:val="0"/>
        <w:adjustRightInd w:val="0"/>
        <w:jc w:val="left"/>
        <w:rPr>
          <w:szCs w:val="22"/>
        </w:rPr>
      </w:pPr>
      <w:r w:rsidRPr="000B5481">
        <w:rPr>
          <w:szCs w:val="22"/>
        </w:rPr>
        <w:t>Westat programming staff will manually map and convert the data items in each agency’s file to create standardized records for further processing. As each file is received, this s</w:t>
      </w:r>
      <w:r w:rsidR="001D1354">
        <w:rPr>
          <w:szCs w:val="22"/>
        </w:rPr>
        <w:t xml:space="preserve">ystem will log the source </w:t>
      </w:r>
      <w:proofErr w:type="gramStart"/>
      <w:r w:rsidR="001D1354">
        <w:rPr>
          <w:szCs w:val="22"/>
        </w:rPr>
        <w:t>agency</w:t>
      </w:r>
      <w:r w:rsidR="00B80765">
        <w:rPr>
          <w:szCs w:val="22"/>
        </w:rPr>
        <w:t>,</w:t>
      </w:r>
      <w:proofErr w:type="gramEnd"/>
      <w:r w:rsidRPr="000B5481">
        <w:rPr>
          <w:szCs w:val="22"/>
        </w:rPr>
        <w:t xml:space="preserve"> date received, and file type.  </w:t>
      </w:r>
    </w:p>
    <w:p w:rsidRPr="000B5481" w:rsidR="004E7BE5" w:rsidP="004E7BE5" w:rsidRDefault="004E7BE5" w14:paraId="70992E58" w14:textId="77777777">
      <w:pPr>
        <w:autoSpaceDE w:val="0"/>
        <w:autoSpaceDN w:val="0"/>
        <w:adjustRightInd w:val="0"/>
        <w:spacing w:line="240" w:lineRule="auto"/>
        <w:jc w:val="left"/>
        <w:rPr>
          <w:rFonts w:ascii="TimesNewRomanPSMT" w:hAnsi="TimesNewRomanPSMT" w:cs="TimesNewRomanPSMT"/>
          <w:color w:val="0000FF"/>
          <w:szCs w:val="22"/>
        </w:rPr>
      </w:pPr>
    </w:p>
    <w:p w:rsidR="004E7BE5" w:rsidP="004E7BE5" w:rsidRDefault="004E7BE5" w14:paraId="3F93E114" w14:textId="77777777">
      <w:pPr>
        <w:tabs>
          <w:tab w:val="left" w:pos="3850"/>
        </w:tabs>
        <w:autoSpaceDE w:val="0"/>
        <w:autoSpaceDN w:val="0"/>
        <w:adjustRightInd w:val="0"/>
        <w:spacing w:line="240" w:lineRule="auto"/>
        <w:jc w:val="left"/>
        <w:rPr>
          <w:szCs w:val="22"/>
        </w:rPr>
      </w:pPr>
      <w:r w:rsidRPr="000B5481">
        <w:rPr>
          <w:szCs w:val="22"/>
        </w:rPr>
        <w:t xml:space="preserve">Only agencies that </w:t>
      </w:r>
      <w:proofErr w:type="gramStart"/>
      <w:r w:rsidRPr="000B5481">
        <w:rPr>
          <w:szCs w:val="22"/>
        </w:rPr>
        <w:t>have been selected</w:t>
      </w:r>
      <w:proofErr w:type="gramEnd"/>
      <w:r w:rsidRPr="000B5481">
        <w:rPr>
          <w:szCs w:val="22"/>
        </w:rPr>
        <w:t xml:space="preserve"> to participate in the survey will have access to this area. Unique user IDs and passwords </w:t>
      </w:r>
      <w:proofErr w:type="gramStart"/>
      <w:r w:rsidRPr="000B5481">
        <w:rPr>
          <w:szCs w:val="22"/>
        </w:rPr>
        <w:t>will be assigned</w:t>
      </w:r>
      <w:proofErr w:type="gramEnd"/>
      <w:r w:rsidRPr="000B5481">
        <w:rPr>
          <w:szCs w:val="22"/>
        </w:rPr>
        <w:t xml:space="preserve"> to each AAA at the time they are selected into the sample. The ID and password </w:t>
      </w:r>
      <w:proofErr w:type="gramStart"/>
      <w:r w:rsidRPr="000B5481">
        <w:rPr>
          <w:szCs w:val="22"/>
        </w:rPr>
        <w:t>will be provided</w:t>
      </w:r>
      <w:proofErr w:type="gramEnd"/>
      <w:r w:rsidRPr="000B5481">
        <w:rPr>
          <w:szCs w:val="22"/>
        </w:rPr>
        <w:t xml:space="preserve"> with other survey materials to the AAA.</w:t>
      </w:r>
    </w:p>
    <w:p w:rsidR="004E7BE5" w:rsidP="004E7BE5" w:rsidRDefault="004E7BE5" w14:paraId="272E8087" w14:textId="77777777">
      <w:pPr>
        <w:tabs>
          <w:tab w:val="left" w:pos="3850"/>
        </w:tabs>
        <w:autoSpaceDE w:val="0"/>
        <w:autoSpaceDN w:val="0"/>
        <w:adjustRightInd w:val="0"/>
        <w:spacing w:line="240" w:lineRule="auto"/>
        <w:jc w:val="left"/>
        <w:rPr>
          <w:szCs w:val="22"/>
        </w:rPr>
      </w:pPr>
    </w:p>
    <w:p w:rsidRPr="00CE505B" w:rsidR="004E7BE5" w:rsidP="004E7BE5" w:rsidRDefault="004E7BE5" w14:paraId="3E0580BA" w14:textId="77777777">
      <w:pPr>
        <w:tabs>
          <w:tab w:val="left" w:pos="3850"/>
        </w:tabs>
        <w:autoSpaceDE w:val="0"/>
        <w:autoSpaceDN w:val="0"/>
        <w:adjustRightInd w:val="0"/>
        <w:spacing w:line="240" w:lineRule="auto"/>
        <w:jc w:val="left"/>
        <w:rPr>
          <w:sz w:val="24"/>
          <w:szCs w:val="24"/>
        </w:rPr>
      </w:pPr>
      <w:r>
        <w:rPr>
          <w:szCs w:val="22"/>
        </w:rPr>
        <w:t xml:space="preserve">Appendix C contains for instructions for AAA restricted access to </w:t>
      </w:r>
      <w:proofErr w:type="gramStart"/>
      <w:r>
        <w:rPr>
          <w:szCs w:val="22"/>
        </w:rPr>
        <w:t>the survey website and how to submit data</w:t>
      </w:r>
      <w:proofErr w:type="gramEnd"/>
      <w:r>
        <w:rPr>
          <w:szCs w:val="22"/>
        </w:rPr>
        <w:t>.</w:t>
      </w:r>
    </w:p>
    <w:p w:rsidRPr="00CE505B" w:rsidR="004E7BE5" w:rsidP="004E7BE5" w:rsidRDefault="004E7BE5" w14:paraId="7428368F" w14:textId="77777777">
      <w:pPr>
        <w:tabs>
          <w:tab w:val="left" w:pos="3850"/>
        </w:tabs>
        <w:autoSpaceDE w:val="0"/>
        <w:autoSpaceDN w:val="0"/>
        <w:adjustRightInd w:val="0"/>
        <w:spacing w:line="240" w:lineRule="auto"/>
        <w:jc w:val="left"/>
        <w:rPr>
          <w:sz w:val="24"/>
          <w:szCs w:val="24"/>
        </w:rPr>
      </w:pPr>
    </w:p>
    <w:p w:rsidRPr="00CE505B" w:rsidR="004E7BE5" w:rsidP="004E7BE5" w:rsidRDefault="004E7BE5" w14:paraId="45C207BB" w14:textId="77777777">
      <w:pPr>
        <w:tabs>
          <w:tab w:val="left" w:pos="3850"/>
        </w:tabs>
        <w:autoSpaceDE w:val="0"/>
        <w:autoSpaceDN w:val="0"/>
        <w:adjustRightInd w:val="0"/>
        <w:spacing w:line="240" w:lineRule="auto"/>
        <w:jc w:val="left"/>
        <w:rPr>
          <w:sz w:val="24"/>
          <w:szCs w:val="24"/>
        </w:rPr>
      </w:pPr>
    </w:p>
    <w:p w:rsidRPr="00053045" w:rsidR="004E7BE5" w:rsidP="004E7BE5" w:rsidRDefault="004E7BE5" w14:paraId="3FAF6D78" w14:textId="77777777">
      <w:pPr>
        <w:tabs>
          <w:tab w:val="left" w:pos="1152"/>
        </w:tabs>
        <w:autoSpaceDE w:val="0"/>
        <w:autoSpaceDN w:val="0"/>
        <w:adjustRightInd w:val="0"/>
        <w:spacing w:line="240" w:lineRule="auto"/>
        <w:jc w:val="left"/>
        <w:rPr>
          <w:b/>
          <w:bCs/>
          <w:color w:val="000000" w:themeColor="text1"/>
          <w:sz w:val="24"/>
          <w:szCs w:val="24"/>
        </w:rPr>
      </w:pPr>
      <w:r w:rsidRPr="00053045">
        <w:rPr>
          <w:b/>
          <w:bCs/>
          <w:color w:val="000000" w:themeColor="text1"/>
          <w:sz w:val="24"/>
          <w:szCs w:val="24"/>
        </w:rPr>
        <w:t>Use of Computer Assisted Telephone Interviewing (CATI)</w:t>
      </w:r>
    </w:p>
    <w:p w:rsidRPr="00CE505B" w:rsidR="004E7BE5" w:rsidP="004E7BE5" w:rsidRDefault="004E7BE5" w14:paraId="48077AF2" w14:textId="77777777">
      <w:pPr>
        <w:tabs>
          <w:tab w:val="left" w:pos="3850"/>
        </w:tabs>
        <w:autoSpaceDE w:val="0"/>
        <w:autoSpaceDN w:val="0"/>
        <w:adjustRightInd w:val="0"/>
        <w:spacing w:line="240" w:lineRule="auto"/>
        <w:jc w:val="left"/>
        <w:rPr>
          <w:sz w:val="24"/>
          <w:szCs w:val="24"/>
        </w:rPr>
      </w:pPr>
    </w:p>
    <w:p w:rsidRPr="000B5481" w:rsidR="004E7BE5" w:rsidP="004E7BE5" w:rsidRDefault="004E7BE5" w14:paraId="62047466" w14:textId="77777777">
      <w:pPr>
        <w:pStyle w:val="P1-StandPara"/>
        <w:spacing w:line="240" w:lineRule="auto"/>
        <w:ind w:firstLine="0"/>
        <w:jc w:val="left"/>
        <w:rPr>
          <w:szCs w:val="22"/>
        </w:rPr>
      </w:pPr>
      <w:r w:rsidRPr="000B5481">
        <w:rPr>
          <w:szCs w:val="22"/>
        </w:rPr>
        <w:t xml:space="preserve">Westat (the contractor) will use computer-assisted telephone interviewing (CATI) technology to conduct the surveys of OAA service recipients and record the responses. </w:t>
      </w:r>
      <w:proofErr w:type="spellStart"/>
      <w:proofErr w:type="gramStart"/>
      <w:r w:rsidRPr="000B5481">
        <w:rPr>
          <w:szCs w:val="22"/>
        </w:rPr>
        <w:t>Westat’s</w:t>
      </w:r>
      <w:proofErr w:type="spellEnd"/>
      <w:proofErr w:type="gramEnd"/>
      <w:r w:rsidRPr="000B5481">
        <w:rPr>
          <w:szCs w:val="22"/>
        </w:rPr>
        <w:t xml:space="preserve"> CATI capability includes </w:t>
      </w:r>
      <w:r w:rsidRPr="000B5481">
        <w:rPr>
          <w:rStyle w:val="Strong"/>
          <w:szCs w:val="22"/>
        </w:rPr>
        <w:t>customized software systems for scheduling, interviewing, and data handling and</w:t>
      </w:r>
      <w:r w:rsidRPr="000B5481">
        <w:rPr>
          <w:szCs w:val="22"/>
        </w:rPr>
        <w:t xml:space="preserve"> utilizes high-speed data networks and centralized voice and data monitoring. A single database </w:t>
      </w:r>
      <w:proofErr w:type="gramStart"/>
      <w:r w:rsidRPr="000B5481">
        <w:rPr>
          <w:szCs w:val="22"/>
        </w:rPr>
        <w:t>is used</w:t>
      </w:r>
      <w:proofErr w:type="gramEnd"/>
      <w:r w:rsidRPr="000B5481">
        <w:rPr>
          <w:szCs w:val="22"/>
        </w:rPr>
        <w:t xml:space="preserve"> to monitor and direct the interviewers. The Scheduler, a computerized survey control system, makes interviewer assignments, records the disposition of sample cases, and helps survey managers monitor performance. </w:t>
      </w:r>
    </w:p>
    <w:p w:rsidRPr="000B5481" w:rsidR="004E7BE5" w:rsidP="004E7BE5" w:rsidRDefault="004E7BE5" w14:paraId="5FF248C4" w14:textId="77777777">
      <w:pPr>
        <w:pStyle w:val="P1-StandPara"/>
        <w:spacing w:line="240" w:lineRule="auto"/>
        <w:ind w:firstLine="0"/>
        <w:jc w:val="left"/>
        <w:rPr>
          <w:szCs w:val="22"/>
        </w:rPr>
      </w:pPr>
    </w:p>
    <w:p w:rsidRPr="000B5481" w:rsidR="004E7BE5" w:rsidP="004E7BE5" w:rsidRDefault="004E7BE5" w14:paraId="6CDE6DA1" w14:textId="21AA7AFF">
      <w:pPr>
        <w:pStyle w:val="P1-StandPara"/>
        <w:spacing w:line="240" w:lineRule="auto"/>
        <w:ind w:firstLine="0"/>
        <w:jc w:val="left"/>
        <w:rPr>
          <w:szCs w:val="22"/>
        </w:rPr>
      </w:pPr>
      <w:r w:rsidRPr="000B5481">
        <w:rPr>
          <w:szCs w:val="22"/>
        </w:rPr>
        <w:t xml:space="preserve">Westat will attempt to contact each person in the sample, making multiple calls at different times and days when necessary. To reduce the burden for the respondents, Westat will schedule appointments for </w:t>
      </w:r>
      <w:r w:rsidRPr="000B5481">
        <w:rPr>
          <w:szCs w:val="22"/>
        </w:rPr>
        <w:lastRenderedPageBreak/>
        <w:t xml:space="preserve">calls at times that are convenient for them. </w:t>
      </w:r>
      <w:r w:rsidRPr="009C357B" w:rsidR="000B3184">
        <w:rPr>
          <w:szCs w:val="22"/>
        </w:rPr>
        <w:t xml:space="preserve">Respondents will also have the option of calling a toll-free phone number to reach an interviewer and taking the survey at their convenience. </w:t>
      </w:r>
      <w:r w:rsidRPr="009C357B">
        <w:rPr>
          <w:szCs w:val="22"/>
        </w:rPr>
        <w:t>For Spanish-speaking respondents, Westat uses specially trained bilingual interviewers to conduct the interviews</w:t>
      </w:r>
      <w:r w:rsidRPr="000B5481">
        <w:rPr>
          <w:szCs w:val="22"/>
        </w:rPr>
        <w:t xml:space="preserve"> in Spanish. If other special arrangements are necessary (e.g., interpreter, proxy needed, mail</w:t>
      </w:r>
      <w:r w:rsidR="00E56258">
        <w:rPr>
          <w:szCs w:val="22"/>
        </w:rPr>
        <w:t xml:space="preserve"> </w:t>
      </w:r>
      <w:r w:rsidRPr="000B5481">
        <w:rPr>
          <w:szCs w:val="22"/>
        </w:rPr>
        <w:t xml:space="preserve">out requested, interview needed to be conducted over several sessions), the respondent can be further accommodated. </w:t>
      </w:r>
    </w:p>
    <w:p w:rsidRPr="000B5481" w:rsidR="004E7BE5" w:rsidP="004E7BE5" w:rsidRDefault="004E7BE5" w14:paraId="2C209EF1" w14:textId="77777777">
      <w:pPr>
        <w:pStyle w:val="P1-StandPara"/>
        <w:spacing w:line="240" w:lineRule="auto"/>
        <w:ind w:firstLine="0"/>
        <w:jc w:val="left"/>
        <w:rPr>
          <w:szCs w:val="22"/>
        </w:rPr>
      </w:pPr>
    </w:p>
    <w:p w:rsidRPr="000B5481" w:rsidR="004E7BE5" w:rsidP="004E7BE5" w:rsidRDefault="004E7BE5" w14:paraId="7A7E5B4A" w14:textId="77777777">
      <w:pPr>
        <w:pStyle w:val="P1-StandPara"/>
        <w:spacing w:line="240" w:lineRule="auto"/>
        <w:ind w:firstLine="0"/>
        <w:jc w:val="left"/>
        <w:rPr>
          <w:szCs w:val="22"/>
        </w:rPr>
      </w:pPr>
      <w:r w:rsidRPr="000B5481">
        <w:rPr>
          <w:szCs w:val="22"/>
        </w:rPr>
        <w:t xml:space="preserve">Westat will take the </w:t>
      </w:r>
      <w:r w:rsidR="00BD3FB1">
        <w:rPr>
          <w:szCs w:val="22"/>
        </w:rPr>
        <w:t>ACL</w:t>
      </w:r>
      <w:r w:rsidR="00C95A80">
        <w:rPr>
          <w:szCs w:val="22"/>
        </w:rPr>
        <w:t>/</w:t>
      </w:r>
      <w:r w:rsidRPr="000B5481">
        <w:rPr>
          <w:szCs w:val="22"/>
        </w:rPr>
        <w:t>AoA-approved finalized version of the survey instruments and program them into its CATI system. This involves:</w:t>
      </w:r>
    </w:p>
    <w:p w:rsidRPr="000B5481" w:rsidR="004E7BE5" w:rsidP="004E7BE5" w:rsidRDefault="004E7BE5" w14:paraId="5C811A9F" w14:textId="77777777">
      <w:pPr>
        <w:pStyle w:val="P1-StandPara"/>
        <w:keepNext/>
        <w:keepLines/>
        <w:rPr>
          <w:szCs w:val="22"/>
        </w:rPr>
      </w:pPr>
    </w:p>
    <w:p w:rsidRPr="000B5481" w:rsidR="004E7BE5" w:rsidP="00831CB9" w:rsidRDefault="004E7BE5" w14:paraId="5FE71F99" w14:textId="77777777">
      <w:pPr>
        <w:pStyle w:val="N2-2ndBullet"/>
        <w:keepNext/>
        <w:keepLines/>
        <w:numPr>
          <w:ilvl w:val="0"/>
          <w:numId w:val="12"/>
        </w:numPr>
        <w:spacing w:after="240" w:line="240" w:lineRule="auto"/>
        <w:rPr>
          <w:szCs w:val="22"/>
        </w:rPr>
      </w:pPr>
      <w:r w:rsidRPr="000B5481">
        <w:rPr>
          <w:szCs w:val="22"/>
        </w:rPr>
        <w:t>Inserting specifications into the English version of the questionnaire;</w:t>
      </w:r>
    </w:p>
    <w:p w:rsidRPr="000B5481" w:rsidR="004E7BE5" w:rsidP="00831CB9" w:rsidRDefault="004E7BE5" w14:paraId="40B4289E" w14:textId="77777777">
      <w:pPr>
        <w:pStyle w:val="N2-2ndBullet"/>
        <w:numPr>
          <w:ilvl w:val="0"/>
          <w:numId w:val="12"/>
        </w:numPr>
        <w:spacing w:after="240" w:line="240" w:lineRule="auto"/>
        <w:rPr>
          <w:szCs w:val="22"/>
        </w:rPr>
      </w:pPr>
      <w:r w:rsidRPr="000B5481">
        <w:rPr>
          <w:szCs w:val="22"/>
        </w:rPr>
        <w:t>Preparing the specifications for the CATI programmer;</w:t>
      </w:r>
    </w:p>
    <w:p w:rsidRPr="000B5481" w:rsidR="004E7BE5" w:rsidP="00831CB9" w:rsidRDefault="004E7BE5" w14:paraId="5A870EC9" w14:textId="77777777">
      <w:pPr>
        <w:pStyle w:val="N2-2ndBullet"/>
        <w:keepNext/>
        <w:keepLines/>
        <w:numPr>
          <w:ilvl w:val="0"/>
          <w:numId w:val="12"/>
        </w:numPr>
        <w:spacing w:after="240" w:line="240" w:lineRule="auto"/>
        <w:rPr>
          <w:szCs w:val="22"/>
        </w:rPr>
      </w:pPr>
      <w:r w:rsidRPr="000B5481">
        <w:rPr>
          <w:szCs w:val="22"/>
        </w:rPr>
        <w:t>Translating the questionnaire from the specifications into Spanish; and</w:t>
      </w:r>
    </w:p>
    <w:p w:rsidRPr="000B5481" w:rsidR="004E7BE5" w:rsidP="00831CB9" w:rsidRDefault="004E7BE5" w14:paraId="0A4F299D" w14:textId="77777777">
      <w:pPr>
        <w:pStyle w:val="N2-2ndBullet"/>
        <w:numPr>
          <w:ilvl w:val="0"/>
          <w:numId w:val="12"/>
        </w:numPr>
        <w:spacing w:after="240" w:line="240" w:lineRule="auto"/>
        <w:rPr>
          <w:szCs w:val="22"/>
        </w:rPr>
      </w:pPr>
      <w:r w:rsidRPr="000B5481">
        <w:rPr>
          <w:szCs w:val="22"/>
        </w:rPr>
        <w:t>Programming and testing both versions of the questionnaire into CATI.</w:t>
      </w:r>
    </w:p>
    <w:p w:rsidRPr="000B5481" w:rsidR="004E7BE5" w:rsidP="004E7BE5" w:rsidRDefault="004E7BE5" w14:paraId="19FC116D" w14:textId="77777777">
      <w:pPr>
        <w:pStyle w:val="P1-StandPara"/>
        <w:spacing w:line="240" w:lineRule="auto"/>
        <w:ind w:firstLine="0"/>
        <w:rPr>
          <w:szCs w:val="22"/>
        </w:rPr>
      </w:pPr>
      <w:r w:rsidRPr="000B5481">
        <w:rPr>
          <w:szCs w:val="22"/>
        </w:rPr>
        <w:t xml:space="preserve">Details of how skips will work in the questionnaire are included in the design document, as are the needed question variations. For example, some questions may need to </w:t>
      </w:r>
      <w:proofErr w:type="gramStart"/>
      <w:r w:rsidRPr="000B5481">
        <w:rPr>
          <w:szCs w:val="22"/>
        </w:rPr>
        <w:t>be asked</w:t>
      </w:r>
      <w:proofErr w:type="gramEnd"/>
      <w:r w:rsidRPr="000B5481">
        <w:rPr>
          <w:szCs w:val="22"/>
        </w:rPr>
        <w:t xml:space="preserve"> differently, depending on the answers to previous questions. In particular, if a respondent told us they live with others, the next question we would ask would be, “Do you live with your spouse?” However, if the respondent told us they lived alone, the follow-up questions </w:t>
      </w:r>
      <w:proofErr w:type="gramStart"/>
      <w:r w:rsidRPr="000B5481">
        <w:rPr>
          <w:szCs w:val="22"/>
        </w:rPr>
        <w:t>will not be asked</w:t>
      </w:r>
      <w:proofErr w:type="gramEnd"/>
      <w:r w:rsidRPr="000B5481">
        <w:rPr>
          <w:szCs w:val="22"/>
        </w:rPr>
        <w:t xml:space="preserve">, and CATI will automatically skip to the next question. </w:t>
      </w:r>
    </w:p>
    <w:p w:rsidRPr="00BF7FDA" w:rsidR="004E7BE5" w:rsidP="004E7BE5" w:rsidRDefault="004E7BE5" w14:paraId="76354E92" w14:textId="77777777">
      <w:pPr>
        <w:pStyle w:val="P1-StandPara"/>
      </w:pPr>
    </w:p>
    <w:p w:rsidRPr="000B5481" w:rsidR="004E7BE5" w:rsidP="004E7BE5" w:rsidRDefault="004E7BE5" w14:paraId="76143E48" w14:textId="77777777">
      <w:pPr>
        <w:pStyle w:val="P1-StandPara"/>
        <w:spacing w:line="240" w:lineRule="auto"/>
        <w:ind w:firstLine="0"/>
        <w:jc w:val="left"/>
        <w:rPr>
          <w:szCs w:val="22"/>
        </w:rPr>
      </w:pPr>
      <w:r w:rsidRPr="000B5481">
        <w:rPr>
          <w:szCs w:val="22"/>
        </w:rPr>
        <w:t xml:space="preserve">The use of the CATI system in combination with </w:t>
      </w:r>
      <w:proofErr w:type="spellStart"/>
      <w:r w:rsidRPr="000B5481">
        <w:rPr>
          <w:szCs w:val="22"/>
        </w:rPr>
        <w:t>Westat’s</w:t>
      </w:r>
      <w:proofErr w:type="spellEnd"/>
      <w:r w:rsidRPr="000B5481">
        <w:rPr>
          <w:szCs w:val="22"/>
        </w:rPr>
        <w:t xml:space="preserve"> highly structured telephone interviewer training and procedures ensures that interviewers conduct the surveys in a professional, controlled, and consistent manner. </w:t>
      </w:r>
    </w:p>
    <w:p w:rsidR="004E7BE5" w:rsidP="004E7BE5" w:rsidRDefault="004E7BE5" w14:paraId="01A64B1E" w14:textId="77777777">
      <w:pPr>
        <w:tabs>
          <w:tab w:val="left" w:pos="3850"/>
        </w:tabs>
        <w:autoSpaceDE w:val="0"/>
        <w:autoSpaceDN w:val="0"/>
        <w:adjustRightInd w:val="0"/>
        <w:spacing w:line="240" w:lineRule="auto"/>
        <w:jc w:val="left"/>
        <w:rPr>
          <w:szCs w:val="22"/>
        </w:rPr>
      </w:pPr>
    </w:p>
    <w:p w:rsidR="004E7BE5" w:rsidP="004E7BE5" w:rsidRDefault="004E7BE5" w14:paraId="639C7438" w14:textId="77777777">
      <w:pPr>
        <w:tabs>
          <w:tab w:val="left" w:pos="3850"/>
        </w:tabs>
        <w:autoSpaceDE w:val="0"/>
        <w:autoSpaceDN w:val="0"/>
        <w:adjustRightInd w:val="0"/>
        <w:spacing w:line="240" w:lineRule="auto"/>
        <w:jc w:val="left"/>
        <w:rPr>
          <w:szCs w:val="22"/>
        </w:rPr>
      </w:pPr>
    </w:p>
    <w:p w:rsidRPr="002B020F" w:rsidR="004E7BE5" w:rsidP="00CA7F63" w:rsidRDefault="00CA7F63" w14:paraId="04237CA3" w14:textId="241A7CA6">
      <w:pPr>
        <w:pStyle w:val="Heading1"/>
        <w:keepNext w:val="0"/>
        <w:keepLines/>
        <w:ind w:left="1440" w:hanging="1440"/>
        <w:jc w:val="left"/>
        <w:rPr>
          <w:rFonts w:ascii="Franklin Gothic Medium" w:hAnsi="Franklin Gothic Medium"/>
          <w:color w:val="17365D"/>
          <w:sz w:val="32"/>
          <w:szCs w:val="32"/>
        </w:rPr>
      </w:pPr>
      <w:bookmarkStart w:name="_Toc461936335" w:id="4"/>
      <w:r>
        <w:rPr>
          <w:rFonts w:ascii="Franklin Gothic Medium" w:hAnsi="Franklin Gothic Medium"/>
          <w:color w:val="17365D"/>
          <w:sz w:val="32"/>
          <w:szCs w:val="32"/>
        </w:rPr>
        <w:t>A.4</w:t>
      </w:r>
      <w:r>
        <w:rPr>
          <w:rFonts w:ascii="Franklin Gothic Medium" w:hAnsi="Franklin Gothic Medium"/>
          <w:color w:val="17365D"/>
          <w:sz w:val="32"/>
          <w:szCs w:val="32"/>
        </w:rPr>
        <w:tab/>
      </w:r>
      <w:r>
        <w:rPr>
          <w:rFonts w:ascii="Franklin Gothic Medium" w:hAnsi="Franklin Gothic Medium"/>
          <w:color w:val="17365D"/>
          <w:sz w:val="32"/>
          <w:szCs w:val="32"/>
        </w:rPr>
        <w:tab/>
      </w:r>
      <w:r w:rsidRPr="002B020F" w:rsidR="004E7BE5">
        <w:rPr>
          <w:rFonts w:ascii="Franklin Gothic Medium" w:hAnsi="Franklin Gothic Medium"/>
          <w:color w:val="17365D"/>
          <w:sz w:val="32"/>
          <w:szCs w:val="32"/>
        </w:rPr>
        <w:t xml:space="preserve">Efforts to Identify Duplication </w:t>
      </w:r>
      <w:r w:rsidR="002B020F">
        <w:rPr>
          <w:rFonts w:ascii="Franklin Gothic Medium" w:hAnsi="Franklin Gothic Medium"/>
          <w:color w:val="17365D"/>
          <w:sz w:val="32"/>
          <w:szCs w:val="32"/>
        </w:rPr>
        <w:t>&amp;</w:t>
      </w:r>
      <w:r w:rsidRPr="002B020F" w:rsidR="004E7BE5">
        <w:rPr>
          <w:rFonts w:ascii="Franklin Gothic Medium" w:hAnsi="Franklin Gothic Medium"/>
          <w:color w:val="17365D"/>
          <w:sz w:val="32"/>
          <w:szCs w:val="32"/>
        </w:rPr>
        <w:t xml:space="preserve"> Use of Similar Information </w:t>
      </w:r>
      <w:bookmarkEnd w:id="4"/>
    </w:p>
    <w:p w:rsidR="004E7BE5" w:rsidP="004E7BE5" w:rsidRDefault="004E7BE5" w14:paraId="6071348E" w14:textId="79CC0447">
      <w:pPr>
        <w:pStyle w:val="SL-FlLftSgl"/>
        <w:jc w:val="left"/>
        <w:rPr>
          <w:szCs w:val="22"/>
        </w:rPr>
      </w:pPr>
      <w:r w:rsidRPr="002778CC">
        <w:rPr>
          <w:szCs w:val="22"/>
        </w:rPr>
        <w:t>Every e</w:t>
      </w:r>
      <w:r w:rsidRPr="00E56258">
        <w:rPr>
          <w:szCs w:val="22"/>
        </w:rPr>
        <w:t xml:space="preserve">ffort </w:t>
      </w:r>
      <w:proofErr w:type="gramStart"/>
      <w:r w:rsidRPr="00E56258">
        <w:rPr>
          <w:szCs w:val="22"/>
        </w:rPr>
        <w:t>is being made</w:t>
      </w:r>
      <w:proofErr w:type="gramEnd"/>
      <w:r w:rsidRPr="00E56258">
        <w:rPr>
          <w:szCs w:val="22"/>
        </w:rPr>
        <w:t xml:space="preserve"> to avoid duplication and minimize respondent burden. Over the last </w:t>
      </w:r>
      <w:r w:rsidRPr="00E56258" w:rsidR="00BD3FB1">
        <w:rPr>
          <w:szCs w:val="22"/>
        </w:rPr>
        <w:t>1</w:t>
      </w:r>
      <w:r w:rsidR="0033230A">
        <w:rPr>
          <w:szCs w:val="22"/>
        </w:rPr>
        <w:t>7</w:t>
      </w:r>
      <w:r w:rsidRPr="00E56258">
        <w:rPr>
          <w:szCs w:val="22"/>
        </w:rPr>
        <w:t xml:space="preserve"> years, Westat conducted the </w:t>
      </w:r>
      <w:r w:rsidR="00D95557">
        <w:rPr>
          <w:szCs w:val="22"/>
        </w:rPr>
        <w:t>fi</w:t>
      </w:r>
      <w:r w:rsidRPr="00E56258">
        <w:rPr>
          <w:szCs w:val="22"/>
        </w:rPr>
        <w:t>rst</w:t>
      </w:r>
      <w:r w:rsidRPr="00E56258" w:rsidR="00E56258">
        <w:rPr>
          <w:szCs w:val="22"/>
        </w:rPr>
        <w:t xml:space="preserve"> through </w:t>
      </w:r>
      <w:r w:rsidR="00D95557">
        <w:rPr>
          <w:szCs w:val="22"/>
        </w:rPr>
        <w:t>1</w:t>
      </w:r>
      <w:r w:rsidR="0033230A">
        <w:rPr>
          <w:szCs w:val="22"/>
        </w:rPr>
        <w:t>4</w:t>
      </w:r>
      <w:r w:rsidR="00D95557">
        <w:rPr>
          <w:szCs w:val="22"/>
        </w:rPr>
        <w:t>th</w:t>
      </w:r>
      <w:r w:rsidRPr="00E56258">
        <w:rPr>
          <w:szCs w:val="22"/>
        </w:rPr>
        <w:t xml:space="preserve"> National Surveys of </w:t>
      </w:r>
      <w:r w:rsidRPr="00E56258" w:rsidR="00E56258">
        <w:rPr>
          <w:szCs w:val="22"/>
        </w:rPr>
        <w:t>Older Americans Act Participants</w:t>
      </w:r>
      <w:r w:rsidR="00030E54">
        <w:rPr>
          <w:szCs w:val="22"/>
        </w:rPr>
        <w:t xml:space="preserve">, </w:t>
      </w:r>
      <w:r w:rsidRPr="00E56258" w:rsidR="00E56258">
        <w:rPr>
          <w:szCs w:val="22"/>
        </w:rPr>
        <w:t xml:space="preserve">formerly known as the National Survey of </w:t>
      </w:r>
      <w:r w:rsidRPr="002778CC">
        <w:rPr>
          <w:szCs w:val="22"/>
        </w:rPr>
        <w:t xml:space="preserve">OAA Title III Service Recipients. </w:t>
      </w:r>
      <w:proofErr w:type="gramStart"/>
      <w:r w:rsidRPr="002778CC">
        <w:rPr>
          <w:szCs w:val="22"/>
        </w:rPr>
        <w:t>As a result</w:t>
      </w:r>
      <w:proofErr w:type="gramEnd"/>
      <w:r w:rsidRPr="002778CC">
        <w:rPr>
          <w:szCs w:val="22"/>
        </w:rPr>
        <w:t xml:space="preserve"> of the information gathered, modifications have been made to the data collection procedures and to the survey instruments. We believe we have reduced agency and respondent burden to the minimu</w:t>
      </w:r>
      <w:r w:rsidRPr="00E56258">
        <w:rPr>
          <w:szCs w:val="22"/>
        </w:rPr>
        <w:t>m level possible to achieve the survey's objectives.</w:t>
      </w:r>
    </w:p>
    <w:p w:rsidR="008820BB" w:rsidP="004E7BE5" w:rsidRDefault="008820BB" w14:paraId="22CD0318" w14:textId="1E75177B">
      <w:pPr>
        <w:pStyle w:val="SL-FlLftSgl"/>
        <w:jc w:val="left"/>
        <w:rPr>
          <w:szCs w:val="22"/>
        </w:rPr>
      </w:pPr>
    </w:p>
    <w:p w:rsidR="008820BB" w:rsidP="008820BB" w:rsidRDefault="008820BB" w14:paraId="4DB491CE" w14:textId="435751C3">
      <w:pPr>
        <w:pStyle w:val="SL-FlLftSgl"/>
      </w:pPr>
      <w:r>
        <w:t xml:space="preserve">In addition, ACL is careful not to duplicate data collection efforts between performance measurement and evaluation efforts.  The National Survey data </w:t>
      </w:r>
      <w:proofErr w:type="gramStart"/>
      <w:r>
        <w:t>has been used</w:t>
      </w:r>
      <w:proofErr w:type="gramEnd"/>
      <w:r>
        <w:t xml:space="preserve"> as a secondary data source in a current evaluation effort.  When future evaluation efforts require independent data collection, that data collection will be coordinated with the performance measurement surveys. </w:t>
      </w:r>
    </w:p>
    <w:p w:rsidRPr="000B5481" w:rsidR="008820BB" w:rsidP="004E7BE5" w:rsidRDefault="008820BB" w14:paraId="0D128208" w14:textId="77777777">
      <w:pPr>
        <w:pStyle w:val="SL-FlLftSgl"/>
        <w:jc w:val="left"/>
        <w:rPr>
          <w:szCs w:val="22"/>
        </w:rPr>
      </w:pPr>
    </w:p>
    <w:p w:rsidRPr="00D5706C" w:rsidR="00551282" w:rsidP="004E7BE5" w:rsidRDefault="00D5706C" w14:paraId="249FBF5E" w14:textId="78A8A82A">
      <w:pPr>
        <w:pStyle w:val="SL-FlLftSgl"/>
        <w:jc w:val="left"/>
        <w:rPr>
          <w:szCs w:val="22"/>
        </w:rPr>
      </w:pPr>
      <w:r w:rsidRPr="00D5706C">
        <w:rPr>
          <w:szCs w:val="22"/>
        </w:rPr>
        <w:t xml:space="preserve">The NSOAAP is not duplicative of other survey efforts because there is no other representative survey of Older Americans Act participants. The HRS (Health and Retirement Study) collects nationally representative data on older adults every two years. The HRS is not able to identify the experience of </w:t>
      </w:r>
      <w:r w:rsidRPr="00D5706C">
        <w:rPr>
          <w:szCs w:val="22"/>
        </w:rPr>
        <w:lastRenderedPageBreak/>
        <w:t xml:space="preserve">OAA service recipients. The NSOAAP is a random sample of Older Americans Act (OAA) service recipients only, and </w:t>
      </w:r>
      <w:proofErr w:type="gramStart"/>
      <w:r w:rsidRPr="00D5706C">
        <w:rPr>
          <w:szCs w:val="22"/>
        </w:rPr>
        <w:t>cannot be used</w:t>
      </w:r>
      <w:proofErr w:type="gramEnd"/>
      <w:r w:rsidRPr="00D5706C">
        <w:rPr>
          <w:szCs w:val="22"/>
        </w:rPr>
        <w:t xml:space="preserve"> to make assertions about the American population of older adults. The purpose of NSOAAP is to obtain performance outcome information that demonstrate</w:t>
      </w:r>
      <w:r w:rsidR="0067284B">
        <w:rPr>
          <w:szCs w:val="22"/>
        </w:rPr>
        <w:t>s</w:t>
      </w:r>
      <w:r w:rsidRPr="00D5706C">
        <w:rPr>
          <w:szCs w:val="22"/>
        </w:rPr>
        <w:t xml:space="preserve"> the effect of services and illustrate</w:t>
      </w:r>
      <w:r w:rsidR="0067284B">
        <w:rPr>
          <w:szCs w:val="22"/>
        </w:rPr>
        <w:t>s</w:t>
      </w:r>
      <w:r w:rsidRPr="00D5706C">
        <w:rPr>
          <w:szCs w:val="22"/>
        </w:rPr>
        <w:t xml:space="preserve"> client reported quality of service.  In addition, service recipient demographics, health and wellbeing indicators are collected. However, the two survey efforts are complementary. Utilizing the HRS as a means to compare OAA service recipients to a nationally representative sample of older adults can help ACL better understand its program </w:t>
      </w:r>
      <w:proofErr w:type="gramStart"/>
      <w:r w:rsidRPr="00D5706C">
        <w:rPr>
          <w:szCs w:val="22"/>
        </w:rPr>
        <w:t>participants</w:t>
      </w:r>
      <w:proofErr w:type="gramEnd"/>
      <w:r w:rsidRPr="00D5706C">
        <w:rPr>
          <w:szCs w:val="22"/>
        </w:rPr>
        <w:t xml:space="preserve"> vis-à-vis a nationally representative sample.</w:t>
      </w:r>
    </w:p>
    <w:p w:rsidR="004E7BE5" w:rsidP="004E7BE5" w:rsidRDefault="004E7BE5" w14:paraId="1F7D4880" w14:textId="1075DF83">
      <w:pPr>
        <w:pStyle w:val="SL-FlLftSgl"/>
        <w:jc w:val="left"/>
      </w:pPr>
    </w:p>
    <w:p w:rsidR="00875935" w:rsidP="004E7BE5" w:rsidRDefault="00875935" w14:paraId="150C6182" w14:textId="77777777">
      <w:pPr>
        <w:pStyle w:val="SL-FlLftSgl"/>
        <w:jc w:val="left"/>
      </w:pPr>
    </w:p>
    <w:p w:rsidRPr="00DC3806" w:rsidR="004E7BE5" w:rsidP="00FE58A0" w:rsidRDefault="00DC3806" w14:paraId="22C095D4" w14:textId="5B3263A9">
      <w:pPr>
        <w:spacing w:line="240" w:lineRule="auto"/>
        <w:jc w:val="left"/>
        <w:rPr>
          <w:rFonts w:ascii="Franklin Gothic Medium" w:hAnsi="Franklin Gothic Medium"/>
          <w:b/>
          <w:color w:val="17365D"/>
          <w:sz w:val="32"/>
          <w:szCs w:val="32"/>
        </w:rPr>
      </w:pPr>
      <w:bookmarkStart w:name="_Toc461867413" w:id="5"/>
      <w:bookmarkStart w:name="_Toc461936336" w:id="6"/>
      <w:r>
        <w:rPr>
          <w:rFonts w:ascii="Franklin Gothic Medium" w:hAnsi="Franklin Gothic Medium"/>
          <w:b/>
          <w:color w:val="17365D"/>
          <w:sz w:val="32"/>
          <w:szCs w:val="32"/>
        </w:rPr>
        <w:t>A.5</w:t>
      </w:r>
      <w:r>
        <w:rPr>
          <w:rFonts w:ascii="Franklin Gothic Medium" w:hAnsi="Franklin Gothic Medium"/>
          <w:b/>
          <w:color w:val="17365D"/>
          <w:sz w:val="32"/>
          <w:szCs w:val="32"/>
        </w:rPr>
        <w:tab/>
      </w:r>
      <w:r>
        <w:rPr>
          <w:rFonts w:ascii="Franklin Gothic Medium" w:hAnsi="Franklin Gothic Medium"/>
          <w:b/>
          <w:color w:val="17365D"/>
          <w:sz w:val="32"/>
          <w:szCs w:val="32"/>
        </w:rPr>
        <w:tab/>
      </w:r>
      <w:r w:rsidRPr="00DC3806" w:rsidR="004E7BE5">
        <w:rPr>
          <w:rFonts w:ascii="Franklin Gothic Medium" w:hAnsi="Franklin Gothic Medium"/>
          <w:b/>
          <w:color w:val="17365D"/>
          <w:sz w:val="32"/>
          <w:szCs w:val="32"/>
        </w:rPr>
        <w:t xml:space="preserve">Impact on Small Businesses or Other Small Entities </w:t>
      </w:r>
      <w:bookmarkEnd w:id="5"/>
      <w:bookmarkEnd w:id="6"/>
    </w:p>
    <w:p w:rsidR="004E7BE5" w:rsidP="004E7BE5" w:rsidRDefault="004E7BE5" w14:paraId="5140A627" w14:textId="77777777">
      <w:pPr>
        <w:pStyle w:val="SL-FlLftSgl"/>
        <w:jc w:val="left"/>
      </w:pPr>
    </w:p>
    <w:p w:rsidR="004E7BE5" w:rsidP="00875935" w:rsidRDefault="008820BB" w14:paraId="38331297" w14:textId="3ED3BA4F">
      <w:pPr>
        <w:pStyle w:val="SL-FlLftSgl"/>
      </w:pPr>
      <w:r>
        <w:t>The data sources affected by the survey covered by this request for review will be agencies of state and local government, public purpose, quasi-governmental agencies, and clients who are private citizens. We have designed the sample to minimize the burden on both the agencies and the client respondents.</w:t>
      </w:r>
    </w:p>
    <w:p w:rsidRPr="00875935" w:rsidR="00875935" w:rsidP="00875935" w:rsidRDefault="00875935" w14:paraId="5B9F4FB9" w14:textId="77777777">
      <w:pPr>
        <w:pStyle w:val="SL-FlLftSgl"/>
      </w:pPr>
    </w:p>
    <w:p w:rsidR="004E7BE5" w:rsidP="004E7BE5" w:rsidRDefault="004E7BE5" w14:paraId="7C959D53" w14:textId="771D2EA8">
      <w:pPr>
        <w:pStyle w:val="SL-FlLftSgl"/>
        <w:jc w:val="left"/>
      </w:pPr>
    </w:p>
    <w:p w:rsidRPr="002B020F" w:rsidR="004E7BE5" w:rsidP="00DC3806" w:rsidRDefault="00DC3806" w14:paraId="12C17DEE" w14:textId="7E22F7DE">
      <w:pPr>
        <w:pStyle w:val="Heading1"/>
        <w:ind w:left="1440" w:hanging="1440"/>
        <w:jc w:val="left"/>
        <w:rPr>
          <w:rFonts w:ascii="Franklin Gothic Medium" w:hAnsi="Franklin Gothic Medium"/>
          <w:color w:val="17365D"/>
          <w:sz w:val="32"/>
          <w:szCs w:val="32"/>
        </w:rPr>
      </w:pPr>
      <w:bookmarkStart w:name="_Toc461867414" w:id="7"/>
      <w:bookmarkStart w:name="_Toc461936337" w:id="8"/>
      <w:r>
        <w:rPr>
          <w:rFonts w:ascii="Franklin Gothic Medium" w:hAnsi="Franklin Gothic Medium"/>
          <w:color w:val="17365D"/>
          <w:sz w:val="32"/>
          <w:szCs w:val="32"/>
        </w:rPr>
        <w:t>A.6</w:t>
      </w:r>
      <w:r>
        <w:rPr>
          <w:rFonts w:ascii="Franklin Gothic Medium" w:hAnsi="Franklin Gothic Medium"/>
          <w:color w:val="17365D"/>
          <w:sz w:val="32"/>
          <w:szCs w:val="32"/>
        </w:rPr>
        <w:tab/>
      </w:r>
      <w:r>
        <w:rPr>
          <w:rFonts w:ascii="Franklin Gothic Medium" w:hAnsi="Franklin Gothic Medium"/>
          <w:color w:val="17365D"/>
          <w:sz w:val="32"/>
          <w:szCs w:val="32"/>
        </w:rPr>
        <w:tab/>
      </w:r>
      <w:r w:rsidRPr="002B020F" w:rsidR="004E7BE5">
        <w:rPr>
          <w:rFonts w:ascii="Franklin Gothic Medium" w:hAnsi="Franklin Gothic Medium"/>
          <w:color w:val="17365D"/>
          <w:sz w:val="32"/>
          <w:szCs w:val="32"/>
        </w:rPr>
        <w:t xml:space="preserve">Consequences of Collecting the Information Less Frequently </w:t>
      </w:r>
      <w:bookmarkEnd w:id="7"/>
      <w:bookmarkEnd w:id="8"/>
    </w:p>
    <w:p w:rsidR="008820BB" w:rsidP="008820BB" w:rsidRDefault="008820BB" w14:paraId="6D8CCFB0" w14:textId="71E964EE">
      <w:pPr>
        <w:pStyle w:val="SL-FlLftSgl"/>
      </w:pPr>
      <w:bookmarkStart w:name="_Toc461936338" w:id="9"/>
      <w:r w:rsidRPr="00806DFC">
        <w:t xml:space="preserve">This proposed fifteenth national survey </w:t>
      </w:r>
      <w:proofErr w:type="gramStart"/>
      <w:r w:rsidRPr="00806DFC">
        <w:t>will be conducted</w:t>
      </w:r>
      <w:proofErr w:type="gramEnd"/>
      <w:r w:rsidRPr="00806DFC">
        <w:t xml:space="preserve"> one time. If we are unable to conduct this </w:t>
      </w:r>
      <w:proofErr w:type="gramStart"/>
      <w:r w:rsidRPr="00806DFC">
        <w:t>survey</w:t>
      </w:r>
      <w:proofErr w:type="gramEnd"/>
      <w:r w:rsidRPr="00806DFC">
        <w:t xml:space="preserve"> we will be unable to move forward with our program performance measurement strategy as required by the OAA. We will be unable to pursue outcome measurement for the ACL/AoA Strategic Action Plan and our PART assessments </w:t>
      </w:r>
      <w:proofErr w:type="gramStart"/>
      <w:r w:rsidRPr="00806DFC">
        <w:t>will be compromised</w:t>
      </w:r>
      <w:proofErr w:type="gramEnd"/>
      <w:r w:rsidRPr="00806DFC">
        <w:t xml:space="preserve">, especially since this survey format was developed to allow an overall assessment of Title III, while also continuing to allow assessment of individual services offered by Title III. We will be unable to report our FY 2021 </w:t>
      </w:r>
      <w:proofErr w:type="gramStart"/>
      <w:r w:rsidRPr="00806DFC">
        <w:t>consumer assessment performance measures</w:t>
      </w:r>
      <w:proofErr w:type="gramEnd"/>
      <w:r w:rsidRPr="00806DFC">
        <w:t xml:space="preserve"> and targets for GPRA and PART reporting purposes. The proposed sample sizes will allow us to analyze results by subgroup (e.g. region, age, </w:t>
      </w:r>
      <w:proofErr w:type="gramStart"/>
      <w:r w:rsidRPr="00806DFC">
        <w:t>race</w:t>
      </w:r>
      <w:proofErr w:type="gramEnd"/>
      <w:r w:rsidRPr="00806DFC">
        <w:t>) and, therefore, allow better targeting of services.</w:t>
      </w:r>
      <w:r>
        <w:t xml:space="preserve">  </w:t>
      </w:r>
    </w:p>
    <w:p w:rsidR="00875935" w:rsidP="004E7BE5" w:rsidRDefault="00875935" w14:paraId="6061A522" w14:textId="77777777">
      <w:pPr>
        <w:pStyle w:val="Heading1"/>
        <w:keepLines/>
        <w:jc w:val="left"/>
        <w:rPr>
          <w:rFonts w:ascii="Franklin Gothic Medium" w:hAnsi="Franklin Gothic Medium"/>
          <w:color w:val="17365D"/>
          <w:szCs w:val="32"/>
        </w:rPr>
      </w:pPr>
    </w:p>
    <w:p w:rsidRPr="002B020F" w:rsidR="004E7BE5" w:rsidP="004E7BE5" w:rsidRDefault="00DC3806" w14:paraId="0F347163" w14:textId="2796D477">
      <w:pPr>
        <w:pStyle w:val="Heading1"/>
        <w:keepLines/>
        <w:jc w:val="left"/>
        <w:rPr>
          <w:rFonts w:ascii="Franklin Gothic Medium" w:hAnsi="Franklin Gothic Medium"/>
          <w:color w:val="17365D"/>
          <w:sz w:val="32"/>
          <w:szCs w:val="32"/>
        </w:rPr>
      </w:pPr>
      <w:r>
        <w:rPr>
          <w:rFonts w:ascii="Franklin Gothic Medium" w:hAnsi="Franklin Gothic Medium"/>
          <w:color w:val="17365D"/>
          <w:sz w:val="32"/>
          <w:szCs w:val="32"/>
        </w:rPr>
        <w:t>A.7</w:t>
      </w:r>
      <w:r>
        <w:rPr>
          <w:rFonts w:ascii="Franklin Gothic Medium" w:hAnsi="Franklin Gothic Medium"/>
          <w:color w:val="17365D"/>
          <w:sz w:val="32"/>
          <w:szCs w:val="32"/>
        </w:rPr>
        <w:tab/>
      </w:r>
      <w:r>
        <w:rPr>
          <w:rFonts w:ascii="Franklin Gothic Medium" w:hAnsi="Franklin Gothic Medium"/>
          <w:color w:val="17365D"/>
          <w:sz w:val="32"/>
          <w:szCs w:val="32"/>
        </w:rPr>
        <w:tab/>
      </w:r>
      <w:r w:rsidRPr="002B020F" w:rsidR="004E7BE5">
        <w:rPr>
          <w:rFonts w:ascii="Franklin Gothic Medium" w:hAnsi="Franklin Gothic Medium"/>
          <w:color w:val="17365D"/>
          <w:sz w:val="32"/>
          <w:szCs w:val="32"/>
        </w:rPr>
        <w:t>Special Circumstances</w:t>
      </w:r>
      <w:bookmarkEnd w:id="9"/>
      <w:r w:rsidRPr="002B020F" w:rsidR="004E7BE5">
        <w:rPr>
          <w:rFonts w:ascii="Franklin Gothic Medium" w:hAnsi="Franklin Gothic Medium"/>
          <w:color w:val="17365D"/>
          <w:sz w:val="32"/>
          <w:szCs w:val="32"/>
        </w:rPr>
        <w:t xml:space="preserve"> </w:t>
      </w:r>
    </w:p>
    <w:p w:rsidRPr="000B5481" w:rsidR="004E7BE5" w:rsidP="004E7BE5" w:rsidRDefault="004E7BE5" w14:paraId="69EEAA98" w14:textId="77777777">
      <w:pPr>
        <w:pStyle w:val="SL-FlLftSgl"/>
        <w:keepNext/>
        <w:keepLines/>
        <w:jc w:val="left"/>
        <w:rPr>
          <w:szCs w:val="22"/>
        </w:rPr>
      </w:pPr>
      <w:r w:rsidRPr="000B5481">
        <w:rPr>
          <w:szCs w:val="22"/>
        </w:rPr>
        <w:t xml:space="preserve">The data collection effort will be conducted according to the guidelines specified </w:t>
      </w:r>
      <w:r w:rsidRPr="00CE6E5F">
        <w:rPr>
          <w:szCs w:val="22"/>
        </w:rPr>
        <w:t xml:space="preserve">in </w:t>
      </w:r>
      <w:proofErr w:type="gramStart"/>
      <w:r w:rsidRPr="00CE6E5F">
        <w:rPr>
          <w:szCs w:val="22"/>
        </w:rPr>
        <w:t>5</w:t>
      </w:r>
      <w:proofErr w:type="gramEnd"/>
      <w:r w:rsidRPr="00CE6E5F">
        <w:rPr>
          <w:szCs w:val="22"/>
        </w:rPr>
        <w:t xml:space="preserve"> CFR </w:t>
      </w:r>
      <w:r w:rsidRPr="00CE6E5F">
        <w:rPr>
          <w:rFonts w:ascii="TimesNewRomanPSMT" w:hAnsi="TimesNewRomanPSMT" w:cs="TimesNewRomanPSMT"/>
          <w:szCs w:val="22"/>
        </w:rPr>
        <w:t>§</w:t>
      </w:r>
      <w:r w:rsidRPr="00CE6E5F">
        <w:rPr>
          <w:szCs w:val="22"/>
        </w:rPr>
        <w:t xml:space="preserve"> 1320.6.</w:t>
      </w:r>
      <w:r w:rsidRPr="000B5481">
        <w:rPr>
          <w:szCs w:val="22"/>
        </w:rPr>
        <w:t xml:space="preserve"> No special circumstances </w:t>
      </w:r>
      <w:proofErr w:type="gramStart"/>
      <w:r w:rsidRPr="000B5481">
        <w:rPr>
          <w:szCs w:val="22"/>
        </w:rPr>
        <w:t>are known</w:t>
      </w:r>
      <w:proofErr w:type="gramEnd"/>
      <w:r w:rsidRPr="000B5481">
        <w:rPr>
          <w:szCs w:val="22"/>
        </w:rPr>
        <w:t xml:space="preserve"> that would cause inconsistency with these guidelines.</w:t>
      </w:r>
    </w:p>
    <w:p w:rsidR="00DC3806" w:rsidP="00FE58A0" w:rsidRDefault="00DC3806" w14:paraId="02544D15" w14:textId="77777777">
      <w:pPr>
        <w:spacing w:line="240" w:lineRule="auto"/>
        <w:jc w:val="left"/>
        <w:rPr>
          <w:rFonts w:ascii="Franklin Gothic Medium" w:hAnsi="Franklin Gothic Medium"/>
          <w:color w:val="17365D"/>
          <w:sz w:val="32"/>
          <w:szCs w:val="32"/>
        </w:rPr>
      </w:pPr>
      <w:bookmarkStart w:name="_Toc461936339" w:id="10"/>
    </w:p>
    <w:p w:rsidR="00DC3806" w:rsidP="00FE58A0" w:rsidRDefault="00DC3806" w14:paraId="5751271F" w14:textId="77777777">
      <w:pPr>
        <w:spacing w:line="240" w:lineRule="auto"/>
        <w:jc w:val="left"/>
        <w:rPr>
          <w:rFonts w:ascii="Franklin Gothic Medium" w:hAnsi="Franklin Gothic Medium"/>
          <w:color w:val="17365D"/>
          <w:sz w:val="32"/>
          <w:szCs w:val="32"/>
        </w:rPr>
      </w:pPr>
    </w:p>
    <w:p w:rsidR="00D5706C" w:rsidP="00DC3806" w:rsidRDefault="004E7BE5" w14:paraId="7A865D2E" w14:textId="4ACB9337">
      <w:pPr>
        <w:spacing w:line="240" w:lineRule="auto"/>
        <w:ind w:left="1440" w:hanging="1440"/>
        <w:jc w:val="left"/>
        <w:rPr>
          <w:b/>
          <w:szCs w:val="22"/>
        </w:rPr>
      </w:pPr>
      <w:r w:rsidRPr="002B020F">
        <w:rPr>
          <w:rFonts w:ascii="Franklin Gothic Medium" w:hAnsi="Franklin Gothic Medium"/>
          <w:color w:val="17365D"/>
          <w:sz w:val="32"/>
          <w:szCs w:val="32"/>
        </w:rPr>
        <w:t>A.8</w:t>
      </w:r>
      <w:r w:rsidRPr="00DC3806">
        <w:rPr>
          <w:rFonts w:ascii="Franklin Gothic Medium" w:hAnsi="Franklin Gothic Medium"/>
          <w:b/>
          <w:color w:val="17365D"/>
          <w:sz w:val="32"/>
          <w:szCs w:val="32"/>
        </w:rPr>
        <w:tab/>
        <w:t xml:space="preserve">Comments in Response to the Federal Register Notice </w:t>
      </w:r>
      <w:r w:rsidRPr="00DC3806" w:rsidR="002B020F">
        <w:rPr>
          <w:rFonts w:ascii="Franklin Gothic Medium" w:hAnsi="Franklin Gothic Medium"/>
          <w:b/>
          <w:color w:val="17365D"/>
          <w:sz w:val="32"/>
          <w:szCs w:val="32"/>
        </w:rPr>
        <w:t>&amp;</w:t>
      </w:r>
      <w:r w:rsidRPr="00DC3806">
        <w:rPr>
          <w:rFonts w:ascii="Franklin Gothic Medium" w:hAnsi="Franklin Gothic Medium"/>
          <w:b/>
          <w:color w:val="17365D"/>
          <w:sz w:val="32"/>
          <w:szCs w:val="32"/>
        </w:rPr>
        <w:t xml:space="preserve"> Efforts to Consult Outside the Agency</w:t>
      </w:r>
      <w:r w:rsidRPr="002B020F">
        <w:rPr>
          <w:rFonts w:ascii="Franklin Gothic Medium" w:hAnsi="Franklin Gothic Medium"/>
          <w:color w:val="17365D"/>
          <w:sz w:val="32"/>
          <w:szCs w:val="32"/>
        </w:rPr>
        <w:t xml:space="preserve"> </w:t>
      </w:r>
      <w:bookmarkEnd w:id="10"/>
    </w:p>
    <w:p w:rsidR="00FE58A0" w:rsidP="004E7BE5" w:rsidRDefault="00FE58A0" w14:paraId="12FA3315" w14:textId="77777777">
      <w:pPr>
        <w:pStyle w:val="SL-FlLftSgl"/>
        <w:spacing w:line="240" w:lineRule="auto"/>
        <w:jc w:val="left"/>
        <w:rPr>
          <w:b/>
          <w:szCs w:val="22"/>
        </w:rPr>
      </w:pPr>
    </w:p>
    <w:p w:rsidRPr="00053045" w:rsidR="00C60A8E" w:rsidP="004E7BE5" w:rsidRDefault="00C60A8E" w14:paraId="0FB1BA5B" w14:textId="333F0045">
      <w:pPr>
        <w:pStyle w:val="SL-FlLftSgl"/>
        <w:spacing w:line="240" w:lineRule="auto"/>
        <w:jc w:val="left"/>
        <w:rPr>
          <w:b/>
          <w:sz w:val="24"/>
          <w:szCs w:val="24"/>
        </w:rPr>
      </w:pPr>
      <w:r w:rsidRPr="00053045">
        <w:rPr>
          <w:b/>
          <w:sz w:val="24"/>
          <w:szCs w:val="24"/>
        </w:rPr>
        <w:t>Comments in Response to the Federal Register Notice</w:t>
      </w:r>
    </w:p>
    <w:p w:rsidR="00C60A8E" w:rsidP="004E7BE5" w:rsidRDefault="00C60A8E" w14:paraId="3046E64A" w14:textId="7D57C53F">
      <w:pPr>
        <w:pStyle w:val="SL-FlLftSgl"/>
        <w:spacing w:line="240" w:lineRule="auto"/>
        <w:jc w:val="left"/>
        <w:rPr>
          <w:szCs w:val="22"/>
        </w:rPr>
      </w:pPr>
    </w:p>
    <w:p w:rsidRPr="00D2712F" w:rsidR="009F651F" w:rsidP="004E7BE5" w:rsidRDefault="004E7BE5" w14:paraId="478698AD" w14:textId="164FDDFA">
      <w:pPr>
        <w:pStyle w:val="SL-FlLftSgl"/>
        <w:spacing w:line="240" w:lineRule="auto"/>
        <w:jc w:val="left"/>
        <w:rPr>
          <w:szCs w:val="22"/>
        </w:rPr>
      </w:pPr>
      <w:r w:rsidRPr="00D2712F">
        <w:rPr>
          <w:szCs w:val="22"/>
        </w:rPr>
        <w:lastRenderedPageBreak/>
        <w:t xml:space="preserve">A 60-day Federal Register Notice published in the Federal Register on </w:t>
      </w:r>
      <w:r w:rsidRPr="00D2712F" w:rsidR="00D2712F">
        <w:rPr>
          <w:szCs w:val="22"/>
        </w:rPr>
        <w:t>November 17, 2020</w:t>
      </w:r>
      <w:r w:rsidRPr="00D2712F" w:rsidR="0070138E">
        <w:rPr>
          <w:szCs w:val="22"/>
        </w:rPr>
        <w:t>,</w:t>
      </w:r>
      <w:r w:rsidRPr="00D2712F" w:rsidR="00AB1A1B">
        <w:rPr>
          <w:szCs w:val="22"/>
        </w:rPr>
        <w:t xml:space="preserve"> </w:t>
      </w:r>
      <w:r w:rsidRPr="00D2712F" w:rsidR="0070138E">
        <w:rPr>
          <w:color w:val="333333"/>
          <w:sz w:val="24"/>
          <w:szCs w:val="24"/>
        </w:rPr>
        <w:t>8</w:t>
      </w:r>
      <w:r w:rsidRPr="00D2712F" w:rsidR="00D2712F">
        <w:rPr>
          <w:color w:val="333333"/>
          <w:sz w:val="24"/>
          <w:szCs w:val="24"/>
        </w:rPr>
        <w:t>5</w:t>
      </w:r>
      <w:r w:rsidRPr="00D2712F" w:rsidR="0070138E">
        <w:rPr>
          <w:color w:val="333333"/>
          <w:sz w:val="24"/>
          <w:szCs w:val="24"/>
        </w:rPr>
        <w:t xml:space="preserve"> FR </w:t>
      </w:r>
      <w:r w:rsidRPr="00D2712F" w:rsidR="00D2712F">
        <w:rPr>
          <w:color w:val="333333"/>
          <w:sz w:val="24"/>
          <w:szCs w:val="24"/>
        </w:rPr>
        <w:t>222</w:t>
      </w:r>
      <w:r w:rsidRPr="00D2712F" w:rsidR="0070138E">
        <w:rPr>
          <w:szCs w:val="22"/>
        </w:rPr>
        <w:t xml:space="preserve"> </w:t>
      </w:r>
      <w:r w:rsidRPr="00D2712F" w:rsidR="00D2712F">
        <w:rPr>
          <w:szCs w:val="22"/>
        </w:rPr>
        <w:t xml:space="preserve">https://www.govinfo.gov/content/pkg/FR-2020-11-17/pdf/2020-25276.pdf </w:t>
      </w:r>
      <w:r w:rsidRPr="00D2712F">
        <w:rPr>
          <w:szCs w:val="22"/>
        </w:rPr>
        <w:t>(see Appendix D).</w:t>
      </w:r>
      <w:r w:rsidR="00116FF3">
        <w:rPr>
          <w:szCs w:val="22"/>
        </w:rPr>
        <w:t xml:space="preserve"> </w:t>
      </w:r>
      <w:r w:rsidR="009F651F">
        <w:rPr>
          <w:szCs w:val="22"/>
        </w:rPr>
        <w:t xml:space="preserve">A 30-day Federal Register Notice published in the Federal Register on April 1, 2021, 86 FR 17153. </w:t>
      </w:r>
    </w:p>
    <w:p w:rsidRPr="0033230A" w:rsidR="00C60A8E" w:rsidP="00C60A8E" w:rsidRDefault="00C60A8E" w14:paraId="5624DCB8" w14:textId="77777777">
      <w:pPr>
        <w:autoSpaceDE w:val="0"/>
        <w:autoSpaceDN w:val="0"/>
        <w:adjustRightInd w:val="0"/>
        <w:spacing w:line="240" w:lineRule="auto"/>
        <w:rPr>
          <w:i/>
          <w:sz w:val="20"/>
        </w:rPr>
      </w:pPr>
    </w:p>
    <w:p w:rsidRPr="00D2712F" w:rsidR="00C60A8E" w:rsidP="00C60A8E" w:rsidRDefault="00C60A8E" w14:paraId="5F346831" w14:textId="3466712A">
      <w:pPr>
        <w:autoSpaceDE w:val="0"/>
        <w:autoSpaceDN w:val="0"/>
        <w:adjustRightInd w:val="0"/>
        <w:spacing w:line="240" w:lineRule="auto"/>
      </w:pPr>
      <w:r w:rsidRPr="00D2712F">
        <w:t xml:space="preserve">ACL received comments from </w:t>
      </w:r>
      <w:r w:rsidR="00013D47">
        <w:t>two</w:t>
      </w:r>
      <w:r w:rsidRPr="00D2712F">
        <w:t xml:space="preserve"> organizations and from </w:t>
      </w:r>
      <w:r w:rsidR="00013D47">
        <w:t>two</w:t>
      </w:r>
      <w:r w:rsidRPr="00D2712F">
        <w:t xml:space="preserve"> individual</w:t>
      </w:r>
      <w:r w:rsidR="00873F44">
        <w:t>s</w:t>
      </w:r>
      <w:r w:rsidRPr="00D2712F">
        <w:t xml:space="preserve"> about the NSOAAP. </w:t>
      </w:r>
      <w:r w:rsidR="00013D47">
        <w:t xml:space="preserve">One organization submitted multiple (10 comments). </w:t>
      </w:r>
      <w:r w:rsidRPr="00D2712F">
        <w:t xml:space="preserve">ACL reviewed </w:t>
      </w:r>
      <w:r w:rsidRPr="00D2712F" w:rsidR="005B5308">
        <w:t xml:space="preserve">all </w:t>
      </w:r>
      <w:r w:rsidRPr="00D2712F">
        <w:t xml:space="preserve">of the comments. </w:t>
      </w:r>
      <w:r w:rsidRPr="00D2712F" w:rsidR="005B5308">
        <w:t xml:space="preserve">The comment from </w:t>
      </w:r>
      <w:r w:rsidR="00013D47">
        <w:t xml:space="preserve">one of </w:t>
      </w:r>
      <w:r w:rsidRPr="00D2712F" w:rsidR="005B5308">
        <w:t>the individual</w:t>
      </w:r>
      <w:r w:rsidR="00013D47">
        <w:t>s</w:t>
      </w:r>
      <w:r w:rsidRPr="00D2712F" w:rsidR="005B5308">
        <w:t xml:space="preserve"> was not relevant. </w:t>
      </w:r>
      <w:r w:rsidRPr="00D2712F">
        <w:t xml:space="preserve">For ease of review, </w:t>
      </w:r>
      <w:proofErr w:type="gramStart"/>
      <w:r w:rsidRPr="00D2712F">
        <w:t xml:space="preserve">the </w:t>
      </w:r>
      <w:r w:rsidRPr="00D2712F" w:rsidR="005B5308">
        <w:t xml:space="preserve">remaining </w:t>
      </w:r>
      <w:r w:rsidRPr="00D2712F">
        <w:t>comments and their responses have been grouped by topic or issue</w:t>
      </w:r>
      <w:proofErr w:type="gramEnd"/>
      <w:r w:rsidRPr="00D2712F">
        <w:t xml:space="preserve">. The ACL responses for each topic/issue </w:t>
      </w:r>
      <w:proofErr w:type="gramStart"/>
      <w:r w:rsidRPr="00D2712F">
        <w:t>are detailed</w:t>
      </w:r>
      <w:proofErr w:type="gramEnd"/>
      <w:r w:rsidRPr="00D2712F">
        <w:t xml:space="preserve"> in </w:t>
      </w:r>
      <w:r w:rsidRPr="00D2712F" w:rsidR="000D6F98">
        <w:t>T</w:t>
      </w:r>
      <w:r w:rsidRPr="00D2712F">
        <w:t>able</w:t>
      </w:r>
      <w:r w:rsidRPr="00D2712F" w:rsidR="000D6F98">
        <w:t xml:space="preserve"> A-1</w:t>
      </w:r>
      <w:r w:rsidRPr="00D2712F" w:rsidR="004A34B7">
        <w:t>:</w:t>
      </w:r>
      <w:r w:rsidRPr="00D2712F">
        <w:t xml:space="preserve"> </w:t>
      </w:r>
    </w:p>
    <w:p w:rsidR="00C60A8E" w:rsidP="004E7BE5" w:rsidRDefault="00C60A8E" w14:paraId="788E0879" w14:textId="77777777">
      <w:pPr>
        <w:pStyle w:val="SL-FlLftSgl"/>
        <w:spacing w:line="240" w:lineRule="auto"/>
        <w:jc w:val="left"/>
        <w:rPr>
          <w:szCs w:val="22"/>
        </w:rPr>
      </w:pPr>
    </w:p>
    <w:p w:rsidR="000D6F98" w:rsidP="00A4528C" w:rsidRDefault="000D6F98" w14:paraId="0E6D88FE" w14:textId="73B8C8D9">
      <w:pPr>
        <w:autoSpaceDE w:val="0"/>
        <w:autoSpaceDN w:val="0"/>
        <w:adjustRightInd w:val="0"/>
        <w:spacing w:line="240" w:lineRule="auto"/>
        <w:rPr>
          <w:rFonts w:ascii="Franklin Gothic Medium" w:hAnsi="Franklin Gothic Medium"/>
          <w:color w:val="17365D" w:themeColor="text2" w:themeShade="BF"/>
          <w:sz w:val="24"/>
          <w:szCs w:val="24"/>
        </w:rPr>
      </w:pPr>
      <w:r w:rsidRPr="007400A1">
        <w:rPr>
          <w:rFonts w:ascii="Franklin Gothic Medium" w:hAnsi="Franklin Gothic Medium"/>
          <w:color w:val="17365D" w:themeColor="text2" w:themeShade="BF"/>
          <w:sz w:val="24"/>
          <w:szCs w:val="24"/>
        </w:rPr>
        <w:t xml:space="preserve">Table </w:t>
      </w:r>
      <w:r>
        <w:rPr>
          <w:rFonts w:ascii="Franklin Gothic Medium" w:hAnsi="Franklin Gothic Medium"/>
          <w:color w:val="17365D" w:themeColor="text2" w:themeShade="BF"/>
          <w:sz w:val="24"/>
          <w:szCs w:val="24"/>
        </w:rPr>
        <w:t>A</w:t>
      </w:r>
      <w:r w:rsidRPr="007400A1">
        <w:rPr>
          <w:rFonts w:ascii="Franklin Gothic Medium" w:hAnsi="Franklin Gothic Medium"/>
          <w:color w:val="17365D" w:themeColor="text2" w:themeShade="BF"/>
          <w:sz w:val="24"/>
          <w:szCs w:val="24"/>
        </w:rPr>
        <w:t>-</w:t>
      </w:r>
      <w:r>
        <w:rPr>
          <w:rFonts w:ascii="Franklin Gothic Medium" w:hAnsi="Franklin Gothic Medium"/>
          <w:color w:val="17365D" w:themeColor="text2" w:themeShade="BF"/>
          <w:sz w:val="24"/>
          <w:szCs w:val="24"/>
        </w:rPr>
        <w:t>1</w:t>
      </w:r>
      <w:r w:rsidRPr="007400A1">
        <w:rPr>
          <w:rFonts w:ascii="Franklin Gothic Medium" w:hAnsi="Franklin Gothic Medium"/>
          <w:color w:val="17365D" w:themeColor="text2" w:themeShade="BF"/>
          <w:sz w:val="24"/>
          <w:szCs w:val="24"/>
        </w:rPr>
        <w:tab/>
      </w:r>
      <w:r w:rsidR="00034A1C">
        <w:rPr>
          <w:rFonts w:ascii="Franklin Gothic Medium" w:hAnsi="Franklin Gothic Medium"/>
          <w:color w:val="17365D" w:themeColor="text2" w:themeShade="BF"/>
          <w:sz w:val="24"/>
          <w:szCs w:val="24"/>
        </w:rPr>
        <w:t xml:space="preserve">60-Day </w:t>
      </w:r>
      <w:r>
        <w:rPr>
          <w:rFonts w:ascii="Franklin Gothic Medium" w:hAnsi="Franklin Gothic Medium"/>
          <w:color w:val="17365D" w:themeColor="text2" w:themeShade="BF"/>
          <w:sz w:val="24"/>
          <w:szCs w:val="24"/>
        </w:rPr>
        <w:t>Federal Register Comments and ACL Responses</w:t>
      </w:r>
    </w:p>
    <w:tbl>
      <w:tblPr>
        <w:tblW w:w="98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5"/>
        <w:gridCol w:w="4950"/>
        <w:gridCol w:w="3247"/>
      </w:tblGrid>
      <w:tr w:rsidRPr="00EE27C0" w:rsidR="001D67C7" w:rsidTr="00820559" w14:paraId="1382AFF6" w14:textId="77777777">
        <w:tc>
          <w:tcPr>
            <w:tcW w:w="1615" w:type="dxa"/>
            <w:shd w:val="clear" w:color="auto" w:fill="auto"/>
          </w:tcPr>
          <w:p w:rsidRPr="00E17577" w:rsidR="001D67C7" w:rsidP="00FF61A3" w:rsidRDefault="001D67C7" w14:paraId="2E627B33" w14:textId="77777777">
            <w:pPr>
              <w:jc w:val="center"/>
              <w:rPr>
                <w:rFonts w:asciiTheme="minorHAnsi" w:hAnsiTheme="minorHAnsi"/>
                <w:b/>
                <w:szCs w:val="22"/>
              </w:rPr>
            </w:pPr>
            <w:r w:rsidRPr="00E17577">
              <w:rPr>
                <w:rFonts w:asciiTheme="minorHAnsi" w:hAnsiTheme="minorHAnsi"/>
                <w:b/>
                <w:szCs w:val="22"/>
              </w:rPr>
              <w:t>Topic/Issue</w:t>
            </w:r>
          </w:p>
        </w:tc>
        <w:tc>
          <w:tcPr>
            <w:tcW w:w="4950" w:type="dxa"/>
            <w:shd w:val="clear" w:color="auto" w:fill="auto"/>
          </w:tcPr>
          <w:p w:rsidRPr="00E17577" w:rsidR="001D67C7" w:rsidP="00FF61A3" w:rsidRDefault="001D67C7" w14:paraId="131D2654" w14:textId="77777777">
            <w:pPr>
              <w:jc w:val="center"/>
              <w:rPr>
                <w:rFonts w:asciiTheme="minorHAnsi" w:hAnsiTheme="minorHAnsi"/>
                <w:b/>
                <w:szCs w:val="22"/>
              </w:rPr>
            </w:pPr>
            <w:r w:rsidRPr="00E17577">
              <w:rPr>
                <w:rFonts w:asciiTheme="minorHAnsi" w:hAnsiTheme="minorHAnsi"/>
                <w:b/>
                <w:szCs w:val="22"/>
              </w:rPr>
              <w:t>Comment</w:t>
            </w:r>
          </w:p>
        </w:tc>
        <w:tc>
          <w:tcPr>
            <w:tcW w:w="3247" w:type="dxa"/>
            <w:shd w:val="clear" w:color="auto" w:fill="auto"/>
          </w:tcPr>
          <w:p w:rsidRPr="00E17577" w:rsidR="001D67C7" w:rsidP="00FF61A3" w:rsidRDefault="001D67C7" w14:paraId="60540CFA" w14:textId="77777777">
            <w:pPr>
              <w:jc w:val="center"/>
              <w:rPr>
                <w:rFonts w:asciiTheme="minorHAnsi" w:hAnsiTheme="minorHAnsi"/>
                <w:b/>
                <w:szCs w:val="22"/>
              </w:rPr>
            </w:pPr>
            <w:r w:rsidRPr="00E17577">
              <w:rPr>
                <w:rFonts w:asciiTheme="minorHAnsi" w:hAnsiTheme="minorHAnsi"/>
                <w:b/>
                <w:szCs w:val="22"/>
              </w:rPr>
              <w:t>ACL Response</w:t>
            </w:r>
          </w:p>
        </w:tc>
      </w:tr>
      <w:tr w:rsidRPr="00EE27C0" w:rsidR="001D67C7" w:rsidTr="00820559" w14:paraId="473D3B8C" w14:textId="77777777">
        <w:tc>
          <w:tcPr>
            <w:tcW w:w="1615" w:type="dxa"/>
            <w:shd w:val="clear" w:color="auto" w:fill="auto"/>
          </w:tcPr>
          <w:p w:rsidRPr="003C4F05" w:rsidR="001D67C7" w:rsidP="00820559" w:rsidRDefault="001D67C7" w14:paraId="17A51B61" w14:textId="77777777">
            <w:pPr>
              <w:jc w:val="left"/>
              <w:rPr>
                <w:rFonts w:asciiTheme="minorHAnsi" w:hAnsiTheme="minorHAnsi"/>
                <w:szCs w:val="22"/>
              </w:rPr>
            </w:pPr>
            <w:r>
              <w:rPr>
                <w:rFonts w:asciiTheme="minorHAnsi" w:hAnsiTheme="minorHAnsi"/>
                <w:szCs w:val="22"/>
              </w:rPr>
              <w:t>F</w:t>
            </w:r>
            <w:r w:rsidRPr="003C4F05">
              <w:rPr>
                <w:rFonts w:asciiTheme="minorHAnsi" w:hAnsiTheme="minorHAnsi"/>
                <w:szCs w:val="22"/>
              </w:rPr>
              <w:t>ood insecurity in older adults</w:t>
            </w:r>
          </w:p>
          <w:p w:rsidRPr="00AC7F3D" w:rsidR="001D67C7" w:rsidP="00820559" w:rsidRDefault="001D67C7" w14:paraId="341815C1" w14:textId="77777777">
            <w:pPr>
              <w:jc w:val="left"/>
              <w:rPr>
                <w:rFonts w:asciiTheme="minorHAnsi" w:hAnsiTheme="minorHAnsi"/>
                <w:szCs w:val="22"/>
                <w:highlight w:val="yellow"/>
              </w:rPr>
            </w:pPr>
          </w:p>
        </w:tc>
        <w:tc>
          <w:tcPr>
            <w:tcW w:w="4950" w:type="dxa"/>
            <w:shd w:val="clear" w:color="auto" w:fill="auto"/>
          </w:tcPr>
          <w:p w:rsidRPr="00AC7F3D" w:rsidR="001D67C7" w:rsidP="00820559" w:rsidRDefault="001D67C7" w14:paraId="1B076BD3" w14:textId="77777777">
            <w:pPr>
              <w:jc w:val="left"/>
              <w:rPr>
                <w:rFonts w:asciiTheme="minorHAnsi" w:hAnsiTheme="minorHAnsi"/>
                <w:szCs w:val="22"/>
                <w:highlight w:val="yellow"/>
              </w:rPr>
            </w:pPr>
            <w:r>
              <w:rPr>
                <w:rFonts w:asciiTheme="minorHAnsi" w:hAnsiTheme="minorHAnsi" w:cstheme="minorHAnsi"/>
              </w:rPr>
              <w:t>“</w:t>
            </w:r>
            <w:r w:rsidRPr="003C4F05">
              <w:rPr>
                <w:rFonts w:asciiTheme="minorHAnsi" w:hAnsiTheme="minorHAnsi" w:cstheme="minorHAnsi"/>
              </w:rPr>
              <w:t>We support the inclusion of the USDA module to provide national estimates of the rate of food insecurity among OAA program participants. We recommend this module be continuously included in future administration of this</w:t>
            </w:r>
            <w:r>
              <w:t xml:space="preserve"> </w:t>
            </w:r>
            <w:r w:rsidRPr="003C4F05">
              <w:rPr>
                <w:rFonts w:asciiTheme="minorHAnsi" w:hAnsiTheme="minorHAnsi" w:cstheme="minorHAnsi"/>
              </w:rPr>
              <w:t>survey.”</w:t>
            </w:r>
          </w:p>
        </w:tc>
        <w:tc>
          <w:tcPr>
            <w:tcW w:w="3247" w:type="dxa"/>
            <w:shd w:val="clear" w:color="auto" w:fill="auto"/>
          </w:tcPr>
          <w:p w:rsidRPr="003C4F05" w:rsidR="001D67C7" w:rsidP="00820559" w:rsidRDefault="001D67C7" w14:paraId="06C047E9" w14:textId="77777777">
            <w:pPr>
              <w:jc w:val="left"/>
              <w:rPr>
                <w:rFonts w:asciiTheme="minorHAnsi" w:hAnsiTheme="minorHAnsi"/>
                <w:szCs w:val="22"/>
              </w:rPr>
            </w:pPr>
            <w:r w:rsidRPr="003C4F05">
              <w:rPr>
                <w:rFonts w:asciiTheme="minorHAnsi" w:hAnsiTheme="minorHAnsi"/>
                <w:szCs w:val="22"/>
              </w:rPr>
              <w:t>ACL concurs and plans to maintain th</w:t>
            </w:r>
            <w:r>
              <w:rPr>
                <w:rFonts w:asciiTheme="minorHAnsi" w:hAnsiTheme="minorHAnsi"/>
                <w:szCs w:val="22"/>
              </w:rPr>
              <w:t>e USDA</w:t>
            </w:r>
            <w:r w:rsidRPr="003C4F05">
              <w:rPr>
                <w:rFonts w:asciiTheme="minorHAnsi" w:hAnsiTheme="minorHAnsi"/>
                <w:szCs w:val="22"/>
              </w:rPr>
              <w:t xml:space="preserve"> module and associated questions for the </w:t>
            </w:r>
            <w:proofErr w:type="gramStart"/>
            <w:r w:rsidRPr="003C4F05">
              <w:rPr>
                <w:rFonts w:asciiTheme="minorHAnsi" w:hAnsiTheme="minorHAnsi"/>
                <w:szCs w:val="22"/>
              </w:rPr>
              <w:t>foreseeable</w:t>
            </w:r>
            <w:proofErr w:type="gramEnd"/>
            <w:r w:rsidRPr="003C4F05">
              <w:rPr>
                <w:rFonts w:asciiTheme="minorHAnsi" w:hAnsiTheme="minorHAnsi"/>
                <w:szCs w:val="22"/>
              </w:rPr>
              <w:t xml:space="preserve"> future.</w:t>
            </w:r>
          </w:p>
          <w:p w:rsidRPr="00AC7F3D" w:rsidR="001D67C7" w:rsidP="00820559" w:rsidRDefault="001D67C7" w14:paraId="19936959" w14:textId="77777777">
            <w:pPr>
              <w:jc w:val="left"/>
              <w:rPr>
                <w:rFonts w:asciiTheme="minorHAnsi" w:hAnsiTheme="minorHAnsi"/>
                <w:szCs w:val="22"/>
                <w:highlight w:val="yellow"/>
              </w:rPr>
            </w:pPr>
          </w:p>
        </w:tc>
      </w:tr>
      <w:tr w:rsidRPr="00EE27C0" w:rsidR="001D67C7" w:rsidTr="00820559" w14:paraId="598C11E7" w14:textId="77777777">
        <w:tc>
          <w:tcPr>
            <w:tcW w:w="1615" w:type="dxa"/>
            <w:shd w:val="clear" w:color="auto" w:fill="auto"/>
          </w:tcPr>
          <w:p w:rsidRPr="00AC7F3D" w:rsidR="001D67C7" w:rsidP="00820559" w:rsidRDefault="001D67C7" w14:paraId="132236E4" w14:textId="77777777">
            <w:pPr>
              <w:jc w:val="left"/>
              <w:rPr>
                <w:rFonts w:asciiTheme="minorHAnsi" w:hAnsiTheme="minorHAnsi"/>
                <w:szCs w:val="22"/>
                <w:highlight w:val="yellow"/>
              </w:rPr>
            </w:pPr>
            <w:r>
              <w:rPr>
                <w:rFonts w:asciiTheme="minorHAnsi" w:hAnsiTheme="minorHAnsi"/>
                <w:szCs w:val="22"/>
              </w:rPr>
              <w:t>R</w:t>
            </w:r>
            <w:r w:rsidRPr="00290418">
              <w:rPr>
                <w:rFonts w:asciiTheme="minorHAnsi" w:hAnsiTheme="minorHAnsi"/>
                <w:szCs w:val="22"/>
              </w:rPr>
              <w:t xml:space="preserve">isk of malnutrition </w:t>
            </w:r>
          </w:p>
        </w:tc>
        <w:tc>
          <w:tcPr>
            <w:tcW w:w="4950" w:type="dxa"/>
            <w:shd w:val="clear" w:color="auto" w:fill="auto"/>
          </w:tcPr>
          <w:p w:rsidR="001D67C7" w:rsidP="00820559" w:rsidRDefault="001D67C7" w14:paraId="22A071D1" w14:textId="77777777">
            <w:pPr>
              <w:jc w:val="left"/>
              <w:rPr>
                <w:rFonts w:asciiTheme="minorHAnsi" w:hAnsiTheme="minorHAnsi" w:cstheme="minorHAnsi"/>
              </w:rPr>
            </w:pPr>
            <w:r w:rsidRPr="00C82C61">
              <w:rPr>
                <w:rFonts w:asciiTheme="minorHAnsi" w:hAnsiTheme="minorHAnsi" w:cstheme="minorHAnsi"/>
                <w:szCs w:val="22"/>
              </w:rPr>
              <w:t>“</w:t>
            </w:r>
            <w:r w:rsidRPr="00C82C61">
              <w:rPr>
                <w:rFonts w:asciiTheme="minorHAnsi" w:hAnsiTheme="minorHAnsi" w:cstheme="minorHAnsi"/>
              </w:rPr>
              <w:t xml:space="preserve">We suggest that ACL consider adding malnutrition screening questions in addition to the USDA module’s food insecurity questions, such as: </w:t>
            </w:r>
          </w:p>
          <w:p w:rsidR="001D67C7" w:rsidP="00820559" w:rsidRDefault="001D67C7" w14:paraId="003B201E" w14:textId="77777777">
            <w:pPr>
              <w:jc w:val="left"/>
              <w:rPr>
                <w:rFonts w:asciiTheme="minorHAnsi" w:hAnsiTheme="minorHAnsi" w:cstheme="minorHAnsi"/>
              </w:rPr>
            </w:pPr>
            <w:r w:rsidRPr="00C82C61">
              <w:rPr>
                <w:rFonts w:asciiTheme="minorHAnsi" w:hAnsiTheme="minorHAnsi" w:cstheme="minorHAnsi"/>
              </w:rPr>
              <w:t xml:space="preserve">• Do you ever eat only one meal daily?” </w:t>
            </w:r>
          </w:p>
          <w:p w:rsidR="001D67C7" w:rsidP="00820559" w:rsidRDefault="001D67C7" w14:paraId="774BD36C" w14:textId="77777777">
            <w:pPr>
              <w:jc w:val="left"/>
              <w:rPr>
                <w:rFonts w:asciiTheme="minorHAnsi" w:hAnsiTheme="minorHAnsi" w:cstheme="minorHAnsi"/>
              </w:rPr>
            </w:pPr>
            <w:r w:rsidRPr="00C82C61">
              <w:rPr>
                <w:rFonts w:asciiTheme="minorHAnsi" w:hAnsiTheme="minorHAnsi" w:cstheme="minorHAnsi"/>
              </w:rPr>
              <w:t xml:space="preserve">• Do limits on chewing, swallowing or physical mobility ever prevent you from eating your home-delivered meals, even though you may be hungry?” </w:t>
            </w:r>
          </w:p>
          <w:p w:rsidRPr="00C82C61" w:rsidR="001D67C7" w:rsidP="00820559" w:rsidRDefault="001D67C7" w14:paraId="32FABCBD" w14:textId="77777777">
            <w:pPr>
              <w:jc w:val="left"/>
              <w:rPr>
                <w:rFonts w:asciiTheme="minorHAnsi" w:hAnsiTheme="minorHAnsi" w:cstheme="minorHAnsi"/>
                <w:szCs w:val="22"/>
                <w:highlight w:val="yellow"/>
              </w:rPr>
            </w:pPr>
            <w:r w:rsidRPr="00C82C61">
              <w:rPr>
                <w:rFonts w:asciiTheme="minorHAnsi" w:hAnsiTheme="minorHAnsi" w:cstheme="minorHAnsi"/>
              </w:rPr>
              <w:t xml:space="preserve">• Do limits on chewing, swallowing or physical mobility ever prevent you from getting to your local congregate meal site and eating your meal, even though you may be hungry?” </w:t>
            </w:r>
          </w:p>
          <w:p w:rsidR="001D67C7" w:rsidP="00820559" w:rsidRDefault="001D67C7" w14:paraId="5827731A" w14:textId="77777777">
            <w:pPr>
              <w:jc w:val="left"/>
              <w:rPr>
                <w:rFonts w:asciiTheme="minorHAnsi" w:hAnsiTheme="minorHAnsi"/>
                <w:szCs w:val="22"/>
                <w:highlight w:val="yellow"/>
              </w:rPr>
            </w:pPr>
          </w:p>
          <w:p w:rsidR="001D67C7" w:rsidP="00820559" w:rsidRDefault="001D67C7" w14:paraId="7C77A17B" w14:textId="77777777">
            <w:pPr>
              <w:jc w:val="left"/>
              <w:rPr>
                <w:rFonts w:asciiTheme="minorHAnsi" w:hAnsiTheme="minorHAnsi"/>
                <w:szCs w:val="22"/>
                <w:highlight w:val="yellow"/>
              </w:rPr>
            </w:pPr>
          </w:p>
          <w:p w:rsidR="001D67C7" w:rsidP="00820559" w:rsidRDefault="001D67C7" w14:paraId="147AE140" w14:textId="77777777">
            <w:pPr>
              <w:jc w:val="left"/>
              <w:rPr>
                <w:rFonts w:asciiTheme="minorHAnsi" w:hAnsiTheme="minorHAnsi"/>
                <w:szCs w:val="22"/>
                <w:highlight w:val="yellow"/>
              </w:rPr>
            </w:pPr>
          </w:p>
          <w:p w:rsidRPr="00AC7F3D" w:rsidR="001D67C7" w:rsidP="00820559" w:rsidRDefault="001D67C7" w14:paraId="49200793" w14:textId="77777777">
            <w:pPr>
              <w:jc w:val="left"/>
              <w:rPr>
                <w:rFonts w:asciiTheme="minorHAnsi" w:hAnsiTheme="minorHAnsi"/>
                <w:szCs w:val="22"/>
                <w:highlight w:val="yellow"/>
              </w:rPr>
            </w:pPr>
          </w:p>
        </w:tc>
        <w:tc>
          <w:tcPr>
            <w:tcW w:w="3247" w:type="dxa"/>
            <w:shd w:val="clear" w:color="auto" w:fill="auto"/>
          </w:tcPr>
          <w:p w:rsidRPr="00D853F6" w:rsidR="001D67C7" w:rsidP="00820559" w:rsidRDefault="001D67C7" w14:paraId="6CCF7C80" w14:textId="77777777">
            <w:pPr>
              <w:autoSpaceDE w:val="0"/>
              <w:autoSpaceDN w:val="0"/>
              <w:adjustRightInd w:val="0"/>
              <w:jc w:val="left"/>
              <w:rPr>
                <w:rFonts w:asciiTheme="minorHAnsi" w:hAnsiTheme="minorHAnsi"/>
                <w:szCs w:val="22"/>
              </w:rPr>
            </w:pPr>
            <w:r w:rsidRPr="00D853F6">
              <w:rPr>
                <w:rFonts w:asciiTheme="minorHAnsi" w:hAnsiTheme="minorHAnsi"/>
                <w:szCs w:val="22"/>
              </w:rPr>
              <w:t xml:space="preserve">ACL recognizes the importance of reducing and assessing risk for malnutrition. However, further deliberation </w:t>
            </w:r>
            <w:proofErr w:type="gramStart"/>
            <w:r w:rsidRPr="00D853F6">
              <w:rPr>
                <w:rFonts w:asciiTheme="minorHAnsi" w:hAnsiTheme="minorHAnsi"/>
                <w:szCs w:val="22"/>
              </w:rPr>
              <w:t>is needed</w:t>
            </w:r>
            <w:proofErr w:type="gramEnd"/>
            <w:r w:rsidRPr="00D853F6">
              <w:rPr>
                <w:rFonts w:asciiTheme="minorHAnsi" w:hAnsiTheme="minorHAnsi"/>
                <w:szCs w:val="22"/>
              </w:rPr>
              <w:t xml:space="preserve"> to ensure that we select the most appropriate and universally accepted language. ACL will call upon the expertise of a nutrition work</w:t>
            </w:r>
            <w:r>
              <w:rPr>
                <w:rFonts w:asciiTheme="minorHAnsi" w:hAnsiTheme="minorHAnsi"/>
                <w:szCs w:val="22"/>
              </w:rPr>
              <w:t>group</w:t>
            </w:r>
            <w:r w:rsidRPr="00D853F6">
              <w:rPr>
                <w:rFonts w:asciiTheme="minorHAnsi" w:hAnsiTheme="minorHAnsi"/>
                <w:szCs w:val="22"/>
              </w:rPr>
              <w:t xml:space="preserve"> to make recommendations to ACL on selecting the best language to use. The workgroup’s recommendation will inform a redesign of </w:t>
            </w:r>
            <w:proofErr w:type="gramStart"/>
            <w:r w:rsidRPr="00D853F6">
              <w:rPr>
                <w:rFonts w:asciiTheme="minorHAnsi" w:hAnsiTheme="minorHAnsi"/>
                <w:szCs w:val="22"/>
              </w:rPr>
              <w:t>future NSOAAP survey collection efforts</w:t>
            </w:r>
            <w:proofErr w:type="gramEnd"/>
            <w:r w:rsidRPr="00D853F6">
              <w:rPr>
                <w:rFonts w:asciiTheme="minorHAnsi" w:hAnsiTheme="minorHAnsi"/>
                <w:szCs w:val="22"/>
              </w:rPr>
              <w:t xml:space="preserve">. </w:t>
            </w:r>
          </w:p>
          <w:p w:rsidRPr="00AC7F3D" w:rsidR="001D67C7" w:rsidP="00820559" w:rsidRDefault="001D67C7" w14:paraId="6EE81C21" w14:textId="77777777">
            <w:pPr>
              <w:autoSpaceDE w:val="0"/>
              <w:autoSpaceDN w:val="0"/>
              <w:adjustRightInd w:val="0"/>
              <w:jc w:val="left"/>
              <w:rPr>
                <w:rFonts w:asciiTheme="minorHAnsi" w:hAnsiTheme="minorHAnsi"/>
                <w:szCs w:val="22"/>
                <w:highlight w:val="yellow"/>
              </w:rPr>
            </w:pPr>
          </w:p>
        </w:tc>
      </w:tr>
      <w:tr w:rsidRPr="00EE27C0" w:rsidR="001D67C7" w:rsidTr="00820559" w14:paraId="223B92BC" w14:textId="77777777">
        <w:tc>
          <w:tcPr>
            <w:tcW w:w="1615" w:type="dxa"/>
            <w:shd w:val="clear" w:color="auto" w:fill="auto"/>
          </w:tcPr>
          <w:p w:rsidRPr="00FD64AC" w:rsidR="001D67C7" w:rsidP="00820559" w:rsidRDefault="001D67C7" w14:paraId="6D97A4C1" w14:textId="77777777">
            <w:pPr>
              <w:jc w:val="left"/>
              <w:rPr>
                <w:rFonts w:asciiTheme="minorHAnsi" w:hAnsiTheme="minorHAnsi" w:cstheme="minorHAnsi"/>
                <w:highlight w:val="yellow"/>
              </w:rPr>
            </w:pPr>
            <w:r w:rsidRPr="00FD64AC">
              <w:rPr>
                <w:rFonts w:asciiTheme="minorHAnsi" w:hAnsiTheme="minorHAnsi" w:cstheme="minorHAnsi"/>
              </w:rPr>
              <w:t>Medically-tailored meals for participants requiring special diets</w:t>
            </w:r>
          </w:p>
        </w:tc>
        <w:tc>
          <w:tcPr>
            <w:tcW w:w="4950" w:type="dxa"/>
            <w:shd w:val="clear" w:color="auto" w:fill="auto"/>
          </w:tcPr>
          <w:p w:rsidRPr="00FD64AC" w:rsidR="001D67C7" w:rsidP="00820559" w:rsidRDefault="001D67C7" w14:paraId="6D987825" w14:textId="77777777">
            <w:pPr>
              <w:pStyle w:val="ListParagraph"/>
              <w:ind w:left="0"/>
              <w:jc w:val="left"/>
              <w:rPr>
                <w:rFonts w:asciiTheme="minorHAnsi" w:hAnsiTheme="minorHAnsi" w:cstheme="minorHAnsi"/>
                <w:highlight w:val="yellow"/>
              </w:rPr>
            </w:pPr>
            <w:r w:rsidRPr="00FD64AC">
              <w:rPr>
                <w:rFonts w:asciiTheme="minorHAnsi" w:hAnsiTheme="minorHAnsi" w:cstheme="minorHAnsi"/>
              </w:rPr>
              <w:t>“</w:t>
            </w:r>
            <w:r w:rsidRPr="00687190">
              <w:rPr>
                <w:rFonts w:asciiTheme="minorHAnsi" w:hAnsiTheme="minorHAnsi" w:cstheme="minorHAnsi"/>
              </w:rPr>
              <w:t>We suggest that ACL consider adding a question about the need for therapeutic diets or texture-modified meals to better understand the needs of participants as it relates to</w:t>
            </w:r>
            <w:r>
              <w:t xml:space="preserve"> </w:t>
            </w:r>
            <w:r w:rsidRPr="00FD64AC">
              <w:rPr>
                <w:rFonts w:asciiTheme="minorHAnsi" w:hAnsiTheme="minorHAnsi" w:cstheme="minorHAnsi"/>
              </w:rPr>
              <w:t xml:space="preserve">medically tailored meals.” </w:t>
            </w:r>
          </w:p>
        </w:tc>
        <w:tc>
          <w:tcPr>
            <w:tcW w:w="3247" w:type="dxa"/>
            <w:shd w:val="clear" w:color="auto" w:fill="auto"/>
          </w:tcPr>
          <w:p w:rsidRPr="00A51AA8" w:rsidR="001D67C7" w:rsidP="00820559" w:rsidRDefault="001D67C7" w14:paraId="0D462359" w14:textId="77777777">
            <w:pPr>
              <w:jc w:val="left"/>
              <w:rPr>
                <w:rFonts w:asciiTheme="minorHAnsi" w:hAnsiTheme="minorHAnsi"/>
              </w:rPr>
            </w:pPr>
            <w:r w:rsidRPr="00A51AA8">
              <w:rPr>
                <w:rFonts w:asciiTheme="minorHAnsi" w:hAnsiTheme="minorHAnsi"/>
              </w:rPr>
              <w:t xml:space="preserve">ACL </w:t>
            </w:r>
            <w:r>
              <w:rPr>
                <w:rFonts w:asciiTheme="minorHAnsi" w:hAnsiTheme="minorHAnsi"/>
              </w:rPr>
              <w:t xml:space="preserve">recognizes the importance of capturing data on the capability of OAA nutrition programs to accommodate special diets. ACL will call upon nutrition experts to make recommendations and inform a redesign of future NSOAAP collection efforts. </w:t>
            </w:r>
          </w:p>
          <w:p w:rsidRPr="00AC7F3D" w:rsidR="001D67C7" w:rsidP="00820559" w:rsidRDefault="001D67C7" w14:paraId="56C6C334" w14:textId="77777777">
            <w:pPr>
              <w:jc w:val="left"/>
              <w:rPr>
                <w:rFonts w:asciiTheme="minorHAnsi" w:hAnsiTheme="minorHAnsi"/>
                <w:highlight w:val="yellow"/>
              </w:rPr>
            </w:pPr>
          </w:p>
        </w:tc>
      </w:tr>
      <w:tr w:rsidRPr="00EE27C0" w:rsidR="001D67C7" w:rsidTr="00820559" w14:paraId="777FFCEF" w14:textId="77777777">
        <w:tc>
          <w:tcPr>
            <w:tcW w:w="1615" w:type="dxa"/>
            <w:shd w:val="clear" w:color="auto" w:fill="auto"/>
          </w:tcPr>
          <w:p w:rsidRPr="00AC7F3D" w:rsidR="001D67C7" w:rsidP="00820559" w:rsidRDefault="001D67C7" w14:paraId="6278FEE7" w14:textId="77777777">
            <w:pPr>
              <w:jc w:val="left"/>
              <w:rPr>
                <w:rFonts w:asciiTheme="minorHAnsi" w:hAnsiTheme="minorHAnsi"/>
                <w:highlight w:val="yellow"/>
              </w:rPr>
            </w:pPr>
            <w:r w:rsidRPr="00E30421">
              <w:rPr>
                <w:rFonts w:asciiTheme="minorHAnsi" w:hAnsiTheme="minorHAnsi"/>
              </w:rPr>
              <w:t xml:space="preserve">Ethnic and cultural barriers to  communication </w:t>
            </w:r>
            <w:r w:rsidRPr="00E30421">
              <w:rPr>
                <w:rFonts w:asciiTheme="minorHAnsi" w:hAnsiTheme="minorHAnsi"/>
              </w:rPr>
              <w:lastRenderedPageBreak/>
              <w:t>and nutritional preferences</w:t>
            </w:r>
          </w:p>
        </w:tc>
        <w:tc>
          <w:tcPr>
            <w:tcW w:w="4950" w:type="dxa"/>
            <w:shd w:val="clear" w:color="auto" w:fill="auto"/>
          </w:tcPr>
          <w:p w:rsidR="001D67C7" w:rsidP="00820559" w:rsidRDefault="001D67C7" w14:paraId="56D7BE21" w14:textId="77777777">
            <w:pPr>
              <w:contextualSpacing/>
              <w:jc w:val="left"/>
              <w:rPr>
                <w:rFonts w:asciiTheme="minorHAnsi" w:hAnsiTheme="minorHAnsi" w:cstheme="minorHAnsi"/>
              </w:rPr>
            </w:pPr>
            <w:r w:rsidRPr="00ED5D0A">
              <w:rPr>
                <w:rFonts w:asciiTheme="minorHAnsi" w:hAnsiTheme="minorHAnsi" w:cstheme="minorHAnsi"/>
              </w:rPr>
              <w:lastRenderedPageBreak/>
              <w:t>“We suggest that ACL consider including a question about communication barriers to both the congregate and home-deliv</w:t>
            </w:r>
            <w:r>
              <w:rPr>
                <w:rFonts w:asciiTheme="minorHAnsi" w:hAnsiTheme="minorHAnsi" w:cstheme="minorHAnsi"/>
              </w:rPr>
              <w:t xml:space="preserve">ered meals modules, such as: </w:t>
            </w:r>
          </w:p>
          <w:p w:rsidR="001D67C7" w:rsidP="00820559" w:rsidRDefault="001D67C7" w14:paraId="2DA5EC81" w14:textId="77777777">
            <w:pPr>
              <w:contextualSpacing/>
              <w:jc w:val="left"/>
              <w:rPr>
                <w:rFonts w:asciiTheme="minorHAnsi" w:hAnsiTheme="minorHAnsi" w:cstheme="minorHAnsi"/>
              </w:rPr>
            </w:pPr>
            <w:r>
              <w:rPr>
                <w:rFonts w:asciiTheme="minorHAnsi" w:hAnsiTheme="minorHAnsi" w:cstheme="minorHAnsi"/>
              </w:rPr>
              <w:lastRenderedPageBreak/>
              <w:t xml:space="preserve">• </w:t>
            </w:r>
            <w:r w:rsidRPr="00ED5D0A">
              <w:rPr>
                <w:rFonts w:asciiTheme="minorHAnsi" w:hAnsiTheme="minorHAnsi" w:cstheme="minorHAnsi"/>
              </w:rPr>
              <w:t>Do you have language or cultural barriers to talking with staff at your congregate meal s</w:t>
            </w:r>
            <w:r>
              <w:rPr>
                <w:rFonts w:asciiTheme="minorHAnsi" w:hAnsiTheme="minorHAnsi" w:cstheme="minorHAnsi"/>
              </w:rPr>
              <w:t xml:space="preserve">ite/ your home delivery staff? </w:t>
            </w:r>
          </w:p>
          <w:p w:rsidR="001D67C7" w:rsidP="00820559" w:rsidRDefault="001D67C7" w14:paraId="516ED5A6" w14:textId="77777777">
            <w:pPr>
              <w:contextualSpacing/>
              <w:jc w:val="left"/>
              <w:rPr>
                <w:rFonts w:asciiTheme="minorHAnsi" w:hAnsiTheme="minorHAnsi" w:cstheme="minorHAnsi"/>
              </w:rPr>
            </w:pPr>
          </w:p>
          <w:p w:rsidRPr="00ED5D0A" w:rsidR="001D67C7" w:rsidP="00820559" w:rsidRDefault="001D67C7" w14:paraId="24071168" w14:textId="77777777">
            <w:pPr>
              <w:contextualSpacing/>
              <w:jc w:val="left"/>
              <w:rPr>
                <w:rFonts w:asciiTheme="minorHAnsi" w:hAnsiTheme="minorHAnsi" w:cstheme="minorHAnsi"/>
                <w:highlight w:val="yellow"/>
              </w:rPr>
            </w:pPr>
            <w:r w:rsidRPr="00ED5D0A">
              <w:rPr>
                <w:rFonts w:asciiTheme="minorHAnsi" w:hAnsiTheme="minorHAnsi" w:cstheme="minorHAnsi"/>
              </w:rPr>
              <w:t>We also suggest that ACL consider adding a question to both the congregate and home-delivered meals modules about meals meeting cultural preferences.</w:t>
            </w:r>
          </w:p>
        </w:tc>
        <w:tc>
          <w:tcPr>
            <w:tcW w:w="3247" w:type="dxa"/>
            <w:shd w:val="clear" w:color="auto" w:fill="auto"/>
          </w:tcPr>
          <w:p w:rsidR="001D67C7" w:rsidP="00820559" w:rsidRDefault="001D67C7" w14:paraId="3E337CED" w14:textId="77777777">
            <w:pPr>
              <w:jc w:val="left"/>
              <w:rPr>
                <w:rFonts w:asciiTheme="minorHAnsi" w:hAnsiTheme="minorHAnsi"/>
              </w:rPr>
            </w:pPr>
            <w:r w:rsidRPr="00A51AA8">
              <w:rPr>
                <w:rFonts w:asciiTheme="minorHAnsi" w:hAnsiTheme="minorHAnsi"/>
              </w:rPr>
              <w:lastRenderedPageBreak/>
              <w:t xml:space="preserve">ACL </w:t>
            </w:r>
            <w:r>
              <w:rPr>
                <w:rFonts w:asciiTheme="minorHAnsi" w:hAnsiTheme="minorHAnsi"/>
              </w:rPr>
              <w:t xml:space="preserve">recognizes that ethnic and cultural barriers may affect participants in the nutrition programs. ACL will call upon nutrition experts to make </w:t>
            </w:r>
            <w:r>
              <w:rPr>
                <w:rFonts w:asciiTheme="minorHAnsi" w:hAnsiTheme="minorHAnsi"/>
              </w:rPr>
              <w:lastRenderedPageBreak/>
              <w:t>recommendations and inform a redesign of future NSOAAP collection efforts.</w:t>
            </w:r>
          </w:p>
          <w:p w:rsidR="001D67C7" w:rsidP="00820559" w:rsidRDefault="001D67C7" w14:paraId="584C6823" w14:textId="77777777">
            <w:pPr>
              <w:jc w:val="left"/>
              <w:rPr>
                <w:rFonts w:asciiTheme="minorHAnsi" w:hAnsiTheme="minorHAnsi"/>
              </w:rPr>
            </w:pPr>
          </w:p>
          <w:p w:rsidRPr="00AC7F3D" w:rsidR="001D67C7" w:rsidP="00820559" w:rsidRDefault="001D67C7" w14:paraId="0643F0F8" w14:textId="77777777">
            <w:pPr>
              <w:jc w:val="left"/>
              <w:rPr>
                <w:rFonts w:asciiTheme="minorHAnsi" w:hAnsiTheme="minorHAnsi"/>
                <w:highlight w:val="yellow"/>
              </w:rPr>
            </w:pPr>
            <w:r>
              <w:rPr>
                <w:rFonts w:asciiTheme="minorHAnsi" w:hAnsiTheme="minorHAnsi"/>
              </w:rPr>
              <w:t>ACL is considering a special topical module related to equity and underserved populations.</w:t>
            </w:r>
          </w:p>
        </w:tc>
      </w:tr>
      <w:tr w:rsidRPr="00EE27C0" w:rsidR="001D67C7" w:rsidTr="00820559" w14:paraId="211A5CFA" w14:textId="77777777">
        <w:tc>
          <w:tcPr>
            <w:tcW w:w="1615" w:type="dxa"/>
            <w:shd w:val="clear" w:color="auto" w:fill="auto"/>
          </w:tcPr>
          <w:p w:rsidRPr="00AC7F3D" w:rsidR="001D67C7" w:rsidP="00820559" w:rsidRDefault="001D67C7" w14:paraId="0417486D" w14:textId="77777777">
            <w:pPr>
              <w:jc w:val="left"/>
              <w:rPr>
                <w:rFonts w:asciiTheme="minorHAnsi" w:hAnsiTheme="minorHAnsi"/>
                <w:highlight w:val="yellow"/>
              </w:rPr>
            </w:pPr>
            <w:r w:rsidRPr="00FD64AC">
              <w:rPr>
                <w:rFonts w:asciiTheme="minorHAnsi" w:hAnsiTheme="minorHAnsi"/>
              </w:rPr>
              <w:lastRenderedPageBreak/>
              <w:t xml:space="preserve">Nutrition counselor: Rephrase question to improve clarity </w:t>
            </w:r>
          </w:p>
        </w:tc>
        <w:tc>
          <w:tcPr>
            <w:tcW w:w="4950" w:type="dxa"/>
            <w:shd w:val="clear" w:color="auto" w:fill="auto"/>
          </w:tcPr>
          <w:p w:rsidRPr="00187E56" w:rsidR="001D67C7" w:rsidP="00820559" w:rsidRDefault="001D67C7" w14:paraId="0C422AC8" w14:textId="77777777">
            <w:pPr>
              <w:contextualSpacing/>
              <w:jc w:val="left"/>
              <w:rPr>
                <w:rFonts w:asciiTheme="minorHAnsi" w:hAnsiTheme="minorHAnsi"/>
              </w:rPr>
            </w:pPr>
            <w:r w:rsidRPr="00187E56">
              <w:rPr>
                <w:rFonts w:asciiTheme="minorHAnsi" w:hAnsiTheme="minorHAnsi" w:cstheme="minorHAnsi"/>
              </w:rPr>
              <w:t>“</w:t>
            </w:r>
            <w:proofErr w:type="gramStart"/>
            <w:r w:rsidRPr="00187E56">
              <w:rPr>
                <w:rFonts w:asciiTheme="minorHAnsi" w:hAnsiTheme="minorHAnsi" w:cstheme="minorHAnsi"/>
              </w:rPr>
              <w:t>SVC1(</w:t>
            </w:r>
            <w:proofErr w:type="gramEnd"/>
            <w:r w:rsidRPr="00187E56">
              <w:rPr>
                <w:rFonts w:asciiTheme="minorHAnsi" w:hAnsiTheme="minorHAnsi" w:cstheme="minorHAnsi"/>
              </w:rPr>
              <w:t>k) asks whether the respondent has access to a “nutrition counselor” who is providing dietary advice based on the respondent’s condition, medications, and related factors. We question why the survey would not specify “a qualified nutrition professional such as a registered dietitian” (or registered dietitian nutritionist), since these professionals are the most qualified to</w:t>
            </w:r>
            <w:r w:rsidRPr="00187E56">
              <w:t xml:space="preserve"> answer such questions. </w:t>
            </w:r>
            <w:r w:rsidRPr="00187E56">
              <w:rPr>
                <w:rFonts w:asciiTheme="minorHAnsi" w:hAnsiTheme="minorHAnsi" w:cstheme="minorHAnsi"/>
              </w:rPr>
              <w:t>Moreover, in 28 states, only licensed professionals are legally eligible to provide such advice. The term “nutrition counselor” allows for substantial subjective interpretations, and could theoretically include food service staff or other program participants who may be providing such advice against state law.”</w:t>
            </w:r>
          </w:p>
        </w:tc>
        <w:tc>
          <w:tcPr>
            <w:tcW w:w="3247" w:type="dxa"/>
            <w:shd w:val="clear" w:color="auto" w:fill="auto"/>
          </w:tcPr>
          <w:p w:rsidRPr="00187E56" w:rsidR="001D67C7" w:rsidP="00820559" w:rsidRDefault="001D67C7" w14:paraId="61700270" w14:textId="77777777">
            <w:pPr>
              <w:jc w:val="left"/>
              <w:rPr>
                <w:rFonts w:asciiTheme="minorHAnsi" w:hAnsiTheme="minorHAnsi"/>
              </w:rPr>
            </w:pPr>
            <w:r w:rsidRPr="00187E56">
              <w:rPr>
                <w:rFonts w:asciiTheme="minorHAnsi" w:hAnsiTheme="minorHAnsi"/>
              </w:rPr>
              <w:t xml:space="preserve">ACL recognizes </w:t>
            </w:r>
            <w:r>
              <w:rPr>
                <w:rFonts w:asciiTheme="minorHAnsi" w:hAnsiTheme="minorHAnsi"/>
              </w:rPr>
              <w:t xml:space="preserve">“nutrition counselor” may offer subjective responses. However, respondents may not know if the qualifications of the person providing dietary advice. </w:t>
            </w:r>
            <w:r w:rsidRPr="00187E56">
              <w:rPr>
                <w:rFonts w:asciiTheme="minorHAnsi" w:hAnsiTheme="minorHAnsi"/>
              </w:rPr>
              <w:t>ACL will call upon nutrition experts to make recommendations and inform a redesign of future NSOAAP collection efforts.</w:t>
            </w:r>
            <w:r>
              <w:rPr>
                <w:rFonts w:asciiTheme="minorHAnsi" w:hAnsiTheme="minorHAnsi"/>
              </w:rPr>
              <w:t xml:space="preserve"> The use of terminology for this item </w:t>
            </w:r>
            <w:proofErr w:type="gramStart"/>
            <w:r>
              <w:rPr>
                <w:rFonts w:asciiTheme="minorHAnsi" w:hAnsiTheme="minorHAnsi"/>
              </w:rPr>
              <w:t>will be tested</w:t>
            </w:r>
            <w:proofErr w:type="gramEnd"/>
            <w:r>
              <w:rPr>
                <w:rFonts w:asciiTheme="minorHAnsi" w:hAnsiTheme="minorHAnsi"/>
              </w:rPr>
              <w:t>.</w:t>
            </w:r>
          </w:p>
        </w:tc>
      </w:tr>
      <w:tr w:rsidRPr="00EE27C0" w:rsidR="001D67C7" w:rsidTr="00820559" w14:paraId="3BDE536D" w14:textId="77777777">
        <w:tc>
          <w:tcPr>
            <w:tcW w:w="1615" w:type="dxa"/>
            <w:shd w:val="clear" w:color="auto" w:fill="auto"/>
          </w:tcPr>
          <w:p w:rsidRPr="00AC7F3D" w:rsidR="001D67C7" w:rsidP="00820559" w:rsidRDefault="001D67C7" w14:paraId="0B6DB7F1" w14:textId="77777777">
            <w:pPr>
              <w:jc w:val="left"/>
              <w:rPr>
                <w:rFonts w:asciiTheme="minorHAnsi" w:hAnsiTheme="minorHAnsi"/>
                <w:highlight w:val="yellow"/>
              </w:rPr>
            </w:pPr>
            <w:r>
              <w:rPr>
                <w:rFonts w:asciiTheme="minorHAnsi" w:hAnsiTheme="minorHAnsi"/>
              </w:rPr>
              <w:t>Modify item response in</w:t>
            </w:r>
            <w:r w:rsidRPr="00FD64AC">
              <w:rPr>
                <w:rFonts w:asciiTheme="minorHAnsi" w:hAnsiTheme="minorHAnsi"/>
              </w:rPr>
              <w:t xml:space="preserve"> nutrition modules to include positive as well as negative changes.</w:t>
            </w:r>
          </w:p>
        </w:tc>
        <w:tc>
          <w:tcPr>
            <w:tcW w:w="4950" w:type="dxa"/>
            <w:shd w:val="clear" w:color="auto" w:fill="auto"/>
          </w:tcPr>
          <w:p w:rsidRPr="00B96FA9" w:rsidR="001D67C7" w:rsidP="00820559" w:rsidRDefault="001D67C7" w14:paraId="0B365938" w14:textId="77777777">
            <w:pPr>
              <w:contextualSpacing/>
              <w:jc w:val="left"/>
              <w:rPr>
                <w:rFonts w:asciiTheme="minorHAnsi" w:hAnsiTheme="minorHAnsi" w:cstheme="minorHAnsi"/>
                <w:highlight w:val="yellow"/>
              </w:rPr>
            </w:pPr>
            <w:r w:rsidRPr="00B96FA9">
              <w:rPr>
                <w:rFonts w:asciiTheme="minorHAnsi" w:hAnsiTheme="minorHAnsi" w:cstheme="minorHAnsi"/>
              </w:rPr>
              <w:t>“We note that the survey asks about changes in meals, but almost all coding options for the interviewer are about reductions or negative changes with few opportunities for interviewers to code any positive changes reported by participants. In addition to coding for both reductions and improvements in quality of the food, we recommend adding the corresponding “positive” option for all other codes. “</w:t>
            </w:r>
          </w:p>
        </w:tc>
        <w:tc>
          <w:tcPr>
            <w:tcW w:w="3247" w:type="dxa"/>
            <w:shd w:val="clear" w:color="auto" w:fill="auto"/>
          </w:tcPr>
          <w:p w:rsidRPr="007A4127" w:rsidR="001D67C7" w:rsidP="00820559" w:rsidRDefault="001D67C7" w14:paraId="3F096374" w14:textId="77777777">
            <w:pPr>
              <w:jc w:val="left"/>
              <w:rPr>
                <w:rFonts w:asciiTheme="minorHAnsi" w:hAnsiTheme="minorHAnsi"/>
              </w:rPr>
            </w:pPr>
            <w:r w:rsidRPr="007A4127">
              <w:rPr>
                <w:rFonts w:asciiTheme="minorHAnsi" w:hAnsiTheme="minorHAnsi"/>
              </w:rPr>
              <w:t xml:space="preserve">ACL concurs with this suggested </w:t>
            </w:r>
            <w:r>
              <w:rPr>
                <w:rFonts w:asciiTheme="minorHAnsi" w:hAnsiTheme="minorHAnsi"/>
              </w:rPr>
              <w:t>change</w:t>
            </w:r>
            <w:r w:rsidRPr="007A4127">
              <w:rPr>
                <w:rFonts w:asciiTheme="minorHAnsi" w:hAnsiTheme="minorHAnsi"/>
              </w:rPr>
              <w:t xml:space="preserve">. The requested change </w:t>
            </w:r>
            <w:proofErr w:type="gramStart"/>
            <w:r w:rsidRPr="007A4127">
              <w:rPr>
                <w:rFonts w:asciiTheme="minorHAnsi" w:hAnsiTheme="minorHAnsi"/>
              </w:rPr>
              <w:t>has been made</w:t>
            </w:r>
            <w:proofErr w:type="gramEnd"/>
            <w:r w:rsidRPr="007A4127">
              <w:rPr>
                <w:rFonts w:asciiTheme="minorHAnsi" w:hAnsiTheme="minorHAnsi"/>
              </w:rPr>
              <w:t xml:space="preserve"> to the survey instrument. </w:t>
            </w:r>
          </w:p>
          <w:p w:rsidRPr="00AC7F3D" w:rsidR="001D67C7" w:rsidP="00820559" w:rsidRDefault="001D67C7" w14:paraId="66393620" w14:textId="77777777">
            <w:pPr>
              <w:jc w:val="left"/>
              <w:rPr>
                <w:rFonts w:asciiTheme="minorHAnsi" w:hAnsiTheme="minorHAnsi"/>
                <w:highlight w:val="yellow"/>
              </w:rPr>
            </w:pPr>
          </w:p>
        </w:tc>
      </w:tr>
      <w:tr w:rsidRPr="00EE27C0" w:rsidR="001D67C7" w:rsidTr="00820559" w14:paraId="646F2FC4" w14:textId="77777777">
        <w:tc>
          <w:tcPr>
            <w:tcW w:w="1615" w:type="dxa"/>
            <w:shd w:val="clear" w:color="auto" w:fill="auto"/>
          </w:tcPr>
          <w:p w:rsidRPr="00AC7F3D" w:rsidR="001D67C7" w:rsidP="00820559" w:rsidRDefault="001D67C7" w14:paraId="5B33425B" w14:textId="77777777">
            <w:pPr>
              <w:jc w:val="left"/>
              <w:rPr>
                <w:rFonts w:asciiTheme="minorHAnsi" w:hAnsiTheme="minorHAnsi"/>
                <w:highlight w:val="yellow"/>
              </w:rPr>
            </w:pPr>
            <w:r w:rsidRPr="00FD64AC">
              <w:rPr>
                <w:rFonts w:asciiTheme="minorHAnsi" w:hAnsiTheme="minorHAnsi"/>
              </w:rPr>
              <w:t>Consistent language in meals program.</w:t>
            </w:r>
          </w:p>
        </w:tc>
        <w:tc>
          <w:tcPr>
            <w:tcW w:w="4950" w:type="dxa"/>
            <w:shd w:val="clear" w:color="auto" w:fill="auto"/>
          </w:tcPr>
          <w:p w:rsidRPr="006810F3" w:rsidR="001D67C7" w:rsidP="00820559" w:rsidRDefault="001D67C7" w14:paraId="58857B04" w14:textId="77777777">
            <w:pPr>
              <w:jc w:val="left"/>
              <w:rPr>
                <w:rFonts w:asciiTheme="minorHAnsi" w:hAnsiTheme="minorHAnsi" w:cstheme="minorHAnsi"/>
                <w:highlight w:val="yellow"/>
              </w:rPr>
            </w:pPr>
            <w:r>
              <w:rPr>
                <w:rFonts w:asciiTheme="minorHAnsi" w:hAnsiTheme="minorHAnsi" w:cstheme="minorHAnsi"/>
              </w:rPr>
              <w:t>“</w:t>
            </w:r>
            <w:r w:rsidRPr="006810F3">
              <w:rPr>
                <w:rFonts w:asciiTheme="minorHAnsi" w:hAnsiTheme="minorHAnsi" w:cstheme="minorHAnsi"/>
              </w:rPr>
              <w:t xml:space="preserve">Ensure that consistent language is used to describe the program, particularly for congregate or senior dining meals. Some questions use the term “meals program” while others use the term “lunch program” or, generically, “this service”, including CNR20-23 where three different terms </w:t>
            </w:r>
            <w:proofErr w:type="gramStart"/>
            <w:r w:rsidRPr="006810F3">
              <w:rPr>
                <w:rFonts w:asciiTheme="minorHAnsi" w:hAnsiTheme="minorHAnsi" w:cstheme="minorHAnsi"/>
              </w:rPr>
              <w:t>are used</w:t>
            </w:r>
            <w:proofErr w:type="gramEnd"/>
            <w:r w:rsidRPr="006810F3">
              <w:rPr>
                <w:rFonts w:asciiTheme="minorHAnsi" w:hAnsiTheme="minorHAnsi" w:cstheme="minorHAnsi"/>
              </w:rPr>
              <w:t xml:space="preserve"> across four consecutive questions. This also applies to SVC1 question in Additional Services module. We recommend using the term “meals program” unless exclusively referring to lunch, as some programs serve breakfast or dinner meals rather than lunch meals</w:t>
            </w:r>
            <w:r>
              <w:rPr>
                <w:rFonts w:asciiTheme="minorHAnsi" w:hAnsiTheme="minorHAnsi" w:cstheme="minorHAnsi"/>
              </w:rPr>
              <w:t>.”</w:t>
            </w:r>
          </w:p>
        </w:tc>
        <w:tc>
          <w:tcPr>
            <w:tcW w:w="3247" w:type="dxa"/>
            <w:shd w:val="clear" w:color="auto" w:fill="auto"/>
          </w:tcPr>
          <w:p w:rsidR="001D67C7" w:rsidP="00820559" w:rsidRDefault="001D67C7" w14:paraId="13CD401E" w14:textId="77777777">
            <w:pPr>
              <w:autoSpaceDE w:val="0"/>
              <w:autoSpaceDN w:val="0"/>
              <w:adjustRightInd w:val="0"/>
              <w:jc w:val="left"/>
              <w:rPr>
                <w:rFonts w:asciiTheme="minorHAnsi" w:hAnsiTheme="minorHAnsi"/>
              </w:rPr>
            </w:pPr>
            <w:r w:rsidRPr="00187E56">
              <w:rPr>
                <w:rFonts w:asciiTheme="minorHAnsi" w:hAnsiTheme="minorHAnsi"/>
              </w:rPr>
              <w:t xml:space="preserve">ACL recognizes that </w:t>
            </w:r>
            <w:r>
              <w:rPr>
                <w:rFonts w:asciiTheme="minorHAnsi" w:hAnsiTheme="minorHAnsi"/>
              </w:rPr>
              <w:t xml:space="preserve">the language used to describe the meals programs may need to </w:t>
            </w:r>
            <w:proofErr w:type="gramStart"/>
            <w:r>
              <w:rPr>
                <w:rFonts w:asciiTheme="minorHAnsi" w:hAnsiTheme="minorHAnsi"/>
              </w:rPr>
              <w:t>be revised</w:t>
            </w:r>
            <w:proofErr w:type="gramEnd"/>
            <w:r>
              <w:rPr>
                <w:rFonts w:asciiTheme="minorHAnsi" w:hAnsiTheme="minorHAnsi"/>
              </w:rPr>
              <w:t xml:space="preserve"> to be more consistent. </w:t>
            </w:r>
            <w:r w:rsidRPr="00187E56">
              <w:rPr>
                <w:rFonts w:asciiTheme="minorHAnsi" w:hAnsiTheme="minorHAnsi"/>
              </w:rPr>
              <w:t>ACL will call upon nutrition experts to make recommendations and inform a redesign of future NSOAAP collection efforts.</w:t>
            </w:r>
          </w:p>
          <w:p w:rsidR="001D67C7" w:rsidP="00820559" w:rsidRDefault="001D67C7" w14:paraId="44217572" w14:textId="77777777">
            <w:pPr>
              <w:autoSpaceDE w:val="0"/>
              <w:autoSpaceDN w:val="0"/>
              <w:adjustRightInd w:val="0"/>
              <w:jc w:val="left"/>
              <w:rPr>
                <w:rFonts w:asciiTheme="minorHAnsi" w:hAnsiTheme="minorHAnsi"/>
              </w:rPr>
            </w:pPr>
          </w:p>
          <w:p w:rsidRPr="00AC7F3D" w:rsidR="001D67C7" w:rsidP="00820559" w:rsidRDefault="001D67C7" w14:paraId="52A3793E" w14:textId="77777777">
            <w:pPr>
              <w:autoSpaceDE w:val="0"/>
              <w:autoSpaceDN w:val="0"/>
              <w:adjustRightInd w:val="0"/>
              <w:jc w:val="left"/>
              <w:rPr>
                <w:rFonts w:asciiTheme="minorHAnsi" w:hAnsiTheme="minorHAnsi"/>
                <w:highlight w:val="yellow"/>
              </w:rPr>
            </w:pPr>
            <w:r w:rsidRPr="004C1148">
              <w:rPr>
                <w:rFonts w:asciiTheme="minorHAnsi" w:hAnsiTheme="minorHAnsi"/>
              </w:rPr>
              <w:t>The term “meals program” throughout due to the variety of food services during the COVID-19 pandemic.</w:t>
            </w:r>
          </w:p>
        </w:tc>
      </w:tr>
      <w:tr w:rsidRPr="00EE27C0" w:rsidR="001D67C7" w:rsidTr="00820559" w14:paraId="2237F9F5" w14:textId="77777777">
        <w:tc>
          <w:tcPr>
            <w:tcW w:w="1615" w:type="dxa"/>
            <w:shd w:val="clear" w:color="auto" w:fill="auto"/>
          </w:tcPr>
          <w:p w:rsidRPr="00FD64AC" w:rsidR="001D67C7" w:rsidP="00820559" w:rsidRDefault="001D67C7" w14:paraId="18884FCB" w14:textId="77777777">
            <w:pPr>
              <w:jc w:val="left"/>
              <w:rPr>
                <w:rFonts w:asciiTheme="minorHAnsi" w:hAnsiTheme="minorHAnsi"/>
              </w:rPr>
            </w:pPr>
            <w:r>
              <w:rPr>
                <w:rFonts w:asciiTheme="minorHAnsi" w:hAnsiTheme="minorHAnsi"/>
              </w:rPr>
              <w:lastRenderedPageBreak/>
              <w:t>Living independently</w:t>
            </w:r>
          </w:p>
        </w:tc>
        <w:tc>
          <w:tcPr>
            <w:tcW w:w="4950" w:type="dxa"/>
            <w:shd w:val="clear" w:color="auto" w:fill="auto"/>
          </w:tcPr>
          <w:p w:rsidRPr="006810F3" w:rsidR="001D67C7" w:rsidP="00820559" w:rsidRDefault="001D67C7" w14:paraId="4069CD34" w14:textId="77777777">
            <w:pPr>
              <w:contextualSpacing/>
              <w:jc w:val="left"/>
              <w:rPr>
                <w:rFonts w:asciiTheme="minorHAnsi" w:hAnsiTheme="minorHAnsi" w:cstheme="minorHAnsi"/>
              </w:rPr>
            </w:pPr>
            <w:r>
              <w:rPr>
                <w:rFonts w:asciiTheme="minorHAnsi" w:hAnsiTheme="minorHAnsi" w:cstheme="minorHAnsi"/>
              </w:rPr>
              <w:t>“</w:t>
            </w:r>
            <w:r w:rsidRPr="006810F3">
              <w:rPr>
                <w:rFonts w:asciiTheme="minorHAnsi" w:hAnsiTheme="minorHAnsi" w:cstheme="minorHAnsi"/>
              </w:rPr>
              <w:t>SVC3 asks about continuing to “live independently” vs. “living at home” (as they do in CS15, CNR23, HNR28, HC9 and TR20). The terminology “living independently” is preferred. Simply continuing to live “at home” does not mean that the person is living independently, is living in their own home (vs that of a relative), or has autonomy over where he or she lives</w:t>
            </w:r>
            <w:r>
              <w:rPr>
                <w:rFonts w:asciiTheme="minorHAnsi" w:hAnsiTheme="minorHAnsi" w:cstheme="minorHAnsi"/>
              </w:rPr>
              <w:t>.”</w:t>
            </w:r>
          </w:p>
        </w:tc>
        <w:tc>
          <w:tcPr>
            <w:tcW w:w="3247" w:type="dxa"/>
            <w:shd w:val="clear" w:color="auto" w:fill="auto"/>
          </w:tcPr>
          <w:p w:rsidRPr="00AC7F3D" w:rsidR="001D67C7" w:rsidP="00820559" w:rsidRDefault="001D67C7" w14:paraId="35F20F0B" w14:textId="77777777">
            <w:pPr>
              <w:jc w:val="left"/>
              <w:rPr>
                <w:rFonts w:asciiTheme="minorHAnsi" w:hAnsiTheme="minorHAnsi"/>
                <w:highlight w:val="yellow"/>
              </w:rPr>
            </w:pPr>
            <w:r w:rsidRPr="00677030">
              <w:rPr>
                <w:rFonts w:asciiTheme="minorHAnsi" w:hAnsiTheme="minorHAnsi"/>
              </w:rPr>
              <w:t xml:space="preserve">ACL concurs with this suggested change. The requested change </w:t>
            </w:r>
            <w:proofErr w:type="gramStart"/>
            <w:r w:rsidRPr="00677030">
              <w:rPr>
                <w:rFonts w:asciiTheme="minorHAnsi" w:hAnsiTheme="minorHAnsi"/>
              </w:rPr>
              <w:t>has been made</w:t>
            </w:r>
            <w:proofErr w:type="gramEnd"/>
            <w:r w:rsidRPr="00677030">
              <w:rPr>
                <w:rFonts w:asciiTheme="minorHAnsi" w:hAnsiTheme="minorHAnsi"/>
              </w:rPr>
              <w:t xml:space="preserve"> to the survey instrument. </w:t>
            </w:r>
          </w:p>
        </w:tc>
      </w:tr>
      <w:tr w:rsidRPr="00EE27C0" w:rsidR="001D67C7" w:rsidTr="00820559" w14:paraId="5678EDD1" w14:textId="77777777">
        <w:tc>
          <w:tcPr>
            <w:tcW w:w="1615" w:type="dxa"/>
            <w:shd w:val="clear" w:color="auto" w:fill="auto"/>
          </w:tcPr>
          <w:p w:rsidRPr="00FD64AC" w:rsidR="001D67C7" w:rsidP="00820559" w:rsidRDefault="001D67C7" w14:paraId="587CE120" w14:textId="77777777">
            <w:pPr>
              <w:jc w:val="left"/>
              <w:rPr>
                <w:rFonts w:asciiTheme="minorHAnsi" w:hAnsiTheme="minorHAnsi"/>
              </w:rPr>
            </w:pPr>
            <w:r>
              <w:rPr>
                <w:rFonts w:asciiTheme="minorHAnsi" w:hAnsiTheme="minorHAnsi"/>
              </w:rPr>
              <w:t>Context of “secure”</w:t>
            </w:r>
          </w:p>
        </w:tc>
        <w:tc>
          <w:tcPr>
            <w:tcW w:w="4950" w:type="dxa"/>
            <w:shd w:val="clear" w:color="auto" w:fill="auto"/>
          </w:tcPr>
          <w:p w:rsidRPr="000B64B8" w:rsidR="001D67C7" w:rsidP="00820559" w:rsidRDefault="001D67C7" w14:paraId="49D58083" w14:textId="77777777">
            <w:pPr>
              <w:contextualSpacing/>
              <w:jc w:val="left"/>
              <w:rPr>
                <w:rFonts w:asciiTheme="minorHAnsi" w:hAnsiTheme="minorHAnsi" w:cstheme="minorHAnsi"/>
              </w:rPr>
            </w:pPr>
            <w:r>
              <w:rPr>
                <w:rFonts w:asciiTheme="minorHAnsi" w:hAnsiTheme="minorHAnsi" w:cstheme="minorHAnsi"/>
              </w:rPr>
              <w:t>“</w:t>
            </w:r>
            <w:proofErr w:type="gramStart"/>
            <w:r w:rsidRPr="000B64B8">
              <w:rPr>
                <w:rFonts w:asciiTheme="minorHAnsi" w:hAnsiTheme="minorHAnsi" w:cstheme="minorHAnsi"/>
              </w:rPr>
              <w:t>SVC3(</w:t>
            </w:r>
            <w:proofErr w:type="gramEnd"/>
            <w:r w:rsidRPr="000B64B8">
              <w:rPr>
                <w:rFonts w:asciiTheme="minorHAnsi" w:hAnsiTheme="minorHAnsi" w:cstheme="minorHAnsi"/>
              </w:rPr>
              <w:t>b) should be more specific with regard to the context of “secure.” We are unsure whether the context is financial, food-based, or related to physical safety.</w:t>
            </w:r>
            <w:r>
              <w:rPr>
                <w:rFonts w:asciiTheme="minorHAnsi" w:hAnsiTheme="minorHAnsi" w:cstheme="minorHAnsi"/>
              </w:rPr>
              <w:t>”</w:t>
            </w:r>
          </w:p>
        </w:tc>
        <w:tc>
          <w:tcPr>
            <w:tcW w:w="3247" w:type="dxa"/>
            <w:shd w:val="clear" w:color="auto" w:fill="auto"/>
          </w:tcPr>
          <w:p w:rsidR="001D67C7" w:rsidP="00820559" w:rsidRDefault="001D67C7" w14:paraId="1EAFED0C" w14:textId="77777777">
            <w:pPr>
              <w:widowControl w:val="0"/>
              <w:tabs>
                <w:tab w:val="left" w:pos="352"/>
              </w:tabs>
              <w:jc w:val="left"/>
              <w:rPr>
                <w:rStyle w:val="StyleArial10pt"/>
                <w:rFonts w:asciiTheme="minorHAnsi" w:hAnsiTheme="minorHAnsi" w:cstheme="minorHAnsi"/>
                <w:szCs w:val="22"/>
              </w:rPr>
            </w:pPr>
            <w:r w:rsidRPr="000B64B8">
              <w:rPr>
                <w:rStyle w:val="StyleArial10pt"/>
                <w:rFonts w:asciiTheme="minorHAnsi" w:hAnsiTheme="minorHAnsi" w:cstheme="minorHAnsi"/>
                <w:szCs w:val="22"/>
              </w:rPr>
              <w:t>The question refers</w:t>
            </w:r>
            <w:r>
              <w:rPr>
                <w:rStyle w:val="StyleArial10pt"/>
                <w:rFonts w:asciiTheme="minorHAnsi" w:hAnsiTheme="minorHAnsi" w:cstheme="minorHAnsi"/>
                <w:szCs w:val="22"/>
              </w:rPr>
              <w:t xml:space="preserve"> to how participants feel about additional services that they or their care </w:t>
            </w:r>
            <w:proofErr w:type="gramStart"/>
            <w:r>
              <w:rPr>
                <w:rStyle w:val="StyleArial10pt"/>
                <w:rFonts w:asciiTheme="minorHAnsi" w:hAnsiTheme="minorHAnsi" w:cstheme="minorHAnsi"/>
                <w:szCs w:val="22"/>
              </w:rPr>
              <w:t>recipient receive</w:t>
            </w:r>
            <w:proofErr w:type="gramEnd"/>
            <w:r>
              <w:rPr>
                <w:rStyle w:val="StyleArial10pt"/>
                <w:rFonts w:asciiTheme="minorHAnsi" w:hAnsiTheme="minorHAnsi" w:cstheme="minorHAnsi"/>
                <w:szCs w:val="22"/>
              </w:rPr>
              <w:t>.</w:t>
            </w:r>
          </w:p>
          <w:p w:rsidRPr="000B64B8" w:rsidR="001D67C7" w:rsidP="00820559" w:rsidRDefault="001D67C7" w14:paraId="5E259576" w14:textId="77777777">
            <w:pPr>
              <w:widowControl w:val="0"/>
              <w:tabs>
                <w:tab w:val="left" w:pos="352"/>
              </w:tabs>
              <w:jc w:val="left"/>
              <w:rPr>
                <w:rStyle w:val="StyleArial10pt"/>
                <w:rFonts w:asciiTheme="minorHAnsi" w:hAnsiTheme="minorHAnsi" w:cstheme="minorHAnsi"/>
                <w:szCs w:val="22"/>
              </w:rPr>
            </w:pPr>
            <w:r w:rsidRPr="00187E56">
              <w:rPr>
                <w:rFonts w:asciiTheme="minorHAnsi" w:hAnsiTheme="minorHAnsi"/>
              </w:rPr>
              <w:t xml:space="preserve">ACL recognizes that </w:t>
            </w:r>
            <w:r>
              <w:rPr>
                <w:rFonts w:asciiTheme="minorHAnsi" w:hAnsiTheme="minorHAnsi"/>
              </w:rPr>
              <w:t>the use of the word “secure” may be ambiguous.</w:t>
            </w:r>
            <w:r w:rsidRPr="00187E56">
              <w:rPr>
                <w:rFonts w:asciiTheme="minorHAnsi" w:hAnsiTheme="minorHAnsi"/>
              </w:rPr>
              <w:t xml:space="preserve"> ACL will call upon experts </w:t>
            </w:r>
            <w:r>
              <w:rPr>
                <w:rFonts w:asciiTheme="minorHAnsi" w:hAnsiTheme="minorHAnsi"/>
              </w:rPr>
              <w:t xml:space="preserve">in the aging network </w:t>
            </w:r>
            <w:r w:rsidRPr="00187E56">
              <w:rPr>
                <w:rFonts w:asciiTheme="minorHAnsi" w:hAnsiTheme="minorHAnsi"/>
              </w:rPr>
              <w:t xml:space="preserve">to make recommendations </w:t>
            </w:r>
            <w:r>
              <w:rPr>
                <w:rFonts w:asciiTheme="minorHAnsi" w:hAnsiTheme="minorHAnsi"/>
              </w:rPr>
              <w:t>to</w:t>
            </w:r>
            <w:r w:rsidRPr="00187E56">
              <w:rPr>
                <w:rFonts w:asciiTheme="minorHAnsi" w:hAnsiTheme="minorHAnsi"/>
              </w:rPr>
              <w:t xml:space="preserve"> inform a redesign of future NSOAAP collection efforts.</w:t>
            </w:r>
          </w:p>
          <w:p w:rsidRPr="00AC7F3D" w:rsidR="001D67C7" w:rsidP="00820559" w:rsidRDefault="001D67C7" w14:paraId="62E3C13B" w14:textId="77777777">
            <w:pPr>
              <w:autoSpaceDE w:val="0"/>
              <w:autoSpaceDN w:val="0"/>
              <w:adjustRightInd w:val="0"/>
              <w:jc w:val="left"/>
              <w:rPr>
                <w:rFonts w:asciiTheme="minorHAnsi" w:hAnsiTheme="minorHAnsi"/>
                <w:highlight w:val="yellow"/>
              </w:rPr>
            </w:pPr>
          </w:p>
        </w:tc>
      </w:tr>
      <w:tr w:rsidRPr="00EE27C0" w:rsidR="001D67C7" w:rsidTr="00820559" w14:paraId="363ACDF0" w14:textId="77777777">
        <w:tc>
          <w:tcPr>
            <w:tcW w:w="1615" w:type="dxa"/>
            <w:shd w:val="clear" w:color="auto" w:fill="auto"/>
          </w:tcPr>
          <w:p w:rsidRPr="00FD64AC" w:rsidR="001D67C7" w:rsidP="00820559" w:rsidRDefault="001D67C7" w14:paraId="78484EA7" w14:textId="77777777">
            <w:pPr>
              <w:jc w:val="left"/>
              <w:rPr>
                <w:rFonts w:asciiTheme="minorHAnsi" w:hAnsiTheme="minorHAnsi"/>
              </w:rPr>
            </w:pPr>
            <w:r>
              <w:rPr>
                <w:rFonts w:asciiTheme="minorHAnsi" w:hAnsiTheme="minorHAnsi"/>
              </w:rPr>
              <w:t>Multiple meals</w:t>
            </w:r>
          </w:p>
        </w:tc>
        <w:tc>
          <w:tcPr>
            <w:tcW w:w="4950" w:type="dxa"/>
            <w:shd w:val="clear" w:color="auto" w:fill="auto"/>
          </w:tcPr>
          <w:p w:rsidRPr="004C3EEB" w:rsidR="001D67C7" w:rsidP="00820559" w:rsidRDefault="001D67C7" w14:paraId="08FE53CF" w14:textId="77777777">
            <w:pPr>
              <w:pStyle w:val="ListParagraph"/>
              <w:ind w:left="0"/>
              <w:jc w:val="left"/>
              <w:rPr>
                <w:rFonts w:asciiTheme="minorHAnsi" w:hAnsiTheme="minorHAnsi" w:cstheme="minorHAnsi"/>
              </w:rPr>
            </w:pPr>
            <w:r>
              <w:rPr>
                <w:rFonts w:asciiTheme="minorHAnsi" w:hAnsiTheme="minorHAnsi" w:cstheme="minorHAnsi"/>
              </w:rPr>
              <w:t>“</w:t>
            </w:r>
            <w:r w:rsidRPr="004C3EEB">
              <w:rPr>
                <w:rFonts w:asciiTheme="minorHAnsi" w:hAnsiTheme="minorHAnsi" w:cstheme="minorHAnsi"/>
              </w:rPr>
              <w:t>HNR5 should be re-phrased to reflect the fact that many HDM clients receive more than one meal and may consume multiple HDMs in a day.</w:t>
            </w:r>
            <w:r>
              <w:rPr>
                <w:rFonts w:asciiTheme="minorHAnsi" w:hAnsiTheme="minorHAnsi" w:cstheme="minorHAnsi"/>
              </w:rPr>
              <w:t>”</w:t>
            </w:r>
          </w:p>
        </w:tc>
        <w:tc>
          <w:tcPr>
            <w:tcW w:w="3247" w:type="dxa"/>
            <w:shd w:val="clear" w:color="auto" w:fill="auto"/>
          </w:tcPr>
          <w:p w:rsidRPr="004C3EEB" w:rsidR="001D67C7" w:rsidP="00820559" w:rsidRDefault="001D67C7" w14:paraId="1FE1D87C" w14:textId="77777777">
            <w:pPr>
              <w:autoSpaceDE w:val="0"/>
              <w:autoSpaceDN w:val="0"/>
              <w:adjustRightInd w:val="0"/>
              <w:jc w:val="left"/>
              <w:rPr>
                <w:rFonts w:ascii="Arial" w:hAnsi="Arial" w:cs="Arial"/>
                <w:highlight w:val="yellow"/>
              </w:rPr>
            </w:pPr>
            <w:r w:rsidRPr="00187E56">
              <w:rPr>
                <w:rFonts w:asciiTheme="minorHAnsi" w:hAnsiTheme="minorHAnsi"/>
              </w:rPr>
              <w:t xml:space="preserve">ACL recognizes that </w:t>
            </w:r>
            <w:r>
              <w:rPr>
                <w:rFonts w:asciiTheme="minorHAnsi" w:hAnsiTheme="minorHAnsi"/>
              </w:rPr>
              <w:t xml:space="preserve">the question may need to </w:t>
            </w:r>
            <w:proofErr w:type="gramStart"/>
            <w:r>
              <w:rPr>
                <w:rFonts w:asciiTheme="minorHAnsi" w:hAnsiTheme="minorHAnsi"/>
              </w:rPr>
              <w:t>be modified</w:t>
            </w:r>
            <w:proofErr w:type="gramEnd"/>
            <w:r>
              <w:rPr>
                <w:rFonts w:asciiTheme="minorHAnsi" w:hAnsiTheme="minorHAnsi"/>
              </w:rPr>
              <w:t>.</w:t>
            </w:r>
            <w:r w:rsidRPr="00187E56">
              <w:rPr>
                <w:rFonts w:asciiTheme="minorHAnsi" w:hAnsiTheme="minorHAnsi"/>
              </w:rPr>
              <w:t xml:space="preserve"> ACL will call upon nutrition experts to make recommendations and inform a redesign of future NSOAAP collection efforts.</w:t>
            </w:r>
          </w:p>
        </w:tc>
      </w:tr>
      <w:tr w:rsidRPr="00EE27C0" w:rsidR="001D67C7" w:rsidTr="00820559" w14:paraId="0FF7FD26" w14:textId="77777777">
        <w:tc>
          <w:tcPr>
            <w:tcW w:w="1615" w:type="dxa"/>
            <w:shd w:val="clear" w:color="auto" w:fill="auto"/>
          </w:tcPr>
          <w:p w:rsidRPr="00FD64AC" w:rsidR="001D67C7" w:rsidP="00820559" w:rsidRDefault="001D67C7" w14:paraId="08FB2F35" w14:textId="77777777">
            <w:pPr>
              <w:jc w:val="left"/>
              <w:rPr>
                <w:rFonts w:asciiTheme="minorHAnsi" w:hAnsiTheme="minorHAnsi"/>
              </w:rPr>
            </w:pPr>
            <w:r>
              <w:rPr>
                <w:rFonts w:asciiTheme="minorHAnsi" w:hAnsiTheme="minorHAnsi"/>
              </w:rPr>
              <w:t>Care recipients under age 60 with dementia</w:t>
            </w:r>
          </w:p>
        </w:tc>
        <w:tc>
          <w:tcPr>
            <w:tcW w:w="4950" w:type="dxa"/>
            <w:shd w:val="clear" w:color="auto" w:fill="auto"/>
          </w:tcPr>
          <w:p w:rsidRPr="009C5CD3" w:rsidR="001D67C7" w:rsidP="00820559" w:rsidRDefault="001D67C7" w14:paraId="274EAE84" w14:textId="77777777">
            <w:pPr>
              <w:contextualSpacing/>
              <w:jc w:val="left"/>
              <w:rPr>
                <w:rFonts w:asciiTheme="minorHAnsi" w:hAnsiTheme="minorHAnsi" w:cstheme="minorHAnsi"/>
              </w:rPr>
            </w:pPr>
            <w:r w:rsidRPr="009C5CD3">
              <w:rPr>
                <w:rFonts w:asciiTheme="minorHAnsi" w:hAnsiTheme="minorHAnsi" w:cstheme="minorHAnsi"/>
              </w:rPr>
              <w:t xml:space="preserve">The 2020 reauthorization of OAA allows </w:t>
            </w:r>
            <w:r>
              <w:rPr>
                <w:rFonts w:asciiTheme="minorHAnsi" w:hAnsiTheme="minorHAnsi" w:cstheme="minorHAnsi"/>
              </w:rPr>
              <w:t>“</w:t>
            </w:r>
            <w:r w:rsidRPr="009C5CD3">
              <w:rPr>
                <w:rFonts w:asciiTheme="minorHAnsi" w:hAnsiTheme="minorHAnsi" w:cstheme="minorHAnsi"/>
              </w:rPr>
              <w:t>individuals living with dementia under the age of 60 to access certain OAA supports like nutritional services and respite care through the National Family Caregiver Support program. We respectfully request that ACL analyze the data collected on these younger individuals and the services they receive so that those services can be tailored and improved.</w:t>
            </w:r>
            <w:r>
              <w:rPr>
                <w:rFonts w:asciiTheme="minorHAnsi" w:hAnsiTheme="minorHAnsi" w:cstheme="minorHAnsi"/>
              </w:rPr>
              <w:t>”</w:t>
            </w:r>
          </w:p>
        </w:tc>
        <w:tc>
          <w:tcPr>
            <w:tcW w:w="3247" w:type="dxa"/>
            <w:shd w:val="clear" w:color="auto" w:fill="auto"/>
          </w:tcPr>
          <w:p w:rsidRPr="004C1148" w:rsidR="001D67C7" w:rsidP="00820559" w:rsidRDefault="001D67C7" w14:paraId="1089C284" w14:textId="77777777">
            <w:pPr>
              <w:autoSpaceDE w:val="0"/>
              <w:autoSpaceDN w:val="0"/>
              <w:adjustRightInd w:val="0"/>
              <w:jc w:val="left"/>
              <w:rPr>
                <w:rFonts w:asciiTheme="minorHAnsi" w:hAnsiTheme="minorHAnsi"/>
              </w:rPr>
            </w:pPr>
            <w:r>
              <w:rPr>
                <w:rFonts w:asciiTheme="minorHAnsi" w:hAnsiTheme="minorHAnsi"/>
              </w:rPr>
              <w:t xml:space="preserve">While </w:t>
            </w:r>
            <w:r w:rsidRPr="009C5CD3">
              <w:rPr>
                <w:rFonts w:asciiTheme="minorHAnsi" w:hAnsiTheme="minorHAnsi"/>
              </w:rPr>
              <w:t xml:space="preserve">ACL </w:t>
            </w:r>
            <w:r>
              <w:rPr>
                <w:rFonts w:asciiTheme="minorHAnsi" w:hAnsiTheme="minorHAnsi"/>
              </w:rPr>
              <w:t>recognizes the value of collecting data on care recipients of the NFCSP who are under 60, that is not the focus of the NSOAAP. The focus of the NSOAAP is the service recipients, that is, the caregivers.</w:t>
            </w:r>
          </w:p>
        </w:tc>
      </w:tr>
      <w:tr w:rsidRPr="00EE27C0" w:rsidR="001D67C7" w:rsidTr="00820559" w14:paraId="4CF99682" w14:textId="77777777">
        <w:tc>
          <w:tcPr>
            <w:tcW w:w="1615" w:type="dxa"/>
            <w:shd w:val="clear" w:color="auto" w:fill="auto"/>
          </w:tcPr>
          <w:p w:rsidR="001D67C7" w:rsidP="00820559" w:rsidRDefault="001D67C7" w14:paraId="37B76150" w14:textId="77777777">
            <w:pPr>
              <w:jc w:val="left"/>
              <w:rPr>
                <w:rFonts w:asciiTheme="minorHAnsi" w:hAnsiTheme="minorHAnsi"/>
              </w:rPr>
            </w:pPr>
            <w:r>
              <w:rPr>
                <w:rFonts w:asciiTheme="minorHAnsi" w:hAnsiTheme="minorHAnsi"/>
              </w:rPr>
              <w:t>Emergency preparedness</w:t>
            </w:r>
          </w:p>
        </w:tc>
        <w:tc>
          <w:tcPr>
            <w:tcW w:w="4950" w:type="dxa"/>
            <w:shd w:val="clear" w:color="auto" w:fill="auto"/>
          </w:tcPr>
          <w:p w:rsidRPr="00677030" w:rsidR="001D67C7" w:rsidP="00820559" w:rsidRDefault="001D67C7" w14:paraId="111D10FC" w14:textId="77777777">
            <w:pPr>
              <w:contextualSpacing/>
              <w:jc w:val="left"/>
              <w:rPr>
                <w:rFonts w:asciiTheme="minorHAnsi" w:hAnsiTheme="minorHAnsi" w:cstheme="minorHAnsi"/>
              </w:rPr>
            </w:pPr>
            <w:r>
              <w:rPr>
                <w:rFonts w:asciiTheme="minorHAnsi" w:hAnsiTheme="minorHAnsi" w:cstheme="minorHAnsi"/>
              </w:rPr>
              <w:t xml:space="preserve">The advocacy organizations </w:t>
            </w:r>
            <w:r w:rsidRPr="00677030">
              <w:rPr>
                <w:rFonts w:asciiTheme="minorHAnsi" w:hAnsiTheme="minorHAnsi" w:cstheme="minorHAnsi"/>
              </w:rPr>
              <w:t>“support ACL's request to add an emergency preparedness module to the survey</w:t>
            </w:r>
            <w:r>
              <w:rPr>
                <w:rFonts w:asciiTheme="minorHAnsi" w:hAnsiTheme="minorHAnsi" w:cstheme="minorHAnsi"/>
              </w:rPr>
              <w:t>…</w:t>
            </w:r>
            <w:proofErr w:type="gramStart"/>
            <w:r w:rsidRPr="00677030">
              <w:rPr>
                <w:rFonts w:asciiTheme="minorHAnsi" w:hAnsiTheme="minorHAnsi" w:cstheme="minorHAnsi"/>
              </w:rPr>
              <w:t>”</w:t>
            </w:r>
            <w:r>
              <w:rPr>
                <w:rFonts w:asciiTheme="minorHAnsi" w:hAnsiTheme="minorHAnsi" w:cstheme="minorHAnsi"/>
              </w:rPr>
              <w:t>.</w:t>
            </w:r>
            <w:proofErr w:type="gramEnd"/>
          </w:p>
        </w:tc>
        <w:tc>
          <w:tcPr>
            <w:tcW w:w="3247" w:type="dxa"/>
            <w:shd w:val="clear" w:color="auto" w:fill="auto"/>
          </w:tcPr>
          <w:p w:rsidRPr="00677030" w:rsidR="001D67C7" w:rsidP="00820559" w:rsidRDefault="001D67C7" w14:paraId="23213BA3" w14:textId="77777777">
            <w:pPr>
              <w:autoSpaceDE w:val="0"/>
              <w:autoSpaceDN w:val="0"/>
              <w:adjustRightInd w:val="0"/>
              <w:jc w:val="left"/>
              <w:rPr>
                <w:rFonts w:asciiTheme="minorHAnsi" w:hAnsiTheme="minorHAnsi"/>
              </w:rPr>
            </w:pPr>
            <w:r>
              <w:rPr>
                <w:rFonts w:asciiTheme="minorHAnsi" w:hAnsiTheme="minorHAnsi"/>
              </w:rPr>
              <w:t>ACL is not going to add this module for the 2021 administration but still plans to use it in the future.</w:t>
            </w:r>
          </w:p>
        </w:tc>
      </w:tr>
      <w:tr w:rsidRPr="00EE27C0" w:rsidR="001D67C7" w:rsidTr="00820559" w14:paraId="74CA2A57" w14:textId="77777777">
        <w:tc>
          <w:tcPr>
            <w:tcW w:w="1615" w:type="dxa"/>
            <w:shd w:val="clear" w:color="auto" w:fill="auto"/>
          </w:tcPr>
          <w:p w:rsidR="001D67C7" w:rsidP="00820559" w:rsidRDefault="001D67C7" w14:paraId="1E0FDF35" w14:textId="77777777">
            <w:pPr>
              <w:jc w:val="left"/>
              <w:rPr>
                <w:rFonts w:asciiTheme="minorHAnsi" w:hAnsiTheme="minorHAnsi"/>
              </w:rPr>
            </w:pPr>
            <w:r>
              <w:rPr>
                <w:rFonts w:asciiTheme="minorHAnsi" w:hAnsiTheme="minorHAnsi"/>
              </w:rPr>
              <w:t>Question on participant sex (gender identity)</w:t>
            </w:r>
          </w:p>
        </w:tc>
        <w:tc>
          <w:tcPr>
            <w:tcW w:w="4950" w:type="dxa"/>
            <w:shd w:val="clear" w:color="auto" w:fill="auto"/>
          </w:tcPr>
          <w:p w:rsidRPr="00C50D1B" w:rsidR="001D67C7" w:rsidP="00820559" w:rsidRDefault="001D67C7" w14:paraId="61F2AFE5" w14:textId="77777777">
            <w:pPr>
              <w:jc w:val="left"/>
              <w:rPr>
                <w:rFonts w:asciiTheme="minorHAnsi" w:hAnsiTheme="minorHAnsi" w:cstheme="minorHAnsi"/>
              </w:rPr>
            </w:pPr>
            <w:r>
              <w:rPr>
                <w:rFonts w:asciiTheme="minorHAnsi" w:hAnsiTheme="minorHAnsi" w:cstheme="minorHAnsi"/>
              </w:rPr>
              <w:t>“</w:t>
            </w:r>
            <w:r w:rsidRPr="00C50D1B">
              <w:rPr>
                <w:rFonts w:asciiTheme="minorHAnsi" w:hAnsiTheme="minorHAnsi" w:cstheme="minorHAnsi"/>
              </w:rPr>
              <w:t>I encourage the modification of the questions about participant sex to include response options (which are recorded but not verbally offered as options) to include "transgender" and or "other" with a write-in option.</w:t>
            </w:r>
          </w:p>
          <w:p w:rsidRPr="00C50D1B" w:rsidR="001D67C7" w:rsidP="00820559" w:rsidRDefault="001D67C7" w14:paraId="3652D483" w14:textId="77777777">
            <w:pPr>
              <w:jc w:val="left"/>
              <w:rPr>
                <w:rFonts w:asciiTheme="minorHAnsi" w:hAnsiTheme="minorHAnsi" w:cstheme="minorHAnsi"/>
              </w:rPr>
            </w:pPr>
            <w:r w:rsidRPr="00C50D1B">
              <w:rPr>
                <w:rFonts w:asciiTheme="minorHAnsi" w:hAnsiTheme="minorHAnsi" w:cstheme="minorHAnsi"/>
              </w:rPr>
              <w:t xml:space="preserve">The questions this relates to are: DE1 (DEGENDR); CGC (CGPMF); CG83 (CGPMF) - both of the last have </w:t>
            </w:r>
            <w:r w:rsidRPr="00C50D1B">
              <w:rPr>
                <w:rFonts w:asciiTheme="minorHAnsi" w:hAnsiTheme="minorHAnsi" w:cstheme="minorHAnsi"/>
              </w:rPr>
              <w:lastRenderedPageBreak/>
              <w:t>the same variable labels and this should be corrected in the survey construction.</w:t>
            </w:r>
            <w:r>
              <w:rPr>
                <w:rFonts w:asciiTheme="minorHAnsi" w:hAnsiTheme="minorHAnsi" w:cstheme="minorHAnsi"/>
              </w:rPr>
              <w:t>”</w:t>
            </w:r>
          </w:p>
          <w:p w:rsidR="001D67C7" w:rsidP="00820559" w:rsidRDefault="001D67C7" w14:paraId="22AF63C8" w14:textId="77777777">
            <w:pPr>
              <w:contextualSpacing/>
              <w:jc w:val="left"/>
              <w:rPr>
                <w:rFonts w:asciiTheme="minorHAnsi" w:hAnsiTheme="minorHAnsi"/>
              </w:rPr>
            </w:pPr>
          </w:p>
        </w:tc>
        <w:tc>
          <w:tcPr>
            <w:tcW w:w="3247" w:type="dxa"/>
            <w:shd w:val="clear" w:color="auto" w:fill="auto"/>
          </w:tcPr>
          <w:p w:rsidR="001D67C7" w:rsidP="00820559" w:rsidRDefault="001D67C7" w14:paraId="3D93C05B" w14:textId="77777777">
            <w:pPr>
              <w:autoSpaceDE w:val="0"/>
              <w:autoSpaceDN w:val="0"/>
              <w:adjustRightInd w:val="0"/>
              <w:jc w:val="left"/>
              <w:rPr>
                <w:rFonts w:asciiTheme="minorHAnsi" w:hAnsiTheme="minorHAnsi"/>
              </w:rPr>
            </w:pPr>
            <w:proofErr w:type="gramStart"/>
            <w:r w:rsidRPr="00DD61FC">
              <w:rPr>
                <w:rFonts w:asciiTheme="minorHAnsi" w:hAnsiTheme="minorHAnsi"/>
              </w:rPr>
              <w:lastRenderedPageBreak/>
              <w:t xml:space="preserve">In order to improve demographic data collection related to the LGBT community, ACL is supporting the Measuring Sex, Gender Identity, and Sexual Orientation for the National Institutes of Health an ad hoc panel of the National Academies </w:t>
            </w:r>
            <w:r w:rsidRPr="00DD61FC">
              <w:rPr>
                <w:rFonts w:asciiTheme="minorHAnsi" w:hAnsiTheme="minorHAnsi"/>
              </w:rPr>
              <w:lastRenderedPageBreak/>
              <w:t>of Sciences, Engineering, and Medicine which will review current measures and the methodological issues related to measuring sex as a non-binary construct, gender identity, and sexual orientation.</w:t>
            </w:r>
            <w:proofErr w:type="gramEnd"/>
            <w:r w:rsidRPr="00DD61FC">
              <w:rPr>
                <w:rFonts w:asciiTheme="minorHAnsi" w:hAnsiTheme="minorHAnsi"/>
              </w:rPr>
              <w:t xml:space="preserve"> The panel will produce a consensus </w:t>
            </w:r>
            <w:proofErr w:type="gramStart"/>
            <w:r w:rsidRPr="00DD61FC">
              <w:rPr>
                <w:rFonts w:asciiTheme="minorHAnsi" w:hAnsiTheme="minorHAnsi"/>
              </w:rPr>
              <w:t>report which</w:t>
            </w:r>
            <w:proofErr w:type="gramEnd"/>
            <w:r w:rsidRPr="00DD61FC">
              <w:rPr>
                <w:rFonts w:asciiTheme="minorHAnsi" w:hAnsiTheme="minorHAnsi"/>
              </w:rPr>
              <w:t xml:space="preserve"> is expected in December 2021.  ACL will use the report as a</w:t>
            </w:r>
            <w:r>
              <w:rPr>
                <w:rFonts w:asciiTheme="minorHAnsi" w:hAnsiTheme="minorHAnsi"/>
              </w:rPr>
              <w:t xml:space="preserve"> </w:t>
            </w:r>
            <w:r w:rsidRPr="00DD61FC">
              <w:rPr>
                <w:rFonts w:asciiTheme="minorHAnsi" w:hAnsiTheme="minorHAnsi"/>
              </w:rPr>
              <w:t>foundation for testing new survey questions and administrative data elements.</w:t>
            </w:r>
          </w:p>
          <w:p w:rsidR="001D67C7" w:rsidP="00820559" w:rsidRDefault="001D67C7" w14:paraId="68472E96" w14:textId="77777777">
            <w:pPr>
              <w:autoSpaceDE w:val="0"/>
              <w:autoSpaceDN w:val="0"/>
              <w:adjustRightInd w:val="0"/>
              <w:jc w:val="left"/>
              <w:rPr>
                <w:rFonts w:asciiTheme="minorHAnsi" w:hAnsiTheme="minorHAnsi"/>
              </w:rPr>
            </w:pPr>
          </w:p>
          <w:p w:rsidRPr="00151F5C" w:rsidR="001D67C7" w:rsidP="00820559" w:rsidRDefault="001D67C7" w14:paraId="0DD30DEE" w14:textId="77777777">
            <w:pPr>
              <w:autoSpaceDE w:val="0"/>
              <w:autoSpaceDN w:val="0"/>
              <w:adjustRightInd w:val="0"/>
              <w:jc w:val="left"/>
              <w:rPr>
                <w:rFonts w:asciiTheme="minorHAnsi" w:hAnsiTheme="minorHAnsi"/>
              </w:rPr>
            </w:pPr>
            <w:r w:rsidRPr="00151F5C">
              <w:rPr>
                <w:rFonts w:asciiTheme="minorHAnsi" w:hAnsiTheme="minorHAnsi"/>
              </w:rPr>
              <w:t xml:space="preserve">The variable label in the survey instrument for CGPMF </w:t>
            </w:r>
            <w:proofErr w:type="gramStart"/>
            <w:r w:rsidRPr="00151F5C">
              <w:rPr>
                <w:rFonts w:asciiTheme="minorHAnsi" w:hAnsiTheme="minorHAnsi"/>
              </w:rPr>
              <w:t>was corrected</w:t>
            </w:r>
            <w:proofErr w:type="gramEnd"/>
            <w:r w:rsidRPr="00151F5C">
              <w:rPr>
                <w:rFonts w:asciiTheme="minorHAnsi" w:hAnsiTheme="minorHAnsi"/>
              </w:rPr>
              <w:t xml:space="preserve"> to RGENDER.</w:t>
            </w:r>
          </w:p>
        </w:tc>
      </w:tr>
    </w:tbl>
    <w:p w:rsidR="001D67C7" w:rsidP="00820559" w:rsidRDefault="001D67C7" w14:paraId="480B879C" w14:textId="77777777">
      <w:pPr>
        <w:autoSpaceDE w:val="0"/>
        <w:autoSpaceDN w:val="0"/>
        <w:adjustRightInd w:val="0"/>
        <w:spacing w:line="240" w:lineRule="auto"/>
        <w:jc w:val="left"/>
        <w:rPr>
          <w:rFonts w:ascii="Franklin Gothic Medium" w:hAnsi="Franklin Gothic Medium"/>
          <w:color w:val="17365D" w:themeColor="text2" w:themeShade="BF"/>
          <w:sz w:val="24"/>
          <w:szCs w:val="24"/>
        </w:rPr>
      </w:pPr>
    </w:p>
    <w:p w:rsidR="004A21FE" w:rsidP="004A21FE" w:rsidRDefault="004A21FE" w14:paraId="74362D7C" w14:textId="77777777">
      <w:pPr>
        <w:pStyle w:val="SL-FlLftSgl"/>
        <w:spacing w:line="240" w:lineRule="auto"/>
        <w:jc w:val="left"/>
        <w:rPr>
          <w:szCs w:val="22"/>
        </w:rPr>
      </w:pPr>
    </w:p>
    <w:p w:rsidRPr="004A21FE" w:rsidR="004A21FE" w:rsidP="004A21FE" w:rsidRDefault="004A21FE" w14:paraId="05D3F6CF" w14:textId="14E40E77">
      <w:pPr>
        <w:pStyle w:val="SL-FlLftSgl"/>
        <w:spacing w:line="240" w:lineRule="auto"/>
        <w:jc w:val="left"/>
        <w:rPr>
          <w:b/>
          <w:sz w:val="24"/>
          <w:szCs w:val="24"/>
          <w:u w:val="single"/>
        </w:rPr>
      </w:pPr>
      <w:r w:rsidRPr="004A21FE">
        <w:rPr>
          <w:b/>
          <w:sz w:val="24"/>
          <w:szCs w:val="24"/>
          <w:u w:val="single"/>
        </w:rPr>
        <w:t xml:space="preserve">Response to 30-day Comments </w:t>
      </w:r>
    </w:p>
    <w:p w:rsidR="004A21FE" w:rsidP="004A21FE" w:rsidRDefault="004A21FE" w14:paraId="0C0BBA35" w14:textId="77777777">
      <w:pPr>
        <w:pStyle w:val="SL-FlLftSgl"/>
        <w:spacing w:line="240" w:lineRule="auto"/>
        <w:jc w:val="left"/>
        <w:rPr>
          <w:szCs w:val="22"/>
        </w:rPr>
      </w:pPr>
    </w:p>
    <w:p w:rsidRPr="00D2712F" w:rsidR="004A21FE" w:rsidP="004A21FE" w:rsidRDefault="004A21FE" w14:paraId="59E54494" w14:textId="608C6A39">
      <w:pPr>
        <w:pStyle w:val="SL-FlLftSgl"/>
        <w:spacing w:line="240" w:lineRule="auto"/>
        <w:jc w:val="left"/>
        <w:rPr>
          <w:szCs w:val="22"/>
        </w:rPr>
      </w:pPr>
      <w:r>
        <w:rPr>
          <w:szCs w:val="22"/>
        </w:rPr>
        <w:t xml:space="preserve">A 30-day Federal Register Notice published in the Federal Register on April 1, 2021, 86 FR 17153. </w:t>
      </w:r>
    </w:p>
    <w:p w:rsidR="004A21FE" w:rsidP="004E7BE5" w:rsidRDefault="004A21FE" w14:paraId="02684690" w14:textId="77777777">
      <w:pPr>
        <w:pStyle w:val="SL-FlLftSgl"/>
        <w:jc w:val="left"/>
        <w:rPr>
          <w:b/>
          <w:sz w:val="24"/>
          <w:szCs w:val="24"/>
        </w:rPr>
      </w:pPr>
    </w:p>
    <w:p w:rsidRPr="004A21FE" w:rsidR="004A21FE" w:rsidP="004A21FE" w:rsidRDefault="004A21FE" w14:paraId="3876773B" w14:textId="77777777">
      <w:pPr>
        <w:pStyle w:val="SL-FlLftSgl"/>
        <w:rPr>
          <w:sz w:val="24"/>
          <w:szCs w:val="24"/>
        </w:rPr>
      </w:pPr>
      <w:r w:rsidRPr="004A21FE">
        <w:rPr>
          <w:sz w:val="24"/>
          <w:szCs w:val="24"/>
        </w:rPr>
        <w:t>There were 11 public comments received during the 30-day public comment period, the comments were on two topics: three on malnutrition and seven on transgender (with one unknown). ACL drafted the following two response summaries (see below).</w:t>
      </w:r>
    </w:p>
    <w:p w:rsidRPr="004A21FE" w:rsidR="004A21FE" w:rsidP="004A21FE" w:rsidRDefault="004A21FE" w14:paraId="33C8F20B" w14:textId="77777777">
      <w:pPr>
        <w:pStyle w:val="SL-FlLftSgl"/>
        <w:rPr>
          <w:sz w:val="24"/>
          <w:szCs w:val="24"/>
        </w:rPr>
      </w:pPr>
    </w:p>
    <w:p w:rsidRPr="004A21FE" w:rsidR="004A21FE" w:rsidP="004A21FE" w:rsidRDefault="004A21FE" w14:paraId="3EFA6125" w14:textId="77777777">
      <w:pPr>
        <w:pStyle w:val="SL-FlLftSgl"/>
        <w:rPr>
          <w:sz w:val="24"/>
          <w:szCs w:val="24"/>
        </w:rPr>
      </w:pPr>
      <w:r w:rsidRPr="004A21FE">
        <w:rPr>
          <w:b/>
          <w:bCs/>
          <w:sz w:val="24"/>
          <w:szCs w:val="24"/>
          <w:u w:val="single"/>
        </w:rPr>
        <w:t>Malnutrition:</w:t>
      </w:r>
      <w:r w:rsidRPr="004A21FE">
        <w:rPr>
          <w:sz w:val="24"/>
          <w:szCs w:val="24"/>
        </w:rPr>
        <w:t xml:space="preserve">  In late 2020/early 2021, a nutrition advisory group </w:t>
      </w:r>
      <w:proofErr w:type="gramStart"/>
      <w:r w:rsidRPr="004A21FE">
        <w:rPr>
          <w:sz w:val="24"/>
          <w:szCs w:val="24"/>
        </w:rPr>
        <w:t>was called upon</w:t>
      </w:r>
      <w:proofErr w:type="gramEnd"/>
      <w:r w:rsidRPr="004A21FE">
        <w:rPr>
          <w:sz w:val="24"/>
          <w:szCs w:val="24"/>
        </w:rPr>
        <w:t xml:space="preserve"> to help ACL construct nutrition questions for the rotating module on COVID-19 that has been added to the 2021 NSOAAP. We will call upon that advisory group again, as well as other experts in the field, to review all the nutri</w:t>
      </w:r>
      <w:bookmarkStart w:name="_GoBack" w:id="11"/>
      <w:bookmarkEnd w:id="11"/>
      <w:r w:rsidRPr="004A21FE">
        <w:rPr>
          <w:sz w:val="24"/>
          <w:szCs w:val="24"/>
        </w:rPr>
        <w:t xml:space="preserve">tion questions in the NSOAAP beginning in Nov/Dec 2021. The recommendations of the advisory group will feed into the survey redesign that </w:t>
      </w:r>
      <w:proofErr w:type="gramStart"/>
      <w:r w:rsidRPr="004A21FE">
        <w:rPr>
          <w:sz w:val="24"/>
          <w:szCs w:val="24"/>
        </w:rPr>
        <w:t>is scheduled</w:t>
      </w:r>
      <w:proofErr w:type="gramEnd"/>
      <w:r w:rsidRPr="004A21FE">
        <w:rPr>
          <w:sz w:val="24"/>
          <w:szCs w:val="24"/>
        </w:rPr>
        <w:t xml:space="preserve"> to take place for the 2023 NSOAAP.</w:t>
      </w:r>
    </w:p>
    <w:p w:rsidRPr="004A21FE" w:rsidR="004A21FE" w:rsidP="004A21FE" w:rsidRDefault="004A21FE" w14:paraId="266D976B" w14:textId="77777777">
      <w:pPr>
        <w:pStyle w:val="SL-FlLftSgl"/>
        <w:rPr>
          <w:sz w:val="24"/>
          <w:szCs w:val="24"/>
        </w:rPr>
      </w:pPr>
    </w:p>
    <w:p w:rsidRPr="004A21FE" w:rsidR="004A21FE" w:rsidP="004A21FE" w:rsidRDefault="004A21FE" w14:paraId="5556A894" w14:textId="77777777">
      <w:pPr>
        <w:pStyle w:val="SL-FlLftSgl"/>
        <w:rPr>
          <w:sz w:val="24"/>
          <w:szCs w:val="24"/>
        </w:rPr>
      </w:pPr>
      <w:r w:rsidRPr="004A21FE">
        <w:rPr>
          <w:b/>
          <w:bCs/>
          <w:sz w:val="24"/>
          <w:szCs w:val="24"/>
          <w:u w:val="single"/>
        </w:rPr>
        <w:t>Transgender</w:t>
      </w:r>
      <w:r w:rsidRPr="004A21FE">
        <w:rPr>
          <w:b/>
          <w:bCs/>
          <w:i/>
          <w:iCs/>
          <w:sz w:val="24"/>
          <w:szCs w:val="24"/>
          <w:u w:val="single"/>
        </w:rPr>
        <w:t>:</w:t>
      </w:r>
      <w:r w:rsidRPr="004A21FE">
        <w:rPr>
          <w:i/>
          <w:iCs/>
          <w:sz w:val="24"/>
          <w:szCs w:val="24"/>
        </w:rPr>
        <w:t xml:space="preserve"> </w:t>
      </w:r>
      <w:r w:rsidRPr="004A21FE">
        <w:rPr>
          <w:sz w:val="24"/>
          <w:szCs w:val="24"/>
        </w:rPr>
        <w:t xml:space="preserve">ACL plans </w:t>
      </w:r>
      <w:proofErr w:type="gramStart"/>
      <w:r w:rsidRPr="004A21FE">
        <w:rPr>
          <w:sz w:val="24"/>
          <w:szCs w:val="24"/>
        </w:rPr>
        <w:t>on following</w:t>
      </w:r>
      <w:proofErr w:type="gramEnd"/>
      <w:r w:rsidRPr="004A21FE">
        <w:rPr>
          <w:sz w:val="24"/>
          <w:szCs w:val="24"/>
        </w:rPr>
        <w:t xml:space="preserve"> guidelines from a forthcoming consensus report on Measuring Sex, Gender Identity, and Sexual Orientation for the National Institutes of Health produced by an ad hoc panel of the National Academies of Sciences, Engineering, and Medicine (NASEM). The NASEM ad hoc panel is in the process of reviewing current measures and the methodological issues related to measuring sex as a non-binary construct, gender identity, and sexual orientation. The consensus report </w:t>
      </w:r>
      <w:proofErr w:type="gramStart"/>
      <w:r w:rsidRPr="004A21FE">
        <w:rPr>
          <w:sz w:val="24"/>
          <w:szCs w:val="24"/>
        </w:rPr>
        <w:t>is expected</w:t>
      </w:r>
      <w:proofErr w:type="gramEnd"/>
      <w:r w:rsidRPr="004A21FE">
        <w:rPr>
          <w:sz w:val="24"/>
          <w:szCs w:val="24"/>
        </w:rPr>
        <w:t xml:space="preserve"> in December 2021 allowing us to begin testing the questions in early 2022. </w:t>
      </w:r>
    </w:p>
    <w:p w:rsidR="004A21FE" w:rsidP="004E7BE5" w:rsidRDefault="004A21FE" w14:paraId="36D404B2" w14:textId="77777777">
      <w:pPr>
        <w:pStyle w:val="SL-FlLftSgl"/>
        <w:jc w:val="left"/>
        <w:rPr>
          <w:b/>
          <w:sz w:val="24"/>
          <w:szCs w:val="24"/>
        </w:rPr>
      </w:pPr>
    </w:p>
    <w:p w:rsidR="004A21FE" w:rsidP="004E7BE5" w:rsidRDefault="004A21FE" w14:paraId="6E7022D9" w14:textId="77777777">
      <w:pPr>
        <w:pStyle w:val="SL-FlLftSgl"/>
        <w:jc w:val="left"/>
        <w:rPr>
          <w:b/>
          <w:sz w:val="24"/>
          <w:szCs w:val="24"/>
        </w:rPr>
      </w:pPr>
    </w:p>
    <w:p w:rsidR="004A21FE" w:rsidP="004E7BE5" w:rsidRDefault="004A21FE" w14:paraId="3CF0C99C" w14:textId="77777777">
      <w:pPr>
        <w:pStyle w:val="SL-FlLftSgl"/>
        <w:jc w:val="left"/>
        <w:rPr>
          <w:b/>
          <w:sz w:val="24"/>
          <w:szCs w:val="24"/>
        </w:rPr>
      </w:pPr>
    </w:p>
    <w:p w:rsidR="004A21FE" w:rsidP="004E7BE5" w:rsidRDefault="004A21FE" w14:paraId="29F1088A" w14:textId="77777777">
      <w:pPr>
        <w:pStyle w:val="SL-FlLftSgl"/>
        <w:jc w:val="left"/>
        <w:rPr>
          <w:b/>
          <w:sz w:val="24"/>
          <w:szCs w:val="24"/>
        </w:rPr>
      </w:pPr>
    </w:p>
    <w:p w:rsidRPr="00053045" w:rsidR="00C60A8E" w:rsidP="004E7BE5" w:rsidRDefault="00C60A8E" w14:paraId="45F1C359" w14:textId="4A549550">
      <w:pPr>
        <w:pStyle w:val="SL-FlLftSgl"/>
        <w:jc w:val="left"/>
        <w:rPr>
          <w:b/>
          <w:sz w:val="24"/>
          <w:szCs w:val="24"/>
        </w:rPr>
      </w:pPr>
      <w:r w:rsidRPr="00053045">
        <w:rPr>
          <w:b/>
          <w:sz w:val="24"/>
          <w:szCs w:val="24"/>
        </w:rPr>
        <w:lastRenderedPageBreak/>
        <w:t>Efforts to Consult Outside the Agency</w:t>
      </w:r>
    </w:p>
    <w:p w:rsidR="00E17577" w:rsidP="004E7BE5" w:rsidRDefault="00E17577" w14:paraId="66DFF616" w14:textId="77777777">
      <w:pPr>
        <w:pStyle w:val="SL-FlLftSgl"/>
        <w:jc w:val="left"/>
        <w:rPr>
          <w:b/>
          <w:szCs w:val="22"/>
        </w:rPr>
      </w:pPr>
    </w:p>
    <w:p w:rsidRPr="00C60A8E" w:rsidR="00E17577" w:rsidP="00E17577" w:rsidRDefault="00413DB8" w14:paraId="38F09225" w14:textId="1BED0BAE">
      <w:pPr>
        <w:autoSpaceDE w:val="0"/>
        <w:autoSpaceDN w:val="0"/>
        <w:adjustRightInd w:val="0"/>
        <w:spacing w:line="240" w:lineRule="auto"/>
        <w:jc w:val="left"/>
        <w:rPr>
          <w:b/>
          <w:szCs w:val="22"/>
        </w:rPr>
      </w:pPr>
      <w:r w:rsidRPr="00820559">
        <w:rPr>
          <w:szCs w:val="22"/>
        </w:rPr>
        <w:t xml:space="preserve">For updates to the 2019 survey instrument, </w:t>
      </w:r>
      <w:r w:rsidRPr="00CE6E5F" w:rsidR="00E17577">
        <w:rPr>
          <w:szCs w:val="22"/>
        </w:rPr>
        <w:t>ACL/AoA call</w:t>
      </w:r>
      <w:r w:rsidRPr="00CE6E5F" w:rsidR="00F22303">
        <w:rPr>
          <w:szCs w:val="22"/>
        </w:rPr>
        <w:t>ed</w:t>
      </w:r>
      <w:r w:rsidRPr="00CE6E5F" w:rsidR="00E17577">
        <w:rPr>
          <w:szCs w:val="22"/>
        </w:rPr>
        <w:t xml:space="preserve"> upon the expertise of a work group </w:t>
      </w:r>
      <w:r w:rsidRPr="00CE6E5F" w:rsidR="00F22303">
        <w:rPr>
          <w:szCs w:val="22"/>
        </w:rPr>
        <w:t>to</w:t>
      </w:r>
      <w:r w:rsidRPr="00CE6E5F" w:rsidR="00E17577">
        <w:rPr>
          <w:szCs w:val="22"/>
        </w:rPr>
        <w:t xml:space="preserve"> review NSOAAP data collection tools </w:t>
      </w:r>
      <w:r w:rsidRPr="00CE6E5F" w:rsidR="00F22303">
        <w:rPr>
          <w:szCs w:val="22"/>
        </w:rPr>
        <w:t xml:space="preserve">and </w:t>
      </w:r>
      <w:r w:rsidRPr="00CE6E5F" w:rsidR="00E17577">
        <w:rPr>
          <w:szCs w:val="22"/>
        </w:rPr>
        <w:t>to make recommendations to ACL on selecting the best language to use</w:t>
      </w:r>
      <w:r w:rsidRPr="00CE6E5F" w:rsidR="0086604A">
        <w:rPr>
          <w:szCs w:val="22"/>
        </w:rPr>
        <w:t xml:space="preserve"> for revising questions in the survey instruments</w:t>
      </w:r>
      <w:r w:rsidRPr="00CE6E5F" w:rsidR="00E17577">
        <w:rPr>
          <w:szCs w:val="22"/>
        </w:rPr>
        <w:t xml:space="preserve">. The NSOAAP work group </w:t>
      </w:r>
      <w:r w:rsidRPr="00CE6E5F" w:rsidR="00F22303">
        <w:rPr>
          <w:szCs w:val="22"/>
        </w:rPr>
        <w:t>was</w:t>
      </w:r>
      <w:r w:rsidRPr="00CE6E5F" w:rsidR="00E17577">
        <w:rPr>
          <w:szCs w:val="22"/>
        </w:rPr>
        <w:t xml:space="preserve"> comprised of experts on aging data and survey methodology. The work group’s recommendation will inform a redesign of </w:t>
      </w:r>
      <w:proofErr w:type="gramStart"/>
      <w:r w:rsidRPr="00063F63" w:rsidR="00E17577">
        <w:rPr>
          <w:szCs w:val="22"/>
        </w:rPr>
        <w:t>future</w:t>
      </w:r>
      <w:r w:rsidRPr="00CE6E5F" w:rsidR="00E17577">
        <w:rPr>
          <w:szCs w:val="22"/>
        </w:rPr>
        <w:t xml:space="preserve"> NSOAAP survey collection efforts</w:t>
      </w:r>
      <w:proofErr w:type="gramEnd"/>
      <w:r w:rsidRPr="00CE6E5F" w:rsidR="00E17577">
        <w:rPr>
          <w:szCs w:val="22"/>
        </w:rPr>
        <w:t>.</w:t>
      </w:r>
      <w:r w:rsidRPr="00E17577" w:rsidR="00E17577">
        <w:rPr>
          <w:szCs w:val="22"/>
        </w:rPr>
        <w:t xml:space="preserve"> </w:t>
      </w:r>
    </w:p>
    <w:p w:rsidR="00C60A8E" w:rsidP="004E7BE5" w:rsidRDefault="00C60A8E" w14:paraId="00235B5B" w14:textId="3B954E26">
      <w:pPr>
        <w:pStyle w:val="SL-FlLftSgl"/>
        <w:jc w:val="left"/>
        <w:rPr>
          <w:szCs w:val="22"/>
        </w:rPr>
      </w:pPr>
    </w:p>
    <w:p w:rsidRPr="00820559" w:rsidR="00C61128" w:rsidP="00C61128" w:rsidRDefault="00C61128" w14:paraId="325A79C9" w14:textId="0A402948">
      <w:pPr>
        <w:autoSpaceDE w:val="0"/>
        <w:autoSpaceDN w:val="0"/>
        <w:adjustRightInd w:val="0"/>
        <w:spacing w:line="240" w:lineRule="auto"/>
        <w:jc w:val="left"/>
        <w:rPr>
          <w:b/>
          <w:szCs w:val="22"/>
        </w:rPr>
      </w:pPr>
      <w:r w:rsidRPr="00820559">
        <w:rPr>
          <w:szCs w:val="22"/>
        </w:rPr>
        <w:t>For the addition of a special one-time 2021 module on questions related to COVID-19, ACL/AoA convened a new advisory workgroup consisting of members from different State Units on Aging (SUAs), Area Agencies on Aging (AAAs), academia and advocacy organizations on nutrition, aging, and family caregiving. The advisory workgroup members were divided into three subgroups focusing on nutrition, well-being and other services (transportation, case management, and homemaker services), and family caregiving. Workgroup members discussed, evaluated, and ranked proposed COVID-related questions. Through the result of the workgroup members’ voting and prioritization, a final selection of 10-1</w:t>
      </w:r>
      <w:r w:rsidRPr="00820559" w:rsidR="001D67C7">
        <w:rPr>
          <w:szCs w:val="22"/>
        </w:rPr>
        <w:t xml:space="preserve">3 </w:t>
      </w:r>
      <w:r w:rsidRPr="00820559">
        <w:rPr>
          <w:szCs w:val="22"/>
        </w:rPr>
        <w:t>questions by service category resulted in the final COVID-19 special module for 2021.</w:t>
      </w:r>
    </w:p>
    <w:p w:rsidRPr="001D67C7" w:rsidR="00C61128" w:rsidP="004E7BE5" w:rsidRDefault="00C61128" w14:paraId="578ECEEB" w14:textId="77777777">
      <w:pPr>
        <w:pStyle w:val="SL-FlLftSgl"/>
        <w:jc w:val="left"/>
        <w:rPr>
          <w:szCs w:val="22"/>
        </w:rPr>
      </w:pPr>
    </w:p>
    <w:p w:rsidR="004E7BE5" w:rsidP="004E7BE5" w:rsidRDefault="00C61128" w14:paraId="6774513A" w14:textId="214A372A">
      <w:pPr>
        <w:pStyle w:val="SL-FlLftSgl"/>
        <w:jc w:val="left"/>
        <w:rPr>
          <w:szCs w:val="22"/>
        </w:rPr>
      </w:pPr>
      <w:r w:rsidRPr="00820559">
        <w:rPr>
          <w:szCs w:val="22"/>
        </w:rPr>
        <w:t xml:space="preserve">The majority of the remaining questions in </w:t>
      </w:r>
      <w:r w:rsidRPr="001D67C7">
        <w:rPr>
          <w:szCs w:val="22"/>
        </w:rPr>
        <w:t>t</w:t>
      </w:r>
      <w:r w:rsidRPr="001D67C7" w:rsidR="004E7BE5">
        <w:rPr>
          <w:szCs w:val="22"/>
        </w:rPr>
        <w:t xml:space="preserve">he survey instruments for this proposed information collection </w:t>
      </w:r>
      <w:proofErr w:type="gramStart"/>
      <w:r w:rsidRPr="001D67C7" w:rsidR="004E7BE5">
        <w:rPr>
          <w:szCs w:val="22"/>
        </w:rPr>
        <w:t>are based</w:t>
      </w:r>
      <w:proofErr w:type="gramEnd"/>
      <w:r w:rsidRPr="001D67C7" w:rsidR="004E7BE5">
        <w:rPr>
          <w:szCs w:val="22"/>
        </w:rPr>
        <w:t xml:space="preserve"> on those developed by </w:t>
      </w:r>
      <w:r w:rsidRPr="00A40468" w:rsidR="00C95A80">
        <w:rPr>
          <w:szCs w:val="22"/>
        </w:rPr>
        <w:t>ACL</w:t>
      </w:r>
      <w:r w:rsidRPr="00E17577" w:rsidR="00C95A80">
        <w:rPr>
          <w:szCs w:val="22"/>
        </w:rPr>
        <w:t>/</w:t>
      </w:r>
      <w:r w:rsidRPr="00E17577" w:rsidR="004E7BE5">
        <w:rPr>
          <w:szCs w:val="22"/>
        </w:rPr>
        <w:t>AoA</w:t>
      </w:r>
      <w:r w:rsidRPr="000B5481" w:rsidR="004E7BE5">
        <w:rPr>
          <w:szCs w:val="22"/>
        </w:rPr>
        <w:t xml:space="preserve"> POMP grantees representing State Units on Aging and </w:t>
      </w:r>
      <w:r w:rsidR="004E7BE5">
        <w:rPr>
          <w:szCs w:val="22"/>
        </w:rPr>
        <w:t>AAAs</w:t>
      </w:r>
      <w:r w:rsidRPr="000B5481" w:rsidR="004E7BE5">
        <w:rPr>
          <w:szCs w:val="22"/>
        </w:rPr>
        <w:t xml:space="preserve">. POMP grantees who have worked on the survey instruments include state and local level representatives from Arizona, Florida, Georgia, Massachusetts, New York, North Carolina, and Ohio. The development of the survey instruments has been an iterative process. There were no areas of disagreement during the latest POMP revisions. </w:t>
      </w:r>
    </w:p>
    <w:p w:rsidR="004E7BE5" w:rsidP="004E7BE5" w:rsidRDefault="004E7BE5" w14:paraId="745D0D7D" w14:textId="77777777">
      <w:pPr>
        <w:pStyle w:val="SL-FlLftSgl"/>
        <w:jc w:val="left"/>
        <w:rPr>
          <w:szCs w:val="22"/>
        </w:rPr>
      </w:pPr>
    </w:p>
    <w:p w:rsidR="004E7BE5" w:rsidP="004E7BE5" w:rsidRDefault="004E7BE5" w14:paraId="30DB6075" w14:textId="77777777">
      <w:pPr>
        <w:pStyle w:val="SL-FlLftSgl"/>
        <w:jc w:val="left"/>
        <w:rPr>
          <w:szCs w:val="22"/>
        </w:rPr>
      </w:pPr>
      <w:r>
        <w:rPr>
          <w:szCs w:val="22"/>
        </w:rPr>
        <w:t>The POMP grantees tested the instruments with service recipients at the local AAA-level using several methods:</w:t>
      </w:r>
    </w:p>
    <w:p w:rsidR="004E7BE5" w:rsidP="004E7BE5" w:rsidRDefault="004E7BE5" w14:paraId="6B103FA5" w14:textId="77777777">
      <w:pPr>
        <w:pStyle w:val="SL-FlLftSgl"/>
        <w:jc w:val="left"/>
        <w:rPr>
          <w:szCs w:val="22"/>
        </w:rPr>
      </w:pPr>
    </w:p>
    <w:p w:rsidR="004E7BE5" w:rsidP="00831CB9" w:rsidRDefault="004E7BE5" w14:paraId="6966804B" w14:textId="77777777">
      <w:pPr>
        <w:pStyle w:val="SL-FlLftSgl"/>
        <w:numPr>
          <w:ilvl w:val="0"/>
          <w:numId w:val="16"/>
        </w:numPr>
        <w:jc w:val="left"/>
        <w:rPr>
          <w:szCs w:val="22"/>
        </w:rPr>
      </w:pPr>
      <w:r>
        <w:rPr>
          <w:szCs w:val="22"/>
        </w:rPr>
        <w:t>Field-tested the survey instruments with a sample of service recipients and revised the instruments based on their experience.</w:t>
      </w:r>
    </w:p>
    <w:p w:rsidR="004E7BE5" w:rsidP="004E7BE5" w:rsidRDefault="004E7BE5" w14:paraId="1C54B80E" w14:textId="77777777">
      <w:pPr>
        <w:pStyle w:val="SL-FlLftSgl"/>
        <w:jc w:val="left"/>
        <w:rPr>
          <w:szCs w:val="22"/>
        </w:rPr>
      </w:pPr>
    </w:p>
    <w:p w:rsidR="004E7BE5" w:rsidP="00831CB9" w:rsidRDefault="004E7BE5" w14:paraId="7925BFC2" w14:textId="77777777">
      <w:pPr>
        <w:pStyle w:val="SL-FlLftSgl"/>
        <w:numPr>
          <w:ilvl w:val="0"/>
          <w:numId w:val="16"/>
        </w:numPr>
        <w:jc w:val="left"/>
        <w:rPr>
          <w:szCs w:val="22"/>
        </w:rPr>
      </w:pPr>
      <w:r>
        <w:rPr>
          <w:szCs w:val="22"/>
        </w:rPr>
        <w:t xml:space="preserve">Conducted cognitive testing to ensure that the items on the survey instruments </w:t>
      </w:r>
      <w:proofErr w:type="gramStart"/>
      <w:r>
        <w:rPr>
          <w:szCs w:val="22"/>
        </w:rPr>
        <w:t>were interpreted</w:t>
      </w:r>
      <w:proofErr w:type="gramEnd"/>
      <w:r>
        <w:rPr>
          <w:szCs w:val="22"/>
        </w:rPr>
        <w:t xml:space="preserve"> as intended.</w:t>
      </w:r>
    </w:p>
    <w:p w:rsidR="004E7BE5" w:rsidP="004E7BE5" w:rsidRDefault="004E7BE5" w14:paraId="383A6B0A" w14:textId="77777777">
      <w:pPr>
        <w:pStyle w:val="ListParagraph"/>
        <w:rPr>
          <w:szCs w:val="22"/>
        </w:rPr>
      </w:pPr>
    </w:p>
    <w:p w:rsidRPr="000B5481" w:rsidR="004E7BE5" w:rsidP="00831CB9" w:rsidRDefault="004E7BE5" w14:paraId="34293853" w14:textId="77777777">
      <w:pPr>
        <w:pStyle w:val="SL-FlLftSgl"/>
        <w:numPr>
          <w:ilvl w:val="0"/>
          <w:numId w:val="16"/>
        </w:numPr>
        <w:jc w:val="left"/>
        <w:rPr>
          <w:szCs w:val="22"/>
        </w:rPr>
      </w:pPr>
      <w:r>
        <w:rPr>
          <w:szCs w:val="22"/>
        </w:rPr>
        <w:t>Conducted validity testing on the survey instruments.</w:t>
      </w:r>
    </w:p>
    <w:p w:rsidRPr="000B5481" w:rsidR="004E7BE5" w:rsidP="004E7BE5" w:rsidRDefault="004E7BE5" w14:paraId="2C628BE4" w14:textId="77777777">
      <w:pPr>
        <w:pStyle w:val="SL-FlLftSgl"/>
        <w:jc w:val="left"/>
        <w:rPr>
          <w:szCs w:val="22"/>
        </w:rPr>
      </w:pPr>
    </w:p>
    <w:p w:rsidRPr="000B5481" w:rsidR="004E7BE5" w:rsidP="004E7BE5" w:rsidRDefault="004E7BE5" w14:paraId="5B9D6518" w14:textId="77777777">
      <w:pPr>
        <w:pStyle w:val="SL-FlLftSgl"/>
        <w:jc w:val="left"/>
        <w:rPr>
          <w:szCs w:val="22"/>
        </w:rPr>
      </w:pPr>
      <w:r w:rsidRPr="000B5481">
        <w:rPr>
          <w:szCs w:val="22"/>
        </w:rPr>
        <w:t>Westat (the contractor) has also consulted representatives from different State Units on Aging to develop and test the instructions and procedures for generating client lists used for sampling. The state representatives who have reviewed the instructions and procedures include:</w:t>
      </w:r>
    </w:p>
    <w:p w:rsidRPr="000B5481" w:rsidR="004E7BE5" w:rsidP="004E7BE5" w:rsidRDefault="004E7BE5" w14:paraId="403C3D8F" w14:textId="77777777">
      <w:pPr>
        <w:pStyle w:val="SL-FlLftSgl"/>
        <w:jc w:val="left"/>
        <w:rPr>
          <w:szCs w:val="22"/>
        </w:rPr>
      </w:pPr>
    </w:p>
    <w:p w:rsidRPr="00CE6E5F" w:rsidR="004E7BE5" w:rsidP="00831CB9" w:rsidRDefault="004E7BE5" w14:paraId="621269BE" w14:textId="77777777">
      <w:pPr>
        <w:pStyle w:val="SL-FlLftSgl"/>
        <w:numPr>
          <w:ilvl w:val="0"/>
          <w:numId w:val="13"/>
        </w:numPr>
        <w:jc w:val="left"/>
        <w:rPr>
          <w:szCs w:val="22"/>
        </w:rPr>
      </w:pPr>
      <w:r w:rsidRPr="00CE6E5F">
        <w:rPr>
          <w:szCs w:val="22"/>
        </w:rPr>
        <w:t xml:space="preserve">Robin </w:t>
      </w:r>
      <w:proofErr w:type="spellStart"/>
      <w:r w:rsidRPr="00CE6E5F">
        <w:rPr>
          <w:szCs w:val="22"/>
        </w:rPr>
        <w:t>Tofil</w:t>
      </w:r>
      <w:proofErr w:type="spellEnd"/>
      <w:r w:rsidRPr="00CE6E5F">
        <w:rPr>
          <w:szCs w:val="22"/>
        </w:rPr>
        <w:t>, Connecticut Department of Social Services, Aging Services Division</w:t>
      </w:r>
    </w:p>
    <w:p w:rsidRPr="00CE6E5F" w:rsidR="004E7BE5" w:rsidP="00831CB9" w:rsidRDefault="001D743B" w14:paraId="776F9335" w14:textId="77777777">
      <w:pPr>
        <w:pStyle w:val="SL-FlLftSgl"/>
        <w:numPr>
          <w:ilvl w:val="0"/>
          <w:numId w:val="13"/>
        </w:numPr>
        <w:jc w:val="left"/>
        <w:rPr>
          <w:szCs w:val="22"/>
        </w:rPr>
      </w:pPr>
      <w:r w:rsidRPr="00CE6E5F">
        <w:rPr>
          <w:szCs w:val="22"/>
        </w:rPr>
        <w:t xml:space="preserve">Jim </w:t>
      </w:r>
      <w:proofErr w:type="spellStart"/>
      <w:r w:rsidRPr="00CE6E5F">
        <w:rPr>
          <w:szCs w:val="22"/>
        </w:rPr>
        <w:t>Burd</w:t>
      </w:r>
      <w:proofErr w:type="spellEnd"/>
      <w:r w:rsidRPr="00CE6E5F" w:rsidR="004E7BE5">
        <w:rPr>
          <w:szCs w:val="22"/>
        </w:rPr>
        <w:t xml:space="preserve">, </w:t>
      </w:r>
      <w:r w:rsidRPr="00CE6E5F">
        <w:rPr>
          <w:szCs w:val="22"/>
        </w:rPr>
        <w:t>Pennsylvania Department of Aging</w:t>
      </w:r>
    </w:p>
    <w:p w:rsidRPr="00CE6E5F" w:rsidR="004E7BE5" w:rsidP="00831CB9" w:rsidRDefault="004E7BE5" w14:paraId="0E6F5BC2" w14:textId="77777777">
      <w:pPr>
        <w:pStyle w:val="SL-FlLftSgl"/>
        <w:numPr>
          <w:ilvl w:val="0"/>
          <w:numId w:val="13"/>
        </w:numPr>
        <w:jc w:val="left"/>
        <w:rPr>
          <w:szCs w:val="22"/>
        </w:rPr>
      </w:pPr>
      <w:r w:rsidRPr="00CE6E5F">
        <w:rPr>
          <w:szCs w:val="22"/>
        </w:rPr>
        <w:t xml:space="preserve">Leonard </w:t>
      </w:r>
      <w:proofErr w:type="spellStart"/>
      <w:r w:rsidRPr="00CE6E5F">
        <w:rPr>
          <w:szCs w:val="22"/>
        </w:rPr>
        <w:t>Eshmont</w:t>
      </w:r>
      <w:proofErr w:type="spellEnd"/>
      <w:r w:rsidRPr="00CE6E5F">
        <w:rPr>
          <w:szCs w:val="22"/>
        </w:rPr>
        <w:t>, Virginia Department for the Aging</w:t>
      </w:r>
    </w:p>
    <w:p w:rsidRPr="000B5481" w:rsidR="009C69D6" w:rsidP="009C69D6" w:rsidRDefault="009C69D6" w14:paraId="611FCC8F" w14:textId="77777777">
      <w:pPr>
        <w:pStyle w:val="SL-FlLftSgl"/>
        <w:jc w:val="left"/>
        <w:rPr>
          <w:szCs w:val="22"/>
        </w:rPr>
      </w:pPr>
    </w:p>
    <w:p w:rsidR="004E7BE5" w:rsidP="004E7BE5" w:rsidRDefault="004E7BE5" w14:paraId="1BF774CD" w14:textId="77777777">
      <w:pPr>
        <w:pStyle w:val="SL-FlLftSgl"/>
        <w:jc w:val="left"/>
      </w:pPr>
    </w:p>
    <w:p w:rsidRPr="000709C9" w:rsidR="004E7BE5" w:rsidP="008C5962" w:rsidRDefault="004E7BE5" w14:paraId="7F4890B2" w14:textId="546ECE24">
      <w:pPr>
        <w:pStyle w:val="SL-FlLftSgl"/>
        <w:jc w:val="left"/>
        <w:rPr>
          <w:rFonts w:ascii="Franklin Gothic Medium" w:hAnsi="Franklin Gothic Medium"/>
          <w:b/>
          <w:color w:val="17365D"/>
          <w:sz w:val="32"/>
          <w:szCs w:val="32"/>
        </w:rPr>
      </w:pPr>
      <w:r>
        <w:t xml:space="preserve"> </w:t>
      </w:r>
      <w:bookmarkStart w:name="_Toc461936340" w:id="12"/>
      <w:r w:rsidR="00CA7F63">
        <w:rPr>
          <w:rFonts w:ascii="Franklin Gothic Medium" w:hAnsi="Franklin Gothic Medium"/>
          <w:b/>
          <w:color w:val="17365D"/>
          <w:sz w:val="32"/>
          <w:szCs w:val="32"/>
        </w:rPr>
        <w:t>A.9</w:t>
      </w:r>
      <w:r w:rsidR="00CA7F63">
        <w:rPr>
          <w:rFonts w:ascii="Franklin Gothic Medium" w:hAnsi="Franklin Gothic Medium"/>
          <w:b/>
          <w:color w:val="17365D"/>
          <w:sz w:val="32"/>
          <w:szCs w:val="32"/>
        </w:rPr>
        <w:tab/>
      </w:r>
      <w:r w:rsidR="00CA7F63">
        <w:rPr>
          <w:rFonts w:ascii="Franklin Gothic Medium" w:hAnsi="Franklin Gothic Medium"/>
          <w:b/>
          <w:color w:val="17365D"/>
          <w:sz w:val="32"/>
          <w:szCs w:val="32"/>
        </w:rPr>
        <w:tab/>
      </w:r>
      <w:r w:rsidRPr="000709C9">
        <w:rPr>
          <w:rFonts w:ascii="Franklin Gothic Medium" w:hAnsi="Franklin Gothic Medium"/>
          <w:b/>
          <w:color w:val="17365D"/>
          <w:sz w:val="32"/>
          <w:szCs w:val="32"/>
        </w:rPr>
        <w:t>Explanation of Any Payment or Gift to Respondents</w:t>
      </w:r>
      <w:bookmarkEnd w:id="12"/>
    </w:p>
    <w:p w:rsidR="005E5494" w:rsidP="002B020F" w:rsidRDefault="005E5494" w14:paraId="1DE3EDA9" w14:textId="77777777">
      <w:pPr>
        <w:pStyle w:val="SL-FlLftSgl"/>
        <w:jc w:val="left"/>
        <w:rPr>
          <w:szCs w:val="22"/>
        </w:rPr>
      </w:pPr>
    </w:p>
    <w:p w:rsidR="005E5494" w:rsidP="002B020F" w:rsidRDefault="005E5494" w14:paraId="4C211C93" w14:textId="186F0B44">
      <w:pPr>
        <w:pStyle w:val="SL-FlLftSgl"/>
        <w:jc w:val="left"/>
        <w:rPr>
          <w:szCs w:val="22"/>
        </w:rPr>
      </w:pPr>
    </w:p>
    <w:p w:rsidR="004E7BE5" w:rsidP="002B020F" w:rsidRDefault="004E7BE5" w14:paraId="2D520560" w14:textId="77777777">
      <w:pPr>
        <w:pStyle w:val="SL-FlLftSgl"/>
        <w:jc w:val="left"/>
        <w:rPr>
          <w:szCs w:val="22"/>
        </w:rPr>
      </w:pPr>
      <w:r w:rsidRPr="00096B94">
        <w:rPr>
          <w:szCs w:val="22"/>
        </w:rPr>
        <w:t xml:space="preserve">No payments or gifts </w:t>
      </w:r>
      <w:proofErr w:type="gramStart"/>
      <w:r w:rsidRPr="00096B94">
        <w:rPr>
          <w:szCs w:val="22"/>
        </w:rPr>
        <w:t>will be given</w:t>
      </w:r>
      <w:proofErr w:type="gramEnd"/>
      <w:r w:rsidRPr="00096B94">
        <w:rPr>
          <w:szCs w:val="22"/>
        </w:rPr>
        <w:t xml:space="preserve"> to respondents.</w:t>
      </w:r>
      <w:r w:rsidR="002B020F">
        <w:rPr>
          <w:szCs w:val="22"/>
        </w:rPr>
        <w:t xml:space="preserve"> </w:t>
      </w:r>
    </w:p>
    <w:p w:rsidR="00FF61A3" w:rsidP="004E7BE5" w:rsidRDefault="00FF61A3" w14:paraId="44335D50" w14:textId="77777777">
      <w:pPr>
        <w:pStyle w:val="Heading1"/>
        <w:keepNext w:val="0"/>
        <w:keepLines/>
        <w:jc w:val="left"/>
        <w:rPr>
          <w:rFonts w:ascii="Franklin Gothic Medium" w:hAnsi="Franklin Gothic Medium"/>
          <w:color w:val="17365D"/>
          <w:sz w:val="32"/>
          <w:szCs w:val="32"/>
        </w:rPr>
      </w:pPr>
      <w:bookmarkStart w:name="_Toc461936341" w:id="13"/>
    </w:p>
    <w:p w:rsidRPr="002B020F" w:rsidR="004E7BE5" w:rsidP="004E7BE5" w:rsidRDefault="00CA7F63" w14:paraId="5B684A08" w14:textId="106DA171">
      <w:pPr>
        <w:pStyle w:val="Heading1"/>
        <w:keepNext w:val="0"/>
        <w:keepLines/>
        <w:jc w:val="left"/>
        <w:rPr>
          <w:rFonts w:ascii="Franklin Gothic Medium" w:hAnsi="Franklin Gothic Medium"/>
          <w:color w:val="17365D"/>
          <w:sz w:val="32"/>
          <w:szCs w:val="32"/>
        </w:rPr>
      </w:pPr>
      <w:r>
        <w:rPr>
          <w:rFonts w:ascii="Franklin Gothic Medium" w:hAnsi="Franklin Gothic Medium"/>
          <w:color w:val="17365D"/>
          <w:sz w:val="32"/>
          <w:szCs w:val="32"/>
        </w:rPr>
        <w:t>A.10</w:t>
      </w:r>
      <w:r>
        <w:rPr>
          <w:rFonts w:ascii="Franklin Gothic Medium" w:hAnsi="Franklin Gothic Medium"/>
          <w:color w:val="17365D"/>
          <w:sz w:val="32"/>
          <w:szCs w:val="32"/>
        </w:rPr>
        <w:tab/>
      </w:r>
      <w:r>
        <w:rPr>
          <w:rFonts w:ascii="Franklin Gothic Medium" w:hAnsi="Franklin Gothic Medium"/>
          <w:color w:val="17365D"/>
          <w:sz w:val="32"/>
          <w:szCs w:val="32"/>
        </w:rPr>
        <w:tab/>
      </w:r>
      <w:r w:rsidRPr="002B020F" w:rsidR="004E7BE5">
        <w:rPr>
          <w:rFonts w:ascii="Franklin Gothic Medium" w:hAnsi="Franklin Gothic Medium"/>
          <w:color w:val="17365D"/>
          <w:sz w:val="32"/>
          <w:szCs w:val="32"/>
        </w:rPr>
        <w:t xml:space="preserve">Assurance of </w:t>
      </w:r>
      <w:r w:rsidR="00173171">
        <w:rPr>
          <w:rFonts w:ascii="Franklin Gothic Medium" w:hAnsi="Franklin Gothic Medium"/>
          <w:color w:val="17365D"/>
          <w:sz w:val="32"/>
          <w:szCs w:val="32"/>
        </w:rPr>
        <w:t>Privacy</w:t>
      </w:r>
      <w:r w:rsidRPr="002B020F" w:rsidR="004E7BE5">
        <w:rPr>
          <w:rFonts w:ascii="Franklin Gothic Medium" w:hAnsi="Franklin Gothic Medium"/>
          <w:color w:val="17365D"/>
          <w:sz w:val="32"/>
          <w:szCs w:val="32"/>
        </w:rPr>
        <w:t xml:space="preserve"> Provided to Respondents</w:t>
      </w:r>
      <w:bookmarkEnd w:id="13"/>
    </w:p>
    <w:p w:rsidRPr="00096B94" w:rsidR="004E7BE5" w:rsidP="004E7BE5" w:rsidRDefault="00EE60CD" w14:paraId="203E4E3B" w14:textId="1F3D9E84">
      <w:pPr>
        <w:pStyle w:val="SL-FlLftSgl"/>
        <w:jc w:val="left"/>
        <w:rPr>
          <w:snapToGrid w:val="0"/>
          <w:szCs w:val="22"/>
        </w:rPr>
      </w:pPr>
      <w:r>
        <w:rPr>
          <w:snapToGrid w:val="0"/>
          <w:szCs w:val="22"/>
        </w:rPr>
        <w:t xml:space="preserve">After review, </w:t>
      </w:r>
      <w:r w:rsidRPr="005A73EA">
        <w:rPr>
          <w:snapToGrid w:val="0"/>
          <w:szCs w:val="22"/>
        </w:rPr>
        <w:t xml:space="preserve">ACL has determined that </w:t>
      </w:r>
      <w:r w:rsidR="001D67C7">
        <w:rPr>
          <w:snapToGrid w:val="0"/>
          <w:szCs w:val="22"/>
        </w:rPr>
        <w:t>the current</w:t>
      </w:r>
      <w:r w:rsidRPr="005A73EA">
        <w:rPr>
          <w:snapToGrid w:val="0"/>
          <w:szCs w:val="22"/>
        </w:rPr>
        <w:t xml:space="preserve"> Privacy Impact </w:t>
      </w:r>
      <w:r w:rsidR="001D67C7">
        <w:rPr>
          <w:snapToGrid w:val="0"/>
          <w:szCs w:val="22"/>
        </w:rPr>
        <w:t>Assessment</w:t>
      </w:r>
      <w:r w:rsidRPr="005A73EA">
        <w:rPr>
          <w:snapToGrid w:val="0"/>
          <w:szCs w:val="22"/>
        </w:rPr>
        <w:t xml:space="preserve"> (PIA) </w:t>
      </w:r>
      <w:r w:rsidR="001D67C7">
        <w:rPr>
          <w:snapToGrid w:val="0"/>
          <w:szCs w:val="22"/>
        </w:rPr>
        <w:t xml:space="preserve">meets </w:t>
      </w:r>
      <w:r w:rsidR="00571F09">
        <w:rPr>
          <w:snapToGrid w:val="0"/>
          <w:szCs w:val="22"/>
        </w:rPr>
        <w:t xml:space="preserve">the </w:t>
      </w:r>
      <w:r w:rsidRPr="00DC3806" w:rsidR="00571F09">
        <w:rPr>
          <w:snapToGrid w:val="0"/>
          <w:szCs w:val="22"/>
        </w:rPr>
        <w:t>established</w:t>
      </w:r>
      <w:r w:rsidRPr="00820559">
        <w:rPr>
          <w:snapToGrid w:val="0"/>
          <w:szCs w:val="22"/>
        </w:rPr>
        <w:t xml:space="preserve"> gui</w:t>
      </w:r>
      <w:r w:rsidRPr="004671CB" w:rsidR="001D67C7">
        <w:rPr>
          <w:snapToGrid w:val="0"/>
          <w:szCs w:val="22"/>
        </w:rPr>
        <w:t>delines</w:t>
      </w:r>
      <w:r w:rsidR="00AE2D06">
        <w:rPr>
          <w:snapToGrid w:val="0"/>
          <w:szCs w:val="22"/>
        </w:rPr>
        <w:t>.</w:t>
      </w:r>
      <w:r w:rsidR="00DB53B9">
        <w:rPr>
          <w:snapToGrid w:val="0"/>
          <w:szCs w:val="22"/>
        </w:rPr>
        <w:t xml:space="preserve"> There are no assurances of confidentiality. With that, p</w:t>
      </w:r>
      <w:r>
        <w:rPr>
          <w:snapToGrid w:val="0"/>
          <w:szCs w:val="22"/>
        </w:rPr>
        <w:t>rivacy</w:t>
      </w:r>
      <w:r w:rsidRPr="00096B94" w:rsidR="004E7BE5">
        <w:rPr>
          <w:snapToGrid w:val="0"/>
          <w:szCs w:val="22"/>
        </w:rPr>
        <w:t xml:space="preserve"> and anonymity are important parts of the survey desig</w:t>
      </w:r>
      <w:r w:rsidR="00DB53B9">
        <w:rPr>
          <w:snapToGrid w:val="0"/>
          <w:szCs w:val="22"/>
        </w:rPr>
        <w:t xml:space="preserve">n. In response to this concern, ACL </w:t>
      </w:r>
      <w:r w:rsidRPr="00096B94" w:rsidR="004E7BE5">
        <w:rPr>
          <w:snapToGrid w:val="0"/>
          <w:szCs w:val="22"/>
        </w:rPr>
        <w:t xml:space="preserve">will ensure the anonymity of all individuals who provide data. A pledge of </w:t>
      </w:r>
      <w:r>
        <w:rPr>
          <w:snapToGrid w:val="0"/>
          <w:szCs w:val="22"/>
        </w:rPr>
        <w:t>privacy</w:t>
      </w:r>
      <w:r w:rsidRPr="00096B94" w:rsidR="004E7BE5">
        <w:rPr>
          <w:snapToGrid w:val="0"/>
          <w:szCs w:val="22"/>
        </w:rPr>
        <w:t xml:space="preserve"> and anonymity is a major positive incentive for potential respondents to participate in the survey. Its absence would be a significant deterrent and could create </w:t>
      </w:r>
      <w:r w:rsidRPr="00B431BA" w:rsidR="00B431BA">
        <w:rPr>
          <w:snapToGrid w:val="0"/>
          <w:szCs w:val="22"/>
        </w:rPr>
        <w:t>complications</w:t>
      </w:r>
      <w:r w:rsidRPr="00096B94" w:rsidR="004E7BE5">
        <w:rPr>
          <w:snapToGrid w:val="0"/>
          <w:szCs w:val="22"/>
        </w:rPr>
        <w:t xml:space="preserve"> in implementing the survey. </w:t>
      </w:r>
    </w:p>
    <w:p w:rsidRPr="00096B94" w:rsidR="004E7BE5" w:rsidP="004E7BE5" w:rsidRDefault="004E7BE5" w14:paraId="114BE316" w14:textId="77777777">
      <w:pPr>
        <w:pStyle w:val="SL-FlLftSgl"/>
        <w:jc w:val="left"/>
        <w:rPr>
          <w:snapToGrid w:val="0"/>
          <w:szCs w:val="22"/>
        </w:rPr>
      </w:pPr>
    </w:p>
    <w:p w:rsidRPr="00096B94" w:rsidR="004E7BE5" w:rsidP="004E7BE5" w:rsidRDefault="00DB53B9" w14:paraId="27538F92" w14:textId="0BE5704E">
      <w:pPr>
        <w:pStyle w:val="SL-FlLftSgl"/>
        <w:keepNext/>
        <w:keepLines/>
        <w:jc w:val="left"/>
        <w:rPr>
          <w:snapToGrid w:val="0"/>
          <w:szCs w:val="22"/>
        </w:rPr>
      </w:pPr>
      <w:r>
        <w:rPr>
          <w:snapToGrid w:val="0"/>
          <w:szCs w:val="22"/>
        </w:rPr>
        <w:t>Westat</w:t>
      </w:r>
      <w:r w:rsidRPr="00096B94" w:rsidR="004E7BE5">
        <w:rPr>
          <w:snapToGrid w:val="0"/>
          <w:szCs w:val="22"/>
        </w:rPr>
        <w:t xml:space="preserve"> </w:t>
      </w:r>
      <w:r>
        <w:rPr>
          <w:snapToGrid w:val="0"/>
          <w:szCs w:val="22"/>
        </w:rPr>
        <w:t xml:space="preserve">in contract with ACL </w:t>
      </w:r>
      <w:r w:rsidRPr="00096B94" w:rsidR="004E7BE5">
        <w:rPr>
          <w:snapToGrid w:val="0"/>
          <w:szCs w:val="22"/>
        </w:rPr>
        <w:t xml:space="preserve">will take the following precautions to ensure the </w:t>
      </w:r>
      <w:r w:rsidR="00EE60CD">
        <w:rPr>
          <w:snapToGrid w:val="0"/>
          <w:szCs w:val="22"/>
        </w:rPr>
        <w:t>privacy</w:t>
      </w:r>
      <w:r w:rsidRPr="00096B94" w:rsidR="004E7BE5">
        <w:rPr>
          <w:snapToGrid w:val="0"/>
          <w:szCs w:val="22"/>
        </w:rPr>
        <w:t xml:space="preserve"> and anonymity of all data collected:</w:t>
      </w:r>
    </w:p>
    <w:p w:rsidRPr="00096B94" w:rsidR="004E7BE5" w:rsidP="004E7BE5" w:rsidRDefault="004E7BE5" w14:paraId="4BB79FF1" w14:textId="77777777">
      <w:pPr>
        <w:pStyle w:val="SL-FlLftSgl"/>
        <w:keepNext/>
        <w:keepLines/>
        <w:jc w:val="left"/>
        <w:rPr>
          <w:snapToGrid w:val="0"/>
          <w:szCs w:val="22"/>
        </w:rPr>
      </w:pPr>
    </w:p>
    <w:p w:rsidRPr="00096B94" w:rsidR="004E7BE5" w:rsidP="004E7BE5" w:rsidRDefault="004E7BE5" w14:paraId="5E7FBA77" w14:textId="6DDC54A6">
      <w:pPr>
        <w:pStyle w:val="N2-2ndBullet"/>
        <w:keepNext/>
        <w:keepLines/>
        <w:widowControl w:val="0"/>
        <w:tabs>
          <w:tab w:val="num" w:pos="0"/>
        </w:tabs>
        <w:spacing w:line="240" w:lineRule="auto"/>
        <w:jc w:val="left"/>
        <w:rPr>
          <w:szCs w:val="22"/>
        </w:rPr>
      </w:pPr>
      <w:r w:rsidRPr="00096B94">
        <w:rPr>
          <w:szCs w:val="22"/>
        </w:rPr>
        <w:t xml:space="preserve">All Westat project staff, including recruitment specialists, telephone interviewers, research analysts, and systems analysts, will be instructed in the </w:t>
      </w:r>
      <w:proofErr w:type="spellStart"/>
      <w:r w:rsidR="00DB53B9">
        <w:rPr>
          <w:szCs w:val="22"/>
        </w:rPr>
        <w:t>discolousre</w:t>
      </w:r>
      <w:proofErr w:type="spellEnd"/>
      <w:r w:rsidRPr="00096B94">
        <w:rPr>
          <w:szCs w:val="22"/>
        </w:rPr>
        <w:t xml:space="preserve"> requirements of the survey and will be required to sign statements affirming their obligation to maintain </w:t>
      </w:r>
      <w:r w:rsidR="00EE60CD">
        <w:rPr>
          <w:szCs w:val="22"/>
        </w:rPr>
        <w:t>privacy</w:t>
      </w:r>
      <w:r w:rsidRPr="00096B94">
        <w:rPr>
          <w:szCs w:val="22"/>
        </w:rPr>
        <w:t>;</w:t>
      </w:r>
    </w:p>
    <w:p w:rsidRPr="00096B94" w:rsidR="004E7BE5" w:rsidP="004E7BE5" w:rsidRDefault="004E7BE5" w14:paraId="65213FDE" w14:textId="77777777">
      <w:pPr>
        <w:pStyle w:val="N2-2ndBullet"/>
        <w:widowControl w:val="0"/>
        <w:tabs>
          <w:tab w:val="num" w:pos="0"/>
        </w:tabs>
        <w:spacing w:line="240" w:lineRule="auto"/>
        <w:jc w:val="left"/>
        <w:rPr>
          <w:szCs w:val="22"/>
        </w:rPr>
      </w:pPr>
      <w:r w:rsidRPr="00096B94">
        <w:rPr>
          <w:szCs w:val="22"/>
        </w:rPr>
        <w:t xml:space="preserve">Only Westat staff who </w:t>
      </w:r>
      <w:proofErr w:type="gramStart"/>
      <w:r w:rsidRPr="00096B94">
        <w:rPr>
          <w:szCs w:val="22"/>
        </w:rPr>
        <w:t>are authorized</w:t>
      </w:r>
      <w:proofErr w:type="gramEnd"/>
      <w:r w:rsidRPr="00096B94">
        <w:rPr>
          <w:szCs w:val="22"/>
        </w:rPr>
        <w:t xml:space="preserve"> to work on the National Survey have access to client contact information, completed survey instruments, and data files.</w:t>
      </w:r>
    </w:p>
    <w:p w:rsidRPr="00096B94" w:rsidR="004E7BE5" w:rsidP="004E7BE5" w:rsidRDefault="004E7BE5" w14:paraId="479C2348" w14:textId="77777777">
      <w:pPr>
        <w:pStyle w:val="N2-2ndBullet"/>
        <w:widowControl w:val="0"/>
        <w:tabs>
          <w:tab w:val="num" w:pos="0"/>
        </w:tabs>
        <w:spacing w:line="240" w:lineRule="auto"/>
        <w:jc w:val="left"/>
        <w:rPr>
          <w:szCs w:val="22"/>
        </w:rPr>
      </w:pPr>
      <w:r w:rsidRPr="00096B94">
        <w:rPr>
          <w:szCs w:val="22"/>
        </w:rPr>
        <w:t>Data files that are delivered will contain no personal identifiers for program participants; and</w:t>
      </w:r>
    </w:p>
    <w:p w:rsidRPr="00096B94" w:rsidR="004E7BE5" w:rsidP="004E7BE5" w:rsidRDefault="004E7BE5" w14:paraId="4C024FC1" w14:textId="77777777">
      <w:pPr>
        <w:pStyle w:val="N2-2ndBullet"/>
        <w:widowControl w:val="0"/>
        <w:tabs>
          <w:tab w:val="num" w:pos="0"/>
        </w:tabs>
        <w:spacing w:line="240" w:lineRule="auto"/>
        <w:jc w:val="left"/>
        <w:rPr>
          <w:szCs w:val="22"/>
        </w:rPr>
      </w:pPr>
      <w:r w:rsidRPr="00096B94">
        <w:rPr>
          <w:szCs w:val="22"/>
        </w:rPr>
        <w:t>Analysis and publication of survey findings for the participant survey will be in terms of aggregated statistics only.</w:t>
      </w:r>
    </w:p>
    <w:p w:rsidRPr="00096B94" w:rsidR="004E7BE5" w:rsidP="004E7BE5" w:rsidRDefault="004E7BE5" w14:paraId="0FBA8DB6" w14:textId="77777777">
      <w:pPr>
        <w:pStyle w:val="N2-2ndBullet"/>
        <w:widowControl w:val="0"/>
        <w:numPr>
          <w:ilvl w:val="0"/>
          <w:numId w:val="0"/>
        </w:numPr>
        <w:spacing w:line="240" w:lineRule="auto"/>
        <w:ind w:left="1152"/>
        <w:jc w:val="left"/>
        <w:rPr>
          <w:szCs w:val="22"/>
        </w:rPr>
      </w:pPr>
    </w:p>
    <w:p w:rsidRPr="00096B94" w:rsidR="004E7BE5" w:rsidP="004E7BE5" w:rsidRDefault="004E7BE5" w14:paraId="02DB367E" w14:textId="2A2BBF68">
      <w:pPr>
        <w:pStyle w:val="SL-FlLftSgl"/>
        <w:jc w:val="left"/>
        <w:rPr>
          <w:snapToGrid w:val="0"/>
          <w:szCs w:val="22"/>
        </w:rPr>
      </w:pPr>
      <w:r w:rsidRPr="00096B94">
        <w:rPr>
          <w:snapToGrid w:val="0"/>
          <w:szCs w:val="22"/>
        </w:rPr>
        <w:t xml:space="preserve">Appendix </w:t>
      </w:r>
      <w:r>
        <w:rPr>
          <w:snapToGrid w:val="0"/>
          <w:szCs w:val="22"/>
        </w:rPr>
        <w:t>E</w:t>
      </w:r>
      <w:r w:rsidRPr="00096B94">
        <w:rPr>
          <w:snapToGrid w:val="0"/>
          <w:szCs w:val="22"/>
        </w:rPr>
        <w:t xml:space="preserve"> presents the </w:t>
      </w:r>
      <w:r w:rsidR="00EE60CD">
        <w:rPr>
          <w:snapToGrid w:val="0"/>
          <w:szCs w:val="22"/>
        </w:rPr>
        <w:t>internal corporate “Assurance of C</w:t>
      </w:r>
      <w:r w:rsidRPr="00096B94">
        <w:rPr>
          <w:snapToGrid w:val="0"/>
          <w:szCs w:val="22"/>
        </w:rPr>
        <w:t xml:space="preserve">onfidentiality </w:t>
      </w:r>
      <w:r w:rsidR="00EE60CD">
        <w:rPr>
          <w:snapToGrid w:val="0"/>
          <w:szCs w:val="22"/>
        </w:rPr>
        <w:t>A</w:t>
      </w:r>
      <w:r w:rsidRPr="00096B94">
        <w:rPr>
          <w:snapToGrid w:val="0"/>
          <w:szCs w:val="22"/>
        </w:rPr>
        <w:t>greement</w:t>
      </w:r>
      <w:r w:rsidR="00EE60CD">
        <w:rPr>
          <w:snapToGrid w:val="0"/>
          <w:szCs w:val="22"/>
        </w:rPr>
        <w:t>”</w:t>
      </w:r>
      <w:r w:rsidRPr="00096B94">
        <w:rPr>
          <w:snapToGrid w:val="0"/>
          <w:szCs w:val="22"/>
        </w:rPr>
        <w:t xml:space="preserve"> all Westat project staff must sign. This agreement requires the signer to keep confidential </w:t>
      </w:r>
      <w:r w:rsidR="00173171">
        <w:rPr>
          <w:snapToGrid w:val="0"/>
          <w:szCs w:val="22"/>
        </w:rPr>
        <w:t xml:space="preserve">and private </w:t>
      </w:r>
      <w:proofErr w:type="gramStart"/>
      <w:r w:rsidRPr="00096B94">
        <w:rPr>
          <w:snapToGrid w:val="0"/>
          <w:szCs w:val="22"/>
        </w:rPr>
        <w:t>an</w:t>
      </w:r>
      <w:proofErr w:type="gramEnd"/>
      <w:r w:rsidR="0033495C">
        <w:rPr>
          <w:snapToGrid w:val="0"/>
          <w:szCs w:val="22"/>
        </w:rPr>
        <w:t xml:space="preserve"> unit</w:t>
      </w:r>
      <w:r w:rsidRPr="00096B94">
        <w:rPr>
          <w:snapToGrid w:val="0"/>
          <w:szCs w:val="22"/>
        </w:rPr>
        <w:t>y and all information about individual respondents to which they may gain access. Any Westat employee who violates this agreement is subject to dismissal and to possible civil and criminal penalties.</w:t>
      </w:r>
    </w:p>
    <w:p w:rsidRPr="00096B94" w:rsidR="004E7BE5" w:rsidP="004E7BE5" w:rsidRDefault="004E7BE5" w14:paraId="2EC63C2B" w14:textId="77777777">
      <w:pPr>
        <w:pStyle w:val="SL-FlLftSgl"/>
        <w:jc w:val="left"/>
        <w:rPr>
          <w:snapToGrid w:val="0"/>
          <w:szCs w:val="22"/>
        </w:rPr>
      </w:pPr>
    </w:p>
    <w:p w:rsidRPr="00096B94" w:rsidR="004E7BE5" w:rsidP="004E7BE5" w:rsidRDefault="004E7BE5" w14:paraId="05FF008A" w14:textId="77777777">
      <w:pPr>
        <w:autoSpaceDE w:val="0"/>
        <w:autoSpaceDN w:val="0"/>
        <w:adjustRightInd w:val="0"/>
        <w:spacing w:line="240" w:lineRule="auto"/>
        <w:jc w:val="left"/>
        <w:rPr>
          <w:snapToGrid w:val="0"/>
          <w:szCs w:val="22"/>
        </w:rPr>
      </w:pPr>
      <w:r w:rsidRPr="00096B94">
        <w:rPr>
          <w:szCs w:val="22"/>
        </w:rPr>
        <w:t xml:space="preserve">Westat, the contractor for administering the survey instrument and collecting the data, has extensive experience in protecting and maintaining the </w:t>
      </w:r>
      <w:r w:rsidR="00EE60CD">
        <w:rPr>
          <w:szCs w:val="22"/>
        </w:rPr>
        <w:t>privacy</w:t>
      </w:r>
      <w:r w:rsidRPr="00096B94">
        <w:rPr>
          <w:szCs w:val="22"/>
        </w:rPr>
        <w:t xml:space="preserve"> of respondent data collected from surveys. To ensure </w:t>
      </w:r>
      <w:r w:rsidR="00EE60CD">
        <w:rPr>
          <w:szCs w:val="22"/>
        </w:rPr>
        <w:t>privacy</w:t>
      </w:r>
      <w:r w:rsidRPr="00096B94">
        <w:rPr>
          <w:szCs w:val="22"/>
        </w:rPr>
        <w:t xml:space="preserve">, Westat has drawn from its experience in designing the data collection procedures incorporated in this program. </w:t>
      </w:r>
      <w:r w:rsidRPr="00096B94">
        <w:rPr>
          <w:snapToGrid w:val="0"/>
          <w:szCs w:val="22"/>
        </w:rPr>
        <w:t xml:space="preserve">In addition to the </w:t>
      </w:r>
      <w:r w:rsidR="00173171">
        <w:rPr>
          <w:snapToGrid w:val="0"/>
          <w:szCs w:val="22"/>
        </w:rPr>
        <w:t>corporate Assurance of C</w:t>
      </w:r>
      <w:r w:rsidRPr="00096B94">
        <w:rPr>
          <w:snapToGrid w:val="0"/>
          <w:szCs w:val="22"/>
        </w:rPr>
        <w:t xml:space="preserve">onfidentiality </w:t>
      </w:r>
      <w:r w:rsidR="00173171">
        <w:rPr>
          <w:snapToGrid w:val="0"/>
          <w:szCs w:val="22"/>
        </w:rPr>
        <w:t>A</w:t>
      </w:r>
      <w:r w:rsidRPr="00096B94">
        <w:rPr>
          <w:snapToGrid w:val="0"/>
          <w:szCs w:val="22"/>
        </w:rPr>
        <w:t xml:space="preserve">greement, Westat has implemented several other procedures to protect </w:t>
      </w:r>
      <w:r w:rsidR="00173171">
        <w:rPr>
          <w:snapToGrid w:val="0"/>
          <w:szCs w:val="22"/>
        </w:rPr>
        <w:t>privacy</w:t>
      </w:r>
      <w:r w:rsidRPr="00096B94">
        <w:rPr>
          <w:snapToGrid w:val="0"/>
          <w:szCs w:val="22"/>
        </w:rPr>
        <w:t xml:space="preserve"> of survey participants. </w:t>
      </w:r>
    </w:p>
    <w:p w:rsidRPr="00096B94" w:rsidR="004E7BE5" w:rsidP="004E7BE5" w:rsidRDefault="004E7BE5" w14:paraId="22C45A1E" w14:textId="77777777">
      <w:pPr>
        <w:pStyle w:val="SL-FlLftSgl"/>
        <w:jc w:val="left"/>
        <w:rPr>
          <w:snapToGrid w:val="0"/>
          <w:szCs w:val="22"/>
          <w:highlight w:val="green"/>
        </w:rPr>
      </w:pPr>
    </w:p>
    <w:p w:rsidRPr="00096B94" w:rsidR="004E7BE5" w:rsidP="00831CB9" w:rsidRDefault="004E7BE5" w14:paraId="61C1FC46" w14:textId="77777777">
      <w:pPr>
        <w:numPr>
          <w:ilvl w:val="0"/>
          <w:numId w:val="4"/>
        </w:numPr>
        <w:spacing w:line="240" w:lineRule="auto"/>
        <w:jc w:val="left"/>
        <w:rPr>
          <w:szCs w:val="22"/>
        </w:rPr>
      </w:pPr>
      <w:r w:rsidRPr="00096B94">
        <w:rPr>
          <w:szCs w:val="22"/>
        </w:rPr>
        <w:t xml:space="preserve">Data </w:t>
      </w:r>
      <w:proofErr w:type="gramStart"/>
      <w:r w:rsidRPr="00096B94">
        <w:rPr>
          <w:szCs w:val="22"/>
        </w:rPr>
        <w:t>is saved</w:t>
      </w:r>
      <w:proofErr w:type="gramEnd"/>
      <w:r w:rsidRPr="00096B94">
        <w:rPr>
          <w:szCs w:val="22"/>
        </w:rPr>
        <w:t xml:space="preserve"> on secure network folders only accessible to authorized users. No data is ever stored on laptop computers. At the end of the survey, all </w:t>
      </w:r>
      <w:r w:rsidR="009325F1">
        <w:rPr>
          <w:szCs w:val="22"/>
        </w:rPr>
        <w:t>private</w:t>
      </w:r>
      <w:r w:rsidRPr="00096B94">
        <w:rPr>
          <w:szCs w:val="22"/>
        </w:rPr>
        <w:t xml:space="preserve"> data </w:t>
      </w:r>
      <w:proofErr w:type="gramStart"/>
      <w:r w:rsidRPr="00096B94">
        <w:rPr>
          <w:szCs w:val="22"/>
        </w:rPr>
        <w:t>is permanently deleted</w:t>
      </w:r>
      <w:proofErr w:type="gramEnd"/>
      <w:r w:rsidRPr="00096B94">
        <w:rPr>
          <w:szCs w:val="22"/>
        </w:rPr>
        <w:t>.</w:t>
      </w:r>
    </w:p>
    <w:p w:rsidRPr="00096B94" w:rsidR="004E7BE5" w:rsidP="004E7BE5" w:rsidRDefault="004E7BE5" w14:paraId="69F7FF4A" w14:textId="77777777">
      <w:pPr>
        <w:spacing w:line="240" w:lineRule="auto"/>
        <w:ind w:left="360"/>
        <w:jc w:val="left"/>
        <w:rPr>
          <w:szCs w:val="22"/>
        </w:rPr>
      </w:pPr>
    </w:p>
    <w:p w:rsidRPr="00096B94" w:rsidR="004E7BE5" w:rsidP="00831CB9" w:rsidRDefault="004E7BE5" w14:paraId="6A09AF5E" w14:textId="123F970D">
      <w:pPr>
        <w:numPr>
          <w:ilvl w:val="0"/>
          <w:numId w:val="4"/>
        </w:numPr>
        <w:spacing w:line="240" w:lineRule="auto"/>
        <w:jc w:val="left"/>
        <w:rPr>
          <w:szCs w:val="22"/>
        </w:rPr>
      </w:pPr>
      <w:r w:rsidRPr="00096B94">
        <w:rPr>
          <w:szCs w:val="22"/>
        </w:rPr>
        <w:t xml:space="preserve">For the </w:t>
      </w:r>
      <w:r w:rsidR="004251B5">
        <w:rPr>
          <w:szCs w:val="22"/>
        </w:rPr>
        <w:t>1</w:t>
      </w:r>
      <w:r w:rsidR="0033230A">
        <w:rPr>
          <w:szCs w:val="22"/>
        </w:rPr>
        <w:t>5</w:t>
      </w:r>
      <w:r w:rsidR="004251B5">
        <w:rPr>
          <w:szCs w:val="22"/>
        </w:rPr>
        <w:t>th</w:t>
      </w:r>
      <w:r w:rsidRPr="00096B94">
        <w:rPr>
          <w:szCs w:val="22"/>
        </w:rPr>
        <w:t xml:space="preserve"> National Survey and subsequent follow-up surveys, A</w:t>
      </w:r>
      <w:r>
        <w:rPr>
          <w:szCs w:val="22"/>
        </w:rPr>
        <w:t>AAs</w:t>
      </w:r>
      <w:r w:rsidRPr="00096B94">
        <w:rPr>
          <w:szCs w:val="22"/>
        </w:rPr>
        <w:t> </w:t>
      </w:r>
      <w:proofErr w:type="gramStart"/>
      <w:r w:rsidRPr="00096B94">
        <w:rPr>
          <w:szCs w:val="22"/>
        </w:rPr>
        <w:t>will be instructed</w:t>
      </w:r>
      <w:proofErr w:type="gramEnd"/>
      <w:r w:rsidRPr="00096B94">
        <w:rPr>
          <w:szCs w:val="22"/>
        </w:rPr>
        <w:t xml:space="preserve"> to submit </w:t>
      </w:r>
      <w:r w:rsidR="009325F1">
        <w:rPr>
          <w:szCs w:val="22"/>
        </w:rPr>
        <w:t>private personally identifiable</w:t>
      </w:r>
      <w:r w:rsidRPr="00096B94">
        <w:rPr>
          <w:szCs w:val="22"/>
        </w:rPr>
        <w:t xml:space="preserve"> client data to Westat via electronic files using the </w:t>
      </w:r>
      <w:r w:rsidR="0083215D">
        <w:rPr>
          <w:szCs w:val="22"/>
        </w:rPr>
        <w:t>secure survey</w:t>
      </w:r>
      <w:r w:rsidRPr="00096B94">
        <w:rPr>
          <w:szCs w:val="22"/>
        </w:rPr>
        <w:t xml:space="preserve"> web site. Agencies will receive usernames and passwords that enable their staff to sign on to the file upload utility on the web site. </w:t>
      </w:r>
      <w:r>
        <w:rPr>
          <w:szCs w:val="22"/>
        </w:rPr>
        <w:t xml:space="preserve">The passwords are created by a password </w:t>
      </w:r>
      <w:proofErr w:type="gramStart"/>
      <w:r>
        <w:rPr>
          <w:szCs w:val="22"/>
        </w:rPr>
        <w:t>generator which</w:t>
      </w:r>
      <w:proofErr w:type="gramEnd"/>
      <w:r>
        <w:t xml:space="preserve"> creates random passwords that are highly secure due to a combination of lower and upper </w:t>
      </w:r>
      <w:r>
        <w:lastRenderedPageBreak/>
        <w:t xml:space="preserve">case letters, numbers and punctuation symbols. </w:t>
      </w:r>
      <w:r w:rsidRPr="00096B94">
        <w:rPr>
          <w:szCs w:val="22"/>
        </w:rPr>
        <w:t>The database containing the client survey data is not accessible via the Internet; it resides on a server inside the Westat firewall. Only Westat Data Collection Program staff members have access to the master survey database.</w:t>
      </w:r>
    </w:p>
    <w:p w:rsidRPr="00096B94" w:rsidR="004E7BE5" w:rsidP="004E7BE5" w:rsidRDefault="004E7BE5" w14:paraId="1099A229" w14:textId="77777777">
      <w:pPr>
        <w:pStyle w:val="ListParagraph"/>
        <w:rPr>
          <w:szCs w:val="22"/>
        </w:rPr>
      </w:pPr>
    </w:p>
    <w:p w:rsidRPr="00096B94" w:rsidR="004E7BE5" w:rsidP="00831CB9" w:rsidRDefault="004E7BE5" w14:paraId="70EEBFC8" w14:textId="77777777">
      <w:pPr>
        <w:numPr>
          <w:ilvl w:val="0"/>
          <w:numId w:val="4"/>
        </w:numPr>
        <w:spacing w:line="240" w:lineRule="auto"/>
        <w:jc w:val="left"/>
        <w:rPr>
          <w:szCs w:val="22"/>
        </w:rPr>
      </w:pPr>
      <w:r w:rsidRPr="00096B94">
        <w:rPr>
          <w:szCs w:val="22"/>
        </w:rPr>
        <w:t>For AAAs that may experience problems with the survey website and wish to send client data electronically by email, we instruct the AAAs to password protect the file containing the data. Password protection of client data sent electronically by email is required not only for transmission between the AAA and Westat, but even internally within Westat. Additionally, we provide the AAAs with an email address to a secure dedicated project email box (</w:t>
      </w:r>
      <w:hyperlink w:history="1" r:id="rId11">
        <w:r w:rsidRPr="00096B94">
          <w:rPr>
            <w:rStyle w:val="Hyperlink"/>
            <w:szCs w:val="22"/>
          </w:rPr>
          <w:t>aoasurvey@westat.com</w:t>
        </w:r>
      </w:hyperlink>
      <w:r w:rsidRPr="00096B94">
        <w:rPr>
          <w:szCs w:val="22"/>
        </w:rPr>
        <w:t xml:space="preserve">) which </w:t>
      </w:r>
      <w:proofErr w:type="gramStart"/>
      <w:r w:rsidRPr="00096B94">
        <w:rPr>
          <w:szCs w:val="22"/>
        </w:rPr>
        <w:t>cannot be accessed</w:t>
      </w:r>
      <w:proofErr w:type="gramEnd"/>
      <w:r w:rsidRPr="00096B94">
        <w:rPr>
          <w:szCs w:val="22"/>
        </w:rPr>
        <w:t xml:space="preserve"> remotely. </w:t>
      </w:r>
    </w:p>
    <w:p w:rsidRPr="00CE505B" w:rsidR="004E7BE5" w:rsidP="004E7BE5" w:rsidRDefault="004E7BE5" w14:paraId="1240410A" w14:textId="77777777">
      <w:pPr>
        <w:pStyle w:val="ListParagraph"/>
        <w:rPr>
          <w:sz w:val="24"/>
          <w:szCs w:val="24"/>
        </w:rPr>
      </w:pPr>
    </w:p>
    <w:p w:rsidRPr="00096B94" w:rsidR="004E7BE5" w:rsidP="00831CB9" w:rsidRDefault="004E7BE5" w14:paraId="460BC6F8" w14:textId="77777777">
      <w:pPr>
        <w:numPr>
          <w:ilvl w:val="0"/>
          <w:numId w:val="4"/>
        </w:numPr>
        <w:spacing w:line="240" w:lineRule="auto"/>
        <w:jc w:val="left"/>
        <w:rPr>
          <w:szCs w:val="22"/>
        </w:rPr>
      </w:pPr>
      <w:r w:rsidRPr="00096B94">
        <w:rPr>
          <w:szCs w:val="22"/>
        </w:rPr>
        <w:t>For the small number of AAAs that are not able to generate client records by service electronically, they can submit client information in a hard copy format (fax, FedEx, U.S. Postal Service). Hard copies of client information are stored in locked filing cabinets within a locked room. At the conclusion of the survey, all hard copies of client data are shredded.</w:t>
      </w:r>
    </w:p>
    <w:p w:rsidRPr="00096B94" w:rsidR="004E7BE5" w:rsidP="004E7BE5" w:rsidRDefault="004E7BE5" w14:paraId="4CDCE39F" w14:textId="77777777">
      <w:pPr>
        <w:spacing w:line="240" w:lineRule="auto"/>
        <w:ind w:left="360"/>
        <w:jc w:val="left"/>
        <w:rPr>
          <w:szCs w:val="22"/>
        </w:rPr>
      </w:pPr>
    </w:p>
    <w:p w:rsidRPr="00096B94" w:rsidR="004E7BE5" w:rsidP="00831CB9" w:rsidRDefault="004E7BE5" w14:paraId="51152832" w14:textId="77777777">
      <w:pPr>
        <w:numPr>
          <w:ilvl w:val="0"/>
          <w:numId w:val="4"/>
        </w:numPr>
        <w:spacing w:line="240" w:lineRule="auto"/>
        <w:jc w:val="left"/>
        <w:rPr>
          <w:szCs w:val="22"/>
        </w:rPr>
      </w:pPr>
      <w:r w:rsidRPr="00096B94">
        <w:rPr>
          <w:szCs w:val="22"/>
        </w:rPr>
        <w:t xml:space="preserve">A secure fax machine dedicated solely to this survey </w:t>
      </w:r>
      <w:proofErr w:type="gramStart"/>
      <w:r w:rsidRPr="00096B94">
        <w:rPr>
          <w:szCs w:val="22"/>
        </w:rPr>
        <w:t>is used</w:t>
      </w:r>
      <w:proofErr w:type="gramEnd"/>
      <w:r w:rsidRPr="00096B94">
        <w:rPr>
          <w:szCs w:val="22"/>
        </w:rPr>
        <w:t xml:space="preserve"> to receive faxes from AAAs that choose to transmit their data by fax. The fax machine is located within </w:t>
      </w:r>
      <w:r>
        <w:rPr>
          <w:szCs w:val="22"/>
        </w:rPr>
        <w:t>a</w:t>
      </w:r>
      <w:r w:rsidRPr="00096B94">
        <w:rPr>
          <w:szCs w:val="22"/>
        </w:rPr>
        <w:t xml:space="preserve"> locked project room. AAAs that </w:t>
      </w:r>
      <w:r w:rsidR="00E56258">
        <w:rPr>
          <w:szCs w:val="22"/>
        </w:rPr>
        <w:t>need</w:t>
      </w:r>
      <w:r w:rsidRPr="00096B94">
        <w:rPr>
          <w:szCs w:val="22"/>
        </w:rPr>
        <w:t xml:space="preserve"> to transmit their data by fax </w:t>
      </w:r>
      <w:proofErr w:type="gramStart"/>
      <w:r w:rsidRPr="00096B94">
        <w:rPr>
          <w:szCs w:val="22"/>
        </w:rPr>
        <w:t>are asked</w:t>
      </w:r>
      <w:proofErr w:type="gramEnd"/>
      <w:r w:rsidRPr="00096B94">
        <w:rPr>
          <w:szCs w:val="22"/>
        </w:rPr>
        <w:t xml:space="preserve"> to call to Westat staff to alert them to watch for and intercept an incoming fax. If the fax machine is busy, it does not roll over to any other fax machine. </w:t>
      </w:r>
    </w:p>
    <w:p w:rsidRPr="00096B94" w:rsidR="004E7BE5" w:rsidP="004E7BE5" w:rsidRDefault="004E7BE5" w14:paraId="33B3F369" w14:textId="77777777">
      <w:pPr>
        <w:spacing w:line="240" w:lineRule="auto"/>
        <w:jc w:val="left"/>
        <w:rPr>
          <w:szCs w:val="22"/>
        </w:rPr>
      </w:pPr>
    </w:p>
    <w:p w:rsidRPr="00096B94" w:rsidR="004E7BE5" w:rsidP="004E7BE5" w:rsidRDefault="004E7BE5" w14:paraId="198DD68B" w14:textId="77777777">
      <w:pPr>
        <w:pStyle w:val="SL-FlLftSgl"/>
        <w:jc w:val="left"/>
        <w:rPr>
          <w:snapToGrid w:val="0"/>
          <w:color w:val="008000"/>
          <w:szCs w:val="22"/>
        </w:rPr>
      </w:pPr>
    </w:p>
    <w:p w:rsidRPr="00096B94" w:rsidR="004E7BE5" w:rsidP="004E7BE5" w:rsidRDefault="004E7BE5" w14:paraId="716C4C57" w14:textId="77777777">
      <w:pPr>
        <w:autoSpaceDE w:val="0"/>
        <w:autoSpaceDN w:val="0"/>
        <w:adjustRightInd w:val="0"/>
        <w:spacing w:line="240" w:lineRule="auto"/>
        <w:jc w:val="left"/>
        <w:rPr>
          <w:szCs w:val="22"/>
        </w:rPr>
      </w:pPr>
      <w:bookmarkStart w:name="_Toc461936342" w:id="14"/>
      <w:r w:rsidRPr="00096B94">
        <w:rPr>
          <w:szCs w:val="22"/>
        </w:rPr>
        <w:t xml:space="preserve">All respondents in this data collection effort </w:t>
      </w:r>
      <w:proofErr w:type="gramStart"/>
      <w:r w:rsidRPr="00096B94">
        <w:rPr>
          <w:szCs w:val="22"/>
        </w:rPr>
        <w:t>are assured</w:t>
      </w:r>
      <w:proofErr w:type="gramEnd"/>
      <w:r w:rsidRPr="00096B94">
        <w:rPr>
          <w:szCs w:val="22"/>
        </w:rPr>
        <w:t xml:space="preserve"> of the </w:t>
      </w:r>
      <w:r w:rsidR="00173171">
        <w:rPr>
          <w:szCs w:val="22"/>
        </w:rPr>
        <w:t>privacy</w:t>
      </w:r>
      <w:r w:rsidRPr="00096B94">
        <w:rPr>
          <w:szCs w:val="22"/>
        </w:rPr>
        <w:t xml:space="preserve"> of their answers. Respondent data </w:t>
      </w:r>
      <w:proofErr w:type="gramStart"/>
      <w:r w:rsidRPr="00096B94">
        <w:rPr>
          <w:szCs w:val="22"/>
        </w:rPr>
        <w:t>are aggregated</w:t>
      </w:r>
      <w:proofErr w:type="gramEnd"/>
      <w:r w:rsidRPr="00096B94">
        <w:rPr>
          <w:szCs w:val="22"/>
        </w:rPr>
        <w:t xml:space="preserve"> and estimates are produced and published at the both at the national level and at the geographic regional or demographic sub-group level. No individual-level data </w:t>
      </w:r>
      <w:proofErr w:type="gramStart"/>
      <w:r w:rsidRPr="00096B94">
        <w:rPr>
          <w:szCs w:val="22"/>
        </w:rPr>
        <w:t>are published</w:t>
      </w:r>
      <w:proofErr w:type="gramEnd"/>
      <w:r w:rsidRPr="00096B94">
        <w:rPr>
          <w:szCs w:val="22"/>
        </w:rPr>
        <w:t>, nor are they accessible or provided to anyone outside the Westat Data Collection Program staff.</w:t>
      </w:r>
    </w:p>
    <w:p w:rsidRPr="00096B94" w:rsidR="004E7BE5" w:rsidP="004E7BE5" w:rsidRDefault="004E7BE5" w14:paraId="62B98822" w14:textId="77777777">
      <w:pPr>
        <w:autoSpaceDE w:val="0"/>
        <w:autoSpaceDN w:val="0"/>
        <w:adjustRightInd w:val="0"/>
        <w:spacing w:line="240" w:lineRule="auto"/>
        <w:jc w:val="left"/>
        <w:rPr>
          <w:szCs w:val="22"/>
        </w:rPr>
      </w:pPr>
    </w:p>
    <w:p w:rsidRPr="00096B94" w:rsidR="004E7BE5" w:rsidP="004E7BE5" w:rsidRDefault="004E7BE5" w14:paraId="02A87B2A" w14:textId="0838C976">
      <w:pPr>
        <w:autoSpaceDE w:val="0"/>
        <w:autoSpaceDN w:val="0"/>
        <w:adjustRightInd w:val="0"/>
        <w:spacing w:line="240" w:lineRule="auto"/>
        <w:jc w:val="left"/>
        <w:rPr>
          <w:szCs w:val="22"/>
        </w:rPr>
      </w:pPr>
      <w:r w:rsidRPr="00096B94">
        <w:rPr>
          <w:szCs w:val="22"/>
        </w:rPr>
        <w:t xml:space="preserve">A pre-notification letter mailed to potential respondents contains essential </w:t>
      </w:r>
      <w:r w:rsidR="0083215D">
        <w:rPr>
          <w:szCs w:val="22"/>
        </w:rPr>
        <w:t>survey</w:t>
      </w:r>
      <w:r w:rsidRPr="00096B94">
        <w:rPr>
          <w:szCs w:val="22"/>
        </w:rPr>
        <w:t xml:space="preserve"> information and assurances of </w:t>
      </w:r>
      <w:r w:rsidR="00173171">
        <w:rPr>
          <w:szCs w:val="22"/>
        </w:rPr>
        <w:t>privacy</w:t>
      </w:r>
      <w:r w:rsidRPr="00096B94">
        <w:rPr>
          <w:szCs w:val="22"/>
        </w:rPr>
        <w:t xml:space="preserve"> that enable the person to make an informed decision regarding his or her voluntary participation in the data collection effort. </w:t>
      </w:r>
      <w:r w:rsidRPr="00F31237">
        <w:rPr>
          <w:szCs w:val="22"/>
        </w:rPr>
        <w:t xml:space="preserve">A sample of the pre-notification informational letter sent to potential survey participants appears in Appendix </w:t>
      </w:r>
      <w:r>
        <w:rPr>
          <w:szCs w:val="22"/>
        </w:rPr>
        <w:t>F</w:t>
      </w:r>
      <w:r w:rsidRPr="00096B94">
        <w:rPr>
          <w:szCs w:val="22"/>
        </w:rPr>
        <w:t>.</w:t>
      </w:r>
    </w:p>
    <w:p w:rsidR="00FF61A3" w:rsidRDefault="00FF61A3" w14:paraId="7AA35F2B" w14:textId="4B0FBC14">
      <w:pPr>
        <w:spacing w:line="240" w:lineRule="auto"/>
        <w:jc w:val="left"/>
        <w:rPr>
          <w:rFonts w:ascii="Franklin Gothic Medium" w:hAnsi="Franklin Gothic Medium"/>
          <w:b/>
          <w:color w:val="17365D"/>
          <w:sz w:val="32"/>
          <w:szCs w:val="32"/>
        </w:rPr>
      </w:pPr>
    </w:p>
    <w:p w:rsidRPr="00BC34D3" w:rsidR="004E7BE5" w:rsidP="00CA7F63" w:rsidRDefault="004E7BE5" w14:paraId="377A36C7" w14:textId="59D00730">
      <w:pPr>
        <w:pStyle w:val="Heading1"/>
        <w:keepNext w:val="0"/>
        <w:keepLines/>
        <w:ind w:left="0" w:firstLine="0"/>
        <w:jc w:val="left"/>
        <w:rPr>
          <w:rFonts w:ascii="Franklin Gothic Medium" w:hAnsi="Franklin Gothic Medium"/>
          <w:color w:val="17365D"/>
          <w:sz w:val="32"/>
          <w:szCs w:val="32"/>
        </w:rPr>
      </w:pPr>
      <w:r w:rsidRPr="00BC34D3">
        <w:rPr>
          <w:rFonts w:ascii="Franklin Gothic Medium" w:hAnsi="Franklin Gothic Medium"/>
          <w:color w:val="17365D"/>
          <w:sz w:val="32"/>
          <w:szCs w:val="32"/>
        </w:rPr>
        <w:t>A.11</w:t>
      </w:r>
      <w:r w:rsidR="00CA7F63">
        <w:rPr>
          <w:rFonts w:ascii="Franklin Gothic Medium" w:hAnsi="Franklin Gothic Medium"/>
          <w:color w:val="17365D"/>
          <w:sz w:val="32"/>
          <w:szCs w:val="32"/>
        </w:rPr>
        <w:tab/>
      </w:r>
      <w:r w:rsidR="00CA7F63">
        <w:rPr>
          <w:rFonts w:ascii="Franklin Gothic Medium" w:hAnsi="Franklin Gothic Medium"/>
          <w:color w:val="17365D"/>
          <w:sz w:val="32"/>
          <w:szCs w:val="32"/>
        </w:rPr>
        <w:tab/>
      </w:r>
      <w:r w:rsidRPr="00BC34D3">
        <w:rPr>
          <w:rFonts w:ascii="Franklin Gothic Medium" w:hAnsi="Franklin Gothic Medium"/>
          <w:color w:val="17365D"/>
          <w:sz w:val="32"/>
          <w:szCs w:val="32"/>
        </w:rPr>
        <w:t xml:space="preserve">Justification for Sensitive Questions </w:t>
      </w:r>
      <w:bookmarkEnd w:id="14"/>
    </w:p>
    <w:p w:rsidRPr="00096B94" w:rsidR="004E7BE5" w:rsidP="002348B7" w:rsidRDefault="004E7BE5" w14:paraId="66944A6E" w14:textId="77777777">
      <w:pPr>
        <w:autoSpaceDE w:val="0"/>
        <w:autoSpaceDN w:val="0"/>
        <w:adjustRightInd w:val="0"/>
        <w:spacing w:line="240" w:lineRule="auto"/>
        <w:jc w:val="left"/>
        <w:rPr>
          <w:szCs w:val="22"/>
        </w:rPr>
      </w:pPr>
      <w:r w:rsidRPr="00096B94">
        <w:rPr>
          <w:szCs w:val="22"/>
        </w:rPr>
        <w:t xml:space="preserve">The </w:t>
      </w:r>
      <w:r w:rsidR="00C95A80">
        <w:rPr>
          <w:szCs w:val="22"/>
        </w:rPr>
        <w:t>ACL/</w:t>
      </w:r>
      <w:r w:rsidRPr="00EA7F29">
        <w:rPr>
          <w:szCs w:val="22"/>
        </w:rPr>
        <w:t>AoA National Survey</w:t>
      </w:r>
      <w:r w:rsidRPr="00096B94">
        <w:rPr>
          <w:szCs w:val="22"/>
        </w:rPr>
        <w:t xml:space="preserve"> informs respondents that their responses to all questions are voluntary. We assure them that their survey responses will remain</w:t>
      </w:r>
      <w:r w:rsidR="001B412E">
        <w:rPr>
          <w:szCs w:val="22"/>
        </w:rPr>
        <w:t xml:space="preserve"> private</w:t>
      </w:r>
      <w:r w:rsidRPr="00096B94">
        <w:rPr>
          <w:szCs w:val="22"/>
        </w:rPr>
        <w:t xml:space="preserve">. </w:t>
      </w:r>
      <w:r w:rsidRPr="00096B94">
        <w:rPr>
          <w:snapToGrid w:val="0"/>
          <w:szCs w:val="22"/>
        </w:rPr>
        <w:t xml:space="preserve">Respondents can refuse to answer any question, and the interviewer will move on to the next question on the survey instrument. Additionally, respondents are </w:t>
      </w:r>
      <w:r w:rsidRPr="00096B94">
        <w:rPr>
          <w:szCs w:val="22"/>
        </w:rPr>
        <w:t xml:space="preserve">permitted to stop at any point and to continue the interview </w:t>
      </w:r>
      <w:proofErr w:type="gramStart"/>
      <w:r w:rsidRPr="00096B94">
        <w:rPr>
          <w:szCs w:val="22"/>
        </w:rPr>
        <w:t>at a later time</w:t>
      </w:r>
      <w:proofErr w:type="gramEnd"/>
      <w:r w:rsidRPr="00096B94">
        <w:rPr>
          <w:szCs w:val="22"/>
        </w:rPr>
        <w:t>.</w:t>
      </w:r>
    </w:p>
    <w:p w:rsidRPr="00096B94" w:rsidR="004E7BE5" w:rsidP="004E7BE5" w:rsidRDefault="004E7BE5" w14:paraId="61F84B81" w14:textId="77777777">
      <w:pPr>
        <w:autoSpaceDE w:val="0"/>
        <w:autoSpaceDN w:val="0"/>
        <w:adjustRightInd w:val="0"/>
        <w:spacing w:line="240" w:lineRule="auto"/>
        <w:jc w:val="left"/>
        <w:rPr>
          <w:snapToGrid w:val="0"/>
          <w:szCs w:val="22"/>
        </w:rPr>
      </w:pPr>
    </w:p>
    <w:p w:rsidR="007D0DEC" w:rsidP="000E06DF" w:rsidRDefault="002348B7" w14:paraId="3489C60E" w14:textId="23C1FDE4">
      <w:pPr>
        <w:pStyle w:val="SL-FlLftSgl"/>
        <w:spacing w:line="240" w:lineRule="auto"/>
        <w:jc w:val="left"/>
        <w:rPr>
          <w:szCs w:val="22"/>
        </w:rPr>
      </w:pPr>
      <w:r>
        <w:t>The physical functioning module</w:t>
      </w:r>
      <w:r w:rsidR="00455DF7">
        <w:t xml:space="preserve"> </w:t>
      </w:r>
      <w:r>
        <w:t>contain</w:t>
      </w:r>
      <w:r w:rsidR="00455DF7">
        <w:t>s</w:t>
      </w:r>
      <w:r>
        <w:t xml:space="preserve"> questions on the ability of respondents to perform certain tasks, such as getting around inside and outside the home, getting in and out of a chair or the bed, getting to and using the toilet, </w:t>
      </w:r>
      <w:r w:rsidR="00571F09">
        <w:t>etc.</w:t>
      </w:r>
      <w:r>
        <w:t xml:space="preserve">, </w:t>
      </w:r>
      <w:r w:rsidRPr="00AB689C">
        <w:t>as well as questions asking about their health conditions.</w:t>
      </w:r>
      <w:r>
        <w:t xml:space="preserve"> These types of questions might be considered </w:t>
      </w:r>
      <w:proofErr w:type="gramStart"/>
      <w:r>
        <w:t>to be sensitive</w:t>
      </w:r>
      <w:proofErr w:type="gramEnd"/>
      <w:r>
        <w:t xml:space="preserve">; however, we have never had a respondent object to answering these types of questions, especially when they are part of a battery of physical functioning questions. In addition, analysis of Activities of Daily Living (ADL) and </w:t>
      </w:r>
      <w:r>
        <w:rPr>
          <w:snapToGrid w:val="0"/>
        </w:rPr>
        <w:t xml:space="preserve">Instrumental Activity of Daily Living (IADL) limitations in conjunction with outcomes and the type of services a respondent receives is an important </w:t>
      </w:r>
      <w:r>
        <w:rPr>
          <w:snapToGrid w:val="0"/>
        </w:rPr>
        <w:lastRenderedPageBreak/>
        <w:t xml:space="preserve">outcome measure. This kind of information, along with responses to questions on health conditions, can tell us about the frailty of the respondents served by the nutrition (home-delivered and congregate meals), home care (homemaker/housekeeping), case management and transportation services, and the people who are able to maintain their independence, rather than enter nursing homes, because of those services. Caregivers </w:t>
      </w:r>
      <w:proofErr w:type="gramStart"/>
      <w:r>
        <w:rPr>
          <w:snapToGrid w:val="0"/>
        </w:rPr>
        <w:t>will be asked</w:t>
      </w:r>
      <w:proofErr w:type="gramEnd"/>
      <w:r>
        <w:rPr>
          <w:snapToGrid w:val="0"/>
        </w:rPr>
        <w:t xml:space="preserve"> about the </w:t>
      </w:r>
      <w:r w:rsidRPr="00DA253F">
        <w:rPr>
          <w:snapToGrid w:val="0"/>
        </w:rPr>
        <w:t>health conditions and ADL</w:t>
      </w:r>
      <w:r>
        <w:rPr>
          <w:snapToGrid w:val="0"/>
        </w:rPr>
        <w:t xml:space="preserve"> and IADL</w:t>
      </w:r>
      <w:r w:rsidRPr="00DA253F">
        <w:rPr>
          <w:snapToGrid w:val="0"/>
        </w:rPr>
        <w:t xml:space="preserve"> limitations of their care recipients</w:t>
      </w:r>
      <w:r>
        <w:rPr>
          <w:snapToGrid w:val="0"/>
        </w:rPr>
        <w:t>, again to allow for analysis of the frailty of care recipients whose caregivers are part of the National Family Caregiver Support Program.  Respondents can always refuse to answer any question, and the interviewer will move on to the next question on the survey instrument.</w:t>
      </w:r>
      <w:r w:rsidR="00614728">
        <w:rPr>
          <w:szCs w:val="22"/>
        </w:rPr>
        <w:t xml:space="preserve"> </w:t>
      </w:r>
    </w:p>
    <w:p w:rsidR="00B13AF7" w:rsidP="000E06DF" w:rsidRDefault="00B13AF7" w14:paraId="2D52566B" w14:textId="677119DB">
      <w:pPr>
        <w:pStyle w:val="SL-FlLftSgl"/>
        <w:spacing w:line="240" w:lineRule="auto"/>
        <w:jc w:val="left"/>
        <w:rPr>
          <w:szCs w:val="22"/>
        </w:rPr>
      </w:pPr>
    </w:p>
    <w:p w:rsidR="00B13AF7" w:rsidP="00B13AF7" w:rsidRDefault="00455DF7" w14:paraId="40CE24AC" w14:textId="6435D264">
      <w:pPr>
        <w:spacing w:line="240" w:lineRule="auto"/>
        <w:jc w:val="left"/>
        <w:rPr>
          <w:color w:val="000000"/>
          <w:szCs w:val="22"/>
        </w:rPr>
      </w:pPr>
      <w:r>
        <w:rPr>
          <w:szCs w:val="22"/>
        </w:rPr>
        <w:t>Additionally, a qu</w:t>
      </w:r>
      <w:r w:rsidR="00283047">
        <w:rPr>
          <w:szCs w:val="22"/>
        </w:rPr>
        <w:t>estion asking respondents if they identify as lesbian or gay, straight, bisexual, or something else is included in the National Survey Instrument and may be considered sensitive. However, a</w:t>
      </w:r>
      <w:r w:rsidR="00B13AF7">
        <w:rPr>
          <w:szCs w:val="22"/>
        </w:rPr>
        <w:t xml:space="preserve">s noted by HHS’s Office of Minority Health and supported by additional research, persons who identify as lesbian, gay, bisexual, or transgender (LGBT) are more likely to suffer disparities in health and access to human service organizations.  Therefore, information about the LGBT population is valuable to </w:t>
      </w:r>
      <w:proofErr w:type="spellStart"/>
      <w:r w:rsidR="00B13AF7">
        <w:rPr>
          <w:szCs w:val="22"/>
        </w:rPr>
        <w:t>AoA’s</w:t>
      </w:r>
      <w:proofErr w:type="spellEnd"/>
      <w:r w:rsidR="00B13AF7">
        <w:rPr>
          <w:szCs w:val="22"/>
        </w:rPr>
        <w:t xml:space="preserve"> Aging Network, as providers of Older Americans Act services can benefit from a greater understanding of this</w:t>
      </w:r>
      <w:r w:rsidR="00B13AF7">
        <w:rPr>
          <w:color w:val="000000"/>
          <w:szCs w:val="22"/>
        </w:rPr>
        <w:t xml:space="preserve"> commonly underserved population; a population that may face unique health challenges and limited access to health care and social services. </w:t>
      </w:r>
    </w:p>
    <w:p w:rsidR="00B13AF7" w:rsidP="00B13AF7" w:rsidRDefault="00B13AF7" w14:paraId="3F61B406" w14:textId="77777777">
      <w:pPr>
        <w:spacing w:line="240" w:lineRule="auto"/>
        <w:jc w:val="left"/>
        <w:rPr>
          <w:color w:val="000000"/>
          <w:szCs w:val="22"/>
        </w:rPr>
      </w:pPr>
    </w:p>
    <w:p w:rsidRPr="00CA7F63" w:rsidR="005E5494" w:rsidP="00CA7F63" w:rsidRDefault="00DB53B9" w14:paraId="69379FB6" w14:textId="0ADCF63B">
      <w:pPr>
        <w:spacing w:line="240" w:lineRule="auto"/>
        <w:jc w:val="left"/>
        <w:rPr>
          <w:color w:val="000000"/>
          <w:szCs w:val="22"/>
        </w:rPr>
      </w:pPr>
      <w:r>
        <w:rPr>
          <w:szCs w:val="22"/>
        </w:rPr>
        <w:t>OMB (OMB</w:t>
      </w:r>
      <w:r w:rsidR="00C63A8D">
        <w:rPr>
          <w:szCs w:val="22"/>
        </w:rPr>
        <w:t xml:space="preserve"> HHS/CDC Control </w:t>
      </w:r>
      <w:r>
        <w:rPr>
          <w:szCs w:val="22"/>
        </w:rPr>
        <w:t>0920-0222) approved a series of sexual identity questions</w:t>
      </w:r>
      <w:r w:rsidRPr="00FF61A3" w:rsidR="00FF61A3">
        <w:rPr>
          <w:szCs w:val="22"/>
        </w:rPr>
        <w:t xml:space="preserve"> for use in the National Health Interview Survey fielded by the National Center for Health Statistics.  A standard set of</w:t>
      </w:r>
      <w:r w:rsidRPr="00B13AF7" w:rsidR="00FF61A3">
        <w:rPr>
          <w:szCs w:val="22"/>
        </w:rPr>
        <w:t xml:space="preserve"> questions on sexual identity </w:t>
      </w:r>
      <w:proofErr w:type="gramStart"/>
      <w:r w:rsidRPr="00B13AF7" w:rsidR="00FF61A3">
        <w:rPr>
          <w:szCs w:val="22"/>
        </w:rPr>
        <w:t>was created and tested</w:t>
      </w:r>
      <w:proofErr w:type="gramEnd"/>
      <w:r w:rsidRPr="00B13AF7" w:rsidR="00FF61A3">
        <w:rPr>
          <w:szCs w:val="22"/>
        </w:rPr>
        <w:t xml:space="preserve">.  This set of questions </w:t>
      </w:r>
      <w:proofErr w:type="gramStart"/>
      <w:r w:rsidR="00FF61A3">
        <w:rPr>
          <w:szCs w:val="22"/>
        </w:rPr>
        <w:t>had been</w:t>
      </w:r>
      <w:r w:rsidRPr="00FF61A3" w:rsidR="00FF61A3">
        <w:rPr>
          <w:szCs w:val="22"/>
        </w:rPr>
        <w:t xml:space="preserve"> proposed</w:t>
      </w:r>
      <w:proofErr w:type="gramEnd"/>
      <w:r w:rsidRPr="00FF61A3" w:rsidR="00FF61A3">
        <w:rPr>
          <w:szCs w:val="22"/>
        </w:rPr>
        <w:t xml:space="preserve"> for inclusion in the 2014 ACL/AoA National Survey</w:t>
      </w:r>
      <w:r w:rsidR="00FF61A3">
        <w:rPr>
          <w:szCs w:val="22"/>
        </w:rPr>
        <w:t>. In 2017, although the follow-up questions were dropped, the original question</w:t>
      </w:r>
      <w:r w:rsidRPr="00FF61A3" w:rsidR="00FF61A3">
        <w:rPr>
          <w:szCs w:val="22"/>
        </w:rPr>
        <w:t xml:space="preserve"> can be found in the National Survey Instrument’s Demographic module as questions </w:t>
      </w:r>
      <w:r w:rsidRPr="00FF61A3" w:rsidR="00717EA0">
        <w:rPr>
          <w:szCs w:val="22"/>
        </w:rPr>
        <w:t xml:space="preserve">DE1a </w:t>
      </w:r>
      <w:r w:rsidR="00717EA0">
        <w:rPr>
          <w:szCs w:val="22"/>
        </w:rPr>
        <w:t>(</w:t>
      </w:r>
      <w:r w:rsidR="00FF61A3">
        <w:rPr>
          <w:szCs w:val="22"/>
        </w:rPr>
        <w:t>DETHINK)</w:t>
      </w:r>
      <w:r w:rsidRPr="00FF61A3" w:rsidR="00FF61A3">
        <w:rPr>
          <w:szCs w:val="22"/>
        </w:rPr>
        <w:t xml:space="preserve"> on page</w:t>
      </w:r>
      <w:r w:rsidR="00FF61A3">
        <w:rPr>
          <w:szCs w:val="22"/>
        </w:rPr>
        <w:t xml:space="preserve"> 98</w:t>
      </w:r>
      <w:r w:rsidRPr="00FF61A3" w:rsidR="00FF61A3">
        <w:rPr>
          <w:szCs w:val="22"/>
        </w:rPr>
        <w:t xml:space="preserve"> of</w:t>
      </w:r>
      <w:r w:rsidR="00FF61A3">
        <w:rPr>
          <w:szCs w:val="22"/>
        </w:rPr>
        <w:t xml:space="preserve"> Appendix J</w:t>
      </w:r>
      <w:r w:rsidRPr="00FF61A3" w:rsidR="00FF61A3">
        <w:rPr>
          <w:szCs w:val="22"/>
        </w:rPr>
        <w:t>.</w:t>
      </w:r>
      <w:r w:rsidRPr="00FF61A3" w:rsidR="00FF61A3">
        <w:rPr>
          <w:color w:val="000000"/>
          <w:szCs w:val="22"/>
        </w:rPr>
        <w:t xml:space="preserve"> </w:t>
      </w:r>
      <w:bookmarkStart w:name="_Toc461936343" w:id="15"/>
      <w:r w:rsidRPr="00FF61A3" w:rsidR="005E5494">
        <w:rPr>
          <w:rFonts w:ascii="Franklin Gothic Medium" w:hAnsi="Franklin Gothic Medium"/>
          <w:color w:val="17365D"/>
          <w:sz w:val="32"/>
          <w:szCs w:val="32"/>
          <w:highlight w:val="yellow"/>
        </w:rPr>
        <w:br w:type="page"/>
      </w:r>
    </w:p>
    <w:p w:rsidRPr="00DC3806" w:rsidR="004E7BE5" w:rsidP="00CA7F63" w:rsidRDefault="00CA7F63" w14:paraId="15F6F5B1" w14:textId="6A87AB73">
      <w:pPr>
        <w:pStyle w:val="Heading1"/>
        <w:keepNext w:val="0"/>
        <w:keepLines/>
        <w:ind w:left="0" w:firstLine="0"/>
        <w:jc w:val="left"/>
        <w:rPr>
          <w:rFonts w:ascii="Franklin Gothic Medium" w:hAnsi="Franklin Gothic Medium"/>
          <w:color w:val="17365D"/>
          <w:sz w:val="32"/>
          <w:szCs w:val="32"/>
        </w:rPr>
      </w:pPr>
      <w:r>
        <w:rPr>
          <w:rFonts w:ascii="Franklin Gothic Medium" w:hAnsi="Franklin Gothic Medium"/>
          <w:color w:val="17365D"/>
          <w:sz w:val="32"/>
          <w:szCs w:val="32"/>
        </w:rPr>
        <w:lastRenderedPageBreak/>
        <w:t>A.12</w:t>
      </w:r>
      <w:r w:rsidR="00053045">
        <w:rPr>
          <w:rFonts w:ascii="Franklin Gothic Medium" w:hAnsi="Franklin Gothic Medium"/>
          <w:color w:val="17365D"/>
          <w:sz w:val="32"/>
          <w:szCs w:val="32"/>
        </w:rPr>
        <w:tab/>
      </w:r>
      <w:r w:rsidR="00053045">
        <w:rPr>
          <w:rFonts w:ascii="Franklin Gothic Medium" w:hAnsi="Franklin Gothic Medium"/>
          <w:color w:val="17365D"/>
          <w:sz w:val="32"/>
          <w:szCs w:val="32"/>
        </w:rPr>
        <w:tab/>
      </w:r>
      <w:r w:rsidRPr="00DC3806" w:rsidR="004E7BE5">
        <w:rPr>
          <w:rFonts w:ascii="Franklin Gothic Medium" w:hAnsi="Franklin Gothic Medium"/>
          <w:color w:val="17365D"/>
          <w:sz w:val="32"/>
          <w:szCs w:val="32"/>
        </w:rPr>
        <w:t xml:space="preserve">Estimates of Annualized Burden Hours and Costs </w:t>
      </w:r>
      <w:bookmarkEnd w:id="15"/>
    </w:p>
    <w:p w:rsidRPr="00DC3806" w:rsidR="00BC34D3" w:rsidP="003E6F97" w:rsidRDefault="004E7BE5" w14:paraId="3E3C4258" w14:textId="1F1132C7">
      <w:pPr>
        <w:pStyle w:val="SL-FlLftSgl"/>
        <w:jc w:val="left"/>
        <w:rPr>
          <w:szCs w:val="22"/>
        </w:rPr>
      </w:pPr>
      <w:r w:rsidRPr="00DC3806">
        <w:rPr>
          <w:szCs w:val="22"/>
        </w:rPr>
        <w:t>We estimated the respondent burden for the survey instruments based o</w:t>
      </w:r>
      <w:r w:rsidR="00D713C9">
        <w:rPr>
          <w:szCs w:val="22"/>
        </w:rPr>
        <w:t xml:space="preserve">n the </w:t>
      </w:r>
      <w:proofErr w:type="gramStart"/>
      <w:r w:rsidR="00D713C9">
        <w:rPr>
          <w:szCs w:val="22"/>
        </w:rPr>
        <w:t>3</w:t>
      </w:r>
      <w:r w:rsidRPr="00DC3806" w:rsidR="00D713C9">
        <w:rPr>
          <w:szCs w:val="22"/>
          <w:vertAlign w:val="superscript"/>
        </w:rPr>
        <w:t>rd</w:t>
      </w:r>
      <w:proofErr w:type="gramEnd"/>
      <w:r w:rsidR="00D713C9">
        <w:rPr>
          <w:szCs w:val="22"/>
        </w:rPr>
        <w:t xml:space="preserve"> to </w:t>
      </w:r>
      <w:r w:rsidR="00E71660">
        <w:rPr>
          <w:szCs w:val="22"/>
        </w:rPr>
        <w:t>14th</w:t>
      </w:r>
      <w:r w:rsidRPr="00DC3806">
        <w:rPr>
          <w:szCs w:val="22"/>
        </w:rPr>
        <w:t xml:space="preserve"> National Surveys of OAA </w:t>
      </w:r>
      <w:r w:rsidRPr="00DC3806" w:rsidR="005F1520">
        <w:rPr>
          <w:szCs w:val="22"/>
        </w:rPr>
        <w:t>Participants</w:t>
      </w:r>
      <w:r w:rsidRPr="00DC3806">
        <w:rPr>
          <w:szCs w:val="22"/>
        </w:rPr>
        <w:t>. The cost to respondents who participate in the survey will be in terms of their time only. The Service Recipient survey instrument</w:t>
      </w:r>
      <w:r w:rsidR="00E71660">
        <w:rPr>
          <w:szCs w:val="22"/>
        </w:rPr>
        <w:t xml:space="preserve"> (plus rotating module)</w:t>
      </w:r>
      <w:r w:rsidRPr="00DC3806">
        <w:rPr>
          <w:szCs w:val="22"/>
        </w:rPr>
        <w:t xml:space="preserve"> takes about </w:t>
      </w:r>
      <w:r w:rsidRPr="00DC3806" w:rsidR="00300983">
        <w:rPr>
          <w:szCs w:val="22"/>
        </w:rPr>
        <w:t>4</w:t>
      </w:r>
      <w:r w:rsidR="00E71660">
        <w:rPr>
          <w:szCs w:val="22"/>
        </w:rPr>
        <w:t>5</w:t>
      </w:r>
      <w:r w:rsidRPr="00DC3806">
        <w:rPr>
          <w:szCs w:val="22"/>
        </w:rPr>
        <w:t xml:space="preserve"> minutes (</w:t>
      </w:r>
      <w:r w:rsidRPr="00DC3806" w:rsidR="00300983">
        <w:rPr>
          <w:szCs w:val="22"/>
        </w:rPr>
        <w:t>.</w:t>
      </w:r>
      <w:r w:rsidR="00E71660">
        <w:rPr>
          <w:szCs w:val="22"/>
        </w:rPr>
        <w:t>75</w:t>
      </w:r>
      <w:r w:rsidRPr="00DC3806">
        <w:rPr>
          <w:szCs w:val="22"/>
        </w:rPr>
        <w:t xml:space="preserve"> hour). Most of the Service Recipients are retired. The Caregiver survey</w:t>
      </w:r>
      <w:r w:rsidR="00E71660">
        <w:rPr>
          <w:szCs w:val="22"/>
        </w:rPr>
        <w:t xml:space="preserve"> (plus rotating module)</w:t>
      </w:r>
      <w:r w:rsidRPr="00DC3806">
        <w:rPr>
          <w:szCs w:val="22"/>
        </w:rPr>
        <w:t xml:space="preserve"> will also take about </w:t>
      </w:r>
      <w:r w:rsidRPr="00DC3806" w:rsidR="00300983">
        <w:rPr>
          <w:szCs w:val="22"/>
        </w:rPr>
        <w:t>4</w:t>
      </w:r>
      <w:r w:rsidR="00E71660">
        <w:rPr>
          <w:szCs w:val="22"/>
        </w:rPr>
        <w:t>5</w:t>
      </w:r>
      <w:r w:rsidRPr="00DC3806">
        <w:rPr>
          <w:szCs w:val="22"/>
        </w:rPr>
        <w:t xml:space="preserve"> minutes. Based on the valuation of a participant's time at $2</w:t>
      </w:r>
      <w:r w:rsidR="00E71660">
        <w:rPr>
          <w:szCs w:val="22"/>
        </w:rPr>
        <w:t>5</w:t>
      </w:r>
      <w:r w:rsidRPr="00DC3806">
        <w:rPr>
          <w:szCs w:val="22"/>
        </w:rPr>
        <w:t xml:space="preserve"> per hour, the respondent burden for each participant will be $1</w:t>
      </w:r>
      <w:r w:rsidR="00E71660">
        <w:rPr>
          <w:szCs w:val="22"/>
        </w:rPr>
        <w:t>8.75</w:t>
      </w:r>
      <w:r w:rsidRPr="00DC3806">
        <w:rPr>
          <w:szCs w:val="22"/>
        </w:rPr>
        <w:t xml:space="preserve"> for the Service </w:t>
      </w:r>
      <w:proofErr w:type="gramStart"/>
      <w:r w:rsidRPr="00DC3806">
        <w:rPr>
          <w:szCs w:val="22"/>
        </w:rPr>
        <w:t>Recipient and $</w:t>
      </w:r>
      <w:r w:rsidRPr="00DC3806" w:rsidR="00300983">
        <w:rPr>
          <w:szCs w:val="22"/>
        </w:rPr>
        <w:t>1</w:t>
      </w:r>
      <w:r w:rsidR="00E71660">
        <w:rPr>
          <w:szCs w:val="22"/>
        </w:rPr>
        <w:t>8.75</w:t>
      </w:r>
      <w:r w:rsidRPr="00DC3806">
        <w:rPr>
          <w:szCs w:val="22"/>
        </w:rPr>
        <w:t xml:space="preserve"> for the Caregiver surveys</w:t>
      </w:r>
      <w:proofErr w:type="gramEnd"/>
      <w:r w:rsidRPr="00DC3806">
        <w:rPr>
          <w:szCs w:val="22"/>
        </w:rPr>
        <w:t xml:space="preserve"> and $</w:t>
      </w:r>
      <w:r w:rsidR="00E71660">
        <w:rPr>
          <w:szCs w:val="22"/>
        </w:rPr>
        <w:t>176</w:t>
      </w:r>
      <w:r w:rsidRPr="00DC3806">
        <w:rPr>
          <w:szCs w:val="22"/>
        </w:rPr>
        <w:t xml:space="preserve"> for the agency respondent selection process (estimated at 4 hours of agency personnel time). Exhibit A-1 presents the estimated hour and annual cost response burden by respondent.</w:t>
      </w:r>
    </w:p>
    <w:p w:rsidRPr="00DC3806" w:rsidR="003E6F97" w:rsidP="004E7BE5" w:rsidRDefault="003E6F97" w14:paraId="28CA08E8" w14:textId="493B4889">
      <w:pPr>
        <w:pStyle w:val="TT-TableTitle"/>
        <w:keepLines/>
        <w:ind w:left="0" w:firstLine="0"/>
        <w:rPr>
          <w:rFonts w:ascii="Franklin Gothic Medium" w:hAnsi="Franklin Gothic Medium"/>
          <w:sz w:val="24"/>
          <w:szCs w:val="24"/>
          <w:highlight w:val="yellow"/>
        </w:rPr>
      </w:pPr>
    </w:p>
    <w:p w:rsidRPr="00FF61A3" w:rsidR="003E6F97" w:rsidP="004E7BE5" w:rsidRDefault="003E6F97" w14:paraId="69C46513" w14:textId="77777777">
      <w:pPr>
        <w:pStyle w:val="TT-TableTitle"/>
        <w:keepLines/>
        <w:ind w:left="0" w:firstLine="0"/>
        <w:rPr>
          <w:rFonts w:ascii="Franklin Gothic Medium" w:hAnsi="Franklin Gothic Medium"/>
          <w:color w:val="17365D" w:themeColor="text2" w:themeShade="BF"/>
          <w:sz w:val="24"/>
          <w:szCs w:val="24"/>
          <w:highlight w:val="yellow"/>
        </w:rPr>
      </w:pPr>
    </w:p>
    <w:p w:rsidR="004E7BE5" w:rsidP="004E7BE5" w:rsidRDefault="004E7BE5" w14:paraId="2E667DF8" w14:textId="0594F3F2">
      <w:pPr>
        <w:pStyle w:val="TT-TableTitle"/>
        <w:keepLines/>
        <w:ind w:left="0" w:firstLine="0"/>
        <w:rPr>
          <w:rFonts w:ascii="Franklin Gothic Medium" w:hAnsi="Franklin Gothic Medium"/>
          <w:color w:val="17365D" w:themeColor="text2" w:themeShade="BF"/>
          <w:sz w:val="24"/>
          <w:szCs w:val="24"/>
        </w:rPr>
      </w:pPr>
      <w:r w:rsidRPr="00DC3806">
        <w:rPr>
          <w:rFonts w:ascii="Franklin Gothic Medium" w:hAnsi="Franklin Gothic Medium"/>
          <w:color w:val="17365D" w:themeColor="text2" w:themeShade="BF"/>
          <w:sz w:val="24"/>
          <w:szCs w:val="24"/>
        </w:rPr>
        <w:t>Exhibit A-1. Estimated Hour and Annual Cost Response Burden</w:t>
      </w:r>
    </w:p>
    <w:tbl>
      <w:tblPr>
        <w:tblStyle w:val="TableGrid"/>
        <w:tblW w:w="0" w:type="auto"/>
        <w:tblLook w:val="04A0" w:firstRow="1" w:lastRow="0" w:firstColumn="1" w:lastColumn="0" w:noHBand="0" w:noVBand="1"/>
      </w:tblPr>
      <w:tblGrid>
        <w:gridCol w:w="1732"/>
        <w:gridCol w:w="1320"/>
        <w:gridCol w:w="1302"/>
        <w:gridCol w:w="1282"/>
        <w:gridCol w:w="1230"/>
        <w:gridCol w:w="1214"/>
        <w:gridCol w:w="1270"/>
      </w:tblGrid>
      <w:tr w:rsidRPr="00B431BA" w:rsidR="00B431BA" w:rsidTr="002E01CB" w14:paraId="278EA5F2" w14:textId="77777777">
        <w:tc>
          <w:tcPr>
            <w:tcW w:w="1335" w:type="dxa"/>
            <w:vAlign w:val="bottom"/>
          </w:tcPr>
          <w:p w:rsidRPr="00B431BA" w:rsidR="002E01CB" w:rsidP="00DC3806" w:rsidRDefault="002E01CB" w14:paraId="4F771736" w14:textId="597CB886">
            <w:pPr>
              <w:pStyle w:val="TT-TableTitle"/>
              <w:keepLines/>
              <w:ind w:left="0" w:firstLine="0"/>
              <w:jc w:val="center"/>
              <w:rPr>
                <w:szCs w:val="22"/>
              </w:rPr>
            </w:pPr>
            <w:r w:rsidRPr="00B431BA">
              <w:rPr>
                <w:szCs w:val="22"/>
              </w:rPr>
              <w:t>Respondent/Data collection activity</w:t>
            </w:r>
          </w:p>
        </w:tc>
        <w:tc>
          <w:tcPr>
            <w:tcW w:w="1335" w:type="dxa"/>
            <w:vAlign w:val="bottom"/>
          </w:tcPr>
          <w:p w:rsidRPr="00B431BA" w:rsidR="002E01CB" w:rsidP="00DC3806" w:rsidRDefault="002E01CB" w14:paraId="26C25287" w14:textId="20BFD176">
            <w:pPr>
              <w:pStyle w:val="TT-TableTitle"/>
              <w:keepLines/>
              <w:ind w:left="0" w:firstLine="0"/>
              <w:jc w:val="center"/>
              <w:rPr>
                <w:szCs w:val="22"/>
              </w:rPr>
            </w:pPr>
            <w:r w:rsidRPr="00B431BA">
              <w:rPr>
                <w:szCs w:val="22"/>
              </w:rPr>
              <w:t>Number of respondents</w:t>
            </w:r>
          </w:p>
        </w:tc>
        <w:tc>
          <w:tcPr>
            <w:tcW w:w="1336" w:type="dxa"/>
            <w:vAlign w:val="bottom"/>
          </w:tcPr>
          <w:p w:rsidRPr="00B431BA" w:rsidR="002E01CB" w:rsidP="00DC3806" w:rsidRDefault="002E01CB" w14:paraId="07E4CBB4" w14:textId="79D35B1A">
            <w:pPr>
              <w:pStyle w:val="TT-TableTitle"/>
              <w:keepLines/>
              <w:ind w:left="0" w:firstLine="0"/>
              <w:jc w:val="center"/>
              <w:rPr>
                <w:szCs w:val="22"/>
              </w:rPr>
            </w:pPr>
            <w:r w:rsidRPr="00B431BA">
              <w:rPr>
                <w:szCs w:val="22"/>
              </w:rPr>
              <w:t>Responses per respondent</w:t>
            </w:r>
          </w:p>
        </w:tc>
        <w:tc>
          <w:tcPr>
            <w:tcW w:w="1336" w:type="dxa"/>
            <w:vAlign w:val="bottom"/>
          </w:tcPr>
          <w:p w:rsidRPr="00B431BA" w:rsidR="002E01CB" w:rsidP="00DC3806" w:rsidRDefault="002E01CB" w14:paraId="6F6776E1" w14:textId="3C5B0056">
            <w:pPr>
              <w:pStyle w:val="TT-TableTitle"/>
              <w:keepLines/>
              <w:ind w:left="0" w:firstLine="0"/>
              <w:jc w:val="center"/>
              <w:rPr>
                <w:szCs w:val="22"/>
              </w:rPr>
            </w:pPr>
            <w:r w:rsidRPr="00B431BA">
              <w:rPr>
                <w:szCs w:val="22"/>
              </w:rPr>
              <w:t>Hours per response</w:t>
            </w:r>
          </w:p>
        </w:tc>
        <w:tc>
          <w:tcPr>
            <w:tcW w:w="1336" w:type="dxa"/>
          </w:tcPr>
          <w:p w:rsidRPr="00B431BA" w:rsidR="002E01CB" w:rsidP="00DC3806" w:rsidRDefault="002E01CB" w14:paraId="6F48824F" w14:textId="2B86A6AD">
            <w:pPr>
              <w:pStyle w:val="TT-TableTitle"/>
              <w:keepLines/>
              <w:ind w:left="0" w:firstLine="0"/>
              <w:jc w:val="center"/>
              <w:rPr>
                <w:szCs w:val="22"/>
              </w:rPr>
            </w:pPr>
            <w:r w:rsidRPr="00B431BA">
              <w:rPr>
                <w:szCs w:val="22"/>
              </w:rPr>
              <w:t>Annual burden hours</w:t>
            </w:r>
          </w:p>
        </w:tc>
        <w:tc>
          <w:tcPr>
            <w:tcW w:w="1336" w:type="dxa"/>
          </w:tcPr>
          <w:p w:rsidRPr="00B431BA" w:rsidR="002E01CB" w:rsidP="00DC3806" w:rsidRDefault="002E01CB" w14:paraId="4BBBF22E" w14:textId="3428AFAF">
            <w:pPr>
              <w:pStyle w:val="TT-TableTitle"/>
              <w:keepLines/>
              <w:ind w:left="0" w:firstLine="0"/>
              <w:jc w:val="center"/>
              <w:rPr>
                <w:szCs w:val="22"/>
              </w:rPr>
            </w:pPr>
            <w:r w:rsidRPr="00B431BA">
              <w:rPr>
                <w:szCs w:val="22"/>
              </w:rPr>
              <w:t>Cost per hour</w:t>
            </w:r>
          </w:p>
        </w:tc>
        <w:tc>
          <w:tcPr>
            <w:tcW w:w="1336" w:type="dxa"/>
          </w:tcPr>
          <w:p w:rsidRPr="00B431BA" w:rsidR="002E01CB" w:rsidP="00DC3806" w:rsidRDefault="002E01CB" w14:paraId="0446B4B1" w14:textId="0EFF2A49">
            <w:pPr>
              <w:pStyle w:val="TT-TableTitle"/>
              <w:keepLines/>
              <w:ind w:left="0" w:firstLine="0"/>
              <w:jc w:val="center"/>
              <w:rPr>
                <w:szCs w:val="22"/>
              </w:rPr>
            </w:pPr>
            <w:r w:rsidRPr="00B431BA">
              <w:rPr>
                <w:szCs w:val="22"/>
              </w:rPr>
              <w:t>Annual burden (cost)</w:t>
            </w:r>
          </w:p>
        </w:tc>
      </w:tr>
      <w:tr w:rsidRPr="00B431BA" w:rsidR="00B431BA" w:rsidTr="002E01CB" w14:paraId="7698BE89" w14:textId="77777777">
        <w:tc>
          <w:tcPr>
            <w:tcW w:w="1335" w:type="dxa"/>
          </w:tcPr>
          <w:p w:rsidRPr="00B431BA" w:rsidR="002E01CB" w:rsidP="00E71660" w:rsidRDefault="002E01CB" w14:paraId="26ABE011" w14:textId="77777777">
            <w:pPr>
              <w:pStyle w:val="SL-FlLftSgl"/>
              <w:keepNext/>
              <w:keepLines/>
              <w:spacing w:line="240" w:lineRule="auto"/>
              <w:jc w:val="left"/>
              <w:rPr>
                <w:szCs w:val="22"/>
              </w:rPr>
            </w:pPr>
            <w:r w:rsidRPr="00B431BA">
              <w:rPr>
                <w:szCs w:val="22"/>
              </w:rPr>
              <w:t>Area Agency on Aging: Respondent selection process</w:t>
            </w:r>
          </w:p>
          <w:p w:rsidRPr="00B431BA" w:rsidR="002E01CB" w:rsidP="00DC3806" w:rsidRDefault="002E01CB" w14:paraId="2680FEDF" w14:textId="77777777">
            <w:pPr>
              <w:pStyle w:val="TT-TableTitle"/>
              <w:keepLines/>
              <w:ind w:left="0" w:firstLine="0"/>
              <w:jc w:val="left"/>
              <w:rPr>
                <w:szCs w:val="22"/>
              </w:rPr>
            </w:pPr>
          </w:p>
        </w:tc>
        <w:tc>
          <w:tcPr>
            <w:tcW w:w="1335" w:type="dxa"/>
          </w:tcPr>
          <w:p w:rsidRPr="00B431BA" w:rsidR="002E01CB" w:rsidP="00DC3806" w:rsidRDefault="002E01CB" w14:paraId="3DBE6F34" w14:textId="3626044E">
            <w:pPr>
              <w:pStyle w:val="TT-TableTitle"/>
              <w:keepLines/>
              <w:ind w:left="0" w:firstLine="0"/>
              <w:jc w:val="right"/>
              <w:rPr>
                <w:szCs w:val="22"/>
              </w:rPr>
            </w:pPr>
            <w:r w:rsidRPr="00B431BA">
              <w:rPr>
                <w:szCs w:val="22"/>
              </w:rPr>
              <w:t>350</w:t>
            </w:r>
          </w:p>
        </w:tc>
        <w:tc>
          <w:tcPr>
            <w:tcW w:w="1336" w:type="dxa"/>
          </w:tcPr>
          <w:p w:rsidRPr="00B431BA" w:rsidR="002E01CB" w:rsidP="00DC3806" w:rsidRDefault="002E01CB" w14:paraId="4DBCEE96" w14:textId="3335F686">
            <w:pPr>
              <w:pStyle w:val="TT-TableTitle"/>
              <w:keepLines/>
              <w:ind w:left="0" w:firstLine="0"/>
              <w:jc w:val="right"/>
              <w:rPr>
                <w:szCs w:val="22"/>
              </w:rPr>
            </w:pPr>
            <w:r w:rsidRPr="00B431BA">
              <w:rPr>
                <w:szCs w:val="22"/>
              </w:rPr>
              <w:t>1</w:t>
            </w:r>
          </w:p>
        </w:tc>
        <w:tc>
          <w:tcPr>
            <w:tcW w:w="1336" w:type="dxa"/>
          </w:tcPr>
          <w:p w:rsidRPr="00B431BA" w:rsidR="002E01CB" w:rsidP="00DC3806" w:rsidRDefault="002E01CB" w14:paraId="6419E262" w14:textId="36B5FFC8">
            <w:pPr>
              <w:pStyle w:val="TT-TableTitle"/>
              <w:keepLines/>
              <w:ind w:left="0" w:firstLine="0"/>
              <w:jc w:val="right"/>
              <w:rPr>
                <w:szCs w:val="22"/>
              </w:rPr>
            </w:pPr>
            <w:r w:rsidRPr="00B431BA">
              <w:rPr>
                <w:szCs w:val="22"/>
              </w:rPr>
              <w:t>4.0</w:t>
            </w:r>
          </w:p>
        </w:tc>
        <w:tc>
          <w:tcPr>
            <w:tcW w:w="1336" w:type="dxa"/>
          </w:tcPr>
          <w:p w:rsidRPr="00B431BA" w:rsidR="002E01CB" w:rsidP="00DC3806" w:rsidRDefault="002E01CB" w14:paraId="500EA709" w14:textId="32681293">
            <w:pPr>
              <w:pStyle w:val="TT-TableTitle"/>
              <w:keepLines/>
              <w:ind w:left="0" w:firstLine="0"/>
              <w:jc w:val="right"/>
              <w:rPr>
                <w:szCs w:val="22"/>
              </w:rPr>
            </w:pPr>
            <w:r w:rsidRPr="00B431BA">
              <w:rPr>
                <w:szCs w:val="22"/>
              </w:rPr>
              <w:t>1,400</w:t>
            </w:r>
          </w:p>
        </w:tc>
        <w:tc>
          <w:tcPr>
            <w:tcW w:w="1336" w:type="dxa"/>
          </w:tcPr>
          <w:p w:rsidRPr="00B431BA" w:rsidR="002E01CB" w:rsidP="00DC3806" w:rsidRDefault="002E01CB" w14:paraId="5D2AF183" w14:textId="2FCB4454">
            <w:pPr>
              <w:pStyle w:val="TT-TableTitle"/>
              <w:keepLines/>
              <w:ind w:left="0" w:firstLine="0"/>
              <w:jc w:val="right"/>
              <w:rPr>
                <w:szCs w:val="22"/>
              </w:rPr>
            </w:pPr>
            <w:r w:rsidRPr="00B431BA">
              <w:rPr>
                <w:szCs w:val="22"/>
              </w:rPr>
              <w:t>$44</w:t>
            </w:r>
          </w:p>
        </w:tc>
        <w:tc>
          <w:tcPr>
            <w:tcW w:w="1336" w:type="dxa"/>
          </w:tcPr>
          <w:p w:rsidRPr="00B431BA" w:rsidR="002E01CB" w:rsidP="00DC3806" w:rsidRDefault="002E01CB" w14:paraId="53802859" w14:textId="5EC28655">
            <w:pPr>
              <w:pStyle w:val="TT-TableTitle"/>
              <w:keepLines/>
              <w:ind w:left="0" w:firstLine="0"/>
              <w:jc w:val="right"/>
              <w:rPr>
                <w:szCs w:val="22"/>
              </w:rPr>
            </w:pPr>
            <w:r w:rsidRPr="00B431BA">
              <w:rPr>
                <w:szCs w:val="22"/>
              </w:rPr>
              <w:t>$61,600</w:t>
            </w:r>
          </w:p>
        </w:tc>
      </w:tr>
      <w:tr w:rsidRPr="00B431BA" w:rsidR="00B431BA" w:rsidTr="002E01CB" w14:paraId="50011558" w14:textId="77777777">
        <w:tc>
          <w:tcPr>
            <w:tcW w:w="1335" w:type="dxa"/>
          </w:tcPr>
          <w:p w:rsidRPr="00B431BA" w:rsidR="002E01CB" w:rsidP="00DC3806" w:rsidRDefault="002E01CB" w14:paraId="5CD296A9" w14:textId="6E7C1EC2">
            <w:pPr>
              <w:pStyle w:val="TT-TableTitle"/>
              <w:keepLines/>
              <w:ind w:left="0" w:firstLine="0"/>
              <w:jc w:val="left"/>
              <w:rPr>
                <w:szCs w:val="22"/>
              </w:rPr>
            </w:pPr>
            <w:r w:rsidRPr="00B431BA">
              <w:rPr>
                <w:szCs w:val="22"/>
              </w:rPr>
              <w:t>Service recipients (i.e., Congregate and Home-delivered meal nutrition programs; Case Management, Homemaker, and Transportation Services) + Rotating Module</w:t>
            </w:r>
          </w:p>
        </w:tc>
        <w:tc>
          <w:tcPr>
            <w:tcW w:w="1335" w:type="dxa"/>
          </w:tcPr>
          <w:p w:rsidRPr="00B431BA" w:rsidR="002E01CB" w:rsidP="00DC3806" w:rsidRDefault="002E01CB" w14:paraId="15EACC34" w14:textId="7A210FF9">
            <w:pPr>
              <w:pStyle w:val="TT-TableTitle"/>
              <w:keepLines/>
              <w:ind w:left="0" w:firstLine="0"/>
              <w:jc w:val="right"/>
              <w:rPr>
                <w:szCs w:val="22"/>
              </w:rPr>
            </w:pPr>
            <w:r w:rsidRPr="00B431BA">
              <w:rPr>
                <w:szCs w:val="22"/>
              </w:rPr>
              <w:t>4,400</w:t>
            </w:r>
          </w:p>
        </w:tc>
        <w:tc>
          <w:tcPr>
            <w:tcW w:w="1336" w:type="dxa"/>
          </w:tcPr>
          <w:p w:rsidRPr="00B431BA" w:rsidR="002E01CB" w:rsidP="00DC3806" w:rsidRDefault="002E01CB" w14:paraId="6BA8B590" w14:textId="7045CE81">
            <w:pPr>
              <w:pStyle w:val="TT-TableTitle"/>
              <w:keepLines/>
              <w:ind w:left="0" w:firstLine="0"/>
              <w:jc w:val="right"/>
              <w:rPr>
                <w:szCs w:val="22"/>
              </w:rPr>
            </w:pPr>
            <w:r w:rsidRPr="00B431BA">
              <w:rPr>
                <w:szCs w:val="22"/>
              </w:rPr>
              <w:t>1</w:t>
            </w:r>
          </w:p>
        </w:tc>
        <w:tc>
          <w:tcPr>
            <w:tcW w:w="1336" w:type="dxa"/>
          </w:tcPr>
          <w:p w:rsidRPr="00B431BA" w:rsidR="002E01CB" w:rsidP="00DC3806" w:rsidRDefault="002E01CB" w14:paraId="424A4AE0" w14:textId="5A9F9152">
            <w:pPr>
              <w:pStyle w:val="TT-TableTitle"/>
              <w:keepLines/>
              <w:ind w:left="0" w:firstLine="0"/>
              <w:jc w:val="right"/>
              <w:rPr>
                <w:szCs w:val="22"/>
              </w:rPr>
            </w:pPr>
            <w:r w:rsidRPr="00B431BA">
              <w:rPr>
                <w:szCs w:val="22"/>
              </w:rPr>
              <w:t>.75</w:t>
            </w:r>
          </w:p>
        </w:tc>
        <w:tc>
          <w:tcPr>
            <w:tcW w:w="1336" w:type="dxa"/>
          </w:tcPr>
          <w:p w:rsidRPr="00B431BA" w:rsidR="002E01CB" w:rsidP="00DC3806" w:rsidRDefault="002E01CB" w14:paraId="37274D11" w14:textId="2DF281D0">
            <w:pPr>
              <w:pStyle w:val="TT-TableTitle"/>
              <w:keepLines/>
              <w:ind w:left="0" w:firstLine="0"/>
              <w:jc w:val="right"/>
              <w:rPr>
                <w:szCs w:val="22"/>
              </w:rPr>
            </w:pPr>
            <w:r w:rsidRPr="00B431BA">
              <w:rPr>
                <w:szCs w:val="22"/>
              </w:rPr>
              <w:t>3,300</w:t>
            </w:r>
          </w:p>
        </w:tc>
        <w:tc>
          <w:tcPr>
            <w:tcW w:w="1336" w:type="dxa"/>
          </w:tcPr>
          <w:p w:rsidRPr="00B431BA" w:rsidR="002E01CB" w:rsidP="00DC3806" w:rsidRDefault="002E01CB" w14:paraId="79C448E8" w14:textId="219559A2">
            <w:pPr>
              <w:pStyle w:val="TT-TableTitle"/>
              <w:keepLines/>
              <w:ind w:left="0" w:firstLine="0"/>
              <w:jc w:val="right"/>
              <w:rPr>
                <w:szCs w:val="22"/>
              </w:rPr>
            </w:pPr>
            <w:r w:rsidRPr="00B431BA">
              <w:rPr>
                <w:szCs w:val="22"/>
              </w:rPr>
              <w:t>$25</w:t>
            </w:r>
          </w:p>
        </w:tc>
        <w:tc>
          <w:tcPr>
            <w:tcW w:w="1336" w:type="dxa"/>
          </w:tcPr>
          <w:p w:rsidRPr="00B431BA" w:rsidR="002E01CB" w:rsidP="00DC3806" w:rsidRDefault="002E01CB" w14:paraId="7A2DF446" w14:textId="61630449">
            <w:pPr>
              <w:pStyle w:val="TT-TableTitle"/>
              <w:keepLines/>
              <w:ind w:left="0" w:firstLine="0"/>
              <w:jc w:val="right"/>
              <w:rPr>
                <w:szCs w:val="22"/>
              </w:rPr>
            </w:pPr>
            <w:r w:rsidRPr="00B431BA">
              <w:rPr>
                <w:szCs w:val="22"/>
              </w:rPr>
              <w:t>$82,500</w:t>
            </w:r>
          </w:p>
        </w:tc>
      </w:tr>
      <w:tr w:rsidRPr="00B431BA" w:rsidR="00B431BA" w:rsidTr="002E01CB" w14:paraId="32001163" w14:textId="77777777">
        <w:tc>
          <w:tcPr>
            <w:tcW w:w="1335" w:type="dxa"/>
          </w:tcPr>
          <w:p w:rsidRPr="00B431BA" w:rsidR="002E01CB" w:rsidP="00DC3806" w:rsidRDefault="002E01CB" w14:paraId="549CAACF" w14:textId="26148F4A">
            <w:pPr>
              <w:pStyle w:val="TT-TableTitle"/>
              <w:keepLines/>
              <w:ind w:left="0" w:firstLine="0"/>
              <w:jc w:val="left"/>
              <w:rPr>
                <w:szCs w:val="22"/>
              </w:rPr>
            </w:pPr>
            <w:r w:rsidRPr="00B431BA">
              <w:rPr>
                <w:szCs w:val="22"/>
              </w:rPr>
              <w:t>National Family Caregiver Support Program Clients + Rotating Module</w:t>
            </w:r>
          </w:p>
        </w:tc>
        <w:tc>
          <w:tcPr>
            <w:tcW w:w="1335" w:type="dxa"/>
          </w:tcPr>
          <w:p w:rsidRPr="00B431BA" w:rsidR="002E01CB" w:rsidP="00DC3806" w:rsidRDefault="002E01CB" w14:paraId="195198E0" w14:textId="5D40ACD2">
            <w:pPr>
              <w:pStyle w:val="TT-TableTitle"/>
              <w:keepLines/>
              <w:ind w:left="0" w:firstLine="0"/>
              <w:jc w:val="right"/>
              <w:rPr>
                <w:szCs w:val="22"/>
              </w:rPr>
            </w:pPr>
            <w:r w:rsidRPr="00B431BA">
              <w:rPr>
                <w:szCs w:val="22"/>
              </w:rPr>
              <w:t>2,200</w:t>
            </w:r>
          </w:p>
        </w:tc>
        <w:tc>
          <w:tcPr>
            <w:tcW w:w="1336" w:type="dxa"/>
          </w:tcPr>
          <w:p w:rsidRPr="00B431BA" w:rsidR="002E01CB" w:rsidP="00DC3806" w:rsidRDefault="002E01CB" w14:paraId="6A627C66" w14:textId="3932F05A">
            <w:pPr>
              <w:pStyle w:val="TT-TableTitle"/>
              <w:keepLines/>
              <w:ind w:left="0" w:firstLine="0"/>
              <w:jc w:val="right"/>
              <w:rPr>
                <w:szCs w:val="22"/>
              </w:rPr>
            </w:pPr>
            <w:r w:rsidRPr="00B431BA">
              <w:rPr>
                <w:szCs w:val="22"/>
              </w:rPr>
              <w:t>1</w:t>
            </w:r>
          </w:p>
        </w:tc>
        <w:tc>
          <w:tcPr>
            <w:tcW w:w="1336" w:type="dxa"/>
          </w:tcPr>
          <w:p w:rsidRPr="00B431BA" w:rsidR="002E01CB" w:rsidP="00DC3806" w:rsidRDefault="002E01CB" w14:paraId="5F4B49A4" w14:textId="61DE19DF">
            <w:pPr>
              <w:pStyle w:val="TT-TableTitle"/>
              <w:keepLines/>
              <w:ind w:left="0" w:firstLine="0"/>
              <w:jc w:val="right"/>
              <w:rPr>
                <w:szCs w:val="22"/>
              </w:rPr>
            </w:pPr>
            <w:r w:rsidRPr="00B431BA">
              <w:rPr>
                <w:szCs w:val="22"/>
              </w:rPr>
              <w:t>.75</w:t>
            </w:r>
          </w:p>
        </w:tc>
        <w:tc>
          <w:tcPr>
            <w:tcW w:w="1336" w:type="dxa"/>
          </w:tcPr>
          <w:p w:rsidRPr="00B431BA" w:rsidR="002E01CB" w:rsidP="00DC3806" w:rsidRDefault="002E01CB" w14:paraId="66550AB1" w14:textId="725A4A5A">
            <w:pPr>
              <w:pStyle w:val="TT-TableTitle"/>
              <w:keepLines/>
              <w:ind w:left="0" w:firstLine="0"/>
              <w:jc w:val="right"/>
              <w:rPr>
                <w:szCs w:val="22"/>
              </w:rPr>
            </w:pPr>
            <w:r w:rsidRPr="00B431BA">
              <w:rPr>
                <w:szCs w:val="22"/>
              </w:rPr>
              <w:t>1,650</w:t>
            </w:r>
          </w:p>
        </w:tc>
        <w:tc>
          <w:tcPr>
            <w:tcW w:w="1336" w:type="dxa"/>
          </w:tcPr>
          <w:p w:rsidRPr="00B431BA" w:rsidR="002E01CB" w:rsidP="00DC3806" w:rsidRDefault="002E01CB" w14:paraId="67881AA4" w14:textId="035B713F">
            <w:pPr>
              <w:pStyle w:val="TT-TableTitle"/>
              <w:keepLines/>
              <w:ind w:left="0" w:firstLine="0"/>
              <w:jc w:val="right"/>
              <w:rPr>
                <w:szCs w:val="22"/>
              </w:rPr>
            </w:pPr>
            <w:r w:rsidRPr="00B431BA">
              <w:rPr>
                <w:szCs w:val="22"/>
              </w:rPr>
              <w:t>$25</w:t>
            </w:r>
          </w:p>
        </w:tc>
        <w:tc>
          <w:tcPr>
            <w:tcW w:w="1336" w:type="dxa"/>
          </w:tcPr>
          <w:p w:rsidRPr="00B431BA" w:rsidR="002E01CB" w:rsidP="00DC3806" w:rsidRDefault="002E01CB" w14:paraId="6B72E675" w14:textId="4117E0E6">
            <w:pPr>
              <w:pStyle w:val="TT-TableTitle"/>
              <w:keepLines/>
              <w:ind w:left="0" w:firstLine="0"/>
              <w:jc w:val="right"/>
              <w:rPr>
                <w:szCs w:val="22"/>
              </w:rPr>
            </w:pPr>
            <w:r w:rsidRPr="00B431BA">
              <w:rPr>
                <w:szCs w:val="22"/>
              </w:rPr>
              <w:t>$41,250</w:t>
            </w:r>
          </w:p>
        </w:tc>
      </w:tr>
      <w:tr w:rsidRPr="00B431BA" w:rsidR="00B431BA" w:rsidTr="002E01CB" w14:paraId="016B089D" w14:textId="77777777">
        <w:tc>
          <w:tcPr>
            <w:tcW w:w="1335" w:type="dxa"/>
          </w:tcPr>
          <w:p w:rsidRPr="00B431BA" w:rsidR="002E01CB" w:rsidP="00DC3806" w:rsidRDefault="002E01CB" w14:paraId="47A7D89C" w14:textId="71AF3BAD">
            <w:pPr>
              <w:pStyle w:val="TT-TableTitle"/>
              <w:keepLines/>
              <w:ind w:left="0" w:firstLine="0"/>
              <w:jc w:val="left"/>
              <w:rPr>
                <w:szCs w:val="22"/>
              </w:rPr>
            </w:pPr>
            <w:r w:rsidRPr="00B431BA">
              <w:rPr>
                <w:szCs w:val="22"/>
              </w:rPr>
              <w:t>Total</w:t>
            </w:r>
          </w:p>
        </w:tc>
        <w:tc>
          <w:tcPr>
            <w:tcW w:w="1335" w:type="dxa"/>
          </w:tcPr>
          <w:p w:rsidRPr="00B431BA" w:rsidR="002E01CB" w:rsidP="00DC3806" w:rsidRDefault="002E01CB" w14:paraId="0D2DA3C1" w14:textId="7DA9E34A">
            <w:pPr>
              <w:pStyle w:val="TT-TableTitle"/>
              <w:keepLines/>
              <w:ind w:left="0" w:firstLine="0"/>
              <w:jc w:val="right"/>
              <w:rPr>
                <w:szCs w:val="22"/>
              </w:rPr>
            </w:pPr>
            <w:r w:rsidRPr="00B431BA">
              <w:rPr>
                <w:szCs w:val="22"/>
              </w:rPr>
              <w:t>6,950</w:t>
            </w:r>
          </w:p>
        </w:tc>
        <w:tc>
          <w:tcPr>
            <w:tcW w:w="1336" w:type="dxa"/>
          </w:tcPr>
          <w:p w:rsidRPr="00B431BA" w:rsidR="002E01CB" w:rsidP="00DC3806" w:rsidRDefault="002E01CB" w14:paraId="2AEFD6BE" w14:textId="04869EE7">
            <w:pPr>
              <w:pStyle w:val="TT-TableTitle"/>
              <w:keepLines/>
              <w:ind w:left="0" w:firstLine="0"/>
              <w:jc w:val="right"/>
              <w:rPr>
                <w:szCs w:val="22"/>
              </w:rPr>
            </w:pPr>
            <w:r w:rsidRPr="00B431BA">
              <w:rPr>
                <w:szCs w:val="22"/>
              </w:rPr>
              <w:t>1</w:t>
            </w:r>
          </w:p>
        </w:tc>
        <w:tc>
          <w:tcPr>
            <w:tcW w:w="1336" w:type="dxa"/>
          </w:tcPr>
          <w:p w:rsidRPr="00B431BA" w:rsidR="002E01CB" w:rsidP="00DC3806" w:rsidRDefault="002E01CB" w14:paraId="4E0DF045" w14:textId="3E7C564A">
            <w:pPr>
              <w:pStyle w:val="TT-TableTitle"/>
              <w:keepLines/>
              <w:ind w:left="0" w:firstLine="0"/>
              <w:jc w:val="right"/>
              <w:rPr>
                <w:szCs w:val="22"/>
              </w:rPr>
            </w:pPr>
            <w:r w:rsidRPr="00B431BA">
              <w:rPr>
                <w:szCs w:val="22"/>
              </w:rPr>
              <w:t>.914 (weighted mean)</w:t>
            </w:r>
          </w:p>
        </w:tc>
        <w:tc>
          <w:tcPr>
            <w:tcW w:w="1336" w:type="dxa"/>
          </w:tcPr>
          <w:p w:rsidRPr="00B431BA" w:rsidR="002E01CB" w:rsidP="00DC3806" w:rsidRDefault="002E01CB" w14:paraId="07C75838" w14:textId="062B4D2F">
            <w:pPr>
              <w:pStyle w:val="TT-TableTitle"/>
              <w:keepLines/>
              <w:ind w:left="0" w:firstLine="0"/>
              <w:jc w:val="right"/>
              <w:rPr>
                <w:szCs w:val="22"/>
              </w:rPr>
            </w:pPr>
            <w:r w:rsidRPr="00B431BA">
              <w:rPr>
                <w:szCs w:val="22"/>
              </w:rPr>
              <w:t>6,350</w:t>
            </w:r>
          </w:p>
        </w:tc>
        <w:tc>
          <w:tcPr>
            <w:tcW w:w="1336" w:type="dxa"/>
          </w:tcPr>
          <w:p w:rsidRPr="00B431BA" w:rsidR="002E01CB" w:rsidP="00DC3806" w:rsidRDefault="002E01CB" w14:paraId="059004F5" w14:textId="21B4C900">
            <w:pPr>
              <w:pStyle w:val="TT-TableTitle"/>
              <w:keepLines/>
              <w:ind w:left="0" w:firstLine="0"/>
              <w:jc w:val="right"/>
              <w:rPr>
                <w:szCs w:val="22"/>
              </w:rPr>
            </w:pPr>
            <w:r w:rsidRPr="00B431BA">
              <w:rPr>
                <w:szCs w:val="22"/>
              </w:rPr>
              <w:t>Varies</w:t>
            </w:r>
          </w:p>
        </w:tc>
        <w:tc>
          <w:tcPr>
            <w:tcW w:w="1336" w:type="dxa"/>
          </w:tcPr>
          <w:p w:rsidRPr="00B431BA" w:rsidR="002E01CB" w:rsidP="00DC3806" w:rsidRDefault="002E01CB" w14:paraId="011AEFB8" w14:textId="6D6C9156">
            <w:pPr>
              <w:pStyle w:val="TT-TableTitle"/>
              <w:keepLines/>
              <w:ind w:left="0" w:firstLine="0"/>
              <w:jc w:val="right"/>
              <w:rPr>
                <w:szCs w:val="22"/>
              </w:rPr>
            </w:pPr>
            <w:r w:rsidRPr="00B431BA">
              <w:rPr>
                <w:szCs w:val="22"/>
              </w:rPr>
              <w:t>$185,350</w:t>
            </w:r>
          </w:p>
        </w:tc>
      </w:tr>
    </w:tbl>
    <w:p w:rsidRPr="00DC3806" w:rsidR="004E7BE5" w:rsidP="004E7BE5" w:rsidRDefault="004E7BE5" w14:paraId="2CFB546F" w14:textId="064E70FE">
      <w:pPr>
        <w:pStyle w:val="TT-TableTitle"/>
        <w:keepLines/>
        <w:ind w:left="0" w:firstLine="0"/>
      </w:pPr>
    </w:p>
    <w:p w:rsidRPr="00DC3806" w:rsidR="004E7BE5" w:rsidP="004E7BE5" w:rsidRDefault="004E7BE5" w14:paraId="538F064B" w14:textId="54626903">
      <w:pPr>
        <w:pStyle w:val="FootnoteText"/>
        <w:widowControl w:val="0"/>
        <w:spacing w:line="240" w:lineRule="auto"/>
        <w:rPr>
          <w:snapToGrid w:val="0"/>
          <w:sz w:val="22"/>
        </w:rPr>
      </w:pPr>
      <w:r w:rsidRPr="00DC3806">
        <w:rPr>
          <w:snapToGrid w:val="0"/>
          <w:sz w:val="22"/>
        </w:rPr>
        <w:t>*</w:t>
      </w:r>
      <w:r w:rsidRPr="00DC3806">
        <w:rPr>
          <w:snapToGrid w:val="0"/>
          <w:sz w:val="22"/>
        </w:rPr>
        <w:tab/>
        <w:t>It is important to note that not all of the individual respondents (6</w:t>
      </w:r>
      <w:r w:rsidR="00AE2D06">
        <w:rPr>
          <w:snapToGrid w:val="0"/>
          <w:sz w:val="22"/>
        </w:rPr>
        <w:t>,6</w:t>
      </w:r>
      <w:r w:rsidRPr="00DC3806">
        <w:rPr>
          <w:snapToGrid w:val="0"/>
          <w:sz w:val="22"/>
        </w:rPr>
        <w:t xml:space="preserve">00 for the national survey) </w:t>
      </w:r>
      <w:proofErr w:type="gramStart"/>
      <w:r w:rsidRPr="00DC3806">
        <w:rPr>
          <w:snapToGrid w:val="0"/>
          <w:sz w:val="22"/>
        </w:rPr>
        <w:t>will be asked</w:t>
      </w:r>
      <w:proofErr w:type="gramEnd"/>
      <w:r w:rsidRPr="00DC3806">
        <w:rPr>
          <w:snapToGrid w:val="0"/>
          <w:sz w:val="22"/>
        </w:rPr>
        <w:t xml:space="preserve"> to complete all of the questionnaire modules (see Sampling Plan).</w:t>
      </w:r>
    </w:p>
    <w:p w:rsidRPr="00DC3806" w:rsidR="004E7BE5" w:rsidP="004E7BE5" w:rsidRDefault="004E7BE5" w14:paraId="30F14AEE" w14:textId="77777777">
      <w:pPr>
        <w:pStyle w:val="Heading1"/>
        <w:keepNext w:val="0"/>
        <w:keepLines/>
        <w:spacing w:after="0" w:line="240" w:lineRule="auto"/>
        <w:jc w:val="left"/>
      </w:pPr>
    </w:p>
    <w:p w:rsidRPr="00DC3806" w:rsidR="004E7BE5" w:rsidP="004E7BE5" w:rsidRDefault="004E7BE5" w14:paraId="33D46494" w14:textId="77777777">
      <w:pPr>
        <w:pStyle w:val="P1-StandPara"/>
      </w:pPr>
    </w:p>
    <w:p w:rsidRPr="00DC3806" w:rsidR="004E7BE5" w:rsidP="004E7BE5" w:rsidRDefault="004E7BE5" w14:paraId="76234C9E" w14:textId="77777777">
      <w:pPr>
        <w:pStyle w:val="Heading1"/>
        <w:keepNext w:val="0"/>
        <w:keepLines/>
        <w:spacing w:after="0" w:line="240" w:lineRule="auto"/>
        <w:jc w:val="left"/>
      </w:pPr>
    </w:p>
    <w:p w:rsidRPr="00FF61A3" w:rsidR="004E7BE5" w:rsidP="00B0175C" w:rsidRDefault="00B0175C" w14:paraId="433F34D9" w14:textId="70B50EC5">
      <w:pPr>
        <w:pStyle w:val="Heading1"/>
        <w:keepNext w:val="0"/>
        <w:keepLines/>
        <w:spacing w:after="0" w:line="240" w:lineRule="auto"/>
        <w:ind w:left="1440" w:hanging="1440"/>
        <w:jc w:val="left"/>
        <w:rPr>
          <w:rFonts w:ascii="Franklin Gothic Medium" w:hAnsi="Franklin Gothic Medium"/>
          <w:color w:val="17365D"/>
          <w:sz w:val="32"/>
          <w:szCs w:val="32"/>
          <w:highlight w:val="yellow"/>
        </w:rPr>
      </w:pPr>
      <w:r>
        <w:rPr>
          <w:rFonts w:ascii="Franklin Gothic Medium" w:hAnsi="Franklin Gothic Medium"/>
          <w:color w:val="17365D"/>
          <w:sz w:val="32"/>
          <w:szCs w:val="32"/>
        </w:rPr>
        <w:lastRenderedPageBreak/>
        <w:t>A.13</w:t>
      </w:r>
      <w:r>
        <w:rPr>
          <w:rFonts w:ascii="Franklin Gothic Medium" w:hAnsi="Franklin Gothic Medium"/>
          <w:color w:val="17365D"/>
          <w:sz w:val="32"/>
          <w:szCs w:val="32"/>
        </w:rPr>
        <w:tab/>
      </w:r>
      <w:r>
        <w:rPr>
          <w:rFonts w:ascii="Franklin Gothic Medium" w:hAnsi="Franklin Gothic Medium"/>
          <w:color w:val="17365D"/>
          <w:sz w:val="32"/>
          <w:szCs w:val="32"/>
        </w:rPr>
        <w:tab/>
      </w:r>
      <w:r w:rsidRPr="00DC3806" w:rsidR="004E7BE5">
        <w:rPr>
          <w:rFonts w:ascii="Franklin Gothic Medium" w:hAnsi="Franklin Gothic Medium"/>
          <w:color w:val="17365D"/>
          <w:sz w:val="32"/>
          <w:szCs w:val="32"/>
        </w:rPr>
        <w:t xml:space="preserve">Estimates of Other Total Annual Cost Burden to Respondents and Record Keepers </w:t>
      </w:r>
    </w:p>
    <w:p w:rsidRPr="00DC3806" w:rsidR="004E7BE5" w:rsidP="004E7BE5" w:rsidRDefault="004E7BE5" w14:paraId="6ADB2E97" w14:textId="77777777">
      <w:pPr>
        <w:pStyle w:val="SL-FlLftSgl"/>
        <w:jc w:val="left"/>
      </w:pPr>
    </w:p>
    <w:p w:rsidR="00B0175C" w:rsidP="00B0175C" w:rsidRDefault="004E7BE5" w14:paraId="46920C42" w14:textId="77777777">
      <w:pPr>
        <w:pStyle w:val="SL-FlLftSgl"/>
        <w:jc w:val="left"/>
        <w:rPr>
          <w:szCs w:val="22"/>
        </w:rPr>
      </w:pPr>
      <w:r w:rsidRPr="00DC3806">
        <w:rPr>
          <w:szCs w:val="22"/>
        </w:rPr>
        <w:t>Total annual cost burden excluding wages of agency time and respondent time is zero (see Exhibit A-1).</w:t>
      </w:r>
      <w:bookmarkStart w:name="_Toc461936344" w:id="16"/>
    </w:p>
    <w:p w:rsidR="00B0175C" w:rsidP="00B0175C" w:rsidRDefault="00B0175C" w14:paraId="71E6B145" w14:textId="77777777">
      <w:pPr>
        <w:pStyle w:val="SL-FlLftSgl"/>
        <w:jc w:val="left"/>
        <w:rPr>
          <w:szCs w:val="22"/>
        </w:rPr>
      </w:pPr>
    </w:p>
    <w:p w:rsidR="00B0175C" w:rsidP="00B0175C" w:rsidRDefault="00B0175C" w14:paraId="2CEE7374" w14:textId="77777777">
      <w:pPr>
        <w:pStyle w:val="SL-FlLftSgl"/>
        <w:jc w:val="left"/>
        <w:rPr>
          <w:szCs w:val="22"/>
        </w:rPr>
      </w:pPr>
    </w:p>
    <w:p w:rsidR="004E7BE5" w:rsidP="00B0175C" w:rsidRDefault="00B0175C" w14:paraId="4CD72DE1" w14:textId="200C2499">
      <w:pPr>
        <w:pStyle w:val="SL-FlLftSgl"/>
        <w:jc w:val="left"/>
        <w:rPr>
          <w:rFonts w:ascii="Franklin Gothic Medium" w:hAnsi="Franklin Gothic Medium"/>
          <w:b/>
          <w:color w:val="17365D"/>
          <w:sz w:val="32"/>
          <w:szCs w:val="32"/>
        </w:rPr>
      </w:pPr>
      <w:r>
        <w:rPr>
          <w:rFonts w:ascii="Franklin Gothic Medium" w:hAnsi="Franklin Gothic Medium"/>
          <w:b/>
          <w:color w:val="17365D"/>
          <w:sz w:val="32"/>
          <w:szCs w:val="32"/>
        </w:rPr>
        <w:t>A.14</w:t>
      </w:r>
      <w:r>
        <w:rPr>
          <w:rFonts w:ascii="Franklin Gothic Medium" w:hAnsi="Franklin Gothic Medium"/>
          <w:b/>
          <w:color w:val="17365D"/>
          <w:sz w:val="32"/>
          <w:szCs w:val="32"/>
        </w:rPr>
        <w:tab/>
      </w:r>
      <w:r>
        <w:rPr>
          <w:rFonts w:ascii="Franklin Gothic Medium" w:hAnsi="Franklin Gothic Medium"/>
          <w:b/>
          <w:color w:val="17365D"/>
          <w:sz w:val="32"/>
          <w:szCs w:val="32"/>
        </w:rPr>
        <w:tab/>
      </w:r>
      <w:r w:rsidRPr="00B0175C" w:rsidR="004E7BE5">
        <w:rPr>
          <w:rFonts w:ascii="Franklin Gothic Medium" w:hAnsi="Franklin Gothic Medium"/>
          <w:b/>
          <w:color w:val="17365D"/>
          <w:sz w:val="32"/>
          <w:szCs w:val="32"/>
        </w:rPr>
        <w:t>Annualized Cost to the Federal Government</w:t>
      </w:r>
      <w:bookmarkEnd w:id="16"/>
    </w:p>
    <w:p w:rsidRPr="00B0175C" w:rsidR="00B0175C" w:rsidP="00B0175C" w:rsidRDefault="00B0175C" w14:paraId="0CE4BE81" w14:textId="77777777">
      <w:pPr>
        <w:pStyle w:val="SL-FlLftSgl"/>
        <w:jc w:val="left"/>
        <w:rPr>
          <w:b/>
          <w:szCs w:val="22"/>
        </w:rPr>
      </w:pPr>
    </w:p>
    <w:p w:rsidR="00BC34D3" w:rsidP="003E6F97" w:rsidRDefault="004E7BE5" w14:paraId="7607FD9B" w14:textId="77777777">
      <w:pPr>
        <w:pStyle w:val="SL-FlLftSgl"/>
        <w:jc w:val="left"/>
        <w:rPr>
          <w:szCs w:val="22"/>
        </w:rPr>
      </w:pPr>
      <w:r w:rsidRPr="00096B94">
        <w:rPr>
          <w:szCs w:val="22"/>
        </w:rPr>
        <w:t xml:space="preserve">The overall cost of this research to the Federal Government </w:t>
      </w:r>
      <w:proofErr w:type="gramStart"/>
      <w:r w:rsidRPr="00096B94">
        <w:rPr>
          <w:szCs w:val="22"/>
        </w:rPr>
        <w:t>is presented</w:t>
      </w:r>
      <w:proofErr w:type="gramEnd"/>
      <w:r w:rsidRPr="00096B94">
        <w:rPr>
          <w:szCs w:val="22"/>
        </w:rPr>
        <w:t xml:space="preserve"> in Exhibit A-2.</w:t>
      </w:r>
      <w:bookmarkStart w:name="_Toc461936345" w:id="17"/>
    </w:p>
    <w:p w:rsidR="003E6F97" w:rsidP="003E6F97" w:rsidRDefault="003E6F97" w14:paraId="2B992097" w14:textId="77777777">
      <w:pPr>
        <w:pStyle w:val="SL-FlLftSgl"/>
        <w:jc w:val="left"/>
        <w:rPr>
          <w:szCs w:val="22"/>
        </w:rPr>
      </w:pPr>
    </w:p>
    <w:p w:rsidR="003E6F97" w:rsidP="003E6F97" w:rsidRDefault="003E6F97" w14:paraId="2C840F4F" w14:textId="77777777">
      <w:pPr>
        <w:pStyle w:val="SL-FlLftSgl"/>
        <w:jc w:val="left"/>
        <w:rPr>
          <w:rFonts w:ascii="Franklin Gothic Medium" w:hAnsi="Franklin Gothic Medium"/>
          <w:color w:val="17365D" w:themeColor="text2" w:themeShade="BF"/>
          <w:sz w:val="24"/>
          <w:szCs w:val="24"/>
        </w:rPr>
      </w:pPr>
    </w:p>
    <w:p w:rsidR="004E7BE5" w:rsidP="004E7BE5" w:rsidRDefault="004E7BE5" w14:paraId="614C03FE" w14:textId="77777777">
      <w:pPr>
        <w:pStyle w:val="TT-TableTitle"/>
        <w:keepLines/>
        <w:ind w:left="0" w:firstLine="0"/>
        <w:rPr>
          <w:rFonts w:ascii="Franklin Gothic Medium" w:hAnsi="Franklin Gothic Medium"/>
          <w:color w:val="17365D" w:themeColor="text2" w:themeShade="BF"/>
          <w:sz w:val="24"/>
          <w:szCs w:val="24"/>
        </w:rPr>
      </w:pPr>
      <w:r w:rsidRPr="00E42B37">
        <w:rPr>
          <w:rFonts w:ascii="Franklin Gothic Medium" w:hAnsi="Franklin Gothic Medium"/>
          <w:color w:val="17365D" w:themeColor="text2" w:themeShade="BF"/>
          <w:sz w:val="24"/>
          <w:szCs w:val="24"/>
        </w:rPr>
        <w:t xml:space="preserve">Exhibit A-2. Total </w:t>
      </w:r>
      <w:r>
        <w:rPr>
          <w:rFonts w:ascii="Franklin Gothic Medium" w:hAnsi="Franklin Gothic Medium"/>
          <w:color w:val="17365D" w:themeColor="text2" w:themeShade="BF"/>
          <w:sz w:val="24"/>
          <w:szCs w:val="24"/>
        </w:rPr>
        <w:t xml:space="preserve">Annualized </w:t>
      </w:r>
      <w:r w:rsidRPr="00E42B37">
        <w:rPr>
          <w:rFonts w:ascii="Franklin Gothic Medium" w:hAnsi="Franklin Gothic Medium"/>
          <w:color w:val="17365D" w:themeColor="text2" w:themeShade="BF"/>
          <w:sz w:val="24"/>
          <w:szCs w:val="24"/>
        </w:rPr>
        <w:t>Cost to the Federal Government</w:t>
      </w:r>
      <w:r>
        <w:rPr>
          <w:rFonts w:ascii="Franklin Gothic Medium" w:hAnsi="Franklin Gothic Medium"/>
          <w:color w:val="17365D" w:themeColor="text2" w:themeShade="BF"/>
          <w:sz w:val="24"/>
          <w:szCs w:val="24"/>
        </w:rPr>
        <w:t xml:space="preserve"> [Based on Year 1]</w:t>
      </w:r>
    </w:p>
    <w:p w:rsidR="00E56258" w:rsidP="004E7BE5" w:rsidRDefault="00E56258" w14:paraId="3C420D40" w14:textId="77777777">
      <w:pPr>
        <w:pStyle w:val="TT-TableTitle"/>
        <w:keepLines/>
        <w:ind w:left="0" w:firstLine="0"/>
        <w:rPr>
          <w:b/>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486"/>
        <w:gridCol w:w="3400"/>
      </w:tblGrid>
      <w:tr w:rsidRPr="0073314B" w:rsidR="004E7BE5" w:rsidTr="00E56258" w14:paraId="7187AA03" w14:textId="77777777">
        <w:trPr>
          <w:cantSplit/>
          <w:jc w:val="center"/>
        </w:trPr>
        <w:tc>
          <w:tcPr>
            <w:tcW w:w="0" w:type="auto"/>
          </w:tcPr>
          <w:p w:rsidRPr="0073314B" w:rsidR="004E7BE5" w:rsidP="00B1150F" w:rsidRDefault="004E7BE5" w14:paraId="4D033241" w14:textId="77777777">
            <w:pPr>
              <w:pStyle w:val="SL-FlLftSgl"/>
              <w:keepNext/>
              <w:keepLines/>
              <w:spacing w:line="240" w:lineRule="auto"/>
              <w:jc w:val="left"/>
              <w:rPr>
                <w:rFonts w:ascii="Calibri" w:hAnsi="Calibri"/>
                <w:b/>
              </w:rPr>
            </w:pPr>
            <w:r w:rsidRPr="0073314B">
              <w:rPr>
                <w:rFonts w:ascii="Calibri" w:hAnsi="Calibri"/>
                <w:b/>
              </w:rPr>
              <w:t>Category</w:t>
            </w:r>
          </w:p>
        </w:tc>
        <w:tc>
          <w:tcPr>
            <w:tcW w:w="0" w:type="auto"/>
          </w:tcPr>
          <w:p w:rsidRPr="0073314B" w:rsidR="004E7BE5" w:rsidP="00944F04" w:rsidRDefault="004E7BE5" w14:paraId="0EABD7EF" w14:textId="77777777">
            <w:pPr>
              <w:pStyle w:val="SL-FlLftSgl"/>
              <w:keepNext/>
              <w:keepLines/>
              <w:spacing w:line="240" w:lineRule="auto"/>
              <w:jc w:val="center"/>
              <w:rPr>
                <w:rFonts w:ascii="Calibri" w:hAnsi="Calibri"/>
                <w:b/>
              </w:rPr>
            </w:pPr>
            <w:r>
              <w:rPr>
                <w:rFonts w:ascii="Calibri" w:hAnsi="Calibri"/>
                <w:b/>
              </w:rPr>
              <w:t>Costs</w:t>
            </w:r>
          </w:p>
        </w:tc>
      </w:tr>
      <w:tr w:rsidRPr="0073314B" w:rsidR="004E7BE5" w:rsidTr="00E56258" w14:paraId="42622D0C" w14:textId="77777777">
        <w:trPr>
          <w:cantSplit/>
          <w:trHeight w:val="720"/>
          <w:jc w:val="center"/>
        </w:trPr>
        <w:tc>
          <w:tcPr>
            <w:tcW w:w="0" w:type="auto"/>
          </w:tcPr>
          <w:p w:rsidRPr="0073314B" w:rsidR="004E7BE5" w:rsidP="00B1150F" w:rsidRDefault="004E7BE5" w14:paraId="7C922C26" w14:textId="77777777">
            <w:pPr>
              <w:pStyle w:val="SL-FlLftSgl"/>
              <w:keepNext/>
              <w:keepLines/>
              <w:spacing w:line="240" w:lineRule="auto"/>
              <w:jc w:val="left"/>
              <w:rPr>
                <w:rFonts w:ascii="Calibri" w:hAnsi="Calibri"/>
              </w:rPr>
            </w:pPr>
            <w:r w:rsidRPr="0073314B">
              <w:rPr>
                <w:rFonts w:ascii="Calibri" w:hAnsi="Calibri"/>
              </w:rPr>
              <w:t xml:space="preserve">Personnel </w:t>
            </w:r>
            <w:r w:rsidR="006D226C">
              <w:rPr>
                <w:rFonts w:ascii="Calibri" w:hAnsi="Calibri"/>
              </w:rPr>
              <w:t>(</w:t>
            </w:r>
            <w:r w:rsidR="00FB273B">
              <w:rPr>
                <w:rFonts w:ascii="Calibri" w:hAnsi="Calibri"/>
              </w:rPr>
              <w:t xml:space="preserve">T&amp;M </w:t>
            </w:r>
            <w:r w:rsidR="006D226C">
              <w:rPr>
                <w:rFonts w:ascii="Calibri" w:hAnsi="Calibri"/>
              </w:rPr>
              <w:t>including staff &amp; indirect costs)</w:t>
            </w:r>
          </w:p>
        </w:tc>
        <w:tc>
          <w:tcPr>
            <w:tcW w:w="0" w:type="auto"/>
          </w:tcPr>
          <w:p w:rsidRPr="00AC7F3D" w:rsidR="004E7BE5" w:rsidP="00AB1A1B" w:rsidRDefault="00EC3690" w14:paraId="0EB49FC6" w14:textId="7BE22610">
            <w:pPr>
              <w:pStyle w:val="SL-FlLftSgl"/>
              <w:keepNext/>
              <w:keepLines/>
              <w:spacing w:after="240" w:line="240" w:lineRule="auto"/>
              <w:ind w:left="2304"/>
              <w:jc w:val="center"/>
              <w:rPr>
                <w:rFonts w:ascii="Calibri" w:hAnsi="Calibri"/>
                <w:szCs w:val="24"/>
                <w:highlight w:val="yellow"/>
              </w:rPr>
            </w:pPr>
            <w:r>
              <w:t>$810,896</w:t>
            </w:r>
          </w:p>
        </w:tc>
      </w:tr>
      <w:tr w:rsidRPr="0073314B" w:rsidR="004E7BE5" w:rsidTr="00E56258" w14:paraId="5D05A46C" w14:textId="77777777">
        <w:trPr>
          <w:cantSplit/>
          <w:trHeight w:val="720"/>
          <w:jc w:val="center"/>
        </w:trPr>
        <w:tc>
          <w:tcPr>
            <w:tcW w:w="0" w:type="auto"/>
          </w:tcPr>
          <w:p w:rsidRPr="0073314B" w:rsidR="004E7BE5" w:rsidP="00B1150F" w:rsidRDefault="004E7BE5" w14:paraId="4B66EF17" w14:textId="77777777">
            <w:pPr>
              <w:pStyle w:val="SL-FlLftSgl"/>
              <w:keepNext/>
              <w:keepLines/>
              <w:spacing w:line="240" w:lineRule="auto"/>
              <w:jc w:val="left"/>
              <w:rPr>
                <w:rFonts w:ascii="Calibri" w:hAnsi="Calibri"/>
              </w:rPr>
            </w:pPr>
            <w:r w:rsidRPr="0073314B">
              <w:rPr>
                <w:rFonts w:ascii="Calibri" w:hAnsi="Calibri"/>
              </w:rPr>
              <w:t>Telephone (long-distance telephone survey)</w:t>
            </w:r>
          </w:p>
        </w:tc>
        <w:tc>
          <w:tcPr>
            <w:tcW w:w="0" w:type="auto"/>
          </w:tcPr>
          <w:p w:rsidRPr="00264EB5" w:rsidR="004E7BE5" w:rsidP="00FB273B" w:rsidRDefault="00A46760" w14:paraId="46EF1501" w14:textId="2FD5795A">
            <w:pPr>
              <w:pStyle w:val="SL-FlLftSgl"/>
              <w:keepNext/>
              <w:keepLines/>
              <w:tabs>
                <w:tab w:val="decimal" w:pos="1008"/>
              </w:tabs>
              <w:spacing w:after="240" w:line="240" w:lineRule="auto"/>
              <w:ind w:left="2304"/>
              <w:jc w:val="center"/>
              <w:rPr>
                <w:rFonts w:ascii="Calibri" w:hAnsi="Calibri"/>
                <w:szCs w:val="24"/>
                <w:highlight w:val="yellow"/>
              </w:rPr>
            </w:pPr>
            <w:r>
              <w:t>$53,820</w:t>
            </w:r>
          </w:p>
        </w:tc>
      </w:tr>
      <w:tr w:rsidRPr="0073314B" w:rsidR="004E7BE5" w:rsidTr="00E56258" w14:paraId="68E77A55" w14:textId="77777777">
        <w:trPr>
          <w:cantSplit/>
          <w:trHeight w:val="720"/>
          <w:jc w:val="center"/>
        </w:trPr>
        <w:tc>
          <w:tcPr>
            <w:tcW w:w="0" w:type="auto"/>
          </w:tcPr>
          <w:p w:rsidRPr="0073314B" w:rsidR="004E7BE5" w:rsidP="00B1150F" w:rsidRDefault="004E7BE5" w14:paraId="3C81B401" w14:textId="77777777">
            <w:pPr>
              <w:pStyle w:val="SL-FlLftSgl"/>
              <w:keepNext/>
              <w:keepLines/>
              <w:spacing w:line="240" w:lineRule="auto"/>
              <w:jc w:val="left"/>
              <w:rPr>
                <w:rFonts w:ascii="Calibri" w:hAnsi="Calibri"/>
              </w:rPr>
            </w:pPr>
            <w:r w:rsidRPr="0073314B">
              <w:rPr>
                <w:rFonts w:ascii="Calibri" w:hAnsi="Calibri"/>
              </w:rPr>
              <w:t>Other direct</w:t>
            </w:r>
          </w:p>
        </w:tc>
        <w:tc>
          <w:tcPr>
            <w:tcW w:w="0" w:type="auto"/>
          </w:tcPr>
          <w:p w:rsidRPr="00264EB5" w:rsidR="004E7BE5" w:rsidP="00A46760" w:rsidRDefault="00FB273B" w14:paraId="56E34C00" w14:textId="0201DCDA">
            <w:pPr>
              <w:pStyle w:val="SL-FlLftSgl"/>
              <w:keepNext/>
              <w:keepLines/>
              <w:tabs>
                <w:tab w:val="decimal" w:pos="1008"/>
              </w:tabs>
              <w:spacing w:after="240" w:line="240" w:lineRule="auto"/>
              <w:ind w:left="2304"/>
              <w:jc w:val="center"/>
              <w:rPr>
                <w:rFonts w:ascii="Calibri" w:hAnsi="Calibri"/>
                <w:szCs w:val="24"/>
                <w:highlight w:val="yellow"/>
              </w:rPr>
            </w:pPr>
            <w:r w:rsidRPr="00A46760">
              <w:rPr>
                <w:rFonts w:ascii="Calibri" w:hAnsi="Calibri"/>
              </w:rPr>
              <w:t>$2</w:t>
            </w:r>
            <w:r w:rsidRPr="00A46760" w:rsidR="00A46760">
              <w:rPr>
                <w:rFonts w:ascii="Calibri" w:hAnsi="Calibri"/>
              </w:rPr>
              <w:t>7</w:t>
            </w:r>
            <w:r w:rsidRPr="00A46760" w:rsidR="004E7BE5">
              <w:rPr>
                <w:rFonts w:ascii="Calibri" w:hAnsi="Calibri"/>
              </w:rPr>
              <w:t>,</w:t>
            </w:r>
            <w:r w:rsidRPr="00A46760" w:rsidR="00A46760">
              <w:rPr>
                <w:rFonts w:ascii="Calibri" w:hAnsi="Calibri"/>
              </w:rPr>
              <w:t>159</w:t>
            </w:r>
          </w:p>
        </w:tc>
      </w:tr>
      <w:tr w:rsidRPr="0073314B" w:rsidR="004E7BE5" w:rsidTr="00E56258" w14:paraId="30DA4CF7" w14:textId="77777777">
        <w:trPr>
          <w:cantSplit/>
          <w:trHeight w:val="720"/>
          <w:jc w:val="center"/>
        </w:trPr>
        <w:tc>
          <w:tcPr>
            <w:tcW w:w="0" w:type="auto"/>
          </w:tcPr>
          <w:p w:rsidRPr="0073314B" w:rsidR="004E7BE5" w:rsidP="00B1150F" w:rsidRDefault="004E7BE5" w14:paraId="134D0305" w14:textId="77777777">
            <w:pPr>
              <w:pStyle w:val="SL-FlLftSgl"/>
              <w:keepNext/>
              <w:keepLines/>
              <w:spacing w:line="240" w:lineRule="auto"/>
              <w:jc w:val="left"/>
              <w:rPr>
                <w:rFonts w:ascii="Calibri" w:hAnsi="Calibri"/>
              </w:rPr>
            </w:pPr>
            <w:r w:rsidRPr="0073314B">
              <w:rPr>
                <w:rFonts w:ascii="Calibri" w:hAnsi="Calibri"/>
              </w:rPr>
              <w:t xml:space="preserve">Total direct charges (per </w:t>
            </w:r>
            <w:r>
              <w:rPr>
                <w:rFonts w:ascii="Calibri" w:hAnsi="Calibri"/>
              </w:rPr>
              <w:t>task order</w:t>
            </w:r>
            <w:r w:rsidRPr="0073314B">
              <w:rPr>
                <w:rFonts w:ascii="Calibri" w:hAnsi="Calibri"/>
              </w:rPr>
              <w:t>)</w:t>
            </w:r>
          </w:p>
        </w:tc>
        <w:tc>
          <w:tcPr>
            <w:tcW w:w="0" w:type="auto"/>
          </w:tcPr>
          <w:p w:rsidRPr="00264EB5" w:rsidR="004E7BE5" w:rsidP="00A46760" w:rsidRDefault="00A46760" w14:paraId="0C799F20" w14:textId="48261AD7">
            <w:pPr>
              <w:pStyle w:val="SL-FlLftSgl"/>
              <w:keepNext/>
              <w:keepLines/>
              <w:tabs>
                <w:tab w:val="decimal" w:pos="1008"/>
              </w:tabs>
              <w:spacing w:after="240" w:line="240" w:lineRule="auto"/>
              <w:ind w:left="2304"/>
              <w:jc w:val="center"/>
              <w:rPr>
                <w:rFonts w:ascii="Calibri" w:hAnsi="Calibri"/>
                <w:szCs w:val="24"/>
                <w:highlight w:val="yellow"/>
              </w:rPr>
            </w:pPr>
            <w:r>
              <w:t>$80,979</w:t>
            </w:r>
          </w:p>
        </w:tc>
      </w:tr>
      <w:tr w:rsidRPr="0073314B" w:rsidR="004E7BE5" w:rsidTr="00E56258" w14:paraId="5FBC4382" w14:textId="77777777">
        <w:trPr>
          <w:cantSplit/>
          <w:trHeight w:val="720"/>
          <w:jc w:val="center"/>
        </w:trPr>
        <w:tc>
          <w:tcPr>
            <w:tcW w:w="0" w:type="auto"/>
          </w:tcPr>
          <w:p w:rsidRPr="0073314B" w:rsidR="004E7BE5" w:rsidP="00B1150F" w:rsidRDefault="004E7BE5" w14:paraId="41C77E5D" w14:textId="77777777">
            <w:pPr>
              <w:pStyle w:val="SL-FlLftSgl"/>
              <w:widowControl w:val="0"/>
              <w:spacing w:line="240" w:lineRule="auto"/>
              <w:jc w:val="left"/>
              <w:rPr>
                <w:rFonts w:ascii="Calibri" w:hAnsi="Calibri"/>
              </w:rPr>
            </w:pPr>
            <w:r>
              <w:rPr>
                <w:rFonts w:ascii="Calibri" w:hAnsi="Calibri"/>
              </w:rPr>
              <w:t>Indirect charges</w:t>
            </w:r>
          </w:p>
        </w:tc>
        <w:tc>
          <w:tcPr>
            <w:tcW w:w="0" w:type="auto"/>
          </w:tcPr>
          <w:p w:rsidRPr="00264EB5" w:rsidR="004E7BE5" w:rsidP="00AB1A1B" w:rsidRDefault="00A46760" w14:paraId="1D479F70" w14:textId="6601B657">
            <w:pPr>
              <w:pStyle w:val="SL-FlLftSgl"/>
              <w:widowControl w:val="0"/>
              <w:tabs>
                <w:tab w:val="decimal" w:pos="1008"/>
              </w:tabs>
              <w:spacing w:after="240" w:line="240" w:lineRule="auto"/>
              <w:ind w:left="2304"/>
              <w:jc w:val="center"/>
              <w:rPr>
                <w:rFonts w:ascii="Calibri" w:hAnsi="Calibri"/>
                <w:szCs w:val="24"/>
                <w:highlight w:val="yellow"/>
              </w:rPr>
            </w:pPr>
            <w:r>
              <w:t>$13,498</w:t>
            </w:r>
          </w:p>
        </w:tc>
      </w:tr>
      <w:tr w:rsidRPr="0073314B" w:rsidR="004E7BE5" w:rsidTr="00E56258" w14:paraId="0D1B732F" w14:textId="77777777">
        <w:trPr>
          <w:cantSplit/>
          <w:trHeight w:val="720"/>
          <w:jc w:val="center"/>
        </w:trPr>
        <w:tc>
          <w:tcPr>
            <w:tcW w:w="0" w:type="auto"/>
          </w:tcPr>
          <w:p w:rsidRPr="0073314B" w:rsidR="004E7BE5" w:rsidP="00B1150F" w:rsidRDefault="004E7BE5" w14:paraId="5476B86E" w14:textId="77777777">
            <w:pPr>
              <w:pStyle w:val="SL-FlLftSgl"/>
              <w:widowControl w:val="0"/>
              <w:spacing w:line="240" w:lineRule="auto"/>
              <w:jc w:val="left"/>
              <w:rPr>
                <w:rFonts w:ascii="Calibri" w:hAnsi="Calibri"/>
              </w:rPr>
            </w:pPr>
            <w:r w:rsidRPr="0073314B">
              <w:rPr>
                <w:rFonts w:ascii="Calibri" w:hAnsi="Calibri"/>
              </w:rPr>
              <w:t>Total</w:t>
            </w:r>
          </w:p>
        </w:tc>
        <w:tc>
          <w:tcPr>
            <w:tcW w:w="0" w:type="auto"/>
          </w:tcPr>
          <w:p w:rsidRPr="00264EB5" w:rsidR="004E7BE5" w:rsidP="00AB1A1B" w:rsidRDefault="00A46760" w14:paraId="698E2482" w14:textId="7A6DC9A2">
            <w:pPr>
              <w:pStyle w:val="SL-FlLftSgl"/>
              <w:widowControl w:val="0"/>
              <w:tabs>
                <w:tab w:val="decimal" w:pos="1008"/>
              </w:tabs>
              <w:spacing w:after="240" w:line="240" w:lineRule="auto"/>
              <w:ind w:left="2304"/>
              <w:jc w:val="center"/>
              <w:rPr>
                <w:rFonts w:ascii="Calibri" w:hAnsi="Calibri"/>
                <w:szCs w:val="24"/>
                <w:highlight w:val="yellow"/>
              </w:rPr>
            </w:pPr>
            <w:r>
              <w:t xml:space="preserve"> $905,373</w:t>
            </w:r>
          </w:p>
        </w:tc>
      </w:tr>
    </w:tbl>
    <w:p w:rsidR="004E7BE5" w:rsidP="004E7BE5" w:rsidRDefault="004E7BE5" w14:paraId="711E9163" w14:textId="77777777">
      <w:pPr>
        <w:pStyle w:val="Heading1"/>
        <w:keepNext w:val="0"/>
        <w:keepLines/>
        <w:jc w:val="left"/>
        <w:rPr>
          <w:rFonts w:ascii="Franklin Gothic Medium" w:hAnsi="Franklin Gothic Medium"/>
          <w:color w:val="17365D"/>
          <w:szCs w:val="32"/>
        </w:rPr>
      </w:pPr>
    </w:p>
    <w:p w:rsidRPr="00BC34D3" w:rsidR="004E7BE5" w:rsidP="00B1150F" w:rsidRDefault="00B0175C" w14:paraId="3CBC6F76" w14:textId="7C2DCBE6">
      <w:pPr>
        <w:pStyle w:val="Heading1"/>
        <w:keepNext w:val="0"/>
        <w:jc w:val="left"/>
        <w:rPr>
          <w:rFonts w:ascii="Franklin Gothic Medium" w:hAnsi="Franklin Gothic Medium"/>
          <w:color w:val="17365D"/>
          <w:sz w:val="32"/>
          <w:szCs w:val="32"/>
        </w:rPr>
      </w:pPr>
      <w:r>
        <w:rPr>
          <w:rFonts w:ascii="Franklin Gothic Medium" w:hAnsi="Franklin Gothic Medium"/>
          <w:color w:val="17365D"/>
          <w:sz w:val="32"/>
          <w:szCs w:val="32"/>
        </w:rPr>
        <w:t>A.15</w:t>
      </w:r>
      <w:r>
        <w:rPr>
          <w:rFonts w:ascii="Franklin Gothic Medium" w:hAnsi="Franklin Gothic Medium"/>
          <w:color w:val="17365D"/>
          <w:sz w:val="32"/>
          <w:szCs w:val="32"/>
        </w:rPr>
        <w:tab/>
      </w:r>
      <w:r>
        <w:rPr>
          <w:rFonts w:ascii="Franklin Gothic Medium" w:hAnsi="Franklin Gothic Medium"/>
          <w:color w:val="17365D"/>
          <w:sz w:val="32"/>
          <w:szCs w:val="32"/>
        </w:rPr>
        <w:tab/>
      </w:r>
      <w:r w:rsidRPr="00BC34D3" w:rsidR="004E7BE5">
        <w:rPr>
          <w:rFonts w:ascii="Franklin Gothic Medium" w:hAnsi="Franklin Gothic Medium"/>
          <w:color w:val="17365D"/>
          <w:sz w:val="32"/>
          <w:szCs w:val="32"/>
        </w:rPr>
        <w:t>Explanation for Program Changes or Adjustments</w:t>
      </w:r>
      <w:bookmarkEnd w:id="17"/>
    </w:p>
    <w:p w:rsidR="004E7BE5" w:rsidP="00B1150F" w:rsidRDefault="00DB53B9" w14:paraId="240CDC4F" w14:textId="14CC080C">
      <w:pPr>
        <w:pStyle w:val="SL-FlLftSgl"/>
        <w:jc w:val="left"/>
      </w:pPr>
      <w:r>
        <w:t xml:space="preserve">This is a revision to a currently approved information collection request; there is a program change decrease of </w:t>
      </w:r>
      <w:r w:rsidRPr="00A80ABD" w:rsidR="00A80ABD">
        <w:t>-7250</w:t>
      </w:r>
      <w:r w:rsidR="00A80ABD">
        <w:t xml:space="preserve"> </w:t>
      </w:r>
      <w:r>
        <w:t xml:space="preserve">annual burden hours. </w:t>
      </w:r>
    </w:p>
    <w:p w:rsidR="00053045" w:rsidRDefault="00053045" w14:paraId="1C6C7F65" w14:textId="2C884767">
      <w:pPr>
        <w:spacing w:line="240" w:lineRule="auto"/>
        <w:jc w:val="left"/>
      </w:pPr>
      <w:r>
        <w:br w:type="page"/>
      </w:r>
    </w:p>
    <w:p w:rsidR="00DC7F21" w:rsidP="00B1150F" w:rsidRDefault="00DC7F21" w14:paraId="095FFE1E" w14:textId="008B091C">
      <w:pPr>
        <w:pStyle w:val="SL-FlLftSgl"/>
        <w:jc w:val="left"/>
      </w:pPr>
    </w:p>
    <w:p w:rsidRPr="00BC34D3" w:rsidR="004E7BE5" w:rsidP="00B0175C" w:rsidRDefault="00B0175C" w14:paraId="42A46FC2" w14:textId="48D5555D">
      <w:pPr>
        <w:pStyle w:val="Heading1"/>
        <w:keepNext w:val="0"/>
        <w:ind w:left="1440" w:hanging="1440"/>
        <w:jc w:val="left"/>
        <w:rPr>
          <w:rFonts w:ascii="Franklin Gothic Medium" w:hAnsi="Franklin Gothic Medium"/>
          <w:color w:val="17365D"/>
          <w:sz w:val="32"/>
          <w:szCs w:val="32"/>
        </w:rPr>
      </w:pPr>
      <w:bookmarkStart w:name="_Toc461936346" w:id="18"/>
      <w:r>
        <w:rPr>
          <w:rFonts w:ascii="Franklin Gothic Medium" w:hAnsi="Franklin Gothic Medium"/>
          <w:color w:val="17365D"/>
          <w:sz w:val="32"/>
          <w:szCs w:val="32"/>
        </w:rPr>
        <w:t>A.16</w:t>
      </w:r>
      <w:r>
        <w:rPr>
          <w:rFonts w:ascii="Franklin Gothic Medium" w:hAnsi="Franklin Gothic Medium"/>
          <w:color w:val="17365D"/>
          <w:sz w:val="32"/>
          <w:szCs w:val="32"/>
        </w:rPr>
        <w:tab/>
      </w:r>
      <w:r>
        <w:rPr>
          <w:rFonts w:ascii="Franklin Gothic Medium" w:hAnsi="Franklin Gothic Medium"/>
          <w:color w:val="17365D"/>
          <w:sz w:val="32"/>
          <w:szCs w:val="32"/>
        </w:rPr>
        <w:tab/>
      </w:r>
      <w:r w:rsidRPr="00BC34D3" w:rsidR="004E7BE5">
        <w:rPr>
          <w:rFonts w:ascii="Franklin Gothic Medium" w:hAnsi="Franklin Gothic Medium"/>
          <w:color w:val="17365D"/>
          <w:sz w:val="32"/>
          <w:szCs w:val="32"/>
        </w:rPr>
        <w:t xml:space="preserve">Plans for Tabulation </w:t>
      </w:r>
      <w:r w:rsidR="00BC34D3">
        <w:rPr>
          <w:rFonts w:ascii="Franklin Gothic Medium" w:hAnsi="Franklin Gothic Medium"/>
          <w:color w:val="17365D"/>
          <w:sz w:val="32"/>
          <w:szCs w:val="32"/>
        </w:rPr>
        <w:t>&amp;</w:t>
      </w:r>
      <w:r w:rsidRPr="00BC34D3" w:rsidR="004E7BE5">
        <w:rPr>
          <w:rFonts w:ascii="Franklin Gothic Medium" w:hAnsi="Franklin Gothic Medium"/>
          <w:color w:val="17365D"/>
          <w:sz w:val="32"/>
          <w:szCs w:val="32"/>
        </w:rPr>
        <w:t xml:space="preserve"> Publication and Project Time Schedule</w:t>
      </w:r>
      <w:bookmarkEnd w:id="18"/>
    </w:p>
    <w:p w:rsidRPr="007400A1" w:rsidR="004E7BE5" w:rsidP="00B1150F" w:rsidRDefault="004E7BE5" w14:paraId="39603B6C" w14:textId="400D07EF">
      <w:pPr>
        <w:pStyle w:val="SL-FlLftSgl"/>
        <w:jc w:val="left"/>
        <w:rPr>
          <w:szCs w:val="22"/>
        </w:rPr>
      </w:pPr>
      <w:r w:rsidRPr="007400A1">
        <w:rPr>
          <w:szCs w:val="22"/>
        </w:rPr>
        <w:t xml:space="preserve">In this section, the range of analyses that </w:t>
      </w:r>
      <w:proofErr w:type="gramStart"/>
      <w:r w:rsidRPr="007400A1">
        <w:rPr>
          <w:szCs w:val="22"/>
        </w:rPr>
        <w:t>will be conducted</w:t>
      </w:r>
      <w:proofErr w:type="gramEnd"/>
      <w:r w:rsidRPr="007400A1">
        <w:rPr>
          <w:szCs w:val="22"/>
        </w:rPr>
        <w:t xml:space="preserve"> is described using the performance measurement data. The research team suggests several levels of analysis to first describe the characteristics of clients and the range of services provided by State Units on Aging (SUAs) and AAAs, noting similarities and differences in the size and scope of program design and operations. The research team will paint a descriptive profile of OAA clients, paying special attention to risk factors that prior research shows are highly correlated with quality-of-life outcomes for older persons. These risk factors include ADL and IADL limitations, as well as income, educational level, living arrangements, age cohort, gender, race and ethnicity, and area of residence by degree of urbanization. In conjunction with the type and severity of ADL/IADL limitations that clients report, these factors are indicative of risk for loss of independence and other adverse outcomes. For example, it</w:t>
      </w:r>
      <w:r w:rsidR="00F4055F">
        <w:rPr>
          <w:szCs w:val="22"/>
        </w:rPr>
        <w:t xml:space="preserve"> </w:t>
      </w:r>
      <w:proofErr w:type="gramStart"/>
      <w:r w:rsidR="00F4055F">
        <w:rPr>
          <w:szCs w:val="22"/>
        </w:rPr>
        <w:t>is known</w:t>
      </w:r>
      <w:proofErr w:type="gramEnd"/>
      <w:r w:rsidR="00F4055F">
        <w:rPr>
          <w:szCs w:val="22"/>
        </w:rPr>
        <w:t xml:space="preserve"> that among older adults</w:t>
      </w:r>
      <w:r w:rsidRPr="007400A1">
        <w:rPr>
          <w:szCs w:val="22"/>
        </w:rPr>
        <w:t xml:space="preserve">, those living alone are at higher risk for institutional placement. </w:t>
      </w:r>
      <w:r w:rsidRPr="003B365A">
        <w:rPr>
          <w:szCs w:val="22"/>
        </w:rPr>
        <w:t xml:space="preserve">Educational attainment, in conjunction with age, is </w:t>
      </w:r>
      <w:r w:rsidRPr="003B365A" w:rsidR="003B365A">
        <w:rPr>
          <w:szCs w:val="22"/>
        </w:rPr>
        <w:t>a</w:t>
      </w:r>
      <w:r w:rsidRPr="003B365A">
        <w:rPr>
          <w:szCs w:val="22"/>
        </w:rPr>
        <w:t xml:space="preserve"> powerful predictor of need for services and outcomes for older persons</w:t>
      </w:r>
      <w:r w:rsidR="009C1DC8">
        <w:rPr>
          <w:szCs w:val="22"/>
        </w:rPr>
        <w:t>.</w:t>
      </w:r>
    </w:p>
    <w:p w:rsidRPr="007400A1" w:rsidR="004E7BE5" w:rsidP="00B1150F" w:rsidRDefault="004E7BE5" w14:paraId="3BD45ED3" w14:textId="77777777">
      <w:pPr>
        <w:pStyle w:val="SL-FlLftSgl"/>
        <w:jc w:val="left"/>
        <w:rPr>
          <w:szCs w:val="22"/>
        </w:rPr>
      </w:pPr>
    </w:p>
    <w:p w:rsidRPr="007400A1" w:rsidR="004E7BE5" w:rsidP="00B1150F" w:rsidRDefault="004E7BE5" w14:paraId="5D468E28" w14:textId="44BAC37E">
      <w:pPr>
        <w:pStyle w:val="SL-FlLftSgl"/>
        <w:jc w:val="left"/>
        <w:rPr>
          <w:szCs w:val="22"/>
        </w:rPr>
      </w:pPr>
      <w:r w:rsidRPr="007400A1">
        <w:rPr>
          <w:szCs w:val="22"/>
        </w:rPr>
        <w:t xml:space="preserve">In conjunction with the performance measure on service recipients, the survey will include questions on ADL limitations (e.g., difficulty with personal care activities such as bathing and dressing) and IADL limitations (e.g., difficulty with such home management activities as meal preparation, shopping, and housekeeping), and health conditions. These questions appear in </w:t>
      </w:r>
      <w:r w:rsidRPr="00B431BA">
        <w:rPr>
          <w:szCs w:val="22"/>
        </w:rPr>
        <w:t xml:space="preserve">Appendix </w:t>
      </w:r>
      <w:r w:rsidRPr="00B431BA" w:rsidR="00B431BA">
        <w:rPr>
          <w:szCs w:val="22"/>
        </w:rPr>
        <w:t>J</w:t>
      </w:r>
      <w:r w:rsidRPr="00F31237">
        <w:rPr>
          <w:szCs w:val="22"/>
        </w:rPr>
        <w:t xml:space="preserve"> in</w:t>
      </w:r>
      <w:r w:rsidRPr="004911D1">
        <w:rPr>
          <w:szCs w:val="22"/>
        </w:rPr>
        <w:t xml:space="preserve"> the Physical, Social, and Well-Being Module and </w:t>
      </w:r>
      <w:proofErr w:type="gramStart"/>
      <w:r w:rsidRPr="004911D1">
        <w:rPr>
          <w:szCs w:val="22"/>
        </w:rPr>
        <w:t>are denoted</w:t>
      </w:r>
      <w:proofErr w:type="gramEnd"/>
      <w:r w:rsidRPr="004911D1">
        <w:rPr>
          <w:szCs w:val="22"/>
        </w:rPr>
        <w:t xml:space="preserve"> as “PF” for Physical Functioning. In</w:t>
      </w:r>
      <w:r w:rsidRPr="007400A1">
        <w:rPr>
          <w:szCs w:val="22"/>
        </w:rPr>
        <w:t xml:space="preserve"> addition, caregivers </w:t>
      </w:r>
      <w:proofErr w:type="gramStart"/>
      <w:r w:rsidRPr="007400A1">
        <w:rPr>
          <w:szCs w:val="22"/>
        </w:rPr>
        <w:t>will be asked</w:t>
      </w:r>
      <w:proofErr w:type="gramEnd"/>
      <w:r w:rsidRPr="007400A1">
        <w:rPr>
          <w:szCs w:val="22"/>
        </w:rPr>
        <w:t xml:space="preserve"> about the health conditions and ADL limitations of their care recipients. </w:t>
      </w:r>
    </w:p>
    <w:p w:rsidRPr="000F7CBE" w:rsidR="004E7BE5" w:rsidP="004E7BE5" w:rsidRDefault="004E7BE5" w14:paraId="76C875A3" w14:textId="77777777">
      <w:pPr>
        <w:pStyle w:val="SL-FlLftSgl"/>
        <w:jc w:val="left"/>
        <w:rPr>
          <w:sz w:val="24"/>
          <w:szCs w:val="24"/>
        </w:rPr>
      </w:pPr>
    </w:p>
    <w:p w:rsidRPr="00444611" w:rsidR="004E7BE5" w:rsidP="004E7BE5" w:rsidRDefault="004E7BE5" w14:paraId="0355D7A5" w14:textId="77777777">
      <w:pPr>
        <w:pStyle w:val="SL-FlLftSgl"/>
        <w:jc w:val="left"/>
        <w:rPr>
          <w:szCs w:val="22"/>
        </w:rPr>
      </w:pPr>
      <w:r w:rsidRPr="0013436B">
        <w:rPr>
          <w:szCs w:val="22"/>
        </w:rPr>
        <w:t xml:space="preserve">The timetable for the baseline data collection and the two follow-up data collections </w:t>
      </w:r>
      <w:proofErr w:type="gramStart"/>
      <w:r w:rsidRPr="0013436B">
        <w:rPr>
          <w:szCs w:val="22"/>
        </w:rPr>
        <w:t>is shown</w:t>
      </w:r>
      <w:proofErr w:type="gramEnd"/>
      <w:r w:rsidRPr="0013436B">
        <w:rPr>
          <w:szCs w:val="22"/>
        </w:rPr>
        <w:t xml:space="preserve"> in Exhibit A-3.</w:t>
      </w:r>
    </w:p>
    <w:p w:rsidR="000D52F0" w:rsidRDefault="000D52F0" w14:paraId="12F6A7F1" w14:textId="26F28589">
      <w:pPr>
        <w:spacing w:line="240" w:lineRule="auto"/>
        <w:jc w:val="left"/>
        <w:rPr>
          <w:rFonts w:ascii="Franklin Gothic Medium" w:hAnsi="Franklin Gothic Medium"/>
          <w:color w:val="17365D" w:themeColor="text2" w:themeShade="BF"/>
          <w:sz w:val="24"/>
          <w:szCs w:val="24"/>
        </w:rPr>
      </w:pPr>
    </w:p>
    <w:p w:rsidRPr="00EB55C7" w:rsidR="004E7BE5" w:rsidP="004E7BE5" w:rsidRDefault="004E7BE5" w14:paraId="53EBA5E0" w14:textId="179FB427">
      <w:pPr>
        <w:pStyle w:val="TT-TableTitle"/>
        <w:keepLines/>
        <w:spacing w:line="240" w:lineRule="auto"/>
        <w:ind w:left="0" w:firstLine="0"/>
        <w:rPr>
          <w:rFonts w:ascii="Franklin Gothic Medium" w:hAnsi="Franklin Gothic Medium"/>
          <w:b/>
          <w:color w:val="17365D" w:themeColor="text2" w:themeShade="BF"/>
          <w:sz w:val="24"/>
          <w:szCs w:val="24"/>
        </w:rPr>
      </w:pPr>
      <w:r w:rsidRPr="00E42B37">
        <w:rPr>
          <w:rFonts w:ascii="Franklin Gothic Medium" w:hAnsi="Franklin Gothic Medium"/>
          <w:color w:val="17365D" w:themeColor="text2" w:themeShade="BF"/>
          <w:sz w:val="24"/>
          <w:szCs w:val="24"/>
        </w:rPr>
        <w:t>Exhibit A-3. Data Collection Timetable</w:t>
      </w:r>
    </w:p>
    <w:p w:rsidR="004E7BE5" w:rsidP="004E7BE5" w:rsidRDefault="004E7BE5" w14:paraId="124754A6" w14:textId="77777777">
      <w:pPr>
        <w:pStyle w:val="SL-FlLftSgl"/>
        <w:jc w:val="left"/>
      </w:pPr>
    </w:p>
    <w:tbl>
      <w:tblPr>
        <w:tblStyle w:val="TableGrid"/>
        <w:tblW w:w="0" w:type="auto"/>
        <w:tblLook w:val="04A0" w:firstRow="1" w:lastRow="0" w:firstColumn="1" w:lastColumn="0" w:noHBand="0" w:noVBand="1"/>
      </w:tblPr>
      <w:tblGrid>
        <w:gridCol w:w="2481"/>
        <w:gridCol w:w="3762"/>
        <w:gridCol w:w="3107"/>
      </w:tblGrid>
      <w:tr w:rsidR="004E7BE5" w:rsidTr="003B365A" w14:paraId="6F9BC054" w14:textId="77777777">
        <w:tc>
          <w:tcPr>
            <w:tcW w:w="2481" w:type="dxa"/>
          </w:tcPr>
          <w:p w:rsidRPr="00F82E4B" w:rsidR="004E7BE5" w:rsidP="00B1150F" w:rsidRDefault="004E7BE5" w14:paraId="558728B7" w14:textId="77777777">
            <w:pPr>
              <w:pStyle w:val="SL-FlLftSgl"/>
              <w:jc w:val="left"/>
              <w:rPr>
                <w:rFonts w:asciiTheme="minorHAnsi" w:hAnsiTheme="minorHAnsi"/>
                <w:b/>
              </w:rPr>
            </w:pPr>
            <w:r w:rsidRPr="00F82E4B">
              <w:rPr>
                <w:rFonts w:asciiTheme="minorHAnsi" w:hAnsiTheme="minorHAnsi"/>
                <w:b/>
              </w:rPr>
              <w:t>Survey</w:t>
            </w:r>
            <w:r>
              <w:rPr>
                <w:rFonts w:asciiTheme="minorHAnsi" w:hAnsiTheme="minorHAnsi"/>
                <w:b/>
              </w:rPr>
              <w:t xml:space="preserve"> Cycle</w:t>
            </w:r>
          </w:p>
        </w:tc>
        <w:tc>
          <w:tcPr>
            <w:tcW w:w="3762" w:type="dxa"/>
          </w:tcPr>
          <w:p w:rsidR="004E7BE5" w:rsidP="00B1150F" w:rsidRDefault="004E7BE5" w14:paraId="3D31C81A" w14:textId="77777777">
            <w:pPr>
              <w:pStyle w:val="SL-FlLftSgl"/>
              <w:jc w:val="left"/>
            </w:pPr>
            <w:r w:rsidRPr="00F82E4B">
              <w:rPr>
                <w:rFonts w:ascii="Calibri" w:hAnsi="Calibri"/>
                <w:b/>
              </w:rPr>
              <w:t xml:space="preserve">Data </w:t>
            </w:r>
            <w:r>
              <w:rPr>
                <w:rFonts w:ascii="Calibri" w:hAnsi="Calibri"/>
                <w:b/>
              </w:rPr>
              <w:t>C</w:t>
            </w:r>
            <w:r w:rsidRPr="00F82E4B">
              <w:rPr>
                <w:rFonts w:ascii="Calibri" w:hAnsi="Calibri"/>
                <w:b/>
              </w:rPr>
              <w:t xml:space="preserve">ollection </w:t>
            </w:r>
            <w:r>
              <w:rPr>
                <w:rFonts w:ascii="Calibri" w:hAnsi="Calibri"/>
                <w:b/>
              </w:rPr>
              <w:t>A</w:t>
            </w:r>
            <w:r w:rsidRPr="00F82E4B">
              <w:rPr>
                <w:rFonts w:ascii="Calibri" w:hAnsi="Calibri"/>
                <w:b/>
              </w:rPr>
              <w:t>ctivity</w:t>
            </w:r>
          </w:p>
        </w:tc>
        <w:tc>
          <w:tcPr>
            <w:tcW w:w="3107" w:type="dxa"/>
          </w:tcPr>
          <w:p w:rsidR="004E7BE5" w:rsidP="00B1150F" w:rsidRDefault="004E7BE5" w14:paraId="39D65C32" w14:textId="77777777">
            <w:pPr>
              <w:pStyle w:val="SL-FlLftSgl"/>
              <w:jc w:val="left"/>
            </w:pPr>
            <w:r w:rsidRPr="00F82E4B">
              <w:rPr>
                <w:rFonts w:ascii="Calibri" w:hAnsi="Calibri"/>
                <w:b/>
              </w:rPr>
              <w:t>End dates</w:t>
            </w:r>
          </w:p>
        </w:tc>
      </w:tr>
      <w:tr w:rsidR="004E7BE5" w:rsidTr="003B365A" w14:paraId="35E8A7B8" w14:textId="77777777">
        <w:tc>
          <w:tcPr>
            <w:tcW w:w="2481" w:type="dxa"/>
          </w:tcPr>
          <w:p w:rsidRPr="003B365A" w:rsidR="004E7BE5" w:rsidP="00B1150F" w:rsidRDefault="00391191" w14:paraId="452E525F" w14:textId="59D3A61D">
            <w:pPr>
              <w:pStyle w:val="SL-FlLftSgl"/>
              <w:jc w:val="left"/>
              <w:rPr>
                <w:rFonts w:asciiTheme="minorHAnsi" w:hAnsiTheme="minorHAnsi"/>
              </w:rPr>
            </w:pPr>
            <w:r w:rsidRPr="003B365A">
              <w:rPr>
                <w:rFonts w:asciiTheme="minorHAnsi" w:hAnsiTheme="minorHAnsi"/>
              </w:rPr>
              <w:t>15th</w:t>
            </w:r>
            <w:r w:rsidRPr="003B365A" w:rsidR="004E7BE5">
              <w:rPr>
                <w:rFonts w:asciiTheme="minorHAnsi" w:hAnsiTheme="minorHAnsi"/>
              </w:rPr>
              <w:t xml:space="preserve"> National Survey/</w:t>
            </w:r>
          </w:p>
          <w:p w:rsidRPr="003B365A" w:rsidR="004E7BE5" w:rsidP="00B1150F" w:rsidRDefault="004E7BE5" w14:paraId="1D1AEA18" w14:textId="5F918E82">
            <w:pPr>
              <w:pStyle w:val="SL-FlLftSgl"/>
              <w:jc w:val="left"/>
              <w:rPr>
                <w:rFonts w:asciiTheme="minorHAnsi" w:hAnsiTheme="minorHAnsi"/>
              </w:rPr>
            </w:pPr>
            <w:r w:rsidRPr="003B365A">
              <w:rPr>
                <w:rFonts w:asciiTheme="minorHAnsi" w:hAnsiTheme="minorHAnsi"/>
              </w:rPr>
              <w:t>Data Collection</w:t>
            </w:r>
          </w:p>
        </w:tc>
        <w:tc>
          <w:tcPr>
            <w:tcW w:w="3762" w:type="dxa"/>
          </w:tcPr>
          <w:p w:rsidRPr="003B365A" w:rsidR="004E7BE5" w:rsidP="00B1150F" w:rsidRDefault="004E7BE5" w14:paraId="2C935D8E" w14:textId="77777777">
            <w:pPr>
              <w:pStyle w:val="SL-FlLftSgl"/>
              <w:jc w:val="left"/>
            </w:pPr>
            <w:r w:rsidRPr="003B365A">
              <w:rPr>
                <w:rFonts w:ascii="Calibri" w:hAnsi="Calibri"/>
              </w:rPr>
              <w:t>Telephone/email contact with agencies to draw sample</w:t>
            </w:r>
          </w:p>
        </w:tc>
        <w:tc>
          <w:tcPr>
            <w:tcW w:w="3107" w:type="dxa"/>
          </w:tcPr>
          <w:p w:rsidRPr="003B365A" w:rsidR="004E7BE5" w:rsidP="00B1150F" w:rsidRDefault="004E7BE5" w14:paraId="2C78EB53" w14:textId="77777777">
            <w:pPr>
              <w:pStyle w:val="SL-FlLftSgl"/>
              <w:jc w:val="left"/>
              <w:rPr>
                <w:rFonts w:asciiTheme="minorHAnsi" w:hAnsiTheme="minorHAnsi"/>
              </w:rPr>
            </w:pPr>
            <w:r w:rsidRPr="003B365A">
              <w:rPr>
                <w:rFonts w:asciiTheme="minorHAnsi" w:hAnsiTheme="minorHAnsi"/>
              </w:rPr>
              <w:t>1 month after OMB clearance</w:t>
            </w:r>
          </w:p>
        </w:tc>
      </w:tr>
      <w:tr w:rsidR="004E7BE5" w:rsidTr="003B365A" w14:paraId="2DB47EBF" w14:textId="77777777">
        <w:tc>
          <w:tcPr>
            <w:tcW w:w="2481" w:type="dxa"/>
          </w:tcPr>
          <w:p w:rsidRPr="003B365A" w:rsidR="004E7BE5" w:rsidP="00B1150F" w:rsidRDefault="00391191" w14:paraId="39770C25" w14:textId="11B4BE40">
            <w:pPr>
              <w:jc w:val="left"/>
              <w:rPr>
                <w:rFonts w:asciiTheme="minorHAnsi" w:hAnsiTheme="minorHAnsi"/>
              </w:rPr>
            </w:pPr>
            <w:r w:rsidRPr="003B365A">
              <w:rPr>
                <w:rFonts w:asciiTheme="minorHAnsi" w:hAnsiTheme="minorHAnsi"/>
              </w:rPr>
              <w:t>15th</w:t>
            </w:r>
            <w:r w:rsidRPr="003B365A" w:rsidR="004E7BE5">
              <w:rPr>
                <w:rFonts w:asciiTheme="minorHAnsi" w:hAnsiTheme="minorHAnsi"/>
              </w:rPr>
              <w:t xml:space="preserve"> National Survey/</w:t>
            </w:r>
          </w:p>
          <w:p w:rsidRPr="003B365A" w:rsidR="004E7BE5" w:rsidP="00B1150F" w:rsidRDefault="004E7BE5" w14:paraId="2719BA2A" w14:textId="17C8C806">
            <w:pPr>
              <w:jc w:val="left"/>
            </w:pPr>
            <w:r w:rsidRPr="003B365A">
              <w:rPr>
                <w:rFonts w:asciiTheme="minorHAnsi" w:hAnsiTheme="minorHAnsi"/>
              </w:rPr>
              <w:t>Data Collection</w:t>
            </w:r>
          </w:p>
        </w:tc>
        <w:tc>
          <w:tcPr>
            <w:tcW w:w="3762" w:type="dxa"/>
          </w:tcPr>
          <w:p w:rsidRPr="003B365A" w:rsidR="004E7BE5" w:rsidP="00B1150F" w:rsidRDefault="004E7BE5" w14:paraId="2107A51E" w14:textId="77777777">
            <w:pPr>
              <w:pStyle w:val="SL-FlLftSgl"/>
              <w:jc w:val="left"/>
            </w:pPr>
            <w:r w:rsidRPr="003B365A">
              <w:rPr>
                <w:rFonts w:ascii="Calibri" w:hAnsi="Calibri"/>
              </w:rPr>
              <w:t>Telephone survey of participants</w:t>
            </w:r>
          </w:p>
        </w:tc>
        <w:tc>
          <w:tcPr>
            <w:tcW w:w="3107" w:type="dxa"/>
          </w:tcPr>
          <w:p w:rsidRPr="003B365A" w:rsidR="004E7BE5" w:rsidP="00B1150F" w:rsidRDefault="004E7BE5" w14:paraId="3D562ACB" w14:textId="77777777">
            <w:pPr>
              <w:pStyle w:val="SL-FlLftSgl"/>
              <w:jc w:val="left"/>
              <w:rPr>
                <w:rFonts w:asciiTheme="minorHAnsi" w:hAnsiTheme="minorHAnsi"/>
              </w:rPr>
            </w:pPr>
            <w:r w:rsidRPr="003B365A">
              <w:rPr>
                <w:rFonts w:asciiTheme="minorHAnsi" w:hAnsiTheme="minorHAnsi"/>
              </w:rPr>
              <w:t>5 months after OMB clearance</w:t>
            </w:r>
          </w:p>
        </w:tc>
      </w:tr>
      <w:tr w:rsidR="004E7BE5" w:rsidTr="003B365A" w14:paraId="21989821" w14:textId="77777777">
        <w:tc>
          <w:tcPr>
            <w:tcW w:w="2481" w:type="dxa"/>
          </w:tcPr>
          <w:p w:rsidRPr="003B365A" w:rsidR="004E7BE5" w:rsidP="00B1150F" w:rsidRDefault="00391191" w14:paraId="006F266E" w14:textId="42D62889">
            <w:pPr>
              <w:jc w:val="left"/>
              <w:rPr>
                <w:rFonts w:asciiTheme="minorHAnsi" w:hAnsiTheme="minorHAnsi"/>
              </w:rPr>
            </w:pPr>
            <w:r w:rsidRPr="003B365A">
              <w:rPr>
                <w:rFonts w:asciiTheme="minorHAnsi" w:hAnsiTheme="minorHAnsi"/>
              </w:rPr>
              <w:t>15th</w:t>
            </w:r>
            <w:r w:rsidRPr="003B365A" w:rsidR="004E7BE5">
              <w:rPr>
                <w:rFonts w:asciiTheme="minorHAnsi" w:hAnsiTheme="minorHAnsi"/>
              </w:rPr>
              <w:t xml:space="preserve"> National Survey/</w:t>
            </w:r>
          </w:p>
          <w:p w:rsidRPr="003B365A" w:rsidR="004E7BE5" w:rsidP="00B1150F" w:rsidRDefault="004E7BE5" w14:paraId="4321F08D" w14:textId="4E024434">
            <w:pPr>
              <w:jc w:val="left"/>
            </w:pPr>
            <w:r w:rsidRPr="003B365A">
              <w:rPr>
                <w:rFonts w:asciiTheme="minorHAnsi" w:hAnsiTheme="minorHAnsi"/>
              </w:rPr>
              <w:t>Data Collection</w:t>
            </w:r>
          </w:p>
        </w:tc>
        <w:tc>
          <w:tcPr>
            <w:tcW w:w="3762" w:type="dxa"/>
          </w:tcPr>
          <w:p w:rsidRPr="003B365A" w:rsidR="004E7BE5" w:rsidP="00B1150F" w:rsidRDefault="004E7BE5" w14:paraId="0816199C" w14:textId="77777777">
            <w:pPr>
              <w:pStyle w:val="SL-FlLftSgl"/>
              <w:jc w:val="left"/>
            </w:pPr>
            <w:r w:rsidRPr="003B365A">
              <w:rPr>
                <w:rFonts w:ascii="Calibri" w:hAnsi="Calibri"/>
              </w:rPr>
              <w:t>Data editing, coding and key entry, data analysis</w:t>
            </w:r>
          </w:p>
        </w:tc>
        <w:tc>
          <w:tcPr>
            <w:tcW w:w="3107" w:type="dxa"/>
          </w:tcPr>
          <w:p w:rsidRPr="003B365A" w:rsidR="004E7BE5" w:rsidP="00B1150F" w:rsidRDefault="004E7BE5" w14:paraId="52E12015" w14:textId="77777777">
            <w:pPr>
              <w:pStyle w:val="SL-FlLftSgl"/>
              <w:jc w:val="left"/>
              <w:rPr>
                <w:rFonts w:asciiTheme="minorHAnsi" w:hAnsiTheme="minorHAnsi"/>
              </w:rPr>
            </w:pPr>
            <w:r w:rsidRPr="003B365A">
              <w:rPr>
                <w:rFonts w:asciiTheme="minorHAnsi" w:hAnsiTheme="minorHAnsi"/>
              </w:rPr>
              <w:t>7 months after OMB clearance</w:t>
            </w:r>
          </w:p>
        </w:tc>
      </w:tr>
      <w:tr w:rsidR="004E7BE5" w:rsidTr="003B365A" w14:paraId="1F776408" w14:textId="77777777">
        <w:tc>
          <w:tcPr>
            <w:tcW w:w="2481" w:type="dxa"/>
          </w:tcPr>
          <w:p w:rsidRPr="003B365A" w:rsidR="004E7BE5" w:rsidP="00B1150F" w:rsidRDefault="00391191" w14:paraId="7610DCF0" w14:textId="400A2D05">
            <w:pPr>
              <w:jc w:val="left"/>
              <w:rPr>
                <w:rFonts w:asciiTheme="minorHAnsi" w:hAnsiTheme="minorHAnsi"/>
              </w:rPr>
            </w:pPr>
            <w:r w:rsidRPr="003B365A">
              <w:rPr>
                <w:rFonts w:asciiTheme="minorHAnsi" w:hAnsiTheme="minorHAnsi"/>
              </w:rPr>
              <w:t>15th</w:t>
            </w:r>
            <w:r w:rsidRPr="003B365A" w:rsidR="004E7BE5">
              <w:rPr>
                <w:rFonts w:asciiTheme="minorHAnsi" w:hAnsiTheme="minorHAnsi"/>
              </w:rPr>
              <w:t xml:space="preserve"> National Survey/</w:t>
            </w:r>
          </w:p>
          <w:p w:rsidRPr="003B365A" w:rsidR="004E7BE5" w:rsidP="00B1150F" w:rsidRDefault="004E7BE5" w14:paraId="7FF8D0CE" w14:textId="713C14EC">
            <w:pPr>
              <w:jc w:val="left"/>
            </w:pPr>
            <w:r w:rsidRPr="003B365A">
              <w:rPr>
                <w:rFonts w:asciiTheme="minorHAnsi" w:hAnsiTheme="minorHAnsi"/>
              </w:rPr>
              <w:t xml:space="preserve">  Data Collection</w:t>
            </w:r>
          </w:p>
        </w:tc>
        <w:tc>
          <w:tcPr>
            <w:tcW w:w="3762" w:type="dxa"/>
          </w:tcPr>
          <w:p w:rsidRPr="003B365A" w:rsidR="004E7BE5" w:rsidP="0044259E" w:rsidRDefault="004E7BE5" w14:paraId="076F6527" w14:textId="77777777">
            <w:pPr>
              <w:pStyle w:val="SL-FlLftSgl"/>
              <w:jc w:val="left"/>
            </w:pPr>
            <w:r w:rsidRPr="003B365A">
              <w:rPr>
                <w:rFonts w:ascii="Calibri" w:hAnsi="Calibri"/>
              </w:rPr>
              <w:t>Deliver data to A</w:t>
            </w:r>
            <w:r w:rsidRPr="003B365A" w:rsidR="0044259E">
              <w:rPr>
                <w:rFonts w:ascii="Calibri" w:hAnsi="Calibri"/>
              </w:rPr>
              <w:t>CL</w:t>
            </w:r>
          </w:p>
        </w:tc>
        <w:tc>
          <w:tcPr>
            <w:tcW w:w="3107" w:type="dxa"/>
          </w:tcPr>
          <w:p w:rsidRPr="003B365A" w:rsidR="004E7BE5" w:rsidP="00B1150F" w:rsidRDefault="004E7BE5" w14:paraId="57883573" w14:textId="77777777">
            <w:pPr>
              <w:pStyle w:val="SL-FlLftSgl"/>
              <w:jc w:val="left"/>
              <w:rPr>
                <w:rFonts w:asciiTheme="minorHAnsi" w:hAnsiTheme="minorHAnsi"/>
              </w:rPr>
            </w:pPr>
            <w:r w:rsidRPr="003B365A">
              <w:rPr>
                <w:rFonts w:asciiTheme="minorHAnsi" w:hAnsiTheme="minorHAnsi"/>
              </w:rPr>
              <w:t>9 months after OMB clearance</w:t>
            </w:r>
          </w:p>
        </w:tc>
      </w:tr>
      <w:tr w:rsidR="004E7BE5" w:rsidTr="003B365A" w14:paraId="3F5AD567" w14:textId="77777777">
        <w:tc>
          <w:tcPr>
            <w:tcW w:w="2481" w:type="dxa"/>
          </w:tcPr>
          <w:p w:rsidRPr="003B365A" w:rsidR="004E7BE5" w:rsidP="00B1150F" w:rsidRDefault="00391191" w14:paraId="424545EC" w14:textId="1CE7D1DC">
            <w:pPr>
              <w:jc w:val="left"/>
              <w:rPr>
                <w:rFonts w:asciiTheme="minorHAnsi" w:hAnsiTheme="minorHAnsi"/>
              </w:rPr>
            </w:pPr>
            <w:r w:rsidRPr="003B365A">
              <w:rPr>
                <w:rFonts w:asciiTheme="minorHAnsi" w:hAnsiTheme="minorHAnsi"/>
              </w:rPr>
              <w:t>15th</w:t>
            </w:r>
            <w:r w:rsidRPr="003B365A" w:rsidR="004E7BE5">
              <w:rPr>
                <w:rFonts w:asciiTheme="minorHAnsi" w:hAnsiTheme="minorHAnsi"/>
              </w:rPr>
              <w:t xml:space="preserve"> National Survey/</w:t>
            </w:r>
          </w:p>
          <w:p w:rsidRPr="003B365A" w:rsidR="004E7BE5" w:rsidP="00B1150F" w:rsidRDefault="004E7BE5" w14:paraId="76983F5B" w14:textId="77777777">
            <w:pPr>
              <w:jc w:val="left"/>
            </w:pPr>
            <w:r w:rsidRPr="003B365A">
              <w:rPr>
                <w:rFonts w:asciiTheme="minorHAnsi" w:hAnsiTheme="minorHAnsi"/>
              </w:rPr>
              <w:t>Baseline Data Collection</w:t>
            </w:r>
          </w:p>
        </w:tc>
        <w:tc>
          <w:tcPr>
            <w:tcW w:w="3762" w:type="dxa"/>
          </w:tcPr>
          <w:p w:rsidRPr="003B365A" w:rsidR="004E7BE5" w:rsidP="00674F33" w:rsidRDefault="004E7BE5" w14:paraId="49C370FB" w14:textId="2FB809D0">
            <w:pPr>
              <w:pStyle w:val="SL-FlLftSgl"/>
              <w:jc w:val="left"/>
            </w:pPr>
            <w:r w:rsidRPr="003B365A">
              <w:rPr>
                <w:rFonts w:ascii="Calibri" w:hAnsi="Calibri"/>
              </w:rPr>
              <w:t>Final report on data collection</w:t>
            </w:r>
          </w:p>
        </w:tc>
        <w:tc>
          <w:tcPr>
            <w:tcW w:w="3107" w:type="dxa"/>
          </w:tcPr>
          <w:p w:rsidRPr="003B365A" w:rsidR="004E7BE5" w:rsidP="00B1150F" w:rsidRDefault="004E7BE5" w14:paraId="69D22ED0" w14:textId="77777777">
            <w:pPr>
              <w:pStyle w:val="SL-FlLftSgl"/>
              <w:jc w:val="left"/>
              <w:rPr>
                <w:rFonts w:asciiTheme="minorHAnsi" w:hAnsiTheme="minorHAnsi"/>
              </w:rPr>
            </w:pPr>
            <w:r w:rsidRPr="003B365A">
              <w:rPr>
                <w:rFonts w:asciiTheme="minorHAnsi" w:hAnsiTheme="minorHAnsi"/>
              </w:rPr>
              <w:t>15 months after OMB clearance</w:t>
            </w:r>
          </w:p>
        </w:tc>
      </w:tr>
      <w:tr w:rsidR="003B365A" w:rsidTr="003B365A" w14:paraId="4F99C7E5" w14:textId="77777777">
        <w:tc>
          <w:tcPr>
            <w:tcW w:w="2481" w:type="dxa"/>
          </w:tcPr>
          <w:p w:rsidRPr="009309BB" w:rsidR="003B365A" w:rsidP="003B365A" w:rsidRDefault="003B365A" w14:paraId="1AB9A337" w14:textId="14E199AC">
            <w:pPr>
              <w:pStyle w:val="SL-FlLftSgl"/>
              <w:jc w:val="left"/>
              <w:rPr>
                <w:rFonts w:asciiTheme="minorHAnsi" w:hAnsiTheme="minorHAnsi"/>
              </w:rPr>
            </w:pPr>
            <w:r w:rsidRPr="009309BB">
              <w:rPr>
                <w:rFonts w:asciiTheme="minorHAnsi" w:hAnsiTheme="minorHAnsi"/>
              </w:rPr>
              <w:t>16th National Survey/</w:t>
            </w:r>
          </w:p>
          <w:p w:rsidRPr="009309BB" w:rsidR="003B365A" w:rsidP="003B365A" w:rsidRDefault="003B365A" w14:paraId="5EB743CE" w14:textId="0CFB3438">
            <w:pPr>
              <w:pStyle w:val="SL-FlLftSgl"/>
              <w:jc w:val="left"/>
              <w:rPr>
                <w:rFonts w:asciiTheme="minorHAnsi" w:hAnsiTheme="minorHAnsi"/>
              </w:rPr>
            </w:pPr>
            <w:r w:rsidRPr="009309BB">
              <w:rPr>
                <w:rFonts w:asciiTheme="minorHAnsi" w:hAnsiTheme="minorHAnsi"/>
              </w:rPr>
              <w:t xml:space="preserve">Data Collection </w:t>
            </w:r>
          </w:p>
        </w:tc>
        <w:tc>
          <w:tcPr>
            <w:tcW w:w="3762" w:type="dxa"/>
          </w:tcPr>
          <w:p w:rsidRPr="009309BB" w:rsidR="003B365A" w:rsidP="003B365A" w:rsidRDefault="003B365A" w14:paraId="37B112F9" w14:textId="4C7E8662">
            <w:pPr>
              <w:pStyle w:val="SL-FlLftSgl"/>
              <w:jc w:val="left"/>
            </w:pPr>
            <w:r w:rsidRPr="009309BB">
              <w:rPr>
                <w:rFonts w:ascii="Calibri" w:hAnsi="Calibri"/>
              </w:rPr>
              <w:t>Telephone/email contact with agencies to draw sample</w:t>
            </w:r>
          </w:p>
        </w:tc>
        <w:tc>
          <w:tcPr>
            <w:tcW w:w="3107" w:type="dxa"/>
          </w:tcPr>
          <w:p w:rsidRPr="009309BB" w:rsidR="003B365A" w:rsidP="003B365A" w:rsidRDefault="003B365A" w14:paraId="1F31ABD5" w14:textId="77777777">
            <w:pPr>
              <w:pStyle w:val="SL-FlLftSgl"/>
              <w:jc w:val="left"/>
              <w:rPr>
                <w:rFonts w:asciiTheme="minorHAnsi" w:hAnsiTheme="minorHAnsi"/>
              </w:rPr>
            </w:pPr>
            <w:r w:rsidRPr="009309BB">
              <w:rPr>
                <w:rFonts w:asciiTheme="minorHAnsi" w:hAnsiTheme="minorHAnsi"/>
              </w:rPr>
              <w:t>13 months after OMB clearance</w:t>
            </w:r>
          </w:p>
        </w:tc>
      </w:tr>
      <w:tr w:rsidR="003B365A" w:rsidTr="003B365A" w14:paraId="214C2717" w14:textId="77777777">
        <w:tc>
          <w:tcPr>
            <w:tcW w:w="2481" w:type="dxa"/>
          </w:tcPr>
          <w:p w:rsidRPr="009309BB" w:rsidR="003B365A" w:rsidP="003B365A" w:rsidRDefault="003B365A" w14:paraId="59967AE6" w14:textId="0CB0BB94">
            <w:pPr>
              <w:pStyle w:val="SL-FlLftSgl"/>
              <w:jc w:val="left"/>
              <w:rPr>
                <w:rFonts w:asciiTheme="minorHAnsi" w:hAnsiTheme="minorHAnsi"/>
              </w:rPr>
            </w:pPr>
            <w:r w:rsidRPr="009309BB">
              <w:rPr>
                <w:rFonts w:asciiTheme="minorHAnsi" w:hAnsiTheme="minorHAnsi"/>
              </w:rPr>
              <w:t xml:space="preserve">16th National Survey/ Data Collection </w:t>
            </w:r>
          </w:p>
        </w:tc>
        <w:tc>
          <w:tcPr>
            <w:tcW w:w="3762" w:type="dxa"/>
          </w:tcPr>
          <w:p w:rsidRPr="009309BB" w:rsidR="003B365A" w:rsidP="003B365A" w:rsidRDefault="003B365A" w14:paraId="7CF5BA2B" w14:textId="5300FD96">
            <w:pPr>
              <w:pStyle w:val="SL-FlLftSgl"/>
              <w:jc w:val="left"/>
            </w:pPr>
            <w:r w:rsidRPr="009309BB">
              <w:rPr>
                <w:rFonts w:ascii="Calibri" w:hAnsi="Calibri"/>
              </w:rPr>
              <w:t>Telephone survey of participants</w:t>
            </w:r>
          </w:p>
        </w:tc>
        <w:tc>
          <w:tcPr>
            <w:tcW w:w="3107" w:type="dxa"/>
          </w:tcPr>
          <w:p w:rsidRPr="009309BB" w:rsidR="003B365A" w:rsidP="003B365A" w:rsidRDefault="003B365A" w14:paraId="79F4040C" w14:textId="77777777">
            <w:pPr>
              <w:pStyle w:val="SL-FlLftSgl"/>
              <w:jc w:val="left"/>
              <w:rPr>
                <w:rFonts w:asciiTheme="minorHAnsi" w:hAnsiTheme="minorHAnsi"/>
              </w:rPr>
            </w:pPr>
            <w:r w:rsidRPr="009309BB">
              <w:rPr>
                <w:rFonts w:asciiTheme="minorHAnsi" w:hAnsiTheme="minorHAnsi"/>
              </w:rPr>
              <w:t>17 months after OMB clearance</w:t>
            </w:r>
          </w:p>
        </w:tc>
      </w:tr>
      <w:tr w:rsidR="003B365A" w:rsidTr="003B365A" w14:paraId="02C541B7" w14:textId="77777777">
        <w:tc>
          <w:tcPr>
            <w:tcW w:w="2481" w:type="dxa"/>
          </w:tcPr>
          <w:p w:rsidRPr="009309BB" w:rsidR="003B365A" w:rsidP="003B365A" w:rsidRDefault="003B365A" w14:paraId="01845209" w14:textId="2E7EF45A">
            <w:pPr>
              <w:jc w:val="left"/>
              <w:rPr>
                <w:rFonts w:asciiTheme="minorHAnsi" w:hAnsiTheme="minorHAnsi"/>
              </w:rPr>
            </w:pPr>
            <w:r w:rsidRPr="009309BB">
              <w:rPr>
                <w:rFonts w:asciiTheme="minorHAnsi" w:hAnsiTheme="minorHAnsi"/>
              </w:rPr>
              <w:lastRenderedPageBreak/>
              <w:t>16th National Survey/</w:t>
            </w:r>
          </w:p>
          <w:p w:rsidRPr="009309BB" w:rsidR="003B365A" w:rsidP="003B365A" w:rsidRDefault="003B365A" w14:paraId="4C4BCAFB" w14:textId="5C1BB577">
            <w:pPr>
              <w:jc w:val="left"/>
            </w:pPr>
            <w:r w:rsidRPr="009309BB">
              <w:rPr>
                <w:rFonts w:asciiTheme="minorHAnsi" w:hAnsiTheme="minorHAnsi"/>
              </w:rPr>
              <w:t xml:space="preserve">Data Collection </w:t>
            </w:r>
          </w:p>
        </w:tc>
        <w:tc>
          <w:tcPr>
            <w:tcW w:w="3762" w:type="dxa"/>
          </w:tcPr>
          <w:p w:rsidRPr="009309BB" w:rsidR="003B365A" w:rsidP="003B365A" w:rsidRDefault="003B365A" w14:paraId="12B6E35E" w14:textId="12329EF0">
            <w:pPr>
              <w:pStyle w:val="SL-FlLftSgl"/>
              <w:jc w:val="left"/>
            </w:pPr>
            <w:r w:rsidRPr="009309BB">
              <w:rPr>
                <w:rFonts w:ascii="Calibri" w:hAnsi="Calibri"/>
              </w:rPr>
              <w:t>Data editing, coding and key entry, data analysis</w:t>
            </w:r>
          </w:p>
        </w:tc>
        <w:tc>
          <w:tcPr>
            <w:tcW w:w="3107" w:type="dxa"/>
          </w:tcPr>
          <w:p w:rsidRPr="009309BB" w:rsidR="003B365A" w:rsidP="003B365A" w:rsidRDefault="003B365A" w14:paraId="0D3D4679" w14:textId="77777777">
            <w:pPr>
              <w:pStyle w:val="SL-FlLftSgl"/>
              <w:jc w:val="left"/>
              <w:rPr>
                <w:rFonts w:asciiTheme="minorHAnsi" w:hAnsiTheme="minorHAnsi"/>
              </w:rPr>
            </w:pPr>
            <w:r w:rsidRPr="009309BB">
              <w:rPr>
                <w:rFonts w:asciiTheme="minorHAnsi" w:hAnsiTheme="minorHAnsi"/>
              </w:rPr>
              <w:t>19 months after OMB clearance</w:t>
            </w:r>
          </w:p>
        </w:tc>
      </w:tr>
      <w:tr w:rsidR="003B365A" w:rsidTr="003B365A" w14:paraId="0D33E06E" w14:textId="77777777">
        <w:tc>
          <w:tcPr>
            <w:tcW w:w="2481" w:type="dxa"/>
          </w:tcPr>
          <w:p w:rsidRPr="009309BB" w:rsidR="003B365A" w:rsidP="003B365A" w:rsidRDefault="003B365A" w14:paraId="6476ADF8" w14:textId="6BD7CC18">
            <w:pPr>
              <w:jc w:val="left"/>
              <w:rPr>
                <w:rFonts w:asciiTheme="minorHAnsi" w:hAnsiTheme="minorHAnsi"/>
              </w:rPr>
            </w:pPr>
            <w:r w:rsidRPr="009309BB">
              <w:rPr>
                <w:rFonts w:asciiTheme="minorHAnsi" w:hAnsiTheme="minorHAnsi"/>
              </w:rPr>
              <w:t>16th National Survey/</w:t>
            </w:r>
          </w:p>
          <w:p w:rsidRPr="009309BB" w:rsidR="003B365A" w:rsidP="003B365A" w:rsidRDefault="003B365A" w14:paraId="37FCEE8B" w14:textId="4A81DFAF">
            <w:pPr>
              <w:jc w:val="left"/>
            </w:pPr>
            <w:r w:rsidRPr="009309BB">
              <w:rPr>
                <w:rFonts w:asciiTheme="minorHAnsi" w:hAnsiTheme="minorHAnsi"/>
              </w:rPr>
              <w:t xml:space="preserve">Data Collection </w:t>
            </w:r>
          </w:p>
        </w:tc>
        <w:tc>
          <w:tcPr>
            <w:tcW w:w="3762" w:type="dxa"/>
          </w:tcPr>
          <w:p w:rsidRPr="009309BB" w:rsidR="003B365A" w:rsidP="003B365A" w:rsidRDefault="003B365A" w14:paraId="7D58271B" w14:textId="29858674">
            <w:pPr>
              <w:pStyle w:val="SL-FlLftSgl"/>
              <w:jc w:val="left"/>
            </w:pPr>
            <w:r w:rsidRPr="009309BB">
              <w:rPr>
                <w:rFonts w:ascii="Calibri" w:hAnsi="Calibri"/>
              </w:rPr>
              <w:t>Deliver data to ACL</w:t>
            </w:r>
          </w:p>
        </w:tc>
        <w:tc>
          <w:tcPr>
            <w:tcW w:w="3107" w:type="dxa"/>
          </w:tcPr>
          <w:p w:rsidRPr="009309BB" w:rsidR="003B365A" w:rsidP="003B365A" w:rsidRDefault="003B365A" w14:paraId="39E12421" w14:textId="77777777">
            <w:pPr>
              <w:pStyle w:val="SL-FlLftSgl"/>
              <w:jc w:val="left"/>
              <w:rPr>
                <w:rFonts w:asciiTheme="minorHAnsi" w:hAnsiTheme="minorHAnsi"/>
              </w:rPr>
            </w:pPr>
            <w:r w:rsidRPr="009309BB">
              <w:rPr>
                <w:rFonts w:asciiTheme="minorHAnsi" w:hAnsiTheme="minorHAnsi"/>
              </w:rPr>
              <w:t>21 months after OMB clearance</w:t>
            </w:r>
          </w:p>
        </w:tc>
      </w:tr>
      <w:tr w:rsidR="003B365A" w:rsidTr="003B365A" w14:paraId="680BF385" w14:textId="77777777">
        <w:tc>
          <w:tcPr>
            <w:tcW w:w="2481" w:type="dxa"/>
          </w:tcPr>
          <w:p w:rsidRPr="009309BB" w:rsidR="003B365A" w:rsidP="003B365A" w:rsidRDefault="003B365A" w14:paraId="1A3598A8" w14:textId="458FD430">
            <w:pPr>
              <w:jc w:val="left"/>
              <w:rPr>
                <w:rFonts w:asciiTheme="minorHAnsi" w:hAnsiTheme="minorHAnsi"/>
              </w:rPr>
            </w:pPr>
            <w:r w:rsidRPr="009309BB">
              <w:rPr>
                <w:rFonts w:asciiTheme="minorHAnsi" w:hAnsiTheme="minorHAnsi"/>
              </w:rPr>
              <w:t>16th National Survey/</w:t>
            </w:r>
          </w:p>
          <w:p w:rsidRPr="009309BB" w:rsidR="003B365A" w:rsidP="003B365A" w:rsidRDefault="003B365A" w14:paraId="152E1D75" w14:textId="6693068E">
            <w:pPr>
              <w:jc w:val="left"/>
            </w:pPr>
            <w:r w:rsidRPr="009309BB">
              <w:rPr>
                <w:rFonts w:asciiTheme="minorHAnsi" w:hAnsiTheme="minorHAnsi"/>
              </w:rPr>
              <w:t xml:space="preserve">Data Collection </w:t>
            </w:r>
          </w:p>
        </w:tc>
        <w:tc>
          <w:tcPr>
            <w:tcW w:w="3762" w:type="dxa"/>
          </w:tcPr>
          <w:p w:rsidRPr="009309BB" w:rsidR="003B365A" w:rsidP="003B365A" w:rsidRDefault="003B365A" w14:paraId="252CBC5D" w14:textId="3A389B23">
            <w:pPr>
              <w:pStyle w:val="SL-FlLftSgl"/>
              <w:jc w:val="left"/>
            </w:pPr>
            <w:r w:rsidRPr="009309BB">
              <w:rPr>
                <w:rFonts w:ascii="Calibri" w:hAnsi="Calibri"/>
              </w:rPr>
              <w:t>Final report on baseline data collection</w:t>
            </w:r>
          </w:p>
        </w:tc>
        <w:tc>
          <w:tcPr>
            <w:tcW w:w="3107" w:type="dxa"/>
          </w:tcPr>
          <w:p w:rsidRPr="009309BB" w:rsidR="003B365A" w:rsidP="003B365A" w:rsidRDefault="003B365A" w14:paraId="404311BA" w14:textId="77777777">
            <w:pPr>
              <w:pStyle w:val="SL-FlLftSgl"/>
              <w:jc w:val="left"/>
              <w:rPr>
                <w:rFonts w:asciiTheme="minorHAnsi" w:hAnsiTheme="minorHAnsi"/>
              </w:rPr>
            </w:pPr>
            <w:r w:rsidRPr="009309BB">
              <w:rPr>
                <w:rFonts w:asciiTheme="minorHAnsi" w:hAnsiTheme="minorHAnsi"/>
              </w:rPr>
              <w:t>27 months after OMB clearance</w:t>
            </w:r>
          </w:p>
        </w:tc>
      </w:tr>
      <w:tr w:rsidR="003B365A" w:rsidTr="003B365A" w14:paraId="2FDB1CD7" w14:textId="77777777">
        <w:tc>
          <w:tcPr>
            <w:tcW w:w="2481" w:type="dxa"/>
          </w:tcPr>
          <w:p w:rsidRPr="009309BB" w:rsidR="003B365A" w:rsidP="003B365A" w:rsidRDefault="003B365A" w14:paraId="2D8A2530" w14:textId="1FA37365">
            <w:pPr>
              <w:pStyle w:val="SL-FlLftSgl"/>
              <w:jc w:val="left"/>
              <w:rPr>
                <w:rFonts w:asciiTheme="minorHAnsi" w:hAnsiTheme="minorHAnsi"/>
              </w:rPr>
            </w:pPr>
            <w:r w:rsidRPr="009309BB">
              <w:rPr>
                <w:rFonts w:asciiTheme="minorHAnsi" w:hAnsiTheme="minorHAnsi"/>
              </w:rPr>
              <w:t>17th National Survey/</w:t>
            </w:r>
          </w:p>
          <w:p w:rsidRPr="009309BB" w:rsidR="003B365A" w:rsidP="003B365A" w:rsidRDefault="003B365A" w14:paraId="27C15D2F" w14:textId="7E04178E">
            <w:pPr>
              <w:pStyle w:val="SL-FlLftSgl"/>
              <w:jc w:val="left"/>
              <w:rPr>
                <w:rFonts w:asciiTheme="minorHAnsi" w:hAnsiTheme="minorHAnsi"/>
              </w:rPr>
            </w:pPr>
            <w:r w:rsidRPr="009309BB">
              <w:rPr>
                <w:rFonts w:asciiTheme="minorHAnsi" w:hAnsiTheme="minorHAnsi"/>
              </w:rPr>
              <w:t xml:space="preserve">Data Collection </w:t>
            </w:r>
          </w:p>
        </w:tc>
        <w:tc>
          <w:tcPr>
            <w:tcW w:w="3762" w:type="dxa"/>
          </w:tcPr>
          <w:p w:rsidRPr="009309BB" w:rsidR="003B365A" w:rsidP="003B365A" w:rsidRDefault="003B365A" w14:paraId="40209723" w14:textId="7E506A10">
            <w:pPr>
              <w:pStyle w:val="SL-FlLftSgl"/>
              <w:jc w:val="left"/>
            </w:pPr>
            <w:r w:rsidRPr="009309BB">
              <w:rPr>
                <w:rFonts w:ascii="Calibri" w:hAnsi="Calibri"/>
              </w:rPr>
              <w:t>Telephone/email contact with agencies to draw sample</w:t>
            </w:r>
          </w:p>
        </w:tc>
        <w:tc>
          <w:tcPr>
            <w:tcW w:w="3107" w:type="dxa"/>
          </w:tcPr>
          <w:p w:rsidRPr="009309BB" w:rsidR="003B365A" w:rsidP="003B365A" w:rsidRDefault="003B365A" w14:paraId="3D52E2FF" w14:textId="77777777">
            <w:pPr>
              <w:pStyle w:val="SL-FlLftSgl"/>
              <w:jc w:val="left"/>
              <w:rPr>
                <w:rFonts w:asciiTheme="minorHAnsi" w:hAnsiTheme="minorHAnsi"/>
              </w:rPr>
            </w:pPr>
            <w:r w:rsidRPr="009309BB">
              <w:rPr>
                <w:rFonts w:asciiTheme="minorHAnsi" w:hAnsiTheme="minorHAnsi"/>
              </w:rPr>
              <w:t>25 months after OMB clearance</w:t>
            </w:r>
          </w:p>
        </w:tc>
      </w:tr>
      <w:tr w:rsidR="003B365A" w:rsidTr="003B365A" w14:paraId="7EAC4EF9" w14:textId="77777777">
        <w:tc>
          <w:tcPr>
            <w:tcW w:w="2481" w:type="dxa"/>
          </w:tcPr>
          <w:p w:rsidRPr="009309BB" w:rsidR="003B365A" w:rsidP="003B365A" w:rsidRDefault="003B365A" w14:paraId="03EE3389" w14:textId="4235054D">
            <w:pPr>
              <w:pStyle w:val="SL-FlLftSgl"/>
              <w:jc w:val="left"/>
              <w:rPr>
                <w:rFonts w:asciiTheme="minorHAnsi" w:hAnsiTheme="minorHAnsi"/>
              </w:rPr>
            </w:pPr>
            <w:r w:rsidRPr="009309BB">
              <w:rPr>
                <w:rFonts w:asciiTheme="minorHAnsi" w:hAnsiTheme="minorHAnsi"/>
              </w:rPr>
              <w:t>17th National Survey/</w:t>
            </w:r>
          </w:p>
          <w:p w:rsidRPr="009309BB" w:rsidR="003B365A" w:rsidP="003B365A" w:rsidRDefault="003B365A" w14:paraId="643BB08F" w14:textId="70385896">
            <w:pPr>
              <w:pStyle w:val="SL-FlLftSgl"/>
              <w:jc w:val="left"/>
              <w:rPr>
                <w:rFonts w:asciiTheme="minorHAnsi" w:hAnsiTheme="minorHAnsi"/>
              </w:rPr>
            </w:pPr>
            <w:r w:rsidRPr="009309BB">
              <w:rPr>
                <w:rFonts w:asciiTheme="minorHAnsi" w:hAnsiTheme="minorHAnsi"/>
              </w:rPr>
              <w:t xml:space="preserve">Data Collection </w:t>
            </w:r>
          </w:p>
        </w:tc>
        <w:tc>
          <w:tcPr>
            <w:tcW w:w="3762" w:type="dxa"/>
          </w:tcPr>
          <w:p w:rsidRPr="009309BB" w:rsidR="003B365A" w:rsidP="003B365A" w:rsidRDefault="003B365A" w14:paraId="60F15B14" w14:textId="79E01A57">
            <w:pPr>
              <w:pStyle w:val="SL-FlLftSgl"/>
              <w:jc w:val="left"/>
            </w:pPr>
            <w:r w:rsidRPr="009309BB">
              <w:rPr>
                <w:rFonts w:ascii="Calibri" w:hAnsi="Calibri"/>
              </w:rPr>
              <w:t>Telephone survey of participants</w:t>
            </w:r>
          </w:p>
        </w:tc>
        <w:tc>
          <w:tcPr>
            <w:tcW w:w="3107" w:type="dxa"/>
          </w:tcPr>
          <w:p w:rsidRPr="009309BB" w:rsidR="003B365A" w:rsidP="003B365A" w:rsidRDefault="003B365A" w14:paraId="263FF525" w14:textId="77777777">
            <w:pPr>
              <w:pStyle w:val="SL-FlLftSgl"/>
              <w:jc w:val="left"/>
              <w:rPr>
                <w:rFonts w:asciiTheme="minorHAnsi" w:hAnsiTheme="minorHAnsi"/>
              </w:rPr>
            </w:pPr>
            <w:r w:rsidRPr="009309BB">
              <w:rPr>
                <w:rFonts w:asciiTheme="minorHAnsi" w:hAnsiTheme="minorHAnsi"/>
              </w:rPr>
              <w:t>29 months after OMB clearance</w:t>
            </w:r>
          </w:p>
        </w:tc>
      </w:tr>
      <w:tr w:rsidR="003B365A" w:rsidTr="003B365A" w14:paraId="1A148DF7" w14:textId="77777777">
        <w:tc>
          <w:tcPr>
            <w:tcW w:w="2481" w:type="dxa"/>
          </w:tcPr>
          <w:p w:rsidRPr="009309BB" w:rsidR="003B365A" w:rsidP="003B365A" w:rsidRDefault="003B365A" w14:paraId="335EB20D" w14:textId="2132577A">
            <w:pPr>
              <w:pStyle w:val="SL-FlLftSgl"/>
              <w:jc w:val="left"/>
              <w:rPr>
                <w:rFonts w:asciiTheme="minorHAnsi" w:hAnsiTheme="minorHAnsi"/>
              </w:rPr>
            </w:pPr>
            <w:r w:rsidRPr="009309BB">
              <w:rPr>
                <w:rFonts w:asciiTheme="minorHAnsi" w:hAnsiTheme="minorHAnsi"/>
              </w:rPr>
              <w:t>17th National Survey/</w:t>
            </w:r>
          </w:p>
          <w:p w:rsidRPr="009309BB" w:rsidR="003B365A" w:rsidP="00674F33" w:rsidRDefault="003B365A" w14:paraId="52E15F7C" w14:textId="2554DD31">
            <w:pPr>
              <w:pStyle w:val="SL-FlLftSgl"/>
              <w:jc w:val="left"/>
              <w:rPr>
                <w:rFonts w:asciiTheme="minorHAnsi" w:hAnsiTheme="minorHAnsi"/>
              </w:rPr>
            </w:pPr>
            <w:r w:rsidRPr="009309BB">
              <w:rPr>
                <w:rFonts w:asciiTheme="minorHAnsi" w:hAnsiTheme="minorHAnsi"/>
              </w:rPr>
              <w:t xml:space="preserve">Data Collection </w:t>
            </w:r>
          </w:p>
        </w:tc>
        <w:tc>
          <w:tcPr>
            <w:tcW w:w="3762" w:type="dxa"/>
          </w:tcPr>
          <w:p w:rsidRPr="009309BB" w:rsidR="003B365A" w:rsidP="003B365A" w:rsidRDefault="003B365A" w14:paraId="2B18EBD1" w14:textId="7C8B102F">
            <w:pPr>
              <w:pStyle w:val="SL-FlLftSgl"/>
              <w:jc w:val="left"/>
            </w:pPr>
            <w:r w:rsidRPr="009309BB">
              <w:rPr>
                <w:rFonts w:ascii="Calibri" w:hAnsi="Calibri"/>
              </w:rPr>
              <w:t>Data editing, coding and key entry, data analysis</w:t>
            </w:r>
          </w:p>
        </w:tc>
        <w:tc>
          <w:tcPr>
            <w:tcW w:w="3107" w:type="dxa"/>
          </w:tcPr>
          <w:p w:rsidRPr="009309BB" w:rsidR="003B365A" w:rsidP="003B365A" w:rsidRDefault="003B365A" w14:paraId="761B8D9C" w14:textId="77777777">
            <w:pPr>
              <w:pStyle w:val="SL-FlLftSgl"/>
              <w:jc w:val="left"/>
              <w:rPr>
                <w:rFonts w:asciiTheme="minorHAnsi" w:hAnsiTheme="minorHAnsi"/>
              </w:rPr>
            </w:pPr>
            <w:r w:rsidRPr="009309BB">
              <w:rPr>
                <w:rFonts w:asciiTheme="minorHAnsi" w:hAnsiTheme="minorHAnsi"/>
              </w:rPr>
              <w:t>31 months after OMB clearance</w:t>
            </w:r>
          </w:p>
        </w:tc>
      </w:tr>
      <w:tr w:rsidR="003B365A" w:rsidTr="003B365A" w14:paraId="222B5B42" w14:textId="77777777">
        <w:tc>
          <w:tcPr>
            <w:tcW w:w="2481" w:type="dxa"/>
          </w:tcPr>
          <w:p w:rsidRPr="009309BB" w:rsidR="003B365A" w:rsidP="003B365A" w:rsidRDefault="003B365A" w14:paraId="2196EC9D" w14:textId="14B2E805">
            <w:pPr>
              <w:pStyle w:val="SL-FlLftSgl"/>
              <w:jc w:val="left"/>
              <w:rPr>
                <w:rFonts w:asciiTheme="minorHAnsi" w:hAnsiTheme="minorHAnsi"/>
              </w:rPr>
            </w:pPr>
            <w:r w:rsidRPr="009309BB">
              <w:rPr>
                <w:rFonts w:asciiTheme="minorHAnsi" w:hAnsiTheme="minorHAnsi"/>
              </w:rPr>
              <w:t>17th National Survey/</w:t>
            </w:r>
          </w:p>
          <w:p w:rsidRPr="009309BB" w:rsidR="003B365A" w:rsidP="00674F33" w:rsidRDefault="003B365A" w14:paraId="35FFF922" w14:textId="2694EA9A">
            <w:pPr>
              <w:pStyle w:val="SL-FlLftSgl"/>
              <w:jc w:val="left"/>
              <w:rPr>
                <w:rFonts w:asciiTheme="minorHAnsi" w:hAnsiTheme="minorHAnsi"/>
              </w:rPr>
            </w:pPr>
            <w:r w:rsidRPr="009309BB">
              <w:rPr>
                <w:rFonts w:asciiTheme="minorHAnsi" w:hAnsiTheme="minorHAnsi"/>
              </w:rPr>
              <w:t xml:space="preserve">Data Collection </w:t>
            </w:r>
          </w:p>
        </w:tc>
        <w:tc>
          <w:tcPr>
            <w:tcW w:w="3762" w:type="dxa"/>
          </w:tcPr>
          <w:p w:rsidRPr="009309BB" w:rsidR="003B365A" w:rsidP="003B365A" w:rsidRDefault="003B365A" w14:paraId="38056CBC" w14:textId="260EE72D">
            <w:pPr>
              <w:pStyle w:val="SL-FlLftSgl"/>
              <w:jc w:val="left"/>
            </w:pPr>
            <w:r w:rsidRPr="009309BB">
              <w:rPr>
                <w:rFonts w:ascii="Calibri" w:hAnsi="Calibri"/>
              </w:rPr>
              <w:t>Deliver data to ACL</w:t>
            </w:r>
          </w:p>
        </w:tc>
        <w:tc>
          <w:tcPr>
            <w:tcW w:w="3107" w:type="dxa"/>
          </w:tcPr>
          <w:p w:rsidRPr="009309BB" w:rsidR="003B365A" w:rsidP="003B365A" w:rsidRDefault="003B365A" w14:paraId="43294AE7" w14:textId="77777777">
            <w:pPr>
              <w:pStyle w:val="SL-FlLftSgl"/>
              <w:jc w:val="left"/>
              <w:rPr>
                <w:rFonts w:asciiTheme="minorHAnsi" w:hAnsiTheme="minorHAnsi"/>
              </w:rPr>
            </w:pPr>
            <w:r w:rsidRPr="009309BB">
              <w:rPr>
                <w:rFonts w:asciiTheme="minorHAnsi" w:hAnsiTheme="minorHAnsi"/>
              </w:rPr>
              <w:t>33 months after OMB clearance</w:t>
            </w:r>
          </w:p>
        </w:tc>
      </w:tr>
    </w:tbl>
    <w:p w:rsidR="004E7BE5" w:rsidP="004E7BE5" w:rsidRDefault="004E7BE5" w14:paraId="15B1BF7C" w14:textId="77777777">
      <w:pPr>
        <w:pStyle w:val="SL-FlLftSgl"/>
        <w:jc w:val="left"/>
      </w:pPr>
    </w:p>
    <w:p w:rsidRPr="00BC34D3" w:rsidR="004E7BE5" w:rsidP="00B0175C" w:rsidRDefault="004E7BE5" w14:paraId="5F0BC226" w14:textId="1F37A81E">
      <w:pPr>
        <w:pStyle w:val="Heading1"/>
        <w:keepNext w:val="0"/>
        <w:keepLines/>
        <w:ind w:left="0" w:firstLine="0"/>
        <w:jc w:val="left"/>
        <w:rPr>
          <w:rFonts w:ascii="Franklin Gothic Medium" w:hAnsi="Franklin Gothic Medium"/>
          <w:color w:val="17365D"/>
          <w:sz w:val="32"/>
          <w:szCs w:val="32"/>
        </w:rPr>
      </w:pPr>
      <w:bookmarkStart w:name="_Toc461936347" w:id="19"/>
      <w:r w:rsidRPr="00BC34D3">
        <w:rPr>
          <w:rFonts w:ascii="Franklin Gothic Medium" w:hAnsi="Franklin Gothic Medium"/>
          <w:color w:val="17365D"/>
          <w:sz w:val="32"/>
          <w:szCs w:val="32"/>
        </w:rPr>
        <w:t>A.17</w:t>
      </w:r>
      <w:r w:rsidRPr="00BC34D3">
        <w:rPr>
          <w:rFonts w:ascii="Franklin Gothic Medium" w:hAnsi="Franklin Gothic Medium"/>
          <w:color w:val="17365D"/>
          <w:sz w:val="32"/>
          <w:szCs w:val="32"/>
        </w:rPr>
        <w:tab/>
      </w:r>
      <w:bookmarkEnd w:id="19"/>
      <w:r w:rsidRPr="00BC34D3">
        <w:rPr>
          <w:rFonts w:ascii="Franklin Gothic Medium" w:hAnsi="Franklin Gothic Medium"/>
          <w:color w:val="17365D"/>
          <w:sz w:val="32"/>
          <w:szCs w:val="32"/>
        </w:rPr>
        <w:t>Reason(s) Display of OMB Expiration Date is Inappropriate</w:t>
      </w:r>
    </w:p>
    <w:p w:rsidRPr="007400A1" w:rsidR="004E7BE5" w:rsidP="004E7BE5" w:rsidRDefault="004E7BE5" w14:paraId="61241E4B" w14:textId="77777777">
      <w:pPr>
        <w:pStyle w:val="SL-FlLftSgl"/>
        <w:jc w:val="left"/>
        <w:rPr>
          <w:szCs w:val="22"/>
        </w:rPr>
      </w:pPr>
      <w:r w:rsidRPr="007400A1">
        <w:rPr>
          <w:szCs w:val="22"/>
        </w:rPr>
        <w:t>A</w:t>
      </w:r>
      <w:r w:rsidR="00D358C8">
        <w:rPr>
          <w:szCs w:val="22"/>
        </w:rPr>
        <w:t>CL</w:t>
      </w:r>
      <w:r w:rsidR="00074184">
        <w:rPr>
          <w:szCs w:val="22"/>
        </w:rPr>
        <w:t>/AoA</w:t>
      </w:r>
      <w:r w:rsidRPr="007400A1">
        <w:rPr>
          <w:szCs w:val="22"/>
        </w:rPr>
        <w:t xml:space="preserve"> is not seeking an exemption from displaying the expiration date of OMB approval.</w:t>
      </w:r>
    </w:p>
    <w:p w:rsidR="004E7BE5" w:rsidP="004E7BE5" w:rsidRDefault="004E7BE5" w14:paraId="41AB1211" w14:textId="77777777">
      <w:pPr>
        <w:pStyle w:val="SL-FlLftSgl"/>
        <w:jc w:val="left"/>
      </w:pPr>
    </w:p>
    <w:p w:rsidR="004E7BE5" w:rsidP="004E7BE5" w:rsidRDefault="004E7BE5" w14:paraId="5AE0E274" w14:textId="77777777">
      <w:pPr>
        <w:pStyle w:val="SL-FlLftSgl"/>
        <w:jc w:val="left"/>
      </w:pPr>
    </w:p>
    <w:p w:rsidRPr="00BC34D3" w:rsidR="004E7BE5" w:rsidP="004E7BE5" w:rsidRDefault="004E7BE5" w14:paraId="005C528A" w14:textId="77777777">
      <w:pPr>
        <w:pStyle w:val="Heading1"/>
        <w:keepNext w:val="0"/>
        <w:keepLines/>
        <w:jc w:val="left"/>
        <w:rPr>
          <w:rFonts w:ascii="Franklin Gothic Medium" w:hAnsi="Franklin Gothic Medium"/>
          <w:color w:val="17365D"/>
          <w:sz w:val="32"/>
          <w:szCs w:val="32"/>
        </w:rPr>
      </w:pPr>
      <w:bookmarkStart w:name="_Toc461936348" w:id="20"/>
      <w:r w:rsidRPr="00BC34D3">
        <w:rPr>
          <w:rFonts w:ascii="Franklin Gothic Medium" w:hAnsi="Franklin Gothic Medium"/>
          <w:color w:val="17365D"/>
          <w:sz w:val="32"/>
          <w:szCs w:val="32"/>
        </w:rPr>
        <w:t>A.18</w:t>
      </w:r>
      <w:r w:rsidRPr="00BC34D3">
        <w:rPr>
          <w:rFonts w:ascii="Franklin Gothic Medium" w:hAnsi="Franklin Gothic Medium"/>
          <w:color w:val="17365D"/>
          <w:sz w:val="32"/>
          <w:szCs w:val="32"/>
        </w:rPr>
        <w:tab/>
      </w:r>
      <w:bookmarkEnd w:id="20"/>
      <w:r w:rsidRPr="00BC34D3">
        <w:rPr>
          <w:rFonts w:ascii="Franklin Gothic Medium" w:hAnsi="Franklin Gothic Medium"/>
          <w:color w:val="17365D"/>
          <w:sz w:val="32"/>
          <w:szCs w:val="32"/>
        </w:rPr>
        <w:t>Exceptions to Certification for Paperwork Reduction Act Submissions</w:t>
      </w:r>
    </w:p>
    <w:p w:rsidR="00A9356F" w:rsidP="002D5D8C" w:rsidRDefault="004E7BE5" w14:paraId="223436C5" w14:textId="3B5A30C0">
      <w:pPr>
        <w:spacing w:line="240" w:lineRule="auto"/>
        <w:jc w:val="left"/>
        <w:rPr>
          <w:rFonts w:ascii="Arial" w:hAnsi="Arial" w:cs="Arial"/>
          <w:b/>
          <w:szCs w:val="22"/>
        </w:rPr>
        <w:sectPr w:rsidR="00A9356F" w:rsidSect="006D321C">
          <w:footerReference w:type="default" r:id="rId12"/>
          <w:pgSz w:w="12240" w:h="15840" w:code="1"/>
          <w:pgMar w:top="1728" w:right="1714" w:bottom="1728" w:left="1166" w:header="720" w:footer="576" w:gutter="0"/>
          <w:pgNumType w:start="1"/>
          <w:cols w:space="720"/>
          <w:noEndnote/>
        </w:sectPr>
      </w:pPr>
      <w:r w:rsidRPr="007400A1">
        <w:rPr>
          <w:szCs w:val="22"/>
        </w:rPr>
        <w:t>A</w:t>
      </w:r>
      <w:r w:rsidR="00D358C8">
        <w:rPr>
          <w:szCs w:val="22"/>
        </w:rPr>
        <w:t>CL</w:t>
      </w:r>
      <w:r w:rsidR="00074184">
        <w:rPr>
          <w:szCs w:val="22"/>
        </w:rPr>
        <w:t>/AoA</w:t>
      </w:r>
      <w:r w:rsidRPr="007400A1">
        <w:rPr>
          <w:szCs w:val="22"/>
        </w:rPr>
        <w:t xml:space="preserve"> is not requesting any exceptions from OMB Form 83-I.</w:t>
      </w:r>
    </w:p>
    <w:p w:rsidRPr="00B0175C" w:rsidR="00E95811" w:rsidP="00E95811" w:rsidRDefault="00E95811" w14:paraId="052608C4" w14:textId="77777777">
      <w:pPr>
        <w:pStyle w:val="Heading1"/>
        <w:jc w:val="left"/>
      </w:pPr>
      <w:r w:rsidRPr="00122599">
        <w:rPr>
          <w:rFonts w:ascii="Franklin Gothic Medium" w:hAnsi="Franklin Gothic Medium"/>
          <w:b w:val="0"/>
          <w:color w:val="FFFFFF" w:themeColor="background1"/>
          <w:sz w:val="72"/>
          <w:szCs w:val="72"/>
          <w:bdr w:val="single" w:color="auto" w:sz="4" w:space="0"/>
          <w:shd w:val="pct12" w:color="auto" w:fill="1F497D"/>
        </w:rPr>
        <w:lastRenderedPageBreak/>
        <w:t>B</w:t>
      </w:r>
      <w:r w:rsidRPr="005E0321">
        <w:rPr>
          <w:b w:val="0"/>
          <w:color w:val="1F497D"/>
          <w:sz w:val="24"/>
          <w:szCs w:val="24"/>
        </w:rPr>
        <w:t xml:space="preserve">    </w:t>
      </w:r>
      <w:r w:rsidRPr="00B0175C">
        <w:rPr>
          <w:rFonts w:ascii="Franklin Gothic Medium" w:hAnsi="Franklin Gothic Medium"/>
          <w:color w:val="17365D"/>
          <w:sz w:val="40"/>
          <w:szCs w:val="40"/>
        </w:rPr>
        <w:t>Collection of Information Employing Statistical Methods</w:t>
      </w:r>
      <w:r w:rsidRPr="00B0175C">
        <w:t xml:space="preserve"> </w:t>
      </w:r>
      <w:bookmarkStart w:name="_Toc461936350" w:id="21"/>
    </w:p>
    <w:p w:rsidR="00E95811" w:rsidP="00E95811" w:rsidRDefault="00E95811" w14:paraId="1F2AF97B" w14:textId="77777777">
      <w:pPr>
        <w:pStyle w:val="Heading1"/>
        <w:jc w:val="left"/>
        <w:rPr>
          <w:rFonts w:ascii="Franklin Gothic Medium" w:hAnsi="Franklin Gothic Medium"/>
          <w:color w:val="17365D" w:themeColor="text2" w:themeShade="BF"/>
          <w:szCs w:val="32"/>
        </w:rPr>
      </w:pPr>
    </w:p>
    <w:p w:rsidRPr="006A348F" w:rsidR="00E95811" w:rsidP="00E95811" w:rsidRDefault="00FB61A4" w14:paraId="4EB1B8F4" w14:textId="69CDE481">
      <w:pPr>
        <w:pStyle w:val="Heading1"/>
        <w:jc w:val="left"/>
        <w:rPr>
          <w:rFonts w:ascii="Franklin Gothic Medium" w:hAnsi="Franklin Gothic Medium"/>
          <w:color w:val="17365D" w:themeColor="text2" w:themeShade="BF"/>
          <w:sz w:val="32"/>
          <w:szCs w:val="32"/>
        </w:rPr>
      </w:pPr>
      <w:r>
        <w:rPr>
          <w:rFonts w:ascii="Franklin Gothic Medium" w:hAnsi="Franklin Gothic Medium"/>
          <w:color w:val="17365D" w:themeColor="text2" w:themeShade="BF"/>
          <w:sz w:val="32"/>
          <w:szCs w:val="32"/>
        </w:rPr>
        <w:t>B.1</w:t>
      </w:r>
      <w:r>
        <w:rPr>
          <w:rFonts w:ascii="Franklin Gothic Medium" w:hAnsi="Franklin Gothic Medium"/>
          <w:color w:val="17365D" w:themeColor="text2" w:themeShade="BF"/>
          <w:sz w:val="32"/>
          <w:szCs w:val="32"/>
        </w:rPr>
        <w:tab/>
      </w:r>
      <w:r>
        <w:rPr>
          <w:rFonts w:ascii="Franklin Gothic Medium" w:hAnsi="Franklin Gothic Medium"/>
          <w:color w:val="17365D" w:themeColor="text2" w:themeShade="BF"/>
          <w:sz w:val="32"/>
          <w:szCs w:val="32"/>
        </w:rPr>
        <w:tab/>
      </w:r>
      <w:r w:rsidRPr="006A348F" w:rsidR="00E95811">
        <w:rPr>
          <w:rFonts w:ascii="Franklin Gothic Medium" w:hAnsi="Franklin Gothic Medium"/>
          <w:color w:val="17365D" w:themeColor="text2" w:themeShade="BF"/>
          <w:sz w:val="32"/>
          <w:szCs w:val="32"/>
        </w:rPr>
        <w:t>Respondent Universe</w:t>
      </w:r>
      <w:bookmarkEnd w:id="21"/>
      <w:r w:rsidRPr="006A348F" w:rsidR="00E95811">
        <w:rPr>
          <w:rFonts w:ascii="Franklin Gothic Medium" w:hAnsi="Franklin Gothic Medium"/>
          <w:color w:val="17365D" w:themeColor="text2" w:themeShade="BF"/>
          <w:sz w:val="32"/>
          <w:szCs w:val="32"/>
        </w:rPr>
        <w:t xml:space="preserve"> and Sampling Methods</w:t>
      </w:r>
    </w:p>
    <w:p w:rsidRPr="000F7CBE" w:rsidR="00E95811" w:rsidP="00E95811" w:rsidRDefault="00E95811" w14:paraId="1311373E" w14:textId="77777777">
      <w:pPr>
        <w:pStyle w:val="SL-FlLftSgl"/>
        <w:jc w:val="left"/>
        <w:rPr>
          <w:b/>
          <w:sz w:val="24"/>
          <w:szCs w:val="24"/>
        </w:rPr>
      </w:pPr>
      <w:r w:rsidRPr="000F7CBE">
        <w:rPr>
          <w:b/>
          <w:sz w:val="24"/>
          <w:szCs w:val="24"/>
        </w:rPr>
        <w:t>Introduction</w:t>
      </w:r>
    </w:p>
    <w:p w:rsidR="00E95811" w:rsidP="00E95811" w:rsidRDefault="00E95811" w14:paraId="16810DC2" w14:textId="77777777">
      <w:pPr>
        <w:pStyle w:val="SL-FlLftSgl"/>
        <w:jc w:val="left"/>
      </w:pPr>
    </w:p>
    <w:p w:rsidRPr="007400A1" w:rsidR="00E95811" w:rsidP="00E95811" w:rsidRDefault="00E95811" w14:paraId="6FF982D9" w14:textId="11C4864D">
      <w:pPr>
        <w:pStyle w:val="SL-FlLftSgl"/>
        <w:jc w:val="left"/>
        <w:rPr>
          <w:szCs w:val="22"/>
        </w:rPr>
      </w:pPr>
      <w:r w:rsidRPr="007400A1">
        <w:rPr>
          <w:szCs w:val="22"/>
        </w:rPr>
        <w:t xml:space="preserve">This Paperwork Reduction Act (PRA) request is to conduct a </w:t>
      </w:r>
      <w:r w:rsidR="00264EB5">
        <w:rPr>
          <w:szCs w:val="22"/>
        </w:rPr>
        <w:t>cross-sectional</w:t>
      </w:r>
      <w:r w:rsidRPr="007400A1">
        <w:rPr>
          <w:szCs w:val="22"/>
        </w:rPr>
        <w:t xml:space="preserve"> survey of OAA service recipients</w:t>
      </w:r>
      <w:r>
        <w:rPr>
          <w:szCs w:val="22"/>
        </w:rPr>
        <w:t xml:space="preserve">. </w:t>
      </w:r>
    </w:p>
    <w:p w:rsidRPr="007400A1" w:rsidR="00E95811" w:rsidP="00E95811" w:rsidRDefault="00E95811" w14:paraId="521DA196" w14:textId="77777777">
      <w:pPr>
        <w:pStyle w:val="SL-FlLftSgl"/>
        <w:jc w:val="left"/>
        <w:rPr>
          <w:szCs w:val="22"/>
        </w:rPr>
      </w:pPr>
    </w:p>
    <w:p w:rsidRPr="007400A1" w:rsidR="00E95811" w:rsidP="00E95811" w:rsidRDefault="00DE4193" w14:paraId="55CCE0EA" w14:textId="6162252D">
      <w:pPr>
        <w:pStyle w:val="SL-FlLftSgl"/>
        <w:jc w:val="left"/>
        <w:rPr>
          <w:szCs w:val="22"/>
        </w:rPr>
      </w:pPr>
      <w:r>
        <w:rPr>
          <w:szCs w:val="22"/>
        </w:rPr>
        <w:t>W</w:t>
      </w:r>
      <w:r w:rsidRPr="007400A1" w:rsidR="00E95811">
        <w:rPr>
          <w:szCs w:val="22"/>
        </w:rPr>
        <w:t xml:space="preserve">e will employ a two-stage sample design for the </w:t>
      </w:r>
      <w:r w:rsidR="00E95811">
        <w:rPr>
          <w:szCs w:val="22"/>
        </w:rPr>
        <w:t>1</w:t>
      </w:r>
      <w:r w:rsidR="00264EB5">
        <w:rPr>
          <w:szCs w:val="22"/>
        </w:rPr>
        <w:t>5</w:t>
      </w:r>
      <w:r w:rsidR="00E95811">
        <w:rPr>
          <w:szCs w:val="22"/>
        </w:rPr>
        <w:t>th</w:t>
      </w:r>
      <w:r w:rsidRPr="007400A1" w:rsidR="00E95811">
        <w:rPr>
          <w:szCs w:val="22"/>
        </w:rPr>
        <w:t xml:space="preserve"> National Survey of Older Americans Act </w:t>
      </w:r>
      <w:r w:rsidR="00E95811">
        <w:rPr>
          <w:szCs w:val="22"/>
        </w:rPr>
        <w:t xml:space="preserve">Participants (NSOAAP). </w:t>
      </w:r>
      <w:r w:rsidRPr="007400A1" w:rsidR="00E95811">
        <w:rPr>
          <w:szCs w:val="22"/>
        </w:rPr>
        <w:t>The following sections discuss the respondent universe and sampling methods.</w:t>
      </w:r>
    </w:p>
    <w:p w:rsidR="00E95811" w:rsidP="00E95811" w:rsidRDefault="00E95811" w14:paraId="2FDD60A7" w14:textId="77777777">
      <w:pPr>
        <w:pStyle w:val="SL-FlLftSgl"/>
        <w:jc w:val="left"/>
      </w:pPr>
    </w:p>
    <w:p w:rsidRPr="000F7CBE" w:rsidR="00E95811" w:rsidP="00E95811" w:rsidRDefault="00E95811" w14:paraId="5AD1B2DE" w14:textId="77777777">
      <w:pPr>
        <w:pStyle w:val="SL-FlLftSgl"/>
        <w:jc w:val="left"/>
        <w:rPr>
          <w:b/>
          <w:sz w:val="24"/>
          <w:szCs w:val="24"/>
        </w:rPr>
      </w:pPr>
      <w:r w:rsidRPr="000F7CBE">
        <w:rPr>
          <w:b/>
          <w:sz w:val="24"/>
          <w:szCs w:val="24"/>
        </w:rPr>
        <w:t>Baseline Respondent Universe</w:t>
      </w:r>
    </w:p>
    <w:p w:rsidRPr="00753586" w:rsidR="00E95811" w:rsidP="00E95811" w:rsidRDefault="00E95811" w14:paraId="39C7E470" w14:textId="77777777">
      <w:pPr>
        <w:pStyle w:val="SL-FlLftSgl"/>
        <w:jc w:val="left"/>
        <w:rPr>
          <w:b/>
        </w:rPr>
      </w:pPr>
    </w:p>
    <w:p w:rsidRPr="00F06122" w:rsidR="00864924" w:rsidP="00E95811" w:rsidRDefault="00E95811" w14:paraId="79F81EB4" w14:textId="2FB2EE4A">
      <w:pPr>
        <w:pStyle w:val="SL-FlLftSgl"/>
        <w:jc w:val="left"/>
        <w:rPr>
          <w:szCs w:val="22"/>
        </w:rPr>
      </w:pPr>
      <w:r w:rsidRPr="00097938">
        <w:rPr>
          <w:szCs w:val="22"/>
        </w:rPr>
        <w:t>For the first stage of the sample design, we will select a probability sample of AAAs proportional to size (</w:t>
      </w:r>
      <w:smartTag w:uri="urn:schemas-microsoft-com:office:smarttags" w:element="stockticker">
        <w:r w:rsidRPr="00097938">
          <w:rPr>
            <w:szCs w:val="22"/>
          </w:rPr>
          <w:t>PPS</w:t>
        </w:r>
      </w:smartTag>
      <w:r w:rsidRPr="00097938">
        <w:rPr>
          <w:szCs w:val="22"/>
        </w:rPr>
        <w:t xml:space="preserve">) of the total </w:t>
      </w:r>
      <w:r w:rsidRPr="00097938" w:rsidR="00864924">
        <w:rPr>
          <w:szCs w:val="22"/>
        </w:rPr>
        <w:t>number of clients</w:t>
      </w:r>
      <w:r w:rsidR="001B319F">
        <w:rPr>
          <w:szCs w:val="22"/>
        </w:rPr>
        <w:t xml:space="preserve"> </w:t>
      </w:r>
      <w:r w:rsidRPr="00097938" w:rsidR="00AE3E05">
        <w:rPr>
          <w:szCs w:val="22"/>
        </w:rPr>
        <w:t>(actual and predicted</w:t>
      </w:r>
      <w:r w:rsidRPr="00F06122" w:rsidR="00AE3E05">
        <w:rPr>
          <w:szCs w:val="22"/>
        </w:rPr>
        <w:t>)</w:t>
      </w:r>
      <w:r w:rsidRPr="00F06122" w:rsidR="00864924">
        <w:rPr>
          <w:szCs w:val="22"/>
        </w:rPr>
        <w:t xml:space="preserve"> in each stratum, where stratum is defined by Census Division</w:t>
      </w:r>
      <w:r w:rsidRPr="00F06122">
        <w:rPr>
          <w:szCs w:val="22"/>
        </w:rPr>
        <w:t xml:space="preserve">. </w:t>
      </w:r>
      <w:r w:rsidRPr="00F06122" w:rsidR="00864924">
        <w:rPr>
          <w:szCs w:val="22"/>
        </w:rPr>
        <w:t>The Census Divisions are as follows:</w:t>
      </w:r>
    </w:p>
    <w:p w:rsidR="00864924" w:rsidP="00E95811" w:rsidRDefault="00864924" w14:paraId="61EDB8BF" w14:textId="77777777">
      <w:pPr>
        <w:pStyle w:val="SL-FlLftSgl"/>
        <w:jc w:val="left"/>
        <w:rPr>
          <w:szCs w:val="22"/>
          <w:highlight w:val="cyan"/>
        </w:rPr>
      </w:pPr>
    </w:p>
    <w:tbl>
      <w:tblPr>
        <w:tblW w:w="2762" w:type="dxa"/>
        <w:tblInd w:w="2611" w:type="dxa"/>
        <w:tblLook w:val="04A0" w:firstRow="1" w:lastRow="0" w:firstColumn="1" w:lastColumn="0" w:noHBand="0" w:noVBand="1"/>
      </w:tblPr>
      <w:tblGrid>
        <w:gridCol w:w="2762"/>
      </w:tblGrid>
      <w:tr w:rsidRPr="00C91398" w:rsidR="00864924" w:rsidTr="00F06122" w14:paraId="32ED13A3" w14:textId="77777777">
        <w:trPr>
          <w:trHeight w:val="900"/>
        </w:trPr>
        <w:tc>
          <w:tcPr>
            <w:tcW w:w="27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1398" w:rsidR="00864924" w:rsidP="00864924" w:rsidRDefault="00864924" w14:paraId="38CD3167" w14:textId="77777777">
            <w:pPr>
              <w:spacing w:line="240" w:lineRule="auto"/>
              <w:jc w:val="center"/>
              <w:rPr>
                <w:color w:val="000000"/>
                <w:szCs w:val="22"/>
              </w:rPr>
            </w:pPr>
            <w:r>
              <w:rPr>
                <w:color w:val="000000"/>
                <w:szCs w:val="22"/>
              </w:rPr>
              <w:t>Census Division</w:t>
            </w:r>
          </w:p>
        </w:tc>
      </w:tr>
      <w:tr w:rsidRPr="00C91398" w:rsidR="00864924" w:rsidTr="00F06122" w14:paraId="2D074686" w14:textId="77777777">
        <w:trPr>
          <w:trHeight w:val="300"/>
        </w:trPr>
        <w:tc>
          <w:tcPr>
            <w:tcW w:w="2762" w:type="dxa"/>
            <w:tcBorders>
              <w:top w:val="nil"/>
              <w:left w:val="single" w:color="auto" w:sz="4" w:space="0"/>
              <w:bottom w:val="single" w:color="auto" w:sz="4" w:space="0"/>
              <w:right w:val="single" w:color="auto" w:sz="4" w:space="0"/>
            </w:tcBorders>
            <w:shd w:val="clear" w:color="auto" w:fill="auto"/>
            <w:hideMark/>
          </w:tcPr>
          <w:p w:rsidRPr="00C91398" w:rsidR="00864924" w:rsidP="00864924" w:rsidRDefault="00864924" w14:paraId="4C17182D" w14:textId="77777777">
            <w:pPr>
              <w:spacing w:line="240" w:lineRule="auto"/>
              <w:jc w:val="left"/>
              <w:rPr>
                <w:color w:val="000000"/>
                <w:szCs w:val="22"/>
              </w:rPr>
            </w:pPr>
            <w:r>
              <w:t xml:space="preserve">   </w:t>
            </w:r>
            <w:r w:rsidRPr="00AD5EF2">
              <w:t>1</w:t>
            </w:r>
            <w:r>
              <w:t xml:space="preserve">  (New England)</w:t>
            </w:r>
          </w:p>
        </w:tc>
      </w:tr>
      <w:tr w:rsidRPr="00C91398" w:rsidR="00864924" w:rsidTr="00F06122" w14:paraId="491A96AA" w14:textId="77777777">
        <w:trPr>
          <w:trHeight w:val="300"/>
        </w:trPr>
        <w:tc>
          <w:tcPr>
            <w:tcW w:w="2762" w:type="dxa"/>
            <w:tcBorders>
              <w:top w:val="nil"/>
              <w:left w:val="single" w:color="auto" w:sz="4" w:space="0"/>
              <w:bottom w:val="single" w:color="auto" w:sz="4" w:space="0"/>
              <w:right w:val="single" w:color="auto" w:sz="4" w:space="0"/>
            </w:tcBorders>
            <w:shd w:val="clear" w:color="auto" w:fill="auto"/>
            <w:hideMark/>
          </w:tcPr>
          <w:p w:rsidRPr="00C91398" w:rsidR="00864924" w:rsidP="00864924" w:rsidRDefault="00864924" w14:paraId="0B2943CC" w14:textId="77777777">
            <w:pPr>
              <w:spacing w:line="240" w:lineRule="auto"/>
              <w:jc w:val="left"/>
              <w:rPr>
                <w:color w:val="000000"/>
                <w:szCs w:val="22"/>
              </w:rPr>
            </w:pPr>
            <w:r w:rsidRPr="00AD5EF2">
              <w:t xml:space="preserve">   2</w:t>
            </w:r>
            <w:r>
              <w:t xml:space="preserve">  (Middle Atlantic)</w:t>
            </w:r>
          </w:p>
        </w:tc>
      </w:tr>
      <w:tr w:rsidRPr="00C91398" w:rsidR="00864924" w:rsidTr="00F06122" w14:paraId="1B838F4A" w14:textId="77777777">
        <w:trPr>
          <w:trHeight w:val="300"/>
        </w:trPr>
        <w:tc>
          <w:tcPr>
            <w:tcW w:w="2762" w:type="dxa"/>
            <w:tcBorders>
              <w:top w:val="nil"/>
              <w:left w:val="single" w:color="auto" w:sz="4" w:space="0"/>
              <w:bottom w:val="single" w:color="auto" w:sz="4" w:space="0"/>
              <w:right w:val="single" w:color="auto" w:sz="4" w:space="0"/>
            </w:tcBorders>
            <w:shd w:val="clear" w:color="auto" w:fill="auto"/>
            <w:hideMark/>
          </w:tcPr>
          <w:p w:rsidRPr="00C91398" w:rsidR="00864924" w:rsidP="00864924" w:rsidRDefault="00864924" w14:paraId="1C12E262" w14:textId="77777777">
            <w:pPr>
              <w:spacing w:line="240" w:lineRule="auto"/>
              <w:jc w:val="left"/>
              <w:rPr>
                <w:color w:val="000000"/>
                <w:szCs w:val="22"/>
              </w:rPr>
            </w:pPr>
            <w:r w:rsidRPr="00AD5EF2">
              <w:t xml:space="preserve">   3</w:t>
            </w:r>
            <w:r>
              <w:t xml:space="preserve">  (</w:t>
            </w:r>
            <w:r w:rsidRPr="00AD5EF2">
              <w:t>East North Central</w:t>
            </w:r>
            <w:r>
              <w:t>)</w:t>
            </w:r>
          </w:p>
        </w:tc>
      </w:tr>
      <w:tr w:rsidRPr="00C91398" w:rsidR="00864924" w:rsidTr="00F06122" w14:paraId="662C0902" w14:textId="77777777">
        <w:trPr>
          <w:trHeight w:val="300"/>
        </w:trPr>
        <w:tc>
          <w:tcPr>
            <w:tcW w:w="2762" w:type="dxa"/>
            <w:tcBorders>
              <w:top w:val="nil"/>
              <w:left w:val="single" w:color="auto" w:sz="4" w:space="0"/>
              <w:bottom w:val="single" w:color="auto" w:sz="4" w:space="0"/>
              <w:right w:val="single" w:color="auto" w:sz="4" w:space="0"/>
            </w:tcBorders>
            <w:shd w:val="clear" w:color="auto" w:fill="auto"/>
            <w:hideMark/>
          </w:tcPr>
          <w:p w:rsidRPr="00C91398" w:rsidR="00864924" w:rsidP="00864924" w:rsidRDefault="00864924" w14:paraId="211CBA83" w14:textId="77777777">
            <w:pPr>
              <w:spacing w:line="240" w:lineRule="auto"/>
              <w:jc w:val="left"/>
              <w:rPr>
                <w:color w:val="000000"/>
                <w:szCs w:val="22"/>
              </w:rPr>
            </w:pPr>
            <w:r w:rsidRPr="00AD5EF2">
              <w:t xml:space="preserve">   4</w:t>
            </w:r>
            <w:r>
              <w:t xml:space="preserve"> </w:t>
            </w:r>
            <w:r w:rsidRPr="00AD5EF2">
              <w:t xml:space="preserve"> </w:t>
            </w:r>
            <w:r>
              <w:t>(</w:t>
            </w:r>
            <w:r w:rsidRPr="00AD5EF2">
              <w:t>West</w:t>
            </w:r>
            <w:r>
              <w:t xml:space="preserve"> North Central)</w:t>
            </w:r>
          </w:p>
        </w:tc>
      </w:tr>
      <w:tr w:rsidR="00864924" w:rsidTr="00F06122" w14:paraId="552CE6B1" w14:textId="77777777">
        <w:trPr>
          <w:trHeight w:val="300"/>
        </w:trPr>
        <w:tc>
          <w:tcPr>
            <w:tcW w:w="2762" w:type="dxa"/>
            <w:tcBorders>
              <w:top w:val="nil"/>
              <w:left w:val="single" w:color="auto" w:sz="4" w:space="0"/>
              <w:bottom w:val="single" w:color="auto" w:sz="4" w:space="0"/>
              <w:right w:val="single" w:color="auto" w:sz="4" w:space="0"/>
            </w:tcBorders>
            <w:shd w:val="clear" w:color="auto" w:fill="auto"/>
          </w:tcPr>
          <w:p w:rsidR="00864924" w:rsidP="00864924" w:rsidRDefault="00864924" w14:paraId="42626E43" w14:textId="77777777">
            <w:pPr>
              <w:spacing w:line="240" w:lineRule="auto"/>
              <w:jc w:val="left"/>
              <w:rPr>
                <w:color w:val="000000"/>
                <w:szCs w:val="22"/>
              </w:rPr>
            </w:pPr>
            <w:r w:rsidRPr="00AD5EF2">
              <w:t xml:space="preserve">   5</w:t>
            </w:r>
            <w:r>
              <w:t xml:space="preserve">  (</w:t>
            </w:r>
            <w:r w:rsidRPr="00AD5EF2">
              <w:t>South Atlantic</w:t>
            </w:r>
            <w:r>
              <w:t>)</w:t>
            </w:r>
          </w:p>
        </w:tc>
      </w:tr>
      <w:tr w:rsidR="00864924" w:rsidTr="00F06122" w14:paraId="7160E4BB" w14:textId="77777777">
        <w:trPr>
          <w:trHeight w:val="300"/>
        </w:trPr>
        <w:tc>
          <w:tcPr>
            <w:tcW w:w="2762" w:type="dxa"/>
            <w:tcBorders>
              <w:top w:val="nil"/>
              <w:left w:val="single" w:color="auto" w:sz="4" w:space="0"/>
              <w:bottom w:val="single" w:color="auto" w:sz="4" w:space="0"/>
              <w:right w:val="single" w:color="auto" w:sz="4" w:space="0"/>
            </w:tcBorders>
            <w:shd w:val="clear" w:color="auto" w:fill="auto"/>
          </w:tcPr>
          <w:p w:rsidR="00864924" w:rsidP="00864924" w:rsidRDefault="00864924" w14:paraId="369AF2C9" w14:textId="77777777">
            <w:pPr>
              <w:spacing w:line="240" w:lineRule="auto"/>
              <w:jc w:val="left"/>
              <w:rPr>
                <w:color w:val="000000"/>
                <w:szCs w:val="22"/>
              </w:rPr>
            </w:pPr>
            <w:r w:rsidRPr="00AD5EF2">
              <w:t xml:space="preserve">   6</w:t>
            </w:r>
            <w:r>
              <w:t xml:space="preserve">  (</w:t>
            </w:r>
            <w:r w:rsidRPr="00AD5EF2">
              <w:t>East South</w:t>
            </w:r>
            <w:r>
              <w:t xml:space="preserve"> Central)</w:t>
            </w:r>
          </w:p>
        </w:tc>
      </w:tr>
      <w:tr w:rsidR="00864924" w:rsidTr="00F06122" w14:paraId="35676EF3" w14:textId="77777777">
        <w:trPr>
          <w:trHeight w:val="300"/>
        </w:trPr>
        <w:tc>
          <w:tcPr>
            <w:tcW w:w="2762" w:type="dxa"/>
            <w:tcBorders>
              <w:top w:val="nil"/>
              <w:left w:val="single" w:color="auto" w:sz="4" w:space="0"/>
              <w:bottom w:val="single" w:color="auto" w:sz="4" w:space="0"/>
              <w:right w:val="single" w:color="auto" w:sz="4" w:space="0"/>
            </w:tcBorders>
            <w:shd w:val="clear" w:color="auto" w:fill="auto"/>
          </w:tcPr>
          <w:p w:rsidR="00864924" w:rsidP="00864924" w:rsidRDefault="00864924" w14:paraId="2D33C05D" w14:textId="77777777">
            <w:pPr>
              <w:spacing w:line="240" w:lineRule="auto"/>
              <w:jc w:val="left"/>
              <w:rPr>
                <w:color w:val="000000"/>
                <w:szCs w:val="22"/>
              </w:rPr>
            </w:pPr>
            <w:r w:rsidRPr="00AD5EF2">
              <w:t xml:space="preserve">   7</w:t>
            </w:r>
            <w:r>
              <w:t xml:space="preserve">  (West South Central)</w:t>
            </w:r>
          </w:p>
        </w:tc>
      </w:tr>
      <w:tr w:rsidR="00864924" w:rsidTr="00F06122" w14:paraId="292F7A6D" w14:textId="77777777">
        <w:trPr>
          <w:trHeight w:val="300"/>
        </w:trPr>
        <w:tc>
          <w:tcPr>
            <w:tcW w:w="2762" w:type="dxa"/>
            <w:tcBorders>
              <w:top w:val="nil"/>
              <w:left w:val="single" w:color="auto" w:sz="4" w:space="0"/>
              <w:bottom w:val="single" w:color="auto" w:sz="4" w:space="0"/>
              <w:right w:val="single" w:color="auto" w:sz="4" w:space="0"/>
            </w:tcBorders>
            <w:shd w:val="clear" w:color="auto" w:fill="auto"/>
          </w:tcPr>
          <w:p w:rsidR="00864924" w:rsidP="00864924" w:rsidRDefault="00864924" w14:paraId="5C183ED6" w14:textId="77777777">
            <w:pPr>
              <w:spacing w:line="240" w:lineRule="auto"/>
              <w:jc w:val="left"/>
              <w:rPr>
                <w:color w:val="000000"/>
                <w:szCs w:val="22"/>
              </w:rPr>
            </w:pPr>
            <w:r>
              <w:t xml:space="preserve">    8  (Mountain)</w:t>
            </w:r>
          </w:p>
        </w:tc>
      </w:tr>
      <w:tr w:rsidR="00864924" w:rsidTr="00F06122" w14:paraId="2E8F8AF6" w14:textId="77777777">
        <w:trPr>
          <w:trHeight w:val="300"/>
        </w:trPr>
        <w:tc>
          <w:tcPr>
            <w:tcW w:w="2762" w:type="dxa"/>
            <w:tcBorders>
              <w:top w:val="nil"/>
              <w:left w:val="single" w:color="auto" w:sz="4" w:space="0"/>
              <w:bottom w:val="single" w:color="auto" w:sz="4" w:space="0"/>
              <w:right w:val="single" w:color="auto" w:sz="4" w:space="0"/>
            </w:tcBorders>
            <w:shd w:val="clear" w:color="auto" w:fill="auto"/>
            <w:vAlign w:val="center"/>
          </w:tcPr>
          <w:p w:rsidR="00864924" w:rsidP="00864924" w:rsidRDefault="00864924" w14:paraId="1D78638B" w14:textId="77777777">
            <w:pPr>
              <w:spacing w:line="240" w:lineRule="auto"/>
              <w:jc w:val="left"/>
              <w:rPr>
                <w:color w:val="000000"/>
                <w:szCs w:val="22"/>
              </w:rPr>
            </w:pPr>
            <w:r>
              <w:t xml:space="preserve">    </w:t>
            </w:r>
            <w:r w:rsidRPr="00BC2687">
              <w:t>9</w:t>
            </w:r>
            <w:r>
              <w:t xml:space="preserve">  (</w:t>
            </w:r>
            <w:r w:rsidRPr="00BC2687">
              <w:t>Pacific</w:t>
            </w:r>
            <w:r>
              <w:t>)</w:t>
            </w:r>
          </w:p>
        </w:tc>
      </w:tr>
    </w:tbl>
    <w:p w:rsidR="00864924" w:rsidP="00E95811" w:rsidRDefault="00864924" w14:paraId="7C6726F0" w14:textId="77777777">
      <w:pPr>
        <w:pStyle w:val="SL-FlLftSgl"/>
        <w:jc w:val="left"/>
        <w:rPr>
          <w:szCs w:val="22"/>
          <w:highlight w:val="cyan"/>
        </w:rPr>
      </w:pPr>
    </w:p>
    <w:p w:rsidR="0001295F" w:rsidP="00E95811" w:rsidRDefault="0001295F" w14:paraId="1DDC15D1" w14:textId="4444AE7A">
      <w:pPr>
        <w:pStyle w:val="SL-FlLftSgl"/>
        <w:jc w:val="left"/>
        <w:rPr>
          <w:szCs w:val="22"/>
          <w:highlight w:val="cyan"/>
        </w:rPr>
      </w:pPr>
    </w:p>
    <w:p w:rsidR="0001295F" w:rsidP="00E95811" w:rsidRDefault="0001295F" w14:paraId="19E66A85" w14:textId="57E6DBE1">
      <w:pPr>
        <w:pStyle w:val="SL-FlLftSgl"/>
        <w:jc w:val="left"/>
        <w:rPr>
          <w:sz w:val="24"/>
          <w:szCs w:val="24"/>
        </w:rPr>
      </w:pPr>
      <w:r>
        <w:rPr>
          <w:sz w:val="24"/>
          <w:szCs w:val="24"/>
        </w:rPr>
        <w:t>As a result of the 14</w:t>
      </w:r>
      <w:r w:rsidRPr="00F06122">
        <w:rPr>
          <w:sz w:val="24"/>
          <w:szCs w:val="24"/>
          <w:vertAlign w:val="superscript"/>
        </w:rPr>
        <w:t>th</w:t>
      </w:r>
      <w:r>
        <w:rPr>
          <w:sz w:val="24"/>
          <w:szCs w:val="24"/>
        </w:rPr>
        <w:t xml:space="preserve"> NSOAAP,</w:t>
      </w:r>
      <w:r w:rsidRPr="004E7C74">
        <w:rPr>
          <w:sz w:val="24"/>
          <w:szCs w:val="24"/>
        </w:rPr>
        <w:t xml:space="preserve"> client counts are available for 5</w:t>
      </w:r>
      <w:r>
        <w:rPr>
          <w:sz w:val="24"/>
          <w:szCs w:val="24"/>
        </w:rPr>
        <w:t>81</w:t>
      </w:r>
      <w:r w:rsidRPr="004E7C74">
        <w:rPr>
          <w:sz w:val="24"/>
          <w:szCs w:val="24"/>
        </w:rPr>
        <w:t xml:space="preserve"> out of the 62</w:t>
      </w:r>
      <w:r>
        <w:rPr>
          <w:sz w:val="24"/>
          <w:szCs w:val="24"/>
        </w:rPr>
        <w:t>8</w:t>
      </w:r>
      <w:r w:rsidRPr="004E7C74">
        <w:rPr>
          <w:sz w:val="24"/>
          <w:szCs w:val="24"/>
        </w:rPr>
        <w:t xml:space="preserve"> AAAs in the </w:t>
      </w:r>
      <w:r w:rsidR="00DE4193">
        <w:rPr>
          <w:sz w:val="24"/>
          <w:szCs w:val="24"/>
        </w:rPr>
        <w:t xml:space="preserve">sampling </w:t>
      </w:r>
      <w:r w:rsidRPr="004E7C74">
        <w:rPr>
          <w:sz w:val="24"/>
          <w:szCs w:val="24"/>
        </w:rPr>
        <w:t>frame, covering approximately 9</w:t>
      </w:r>
      <w:r>
        <w:rPr>
          <w:sz w:val="24"/>
          <w:szCs w:val="24"/>
        </w:rPr>
        <w:t>2.5</w:t>
      </w:r>
      <w:r w:rsidRPr="004E7C74">
        <w:rPr>
          <w:sz w:val="24"/>
          <w:szCs w:val="24"/>
        </w:rPr>
        <w:t xml:space="preserve">% of the AAAs.  </w:t>
      </w:r>
      <w:r>
        <w:rPr>
          <w:sz w:val="24"/>
          <w:szCs w:val="24"/>
        </w:rPr>
        <w:t xml:space="preserve">We were able to predict the total client counts for those AAAs for which we did not have prior data using regression modeling, where the square root of the AAA budget and Census Division were used as predictors.  </w:t>
      </w:r>
    </w:p>
    <w:p w:rsidR="0001295F" w:rsidP="00E95811" w:rsidRDefault="0001295F" w14:paraId="624E0790" w14:textId="1131F77A">
      <w:pPr>
        <w:pStyle w:val="SL-FlLftSgl"/>
        <w:jc w:val="left"/>
        <w:rPr>
          <w:szCs w:val="22"/>
          <w:highlight w:val="cyan"/>
        </w:rPr>
      </w:pPr>
    </w:p>
    <w:p w:rsidRPr="00F06122" w:rsidR="00E95811" w:rsidP="00E95811" w:rsidRDefault="00E95811" w14:paraId="449364D8" w14:textId="649C26C5">
      <w:pPr>
        <w:pStyle w:val="SL-FlLftSgl"/>
        <w:jc w:val="left"/>
        <w:rPr>
          <w:szCs w:val="22"/>
        </w:rPr>
      </w:pPr>
      <w:r w:rsidRPr="00F06122">
        <w:rPr>
          <w:szCs w:val="22"/>
        </w:rPr>
        <w:lastRenderedPageBreak/>
        <w:t>When selecting AAAs for the 1</w:t>
      </w:r>
      <w:r w:rsidRPr="00F06122" w:rsidR="005C77A7">
        <w:rPr>
          <w:szCs w:val="22"/>
        </w:rPr>
        <w:t>5</w:t>
      </w:r>
      <w:r w:rsidRPr="00F06122">
        <w:rPr>
          <w:szCs w:val="22"/>
        </w:rPr>
        <w:t xml:space="preserve">th National Survey, </w:t>
      </w:r>
      <w:r w:rsidRPr="00B431BA">
        <w:rPr>
          <w:szCs w:val="22"/>
        </w:rPr>
        <w:t>Westat will select a sample of AAAs large enough to recruit 3</w:t>
      </w:r>
      <w:r w:rsidRPr="00B431BA" w:rsidR="005C77A7">
        <w:rPr>
          <w:szCs w:val="22"/>
        </w:rPr>
        <w:t>5</w:t>
      </w:r>
      <w:r w:rsidRPr="00B431BA">
        <w:rPr>
          <w:szCs w:val="22"/>
        </w:rPr>
        <w:t>0 Area Agencies on Aging. The second stag</w:t>
      </w:r>
      <w:r w:rsidRPr="00F06122">
        <w:rPr>
          <w:szCs w:val="22"/>
        </w:rPr>
        <w:t>e is the selection of a random sample of service recipients by service within each sampled AAA, including all of the largest ones. In this way all service recipients will have a known probability of selection. A fixed number of service recipients will be selected within each service for a total of 6,</w:t>
      </w:r>
      <w:r w:rsidR="00E71660">
        <w:rPr>
          <w:szCs w:val="22"/>
        </w:rPr>
        <w:t>6</w:t>
      </w:r>
      <w:r w:rsidRPr="00F06122">
        <w:rPr>
          <w:szCs w:val="22"/>
        </w:rPr>
        <w:t>00 recipients. It is important to note that clients are sampled independently by service and no client will be asked to participate for more than one service. Further if a client happens to be sampled for more than one service, the client will be assigned to a single service at random.</w:t>
      </w:r>
    </w:p>
    <w:p w:rsidRPr="00F06122" w:rsidR="00E95811" w:rsidP="00E95811" w:rsidRDefault="00E95811" w14:paraId="6590893C" w14:textId="77777777">
      <w:pPr>
        <w:pStyle w:val="SL-FlLftSgl"/>
        <w:jc w:val="left"/>
        <w:rPr>
          <w:szCs w:val="22"/>
        </w:rPr>
      </w:pPr>
    </w:p>
    <w:p w:rsidR="00E95811" w:rsidP="009B1C18" w:rsidRDefault="00E95811" w14:paraId="1181D8D5" w14:textId="1364893B">
      <w:pPr>
        <w:pStyle w:val="SL-FlLftSgl"/>
        <w:jc w:val="left"/>
        <w:rPr>
          <w:sz w:val="24"/>
          <w:szCs w:val="24"/>
        </w:rPr>
      </w:pPr>
      <w:r w:rsidRPr="00F06122">
        <w:rPr>
          <w:szCs w:val="22"/>
        </w:rPr>
        <w:t xml:space="preserve">Exhibit B-1 </w:t>
      </w:r>
      <w:r w:rsidR="00F06122">
        <w:rPr>
          <w:szCs w:val="22"/>
        </w:rPr>
        <w:t xml:space="preserve">on the next page </w:t>
      </w:r>
      <w:r w:rsidRPr="00F06122">
        <w:rPr>
          <w:szCs w:val="22"/>
        </w:rPr>
        <w:t>presents the respondent universe for each module proposed for the 1</w:t>
      </w:r>
      <w:r w:rsidRPr="00F06122" w:rsidR="00264EB5">
        <w:rPr>
          <w:szCs w:val="22"/>
        </w:rPr>
        <w:t>5</w:t>
      </w:r>
      <w:r w:rsidRPr="00F06122">
        <w:rPr>
          <w:szCs w:val="22"/>
        </w:rPr>
        <w:t>th National Survey of Older Americans Act Participants (NSOAAP)</w:t>
      </w:r>
      <w:r w:rsidRPr="00F06122">
        <w:rPr>
          <w:sz w:val="24"/>
          <w:szCs w:val="24"/>
        </w:rPr>
        <w:t>.</w:t>
      </w:r>
    </w:p>
    <w:p w:rsidR="009B1C18" w:rsidP="009B1C18" w:rsidRDefault="009B1C18" w14:paraId="44A661AC" w14:textId="56AFCB99">
      <w:pPr>
        <w:pStyle w:val="SL-FlLftSgl"/>
        <w:jc w:val="left"/>
        <w:rPr>
          <w:sz w:val="24"/>
          <w:szCs w:val="24"/>
        </w:rPr>
      </w:pPr>
    </w:p>
    <w:p w:rsidR="009B1C18" w:rsidP="009B1C18" w:rsidRDefault="009B1C18" w14:paraId="31228809" w14:textId="604178BE">
      <w:pPr>
        <w:pStyle w:val="SL-FlLftSgl"/>
        <w:jc w:val="left"/>
        <w:rPr>
          <w:sz w:val="24"/>
          <w:szCs w:val="24"/>
        </w:rPr>
      </w:pPr>
    </w:p>
    <w:p w:rsidR="009B1C18" w:rsidP="009B1C18" w:rsidRDefault="009B1C18" w14:paraId="4AC20DDB" w14:textId="3F68A410">
      <w:pPr>
        <w:pStyle w:val="SL-FlLftSgl"/>
        <w:jc w:val="left"/>
        <w:rPr>
          <w:sz w:val="24"/>
          <w:szCs w:val="24"/>
        </w:rPr>
      </w:pPr>
    </w:p>
    <w:p w:rsidR="009B1C18" w:rsidP="009B1C18" w:rsidRDefault="009B1C18" w14:paraId="2C6AC27F" w14:textId="7CFF176D">
      <w:pPr>
        <w:pStyle w:val="SL-FlLftSgl"/>
        <w:jc w:val="left"/>
        <w:rPr>
          <w:sz w:val="24"/>
          <w:szCs w:val="24"/>
        </w:rPr>
      </w:pPr>
    </w:p>
    <w:p w:rsidR="009B1C18" w:rsidP="009B1C18" w:rsidRDefault="009B1C18" w14:paraId="6132A389" w14:textId="400B37A5">
      <w:pPr>
        <w:pStyle w:val="SL-FlLftSgl"/>
        <w:jc w:val="left"/>
        <w:rPr>
          <w:sz w:val="24"/>
          <w:szCs w:val="24"/>
        </w:rPr>
      </w:pPr>
    </w:p>
    <w:p w:rsidR="009B1C18" w:rsidP="009B1C18" w:rsidRDefault="009B1C18" w14:paraId="096298E6" w14:textId="50BC90E1">
      <w:pPr>
        <w:pStyle w:val="SL-FlLftSgl"/>
        <w:jc w:val="left"/>
        <w:rPr>
          <w:sz w:val="24"/>
          <w:szCs w:val="24"/>
        </w:rPr>
      </w:pPr>
    </w:p>
    <w:p w:rsidR="009B1C18" w:rsidP="009B1C18" w:rsidRDefault="009B1C18" w14:paraId="6D0EEACB" w14:textId="77777777">
      <w:pPr>
        <w:pStyle w:val="SL-FlLftSgl"/>
        <w:jc w:val="left"/>
        <w:rPr>
          <w:rFonts w:ascii="Franklin Gothic Medium" w:hAnsi="Franklin Gothic Medium"/>
          <w:color w:val="17365D" w:themeColor="text2" w:themeShade="BF"/>
          <w:sz w:val="24"/>
          <w:szCs w:val="24"/>
        </w:rPr>
      </w:pPr>
    </w:p>
    <w:p w:rsidR="00E95811" w:rsidP="00E95811" w:rsidRDefault="00E95811" w14:paraId="5F8926FA" w14:textId="77777777">
      <w:pPr>
        <w:pStyle w:val="TT-TableTitle"/>
        <w:keepLines/>
        <w:spacing w:line="240" w:lineRule="auto"/>
        <w:ind w:left="0" w:firstLine="0"/>
      </w:pPr>
    </w:p>
    <w:tbl>
      <w:tblPr>
        <w:tblW w:w="11220" w:type="dxa"/>
        <w:tblInd w:w="-7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20"/>
        <w:gridCol w:w="110"/>
        <w:gridCol w:w="4626"/>
        <w:gridCol w:w="4064"/>
      </w:tblGrid>
      <w:tr w:rsidR="00E95811" w:rsidTr="00CF30D3" w14:paraId="3472FFC2" w14:textId="77777777">
        <w:trPr>
          <w:cantSplit/>
        </w:trPr>
        <w:tc>
          <w:tcPr>
            <w:tcW w:w="11220" w:type="dxa"/>
            <w:gridSpan w:val="4"/>
            <w:vAlign w:val="bottom"/>
          </w:tcPr>
          <w:p w:rsidR="00E95811" w:rsidP="00CF30D3" w:rsidRDefault="00E95811" w14:paraId="2BA925A1" w14:textId="77777777">
            <w:pPr>
              <w:pStyle w:val="SL-FlLftSgl"/>
              <w:keepNext/>
              <w:keepLines/>
              <w:spacing w:before="60" w:after="60" w:line="240" w:lineRule="auto"/>
              <w:jc w:val="center"/>
              <w:rPr>
                <w:rFonts w:ascii="Calibri" w:hAnsi="Calibri"/>
                <w:b/>
                <w:sz w:val="16"/>
                <w:szCs w:val="16"/>
              </w:rPr>
            </w:pPr>
          </w:p>
          <w:p w:rsidRPr="000267F5" w:rsidR="00F06122" w:rsidP="00F06122" w:rsidRDefault="00F06122" w14:paraId="4020EB9C" w14:textId="77777777">
            <w:pPr>
              <w:pStyle w:val="TT-TableTitle"/>
              <w:keepLines/>
              <w:spacing w:line="240" w:lineRule="auto"/>
              <w:ind w:left="0" w:firstLine="0"/>
              <w:rPr>
                <w:rFonts w:ascii="Franklin Gothic Medium" w:hAnsi="Franklin Gothic Medium"/>
                <w:b/>
                <w:color w:val="17365D" w:themeColor="text2" w:themeShade="BF"/>
                <w:sz w:val="24"/>
                <w:szCs w:val="24"/>
              </w:rPr>
            </w:pPr>
            <w:r w:rsidRPr="009309BB">
              <w:rPr>
                <w:rFonts w:ascii="Franklin Gothic Medium" w:hAnsi="Franklin Gothic Medium"/>
                <w:color w:val="17365D" w:themeColor="text2" w:themeShade="BF"/>
                <w:sz w:val="24"/>
                <w:szCs w:val="24"/>
              </w:rPr>
              <w:t>Exhibit B-1. Respondent Universe</w:t>
            </w:r>
          </w:p>
          <w:p w:rsidR="00E95811" w:rsidP="00CF30D3" w:rsidRDefault="00E95811" w14:paraId="13155F0B" w14:textId="77777777">
            <w:pPr>
              <w:pStyle w:val="SL-FlLftSgl"/>
              <w:keepNext/>
              <w:keepLines/>
              <w:spacing w:before="60" w:after="60" w:line="240" w:lineRule="auto"/>
              <w:jc w:val="center"/>
              <w:rPr>
                <w:rFonts w:ascii="Calibri" w:hAnsi="Calibri"/>
                <w:b/>
                <w:sz w:val="28"/>
                <w:szCs w:val="28"/>
              </w:rPr>
            </w:pPr>
            <w:r>
              <w:rPr>
                <w:rFonts w:ascii="Calibri" w:hAnsi="Calibri"/>
                <w:b/>
                <w:sz w:val="28"/>
                <w:szCs w:val="28"/>
              </w:rPr>
              <w:t>Service Recipient Survey</w:t>
            </w:r>
          </w:p>
          <w:p w:rsidR="00E95811" w:rsidP="00CF30D3" w:rsidRDefault="00E95811" w14:paraId="35EBDC66" w14:textId="77777777">
            <w:pPr>
              <w:pStyle w:val="SL-FlLftSgl"/>
              <w:keepNext/>
              <w:keepLines/>
              <w:spacing w:before="60" w:after="60" w:line="240" w:lineRule="auto"/>
              <w:jc w:val="center"/>
              <w:rPr>
                <w:rFonts w:ascii="Calibri" w:hAnsi="Calibri"/>
                <w:b/>
                <w:sz w:val="16"/>
                <w:szCs w:val="16"/>
              </w:rPr>
            </w:pPr>
          </w:p>
        </w:tc>
      </w:tr>
      <w:tr w:rsidR="00E95811" w:rsidTr="00CF30D3" w14:paraId="4977AA1E" w14:textId="77777777">
        <w:trPr>
          <w:cantSplit/>
        </w:trPr>
        <w:tc>
          <w:tcPr>
            <w:tcW w:w="2530" w:type="dxa"/>
            <w:gridSpan w:val="2"/>
            <w:vAlign w:val="bottom"/>
          </w:tcPr>
          <w:p w:rsidR="00E95811" w:rsidP="00CF30D3" w:rsidRDefault="00E95811" w14:paraId="3ACA92FD" w14:textId="77777777">
            <w:pPr>
              <w:pStyle w:val="SL-FlLftSgl"/>
              <w:keepNext/>
              <w:keepLines/>
              <w:spacing w:before="60" w:after="60" w:line="240" w:lineRule="auto"/>
              <w:jc w:val="center"/>
              <w:rPr>
                <w:rFonts w:ascii="Calibri" w:hAnsi="Calibri"/>
                <w:b/>
                <w:sz w:val="18"/>
                <w:szCs w:val="18"/>
              </w:rPr>
            </w:pPr>
            <w:r>
              <w:rPr>
                <w:rFonts w:ascii="Calibri" w:hAnsi="Calibri"/>
                <w:b/>
                <w:sz w:val="18"/>
                <w:szCs w:val="18"/>
              </w:rPr>
              <w:t>PERFORMANCE MEASURES</w:t>
            </w:r>
          </w:p>
        </w:tc>
        <w:tc>
          <w:tcPr>
            <w:tcW w:w="4626" w:type="dxa"/>
            <w:vAlign w:val="bottom"/>
          </w:tcPr>
          <w:p w:rsidR="00E95811" w:rsidP="00CF30D3" w:rsidRDefault="00E95811" w14:paraId="0875C1C4" w14:textId="77777777">
            <w:pPr>
              <w:pStyle w:val="SL-FlLftSgl"/>
              <w:keepNext/>
              <w:keepLines/>
              <w:spacing w:before="60" w:after="60" w:line="240" w:lineRule="auto"/>
              <w:jc w:val="center"/>
              <w:rPr>
                <w:rFonts w:ascii="Calibri" w:hAnsi="Calibri"/>
                <w:b/>
                <w:sz w:val="18"/>
                <w:szCs w:val="18"/>
              </w:rPr>
            </w:pPr>
            <w:r>
              <w:rPr>
                <w:rFonts w:ascii="Calibri" w:hAnsi="Calibri"/>
                <w:b/>
                <w:sz w:val="18"/>
                <w:szCs w:val="18"/>
              </w:rPr>
              <w:t>INDICATOR</w:t>
            </w:r>
          </w:p>
        </w:tc>
        <w:tc>
          <w:tcPr>
            <w:tcW w:w="4064" w:type="dxa"/>
            <w:vAlign w:val="bottom"/>
          </w:tcPr>
          <w:p w:rsidR="00E95811" w:rsidP="00CF30D3" w:rsidRDefault="00E95811" w14:paraId="2897251E" w14:textId="77777777">
            <w:pPr>
              <w:pStyle w:val="SL-FlLftSgl"/>
              <w:keepNext/>
              <w:keepLines/>
              <w:spacing w:before="60" w:after="60" w:line="240" w:lineRule="auto"/>
              <w:jc w:val="center"/>
              <w:rPr>
                <w:rFonts w:ascii="Calibri" w:hAnsi="Calibri"/>
                <w:b/>
                <w:sz w:val="18"/>
                <w:szCs w:val="18"/>
              </w:rPr>
            </w:pPr>
            <w:r>
              <w:rPr>
                <w:rFonts w:ascii="Calibri" w:hAnsi="Calibri"/>
                <w:b/>
                <w:sz w:val="18"/>
                <w:szCs w:val="18"/>
              </w:rPr>
              <w:t xml:space="preserve">TARGET POPULATION OF PARTICIPANTS </w:t>
            </w:r>
          </w:p>
        </w:tc>
      </w:tr>
      <w:tr w:rsidR="00E95811" w:rsidTr="00CF30D3" w14:paraId="2E480749" w14:textId="77777777">
        <w:trPr>
          <w:cantSplit/>
        </w:trPr>
        <w:tc>
          <w:tcPr>
            <w:tcW w:w="2530" w:type="dxa"/>
            <w:gridSpan w:val="2"/>
          </w:tcPr>
          <w:p w:rsidR="00E95811" w:rsidP="00CF30D3" w:rsidRDefault="00E95811" w14:paraId="0EC61FE9" w14:textId="77777777">
            <w:pPr>
              <w:pStyle w:val="SL-FlLftSgl"/>
              <w:keepNext/>
              <w:keepLines/>
              <w:spacing w:before="60" w:after="60" w:line="240" w:lineRule="auto"/>
              <w:jc w:val="left"/>
              <w:rPr>
                <w:rFonts w:ascii="Calibri" w:hAnsi="Calibri"/>
                <w:b/>
                <w:sz w:val="20"/>
              </w:rPr>
            </w:pPr>
            <w:r>
              <w:rPr>
                <w:rFonts w:ascii="Calibri" w:hAnsi="Calibri"/>
                <w:sz w:val="20"/>
              </w:rPr>
              <w:t>Congregate Meals Module</w:t>
            </w:r>
          </w:p>
        </w:tc>
        <w:tc>
          <w:tcPr>
            <w:tcW w:w="4626" w:type="dxa"/>
          </w:tcPr>
          <w:p w:rsidR="00E95811" w:rsidP="00CF30D3" w:rsidRDefault="00E95811" w14:paraId="61C2ED68" w14:textId="77777777">
            <w:pPr>
              <w:pStyle w:val="SL-FlLftSgl"/>
              <w:keepNext/>
              <w:keepLines/>
              <w:spacing w:before="60" w:after="60" w:line="240" w:lineRule="auto"/>
              <w:jc w:val="left"/>
              <w:rPr>
                <w:rFonts w:ascii="Calibri" w:hAnsi="Calibri"/>
                <w:b/>
                <w:sz w:val="20"/>
              </w:rPr>
            </w:pPr>
            <w:r>
              <w:rPr>
                <w:rFonts w:ascii="Calibri" w:hAnsi="Calibri"/>
                <w:sz w:val="20"/>
              </w:rPr>
              <w:t>Questions on nutrition intake, nutrition risk, food security and clients’ assessments of the Congregate Meals program.</w:t>
            </w:r>
          </w:p>
        </w:tc>
        <w:tc>
          <w:tcPr>
            <w:tcW w:w="4064" w:type="dxa"/>
          </w:tcPr>
          <w:p w:rsidR="00E95811" w:rsidP="00CF30D3" w:rsidRDefault="00E95811" w14:paraId="0E1A9EBA" w14:textId="77777777">
            <w:pPr>
              <w:pStyle w:val="SL-FlLftSgl"/>
              <w:keepNext/>
              <w:keepLines/>
              <w:spacing w:before="60" w:after="60" w:line="240" w:lineRule="auto"/>
              <w:jc w:val="left"/>
              <w:rPr>
                <w:rFonts w:ascii="Calibri" w:hAnsi="Calibri"/>
                <w:b/>
                <w:sz w:val="20"/>
              </w:rPr>
            </w:pPr>
            <w:r>
              <w:rPr>
                <w:rFonts w:ascii="Calibri" w:hAnsi="Calibri"/>
                <w:sz w:val="20"/>
              </w:rPr>
              <w:t>All service recipients receiving Congregate Meals services</w:t>
            </w:r>
          </w:p>
        </w:tc>
      </w:tr>
      <w:tr w:rsidR="00E95811" w:rsidTr="00CF30D3" w14:paraId="112A4D9B" w14:textId="77777777">
        <w:trPr>
          <w:cantSplit/>
        </w:trPr>
        <w:tc>
          <w:tcPr>
            <w:tcW w:w="2530" w:type="dxa"/>
            <w:gridSpan w:val="2"/>
          </w:tcPr>
          <w:p w:rsidR="00E95811" w:rsidP="00CF30D3" w:rsidRDefault="00E95811" w14:paraId="1C4C3A76" w14:textId="77777777">
            <w:pPr>
              <w:pStyle w:val="SL-FlLftSgl"/>
              <w:keepNext/>
              <w:keepLines/>
              <w:spacing w:before="60" w:after="60" w:line="240" w:lineRule="auto"/>
              <w:jc w:val="left"/>
              <w:rPr>
                <w:rFonts w:ascii="Calibri" w:hAnsi="Calibri"/>
                <w:sz w:val="20"/>
              </w:rPr>
            </w:pPr>
            <w:r>
              <w:rPr>
                <w:rFonts w:ascii="Calibri" w:hAnsi="Calibri"/>
                <w:sz w:val="20"/>
              </w:rPr>
              <w:t>Home-delivered Meals Module</w:t>
            </w:r>
          </w:p>
        </w:tc>
        <w:tc>
          <w:tcPr>
            <w:tcW w:w="4626" w:type="dxa"/>
          </w:tcPr>
          <w:p w:rsidR="00E95811" w:rsidP="00CF30D3" w:rsidRDefault="00E95811" w14:paraId="336B8A86" w14:textId="77777777">
            <w:pPr>
              <w:pStyle w:val="SL-FlLftSgl"/>
              <w:keepNext/>
              <w:keepLines/>
              <w:spacing w:line="240" w:lineRule="auto"/>
              <w:jc w:val="left"/>
              <w:rPr>
                <w:rFonts w:ascii="Calibri" w:hAnsi="Calibri"/>
                <w:sz w:val="20"/>
              </w:rPr>
            </w:pPr>
            <w:r>
              <w:rPr>
                <w:rFonts w:ascii="Calibri" w:hAnsi="Calibri"/>
                <w:sz w:val="20"/>
              </w:rPr>
              <w:t>Questions on nutrition intake, nutrition risk, food security and clients’ assessments of the Home-delivered Meals program.</w:t>
            </w:r>
          </w:p>
        </w:tc>
        <w:tc>
          <w:tcPr>
            <w:tcW w:w="4064" w:type="dxa"/>
          </w:tcPr>
          <w:p w:rsidR="00E95811" w:rsidP="00CF30D3" w:rsidRDefault="00E95811" w14:paraId="3FADFF5C" w14:textId="77777777">
            <w:pPr>
              <w:pStyle w:val="SL-FlLftSgl"/>
              <w:keepNext/>
              <w:keepLines/>
              <w:spacing w:line="240" w:lineRule="auto"/>
              <w:jc w:val="left"/>
              <w:rPr>
                <w:rFonts w:ascii="Calibri" w:hAnsi="Calibri"/>
                <w:sz w:val="20"/>
              </w:rPr>
            </w:pPr>
            <w:r>
              <w:rPr>
                <w:rFonts w:ascii="Calibri" w:hAnsi="Calibri"/>
                <w:sz w:val="20"/>
              </w:rPr>
              <w:t xml:space="preserve">All service recipients receiving Home Delivered Meals </w:t>
            </w:r>
          </w:p>
        </w:tc>
      </w:tr>
      <w:tr w:rsidR="00E95811" w:rsidTr="00CF30D3" w14:paraId="618F12B5" w14:textId="77777777">
        <w:trPr>
          <w:cantSplit/>
        </w:trPr>
        <w:tc>
          <w:tcPr>
            <w:tcW w:w="2530" w:type="dxa"/>
            <w:gridSpan w:val="2"/>
          </w:tcPr>
          <w:p w:rsidR="00E95811" w:rsidP="00CF30D3" w:rsidRDefault="00E95811" w14:paraId="1EEFFD57" w14:textId="77777777">
            <w:pPr>
              <w:pStyle w:val="SL-FlLftSgl"/>
              <w:keepNext/>
              <w:keepLines/>
              <w:spacing w:before="60" w:after="60" w:line="240" w:lineRule="auto"/>
              <w:jc w:val="left"/>
              <w:rPr>
                <w:rFonts w:ascii="Calibri" w:hAnsi="Calibri"/>
                <w:sz w:val="20"/>
              </w:rPr>
            </w:pPr>
            <w:r>
              <w:rPr>
                <w:rFonts w:ascii="Calibri" w:hAnsi="Calibri"/>
                <w:sz w:val="20"/>
              </w:rPr>
              <w:t>Transportation Module</w:t>
            </w:r>
          </w:p>
        </w:tc>
        <w:tc>
          <w:tcPr>
            <w:tcW w:w="4626" w:type="dxa"/>
          </w:tcPr>
          <w:p w:rsidR="00E95811" w:rsidP="00CF30D3" w:rsidRDefault="00E95811" w14:paraId="77D6B7C3" w14:textId="314C3251">
            <w:pPr>
              <w:pStyle w:val="SL-FlLftSgl"/>
              <w:keepNext/>
              <w:keepLines/>
              <w:spacing w:line="240" w:lineRule="auto"/>
              <w:jc w:val="left"/>
              <w:rPr>
                <w:rFonts w:ascii="Calibri" w:hAnsi="Calibri"/>
                <w:sz w:val="20"/>
              </w:rPr>
            </w:pPr>
            <w:r>
              <w:rPr>
                <w:rFonts w:ascii="Calibri" w:hAnsi="Calibri"/>
                <w:sz w:val="20"/>
              </w:rPr>
              <w:t>Questions on client’s experience and assessment of transportation services</w:t>
            </w:r>
            <w:r w:rsidR="00E00C43">
              <w:rPr>
                <w:rFonts w:ascii="Calibri" w:hAnsi="Calibri"/>
                <w:sz w:val="20"/>
              </w:rPr>
              <w:t>.</w:t>
            </w:r>
          </w:p>
        </w:tc>
        <w:tc>
          <w:tcPr>
            <w:tcW w:w="4064" w:type="dxa"/>
          </w:tcPr>
          <w:p w:rsidR="00E95811" w:rsidP="00CF30D3" w:rsidRDefault="00E95811" w14:paraId="0354A6C9" w14:textId="77777777">
            <w:pPr>
              <w:pStyle w:val="SL-FlLftSgl"/>
              <w:keepNext/>
              <w:keepLines/>
              <w:spacing w:line="240" w:lineRule="auto"/>
              <w:jc w:val="left"/>
              <w:rPr>
                <w:rFonts w:ascii="Calibri" w:hAnsi="Calibri"/>
                <w:sz w:val="20"/>
              </w:rPr>
            </w:pPr>
            <w:r>
              <w:rPr>
                <w:rFonts w:ascii="Calibri" w:hAnsi="Calibri"/>
                <w:sz w:val="20"/>
              </w:rPr>
              <w:t>All users of Transportation Services</w:t>
            </w:r>
          </w:p>
        </w:tc>
      </w:tr>
      <w:tr w:rsidR="00E95811" w:rsidTr="00CF30D3" w14:paraId="0E771FEC" w14:textId="77777777">
        <w:trPr>
          <w:cantSplit/>
        </w:trPr>
        <w:tc>
          <w:tcPr>
            <w:tcW w:w="2530" w:type="dxa"/>
            <w:gridSpan w:val="2"/>
          </w:tcPr>
          <w:p w:rsidR="00E95811" w:rsidP="00CF30D3" w:rsidRDefault="00E95811" w14:paraId="48CD919B" w14:textId="77777777">
            <w:pPr>
              <w:pStyle w:val="SL-FlLftSgl"/>
              <w:keepNext/>
              <w:keepLines/>
              <w:spacing w:before="60" w:after="60" w:line="240" w:lineRule="auto"/>
              <w:jc w:val="left"/>
              <w:rPr>
                <w:rFonts w:ascii="Calibri" w:hAnsi="Calibri"/>
                <w:sz w:val="20"/>
              </w:rPr>
            </w:pPr>
            <w:r>
              <w:rPr>
                <w:rFonts w:ascii="Calibri" w:hAnsi="Calibri"/>
                <w:sz w:val="20"/>
              </w:rPr>
              <w:t>Case Management Module</w:t>
            </w:r>
          </w:p>
        </w:tc>
        <w:tc>
          <w:tcPr>
            <w:tcW w:w="4626" w:type="dxa"/>
          </w:tcPr>
          <w:p w:rsidR="00E95811" w:rsidP="00CF30D3" w:rsidRDefault="00E95811" w14:paraId="1157CEB6" w14:textId="77777777">
            <w:pPr>
              <w:pStyle w:val="SL-FlLftSgl"/>
              <w:keepNext/>
              <w:keepLines/>
              <w:spacing w:line="240" w:lineRule="auto"/>
              <w:jc w:val="left"/>
              <w:rPr>
                <w:rFonts w:ascii="Calibri" w:hAnsi="Calibri"/>
                <w:sz w:val="20"/>
              </w:rPr>
            </w:pPr>
            <w:r>
              <w:rPr>
                <w:rFonts w:ascii="Calibri" w:hAnsi="Calibri"/>
                <w:sz w:val="20"/>
              </w:rPr>
              <w:t>Questions on clients’ experiences and assessments of case management services.</w:t>
            </w:r>
          </w:p>
        </w:tc>
        <w:tc>
          <w:tcPr>
            <w:tcW w:w="4064" w:type="dxa"/>
          </w:tcPr>
          <w:p w:rsidR="00E95811" w:rsidP="00CF30D3" w:rsidRDefault="00E95811" w14:paraId="70A1E911" w14:textId="77777777">
            <w:pPr>
              <w:pStyle w:val="SL-FlLftSgl"/>
              <w:keepNext/>
              <w:keepLines/>
              <w:spacing w:line="240" w:lineRule="auto"/>
              <w:jc w:val="left"/>
              <w:rPr>
                <w:rFonts w:ascii="Calibri" w:hAnsi="Calibri"/>
                <w:sz w:val="20"/>
              </w:rPr>
            </w:pPr>
            <w:r>
              <w:rPr>
                <w:rFonts w:ascii="Calibri" w:hAnsi="Calibri"/>
                <w:sz w:val="20"/>
              </w:rPr>
              <w:t>All service recipients receiving Case Management services.</w:t>
            </w:r>
          </w:p>
        </w:tc>
      </w:tr>
      <w:tr w:rsidR="00E95811" w:rsidTr="00CF30D3" w14:paraId="57564151" w14:textId="77777777">
        <w:trPr>
          <w:cantSplit/>
        </w:trPr>
        <w:tc>
          <w:tcPr>
            <w:tcW w:w="2530" w:type="dxa"/>
            <w:gridSpan w:val="2"/>
          </w:tcPr>
          <w:p w:rsidR="00E95811" w:rsidP="00CF30D3" w:rsidRDefault="00E95811" w14:paraId="0B106632" w14:textId="77777777">
            <w:pPr>
              <w:pStyle w:val="SL-FlLftSgl"/>
              <w:keepNext/>
              <w:keepLines/>
              <w:spacing w:before="60" w:after="60" w:line="240" w:lineRule="auto"/>
              <w:jc w:val="left"/>
              <w:rPr>
                <w:rFonts w:ascii="Calibri" w:hAnsi="Calibri"/>
                <w:sz w:val="20"/>
              </w:rPr>
            </w:pPr>
            <w:r>
              <w:rPr>
                <w:rFonts w:ascii="Calibri" w:hAnsi="Calibri"/>
                <w:sz w:val="20"/>
              </w:rPr>
              <w:t>Homemaker/Housekeeping Module</w:t>
            </w:r>
          </w:p>
        </w:tc>
        <w:tc>
          <w:tcPr>
            <w:tcW w:w="4626" w:type="dxa"/>
          </w:tcPr>
          <w:p w:rsidR="00E95811" w:rsidP="00CF30D3" w:rsidRDefault="00E95811" w14:paraId="0F2D4E41" w14:textId="336F5A58">
            <w:pPr>
              <w:pStyle w:val="SL-FlLftSgl"/>
              <w:keepNext/>
              <w:keepLines/>
              <w:spacing w:line="240" w:lineRule="auto"/>
              <w:jc w:val="left"/>
              <w:rPr>
                <w:rFonts w:ascii="Calibri" w:hAnsi="Calibri"/>
                <w:sz w:val="20"/>
              </w:rPr>
            </w:pPr>
            <w:r>
              <w:rPr>
                <w:rFonts w:ascii="Calibri" w:hAnsi="Calibri"/>
                <w:sz w:val="20"/>
              </w:rPr>
              <w:t xml:space="preserve">Questions on clients’ experiences and assessments of </w:t>
            </w:r>
            <w:r w:rsidR="00A40468">
              <w:rPr>
                <w:rFonts w:ascii="Calibri" w:hAnsi="Calibri"/>
                <w:sz w:val="20"/>
              </w:rPr>
              <w:t>h</w:t>
            </w:r>
            <w:r>
              <w:rPr>
                <w:rFonts w:ascii="Calibri" w:hAnsi="Calibri"/>
                <w:sz w:val="20"/>
              </w:rPr>
              <w:t>omemaker/</w:t>
            </w:r>
            <w:r w:rsidR="00A40468">
              <w:rPr>
                <w:rFonts w:ascii="Calibri" w:hAnsi="Calibri"/>
                <w:sz w:val="20"/>
              </w:rPr>
              <w:t>h</w:t>
            </w:r>
            <w:r>
              <w:rPr>
                <w:rFonts w:ascii="Calibri" w:hAnsi="Calibri"/>
                <w:sz w:val="20"/>
              </w:rPr>
              <w:t>ousekeeping services.</w:t>
            </w:r>
          </w:p>
        </w:tc>
        <w:tc>
          <w:tcPr>
            <w:tcW w:w="4064" w:type="dxa"/>
          </w:tcPr>
          <w:p w:rsidR="00E95811" w:rsidP="00CF30D3" w:rsidRDefault="00E95811" w14:paraId="581FCF08" w14:textId="77777777">
            <w:pPr>
              <w:pStyle w:val="SL-FlLftSgl"/>
              <w:keepNext/>
              <w:keepLines/>
              <w:spacing w:line="240" w:lineRule="auto"/>
              <w:jc w:val="left"/>
              <w:rPr>
                <w:rFonts w:ascii="Calibri" w:hAnsi="Calibri"/>
                <w:sz w:val="20"/>
              </w:rPr>
            </w:pPr>
            <w:r>
              <w:rPr>
                <w:rFonts w:ascii="Calibri" w:hAnsi="Calibri"/>
                <w:sz w:val="20"/>
              </w:rPr>
              <w:t>All service recipients who receive Homemaker/Housekeeping Services</w:t>
            </w:r>
          </w:p>
        </w:tc>
      </w:tr>
      <w:tr w:rsidR="00F62F95" w:rsidTr="00CF30D3" w14:paraId="3B4DDF02" w14:textId="77777777">
        <w:trPr>
          <w:cantSplit/>
        </w:trPr>
        <w:tc>
          <w:tcPr>
            <w:tcW w:w="2530" w:type="dxa"/>
            <w:gridSpan w:val="2"/>
          </w:tcPr>
          <w:p w:rsidRPr="00F62F95" w:rsidR="00F62F95" w:rsidP="00CF30D3" w:rsidRDefault="00F62F95" w14:paraId="06034062" w14:textId="5A372F0D">
            <w:pPr>
              <w:pStyle w:val="SL-FlLftSgl"/>
              <w:keepNext/>
              <w:keepLines/>
              <w:spacing w:before="60" w:after="60" w:line="240" w:lineRule="auto"/>
              <w:jc w:val="left"/>
              <w:rPr>
                <w:rFonts w:ascii="Calibri" w:hAnsi="Calibri"/>
                <w:sz w:val="20"/>
                <w:highlight w:val="yellow"/>
              </w:rPr>
            </w:pPr>
            <w:r w:rsidRPr="00820559">
              <w:rPr>
                <w:rFonts w:ascii="Calibri" w:hAnsi="Calibri"/>
                <w:sz w:val="20"/>
              </w:rPr>
              <w:t xml:space="preserve">Caregiver </w:t>
            </w:r>
            <w:r w:rsidR="004671CB">
              <w:rPr>
                <w:rFonts w:ascii="Calibri" w:hAnsi="Calibri"/>
                <w:sz w:val="20"/>
              </w:rPr>
              <w:t xml:space="preserve">Support </w:t>
            </w:r>
            <w:r w:rsidRPr="00820559">
              <w:rPr>
                <w:rFonts w:ascii="Calibri" w:hAnsi="Calibri"/>
                <w:sz w:val="20"/>
              </w:rPr>
              <w:t>Module</w:t>
            </w:r>
          </w:p>
        </w:tc>
        <w:tc>
          <w:tcPr>
            <w:tcW w:w="4626" w:type="dxa"/>
          </w:tcPr>
          <w:p w:rsidRPr="00F62F95" w:rsidR="00F62F95" w:rsidP="00A40468" w:rsidRDefault="00A40468" w14:paraId="45C9B549" w14:textId="0F6C3F26">
            <w:pPr>
              <w:pStyle w:val="SL-FlLftSgl"/>
              <w:keepNext/>
              <w:keepLines/>
              <w:spacing w:line="240" w:lineRule="auto"/>
              <w:jc w:val="left"/>
              <w:rPr>
                <w:rFonts w:ascii="Calibri" w:hAnsi="Calibri"/>
                <w:sz w:val="20"/>
                <w:highlight w:val="yellow"/>
              </w:rPr>
            </w:pPr>
            <w:r w:rsidRPr="00A40468">
              <w:rPr>
                <w:rFonts w:ascii="Calibri" w:hAnsi="Calibri"/>
                <w:sz w:val="20"/>
              </w:rPr>
              <w:t>Questions on clients’ experiences and assess</w:t>
            </w:r>
            <w:r>
              <w:rPr>
                <w:rFonts w:ascii="Calibri" w:hAnsi="Calibri"/>
                <w:sz w:val="20"/>
              </w:rPr>
              <w:t xml:space="preserve">ments of caregiver </w:t>
            </w:r>
            <w:r w:rsidR="004671CB">
              <w:rPr>
                <w:rFonts w:ascii="Calibri" w:hAnsi="Calibri"/>
                <w:sz w:val="20"/>
              </w:rPr>
              <w:t xml:space="preserve">support </w:t>
            </w:r>
            <w:r w:rsidRPr="00A40468">
              <w:rPr>
                <w:rFonts w:ascii="Calibri" w:hAnsi="Calibri"/>
                <w:sz w:val="20"/>
              </w:rPr>
              <w:t>services.</w:t>
            </w:r>
          </w:p>
        </w:tc>
        <w:tc>
          <w:tcPr>
            <w:tcW w:w="4064" w:type="dxa"/>
          </w:tcPr>
          <w:p w:rsidRPr="00F62F95" w:rsidR="00F62F95" w:rsidP="00F62F95" w:rsidRDefault="00F62F95" w14:paraId="663C8882" w14:textId="6D03EE9C">
            <w:pPr>
              <w:pStyle w:val="SL-FlLftSgl"/>
              <w:keepNext/>
              <w:keepLines/>
              <w:spacing w:line="240" w:lineRule="auto"/>
              <w:jc w:val="left"/>
              <w:rPr>
                <w:rFonts w:ascii="Calibri" w:hAnsi="Calibri"/>
                <w:sz w:val="20"/>
                <w:highlight w:val="yellow"/>
              </w:rPr>
            </w:pPr>
            <w:r w:rsidRPr="00820559">
              <w:rPr>
                <w:rFonts w:ascii="Calibri" w:hAnsi="Calibri"/>
                <w:sz w:val="20"/>
              </w:rPr>
              <w:t>All service recipients who receive Caregiver Support</w:t>
            </w:r>
            <w:r w:rsidR="004671CB">
              <w:rPr>
                <w:rFonts w:ascii="Calibri" w:hAnsi="Calibri"/>
                <w:sz w:val="20"/>
              </w:rPr>
              <w:t xml:space="preserve"> Services</w:t>
            </w:r>
          </w:p>
        </w:tc>
      </w:tr>
      <w:tr w:rsidR="00E95811" w:rsidTr="00CF30D3" w14:paraId="6BF5DD74" w14:textId="77777777">
        <w:trPr>
          <w:cantSplit/>
        </w:trPr>
        <w:tc>
          <w:tcPr>
            <w:tcW w:w="2530" w:type="dxa"/>
            <w:gridSpan w:val="2"/>
          </w:tcPr>
          <w:p w:rsidR="00E95811" w:rsidP="00CF30D3" w:rsidRDefault="00E95811" w14:paraId="2314B158" w14:textId="77777777">
            <w:pPr>
              <w:pStyle w:val="SL-FlLftSgl"/>
              <w:keepNext/>
              <w:keepLines/>
              <w:spacing w:before="60" w:after="60" w:line="240" w:lineRule="auto"/>
              <w:jc w:val="left"/>
              <w:rPr>
                <w:rFonts w:ascii="Calibri" w:hAnsi="Calibri"/>
                <w:sz w:val="20"/>
              </w:rPr>
            </w:pPr>
            <w:r>
              <w:rPr>
                <w:rFonts w:ascii="Calibri" w:hAnsi="Calibri"/>
                <w:sz w:val="20"/>
              </w:rPr>
              <w:t xml:space="preserve">Additional Services List </w:t>
            </w:r>
          </w:p>
        </w:tc>
        <w:tc>
          <w:tcPr>
            <w:tcW w:w="4626" w:type="dxa"/>
          </w:tcPr>
          <w:p w:rsidR="00E95811" w:rsidP="00CF30D3" w:rsidRDefault="00E95811" w14:paraId="6BE44C8A" w14:textId="77777777">
            <w:pPr>
              <w:pStyle w:val="SL-FlLftSgl"/>
              <w:keepNext/>
              <w:keepLines/>
              <w:spacing w:line="240" w:lineRule="auto"/>
              <w:jc w:val="left"/>
              <w:rPr>
                <w:rFonts w:ascii="Calibri" w:hAnsi="Calibri"/>
                <w:sz w:val="20"/>
              </w:rPr>
            </w:pPr>
            <w:r>
              <w:rPr>
                <w:rFonts w:ascii="Calibri" w:hAnsi="Calibri"/>
                <w:sz w:val="20"/>
              </w:rPr>
              <w:t>Questions asking service recipients if they receive other OAA services.</w:t>
            </w:r>
          </w:p>
        </w:tc>
        <w:tc>
          <w:tcPr>
            <w:tcW w:w="4064" w:type="dxa"/>
          </w:tcPr>
          <w:p w:rsidR="00E95811" w:rsidP="00CF30D3" w:rsidRDefault="00E95811" w14:paraId="30594697" w14:textId="77777777">
            <w:pPr>
              <w:pStyle w:val="SL-FlLftSgl"/>
              <w:keepNext/>
              <w:keepLines/>
              <w:spacing w:line="240" w:lineRule="auto"/>
              <w:jc w:val="left"/>
              <w:rPr>
                <w:rFonts w:ascii="Calibri" w:hAnsi="Calibri"/>
                <w:sz w:val="20"/>
              </w:rPr>
            </w:pPr>
            <w:r>
              <w:rPr>
                <w:rFonts w:ascii="Calibri" w:hAnsi="Calibri"/>
                <w:sz w:val="20"/>
              </w:rPr>
              <w:t>All service recipients. Caregivers will be asked about services received by their care recipients.</w:t>
            </w:r>
          </w:p>
        </w:tc>
      </w:tr>
      <w:tr w:rsidR="00E95811" w:rsidTr="00CF30D3" w14:paraId="71B8B4AB" w14:textId="77777777">
        <w:trPr>
          <w:cantSplit/>
        </w:trPr>
        <w:tc>
          <w:tcPr>
            <w:tcW w:w="2530" w:type="dxa"/>
            <w:gridSpan w:val="2"/>
          </w:tcPr>
          <w:p w:rsidR="00E95811" w:rsidP="00CF30D3" w:rsidRDefault="00E95811" w14:paraId="523D99BC" w14:textId="77777777">
            <w:pPr>
              <w:pStyle w:val="SL-FlLftSgl"/>
              <w:keepNext/>
              <w:keepLines/>
              <w:spacing w:before="60" w:after="60" w:line="240" w:lineRule="auto"/>
              <w:jc w:val="left"/>
              <w:rPr>
                <w:rFonts w:ascii="Calibri" w:hAnsi="Calibri"/>
                <w:sz w:val="20"/>
              </w:rPr>
            </w:pPr>
            <w:r>
              <w:rPr>
                <w:rFonts w:ascii="Calibri" w:hAnsi="Calibri"/>
                <w:sz w:val="20"/>
              </w:rPr>
              <w:t>Physical Functioning Module</w:t>
            </w:r>
          </w:p>
        </w:tc>
        <w:tc>
          <w:tcPr>
            <w:tcW w:w="4626" w:type="dxa"/>
          </w:tcPr>
          <w:p w:rsidR="00E95811" w:rsidP="00CF30D3" w:rsidRDefault="00E95811" w14:paraId="203F9F09" w14:textId="6A1585F9">
            <w:pPr>
              <w:pStyle w:val="SL-FlLftSgl"/>
              <w:keepNext/>
              <w:keepLines/>
              <w:spacing w:line="240" w:lineRule="auto"/>
              <w:jc w:val="left"/>
              <w:rPr>
                <w:rFonts w:ascii="Calibri" w:hAnsi="Calibri"/>
                <w:sz w:val="20"/>
              </w:rPr>
            </w:pPr>
            <w:r>
              <w:rPr>
                <w:rFonts w:ascii="Calibri" w:hAnsi="Calibri"/>
                <w:sz w:val="20"/>
              </w:rPr>
              <w:t>Revised Katz Activities of Daily Living (ADL) Scale and Quality of life measures from the Behavior Risk Factor Surveillance System (BRFSS) questionnaire</w:t>
            </w:r>
            <w:r w:rsidR="00E00C43">
              <w:rPr>
                <w:rFonts w:ascii="Calibri" w:hAnsi="Calibri"/>
                <w:sz w:val="20"/>
              </w:rPr>
              <w:t>.</w:t>
            </w:r>
          </w:p>
        </w:tc>
        <w:tc>
          <w:tcPr>
            <w:tcW w:w="4064" w:type="dxa"/>
          </w:tcPr>
          <w:p w:rsidR="00E95811" w:rsidP="00264EB5" w:rsidRDefault="00E95811" w14:paraId="43C4D8A9" w14:textId="27A76D54">
            <w:pPr>
              <w:pStyle w:val="SL-FlLftSgl"/>
              <w:keepNext/>
              <w:keepLines/>
              <w:spacing w:line="240" w:lineRule="auto"/>
              <w:jc w:val="left"/>
              <w:rPr>
                <w:rFonts w:ascii="Calibri" w:hAnsi="Calibri"/>
                <w:sz w:val="20"/>
              </w:rPr>
            </w:pPr>
            <w:r>
              <w:rPr>
                <w:rFonts w:ascii="Calibri" w:hAnsi="Calibri"/>
                <w:sz w:val="20"/>
              </w:rPr>
              <w:t>All service recipients, with the exception of Caregivers</w:t>
            </w:r>
            <w:r w:rsidR="00264EB5">
              <w:rPr>
                <w:rFonts w:ascii="Calibri" w:hAnsi="Calibri"/>
                <w:sz w:val="20"/>
              </w:rPr>
              <w:t>; Caregivers</w:t>
            </w:r>
            <w:r>
              <w:rPr>
                <w:rFonts w:ascii="Calibri" w:hAnsi="Calibri"/>
                <w:sz w:val="20"/>
              </w:rPr>
              <w:t xml:space="preserve"> will be asked these questions about their care recipients.</w:t>
            </w:r>
          </w:p>
        </w:tc>
      </w:tr>
      <w:tr w:rsidR="00E95811" w:rsidTr="00CF30D3" w14:paraId="7D7BA6B1" w14:textId="77777777">
        <w:trPr>
          <w:cantSplit/>
        </w:trPr>
        <w:tc>
          <w:tcPr>
            <w:tcW w:w="2530" w:type="dxa"/>
            <w:gridSpan w:val="2"/>
          </w:tcPr>
          <w:p w:rsidR="00E95811" w:rsidP="00CF30D3" w:rsidRDefault="00E95811" w14:paraId="55F7E5D4" w14:textId="06327C2F">
            <w:pPr>
              <w:pStyle w:val="SL-FlLftSgl"/>
              <w:keepNext/>
              <w:keepLines/>
              <w:spacing w:before="60" w:after="60" w:line="240" w:lineRule="auto"/>
              <w:jc w:val="left"/>
              <w:rPr>
                <w:rFonts w:ascii="Calibri" w:hAnsi="Calibri"/>
                <w:sz w:val="20"/>
              </w:rPr>
            </w:pPr>
            <w:r>
              <w:rPr>
                <w:rFonts w:ascii="Calibri" w:hAnsi="Calibri"/>
                <w:sz w:val="20"/>
              </w:rPr>
              <w:t>Emotional Well-Being</w:t>
            </w:r>
            <w:r w:rsidR="00D12224">
              <w:rPr>
                <w:rFonts w:ascii="Calibri" w:hAnsi="Calibri"/>
                <w:sz w:val="20"/>
              </w:rPr>
              <w:t xml:space="preserve"> Module</w:t>
            </w:r>
          </w:p>
        </w:tc>
        <w:tc>
          <w:tcPr>
            <w:tcW w:w="4626" w:type="dxa"/>
          </w:tcPr>
          <w:p w:rsidR="00E95811" w:rsidP="00F4055F" w:rsidRDefault="00E95811" w14:paraId="2238CA76" w14:textId="1A771F63">
            <w:pPr>
              <w:pStyle w:val="SL-FlLftSgl"/>
              <w:keepNext/>
              <w:keepLines/>
              <w:spacing w:line="240" w:lineRule="auto"/>
              <w:jc w:val="left"/>
              <w:rPr>
                <w:rFonts w:ascii="Calibri" w:hAnsi="Calibri"/>
                <w:sz w:val="20"/>
              </w:rPr>
            </w:pPr>
            <w:r>
              <w:rPr>
                <w:rFonts w:ascii="Calibri" w:hAnsi="Calibri"/>
                <w:sz w:val="20"/>
              </w:rPr>
              <w:t xml:space="preserve">Questions on mood and affect from prior surveys of </w:t>
            </w:r>
            <w:r w:rsidR="00F4055F">
              <w:rPr>
                <w:rFonts w:ascii="Calibri" w:hAnsi="Calibri"/>
                <w:sz w:val="20"/>
              </w:rPr>
              <w:t>older adults</w:t>
            </w:r>
            <w:r w:rsidR="00E00C43">
              <w:rPr>
                <w:rFonts w:ascii="Calibri" w:hAnsi="Calibri"/>
                <w:sz w:val="20"/>
              </w:rPr>
              <w:t>.</w:t>
            </w:r>
          </w:p>
        </w:tc>
        <w:tc>
          <w:tcPr>
            <w:tcW w:w="4064" w:type="dxa"/>
          </w:tcPr>
          <w:p w:rsidR="00E95811" w:rsidP="00CF30D3" w:rsidRDefault="00E95811" w14:paraId="77BBDF8A" w14:textId="77777777">
            <w:pPr>
              <w:pStyle w:val="SL-FlLftSgl"/>
              <w:keepNext/>
              <w:keepLines/>
              <w:spacing w:line="240" w:lineRule="auto"/>
              <w:jc w:val="left"/>
              <w:rPr>
                <w:rFonts w:ascii="Calibri" w:hAnsi="Calibri"/>
                <w:sz w:val="20"/>
              </w:rPr>
            </w:pPr>
            <w:r>
              <w:rPr>
                <w:rFonts w:ascii="Calibri" w:hAnsi="Calibri"/>
                <w:sz w:val="20"/>
              </w:rPr>
              <w:t>All service recipients, except Caregivers.</w:t>
            </w:r>
          </w:p>
        </w:tc>
      </w:tr>
      <w:tr w:rsidR="00E95811" w:rsidTr="00CF30D3" w14:paraId="00C4F39C" w14:textId="77777777">
        <w:trPr>
          <w:cantSplit/>
        </w:trPr>
        <w:tc>
          <w:tcPr>
            <w:tcW w:w="2530" w:type="dxa"/>
            <w:gridSpan w:val="2"/>
          </w:tcPr>
          <w:p w:rsidR="00E95811" w:rsidP="00CF30D3" w:rsidRDefault="00E95811" w14:paraId="0BB6D45B" w14:textId="6A62004C">
            <w:pPr>
              <w:pStyle w:val="SL-FlLftSgl"/>
              <w:keepNext/>
              <w:keepLines/>
              <w:spacing w:before="60" w:after="60" w:line="240" w:lineRule="auto"/>
              <w:jc w:val="left"/>
              <w:rPr>
                <w:rFonts w:ascii="Calibri" w:hAnsi="Calibri"/>
                <w:sz w:val="20"/>
              </w:rPr>
            </w:pPr>
            <w:r>
              <w:rPr>
                <w:rFonts w:ascii="Calibri" w:hAnsi="Calibri"/>
                <w:sz w:val="20"/>
              </w:rPr>
              <w:t>Social Functioning</w:t>
            </w:r>
            <w:r w:rsidR="00D12224">
              <w:rPr>
                <w:rFonts w:ascii="Calibri" w:hAnsi="Calibri"/>
                <w:sz w:val="20"/>
              </w:rPr>
              <w:t xml:space="preserve"> Module</w:t>
            </w:r>
          </w:p>
        </w:tc>
        <w:tc>
          <w:tcPr>
            <w:tcW w:w="4626" w:type="dxa"/>
          </w:tcPr>
          <w:p w:rsidR="00E95811" w:rsidP="00CF30D3" w:rsidRDefault="00E95811" w14:paraId="7FFD6ADD" w14:textId="022EE272">
            <w:pPr>
              <w:pStyle w:val="SL-FlLftSgl"/>
              <w:keepNext/>
              <w:keepLines/>
              <w:spacing w:line="240" w:lineRule="auto"/>
              <w:jc w:val="left"/>
              <w:rPr>
                <w:rFonts w:ascii="Calibri" w:hAnsi="Calibri"/>
                <w:sz w:val="20"/>
              </w:rPr>
            </w:pPr>
            <w:r>
              <w:rPr>
                <w:rFonts w:ascii="Calibri" w:hAnsi="Calibri"/>
                <w:sz w:val="20"/>
              </w:rPr>
              <w:t>Degree of satisfaction with social activity and of health effects on social activities</w:t>
            </w:r>
            <w:r w:rsidR="00E00C43">
              <w:rPr>
                <w:rFonts w:ascii="Calibri" w:hAnsi="Calibri"/>
                <w:sz w:val="20"/>
              </w:rPr>
              <w:t>.</w:t>
            </w:r>
          </w:p>
        </w:tc>
        <w:tc>
          <w:tcPr>
            <w:tcW w:w="4064" w:type="dxa"/>
          </w:tcPr>
          <w:p w:rsidR="00E95811" w:rsidP="00CF30D3" w:rsidRDefault="00E95811" w14:paraId="37F9AF40" w14:textId="77777777">
            <w:pPr>
              <w:pStyle w:val="SL-FlLftSgl"/>
              <w:keepNext/>
              <w:keepLines/>
              <w:spacing w:line="240" w:lineRule="auto"/>
              <w:jc w:val="left"/>
              <w:rPr>
                <w:rFonts w:ascii="Calibri" w:hAnsi="Calibri"/>
                <w:sz w:val="20"/>
              </w:rPr>
            </w:pPr>
            <w:r>
              <w:rPr>
                <w:rFonts w:ascii="Calibri" w:hAnsi="Calibri"/>
                <w:sz w:val="20"/>
              </w:rPr>
              <w:t>All service recipients, except Caregivers.</w:t>
            </w:r>
          </w:p>
        </w:tc>
      </w:tr>
      <w:tr w:rsidR="00264EB5" w:rsidTr="00CF30D3" w14:paraId="7917F0AC" w14:textId="77777777">
        <w:trPr>
          <w:cantSplit/>
        </w:trPr>
        <w:tc>
          <w:tcPr>
            <w:tcW w:w="2530" w:type="dxa"/>
            <w:gridSpan w:val="2"/>
          </w:tcPr>
          <w:p w:rsidR="00264EB5" w:rsidP="00264EB5" w:rsidRDefault="00264EB5" w14:paraId="6F90BC8F" w14:textId="54118510">
            <w:pPr>
              <w:pStyle w:val="SL-FlLftSgl"/>
              <w:keepNext/>
              <w:keepLines/>
              <w:spacing w:before="60" w:after="60" w:line="240" w:lineRule="auto"/>
              <w:jc w:val="left"/>
              <w:rPr>
                <w:rFonts w:ascii="Calibri" w:hAnsi="Calibri"/>
                <w:sz w:val="20"/>
              </w:rPr>
            </w:pPr>
            <w:r>
              <w:rPr>
                <w:rFonts w:ascii="Calibri" w:hAnsi="Calibri"/>
                <w:sz w:val="20"/>
              </w:rPr>
              <w:t>Falls</w:t>
            </w:r>
            <w:r w:rsidR="00D12224">
              <w:rPr>
                <w:rFonts w:ascii="Calibri" w:hAnsi="Calibri"/>
                <w:sz w:val="20"/>
              </w:rPr>
              <w:t xml:space="preserve"> Module</w:t>
            </w:r>
          </w:p>
        </w:tc>
        <w:tc>
          <w:tcPr>
            <w:tcW w:w="4626" w:type="dxa"/>
          </w:tcPr>
          <w:p w:rsidRPr="007C29DB" w:rsidR="004378FB" w:rsidP="007C29DB" w:rsidRDefault="004378FB" w14:paraId="3EBB0A08" w14:textId="7FA11B59">
            <w:pPr>
              <w:pStyle w:val="N2-2ndBullet"/>
              <w:numPr>
                <w:ilvl w:val="0"/>
                <w:numId w:val="0"/>
              </w:numPr>
              <w:jc w:val="left"/>
              <w:rPr>
                <w:rFonts w:asciiTheme="minorHAnsi" w:hAnsiTheme="minorHAnsi" w:cstheme="minorHAnsi"/>
                <w:b/>
                <w:sz w:val="20"/>
              </w:rPr>
            </w:pPr>
            <w:r w:rsidRPr="007C29DB">
              <w:rPr>
                <w:rFonts w:asciiTheme="minorHAnsi" w:hAnsiTheme="minorHAnsi" w:cstheme="minorHAnsi"/>
                <w:sz w:val="20"/>
              </w:rPr>
              <w:t>Questions ask about falling and losing one’s balance.</w:t>
            </w:r>
          </w:p>
          <w:p w:rsidRPr="00264EB5" w:rsidR="00264EB5" w:rsidP="00264EB5" w:rsidRDefault="00264EB5" w14:paraId="1E9EB476" w14:textId="790A1C9B">
            <w:pPr>
              <w:pStyle w:val="SL-FlLftSgl"/>
              <w:keepNext/>
              <w:keepLines/>
              <w:spacing w:line="240" w:lineRule="auto"/>
              <w:jc w:val="left"/>
              <w:rPr>
                <w:rFonts w:ascii="Calibri" w:hAnsi="Calibri"/>
                <w:i/>
                <w:sz w:val="20"/>
                <w:highlight w:val="yellow"/>
              </w:rPr>
            </w:pPr>
          </w:p>
        </w:tc>
        <w:tc>
          <w:tcPr>
            <w:tcW w:w="4064" w:type="dxa"/>
          </w:tcPr>
          <w:p w:rsidR="00264EB5" w:rsidP="00772D29" w:rsidRDefault="00264EB5" w14:paraId="497DC5BE" w14:textId="2AF38828">
            <w:pPr>
              <w:pStyle w:val="SL-FlLftSgl"/>
              <w:keepNext/>
              <w:keepLines/>
              <w:spacing w:line="240" w:lineRule="auto"/>
              <w:jc w:val="left"/>
              <w:rPr>
                <w:rFonts w:ascii="Calibri" w:hAnsi="Calibri"/>
                <w:sz w:val="20"/>
              </w:rPr>
            </w:pPr>
            <w:r>
              <w:rPr>
                <w:rFonts w:ascii="Calibri" w:hAnsi="Calibri"/>
                <w:sz w:val="20"/>
              </w:rPr>
              <w:t>All service recipients</w:t>
            </w:r>
            <w:r w:rsidR="00772D29">
              <w:rPr>
                <w:rFonts w:ascii="Calibri" w:hAnsi="Calibri"/>
                <w:sz w:val="20"/>
              </w:rPr>
              <w:t xml:space="preserve"> and</w:t>
            </w:r>
            <w:r>
              <w:rPr>
                <w:rFonts w:ascii="Calibri" w:hAnsi="Calibri"/>
                <w:sz w:val="20"/>
              </w:rPr>
              <w:t xml:space="preserve"> Caregivers.</w:t>
            </w:r>
          </w:p>
        </w:tc>
      </w:tr>
      <w:tr w:rsidR="00264EB5" w:rsidTr="00CF30D3" w14:paraId="7EAD843C" w14:textId="77777777">
        <w:trPr>
          <w:cantSplit/>
        </w:trPr>
        <w:tc>
          <w:tcPr>
            <w:tcW w:w="2530" w:type="dxa"/>
            <w:gridSpan w:val="2"/>
          </w:tcPr>
          <w:p w:rsidR="00264EB5" w:rsidP="00E00C43" w:rsidRDefault="00264EB5" w14:paraId="128F77F9" w14:textId="2690994F">
            <w:pPr>
              <w:pStyle w:val="SL-FlLftSgl"/>
              <w:keepNext/>
              <w:keepLines/>
              <w:spacing w:before="60" w:after="60" w:line="240" w:lineRule="auto"/>
              <w:jc w:val="left"/>
              <w:rPr>
                <w:rFonts w:ascii="Calibri" w:hAnsi="Calibri"/>
                <w:sz w:val="20"/>
              </w:rPr>
            </w:pPr>
            <w:r>
              <w:rPr>
                <w:rFonts w:ascii="Calibri" w:hAnsi="Calibri"/>
                <w:sz w:val="20"/>
              </w:rPr>
              <w:t>Social I</w:t>
            </w:r>
            <w:r w:rsidR="004378FB">
              <w:rPr>
                <w:rFonts w:ascii="Calibri" w:hAnsi="Calibri"/>
                <w:sz w:val="20"/>
              </w:rPr>
              <w:t>ntegration</w:t>
            </w:r>
            <w:r w:rsidR="00D12224">
              <w:rPr>
                <w:rFonts w:ascii="Calibri" w:hAnsi="Calibri"/>
                <w:sz w:val="20"/>
              </w:rPr>
              <w:t xml:space="preserve"> Module</w:t>
            </w:r>
          </w:p>
        </w:tc>
        <w:tc>
          <w:tcPr>
            <w:tcW w:w="4626" w:type="dxa"/>
          </w:tcPr>
          <w:p w:rsidRPr="00264EB5" w:rsidR="00264EB5" w:rsidP="00820559" w:rsidRDefault="004378FB" w14:paraId="24FA4EE5" w14:textId="46BF57B7">
            <w:pPr>
              <w:pStyle w:val="N2-2ndBullet"/>
              <w:numPr>
                <w:ilvl w:val="0"/>
                <w:numId w:val="0"/>
              </w:numPr>
              <w:jc w:val="left"/>
              <w:rPr>
                <w:highlight w:val="yellow"/>
              </w:rPr>
            </w:pPr>
            <w:r w:rsidRPr="007C29DB">
              <w:rPr>
                <w:rFonts w:asciiTheme="minorHAnsi" w:hAnsiTheme="minorHAnsi" w:cstheme="minorHAnsi"/>
                <w:sz w:val="20"/>
              </w:rPr>
              <w:t>Questions about contact with other people and perception of social isolation.</w:t>
            </w:r>
          </w:p>
        </w:tc>
        <w:tc>
          <w:tcPr>
            <w:tcW w:w="4064" w:type="dxa"/>
          </w:tcPr>
          <w:p w:rsidR="00264EB5" w:rsidP="00264EB5" w:rsidRDefault="00264EB5" w14:paraId="31B16CF3" w14:textId="261B9068">
            <w:pPr>
              <w:pStyle w:val="SL-FlLftSgl"/>
              <w:keepNext/>
              <w:keepLines/>
              <w:spacing w:line="240" w:lineRule="auto"/>
              <w:jc w:val="left"/>
              <w:rPr>
                <w:rFonts w:ascii="Calibri" w:hAnsi="Calibri"/>
                <w:sz w:val="20"/>
              </w:rPr>
            </w:pPr>
            <w:r>
              <w:rPr>
                <w:rFonts w:ascii="Calibri" w:hAnsi="Calibri"/>
                <w:sz w:val="20"/>
              </w:rPr>
              <w:t>All service recipients, except Caregivers.</w:t>
            </w:r>
          </w:p>
        </w:tc>
      </w:tr>
      <w:tr w:rsidR="005C2D2A" w:rsidTr="00CF30D3" w14:paraId="06DDCB85" w14:textId="77777777">
        <w:trPr>
          <w:cantSplit/>
        </w:trPr>
        <w:tc>
          <w:tcPr>
            <w:tcW w:w="2530" w:type="dxa"/>
            <w:gridSpan w:val="2"/>
          </w:tcPr>
          <w:p w:rsidR="005C2D2A" w:rsidP="005C2D2A" w:rsidRDefault="005C2D2A" w14:paraId="2F09FBC1" w14:textId="08EB236B">
            <w:pPr>
              <w:pStyle w:val="SL-FlLftSgl"/>
              <w:keepNext/>
              <w:keepLines/>
              <w:spacing w:before="60" w:after="60" w:line="240" w:lineRule="auto"/>
              <w:jc w:val="left"/>
              <w:rPr>
                <w:rFonts w:ascii="Calibri" w:hAnsi="Calibri"/>
                <w:sz w:val="20"/>
              </w:rPr>
            </w:pPr>
            <w:r>
              <w:rPr>
                <w:rFonts w:ascii="Calibri" w:hAnsi="Calibri"/>
                <w:sz w:val="20"/>
              </w:rPr>
              <w:t>Life Changes</w:t>
            </w:r>
            <w:r w:rsidR="00D12224">
              <w:rPr>
                <w:rFonts w:ascii="Calibri" w:hAnsi="Calibri"/>
                <w:sz w:val="20"/>
              </w:rPr>
              <w:t xml:space="preserve"> Module</w:t>
            </w:r>
          </w:p>
        </w:tc>
        <w:tc>
          <w:tcPr>
            <w:tcW w:w="4626" w:type="dxa"/>
          </w:tcPr>
          <w:p w:rsidRPr="007C29DB" w:rsidR="005C2D2A" w:rsidP="00E00C43" w:rsidRDefault="005C2D2A" w14:paraId="2D0BDB8E" w14:textId="68F9E756">
            <w:pPr>
              <w:pStyle w:val="SL-FlLftSgl"/>
              <w:keepNext/>
              <w:keepLines/>
              <w:spacing w:line="240" w:lineRule="auto"/>
              <w:jc w:val="left"/>
              <w:rPr>
                <w:rFonts w:asciiTheme="minorHAnsi" w:hAnsiTheme="minorHAnsi" w:cstheme="minorHAnsi"/>
                <w:i/>
                <w:sz w:val="20"/>
                <w:highlight w:val="yellow"/>
              </w:rPr>
            </w:pPr>
            <w:r>
              <w:rPr>
                <w:rFonts w:asciiTheme="minorHAnsi" w:hAnsiTheme="minorHAnsi" w:cstheme="minorHAnsi"/>
                <w:sz w:val="20"/>
              </w:rPr>
              <w:t xml:space="preserve">What </w:t>
            </w:r>
            <w:r w:rsidR="004378FB">
              <w:rPr>
                <w:rFonts w:asciiTheme="minorHAnsi" w:hAnsiTheme="minorHAnsi" w:cstheme="minorHAnsi"/>
                <w:sz w:val="20"/>
              </w:rPr>
              <w:t xml:space="preserve">life event </w:t>
            </w:r>
            <w:r>
              <w:rPr>
                <w:rFonts w:asciiTheme="minorHAnsi" w:hAnsiTheme="minorHAnsi" w:cstheme="minorHAnsi"/>
                <w:sz w:val="20"/>
              </w:rPr>
              <w:t xml:space="preserve">prompted client to </w:t>
            </w:r>
            <w:r w:rsidRPr="007C29DB">
              <w:rPr>
                <w:rFonts w:asciiTheme="minorHAnsi" w:hAnsiTheme="minorHAnsi" w:cstheme="minorHAnsi"/>
                <w:sz w:val="20"/>
              </w:rPr>
              <w:t>s</w:t>
            </w:r>
            <w:r>
              <w:rPr>
                <w:rFonts w:asciiTheme="minorHAnsi" w:hAnsiTheme="minorHAnsi" w:cstheme="minorHAnsi"/>
                <w:sz w:val="20"/>
              </w:rPr>
              <w:t>eek</w:t>
            </w:r>
            <w:r w:rsidRPr="007C29DB">
              <w:rPr>
                <w:rFonts w:asciiTheme="minorHAnsi" w:hAnsiTheme="minorHAnsi" w:cstheme="minorHAnsi"/>
                <w:sz w:val="20"/>
              </w:rPr>
              <w:t xml:space="preserve"> out services</w:t>
            </w:r>
            <w:r w:rsidR="00E00C43">
              <w:rPr>
                <w:rFonts w:asciiTheme="minorHAnsi" w:hAnsiTheme="minorHAnsi" w:cstheme="minorHAnsi"/>
                <w:sz w:val="20"/>
              </w:rPr>
              <w:t>.</w:t>
            </w:r>
          </w:p>
        </w:tc>
        <w:tc>
          <w:tcPr>
            <w:tcW w:w="4064" w:type="dxa"/>
          </w:tcPr>
          <w:p w:rsidR="005C2D2A" w:rsidP="005C2D2A" w:rsidRDefault="005C2D2A" w14:paraId="3AF29228" w14:textId="562CCB85">
            <w:pPr>
              <w:pStyle w:val="SL-FlLftSgl"/>
              <w:keepNext/>
              <w:keepLines/>
              <w:spacing w:line="240" w:lineRule="auto"/>
              <w:jc w:val="left"/>
              <w:rPr>
                <w:rFonts w:ascii="Calibri" w:hAnsi="Calibri"/>
                <w:sz w:val="20"/>
              </w:rPr>
            </w:pPr>
            <w:r>
              <w:rPr>
                <w:rFonts w:ascii="Calibri" w:hAnsi="Calibri"/>
                <w:sz w:val="20"/>
              </w:rPr>
              <w:t>All service recipients, except Caregivers.</w:t>
            </w:r>
          </w:p>
        </w:tc>
      </w:tr>
      <w:tr w:rsidR="00F62F95" w:rsidTr="00CF30D3" w14:paraId="4FD5E338" w14:textId="77777777">
        <w:trPr>
          <w:cantSplit/>
        </w:trPr>
        <w:tc>
          <w:tcPr>
            <w:tcW w:w="2530" w:type="dxa"/>
            <w:gridSpan w:val="2"/>
          </w:tcPr>
          <w:p w:rsidR="00F62F95" w:rsidP="00F62F95" w:rsidRDefault="00F62F95" w14:paraId="6F63E203" w14:textId="6D1E33E6">
            <w:pPr>
              <w:pStyle w:val="SL-FlLftSgl"/>
              <w:keepNext/>
              <w:keepLines/>
              <w:spacing w:before="60" w:after="60" w:line="240" w:lineRule="auto"/>
              <w:jc w:val="left"/>
              <w:rPr>
                <w:rFonts w:ascii="Calibri" w:hAnsi="Calibri"/>
                <w:sz w:val="20"/>
              </w:rPr>
            </w:pPr>
            <w:r>
              <w:rPr>
                <w:rFonts w:ascii="Calibri" w:hAnsi="Calibri"/>
                <w:sz w:val="20"/>
              </w:rPr>
              <w:t>Demographic Information Module</w:t>
            </w:r>
          </w:p>
        </w:tc>
        <w:tc>
          <w:tcPr>
            <w:tcW w:w="4626" w:type="dxa"/>
          </w:tcPr>
          <w:p w:rsidR="00F62F95" w:rsidP="00F62F95" w:rsidRDefault="00F62F95" w14:paraId="65E28559" w14:textId="3AB9EB93">
            <w:pPr>
              <w:pStyle w:val="SL-FlLftSgl"/>
              <w:keepNext/>
              <w:keepLines/>
              <w:spacing w:line="240" w:lineRule="auto"/>
              <w:jc w:val="left"/>
              <w:rPr>
                <w:rFonts w:asciiTheme="minorHAnsi" w:hAnsiTheme="minorHAnsi" w:cstheme="minorHAnsi"/>
                <w:sz w:val="20"/>
              </w:rPr>
            </w:pPr>
            <w:r>
              <w:rPr>
                <w:rFonts w:ascii="Calibri" w:hAnsi="Calibri"/>
                <w:sz w:val="20"/>
              </w:rPr>
              <w:t xml:space="preserve">Demographic Information </w:t>
            </w:r>
          </w:p>
        </w:tc>
        <w:tc>
          <w:tcPr>
            <w:tcW w:w="4064" w:type="dxa"/>
          </w:tcPr>
          <w:p w:rsidR="00F62F95" w:rsidP="00F62F95" w:rsidRDefault="00F62F95" w14:paraId="3E2295B4" w14:textId="5BBB30DC">
            <w:pPr>
              <w:pStyle w:val="SL-FlLftSgl"/>
              <w:keepNext/>
              <w:keepLines/>
              <w:spacing w:line="240" w:lineRule="auto"/>
              <w:jc w:val="left"/>
              <w:rPr>
                <w:rFonts w:ascii="Calibri" w:hAnsi="Calibri"/>
                <w:sz w:val="20"/>
              </w:rPr>
            </w:pPr>
            <w:r>
              <w:rPr>
                <w:rFonts w:ascii="Calibri" w:hAnsi="Calibri"/>
                <w:sz w:val="20"/>
              </w:rPr>
              <w:t xml:space="preserve">All service recipients and </w:t>
            </w:r>
            <w:r w:rsidR="00AE2D06">
              <w:rPr>
                <w:rFonts w:ascii="Calibri" w:hAnsi="Calibri"/>
                <w:sz w:val="20"/>
              </w:rPr>
              <w:t>C</w:t>
            </w:r>
            <w:r>
              <w:rPr>
                <w:rFonts w:ascii="Calibri" w:hAnsi="Calibri"/>
                <w:sz w:val="20"/>
              </w:rPr>
              <w:t>aregivers.</w:t>
            </w:r>
          </w:p>
        </w:tc>
      </w:tr>
      <w:tr w:rsidR="00F62F95" w:rsidTr="00CF30D3" w14:paraId="0BB20D73" w14:textId="77777777">
        <w:trPr>
          <w:cantSplit/>
        </w:trPr>
        <w:tc>
          <w:tcPr>
            <w:tcW w:w="11220" w:type="dxa"/>
            <w:gridSpan w:val="4"/>
          </w:tcPr>
          <w:p w:rsidR="00F62F95" w:rsidP="00F62F95" w:rsidRDefault="00F62F95" w14:paraId="1EC2547B" w14:textId="77777777">
            <w:pPr>
              <w:pStyle w:val="SL-FlLftSgl"/>
              <w:keepNext/>
              <w:keepLines/>
              <w:spacing w:line="240" w:lineRule="auto"/>
              <w:jc w:val="center"/>
              <w:rPr>
                <w:rFonts w:ascii="Calibri" w:hAnsi="Calibri"/>
                <w:b/>
                <w:sz w:val="16"/>
                <w:szCs w:val="16"/>
              </w:rPr>
            </w:pPr>
          </w:p>
          <w:p w:rsidR="00F62F95" w:rsidP="00F62F95" w:rsidRDefault="00F62F95" w14:paraId="202FBDFD" w14:textId="02EC5807">
            <w:pPr>
              <w:pStyle w:val="SL-FlLftSgl"/>
              <w:keepNext/>
              <w:keepLines/>
              <w:spacing w:line="240" w:lineRule="auto"/>
              <w:jc w:val="center"/>
              <w:rPr>
                <w:rFonts w:ascii="Calibri" w:hAnsi="Calibri"/>
                <w:b/>
                <w:sz w:val="28"/>
                <w:szCs w:val="28"/>
              </w:rPr>
            </w:pPr>
            <w:r>
              <w:rPr>
                <w:rFonts w:ascii="Calibri" w:hAnsi="Calibri"/>
                <w:b/>
                <w:sz w:val="28"/>
                <w:szCs w:val="28"/>
              </w:rPr>
              <w:t>Annual Rotating Module</w:t>
            </w:r>
          </w:p>
          <w:p w:rsidR="00F62F95" w:rsidP="00F62F95" w:rsidRDefault="00F62F95" w14:paraId="629866F1" w14:textId="77777777">
            <w:pPr>
              <w:pStyle w:val="SL-FlLftSgl"/>
              <w:keepNext/>
              <w:keepLines/>
              <w:spacing w:line="240" w:lineRule="auto"/>
              <w:jc w:val="center"/>
              <w:rPr>
                <w:rFonts w:ascii="Calibri" w:hAnsi="Calibri"/>
                <w:sz w:val="16"/>
                <w:szCs w:val="16"/>
              </w:rPr>
            </w:pPr>
          </w:p>
        </w:tc>
      </w:tr>
      <w:tr w:rsidR="00F62F95" w:rsidTr="00CF30D3" w14:paraId="1586899C" w14:textId="77777777">
        <w:trPr>
          <w:cantSplit/>
        </w:trPr>
        <w:tc>
          <w:tcPr>
            <w:tcW w:w="2420" w:type="dxa"/>
            <w:vAlign w:val="bottom"/>
          </w:tcPr>
          <w:p w:rsidR="00F62F95" w:rsidP="00F62F95" w:rsidRDefault="004671CB" w14:paraId="48BAA122" w14:textId="055DB0E5">
            <w:pPr>
              <w:pStyle w:val="SL-FlLftSgl"/>
              <w:keepNext/>
              <w:keepLines/>
              <w:spacing w:before="60" w:after="60" w:line="240" w:lineRule="auto"/>
              <w:jc w:val="center"/>
              <w:rPr>
                <w:rFonts w:ascii="Calibri" w:hAnsi="Calibri"/>
                <w:b/>
                <w:sz w:val="18"/>
                <w:szCs w:val="18"/>
              </w:rPr>
            </w:pPr>
            <w:r>
              <w:rPr>
                <w:rFonts w:ascii="Calibri" w:hAnsi="Calibri"/>
                <w:b/>
                <w:sz w:val="18"/>
                <w:szCs w:val="18"/>
              </w:rPr>
              <w:t>PERFORMANCE MEASURES</w:t>
            </w:r>
          </w:p>
        </w:tc>
        <w:tc>
          <w:tcPr>
            <w:tcW w:w="4736" w:type="dxa"/>
            <w:gridSpan w:val="2"/>
            <w:vAlign w:val="bottom"/>
          </w:tcPr>
          <w:p w:rsidR="00F62F95" w:rsidP="00F62F95" w:rsidRDefault="00F62F95" w14:paraId="3AC48392" w14:textId="77777777">
            <w:pPr>
              <w:pStyle w:val="SL-FlLftSgl"/>
              <w:keepNext/>
              <w:keepLines/>
              <w:spacing w:before="60" w:after="60" w:line="240" w:lineRule="auto"/>
              <w:jc w:val="center"/>
              <w:rPr>
                <w:rFonts w:ascii="Calibri" w:hAnsi="Calibri"/>
                <w:b/>
                <w:sz w:val="18"/>
                <w:szCs w:val="18"/>
              </w:rPr>
            </w:pPr>
            <w:r>
              <w:rPr>
                <w:rFonts w:ascii="Calibri" w:hAnsi="Calibri"/>
                <w:b/>
                <w:sz w:val="18"/>
                <w:szCs w:val="18"/>
              </w:rPr>
              <w:t>INDICATOR</w:t>
            </w:r>
          </w:p>
        </w:tc>
        <w:tc>
          <w:tcPr>
            <w:tcW w:w="4064" w:type="dxa"/>
            <w:vAlign w:val="bottom"/>
          </w:tcPr>
          <w:p w:rsidR="00F62F95" w:rsidP="00F62F95" w:rsidRDefault="004671CB" w14:paraId="1FF8594C" w14:textId="1B00977F">
            <w:pPr>
              <w:pStyle w:val="SL-FlLftSgl"/>
              <w:keepNext/>
              <w:keepLines/>
              <w:spacing w:before="60" w:after="60" w:line="240" w:lineRule="auto"/>
              <w:jc w:val="center"/>
              <w:rPr>
                <w:rFonts w:ascii="Calibri" w:hAnsi="Calibri"/>
                <w:b/>
                <w:sz w:val="18"/>
                <w:szCs w:val="18"/>
              </w:rPr>
            </w:pPr>
            <w:r>
              <w:rPr>
                <w:rFonts w:ascii="Calibri" w:hAnsi="Calibri"/>
                <w:b/>
                <w:sz w:val="18"/>
                <w:szCs w:val="18"/>
              </w:rPr>
              <w:t xml:space="preserve">TARGET POPULATION OF PARTICIPANTS </w:t>
            </w:r>
          </w:p>
        </w:tc>
      </w:tr>
      <w:tr w:rsidR="00F62F95" w:rsidTr="00CF30D3" w14:paraId="19DADE0C" w14:textId="77777777">
        <w:trPr>
          <w:cantSplit/>
        </w:trPr>
        <w:tc>
          <w:tcPr>
            <w:tcW w:w="2420" w:type="dxa"/>
          </w:tcPr>
          <w:p w:rsidR="00F62F95" w:rsidP="00F62F95" w:rsidRDefault="00F62F95" w14:paraId="6559E6B5" w14:textId="66595588">
            <w:pPr>
              <w:pStyle w:val="SL-FlLftSgl"/>
              <w:keepNext/>
              <w:keepLines/>
              <w:spacing w:before="60" w:after="60" w:line="240" w:lineRule="auto"/>
              <w:jc w:val="left"/>
              <w:rPr>
                <w:rFonts w:ascii="Calibri" w:hAnsi="Calibri"/>
                <w:sz w:val="20"/>
              </w:rPr>
            </w:pPr>
            <w:r>
              <w:rPr>
                <w:rFonts w:ascii="Calibri" w:hAnsi="Calibri"/>
                <w:sz w:val="20"/>
              </w:rPr>
              <w:t>COVID-19 Module</w:t>
            </w:r>
            <w:r w:rsidR="004671CB">
              <w:rPr>
                <w:rFonts w:ascii="Calibri" w:hAnsi="Calibri"/>
                <w:sz w:val="20"/>
              </w:rPr>
              <w:t xml:space="preserve"> (2021)</w:t>
            </w:r>
          </w:p>
        </w:tc>
        <w:tc>
          <w:tcPr>
            <w:tcW w:w="4736" w:type="dxa"/>
            <w:gridSpan w:val="2"/>
          </w:tcPr>
          <w:p w:rsidRPr="00820559" w:rsidR="00F62F95" w:rsidP="00820559" w:rsidRDefault="00F62F95" w14:paraId="44F4A112" w14:textId="01C5A1B2">
            <w:pPr>
              <w:jc w:val="left"/>
              <w:rPr>
                <w:szCs w:val="22"/>
              </w:rPr>
            </w:pPr>
            <w:r>
              <w:rPr>
                <w:rFonts w:ascii="Calibri" w:hAnsi="Calibri"/>
                <w:sz w:val="20"/>
              </w:rPr>
              <w:t xml:space="preserve">Questions </w:t>
            </w:r>
            <w:r w:rsidRPr="00DC3806" w:rsidR="00A40468">
              <w:rPr>
                <w:rFonts w:asciiTheme="minorHAnsi" w:hAnsiTheme="minorHAnsi" w:cstheme="minorHAnsi"/>
                <w:sz w:val="20"/>
              </w:rPr>
              <w:t>ask about the effect COVID-19 has had on older adults’ access to and use of Older Americans Act programs and services during the past year.</w:t>
            </w:r>
          </w:p>
        </w:tc>
        <w:tc>
          <w:tcPr>
            <w:tcW w:w="4064" w:type="dxa"/>
          </w:tcPr>
          <w:p w:rsidR="00F62F95" w:rsidP="00F62F95" w:rsidRDefault="004671CB" w14:paraId="77D3F7EB" w14:textId="374E48F4">
            <w:pPr>
              <w:pStyle w:val="SL-FlLftSgl"/>
              <w:keepNext/>
              <w:keepLines/>
              <w:spacing w:line="240" w:lineRule="auto"/>
              <w:jc w:val="left"/>
              <w:rPr>
                <w:rFonts w:ascii="Calibri" w:hAnsi="Calibri"/>
                <w:sz w:val="20"/>
              </w:rPr>
            </w:pPr>
            <w:r>
              <w:rPr>
                <w:rFonts w:ascii="Calibri" w:hAnsi="Calibri"/>
                <w:sz w:val="20"/>
              </w:rPr>
              <w:t xml:space="preserve">All service recipients and </w:t>
            </w:r>
            <w:r w:rsidR="00AE2D06">
              <w:rPr>
                <w:rFonts w:ascii="Calibri" w:hAnsi="Calibri"/>
                <w:sz w:val="20"/>
              </w:rPr>
              <w:t>C</w:t>
            </w:r>
            <w:r>
              <w:rPr>
                <w:rFonts w:ascii="Calibri" w:hAnsi="Calibri"/>
                <w:sz w:val="20"/>
              </w:rPr>
              <w:t>aregivers.</w:t>
            </w:r>
          </w:p>
        </w:tc>
      </w:tr>
    </w:tbl>
    <w:p w:rsidRPr="00D12224" w:rsidR="00E95811" w:rsidP="00D12224" w:rsidRDefault="002800E9" w14:paraId="43697D08" w14:textId="2A4E3C90">
      <w:r>
        <w:br w:type="page"/>
      </w:r>
      <w:r w:rsidRPr="000F7CBE" w:rsidR="00E95811">
        <w:rPr>
          <w:b/>
          <w:sz w:val="24"/>
          <w:szCs w:val="24"/>
        </w:rPr>
        <w:lastRenderedPageBreak/>
        <w:t>Response Rates from other National Surveys of Older American</w:t>
      </w:r>
      <w:r w:rsidR="00E95811">
        <w:rPr>
          <w:b/>
          <w:sz w:val="24"/>
          <w:szCs w:val="24"/>
        </w:rPr>
        <w:t>s</w:t>
      </w:r>
      <w:r w:rsidRPr="000F7CBE" w:rsidR="00E95811">
        <w:rPr>
          <w:b/>
          <w:sz w:val="24"/>
          <w:szCs w:val="24"/>
        </w:rPr>
        <w:t xml:space="preserve"> Act Participants</w:t>
      </w:r>
    </w:p>
    <w:p w:rsidRPr="000F7CBE" w:rsidR="00E95811" w:rsidP="00E95811" w:rsidRDefault="00E95811" w14:paraId="40EE6F4D" w14:textId="77777777">
      <w:pPr>
        <w:pStyle w:val="SL-FlLftSgl"/>
        <w:jc w:val="left"/>
        <w:rPr>
          <w:b/>
        </w:rPr>
      </w:pPr>
    </w:p>
    <w:p w:rsidR="00E95811" w:rsidP="00E95811" w:rsidRDefault="00E95811" w14:paraId="1630BD2F" w14:textId="1E0432B9">
      <w:pPr>
        <w:pStyle w:val="SL-FlLftSgl"/>
        <w:jc w:val="left"/>
        <w:rPr>
          <w:szCs w:val="22"/>
        </w:rPr>
      </w:pPr>
      <w:r w:rsidRPr="007400A1">
        <w:rPr>
          <w:szCs w:val="22"/>
        </w:rPr>
        <w:t xml:space="preserve">This is the </w:t>
      </w:r>
      <w:r w:rsidR="00DB5407">
        <w:rPr>
          <w:szCs w:val="22"/>
        </w:rPr>
        <w:t>15</w:t>
      </w:r>
      <w:r>
        <w:rPr>
          <w:szCs w:val="22"/>
        </w:rPr>
        <w:t>th</w:t>
      </w:r>
      <w:r w:rsidRPr="007400A1">
        <w:rPr>
          <w:szCs w:val="22"/>
        </w:rPr>
        <w:t xml:space="preserve"> time this type of survey will be conducted. This OMB approved survey (0985-0014, 0985-0017, 0985-0020, 0985-0023) was done in 2002, 2003, 2005, 2008, 2009</w:t>
      </w:r>
      <w:r>
        <w:rPr>
          <w:szCs w:val="22"/>
        </w:rPr>
        <w:t>, 2011, 2012, 2013, 2014, 2015, 2016</w:t>
      </w:r>
      <w:r w:rsidR="00DB5407">
        <w:rPr>
          <w:szCs w:val="22"/>
        </w:rPr>
        <w:t>, 2017, 2018, and 2019</w:t>
      </w:r>
      <w:r>
        <w:rPr>
          <w:szCs w:val="22"/>
        </w:rPr>
        <w:t xml:space="preserve">. </w:t>
      </w:r>
      <w:r w:rsidRPr="007400A1">
        <w:rPr>
          <w:szCs w:val="22"/>
        </w:rPr>
        <w:t>The research team anticipates an 8</w:t>
      </w:r>
      <w:r w:rsidR="00DB5407">
        <w:rPr>
          <w:szCs w:val="22"/>
        </w:rPr>
        <w:t>0</w:t>
      </w:r>
      <w:r w:rsidRPr="007400A1">
        <w:rPr>
          <w:szCs w:val="22"/>
        </w:rPr>
        <w:t xml:space="preserve"> percent response rate for AAAs </w:t>
      </w:r>
      <w:r w:rsidR="00187874">
        <w:rPr>
          <w:szCs w:val="22"/>
        </w:rPr>
        <w:t>given the 81% AAA</w:t>
      </w:r>
      <w:r w:rsidR="00895026">
        <w:rPr>
          <w:szCs w:val="22"/>
        </w:rPr>
        <w:t xml:space="preserve"> response rate</w:t>
      </w:r>
      <w:r w:rsidR="00187874">
        <w:rPr>
          <w:szCs w:val="22"/>
        </w:rPr>
        <w:t xml:space="preserve"> in the 14</w:t>
      </w:r>
      <w:r w:rsidRPr="00187874" w:rsidR="00187874">
        <w:rPr>
          <w:szCs w:val="22"/>
          <w:vertAlign w:val="superscript"/>
        </w:rPr>
        <w:t>th</w:t>
      </w:r>
      <w:r w:rsidR="00187874">
        <w:rPr>
          <w:szCs w:val="22"/>
        </w:rPr>
        <w:t xml:space="preserve"> NNOAAP, </w:t>
      </w:r>
      <w:r w:rsidRPr="007400A1">
        <w:rPr>
          <w:szCs w:val="22"/>
        </w:rPr>
        <w:t xml:space="preserve">and an </w:t>
      </w:r>
      <w:r w:rsidRPr="00677210">
        <w:rPr>
          <w:szCs w:val="22"/>
        </w:rPr>
        <w:t xml:space="preserve">80 </w:t>
      </w:r>
      <w:r w:rsidRPr="00677210" w:rsidR="00E37756">
        <w:rPr>
          <w:szCs w:val="22"/>
        </w:rPr>
        <w:t xml:space="preserve">percent </w:t>
      </w:r>
      <w:r w:rsidRPr="00677210">
        <w:rPr>
          <w:szCs w:val="22"/>
        </w:rPr>
        <w:t>cooperation rate for the telephone survey of respondents</w:t>
      </w:r>
      <w:r w:rsidRPr="007400A1">
        <w:rPr>
          <w:szCs w:val="22"/>
        </w:rPr>
        <w:t xml:space="preserve">, based on the success we had with the </w:t>
      </w:r>
      <w:r w:rsidR="00DB5407">
        <w:rPr>
          <w:szCs w:val="22"/>
        </w:rPr>
        <w:t>preceding 14</w:t>
      </w:r>
      <w:r>
        <w:rPr>
          <w:szCs w:val="22"/>
        </w:rPr>
        <w:t xml:space="preserve"> surveys</w:t>
      </w:r>
      <w:r w:rsidRPr="007400A1">
        <w:rPr>
          <w:szCs w:val="22"/>
        </w:rPr>
        <w:t>.</w:t>
      </w:r>
    </w:p>
    <w:p w:rsidR="004951B1" w:rsidP="00E95811" w:rsidRDefault="004951B1" w14:paraId="089989DF" w14:textId="403AC395">
      <w:pPr>
        <w:pStyle w:val="SL-FlLftSgl"/>
        <w:jc w:val="left"/>
        <w:rPr>
          <w:szCs w:val="22"/>
        </w:rPr>
      </w:pPr>
    </w:p>
    <w:p w:rsidRPr="00A40468" w:rsidR="004951B1" w:rsidP="004951B1" w:rsidRDefault="004951B1" w14:paraId="327EF69A" w14:textId="41385267">
      <w:r w:rsidRPr="00481E98">
        <w:t xml:space="preserve">Response rates are calculated by taking the ratio of the number of </w:t>
      </w:r>
      <w:r>
        <w:t>completed interviews</w:t>
      </w:r>
      <w:r w:rsidRPr="00481E98">
        <w:t xml:space="preserve"> to the number of eligible</w:t>
      </w:r>
      <w:r>
        <w:t xml:space="preserve"> unit</w:t>
      </w:r>
      <w:r w:rsidRPr="00481E98">
        <w:t xml:space="preserve">s (this includes completes and non-respondents).  </w:t>
      </w:r>
      <w:r>
        <w:t xml:space="preserve"> Non-response occurs for a variety of reasons, including, for example, being unwilling to participate, unable to locate respondents, and language </w:t>
      </w:r>
      <w:r w:rsidRPr="00B06DAF">
        <w:t>issues.</w:t>
      </w:r>
      <w:r>
        <w:t xml:space="preserve">  In the case of surveys conducted by telephone, such as NSOAAP, potential respondents may have difficulty communicating by phone, another instance of nonresponse. The U.S. Census Bureau defines the following: “</w:t>
      </w:r>
      <w:r>
        <w:rPr>
          <w:rFonts w:ascii="&amp;quot" w:hAnsi="&amp;quot"/>
          <w:b/>
          <w:bCs/>
          <w:color w:val="000000"/>
          <w:bdr w:val="none" w:color="auto" w:sz="0" w:space="0" w:frame="1"/>
        </w:rPr>
        <w:t>Unit nonresponse</w:t>
      </w:r>
      <w:r>
        <w:rPr>
          <w:rFonts w:ascii="inherit" w:hAnsi="inherit"/>
          <w:color w:val="000000"/>
          <w:shd w:val="clear" w:color="auto" w:fill="FFFFFF"/>
        </w:rPr>
        <w:t xml:space="preserve"> occurs when respondents are unable or unwilling to participate; interviewers are unable to locate addresses or respondents; or when other barriers exist to </w:t>
      </w:r>
      <w:r w:rsidRPr="00820559">
        <w:rPr>
          <w:rFonts w:ascii="inherit" w:hAnsi="inherit"/>
          <w:color w:val="000000"/>
          <w:shd w:val="clear" w:color="auto" w:fill="FFFFFF"/>
        </w:rPr>
        <w:t>completing the interview.”</w:t>
      </w:r>
      <w:r w:rsidRPr="00820559" w:rsidR="00314BF4">
        <w:rPr>
          <w:rStyle w:val="FootnoteReference"/>
          <w:rFonts w:ascii="inherit" w:hAnsi="inherit"/>
          <w:color w:val="000000"/>
          <w:shd w:val="clear" w:color="auto" w:fill="FFFFFF"/>
          <w:vertAlign w:val="superscript"/>
        </w:rPr>
        <w:footnoteReference w:id="4"/>
      </w:r>
    </w:p>
    <w:p w:rsidRPr="00A40468" w:rsidR="004951B1" w:rsidP="004951B1" w:rsidRDefault="004951B1" w14:paraId="4BC74856" w14:textId="77777777"/>
    <w:p w:rsidR="004951B1" w:rsidP="004951B1" w:rsidRDefault="004951B1" w14:paraId="372EF5A4" w14:textId="0DCA6AEB">
      <w:r w:rsidRPr="00A40468">
        <w:t xml:space="preserve">In NSOAAP, we often refer to completion rates because of our experience in locating and contacting potential respondents. Members of the NSOAAP target population frequently have changes in status, such as relocating to be closer to family members, moving into assisted living or nursing facilities or other such changes. These changes can occur between the time the client lists are created and attempts are made in the field to contact the individuals. Completion rates are calculated by excluding records for whom no contact was ever established, for example, the not-locatable and not resolved cases from the </w:t>
      </w:r>
      <w:r w:rsidRPr="00820559">
        <w:t>non-respondents.</w:t>
      </w:r>
      <w:r w:rsidRPr="00820559" w:rsidR="00314BF4">
        <w:rPr>
          <w:rStyle w:val="FootnoteReference"/>
          <w:vertAlign w:val="superscript"/>
        </w:rPr>
        <w:footnoteReference w:id="5"/>
      </w:r>
      <w:r>
        <w:t xml:space="preserve">  In a survey like NSOAAP the completion rate may be a more accurate measurement of the degree of success in collecting data which are representative of the population of service clients.</w:t>
      </w:r>
    </w:p>
    <w:p w:rsidR="004951B1" w:rsidP="004951B1" w:rsidRDefault="004951B1" w14:paraId="1F926BB9" w14:textId="5E098D3D"/>
    <w:p w:rsidR="00314BF4" w:rsidRDefault="00314BF4" w14:paraId="0EA6636A" w14:textId="34075226">
      <w:pPr>
        <w:spacing w:line="240" w:lineRule="auto"/>
        <w:jc w:val="left"/>
        <w:rPr>
          <w:rFonts w:ascii="Franklin Gothic Medium" w:hAnsi="Franklin Gothic Medium"/>
          <w:color w:val="17365D" w:themeColor="text2" w:themeShade="BF"/>
          <w:sz w:val="32"/>
          <w:szCs w:val="32"/>
        </w:rPr>
      </w:pPr>
      <w:bookmarkStart w:name="_Toc461936351" w:id="22"/>
      <w:r>
        <w:rPr>
          <w:rFonts w:ascii="Franklin Gothic Medium" w:hAnsi="Franklin Gothic Medium"/>
          <w:color w:val="17365D" w:themeColor="text2" w:themeShade="BF"/>
          <w:sz w:val="32"/>
          <w:szCs w:val="32"/>
        </w:rPr>
        <w:br w:type="page"/>
      </w:r>
    </w:p>
    <w:p w:rsidRPr="006A348F" w:rsidR="00E95811" w:rsidP="00E95811" w:rsidRDefault="00FB61A4" w14:paraId="4B9CCEE4" w14:textId="21088345">
      <w:pPr>
        <w:pStyle w:val="Heading1"/>
        <w:jc w:val="left"/>
        <w:rPr>
          <w:rFonts w:ascii="Franklin Gothic Medium" w:hAnsi="Franklin Gothic Medium"/>
          <w:color w:val="17365D" w:themeColor="text2" w:themeShade="BF"/>
          <w:sz w:val="32"/>
          <w:szCs w:val="32"/>
        </w:rPr>
      </w:pPr>
      <w:r>
        <w:rPr>
          <w:rFonts w:ascii="Franklin Gothic Medium" w:hAnsi="Franklin Gothic Medium"/>
          <w:color w:val="17365D" w:themeColor="text2" w:themeShade="BF"/>
          <w:sz w:val="32"/>
          <w:szCs w:val="32"/>
        </w:rPr>
        <w:lastRenderedPageBreak/>
        <w:t>B.2</w:t>
      </w:r>
      <w:r>
        <w:rPr>
          <w:rFonts w:ascii="Franklin Gothic Medium" w:hAnsi="Franklin Gothic Medium"/>
          <w:color w:val="17365D" w:themeColor="text2" w:themeShade="BF"/>
          <w:sz w:val="32"/>
          <w:szCs w:val="32"/>
        </w:rPr>
        <w:tab/>
      </w:r>
      <w:r>
        <w:rPr>
          <w:rFonts w:ascii="Franklin Gothic Medium" w:hAnsi="Franklin Gothic Medium"/>
          <w:color w:val="17365D" w:themeColor="text2" w:themeShade="BF"/>
          <w:sz w:val="32"/>
          <w:szCs w:val="32"/>
        </w:rPr>
        <w:tab/>
      </w:r>
      <w:r w:rsidRPr="006A348F" w:rsidR="00E95811">
        <w:rPr>
          <w:rFonts w:ascii="Franklin Gothic Medium" w:hAnsi="Franklin Gothic Medium"/>
          <w:color w:val="17365D" w:themeColor="text2" w:themeShade="BF"/>
          <w:sz w:val="32"/>
          <w:szCs w:val="32"/>
        </w:rPr>
        <w:t>Procedures for the Collection of Information</w:t>
      </w:r>
      <w:bookmarkEnd w:id="22"/>
    </w:p>
    <w:p w:rsidRPr="006A348F" w:rsidR="00E95811" w:rsidP="00E95811" w:rsidRDefault="00FB61A4" w14:paraId="59B9EEE6" w14:textId="73ADC456">
      <w:pPr>
        <w:pStyle w:val="Heading2"/>
        <w:jc w:val="left"/>
        <w:rPr>
          <w:rFonts w:ascii="Franklin Gothic Medium" w:hAnsi="Franklin Gothic Medium"/>
          <w:color w:val="17365D" w:themeColor="text2" w:themeShade="BF"/>
          <w:sz w:val="24"/>
          <w:szCs w:val="24"/>
        </w:rPr>
      </w:pPr>
      <w:r>
        <w:rPr>
          <w:rFonts w:ascii="Franklin Gothic Medium" w:hAnsi="Franklin Gothic Medium"/>
          <w:color w:val="17365D" w:themeColor="text2" w:themeShade="BF"/>
          <w:sz w:val="24"/>
          <w:szCs w:val="24"/>
        </w:rPr>
        <w:t>B.2.1</w:t>
      </w:r>
      <w:r>
        <w:rPr>
          <w:rFonts w:ascii="Franklin Gothic Medium" w:hAnsi="Franklin Gothic Medium"/>
          <w:color w:val="17365D" w:themeColor="text2" w:themeShade="BF"/>
          <w:sz w:val="24"/>
          <w:szCs w:val="24"/>
        </w:rPr>
        <w:tab/>
      </w:r>
      <w:r>
        <w:rPr>
          <w:rFonts w:ascii="Franklin Gothic Medium" w:hAnsi="Franklin Gothic Medium"/>
          <w:color w:val="17365D" w:themeColor="text2" w:themeShade="BF"/>
          <w:sz w:val="24"/>
          <w:szCs w:val="24"/>
        </w:rPr>
        <w:tab/>
      </w:r>
      <w:r w:rsidRPr="006A348F" w:rsidR="00E95811">
        <w:rPr>
          <w:rFonts w:ascii="Franklin Gothic Medium" w:hAnsi="Franklin Gothic Medium"/>
          <w:color w:val="17365D" w:themeColor="text2" w:themeShade="BF"/>
          <w:sz w:val="24"/>
          <w:szCs w:val="24"/>
        </w:rPr>
        <w:t>Introduction</w:t>
      </w:r>
    </w:p>
    <w:p w:rsidRPr="007400A1" w:rsidR="00E95811" w:rsidP="00E95811" w:rsidRDefault="00E95811" w14:paraId="4D0EC0E0" w14:textId="77777777">
      <w:pPr>
        <w:pStyle w:val="SL-FlLftSgl"/>
        <w:jc w:val="left"/>
        <w:rPr>
          <w:szCs w:val="22"/>
        </w:rPr>
      </w:pPr>
      <w:r w:rsidRPr="007400A1">
        <w:rPr>
          <w:szCs w:val="22"/>
        </w:rPr>
        <w:t>Several data collection activities will be conducted to support the survey. They are designed to ensure as complete a sample of AAAs (stage one) and service recipients (stage two) as possible</w:t>
      </w:r>
      <w:r>
        <w:rPr>
          <w:szCs w:val="22"/>
        </w:rPr>
        <w:t xml:space="preserve">. </w:t>
      </w:r>
      <w:r w:rsidRPr="007400A1">
        <w:rPr>
          <w:szCs w:val="22"/>
        </w:rPr>
        <w:t xml:space="preserve">This will provide a representative sample for the analyses and to inform </w:t>
      </w:r>
      <w:r>
        <w:rPr>
          <w:szCs w:val="22"/>
        </w:rPr>
        <w:t>ACL/</w:t>
      </w:r>
      <w:r w:rsidRPr="00444E35">
        <w:rPr>
          <w:szCs w:val="22"/>
        </w:rPr>
        <w:t>AoA</w:t>
      </w:r>
      <w:r w:rsidRPr="007400A1">
        <w:rPr>
          <w:szCs w:val="22"/>
        </w:rPr>
        <w:t xml:space="preserve"> on results of performance measures for state and community programs on aging under the Older Americans Act.</w:t>
      </w:r>
    </w:p>
    <w:p w:rsidR="00E95811" w:rsidP="00E95811" w:rsidRDefault="00E95811" w14:paraId="4A0A2A9D" w14:textId="77777777">
      <w:pPr>
        <w:pStyle w:val="SL-FlLftSgl"/>
        <w:jc w:val="left"/>
      </w:pPr>
    </w:p>
    <w:p w:rsidRPr="006A348F" w:rsidR="00E95811" w:rsidP="00E95811" w:rsidRDefault="00FB61A4" w14:paraId="0311AFB1" w14:textId="486D01F9">
      <w:pPr>
        <w:pStyle w:val="Heading2"/>
        <w:jc w:val="left"/>
        <w:rPr>
          <w:rFonts w:ascii="Franklin Gothic Medium" w:hAnsi="Franklin Gothic Medium"/>
          <w:color w:val="17365D" w:themeColor="text2" w:themeShade="BF"/>
          <w:sz w:val="24"/>
          <w:szCs w:val="24"/>
        </w:rPr>
      </w:pPr>
      <w:r>
        <w:rPr>
          <w:rFonts w:ascii="Franklin Gothic Medium" w:hAnsi="Franklin Gothic Medium"/>
          <w:color w:val="17365D" w:themeColor="text2" w:themeShade="BF"/>
          <w:sz w:val="24"/>
          <w:szCs w:val="24"/>
        </w:rPr>
        <w:t>B.2.2</w:t>
      </w:r>
      <w:r>
        <w:rPr>
          <w:rFonts w:ascii="Franklin Gothic Medium" w:hAnsi="Franklin Gothic Medium"/>
          <w:color w:val="17365D" w:themeColor="text2" w:themeShade="BF"/>
          <w:sz w:val="24"/>
          <w:szCs w:val="24"/>
        </w:rPr>
        <w:tab/>
      </w:r>
      <w:r>
        <w:rPr>
          <w:rFonts w:ascii="Franklin Gothic Medium" w:hAnsi="Franklin Gothic Medium"/>
          <w:color w:val="17365D" w:themeColor="text2" w:themeShade="BF"/>
          <w:sz w:val="24"/>
          <w:szCs w:val="24"/>
        </w:rPr>
        <w:tab/>
      </w:r>
      <w:r w:rsidRPr="006A348F" w:rsidR="00E95811">
        <w:rPr>
          <w:rFonts w:ascii="Franklin Gothic Medium" w:hAnsi="Franklin Gothic Medium"/>
          <w:color w:val="17365D" w:themeColor="text2" w:themeShade="BF"/>
          <w:sz w:val="24"/>
          <w:szCs w:val="24"/>
        </w:rPr>
        <w:t>Data Collection Procedures</w:t>
      </w:r>
    </w:p>
    <w:p w:rsidRPr="006A348F" w:rsidR="00E95811" w:rsidP="00E95811" w:rsidRDefault="00FB61A4" w14:paraId="588DC6EE" w14:textId="03BF4182">
      <w:pPr>
        <w:pStyle w:val="Heading3"/>
        <w:jc w:val="left"/>
        <w:rPr>
          <w:rFonts w:ascii="Franklin Gothic Medium" w:hAnsi="Franklin Gothic Medium"/>
          <w:color w:val="17365D" w:themeColor="text2" w:themeShade="BF"/>
          <w:sz w:val="24"/>
          <w:szCs w:val="24"/>
        </w:rPr>
      </w:pPr>
      <w:r>
        <w:rPr>
          <w:rFonts w:ascii="Franklin Gothic Medium" w:hAnsi="Franklin Gothic Medium"/>
          <w:color w:val="17365D" w:themeColor="text2" w:themeShade="BF"/>
          <w:sz w:val="24"/>
          <w:szCs w:val="24"/>
        </w:rPr>
        <w:t>B.2.2.1</w:t>
      </w:r>
      <w:r>
        <w:rPr>
          <w:rFonts w:ascii="Franklin Gothic Medium" w:hAnsi="Franklin Gothic Medium"/>
          <w:color w:val="17365D" w:themeColor="text2" w:themeShade="BF"/>
          <w:sz w:val="24"/>
          <w:szCs w:val="24"/>
        </w:rPr>
        <w:tab/>
      </w:r>
      <w:r>
        <w:rPr>
          <w:rFonts w:ascii="Franklin Gothic Medium" w:hAnsi="Franklin Gothic Medium"/>
          <w:color w:val="17365D" w:themeColor="text2" w:themeShade="BF"/>
          <w:sz w:val="24"/>
          <w:szCs w:val="24"/>
        </w:rPr>
        <w:tab/>
      </w:r>
      <w:r w:rsidRPr="006A348F" w:rsidR="00E95811">
        <w:rPr>
          <w:rFonts w:ascii="Franklin Gothic Medium" w:hAnsi="Franklin Gothic Medium"/>
          <w:color w:val="17365D" w:themeColor="text2" w:themeShade="BF"/>
          <w:sz w:val="24"/>
          <w:szCs w:val="24"/>
        </w:rPr>
        <w:t>Telephone Contact with State and Local Agencies on Aging</w:t>
      </w:r>
    </w:p>
    <w:p w:rsidRPr="007400A1" w:rsidR="00E95811" w:rsidP="00E95811" w:rsidRDefault="00E95811" w14:paraId="16A278C9" w14:textId="6B2777EF">
      <w:pPr>
        <w:pStyle w:val="SL-FlLftSgl"/>
        <w:jc w:val="left"/>
        <w:rPr>
          <w:szCs w:val="22"/>
        </w:rPr>
      </w:pPr>
      <w:r w:rsidRPr="007400A1">
        <w:rPr>
          <w:szCs w:val="22"/>
        </w:rPr>
        <w:t xml:space="preserve">Information will be collected in a two-step process. </w:t>
      </w:r>
      <w:r w:rsidRPr="00677210">
        <w:rPr>
          <w:szCs w:val="22"/>
        </w:rPr>
        <w:t>The proposed design will employ a probability sample of all AAA</w:t>
      </w:r>
      <w:r w:rsidRPr="00677210" w:rsidR="005C77A7">
        <w:rPr>
          <w:szCs w:val="22"/>
        </w:rPr>
        <w:t>s</w:t>
      </w:r>
      <w:r w:rsidRPr="00677210">
        <w:rPr>
          <w:szCs w:val="22"/>
        </w:rPr>
        <w:t xml:space="preserve"> proportional to size (</w:t>
      </w:r>
      <w:smartTag w:uri="urn:schemas-microsoft-com:office:smarttags" w:element="stockticker">
        <w:r w:rsidRPr="00677210">
          <w:rPr>
            <w:szCs w:val="22"/>
          </w:rPr>
          <w:t>PPS</w:t>
        </w:r>
      </w:smartTag>
      <w:r w:rsidRPr="00677210">
        <w:rPr>
          <w:szCs w:val="22"/>
        </w:rPr>
        <w:t>) of the total</w:t>
      </w:r>
      <w:r w:rsidRPr="00677210" w:rsidR="005C77A7">
        <w:rPr>
          <w:szCs w:val="22"/>
        </w:rPr>
        <w:t xml:space="preserve"> client counts per AAA.</w:t>
      </w:r>
      <w:r w:rsidRPr="00677210">
        <w:rPr>
          <w:szCs w:val="22"/>
        </w:rPr>
        <w:t xml:space="preserve"> Once an agency is selected, it</w:t>
      </w:r>
      <w:r w:rsidRPr="00677210" w:rsidR="00613334">
        <w:rPr>
          <w:szCs w:val="22"/>
        </w:rPr>
        <w:t>s</w:t>
      </w:r>
      <w:r w:rsidRPr="00677210">
        <w:rPr>
          <w:szCs w:val="22"/>
        </w:rPr>
        <w:t xml:space="preserve"> </w:t>
      </w:r>
      <w:r w:rsidRPr="00677210" w:rsidR="00613334">
        <w:rPr>
          <w:szCs w:val="22"/>
        </w:rPr>
        <w:t xml:space="preserve">director </w:t>
      </w:r>
      <w:r w:rsidRPr="00677210">
        <w:rPr>
          <w:szCs w:val="22"/>
        </w:rPr>
        <w:t>will receive a</w:t>
      </w:r>
      <w:r w:rsidRPr="00677210" w:rsidR="00613334">
        <w:rPr>
          <w:szCs w:val="22"/>
        </w:rPr>
        <w:t>n email message from ACL</w:t>
      </w:r>
      <w:r w:rsidRPr="00677210">
        <w:rPr>
          <w:szCs w:val="22"/>
        </w:rPr>
        <w:t xml:space="preserve"> that contains</w:t>
      </w:r>
      <w:r w:rsidRPr="007400A1">
        <w:rPr>
          <w:szCs w:val="22"/>
        </w:rPr>
        <w:t xml:space="preserve"> an introductory letter from </w:t>
      </w:r>
      <w:r>
        <w:rPr>
          <w:szCs w:val="22"/>
        </w:rPr>
        <w:t>ACL</w:t>
      </w:r>
      <w:r w:rsidR="00613334">
        <w:rPr>
          <w:szCs w:val="22"/>
        </w:rPr>
        <w:t>,</w:t>
      </w:r>
      <w:r w:rsidRPr="007400A1">
        <w:rPr>
          <w:szCs w:val="22"/>
        </w:rPr>
        <w:t xml:space="preserve"> </w:t>
      </w:r>
      <w:r w:rsidR="00613334">
        <w:rPr>
          <w:szCs w:val="22"/>
        </w:rPr>
        <w:t>an invitation to participate in an orientation webinar, and d</w:t>
      </w:r>
      <w:r w:rsidRPr="007400A1">
        <w:rPr>
          <w:szCs w:val="22"/>
        </w:rPr>
        <w:t>etailed instructions for the AAA</w:t>
      </w:r>
      <w:r>
        <w:rPr>
          <w:szCs w:val="22"/>
        </w:rPr>
        <w:t xml:space="preserve"> (see </w:t>
      </w:r>
      <w:r w:rsidRPr="00A92D17">
        <w:rPr>
          <w:szCs w:val="22"/>
        </w:rPr>
        <w:t>Append</w:t>
      </w:r>
      <w:r w:rsidR="00B431BA">
        <w:rPr>
          <w:szCs w:val="22"/>
        </w:rPr>
        <w:t>ices H &amp; I</w:t>
      </w:r>
      <w:r w:rsidRPr="00A92D17">
        <w:rPr>
          <w:szCs w:val="22"/>
        </w:rPr>
        <w:t>)</w:t>
      </w:r>
      <w:r w:rsidRPr="00A92D17" w:rsidR="001D311E">
        <w:rPr>
          <w:rStyle w:val="FootnoteReference"/>
          <w:szCs w:val="22"/>
          <w:vertAlign w:val="superscript"/>
        </w:rPr>
        <w:footnoteReference w:customMarkFollows="1" w:id="6"/>
        <w:t>6</w:t>
      </w:r>
      <w:r w:rsidRPr="00A92D17">
        <w:rPr>
          <w:szCs w:val="22"/>
        </w:rPr>
        <w:t>.</w:t>
      </w:r>
      <w:r w:rsidRPr="007400A1">
        <w:rPr>
          <w:szCs w:val="22"/>
        </w:rPr>
        <w:t xml:space="preserve"> Approximately two </w:t>
      </w:r>
      <w:r w:rsidR="00613334">
        <w:rPr>
          <w:szCs w:val="22"/>
        </w:rPr>
        <w:t>weeks</w:t>
      </w:r>
      <w:r w:rsidRPr="007400A1">
        <w:rPr>
          <w:szCs w:val="22"/>
        </w:rPr>
        <w:t xml:space="preserve"> later, </w:t>
      </w:r>
      <w:r w:rsidR="00613334">
        <w:rPr>
          <w:szCs w:val="22"/>
        </w:rPr>
        <w:t>state and AAA staffs will be able to participate in a live webinar to learn about the importance of the survey and how the procedures for selecting clients will work. ACL will also post a recording of the webinar for state and AAA staffs who are unable to participate during the live webinar. For AAAs that do not respond to the initial email from ACL or participate in the webinar,</w:t>
      </w:r>
      <w:r w:rsidR="004578E6">
        <w:rPr>
          <w:szCs w:val="22"/>
        </w:rPr>
        <w:t xml:space="preserve"> a</w:t>
      </w:r>
      <w:r w:rsidRPr="007400A1">
        <w:rPr>
          <w:szCs w:val="22"/>
        </w:rPr>
        <w:t xml:space="preserve"> researcher will </w:t>
      </w:r>
      <w:r w:rsidR="004578E6">
        <w:rPr>
          <w:szCs w:val="22"/>
        </w:rPr>
        <w:t>reach out to the agencies to address any concerns that they might have and to review</w:t>
      </w:r>
      <w:r w:rsidRPr="007400A1">
        <w:rPr>
          <w:szCs w:val="22"/>
        </w:rPr>
        <w:t xml:space="preserve"> instructions for sampling the service recipients. The researcher will explain the numbered participant lists the agency needs to generate from which to select the random sample of service recipients for each of the six services. In addition, </w:t>
      </w:r>
      <w:r w:rsidR="00A96B1F">
        <w:rPr>
          <w:szCs w:val="22"/>
        </w:rPr>
        <w:t>we</w:t>
      </w:r>
      <w:r w:rsidRPr="007400A1">
        <w:rPr>
          <w:szCs w:val="22"/>
        </w:rPr>
        <w:t xml:space="preserve"> will provide detailed instructions specific to the client tracking software used by the AAA. Previous experience has enabled Westat, the contractor, to streamline the data collection procedures for the AAAs.</w:t>
      </w:r>
    </w:p>
    <w:p w:rsidR="00053045" w:rsidP="00053045" w:rsidRDefault="00053045" w14:paraId="704BD2BF" w14:textId="77777777">
      <w:pPr>
        <w:pStyle w:val="Heading3"/>
        <w:ind w:left="0" w:firstLine="0"/>
        <w:jc w:val="left"/>
        <w:rPr>
          <w:rFonts w:ascii="Franklin Gothic Medium" w:hAnsi="Franklin Gothic Medium"/>
          <w:color w:val="17365D" w:themeColor="text2" w:themeShade="BF"/>
          <w:szCs w:val="24"/>
        </w:rPr>
      </w:pPr>
    </w:p>
    <w:p w:rsidRPr="006A348F" w:rsidR="00E95811" w:rsidP="00053045" w:rsidRDefault="00FB61A4" w14:paraId="161EEF02" w14:textId="326F99D6">
      <w:pPr>
        <w:pStyle w:val="Heading3"/>
        <w:ind w:left="0" w:firstLine="0"/>
        <w:jc w:val="left"/>
        <w:rPr>
          <w:rFonts w:ascii="Franklin Gothic Medium" w:hAnsi="Franklin Gothic Medium"/>
          <w:color w:val="17365D" w:themeColor="text2" w:themeShade="BF"/>
          <w:sz w:val="24"/>
          <w:szCs w:val="24"/>
        </w:rPr>
      </w:pPr>
      <w:r>
        <w:rPr>
          <w:rFonts w:ascii="Franklin Gothic Medium" w:hAnsi="Franklin Gothic Medium"/>
          <w:color w:val="17365D" w:themeColor="text2" w:themeShade="BF"/>
          <w:sz w:val="24"/>
          <w:szCs w:val="24"/>
        </w:rPr>
        <w:t>B.2.2.2</w:t>
      </w:r>
      <w:r>
        <w:rPr>
          <w:rFonts w:ascii="Franklin Gothic Medium" w:hAnsi="Franklin Gothic Medium"/>
          <w:color w:val="17365D" w:themeColor="text2" w:themeShade="BF"/>
          <w:sz w:val="24"/>
          <w:szCs w:val="24"/>
        </w:rPr>
        <w:tab/>
      </w:r>
      <w:r>
        <w:rPr>
          <w:rFonts w:ascii="Franklin Gothic Medium" w:hAnsi="Franklin Gothic Medium"/>
          <w:color w:val="17365D" w:themeColor="text2" w:themeShade="BF"/>
          <w:sz w:val="24"/>
          <w:szCs w:val="24"/>
        </w:rPr>
        <w:tab/>
      </w:r>
      <w:r w:rsidRPr="006A348F" w:rsidR="00E95811">
        <w:rPr>
          <w:rFonts w:ascii="Franklin Gothic Medium" w:hAnsi="Franklin Gothic Medium"/>
          <w:color w:val="17365D" w:themeColor="text2" w:themeShade="BF"/>
          <w:sz w:val="24"/>
          <w:szCs w:val="24"/>
        </w:rPr>
        <w:t>Telephone Survey of Older Americans Act Participants and Caregivers</w:t>
      </w:r>
    </w:p>
    <w:p w:rsidRPr="000F7CBE" w:rsidR="00E95811" w:rsidP="00E95811" w:rsidRDefault="00E95811" w14:paraId="3BC3E0D7" w14:textId="77777777">
      <w:pPr>
        <w:pStyle w:val="SL-FlLftSgl"/>
        <w:jc w:val="left"/>
        <w:rPr>
          <w:b/>
          <w:sz w:val="24"/>
          <w:szCs w:val="24"/>
        </w:rPr>
      </w:pPr>
      <w:r w:rsidRPr="000F7CBE">
        <w:rPr>
          <w:b/>
          <w:sz w:val="24"/>
          <w:szCs w:val="24"/>
        </w:rPr>
        <w:t>Pre-notification Advance Letters</w:t>
      </w:r>
    </w:p>
    <w:p w:rsidRPr="000F7CBE" w:rsidR="00E95811" w:rsidP="00E95811" w:rsidRDefault="00E95811" w14:paraId="64956C06" w14:textId="77777777">
      <w:pPr>
        <w:pStyle w:val="SL-FlLftSgl"/>
        <w:jc w:val="left"/>
        <w:rPr>
          <w:sz w:val="24"/>
          <w:szCs w:val="24"/>
        </w:rPr>
      </w:pPr>
    </w:p>
    <w:p w:rsidRPr="007400A1" w:rsidR="00E95811" w:rsidP="00E95811" w:rsidRDefault="00E95811" w14:paraId="535E0CCD" w14:textId="1B878BB1">
      <w:pPr>
        <w:pStyle w:val="SL-FlLftSgl"/>
        <w:jc w:val="left"/>
        <w:rPr>
          <w:szCs w:val="22"/>
        </w:rPr>
      </w:pPr>
      <w:r w:rsidRPr="007400A1">
        <w:rPr>
          <w:szCs w:val="22"/>
        </w:rPr>
        <w:t xml:space="preserve">Potential respondents selected for the telephone interview will receive a letter from </w:t>
      </w:r>
      <w:r w:rsidR="00063073">
        <w:rPr>
          <w:szCs w:val="22"/>
        </w:rPr>
        <w:t>ACL</w:t>
      </w:r>
      <w:r>
        <w:rPr>
          <w:szCs w:val="22"/>
        </w:rPr>
        <w:t xml:space="preserve">. </w:t>
      </w:r>
      <w:r w:rsidRPr="007400A1">
        <w:rPr>
          <w:szCs w:val="22"/>
        </w:rPr>
        <w:t>The letter contains an introduction to the study, explanation about the nature of participation, and a</w:t>
      </w:r>
      <w:r w:rsidR="00063073">
        <w:rPr>
          <w:szCs w:val="22"/>
        </w:rPr>
        <w:t xml:space="preserve"> toll-free phone</w:t>
      </w:r>
      <w:r w:rsidRPr="007400A1">
        <w:rPr>
          <w:szCs w:val="22"/>
        </w:rPr>
        <w:t xml:space="preserve"> number to call if they do not wish to participate</w:t>
      </w:r>
      <w:r>
        <w:rPr>
          <w:szCs w:val="22"/>
        </w:rPr>
        <w:t xml:space="preserve">. </w:t>
      </w:r>
      <w:r w:rsidRPr="007400A1">
        <w:rPr>
          <w:szCs w:val="22"/>
        </w:rPr>
        <w:t>Those who opt out of the study are not contacted further</w:t>
      </w:r>
      <w:r>
        <w:rPr>
          <w:szCs w:val="22"/>
        </w:rPr>
        <w:t xml:space="preserve">. </w:t>
      </w:r>
      <w:r w:rsidR="00063073">
        <w:rPr>
          <w:szCs w:val="22"/>
        </w:rPr>
        <w:t>A separate toll-free phone number is included for respondents who wish to reach a telephone interviewer directly, and take the survey at their convenience.</w:t>
      </w:r>
      <w:r w:rsidR="006F3A36">
        <w:rPr>
          <w:szCs w:val="22"/>
        </w:rPr>
        <w:t xml:space="preserve"> A copy of this letter is included in A</w:t>
      </w:r>
      <w:r w:rsidR="0016258C">
        <w:rPr>
          <w:szCs w:val="22"/>
        </w:rPr>
        <w:t xml:space="preserve">ppendix </w:t>
      </w:r>
      <w:r w:rsidR="00BA3EE1">
        <w:rPr>
          <w:szCs w:val="22"/>
        </w:rPr>
        <w:t>F</w:t>
      </w:r>
      <w:r w:rsidRPr="006F3A36" w:rsidR="006F3A36">
        <w:rPr>
          <w:szCs w:val="22"/>
        </w:rPr>
        <w:t>].</w:t>
      </w:r>
    </w:p>
    <w:p w:rsidR="0016258C" w:rsidP="00E95811" w:rsidRDefault="0016258C" w14:paraId="21742B7E" w14:textId="77777777">
      <w:pPr>
        <w:pStyle w:val="SL-FlLftSgl"/>
        <w:jc w:val="left"/>
        <w:rPr>
          <w:b/>
          <w:sz w:val="24"/>
          <w:szCs w:val="24"/>
        </w:rPr>
      </w:pPr>
    </w:p>
    <w:p w:rsidR="00053045" w:rsidRDefault="00053045" w14:paraId="7719FDD8" w14:textId="77777777">
      <w:pPr>
        <w:spacing w:line="240" w:lineRule="auto"/>
        <w:jc w:val="left"/>
        <w:rPr>
          <w:b/>
          <w:sz w:val="24"/>
          <w:szCs w:val="24"/>
        </w:rPr>
      </w:pPr>
      <w:r>
        <w:rPr>
          <w:b/>
          <w:sz w:val="24"/>
          <w:szCs w:val="24"/>
        </w:rPr>
        <w:br w:type="page"/>
      </w:r>
    </w:p>
    <w:p w:rsidRPr="007400A1" w:rsidR="00E95811" w:rsidP="00E95811" w:rsidRDefault="00E95811" w14:paraId="4C06C54F" w14:textId="47CF4F17">
      <w:pPr>
        <w:pStyle w:val="SL-FlLftSgl"/>
        <w:jc w:val="left"/>
        <w:rPr>
          <w:b/>
          <w:sz w:val="24"/>
          <w:szCs w:val="24"/>
        </w:rPr>
      </w:pPr>
      <w:r w:rsidRPr="007400A1">
        <w:rPr>
          <w:b/>
          <w:sz w:val="24"/>
          <w:szCs w:val="24"/>
        </w:rPr>
        <w:lastRenderedPageBreak/>
        <w:t>Telephone Interview</w:t>
      </w:r>
    </w:p>
    <w:p w:rsidR="00E95811" w:rsidP="00E95811" w:rsidRDefault="00E95811" w14:paraId="3ACC3D1E" w14:textId="77777777">
      <w:pPr>
        <w:pStyle w:val="SL-FlLftSgl"/>
        <w:jc w:val="left"/>
      </w:pPr>
    </w:p>
    <w:p w:rsidR="00E95811" w:rsidP="00E95811" w:rsidRDefault="00E95811" w14:paraId="4851846F" w14:textId="43293FB4">
      <w:pPr>
        <w:pStyle w:val="SL-FlLftSgl"/>
        <w:jc w:val="left"/>
        <w:rPr>
          <w:szCs w:val="22"/>
        </w:rPr>
      </w:pPr>
      <w:r w:rsidRPr="007400A1">
        <w:rPr>
          <w:szCs w:val="22"/>
        </w:rPr>
        <w:t>Interviewers participate in intensive training sessions prior to data collection and are monitored during data collection to ensure the protocol is properly followed</w:t>
      </w:r>
      <w:r>
        <w:rPr>
          <w:szCs w:val="22"/>
        </w:rPr>
        <w:t xml:space="preserve">. </w:t>
      </w:r>
      <w:r w:rsidRPr="007400A1">
        <w:rPr>
          <w:szCs w:val="22"/>
        </w:rPr>
        <w:t xml:space="preserve">The training covers general interviewing techniques, topics specific to administering the </w:t>
      </w:r>
      <w:r>
        <w:rPr>
          <w:szCs w:val="22"/>
        </w:rPr>
        <w:t>1</w:t>
      </w:r>
      <w:r w:rsidR="00063073">
        <w:rPr>
          <w:szCs w:val="22"/>
        </w:rPr>
        <w:t>5</w:t>
      </w:r>
      <w:r>
        <w:rPr>
          <w:szCs w:val="22"/>
        </w:rPr>
        <w:t>th</w:t>
      </w:r>
      <w:r w:rsidRPr="007400A1">
        <w:rPr>
          <w:szCs w:val="22"/>
        </w:rPr>
        <w:t xml:space="preserve"> National Survey of Older Americans Act </w:t>
      </w:r>
      <w:r>
        <w:rPr>
          <w:szCs w:val="22"/>
        </w:rPr>
        <w:t>Participants</w:t>
      </w:r>
      <w:r w:rsidRPr="007400A1">
        <w:rPr>
          <w:szCs w:val="22"/>
        </w:rPr>
        <w:t>, and practice sessions.</w:t>
      </w:r>
    </w:p>
    <w:p w:rsidR="00E95811" w:rsidP="00E95811" w:rsidRDefault="00E95811" w14:paraId="7A527CAC" w14:textId="77777777">
      <w:pPr>
        <w:pStyle w:val="SL-FlLftSgl"/>
        <w:jc w:val="left"/>
        <w:rPr>
          <w:szCs w:val="22"/>
        </w:rPr>
      </w:pPr>
    </w:p>
    <w:p w:rsidRPr="007400A1" w:rsidR="00E95811" w:rsidP="00E95811" w:rsidRDefault="00E95811" w14:paraId="4985D755" w14:textId="157D723A">
      <w:pPr>
        <w:spacing w:line="240" w:lineRule="auto"/>
        <w:jc w:val="left"/>
        <w:rPr>
          <w:szCs w:val="22"/>
        </w:rPr>
      </w:pPr>
      <w:r w:rsidRPr="00270DCF">
        <w:t xml:space="preserve">The study sample includes </w:t>
      </w:r>
      <w:r w:rsidR="00F4055F">
        <w:t xml:space="preserve">older adults </w:t>
      </w:r>
      <w:r w:rsidRPr="00270DCF">
        <w:t>who may be living with disabilities. With that in mind, the training designed and conducted for the data collectors/telephone interviewers includes special guidance for interviewing and accommodating respondents who are</w:t>
      </w:r>
      <w:r w:rsidR="00F4055F">
        <w:t xml:space="preserve"> age 60 or older </w:t>
      </w:r>
      <w:r w:rsidRPr="00270DCF">
        <w:t>and who may have disabling conditions and/or communication problems (hearing impairments, speech disorders, cognitive impairments, memory disorders, non-native English speakers.)</w:t>
      </w:r>
      <w:r>
        <w:t xml:space="preserve"> </w:t>
      </w:r>
      <w:r w:rsidRPr="00270DCF">
        <w:t>In certain instances, an interview with an interpreter or a proxy is arranged. Additionally, data collectors are advised to be alert to the respondent’s fatigue and to suggest calling back and completing the interview during another session. For Spanish-speaking respondents, trained bilingual data collectors conduct the interview in Spanish.</w:t>
      </w:r>
    </w:p>
    <w:p w:rsidR="0016731F" w:rsidP="00E95811" w:rsidRDefault="0016731F" w14:paraId="1AD89952" w14:textId="77777777">
      <w:pPr>
        <w:pStyle w:val="SL-FlLftSgl"/>
        <w:jc w:val="left"/>
        <w:rPr>
          <w:szCs w:val="22"/>
        </w:rPr>
      </w:pPr>
    </w:p>
    <w:p w:rsidRPr="007400A1" w:rsidR="00E95811" w:rsidP="00E95811" w:rsidRDefault="00E95811" w14:paraId="2EA2B3AB" w14:textId="409F7C91">
      <w:pPr>
        <w:pStyle w:val="SL-FlLftSgl"/>
        <w:jc w:val="left"/>
        <w:rPr>
          <w:szCs w:val="22"/>
        </w:rPr>
      </w:pPr>
      <w:r>
        <w:rPr>
          <w:szCs w:val="22"/>
        </w:rPr>
        <w:t>I</w:t>
      </w:r>
      <w:r w:rsidRPr="007400A1">
        <w:rPr>
          <w:szCs w:val="22"/>
        </w:rPr>
        <w:t xml:space="preserve">nterviewers will conduct a </w:t>
      </w:r>
      <w:r>
        <w:rPr>
          <w:szCs w:val="22"/>
        </w:rPr>
        <w:t>4</w:t>
      </w:r>
      <w:r w:rsidR="00D713C9">
        <w:rPr>
          <w:szCs w:val="22"/>
        </w:rPr>
        <w:t>5</w:t>
      </w:r>
      <w:r w:rsidRPr="007400A1">
        <w:rPr>
          <w:szCs w:val="22"/>
        </w:rPr>
        <w:t>-minute telephone survey of a representative sample of Older Americans Act service recipients and caregivers</w:t>
      </w:r>
      <w:r>
        <w:rPr>
          <w:szCs w:val="22"/>
        </w:rPr>
        <w:t xml:space="preserve">. </w:t>
      </w:r>
      <w:r w:rsidRPr="007400A1">
        <w:rPr>
          <w:szCs w:val="22"/>
        </w:rPr>
        <w:t xml:space="preserve">The interview includes modules for each service (e.g., home delivered meals, congregate meals, case management, caregiver, transportation, and homemaker) as well as modules that are the same for all services on demographics, physical functioning, and quality of life.  </w:t>
      </w:r>
      <w:r w:rsidR="00F4055F">
        <w:rPr>
          <w:szCs w:val="22"/>
        </w:rPr>
        <w:t xml:space="preserve">Additionally, a module on COVID-19 will be asked of all respondents for the 2021 survey. </w:t>
      </w:r>
      <w:r w:rsidRPr="007400A1">
        <w:rPr>
          <w:szCs w:val="22"/>
        </w:rPr>
        <w:t>Interviewers administer the appropriate service mod</w:t>
      </w:r>
      <w:r w:rsidR="00795403">
        <w:rPr>
          <w:szCs w:val="22"/>
        </w:rPr>
        <w:t>u</w:t>
      </w:r>
      <w:r w:rsidRPr="007400A1">
        <w:rPr>
          <w:szCs w:val="22"/>
        </w:rPr>
        <w:t>l</w:t>
      </w:r>
      <w:r w:rsidR="00795403">
        <w:rPr>
          <w:szCs w:val="22"/>
        </w:rPr>
        <w:t>e</w:t>
      </w:r>
      <w:r w:rsidRPr="007400A1">
        <w:rPr>
          <w:szCs w:val="22"/>
        </w:rPr>
        <w:t xml:space="preserve"> (i.e., the module that focuses on the service from which the participant was sampled.) </w:t>
      </w:r>
    </w:p>
    <w:p w:rsidRPr="007400A1" w:rsidR="00E95811" w:rsidP="00E95811" w:rsidRDefault="00E95811" w14:paraId="32D36E27" w14:textId="77777777">
      <w:pPr>
        <w:pStyle w:val="SL-FlLftSgl"/>
        <w:jc w:val="left"/>
        <w:rPr>
          <w:szCs w:val="22"/>
        </w:rPr>
      </w:pPr>
    </w:p>
    <w:p w:rsidRPr="007400A1" w:rsidR="00E95811" w:rsidP="00E95811" w:rsidRDefault="00E95811" w14:paraId="7435AF7F" w14:textId="77777777">
      <w:pPr>
        <w:pStyle w:val="SL-FlLftSgl"/>
        <w:jc w:val="left"/>
        <w:rPr>
          <w:szCs w:val="22"/>
        </w:rPr>
      </w:pPr>
      <w:r w:rsidRPr="007400A1">
        <w:rPr>
          <w:szCs w:val="22"/>
        </w:rPr>
        <w:t>The service modules include items on the extent to which the respondents use the service, consumer assessment of services, and self-reported outcomes, such as the ability to live independently at home</w:t>
      </w:r>
      <w:r>
        <w:rPr>
          <w:szCs w:val="22"/>
        </w:rPr>
        <w:t xml:space="preserve">. </w:t>
      </w:r>
      <w:r w:rsidRPr="007400A1">
        <w:rPr>
          <w:szCs w:val="22"/>
        </w:rPr>
        <w:t>The demographic module identifies age, living arrangements, race/ethnicity, and income categories</w:t>
      </w:r>
      <w:r>
        <w:rPr>
          <w:szCs w:val="22"/>
        </w:rPr>
        <w:t xml:space="preserve">. </w:t>
      </w:r>
      <w:r w:rsidRPr="007400A1">
        <w:rPr>
          <w:szCs w:val="22"/>
        </w:rPr>
        <w:t>The module on physical functioning identifies the extent to which respondents are able to care for themselves (e.g., bathe dress, eat, etc.) and are able to handle paying bills, going to the doctor, and grocery shopping, for example.</w:t>
      </w:r>
    </w:p>
    <w:p w:rsidR="00E95811" w:rsidP="00E95811" w:rsidRDefault="00E95811" w14:paraId="4A9A9977" w14:textId="77777777">
      <w:pPr>
        <w:pStyle w:val="SL-FlLftSgl"/>
        <w:jc w:val="left"/>
      </w:pPr>
    </w:p>
    <w:p w:rsidRPr="00D10446" w:rsidR="00E95811" w:rsidP="00E95811" w:rsidRDefault="00E95811" w14:paraId="6AB061C6" w14:textId="77777777">
      <w:pPr>
        <w:pStyle w:val="Heading1"/>
        <w:jc w:val="left"/>
        <w:rPr>
          <w:szCs w:val="22"/>
        </w:rPr>
      </w:pPr>
      <w:r w:rsidRPr="00D10446">
        <w:rPr>
          <w:szCs w:val="22"/>
        </w:rPr>
        <w:t>Quality Control Procedures</w:t>
      </w:r>
    </w:p>
    <w:p w:rsidR="00E95811" w:rsidP="00A96B1F" w:rsidRDefault="00E95811" w14:paraId="0BA3C70B" w14:textId="01492EC4">
      <w:pPr>
        <w:jc w:val="left"/>
      </w:pPr>
      <w:r>
        <w:t xml:space="preserve">Westat has quality control procedures in place for every phase of the project. Interviewers participate in rigorous training that includes general interviewer training and project specific training. </w:t>
      </w:r>
      <w:r w:rsidRPr="00A96B1F">
        <w:t>Trainers observe</w:t>
      </w:r>
      <w:r>
        <w:t xml:space="preserve"> interviewers conducting practice interviews</w:t>
      </w:r>
      <w:r w:rsidR="00A96B1F">
        <w:t>,</w:t>
      </w:r>
      <w:r>
        <w:t xml:space="preserve"> and they monitor interviewers during data collection. During data collection, data are checked to ensure that there are no outliers in the dataset. In addition, when questions are raised during an interview, interviewers complete a form </w:t>
      </w:r>
      <w:r w:rsidR="00A96B1F">
        <w:t>documenting</w:t>
      </w:r>
      <w:r>
        <w:t xml:space="preserve"> an ambiguous or inconsistent response. Researchers review the forms and make any necessary adjustments.</w:t>
      </w:r>
    </w:p>
    <w:p w:rsidRPr="001C767D" w:rsidR="00E95811" w:rsidP="00E95811" w:rsidRDefault="00E95811" w14:paraId="2517A9DE" w14:textId="77777777">
      <w:pPr>
        <w:pStyle w:val="SL-FlLftSgl"/>
        <w:jc w:val="left"/>
        <w:rPr>
          <w:rFonts w:ascii="Franklin Gothic Medium" w:hAnsi="Franklin Gothic Medium"/>
          <w:color w:val="365F91" w:themeColor="accent1" w:themeShade="BF"/>
          <w:sz w:val="28"/>
          <w:szCs w:val="28"/>
        </w:rPr>
      </w:pPr>
    </w:p>
    <w:p w:rsidRPr="001C767D" w:rsidR="00E95811" w:rsidP="00E95811" w:rsidRDefault="00E95811" w14:paraId="17DC7E52" w14:textId="77777777">
      <w:pPr>
        <w:pStyle w:val="SL-FlLftSgl"/>
        <w:jc w:val="left"/>
        <w:rPr>
          <w:b/>
          <w:sz w:val="28"/>
          <w:szCs w:val="28"/>
        </w:rPr>
      </w:pPr>
    </w:p>
    <w:p w:rsidRPr="00397B4B" w:rsidR="00E95811" w:rsidP="00E95811" w:rsidRDefault="00FB61A4" w14:paraId="00E6CD02" w14:textId="002CFC05">
      <w:pPr>
        <w:pStyle w:val="Heading1"/>
        <w:keepLines/>
        <w:jc w:val="left"/>
        <w:rPr>
          <w:rFonts w:ascii="Franklin Gothic Medium" w:hAnsi="Franklin Gothic Medium"/>
          <w:color w:val="17365D" w:themeColor="text2" w:themeShade="BF"/>
          <w:sz w:val="24"/>
          <w:szCs w:val="24"/>
        </w:rPr>
      </w:pPr>
      <w:r>
        <w:rPr>
          <w:rFonts w:ascii="Franklin Gothic Medium" w:hAnsi="Franklin Gothic Medium"/>
          <w:color w:val="17365D" w:themeColor="text2" w:themeShade="BF"/>
          <w:sz w:val="24"/>
          <w:szCs w:val="24"/>
        </w:rPr>
        <w:lastRenderedPageBreak/>
        <w:t>B.2.3</w:t>
      </w:r>
      <w:r>
        <w:rPr>
          <w:rFonts w:ascii="Franklin Gothic Medium" w:hAnsi="Franklin Gothic Medium"/>
          <w:color w:val="17365D" w:themeColor="text2" w:themeShade="BF"/>
          <w:sz w:val="24"/>
          <w:szCs w:val="24"/>
        </w:rPr>
        <w:tab/>
      </w:r>
      <w:r>
        <w:rPr>
          <w:rFonts w:ascii="Franklin Gothic Medium" w:hAnsi="Franklin Gothic Medium"/>
          <w:color w:val="17365D" w:themeColor="text2" w:themeShade="BF"/>
          <w:sz w:val="24"/>
          <w:szCs w:val="24"/>
        </w:rPr>
        <w:tab/>
      </w:r>
      <w:r w:rsidRPr="00397B4B" w:rsidR="00E95811">
        <w:rPr>
          <w:rFonts w:ascii="Franklin Gothic Medium" w:hAnsi="Franklin Gothic Medium"/>
          <w:color w:val="17365D" w:themeColor="text2" w:themeShade="BF"/>
          <w:sz w:val="24"/>
          <w:szCs w:val="24"/>
        </w:rPr>
        <w:t xml:space="preserve">Sampling Plan </w:t>
      </w:r>
    </w:p>
    <w:p w:rsidRPr="00397B4B" w:rsidR="00E95811" w:rsidP="00E95811" w:rsidRDefault="00FB61A4" w14:paraId="31538890" w14:textId="1BB4A1AE">
      <w:pPr>
        <w:pStyle w:val="Heading1"/>
        <w:keepLines/>
        <w:jc w:val="left"/>
        <w:rPr>
          <w:rFonts w:ascii="Franklin Gothic Medium" w:hAnsi="Franklin Gothic Medium"/>
          <w:color w:val="17365D" w:themeColor="text2" w:themeShade="BF"/>
          <w:sz w:val="24"/>
          <w:szCs w:val="24"/>
        </w:rPr>
      </w:pPr>
      <w:r>
        <w:rPr>
          <w:rFonts w:ascii="Franklin Gothic Medium" w:hAnsi="Franklin Gothic Medium"/>
          <w:color w:val="17365D" w:themeColor="text2" w:themeShade="BF"/>
          <w:sz w:val="24"/>
          <w:szCs w:val="24"/>
        </w:rPr>
        <w:t>B.2.3.1</w:t>
      </w:r>
      <w:r>
        <w:rPr>
          <w:rFonts w:ascii="Franklin Gothic Medium" w:hAnsi="Franklin Gothic Medium"/>
          <w:color w:val="17365D" w:themeColor="text2" w:themeShade="BF"/>
          <w:sz w:val="24"/>
          <w:szCs w:val="24"/>
        </w:rPr>
        <w:tab/>
      </w:r>
      <w:r>
        <w:rPr>
          <w:rFonts w:ascii="Franklin Gothic Medium" w:hAnsi="Franklin Gothic Medium"/>
          <w:color w:val="17365D" w:themeColor="text2" w:themeShade="BF"/>
          <w:sz w:val="24"/>
          <w:szCs w:val="24"/>
        </w:rPr>
        <w:tab/>
      </w:r>
      <w:r w:rsidRPr="00397B4B" w:rsidR="00E95811">
        <w:rPr>
          <w:rFonts w:ascii="Franklin Gothic Medium" w:hAnsi="Franklin Gothic Medium"/>
          <w:color w:val="17365D" w:themeColor="text2" w:themeShade="BF"/>
          <w:sz w:val="24"/>
          <w:szCs w:val="24"/>
        </w:rPr>
        <w:t>Sample Design</w:t>
      </w:r>
    </w:p>
    <w:p w:rsidR="00E95811" w:rsidP="00E95811" w:rsidRDefault="00E95811" w14:paraId="6CAAD70D" w14:textId="139F91AE">
      <w:pPr>
        <w:keepNext/>
        <w:keepLines/>
        <w:spacing w:line="240" w:lineRule="auto"/>
        <w:jc w:val="left"/>
        <w:rPr>
          <w:szCs w:val="22"/>
        </w:rPr>
      </w:pPr>
      <w:r w:rsidRPr="004820BD">
        <w:rPr>
          <w:szCs w:val="22"/>
        </w:rPr>
        <w:t xml:space="preserve">The sample design for the </w:t>
      </w:r>
      <w:r>
        <w:rPr>
          <w:szCs w:val="22"/>
        </w:rPr>
        <w:t>1</w:t>
      </w:r>
      <w:r w:rsidR="00063073">
        <w:rPr>
          <w:szCs w:val="22"/>
        </w:rPr>
        <w:t>5</w:t>
      </w:r>
      <w:r>
        <w:rPr>
          <w:szCs w:val="22"/>
        </w:rPr>
        <w:t>th</w:t>
      </w:r>
      <w:r w:rsidRPr="004820BD">
        <w:rPr>
          <w:szCs w:val="22"/>
        </w:rPr>
        <w:t xml:space="preserve"> survey will consist of two stages, with a sample of </w:t>
      </w:r>
      <w:r>
        <w:rPr>
          <w:szCs w:val="22"/>
        </w:rPr>
        <w:t xml:space="preserve">approximately </w:t>
      </w:r>
      <w:r w:rsidRPr="00B431BA">
        <w:rPr>
          <w:szCs w:val="22"/>
        </w:rPr>
        <w:t>3</w:t>
      </w:r>
      <w:r w:rsidRPr="00B431BA" w:rsidR="005C77A7">
        <w:rPr>
          <w:szCs w:val="22"/>
        </w:rPr>
        <w:t>5</w:t>
      </w:r>
      <w:r w:rsidRPr="00B431BA">
        <w:rPr>
          <w:szCs w:val="22"/>
        </w:rPr>
        <w:t>0</w:t>
      </w:r>
      <w:r>
        <w:rPr>
          <w:szCs w:val="22"/>
        </w:rPr>
        <w:t xml:space="preserve"> </w:t>
      </w:r>
      <w:r w:rsidRPr="004820BD">
        <w:rPr>
          <w:szCs w:val="22"/>
        </w:rPr>
        <w:t xml:space="preserve">AAAs in the first stage and a sample of clients, by service </w:t>
      </w:r>
      <w:r>
        <w:rPr>
          <w:szCs w:val="22"/>
        </w:rPr>
        <w:t xml:space="preserve">type, </w:t>
      </w:r>
      <w:r w:rsidRPr="004820BD">
        <w:rPr>
          <w:szCs w:val="22"/>
        </w:rPr>
        <w:t>from each selected AAA, in the second stage</w:t>
      </w:r>
      <w:r>
        <w:rPr>
          <w:szCs w:val="22"/>
        </w:rPr>
        <w:t xml:space="preserve">. </w:t>
      </w:r>
      <w:r w:rsidRPr="004820BD">
        <w:rPr>
          <w:szCs w:val="22"/>
        </w:rPr>
        <w:t>Th</w:t>
      </w:r>
      <w:r>
        <w:rPr>
          <w:szCs w:val="22"/>
        </w:rPr>
        <w:t>is design is similar to that</w:t>
      </w:r>
      <w:r w:rsidRPr="004820BD">
        <w:rPr>
          <w:szCs w:val="22"/>
        </w:rPr>
        <w:t xml:space="preserve"> of the </w:t>
      </w:r>
      <w:r>
        <w:rPr>
          <w:szCs w:val="22"/>
        </w:rPr>
        <w:t>3</w:t>
      </w:r>
      <w:r w:rsidRPr="0014502C">
        <w:rPr>
          <w:szCs w:val="22"/>
          <w:vertAlign w:val="superscript"/>
        </w:rPr>
        <w:t>rd</w:t>
      </w:r>
      <w:r>
        <w:rPr>
          <w:szCs w:val="22"/>
        </w:rPr>
        <w:t>-1</w:t>
      </w:r>
      <w:r w:rsidR="009A292C">
        <w:rPr>
          <w:szCs w:val="22"/>
        </w:rPr>
        <w:t>4</w:t>
      </w:r>
      <w:r>
        <w:rPr>
          <w:szCs w:val="22"/>
        </w:rPr>
        <w:t xml:space="preserve">th </w:t>
      </w:r>
      <w:r w:rsidRPr="004820BD">
        <w:rPr>
          <w:szCs w:val="22"/>
        </w:rPr>
        <w:t>survey</w:t>
      </w:r>
      <w:r>
        <w:rPr>
          <w:szCs w:val="22"/>
        </w:rPr>
        <w:t>s. The client sample sizes by service type, as specified by ACL, are as follows:</w:t>
      </w:r>
    </w:p>
    <w:p w:rsidR="00E95811" w:rsidP="00E95811" w:rsidRDefault="00E95811" w14:paraId="7108F1C9" w14:textId="77777777">
      <w:pPr>
        <w:spacing w:line="240" w:lineRule="auto"/>
        <w:jc w:val="left"/>
        <w:rPr>
          <w:szCs w:val="22"/>
        </w:rPr>
      </w:pPr>
    </w:p>
    <w:p w:rsidR="00E95811" w:rsidP="00E95811" w:rsidRDefault="00E95811" w14:paraId="7F30AF5E" w14:textId="42B7DB7C">
      <w:pPr>
        <w:numPr>
          <w:ilvl w:val="0"/>
          <w:numId w:val="48"/>
        </w:numPr>
        <w:spacing w:line="240" w:lineRule="auto"/>
        <w:jc w:val="left"/>
        <w:rPr>
          <w:szCs w:val="22"/>
        </w:rPr>
      </w:pPr>
      <w:r>
        <w:rPr>
          <w:szCs w:val="22"/>
        </w:rPr>
        <w:t>Caregiver Services</w:t>
      </w:r>
      <w:r>
        <w:rPr>
          <w:szCs w:val="22"/>
        </w:rPr>
        <w:tab/>
      </w:r>
      <w:r>
        <w:rPr>
          <w:szCs w:val="22"/>
        </w:rPr>
        <w:tab/>
      </w:r>
      <w:r>
        <w:rPr>
          <w:szCs w:val="22"/>
        </w:rPr>
        <w:tab/>
        <w:t>2,</w:t>
      </w:r>
      <w:r w:rsidR="00AE2D06">
        <w:rPr>
          <w:szCs w:val="22"/>
        </w:rPr>
        <w:t>2</w:t>
      </w:r>
      <w:r>
        <w:rPr>
          <w:szCs w:val="22"/>
        </w:rPr>
        <w:t>00</w:t>
      </w:r>
    </w:p>
    <w:p w:rsidR="00E95811" w:rsidP="00E95811" w:rsidRDefault="00E95811" w14:paraId="09C49307" w14:textId="226BEFE0">
      <w:pPr>
        <w:numPr>
          <w:ilvl w:val="0"/>
          <w:numId w:val="48"/>
        </w:numPr>
        <w:spacing w:line="240" w:lineRule="auto"/>
        <w:jc w:val="left"/>
        <w:rPr>
          <w:szCs w:val="22"/>
        </w:rPr>
      </w:pPr>
      <w:r>
        <w:rPr>
          <w:szCs w:val="22"/>
        </w:rPr>
        <w:t>Home Delivered Meals</w:t>
      </w:r>
      <w:r>
        <w:rPr>
          <w:szCs w:val="22"/>
        </w:rPr>
        <w:tab/>
      </w:r>
      <w:r>
        <w:rPr>
          <w:szCs w:val="22"/>
        </w:rPr>
        <w:tab/>
        <w:t>1,</w:t>
      </w:r>
      <w:r w:rsidR="00AE2D06">
        <w:rPr>
          <w:szCs w:val="22"/>
        </w:rPr>
        <w:t>1</w:t>
      </w:r>
      <w:r>
        <w:rPr>
          <w:szCs w:val="22"/>
        </w:rPr>
        <w:t>00</w:t>
      </w:r>
    </w:p>
    <w:p w:rsidR="00E95811" w:rsidP="00E95811" w:rsidRDefault="00E95811" w14:paraId="554919FB" w14:textId="21DE3753">
      <w:pPr>
        <w:numPr>
          <w:ilvl w:val="0"/>
          <w:numId w:val="48"/>
        </w:numPr>
        <w:spacing w:line="240" w:lineRule="auto"/>
        <w:jc w:val="left"/>
        <w:rPr>
          <w:szCs w:val="22"/>
        </w:rPr>
      </w:pPr>
      <w:r>
        <w:rPr>
          <w:szCs w:val="22"/>
        </w:rPr>
        <w:t>Congregate Meals</w:t>
      </w:r>
      <w:r>
        <w:rPr>
          <w:szCs w:val="22"/>
        </w:rPr>
        <w:tab/>
      </w:r>
      <w:r>
        <w:rPr>
          <w:szCs w:val="22"/>
        </w:rPr>
        <w:tab/>
      </w:r>
      <w:r>
        <w:rPr>
          <w:szCs w:val="22"/>
        </w:rPr>
        <w:tab/>
        <w:t>1,</w:t>
      </w:r>
      <w:r w:rsidR="00AE2D06">
        <w:rPr>
          <w:szCs w:val="22"/>
        </w:rPr>
        <w:t>1</w:t>
      </w:r>
      <w:r>
        <w:rPr>
          <w:szCs w:val="22"/>
        </w:rPr>
        <w:t>00</w:t>
      </w:r>
    </w:p>
    <w:p w:rsidR="00E95811" w:rsidP="00E95811" w:rsidRDefault="00E95811" w14:paraId="707692FD" w14:textId="64FD218C">
      <w:pPr>
        <w:numPr>
          <w:ilvl w:val="0"/>
          <w:numId w:val="48"/>
        </w:numPr>
        <w:spacing w:line="240" w:lineRule="auto"/>
        <w:jc w:val="left"/>
        <w:rPr>
          <w:szCs w:val="22"/>
        </w:rPr>
      </w:pPr>
      <w:r>
        <w:rPr>
          <w:szCs w:val="22"/>
        </w:rPr>
        <w:t>Case Management Services</w:t>
      </w:r>
      <w:r>
        <w:rPr>
          <w:szCs w:val="22"/>
        </w:rPr>
        <w:tab/>
      </w:r>
      <w:r>
        <w:rPr>
          <w:szCs w:val="22"/>
        </w:rPr>
        <w:tab/>
        <w:t xml:space="preserve">   5</w:t>
      </w:r>
      <w:r w:rsidR="00AE2D06">
        <w:rPr>
          <w:szCs w:val="22"/>
        </w:rPr>
        <w:t>5</w:t>
      </w:r>
      <w:r>
        <w:rPr>
          <w:szCs w:val="22"/>
        </w:rPr>
        <w:t>0</w:t>
      </w:r>
    </w:p>
    <w:p w:rsidR="00E95811" w:rsidP="00E95811" w:rsidRDefault="00E95811" w14:paraId="0FF1E7D4" w14:textId="5DFCF31D">
      <w:pPr>
        <w:numPr>
          <w:ilvl w:val="0"/>
          <w:numId w:val="48"/>
        </w:numPr>
        <w:spacing w:line="240" w:lineRule="auto"/>
        <w:jc w:val="left"/>
        <w:rPr>
          <w:szCs w:val="22"/>
        </w:rPr>
      </w:pPr>
      <w:r>
        <w:rPr>
          <w:szCs w:val="22"/>
        </w:rPr>
        <w:t>Transportation</w:t>
      </w:r>
      <w:r>
        <w:rPr>
          <w:szCs w:val="22"/>
        </w:rPr>
        <w:tab/>
        <w:t xml:space="preserve"> Services</w:t>
      </w:r>
      <w:r>
        <w:rPr>
          <w:szCs w:val="22"/>
        </w:rPr>
        <w:tab/>
      </w:r>
      <w:r>
        <w:rPr>
          <w:szCs w:val="22"/>
        </w:rPr>
        <w:tab/>
        <w:t>1,</w:t>
      </w:r>
      <w:r w:rsidR="00AE2D06">
        <w:rPr>
          <w:szCs w:val="22"/>
        </w:rPr>
        <w:t>1</w:t>
      </w:r>
      <w:r>
        <w:rPr>
          <w:szCs w:val="22"/>
        </w:rPr>
        <w:t>00</w:t>
      </w:r>
    </w:p>
    <w:p w:rsidR="00E95811" w:rsidP="00E95811" w:rsidRDefault="00E95811" w14:paraId="4E57637E" w14:textId="4C079805">
      <w:pPr>
        <w:numPr>
          <w:ilvl w:val="0"/>
          <w:numId w:val="48"/>
        </w:numPr>
        <w:spacing w:line="240" w:lineRule="auto"/>
        <w:jc w:val="left"/>
        <w:rPr>
          <w:szCs w:val="22"/>
        </w:rPr>
      </w:pPr>
      <w:r>
        <w:rPr>
          <w:szCs w:val="22"/>
        </w:rPr>
        <w:t>Homemaker Services</w:t>
      </w:r>
      <w:r>
        <w:rPr>
          <w:szCs w:val="22"/>
        </w:rPr>
        <w:tab/>
      </w:r>
      <w:r>
        <w:rPr>
          <w:szCs w:val="22"/>
        </w:rPr>
        <w:tab/>
      </w:r>
      <w:r>
        <w:rPr>
          <w:szCs w:val="22"/>
        </w:rPr>
        <w:tab/>
        <w:t xml:space="preserve">   5</w:t>
      </w:r>
      <w:r w:rsidR="00AE2D06">
        <w:rPr>
          <w:szCs w:val="22"/>
        </w:rPr>
        <w:t>5</w:t>
      </w:r>
      <w:r>
        <w:rPr>
          <w:szCs w:val="22"/>
        </w:rPr>
        <w:t>0</w:t>
      </w:r>
    </w:p>
    <w:p w:rsidR="00772D29" w:rsidP="00E95811" w:rsidRDefault="00772D29" w14:paraId="2B0840AF" w14:textId="77777777">
      <w:pPr>
        <w:spacing w:line="240" w:lineRule="auto"/>
        <w:jc w:val="left"/>
        <w:rPr>
          <w:szCs w:val="22"/>
        </w:rPr>
      </w:pPr>
    </w:p>
    <w:p w:rsidRPr="00A96B1F" w:rsidR="00E95811" w:rsidP="00E95811" w:rsidRDefault="00E95811" w14:paraId="0C769D11" w14:textId="5334C8CD">
      <w:pPr>
        <w:spacing w:line="240" w:lineRule="auto"/>
        <w:jc w:val="left"/>
        <w:rPr>
          <w:strike/>
          <w:szCs w:val="22"/>
        </w:rPr>
      </w:pPr>
      <w:r w:rsidRPr="00A96B1F">
        <w:rPr>
          <w:szCs w:val="22"/>
        </w:rPr>
        <w:t>As in the 3rd through 1</w:t>
      </w:r>
      <w:r w:rsidRPr="00A96B1F" w:rsidR="009A292C">
        <w:rPr>
          <w:szCs w:val="22"/>
        </w:rPr>
        <w:t>4</w:t>
      </w:r>
      <w:r w:rsidRPr="00A96B1F">
        <w:rPr>
          <w:szCs w:val="22"/>
          <w:vertAlign w:val="superscript"/>
        </w:rPr>
        <w:t>th</w:t>
      </w:r>
      <w:r w:rsidRPr="00A96B1F">
        <w:rPr>
          <w:szCs w:val="22"/>
        </w:rPr>
        <w:t xml:space="preserve"> surveys, these sample sizes will permit the production of reliable estimates both at the national level and at the geographic regional or demographic sub-group level. </w:t>
      </w:r>
    </w:p>
    <w:p w:rsidRPr="00A96B1F" w:rsidR="00E95811" w:rsidP="00E95811" w:rsidRDefault="00E95811" w14:paraId="3D743A91" w14:textId="77777777">
      <w:pPr>
        <w:spacing w:line="240" w:lineRule="auto"/>
        <w:jc w:val="left"/>
        <w:rPr>
          <w:szCs w:val="22"/>
        </w:rPr>
      </w:pPr>
    </w:p>
    <w:p w:rsidRPr="00FC56CE" w:rsidR="00E95811" w:rsidP="00E95811" w:rsidRDefault="00E95811" w14:paraId="2EF798A8" w14:textId="137F9DDB">
      <w:pPr>
        <w:pStyle w:val="P1-StandPara"/>
        <w:spacing w:line="240" w:lineRule="auto"/>
        <w:ind w:firstLine="0"/>
        <w:jc w:val="left"/>
        <w:rPr>
          <w:szCs w:val="22"/>
        </w:rPr>
      </w:pPr>
      <w:r w:rsidRPr="00A96B1F">
        <w:rPr>
          <w:szCs w:val="22"/>
        </w:rPr>
        <w:t xml:space="preserve">For a two-stage design, Table B-1 presents the half-widths of the 95 percent </w:t>
      </w:r>
      <w:r w:rsidRPr="00DF6381">
        <w:rPr>
          <w:szCs w:val="22"/>
        </w:rPr>
        <w:t>confidence interval</w:t>
      </w:r>
      <w:r w:rsidRPr="00A96B1F">
        <w:rPr>
          <w:szCs w:val="22"/>
        </w:rPr>
        <w:t xml:space="preserve">s (CI) for various sample sizes and for cross-sectional estimates of target characteristics of proportions ranging from </w:t>
      </w:r>
      <w:r w:rsidRPr="00A92D17">
        <w:rPr>
          <w:szCs w:val="22"/>
        </w:rPr>
        <w:t>10 percent to 50 percent.</w:t>
      </w:r>
      <w:r w:rsidRPr="00A92D17" w:rsidR="001D311E">
        <w:rPr>
          <w:rStyle w:val="FootnoteReference"/>
          <w:szCs w:val="22"/>
          <w:vertAlign w:val="superscript"/>
        </w:rPr>
        <w:footnoteReference w:customMarkFollows="1" w:id="7"/>
        <w:t>7</w:t>
      </w:r>
      <w:r w:rsidRPr="00A92D17">
        <w:rPr>
          <w:szCs w:val="22"/>
          <w:vertAlign w:val="superscript"/>
        </w:rPr>
        <w:t xml:space="preserve"> </w:t>
      </w:r>
      <w:r w:rsidRPr="00A92D17">
        <w:rPr>
          <w:szCs w:val="22"/>
        </w:rPr>
        <w:t xml:space="preserve"> The 50 percent target is a worst-case scenario, where respondents are expected to be fairly evenly split on a particular response item, limiting the reliability of the estimate (e.g., such as trying to predict the outcome of an election</w:t>
      </w:r>
      <w:r w:rsidRPr="00A96B1F">
        <w:rPr>
          <w:szCs w:val="22"/>
        </w:rPr>
        <w:t xml:space="preserve"> where the sample of voters is about evenly divided between two candidates). Also, the precision of any estimate greater than 50 percent is the same as that of its complement, i.e., the precision of a 70 percent estimate is the same as the precision of a 30 percent estimate. The numbers in the tables are half-widths of 95 percent CIs, (i.e., the estimate,</w:t>
      </w:r>
      <w:r w:rsidRPr="00A96B1F">
        <w:rPr>
          <w:snapToGrid w:val="0"/>
          <w:position w:val="-4"/>
          <w:szCs w:val="22"/>
        </w:rPr>
        <w:object w:dxaOrig="220" w:dyaOrig="240" w14:anchorId="66FEE99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pt;height:14pt" fillcolor="window" o:ole="" type="#_x0000_t75">
            <v:imagedata o:title="" r:id="rId13"/>
          </v:shape>
          <o:OLEObject Type="Embed" ProgID="Equation.DSMT4" ShapeID="_x0000_i1025" DrawAspect="Content" ObjectID="_1683361480" r:id="rId14"/>
        </w:object>
      </w:r>
      <w:r w:rsidRPr="00A96B1F">
        <w:rPr>
          <w:snapToGrid w:val="0"/>
          <w:szCs w:val="22"/>
        </w:rPr>
        <w:t xml:space="preserve"> the half-width is the CI</w:t>
      </w:r>
      <w:r w:rsidRPr="00A96B1F">
        <w:rPr>
          <w:szCs w:val="22"/>
        </w:rPr>
        <w:t xml:space="preserve">, where half-width is 1.96 times the standard error (SE) of an estimate). For example, Table B-1 </w:t>
      </w:r>
      <w:r w:rsidRPr="00FC56CE">
        <w:rPr>
          <w:szCs w:val="22"/>
        </w:rPr>
        <w:t xml:space="preserve">shows that for a sample of size 1,000, for a target characteristic of around 30 percent, the CI would be the estimate </w:t>
      </w:r>
      <w:r w:rsidRPr="00FC56CE">
        <w:rPr>
          <w:snapToGrid w:val="0"/>
          <w:position w:val="-4"/>
          <w:szCs w:val="22"/>
        </w:rPr>
        <w:object w:dxaOrig="220" w:dyaOrig="240" w14:anchorId="5C54CF53">
          <v:shape id="_x0000_i1026" style="width:12pt;height:14pt" o:ole="" type="#_x0000_t75">
            <v:imagedata o:title="" r:id="rId15"/>
          </v:shape>
          <o:OLEObject Type="Embed" ProgID="Equation.3" ShapeID="_x0000_i1026" DrawAspect="Content" ObjectID="_1683361481" r:id="rId16"/>
        </w:object>
      </w:r>
      <w:r w:rsidRPr="00FC56CE">
        <w:rPr>
          <w:snapToGrid w:val="0"/>
          <w:szCs w:val="22"/>
        </w:rPr>
        <w:t>3</w:t>
      </w:r>
      <w:r w:rsidRPr="00FC56CE">
        <w:rPr>
          <w:szCs w:val="22"/>
        </w:rPr>
        <w:t>.24 percent.</w:t>
      </w:r>
    </w:p>
    <w:p w:rsidRPr="00FC56CE" w:rsidR="00E95811" w:rsidP="00E95811" w:rsidRDefault="00E95811" w14:paraId="6BA81F8C" w14:textId="77777777">
      <w:pPr>
        <w:pStyle w:val="P1-StandPara"/>
        <w:spacing w:line="240" w:lineRule="auto"/>
        <w:jc w:val="left"/>
        <w:rPr>
          <w:szCs w:val="22"/>
        </w:rPr>
      </w:pPr>
    </w:p>
    <w:p w:rsidRPr="00FC56CE" w:rsidR="00E95811" w:rsidP="00E95811" w:rsidRDefault="00E95811" w14:paraId="2BCF38BE" w14:textId="77777777">
      <w:pPr>
        <w:pStyle w:val="P1-StandPara"/>
        <w:spacing w:line="240" w:lineRule="auto"/>
        <w:ind w:firstLine="0"/>
        <w:jc w:val="left"/>
        <w:rPr>
          <w:szCs w:val="22"/>
        </w:rPr>
      </w:pPr>
      <w:r w:rsidRPr="00FC56CE">
        <w:rPr>
          <w:szCs w:val="22"/>
        </w:rPr>
        <w:t>The table can be used to assess the adequacy of the sample sizes for both the national, and the regional or sub-group level estimates. For example, if the sample size is 1,000 at the national level then the sixth row in Table B-1 would provide the precision of the estimates at the national level. From the same table, the precision of an estimate at the regional or sub-group level can be obtained by computing the sample size that is expected for a particular region. For instance, if the region covers 25 percent of the target population, then the sample size for that region is expected to be about 250 (out of 1,000) under a proportional allocation, and the precision of the estimates for that region can be checked from the row where the sample size equals 250 in Table B-1. Similarly, if a sub-group covers 10 percent of the target population then the expected sample size for that sub-group is 100 out of 1,000 and the precision of the estimates for that sub-group can be checked from the row with sample size equal 100.</w:t>
      </w:r>
    </w:p>
    <w:p w:rsidRPr="00FC56CE" w:rsidR="00E95811" w:rsidP="00E95811" w:rsidRDefault="00E95811" w14:paraId="47C0A6AB" w14:textId="77777777">
      <w:pPr>
        <w:pStyle w:val="P1-StandPara"/>
        <w:spacing w:line="240" w:lineRule="auto"/>
        <w:ind w:firstLine="720"/>
        <w:jc w:val="left"/>
        <w:rPr>
          <w:szCs w:val="22"/>
        </w:rPr>
      </w:pPr>
    </w:p>
    <w:p w:rsidRPr="00FC56CE" w:rsidR="00E95811" w:rsidP="00E95811" w:rsidRDefault="00E95811" w14:paraId="44C6B933" w14:textId="77777777">
      <w:pPr>
        <w:pStyle w:val="P1-StandPara"/>
        <w:spacing w:line="240" w:lineRule="auto"/>
        <w:ind w:firstLine="0"/>
        <w:jc w:val="left"/>
        <w:rPr>
          <w:szCs w:val="22"/>
        </w:rPr>
      </w:pPr>
      <w:r w:rsidRPr="00FC56CE">
        <w:rPr>
          <w:szCs w:val="22"/>
        </w:rPr>
        <w:lastRenderedPageBreak/>
        <w:t>The total size of the target population has a negligible impact on the requirement of the sample size. For example, if a sample size of 250 is required to produce an estimate at the national level, then to estimate the same characteristic for a particular region (with the same level of precision), the required sample size from that region alone would be about 250. If there are four regions, then the required sample size at the national level would be about 1,000 (to guarantee adequate representation in each group). Therefore, to meet the objective of the proposed survey (i.e., to produce estimates at the regional or sub-group level with the same level of precision as the national estimates obtained from previous studies), the required sample size for each target region or sub-group will have to be the same as the total sample size of the previous studies.</w:t>
      </w:r>
    </w:p>
    <w:p w:rsidRPr="00FC56CE" w:rsidR="00E95811" w:rsidP="00E95811" w:rsidRDefault="00E95811" w14:paraId="16BBB385" w14:textId="77777777">
      <w:pPr>
        <w:pStyle w:val="P1-StandPara"/>
        <w:spacing w:line="240" w:lineRule="auto"/>
        <w:ind w:firstLine="0"/>
        <w:jc w:val="left"/>
        <w:rPr>
          <w:szCs w:val="22"/>
        </w:rPr>
      </w:pPr>
    </w:p>
    <w:p w:rsidRPr="00A96B1F" w:rsidR="00E95811" w:rsidP="00E95811" w:rsidRDefault="00E95811" w14:paraId="484F9B76" w14:textId="46C74FDB">
      <w:pPr>
        <w:pStyle w:val="P1-StandPara"/>
        <w:spacing w:line="240" w:lineRule="auto"/>
        <w:ind w:firstLine="0"/>
        <w:jc w:val="left"/>
        <w:rPr>
          <w:szCs w:val="22"/>
        </w:rPr>
      </w:pPr>
      <w:r w:rsidRPr="00FC56CE">
        <w:rPr>
          <w:szCs w:val="22"/>
        </w:rPr>
        <w:t xml:space="preserve">For instance, a question was asked in the first national survey about the timeliness of the delivery of meals and an estimated 44 percent of all clients reported that the meals arrived on time, all the time. This estimate </w:t>
      </w:r>
      <w:proofErr w:type="gramStart"/>
      <w:r w:rsidRPr="00FC56CE">
        <w:rPr>
          <w:szCs w:val="22"/>
        </w:rPr>
        <w:t>was based</w:t>
      </w:r>
      <w:proofErr w:type="gramEnd"/>
      <w:r w:rsidRPr="00FC56CE">
        <w:rPr>
          <w:szCs w:val="22"/>
        </w:rPr>
        <w:t xml:space="preserve"> on a sample of 472 clients and had a CI of </w:t>
      </w:r>
      <w:r w:rsidRPr="00FC56CE">
        <w:rPr>
          <w:position w:val="-4"/>
          <w:szCs w:val="22"/>
        </w:rPr>
        <w:object w:dxaOrig="200" w:dyaOrig="220" w14:anchorId="3CA29232">
          <v:shape id="_x0000_i1027" style="width:12pt;height:12pt" o:ole="" type="#_x0000_t75">
            <v:imagedata o:title="" r:id="rId17"/>
          </v:shape>
          <o:OLEObject Type="Embed" ProgID="Equation.3" ShapeID="_x0000_i1027" DrawAspect="Content" ObjectID="_1683361482" r:id="rId18"/>
        </w:object>
      </w:r>
      <w:r w:rsidRPr="00FC56CE">
        <w:rPr>
          <w:szCs w:val="22"/>
        </w:rPr>
        <w:t xml:space="preserve">5.2 percent. Table B-1 shows that to achieve a CI of </w:t>
      </w:r>
      <w:r w:rsidRPr="00FC56CE">
        <w:rPr>
          <w:position w:val="-4"/>
          <w:szCs w:val="22"/>
        </w:rPr>
        <w:object w:dxaOrig="200" w:dyaOrig="220" w14:anchorId="43CF6959">
          <v:shape id="_x0000_i1028" style="width:12pt;height:12pt" o:ole="" type="#_x0000_t75">
            <v:imagedata o:title="" r:id="rId17"/>
          </v:shape>
          <o:OLEObject Type="Embed" ProgID="Equation.3" ShapeID="_x0000_i1028" DrawAspect="Content" ObjectID="_1683361483" r:id="rId19"/>
        </w:object>
      </w:r>
      <w:r w:rsidRPr="00FC56CE">
        <w:rPr>
          <w:szCs w:val="22"/>
        </w:rPr>
        <w:t>5.2 percent for an estimate, with a proportion between 40 percent and 50 percent, a sample of size around 480 is required. That means if this estimate is required at the regional level with the same level of confidence as the national, then the sample size in each region will have to be 480 and hence the sample size at the national level will be 480x4=1,920. In that case, the CI for this estimate at the national level would be much more precise than for the region (</w:t>
      </w:r>
      <w:r w:rsidRPr="00FC56CE" w:rsidR="00795403">
        <w:rPr>
          <w:szCs w:val="22"/>
        </w:rPr>
        <w:t xml:space="preserve">a </w:t>
      </w:r>
      <w:r w:rsidRPr="00FC56CE">
        <w:rPr>
          <w:szCs w:val="22"/>
        </w:rPr>
        <w:t xml:space="preserve">little over </w:t>
      </w:r>
      <w:r w:rsidRPr="00FC56CE">
        <w:rPr>
          <w:position w:val="-4"/>
          <w:szCs w:val="22"/>
        </w:rPr>
        <w:object w:dxaOrig="200" w:dyaOrig="220" w14:anchorId="0709455D">
          <v:shape id="_x0000_i1029" style="width:12pt;height:12pt" o:ole="" type="#_x0000_t75">
            <v:imagedata o:title="" r:id="rId20"/>
          </v:shape>
          <o:OLEObject Type="Embed" ProgID="Equation.3" ShapeID="_x0000_i1029" DrawAspect="Content" ObjectID="_1683361484" r:id="rId21"/>
        </w:object>
      </w:r>
      <w:r w:rsidRPr="00FC56CE">
        <w:rPr>
          <w:szCs w:val="22"/>
        </w:rPr>
        <w:t xml:space="preserve">2.5 percent). Table B-1 can be used to see the precisions of the estimates that would be achieved at various levels using the expected sample sizes at the respective levels. </w:t>
      </w:r>
      <w:r w:rsidR="00FC56CE">
        <w:rPr>
          <w:szCs w:val="22"/>
        </w:rPr>
        <w:t>T</w:t>
      </w:r>
      <w:r w:rsidRPr="00FC56CE">
        <w:rPr>
          <w:szCs w:val="22"/>
        </w:rPr>
        <w:t>he table can also be used to check the sample size requirement corresponding to a desired level of precision of an estimate.</w:t>
      </w:r>
    </w:p>
    <w:p w:rsidRPr="00AD2088" w:rsidR="00E95811" w:rsidP="00E95811" w:rsidRDefault="00E95811" w14:paraId="310BCCD8" w14:textId="77777777">
      <w:pPr>
        <w:pStyle w:val="P1-StandPara"/>
        <w:spacing w:line="240" w:lineRule="auto"/>
        <w:ind w:firstLine="0"/>
        <w:jc w:val="left"/>
        <w:rPr>
          <w:szCs w:val="22"/>
        </w:rPr>
      </w:pPr>
    </w:p>
    <w:p w:rsidRPr="00E00C43" w:rsidR="00E95811" w:rsidP="00E95811" w:rsidRDefault="00E95811" w14:paraId="2CBE3F2E" w14:textId="77777777">
      <w:pPr>
        <w:pStyle w:val="P1-StandPara"/>
        <w:spacing w:line="240" w:lineRule="auto"/>
        <w:ind w:firstLine="0"/>
        <w:jc w:val="left"/>
        <w:rPr>
          <w:szCs w:val="22"/>
        </w:rPr>
      </w:pPr>
    </w:p>
    <w:p w:rsidRPr="00FC56CE" w:rsidR="00E95811" w:rsidP="00E95811" w:rsidRDefault="00E95811" w14:paraId="198A90D8" w14:textId="77777777">
      <w:pPr>
        <w:pStyle w:val="TT-TableTitle"/>
        <w:tabs>
          <w:tab w:val="left" w:pos="900"/>
        </w:tabs>
        <w:spacing w:after="120" w:line="240" w:lineRule="auto"/>
        <w:rPr>
          <w:rFonts w:ascii="Franklin Gothic Medium" w:hAnsi="Franklin Gothic Medium"/>
          <w:b/>
          <w:color w:val="17365D" w:themeColor="text2" w:themeShade="BF"/>
          <w:sz w:val="24"/>
          <w:szCs w:val="24"/>
        </w:rPr>
      </w:pPr>
      <w:r w:rsidRPr="00FC56CE">
        <w:rPr>
          <w:rFonts w:ascii="Franklin Gothic Medium" w:hAnsi="Franklin Gothic Medium"/>
          <w:color w:val="17365D" w:themeColor="text2" w:themeShade="BF"/>
          <w:sz w:val="24"/>
          <w:szCs w:val="24"/>
        </w:rPr>
        <w:t>Table B-1   Half-widths of 95 percent confidence intervals by various sample sizes and estimates of target characteristics (computed for a two-stage design with a design effect of 1.30)</w:t>
      </w:r>
    </w:p>
    <w:p w:rsidRPr="00FC56CE" w:rsidR="00E95811" w:rsidP="00E95811" w:rsidRDefault="00E95811" w14:paraId="73E36CBB" w14:textId="77777777">
      <w:pPr>
        <w:pStyle w:val="TT-TableTitle"/>
        <w:tabs>
          <w:tab w:val="left" w:pos="900"/>
        </w:tabs>
        <w:spacing w:after="120" w:line="240" w:lineRule="auto"/>
        <w:ind w:left="907" w:hanging="907"/>
        <w:rPr>
          <w:b/>
          <w:szCs w:val="22"/>
        </w:rPr>
      </w:pPr>
    </w:p>
    <w:tbl>
      <w:tblPr>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96"/>
        <w:gridCol w:w="1340"/>
        <w:gridCol w:w="1340"/>
        <w:gridCol w:w="1431"/>
        <w:gridCol w:w="1431"/>
        <w:gridCol w:w="1431"/>
      </w:tblGrid>
      <w:tr w:rsidRPr="00FC56CE" w:rsidR="00E95811" w:rsidTr="00CF30D3" w14:paraId="2B8C1258" w14:textId="77777777">
        <w:trPr>
          <w:trHeight w:val="144"/>
          <w:jc w:val="center"/>
        </w:trPr>
        <w:tc>
          <w:tcPr>
            <w:tcW w:w="1296" w:type="dxa"/>
            <w:vMerge w:val="restart"/>
            <w:shd w:val="clear" w:color="auto" w:fill="auto"/>
            <w:noWrap/>
            <w:vAlign w:val="bottom"/>
          </w:tcPr>
          <w:p w:rsidRPr="00FC56CE" w:rsidR="00E95811" w:rsidP="00CF30D3" w:rsidRDefault="00E95811" w14:paraId="76CF3FF6" w14:textId="77777777">
            <w:pPr>
              <w:pStyle w:val="SL-FlLftSgl"/>
              <w:spacing w:after="120" w:line="240" w:lineRule="auto"/>
              <w:jc w:val="left"/>
              <w:rPr>
                <w:rFonts w:ascii="Calibri" w:hAnsi="Calibri"/>
                <w:b/>
                <w:szCs w:val="22"/>
              </w:rPr>
            </w:pPr>
            <w:r w:rsidRPr="00FC56CE">
              <w:rPr>
                <w:rFonts w:ascii="Calibri" w:hAnsi="Calibri"/>
                <w:b/>
                <w:szCs w:val="22"/>
              </w:rPr>
              <w:t>Sample size</w:t>
            </w:r>
          </w:p>
        </w:tc>
        <w:tc>
          <w:tcPr>
            <w:tcW w:w="6973" w:type="dxa"/>
            <w:gridSpan w:val="5"/>
            <w:shd w:val="clear" w:color="auto" w:fill="auto"/>
            <w:vAlign w:val="bottom"/>
          </w:tcPr>
          <w:p w:rsidRPr="00FC56CE" w:rsidR="00E95811" w:rsidP="00CF30D3" w:rsidRDefault="00E95811" w14:paraId="07D5AE4A" w14:textId="77777777">
            <w:pPr>
              <w:pStyle w:val="SL-FlLftSgl"/>
              <w:spacing w:before="120" w:line="240" w:lineRule="auto"/>
              <w:jc w:val="center"/>
              <w:rPr>
                <w:rFonts w:ascii="Calibri" w:hAnsi="Calibri"/>
                <w:b/>
                <w:sz w:val="24"/>
                <w:szCs w:val="24"/>
              </w:rPr>
            </w:pPr>
            <w:r w:rsidRPr="00FC56CE">
              <w:rPr>
                <w:rFonts w:ascii="Calibri" w:hAnsi="Calibri"/>
                <w:b/>
                <w:sz w:val="24"/>
                <w:szCs w:val="24"/>
              </w:rPr>
              <w:t>Estimates of Target Characteristics</w:t>
            </w:r>
          </w:p>
        </w:tc>
      </w:tr>
      <w:tr w:rsidRPr="00E00C43" w:rsidR="00E95811" w:rsidTr="00CF30D3" w14:paraId="693AB692" w14:textId="77777777">
        <w:trPr>
          <w:trHeight w:val="144"/>
          <w:jc w:val="center"/>
        </w:trPr>
        <w:tc>
          <w:tcPr>
            <w:tcW w:w="1296" w:type="dxa"/>
            <w:vMerge/>
            <w:shd w:val="clear" w:color="auto" w:fill="auto"/>
            <w:noWrap/>
            <w:vAlign w:val="bottom"/>
          </w:tcPr>
          <w:p w:rsidRPr="007C29DB" w:rsidR="00E95811" w:rsidP="00CF30D3" w:rsidRDefault="00E95811" w14:paraId="37A87C0E" w14:textId="77777777">
            <w:pPr>
              <w:pStyle w:val="SL-FlLftSgl"/>
              <w:spacing w:line="240" w:lineRule="auto"/>
              <w:rPr>
                <w:rFonts w:ascii="Calibri" w:hAnsi="Calibri"/>
                <w:szCs w:val="22"/>
              </w:rPr>
            </w:pPr>
          </w:p>
        </w:tc>
        <w:tc>
          <w:tcPr>
            <w:tcW w:w="1340" w:type="dxa"/>
            <w:shd w:val="clear" w:color="auto" w:fill="auto"/>
            <w:noWrap/>
            <w:vAlign w:val="bottom"/>
          </w:tcPr>
          <w:p w:rsidRPr="007C29DB" w:rsidR="00E95811" w:rsidP="00CF30D3" w:rsidRDefault="00E95811" w14:paraId="55AC06DE" w14:textId="77777777">
            <w:pPr>
              <w:pStyle w:val="SL-FlLftSgl"/>
              <w:spacing w:before="120" w:after="120" w:line="240" w:lineRule="auto"/>
              <w:jc w:val="center"/>
              <w:rPr>
                <w:rFonts w:ascii="Calibri" w:hAnsi="Calibri"/>
                <w:b/>
                <w:szCs w:val="22"/>
              </w:rPr>
            </w:pPr>
            <w:r w:rsidRPr="007C29DB">
              <w:rPr>
                <w:rFonts w:ascii="Calibri" w:hAnsi="Calibri"/>
                <w:b/>
                <w:szCs w:val="22"/>
              </w:rPr>
              <w:t>10 percent</w:t>
            </w:r>
          </w:p>
        </w:tc>
        <w:tc>
          <w:tcPr>
            <w:tcW w:w="1340" w:type="dxa"/>
            <w:shd w:val="clear" w:color="auto" w:fill="auto"/>
            <w:noWrap/>
            <w:vAlign w:val="bottom"/>
          </w:tcPr>
          <w:p w:rsidRPr="007C29DB" w:rsidR="00E95811" w:rsidP="00CF30D3" w:rsidRDefault="00E95811" w14:paraId="43904E10" w14:textId="77777777">
            <w:pPr>
              <w:pStyle w:val="SL-FlLftSgl"/>
              <w:spacing w:before="120" w:after="120" w:line="240" w:lineRule="auto"/>
              <w:jc w:val="center"/>
              <w:rPr>
                <w:rFonts w:ascii="Calibri" w:hAnsi="Calibri"/>
                <w:b/>
                <w:szCs w:val="22"/>
              </w:rPr>
            </w:pPr>
            <w:r w:rsidRPr="007C29DB">
              <w:rPr>
                <w:rFonts w:ascii="Calibri" w:hAnsi="Calibri"/>
                <w:b/>
                <w:szCs w:val="22"/>
              </w:rPr>
              <w:t>20 percent</w:t>
            </w:r>
          </w:p>
        </w:tc>
        <w:tc>
          <w:tcPr>
            <w:tcW w:w="1431" w:type="dxa"/>
            <w:shd w:val="clear" w:color="auto" w:fill="auto"/>
            <w:noWrap/>
            <w:vAlign w:val="bottom"/>
          </w:tcPr>
          <w:p w:rsidRPr="007C29DB" w:rsidR="00E95811" w:rsidP="00CF30D3" w:rsidRDefault="00E95811" w14:paraId="120F865F" w14:textId="77777777">
            <w:pPr>
              <w:pStyle w:val="SL-FlLftSgl"/>
              <w:spacing w:before="120" w:after="120" w:line="240" w:lineRule="auto"/>
              <w:jc w:val="center"/>
              <w:rPr>
                <w:rFonts w:ascii="Calibri" w:hAnsi="Calibri"/>
                <w:b/>
                <w:szCs w:val="22"/>
              </w:rPr>
            </w:pPr>
            <w:r w:rsidRPr="007C29DB">
              <w:rPr>
                <w:rFonts w:ascii="Calibri" w:hAnsi="Calibri"/>
                <w:b/>
                <w:szCs w:val="22"/>
              </w:rPr>
              <w:t>30 percent</w:t>
            </w:r>
          </w:p>
        </w:tc>
        <w:tc>
          <w:tcPr>
            <w:tcW w:w="1431" w:type="dxa"/>
            <w:shd w:val="clear" w:color="auto" w:fill="auto"/>
            <w:noWrap/>
            <w:vAlign w:val="bottom"/>
          </w:tcPr>
          <w:p w:rsidRPr="007C29DB" w:rsidR="00E95811" w:rsidP="00CF30D3" w:rsidRDefault="00E95811" w14:paraId="78A293B8" w14:textId="77777777">
            <w:pPr>
              <w:pStyle w:val="SL-FlLftSgl"/>
              <w:spacing w:before="120" w:after="120" w:line="240" w:lineRule="auto"/>
              <w:jc w:val="center"/>
              <w:rPr>
                <w:rFonts w:ascii="Calibri" w:hAnsi="Calibri"/>
                <w:b/>
                <w:szCs w:val="22"/>
              </w:rPr>
            </w:pPr>
            <w:r w:rsidRPr="007C29DB">
              <w:rPr>
                <w:rFonts w:ascii="Calibri" w:hAnsi="Calibri"/>
                <w:b/>
                <w:szCs w:val="22"/>
              </w:rPr>
              <w:t>40 percent</w:t>
            </w:r>
          </w:p>
        </w:tc>
        <w:tc>
          <w:tcPr>
            <w:tcW w:w="1431" w:type="dxa"/>
            <w:shd w:val="clear" w:color="auto" w:fill="auto"/>
            <w:noWrap/>
            <w:vAlign w:val="bottom"/>
          </w:tcPr>
          <w:p w:rsidRPr="007C29DB" w:rsidR="00E95811" w:rsidP="00CF30D3" w:rsidRDefault="00E95811" w14:paraId="1009F64E" w14:textId="77777777">
            <w:pPr>
              <w:pStyle w:val="SL-FlLftSgl"/>
              <w:spacing w:before="120" w:after="120" w:line="240" w:lineRule="auto"/>
              <w:jc w:val="center"/>
              <w:rPr>
                <w:rFonts w:ascii="Calibri" w:hAnsi="Calibri"/>
                <w:b/>
                <w:szCs w:val="22"/>
              </w:rPr>
            </w:pPr>
            <w:r w:rsidRPr="007C29DB">
              <w:rPr>
                <w:rFonts w:ascii="Calibri" w:hAnsi="Calibri"/>
                <w:b/>
                <w:szCs w:val="22"/>
              </w:rPr>
              <w:t>50 percent</w:t>
            </w:r>
          </w:p>
        </w:tc>
      </w:tr>
      <w:tr w:rsidRPr="00E00C43" w:rsidR="00E95811" w:rsidTr="00CF30D3" w14:paraId="5A61F100" w14:textId="77777777">
        <w:trPr>
          <w:trHeight w:val="230"/>
          <w:jc w:val="center"/>
        </w:trPr>
        <w:tc>
          <w:tcPr>
            <w:tcW w:w="1296" w:type="dxa"/>
            <w:shd w:val="clear" w:color="auto" w:fill="auto"/>
            <w:noWrap/>
            <w:vAlign w:val="bottom"/>
          </w:tcPr>
          <w:p w:rsidRPr="007C29DB" w:rsidR="00E95811" w:rsidP="00CF30D3" w:rsidRDefault="00E95811" w14:paraId="0C7AEDA3" w14:textId="77777777">
            <w:pPr>
              <w:spacing w:line="240" w:lineRule="auto"/>
              <w:jc w:val="right"/>
              <w:rPr>
                <w:rFonts w:ascii="Calibri" w:hAnsi="Calibri"/>
                <w:szCs w:val="22"/>
              </w:rPr>
            </w:pPr>
            <w:r w:rsidRPr="007C29DB">
              <w:rPr>
                <w:rFonts w:ascii="Calibri" w:hAnsi="Calibri"/>
                <w:szCs w:val="22"/>
              </w:rPr>
              <w:t>3,500</w:t>
            </w:r>
          </w:p>
        </w:tc>
        <w:tc>
          <w:tcPr>
            <w:tcW w:w="1340" w:type="dxa"/>
            <w:shd w:val="clear" w:color="auto" w:fill="auto"/>
            <w:noWrap/>
            <w:vAlign w:val="bottom"/>
          </w:tcPr>
          <w:p w:rsidRPr="007C29DB" w:rsidR="00E95811" w:rsidP="00CF30D3" w:rsidRDefault="00E95811" w14:paraId="62FB3D96" w14:textId="77777777">
            <w:pPr>
              <w:spacing w:line="240" w:lineRule="auto"/>
              <w:jc w:val="center"/>
              <w:rPr>
                <w:rFonts w:ascii="Calibri" w:hAnsi="Calibri"/>
                <w:szCs w:val="22"/>
              </w:rPr>
            </w:pPr>
            <w:r w:rsidRPr="007C29DB">
              <w:rPr>
                <w:rFonts w:ascii="Calibri" w:hAnsi="Calibri"/>
                <w:szCs w:val="22"/>
              </w:rPr>
              <w:t>1.13</w:t>
            </w:r>
          </w:p>
        </w:tc>
        <w:tc>
          <w:tcPr>
            <w:tcW w:w="1340" w:type="dxa"/>
            <w:shd w:val="clear" w:color="auto" w:fill="auto"/>
            <w:noWrap/>
            <w:vAlign w:val="bottom"/>
          </w:tcPr>
          <w:p w:rsidRPr="007C29DB" w:rsidR="00E95811" w:rsidP="00CF30D3" w:rsidRDefault="00E95811" w14:paraId="5B76863F" w14:textId="77777777">
            <w:pPr>
              <w:spacing w:line="240" w:lineRule="auto"/>
              <w:jc w:val="center"/>
              <w:rPr>
                <w:rFonts w:ascii="Calibri" w:hAnsi="Calibri"/>
                <w:szCs w:val="22"/>
              </w:rPr>
            </w:pPr>
            <w:r w:rsidRPr="007C29DB">
              <w:rPr>
                <w:rFonts w:ascii="Calibri" w:hAnsi="Calibri"/>
                <w:szCs w:val="22"/>
              </w:rPr>
              <w:t>1.51</w:t>
            </w:r>
          </w:p>
        </w:tc>
        <w:tc>
          <w:tcPr>
            <w:tcW w:w="1431" w:type="dxa"/>
            <w:shd w:val="clear" w:color="auto" w:fill="auto"/>
            <w:noWrap/>
            <w:vAlign w:val="bottom"/>
          </w:tcPr>
          <w:p w:rsidRPr="007C29DB" w:rsidR="00E95811" w:rsidP="00CF30D3" w:rsidRDefault="00E95811" w14:paraId="6D090829" w14:textId="77777777">
            <w:pPr>
              <w:spacing w:line="240" w:lineRule="auto"/>
              <w:jc w:val="center"/>
              <w:rPr>
                <w:rFonts w:ascii="Calibri" w:hAnsi="Calibri"/>
                <w:szCs w:val="22"/>
              </w:rPr>
            </w:pPr>
            <w:r w:rsidRPr="007C29DB">
              <w:rPr>
                <w:rFonts w:ascii="Calibri" w:hAnsi="Calibri"/>
                <w:szCs w:val="22"/>
              </w:rPr>
              <w:t>1.73</w:t>
            </w:r>
          </w:p>
        </w:tc>
        <w:tc>
          <w:tcPr>
            <w:tcW w:w="1431" w:type="dxa"/>
            <w:shd w:val="clear" w:color="auto" w:fill="auto"/>
            <w:noWrap/>
            <w:vAlign w:val="bottom"/>
          </w:tcPr>
          <w:p w:rsidRPr="007C29DB" w:rsidR="00E95811" w:rsidP="00CF30D3" w:rsidRDefault="00E95811" w14:paraId="0E8AEE9B" w14:textId="77777777">
            <w:pPr>
              <w:spacing w:line="240" w:lineRule="auto"/>
              <w:jc w:val="center"/>
              <w:rPr>
                <w:rFonts w:ascii="Calibri" w:hAnsi="Calibri"/>
                <w:szCs w:val="22"/>
              </w:rPr>
            </w:pPr>
            <w:r w:rsidRPr="007C29DB">
              <w:rPr>
                <w:rFonts w:ascii="Calibri" w:hAnsi="Calibri"/>
                <w:szCs w:val="22"/>
              </w:rPr>
              <w:t>1.85</w:t>
            </w:r>
          </w:p>
        </w:tc>
        <w:tc>
          <w:tcPr>
            <w:tcW w:w="1431" w:type="dxa"/>
            <w:shd w:val="clear" w:color="auto" w:fill="auto"/>
            <w:noWrap/>
            <w:vAlign w:val="bottom"/>
          </w:tcPr>
          <w:p w:rsidRPr="007C29DB" w:rsidR="00E95811" w:rsidP="00CF30D3" w:rsidRDefault="00E95811" w14:paraId="02F05E65" w14:textId="77777777">
            <w:pPr>
              <w:spacing w:line="240" w:lineRule="auto"/>
              <w:jc w:val="center"/>
              <w:rPr>
                <w:rFonts w:ascii="Calibri" w:hAnsi="Calibri"/>
                <w:szCs w:val="22"/>
              </w:rPr>
            </w:pPr>
            <w:r w:rsidRPr="007C29DB">
              <w:rPr>
                <w:rFonts w:ascii="Calibri" w:hAnsi="Calibri"/>
                <w:szCs w:val="22"/>
              </w:rPr>
              <w:t>1.89</w:t>
            </w:r>
          </w:p>
        </w:tc>
      </w:tr>
      <w:tr w:rsidRPr="00A96B1F" w:rsidR="00E95811" w:rsidTr="00CF30D3" w14:paraId="25BAE03E" w14:textId="77777777">
        <w:trPr>
          <w:trHeight w:val="230"/>
          <w:jc w:val="center"/>
        </w:trPr>
        <w:tc>
          <w:tcPr>
            <w:tcW w:w="1296" w:type="dxa"/>
            <w:shd w:val="clear" w:color="auto" w:fill="auto"/>
            <w:noWrap/>
            <w:vAlign w:val="bottom"/>
          </w:tcPr>
          <w:p w:rsidRPr="00A96B1F" w:rsidR="00E95811" w:rsidP="00CF30D3" w:rsidRDefault="00E95811" w14:paraId="7A678290" w14:textId="77777777">
            <w:pPr>
              <w:spacing w:line="240" w:lineRule="auto"/>
              <w:jc w:val="right"/>
              <w:rPr>
                <w:rFonts w:ascii="Calibri" w:hAnsi="Calibri"/>
                <w:szCs w:val="22"/>
              </w:rPr>
            </w:pPr>
            <w:r w:rsidRPr="00A96B1F">
              <w:rPr>
                <w:rFonts w:ascii="Calibri" w:hAnsi="Calibri"/>
                <w:szCs w:val="22"/>
              </w:rPr>
              <w:t>3,000</w:t>
            </w:r>
          </w:p>
        </w:tc>
        <w:tc>
          <w:tcPr>
            <w:tcW w:w="1340" w:type="dxa"/>
            <w:shd w:val="clear" w:color="auto" w:fill="auto"/>
            <w:noWrap/>
            <w:vAlign w:val="bottom"/>
          </w:tcPr>
          <w:p w:rsidRPr="00A96B1F" w:rsidR="00E95811" w:rsidP="00CF30D3" w:rsidRDefault="00E95811" w14:paraId="7008BEED" w14:textId="77777777">
            <w:pPr>
              <w:spacing w:line="240" w:lineRule="auto"/>
              <w:jc w:val="center"/>
              <w:rPr>
                <w:rFonts w:ascii="Calibri" w:hAnsi="Calibri"/>
                <w:szCs w:val="22"/>
              </w:rPr>
            </w:pPr>
            <w:r w:rsidRPr="00A96B1F">
              <w:rPr>
                <w:rFonts w:ascii="Calibri" w:hAnsi="Calibri"/>
                <w:szCs w:val="22"/>
              </w:rPr>
              <w:t>1.22</w:t>
            </w:r>
          </w:p>
        </w:tc>
        <w:tc>
          <w:tcPr>
            <w:tcW w:w="1340" w:type="dxa"/>
            <w:shd w:val="clear" w:color="auto" w:fill="auto"/>
            <w:noWrap/>
            <w:vAlign w:val="bottom"/>
          </w:tcPr>
          <w:p w:rsidRPr="00A96B1F" w:rsidR="00E95811" w:rsidP="00CF30D3" w:rsidRDefault="00E95811" w14:paraId="1A918A9A" w14:textId="77777777">
            <w:pPr>
              <w:spacing w:line="240" w:lineRule="auto"/>
              <w:jc w:val="center"/>
              <w:rPr>
                <w:rFonts w:ascii="Calibri" w:hAnsi="Calibri"/>
                <w:szCs w:val="22"/>
              </w:rPr>
            </w:pPr>
            <w:r w:rsidRPr="00A96B1F">
              <w:rPr>
                <w:rFonts w:ascii="Calibri" w:hAnsi="Calibri"/>
                <w:szCs w:val="22"/>
              </w:rPr>
              <w:t>1.63</w:t>
            </w:r>
          </w:p>
        </w:tc>
        <w:tc>
          <w:tcPr>
            <w:tcW w:w="1431" w:type="dxa"/>
            <w:shd w:val="clear" w:color="auto" w:fill="auto"/>
            <w:noWrap/>
            <w:vAlign w:val="bottom"/>
          </w:tcPr>
          <w:p w:rsidRPr="00A96B1F" w:rsidR="00E95811" w:rsidP="00CF30D3" w:rsidRDefault="00E95811" w14:paraId="5C7EFD33" w14:textId="77777777">
            <w:pPr>
              <w:spacing w:line="240" w:lineRule="auto"/>
              <w:jc w:val="center"/>
              <w:rPr>
                <w:rFonts w:ascii="Calibri" w:hAnsi="Calibri"/>
                <w:szCs w:val="22"/>
              </w:rPr>
            </w:pPr>
            <w:r w:rsidRPr="00A96B1F">
              <w:rPr>
                <w:rFonts w:ascii="Calibri" w:hAnsi="Calibri"/>
                <w:szCs w:val="22"/>
              </w:rPr>
              <w:t>1.87</w:t>
            </w:r>
          </w:p>
        </w:tc>
        <w:tc>
          <w:tcPr>
            <w:tcW w:w="1431" w:type="dxa"/>
            <w:shd w:val="clear" w:color="auto" w:fill="auto"/>
            <w:noWrap/>
            <w:vAlign w:val="bottom"/>
          </w:tcPr>
          <w:p w:rsidRPr="00A96B1F" w:rsidR="00E95811" w:rsidP="00CF30D3" w:rsidRDefault="00E95811" w14:paraId="0EC483C4" w14:textId="77777777">
            <w:pPr>
              <w:spacing w:line="240" w:lineRule="auto"/>
              <w:jc w:val="center"/>
              <w:rPr>
                <w:rFonts w:ascii="Calibri" w:hAnsi="Calibri"/>
                <w:szCs w:val="22"/>
              </w:rPr>
            </w:pPr>
            <w:r w:rsidRPr="00A96B1F">
              <w:rPr>
                <w:rFonts w:ascii="Calibri" w:hAnsi="Calibri"/>
                <w:szCs w:val="22"/>
              </w:rPr>
              <w:t>2.00</w:t>
            </w:r>
          </w:p>
        </w:tc>
        <w:tc>
          <w:tcPr>
            <w:tcW w:w="1431" w:type="dxa"/>
            <w:shd w:val="clear" w:color="auto" w:fill="auto"/>
            <w:noWrap/>
            <w:vAlign w:val="bottom"/>
          </w:tcPr>
          <w:p w:rsidRPr="00A96B1F" w:rsidR="00E95811" w:rsidP="00CF30D3" w:rsidRDefault="00E95811" w14:paraId="23FFC1CF" w14:textId="77777777">
            <w:pPr>
              <w:spacing w:line="240" w:lineRule="auto"/>
              <w:jc w:val="center"/>
              <w:rPr>
                <w:rFonts w:ascii="Calibri" w:hAnsi="Calibri"/>
                <w:szCs w:val="22"/>
              </w:rPr>
            </w:pPr>
            <w:r w:rsidRPr="00A96B1F">
              <w:rPr>
                <w:rFonts w:ascii="Calibri" w:hAnsi="Calibri"/>
                <w:szCs w:val="22"/>
              </w:rPr>
              <w:t>2.04</w:t>
            </w:r>
          </w:p>
        </w:tc>
      </w:tr>
      <w:tr w:rsidRPr="00A96B1F" w:rsidR="00E95811" w:rsidTr="00CF30D3" w14:paraId="00A2A5F6" w14:textId="77777777">
        <w:trPr>
          <w:trHeight w:val="230"/>
          <w:jc w:val="center"/>
        </w:trPr>
        <w:tc>
          <w:tcPr>
            <w:tcW w:w="1296" w:type="dxa"/>
            <w:shd w:val="clear" w:color="auto" w:fill="auto"/>
            <w:noWrap/>
            <w:vAlign w:val="bottom"/>
          </w:tcPr>
          <w:p w:rsidRPr="00A96B1F" w:rsidR="00E95811" w:rsidP="00CF30D3" w:rsidRDefault="00E95811" w14:paraId="0D396D4A" w14:textId="77777777">
            <w:pPr>
              <w:pStyle w:val="SL-FlLftSgl"/>
              <w:spacing w:line="240" w:lineRule="auto"/>
              <w:jc w:val="right"/>
              <w:rPr>
                <w:rFonts w:ascii="Calibri" w:hAnsi="Calibri"/>
                <w:szCs w:val="22"/>
              </w:rPr>
            </w:pPr>
            <w:r w:rsidRPr="00A96B1F">
              <w:rPr>
                <w:rFonts w:ascii="Calibri" w:hAnsi="Calibri"/>
                <w:szCs w:val="22"/>
              </w:rPr>
              <w:t>2,500</w:t>
            </w:r>
          </w:p>
        </w:tc>
        <w:tc>
          <w:tcPr>
            <w:tcW w:w="1340" w:type="dxa"/>
            <w:shd w:val="clear" w:color="auto" w:fill="auto"/>
            <w:noWrap/>
            <w:vAlign w:val="bottom"/>
          </w:tcPr>
          <w:p w:rsidRPr="00A96B1F" w:rsidR="00E95811" w:rsidP="00CF30D3" w:rsidRDefault="00E95811" w14:paraId="6F225D49" w14:textId="77777777">
            <w:pPr>
              <w:spacing w:line="240" w:lineRule="auto"/>
              <w:jc w:val="center"/>
              <w:rPr>
                <w:rFonts w:ascii="Calibri" w:hAnsi="Calibri"/>
                <w:szCs w:val="22"/>
              </w:rPr>
            </w:pPr>
            <w:r w:rsidRPr="00A96B1F">
              <w:rPr>
                <w:rFonts w:ascii="Calibri" w:hAnsi="Calibri"/>
                <w:szCs w:val="22"/>
              </w:rPr>
              <w:t>1.34</w:t>
            </w:r>
          </w:p>
        </w:tc>
        <w:tc>
          <w:tcPr>
            <w:tcW w:w="1340" w:type="dxa"/>
            <w:shd w:val="clear" w:color="auto" w:fill="auto"/>
            <w:noWrap/>
            <w:vAlign w:val="bottom"/>
          </w:tcPr>
          <w:p w:rsidRPr="00A96B1F" w:rsidR="00E95811" w:rsidP="00CF30D3" w:rsidRDefault="00E95811" w14:paraId="1461BC92" w14:textId="77777777">
            <w:pPr>
              <w:spacing w:line="240" w:lineRule="auto"/>
              <w:jc w:val="center"/>
              <w:rPr>
                <w:rFonts w:ascii="Calibri" w:hAnsi="Calibri"/>
                <w:szCs w:val="22"/>
              </w:rPr>
            </w:pPr>
            <w:r w:rsidRPr="00A96B1F">
              <w:rPr>
                <w:rFonts w:ascii="Calibri" w:hAnsi="Calibri"/>
                <w:szCs w:val="22"/>
              </w:rPr>
              <w:t>1.79</w:t>
            </w:r>
          </w:p>
        </w:tc>
        <w:tc>
          <w:tcPr>
            <w:tcW w:w="1431" w:type="dxa"/>
            <w:shd w:val="clear" w:color="auto" w:fill="auto"/>
            <w:noWrap/>
            <w:vAlign w:val="bottom"/>
          </w:tcPr>
          <w:p w:rsidRPr="00A96B1F" w:rsidR="00E95811" w:rsidP="00CF30D3" w:rsidRDefault="00E95811" w14:paraId="048BFB0B" w14:textId="77777777">
            <w:pPr>
              <w:spacing w:line="240" w:lineRule="auto"/>
              <w:jc w:val="center"/>
              <w:rPr>
                <w:rFonts w:ascii="Calibri" w:hAnsi="Calibri"/>
                <w:szCs w:val="22"/>
              </w:rPr>
            </w:pPr>
            <w:r w:rsidRPr="00A96B1F">
              <w:rPr>
                <w:rFonts w:ascii="Calibri" w:hAnsi="Calibri"/>
                <w:szCs w:val="22"/>
              </w:rPr>
              <w:t>2.05</w:t>
            </w:r>
          </w:p>
        </w:tc>
        <w:tc>
          <w:tcPr>
            <w:tcW w:w="1431" w:type="dxa"/>
            <w:shd w:val="clear" w:color="auto" w:fill="auto"/>
            <w:noWrap/>
            <w:vAlign w:val="bottom"/>
          </w:tcPr>
          <w:p w:rsidRPr="00A96B1F" w:rsidR="00E95811" w:rsidP="00CF30D3" w:rsidRDefault="00E95811" w14:paraId="092A8BD9" w14:textId="77777777">
            <w:pPr>
              <w:spacing w:line="240" w:lineRule="auto"/>
              <w:jc w:val="center"/>
              <w:rPr>
                <w:rFonts w:ascii="Calibri" w:hAnsi="Calibri"/>
                <w:szCs w:val="22"/>
              </w:rPr>
            </w:pPr>
            <w:r w:rsidRPr="00A96B1F">
              <w:rPr>
                <w:rFonts w:ascii="Calibri" w:hAnsi="Calibri"/>
                <w:szCs w:val="22"/>
              </w:rPr>
              <w:t>2.19</w:t>
            </w:r>
          </w:p>
        </w:tc>
        <w:tc>
          <w:tcPr>
            <w:tcW w:w="1431" w:type="dxa"/>
            <w:shd w:val="clear" w:color="auto" w:fill="auto"/>
            <w:noWrap/>
            <w:vAlign w:val="bottom"/>
          </w:tcPr>
          <w:p w:rsidRPr="00A96B1F" w:rsidR="00E95811" w:rsidP="00CF30D3" w:rsidRDefault="00E95811" w14:paraId="4043B5CF" w14:textId="77777777">
            <w:pPr>
              <w:spacing w:line="240" w:lineRule="auto"/>
              <w:jc w:val="center"/>
              <w:rPr>
                <w:rFonts w:ascii="Calibri" w:hAnsi="Calibri"/>
                <w:szCs w:val="22"/>
              </w:rPr>
            </w:pPr>
            <w:r w:rsidRPr="00A96B1F">
              <w:rPr>
                <w:rFonts w:ascii="Calibri" w:hAnsi="Calibri"/>
                <w:szCs w:val="22"/>
              </w:rPr>
              <w:t>2.23</w:t>
            </w:r>
          </w:p>
        </w:tc>
      </w:tr>
      <w:tr w:rsidRPr="00A96B1F" w:rsidR="00E95811" w:rsidTr="00CF30D3" w14:paraId="5C424FFA" w14:textId="77777777">
        <w:trPr>
          <w:trHeight w:val="230"/>
          <w:jc w:val="center"/>
        </w:trPr>
        <w:tc>
          <w:tcPr>
            <w:tcW w:w="1296" w:type="dxa"/>
            <w:shd w:val="clear" w:color="auto" w:fill="auto"/>
            <w:noWrap/>
            <w:vAlign w:val="bottom"/>
          </w:tcPr>
          <w:p w:rsidRPr="00A96B1F" w:rsidR="00E95811" w:rsidP="00CF30D3" w:rsidRDefault="00E95811" w14:paraId="7AC58716" w14:textId="77777777">
            <w:pPr>
              <w:pStyle w:val="SL-FlLftSgl"/>
              <w:spacing w:line="240" w:lineRule="auto"/>
              <w:jc w:val="right"/>
              <w:rPr>
                <w:rFonts w:ascii="Calibri" w:hAnsi="Calibri"/>
                <w:szCs w:val="22"/>
              </w:rPr>
            </w:pPr>
            <w:r w:rsidRPr="00A96B1F">
              <w:rPr>
                <w:rFonts w:ascii="Calibri" w:hAnsi="Calibri"/>
                <w:szCs w:val="22"/>
              </w:rPr>
              <w:t>2,000</w:t>
            </w:r>
          </w:p>
        </w:tc>
        <w:tc>
          <w:tcPr>
            <w:tcW w:w="1340" w:type="dxa"/>
            <w:shd w:val="clear" w:color="auto" w:fill="auto"/>
            <w:noWrap/>
            <w:vAlign w:val="bottom"/>
          </w:tcPr>
          <w:p w:rsidRPr="00A96B1F" w:rsidR="00E95811" w:rsidP="00CF30D3" w:rsidRDefault="00E95811" w14:paraId="06DC4418" w14:textId="77777777">
            <w:pPr>
              <w:spacing w:line="240" w:lineRule="auto"/>
              <w:jc w:val="center"/>
              <w:rPr>
                <w:rFonts w:ascii="Calibri" w:hAnsi="Calibri"/>
                <w:szCs w:val="22"/>
              </w:rPr>
            </w:pPr>
            <w:r w:rsidRPr="00A96B1F">
              <w:rPr>
                <w:rFonts w:ascii="Calibri" w:hAnsi="Calibri"/>
                <w:szCs w:val="22"/>
              </w:rPr>
              <w:t>1.50</w:t>
            </w:r>
          </w:p>
        </w:tc>
        <w:tc>
          <w:tcPr>
            <w:tcW w:w="1340" w:type="dxa"/>
            <w:shd w:val="clear" w:color="auto" w:fill="auto"/>
            <w:noWrap/>
            <w:vAlign w:val="bottom"/>
          </w:tcPr>
          <w:p w:rsidRPr="00A96B1F" w:rsidR="00E95811" w:rsidP="00CF30D3" w:rsidRDefault="00E95811" w14:paraId="4B2CF75A" w14:textId="77777777">
            <w:pPr>
              <w:spacing w:line="240" w:lineRule="auto"/>
              <w:jc w:val="center"/>
              <w:rPr>
                <w:rFonts w:ascii="Calibri" w:hAnsi="Calibri"/>
                <w:szCs w:val="22"/>
              </w:rPr>
            </w:pPr>
            <w:r w:rsidRPr="00A96B1F">
              <w:rPr>
                <w:rFonts w:ascii="Calibri" w:hAnsi="Calibri"/>
                <w:szCs w:val="22"/>
              </w:rPr>
              <w:t>2.00</w:t>
            </w:r>
          </w:p>
        </w:tc>
        <w:tc>
          <w:tcPr>
            <w:tcW w:w="1431" w:type="dxa"/>
            <w:shd w:val="clear" w:color="auto" w:fill="auto"/>
            <w:noWrap/>
            <w:vAlign w:val="bottom"/>
          </w:tcPr>
          <w:p w:rsidRPr="00A96B1F" w:rsidR="00E95811" w:rsidP="00CF30D3" w:rsidRDefault="00E95811" w14:paraId="171A1F19" w14:textId="77777777">
            <w:pPr>
              <w:spacing w:line="240" w:lineRule="auto"/>
              <w:jc w:val="center"/>
              <w:rPr>
                <w:rFonts w:ascii="Calibri" w:hAnsi="Calibri"/>
                <w:szCs w:val="22"/>
              </w:rPr>
            </w:pPr>
            <w:r w:rsidRPr="00A96B1F">
              <w:rPr>
                <w:rFonts w:ascii="Calibri" w:hAnsi="Calibri"/>
                <w:szCs w:val="22"/>
              </w:rPr>
              <w:t>2.29</w:t>
            </w:r>
          </w:p>
        </w:tc>
        <w:tc>
          <w:tcPr>
            <w:tcW w:w="1431" w:type="dxa"/>
            <w:shd w:val="clear" w:color="auto" w:fill="auto"/>
            <w:noWrap/>
            <w:vAlign w:val="bottom"/>
          </w:tcPr>
          <w:p w:rsidRPr="00A96B1F" w:rsidR="00E95811" w:rsidP="00CF30D3" w:rsidRDefault="00E95811" w14:paraId="6027CF08" w14:textId="77777777">
            <w:pPr>
              <w:spacing w:line="240" w:lineRule="auto"/>
              <w:jc w:val="center"/>
              <w:rPr>
                <w:rFonts w:ascii="Calibri" w:hAnsi="Calibri"/>
                <w:szCs w:val="22"/>
              </w:rPr>
            </w:pPr>
            <w:r w:rsidRPr="00A96B1F">
              <w:rPr>
                <w:rFonts w:ascii="Calibri" w:hAnsi="Calibri"/>
                <w:szCs w:val="22"/>
              </w:rPr>
              <w:t>2.45</w:t>
            </w:r>
          </w:p>
        </w:tc>
        <w:tc>
          <w:tcPr>
            <w:tcW w:w="1431" w:type="dxa"/>
            <w:shd w:val="clear" w:color="auto" w:fill="auto"/>
            <w:noWrap/>
            <w:vAlign w:val="bottom"/>
          </w:tcPr>
          <w:p w:rsidRPr="00A96B1F" w:rsidR="00E95811" w:rsidP="00CF30D3" w:rsidRDefault="00E95811" w14:paraId="723E54A6" w14:textId="77777777">
            <w:pPr>
              <w:spacing w:line="240" w:lineRule="auto"/>
              <w:jc w:val="center"/>
              <w:rPr>
                <w:rFonts w:ascii="Calibri" w:hAnsi="Calibri"/>
                <w:szCs w:val="22"/>
              </w:rPr>
            </w:pPr>
            <w:r w:rsidRPr="00A96B1F">
              <w:rPr>
                <w:rFonts w:ascii="Calibri" w:hAnsi="Calibri"/>
                <w:szCs w:val="22"/>
              </w:rPr>
              <w:t>2.50</w:t>
            </w:r>
          </w:p>
        </w:tc>
      </w:tr>
      <w:tr w:rsidRPr="00A96B1F" w:rsidR="00E95811" w:rsidTr="00CF30D3" w14:paraId="1FB4354C" w14:textId="77777777">
        <w:trPr>
          <w:trHeight w:val="230"/>
          <w:jc w:val="center"/>
        </w:trPr>
        <w:tc>
          <w:tcPr>
            <w:tcW w:w="1296" w:type="dxa"/>
            <w:shd w:val="clear" w:color="auto" w:fill="auto"/>
            <w:noWrap/>
            <w:vAlign w:val="bottom"/>
          </w:tcPr>
          <w:p w:rsidRPr="00A96B1F" w:rsidR="00E95811" w:rsidP="00CF30D3" w:rsidRDefault="00E95811" w14:paraId="77030468" w14:textId="77777777">
            <w:pPr>
              <w:pStyle w:val="SL-FlLftSgl"/>
              <w:spacing w:line="240" w:lineRule="auto"/>
              <w:jc w:val="right"/>
              <w:rPr>
                <w:rFonts w:ascii="Calibri" w:hAnsi="Calibri"/>
                <w:szCs w:val="22"/>
              </w:rPr>
            </w:pPr>
            <w:r w:rsidRPr="00A96B1F">
              <w:rPr>
                <w:rFonts w:ascii="Calibri" w:hAnsi="Calibri"/>
                <w:szCs w:val="22"/>
              </w:rPr>
              <w:t>1,500</w:t>
            </w:r>
          </w:p>
        </w:tc>
        <w:tc>
          <w:tcPr>
            <w:tcW w:w="1340" w:type="dxa"/>
            <w:shd w:val="clear" w:color="auto" w:fill="auto"/>
            <w:noWrap/>
            <w:vAlign w:val="bottom"/>
          </w:tcPr>
          <w:p w:rsidRPr="00A96B1F" w:rsidR="00E95811" w:rsidP="00CF30D3" w:rsidRDefault="00E95811" w14:paraId="49CCFAC6" w14:textId="77777777">
            <w:pPr>
              <w:spacing w:line="240" w:lineRule="auto"/>
              <w:jc w:val="center"/>
              <w:rPr>
                <w:rFonts w:ascii="Calibri" w:hAnsi="Calibri"/>
                <w:szCs w:val="22"/>
              </w:rPr>
            </w:pPr>
            <w:r w:rsidRPr="00A96B1F">
              <w:rPr>
                <w:rFonts w:ascii="Calibri" w:hAnsi="Calibri"/>
                <w:szCs w:val="22"/>
              </w:rPr>
              <w:t>1.73</w:t>
            </w:r>
          </w:p>
        </w:tc>
        <w:tc>
          <w:tcPr>
            <w:tcW w:w="1340" w:type="dxa"/>
            <w:shd w:val="clear" w:color="auto" w:fill="auto"/>
            <w:noWrap/>
            <w:vAlign w:val="bottom"/>
          </w:tcPr>
          <w:p w:rsidRPr="00A96B1F" w:rsidR="00E95811" w:rsidP="00CF30D3" w:rsidRDefault="00E95811" w14:paraId="57BD5479" w14:textId="77777777">
            <w:pPr>
              <w:spacing w:line="240" w:lineRule="auto"/>
              <w:jc w:val="center"/>
              <w:rPr>
                <w:rFonts w:ascii="Calibri" w:hAnsi="Calibri"/>
                <w:szCs w:val="22"/>
              </w:rPr>
            </w:pPr>
            <w:r w:rsidRPr="00A96B1F">
              <w:rPr>
                <w:rFonts w:ascii="Calibri" w:hAnsi="Calibri"/>
                <w:szCs w:val="22"/>
              </w:rPr>
              <w:t>2.31</w:t>
            </w:r>
          </w:p>
        </w:tc>
        <w:tc>
          <w:tcPr>
            <w:tcW w:w="1431" w:type="dxa"/>
            <w:shd w:val="clear" w:color="auto" w:fill="auto"/>
            <w:noWrap/>
            <w:vAlign w:val="bottom"/>
          </w:tcPr>
          <w:p w:rsidRPr="00A96B1F" w:rsidR="00E95811" w:rsidP="00CF30D3" w:rsidRDefault="00E95811" w14:paraId="155E77EE" w14:textId="77777777">
            <w:pPr>
              <w:spacing w:line="240" w:lineRule="auto"/>
              <w:jc w:val="center"/>
              <w:rPr>
                <w:rFonts w:ascii="Calibri" w:hAnsi="Calibri"/>
                <w:szCs w:val="22"/>
              </w:rPr>
            </w:pPr>
            <w:r w:rsidRPr="00A96B1F">
              <w:rPr>
                <w:rFonts w:ascii="Calibri" w:hAnsi="Calibri"/>
                <w:szCs w:val="22"/>
              </w:rPr>
              <w:t>2.64</w:t>
            </w:r>
          </w:p>
        </w:tc>
        <w:tc>
          <w:tcPr>
            <w:tcW w:w="1431" w:type="dxa"/>
            <w:shd w:val="clear" w:color="auto" w:fill="auto"/>
            <w:noWrap/>
            <w:vAlign w:val="bottom"/>
          </w:tcPr>
          <w:p w:rsidRPr="00A96B1F" w:rsidR="00E95811" w:rsidP="00CF30D3" w:rsidRDefault="00E95811" w14:paraId="642BB45C" w14:textId="77777777">
            <w:pPr>
              <w:spacing w:line="240" w:lineRule="auto"/>
              <w:jc w:val="center"/>
              <w:rPr>
                <w:rFonts w:ascii="Calibri" w:hAnsi="Calibri"/>
                <w:szCs w:val="22"/>
              </w:rPr>
            </w:pPr>
            <w:r w:rsidRPr="00A96B1F">
              <w:rPr>
                <w:rFonts w:ascii="Calibri" w:hAnsi="Calibri"/>
                <w:szCs w:val="22"/>
              </w:rPr>
              <w:t>2.83</w:t>
            </w:r>
          </w:p>
        </w:tc>
        <w:tc>
          <w:tcPr>
            <w:tcW w:w="1431" w:type="dxa"/>
            <w:shd w:val="clear" w:color="auto" w:fill="auto"/>
            <w:noWrap/>
            <w:vAlign w:val="bottom"/>
          </w:tcPr>
          <w:p w:rsidRPr="00A96B1F" w:rsidR="00E95811" w:rsidP="00CF30D3" w:rsidRDefault="00E95811" w14:paraId="7BB31186" w14:textId="77777777">
            <w:pPr>
              <w:spacing w:line="240" w:lineRule="auto"/>
              <w:jc w:val="center"/>
              <w:rPr>
                <w:rFonts w:ascii="Calibri" w:hAnsi="Calibri"/>
                <w:szCs w:val="22"/>
              </w:rPr>
            </w:pPr>
            <w:r w:rsidRPr="00A96B1F">
              <w:rPr>
                <w:rFonts w:ascii="Calibri" w:hAnsi="Calibri"/>
                <w:szCs w:val="22"/>
              </w:rPr>
              <w:t>2.89</w:t>
            </w:r>
          </w:p>
        </w:tc>
      </w:tr>
      <w:tr w:rsidRPr="00A96B1F" w:rsidR="00E95811" w:rsidTr="00CF30D3" w14:paraId="1C90FE58" w14:textId="77777777">
        <w:trPr>
          <w:trHeight w:val="230"/>
          <w:jc w:val="center"/>
        </w:trPr>
        <w:tc>
          <w:tcPr>
            <w:tcW w:w="1296" w:type="dxa"/>
            <w:shd w:val="clear" w:color="auto" w:fill="auto"/>
            <w:noWrap/>
            <w:vAlign w:val="bottom"/>
          </w:tcPr>
          <w:p w:rsidRPr="00A96B1F" w:rsidR="00E95811" w:rsidP="00CF30D3" w:rsidRDefault="00E95811" w14:paraId="5F6D6293" w14:textId="77777777">
            <w:pPr>
              <w:pStyle w:val="SL-FlLftSgl"/>
              <w:spacing w:line="240" w:lineRule="auto"/>
              <w:jc w:val="right"/>
              <w:rPr>
                <w:rFonts w:ascii="Calibri" w:hAnsi="Calibri"/>
                <w:szCs w:val="22"/>
              </w:rPr>
            </w:pPr>
            <w:r w:rsidRPr="00A96B1F">
              <w:rPr>
                <w:rFonts w:ascii="Calibri" w:hAnsi="Calibri"/>
                <w:szCs w:val="22"/>
              </w:rPr>
              <w:t>1,000</w:t>
            </w:r>
          </w:p>
        </w:tc>
        <w:tc>
          <w:tcPr>
            <w:tcW w:w="1340" w:type="dxa"/>
            <w:shd w:val="clear" w:color="auto" w:fill="auto"/>
            <w:noWrap/>
            <w:vAlign w:val="bottom"/>
          </w:tcPr>
          <w:p w:rsidRPr="00A96B1F" w:rsidR="00E95811" w:rsidP="00CF30D3" w:rsidRDefault="00E95811" w14:paraId="026B8390" w14:textId="77777777">
            <w:pPr>
              <w:spacing w:line="240" w:lineRule="auto"/>
              <w:jc w:val="center"/>
              <w:rPr>
                <w:rFonts w:ascii="Calibri" w:hAnsi="Calibri"/>
                <w:szCs w:val="22"/>
              </w:rPr>
            </w:pPr>
            <w:r w:rsidRPr="00A96B1F">
              <w:rPr>
                <w:rFonts w:ascii="Calibri" w:hAnsi="Calibri"/>
                <w:szCs w:val="22"/>
              </w:rPr>
              <w:t>2.12</w:t>
            </w:r>
          </w:p>
        </w:tc>
        <w:tc>
          <w:tcPr>
            <w:tcW w:w="1340" w:type="dxa"/>
            <w:shd w:val="clear" w:color="auto" w:fill="auto"/>
            <w:noWrap/>
            <w:vAlign w:val="bottom"/>
          </w:tcPr>
          <w:p w:rsidRPr="00A96B1F" w:rsidR="00E95811" w:rsidP="00CF30D3" w:rsidRDefault="00E95811" w14:paraId="71A2DCD6" w14:textId="77777777">
            <w:pPr>
              <w:spacing w:line="240" w:lineRule="auto"/>
              <w:jc w:val="center"/>
              <w:rPr>
                <w:rFonts w:ascii="Calibri" w:hAnsi="Calibri"/>
                <w:szCs w:val="22"/>
              </w:rPr>
            </w:pPr>
            <w:r w:rsidRPr="00A96B1F">
              <w:rPr>
                <w:rFonts w:ascii="Calibri" w:hAnsi="Calibri"/>
                <w:szCs w:val="22"/>
              </w:rPr>
              <w:t>2.83</w:t>
            </w:r>
          </w:p>
        </w:tc>
        <w:tc>
          <w:tcPr>
            <w:tcW w:w="1431" w:type="dxa"/>
            <w:shd w:val="clear" w:color="auto" w:fill="auto"/>
            <w:noWrap/>
            <w:vAlign w:val="bottom"/>
          </w:tcPr>
          <w:p w:rsidRPr="00A96B1F" w:rsidR="00E95811" w:rsidP="00CF30D3" w:rsidRDefault="00E95811" w14:paraId="0FFF006C" w14:textId="77777777">
            <w:pPr>
              <w:spacing w:line="240" w:lineRule="auto"/>
              <w:jc w:val="center"/>
              <w:rPr>
                <w:rFonts w:ascii="Calibri" w:hAnsi="Calibri"/>
                <w:szCs w:val="22"/>
              </w:rPr>
            </w:pPr>
            <w:r w:rsidRPr="00A96B1F">
              <w:rPr>
                <w:rFonts w:ascii="Calibri" w:hAnsi="Calibri"/>
                <w:szCs w:val="22"/>
              </w:rPr>
              <w:t>3.24</w:t>
            </w:r>
          </w:p>
        </w:tc>
        <w:tc>
          <w:tcPr>
            <w:tcW w:w="1431" w:type="dxa"/>
            <w:shd w:val="clear" w:color="auto" w:fill="auto"/>
            <w:noWrap/>
            <w:vAlign w:val="bottom"/>
          </w:tcPr>
          <w:p w:rsidRPr="00A96B1F" w:rsidR="00E95811" w:rsidP="00CF30D3" w:rsidRDefault="00E95811" w14:paraId="44BFF165" w14:textId="77777777">
            <w:pPr>
              <w:spacing w:line="240" w:lineRule="auto"/>
              <w:jc w:val="center"/>
              <w:rPr>
                <w:rFonts w:ascii="Calibri" w:hAnsi="Calibri"/>
                <w:szCs w:val="22"/>
              </w:rPr>
            </w:pPr>
            <w:r w:rsidRPr="00A96B1F">
              <w:rPr>
                <w:rFonts w:ascii="Calibri" w:hAnsi="Calibri"/>
                <w:szCs w:val="22"/>
              </w:rPr>
              <w:t>3.46</w:t>
            </w:r>
          </w:p>
        </w:tc>
        <w:tc>
          <w:tcPr>
            <w:tcW w:w="1431" w:type="dxa"/>
            <w:shd w:val="clear" w:color="auto" w:fill="auto"/>
            <w:noWrap/>
            <w:vAlign w:val="bottom"/>
          </w:tcPr>
          <w:p w:rsidRPr="00A96B1F" w:rsidR="00E95811" w:rsidP="00CF30D3" w:rsidRDefault="00E95811" w14:paraId="129C9872" w14:textId="77777777">
            <w:pPr>
              <w:spacing w:line="240" w:lineRule="auto"/>
              <w:jc w:val="center"/>
              <w:rPr>
                <w:rFonts w:ascii="Calibri" w:hAnsi="Calibri"/>
                <w:szCs w:val="22"/>
              </w:rPr>
            </w:pPr>
            <w:r w:rsidRPr="00A96B1F">
              <w:rPr>
                <w:rFonts w:ascii="Calibri" w:hAnsi="Calibri"/>
                <w:szCs w:val="22"/>
              </w:rPr>
              <w:t>3.53</w:t>
            </w:r>
          </w:p>
        </w:tc>
      </w:tr>
      <w:tr w:rsidRPr="00A96B1F" w:rsidR="00E95811" w:rsidTr="00CF30D3" w14:paraId="67A293BF" w14:textId="77777777">
        <w:trPr>
          <w:trHeight w:val="230"/>
          <w:jc w:val="center"/>
        </w:trPr>
        <w:tc>
          <w:tcPr>
            <w:tcW w:w="1296" w:type="dxa"/>
            <w:shd w:val="clear" w:color="auto" w:fill="auto"/>
            <w:noWrap/>
            <w:vAlign w:val="bottom"/>
          </w:tcPr>
          <w:p w:rsidRPr="00A96B1F" w:rsidR="00E95811" w:rsidP="00CF30D3" w:rsidRDefault="00E95811" w14:paraId="017A40E7" w14:textId="77777777">
            <w:pPr>
              <w:pStyle w:val="SL-FlLftSgl"/>
              <w:spacing w:line="240" w:lineRule="auto"/>
              <w:jc w:val="right"/>
              <w:rPr>
                <w:rFonts w:ascii="Calibri" w:hAnsi="Calibri"/>
                <w:szCs w:val="22"/>
              </w:rPr>
            </w:pPr>
            <w:r w:rsidRPr="00A96B1F">
              <w:rPr>
                <w:rFonts w:ascii="Calibri" w:hAnsi="Calibri"/>
                <w:szCs w:val="22"/>
              </w:rPr>
              <w:t>750</w:t>
            </w:r>
          </w:p>
        </w:tc>
        <w:tc>
          <w:tcPr>
            <w:tcW w:w="1340" w:type="dxa"/>
            <w:shd w:val="clear" w:color="auto" w:fill="auto"/>
            <w:noWrap/>
            <w:vAlign w:val="bottom"/>
          </w:tcPr>
          <w:p w:rsidRPr="00A96B1F" w:rsidR="00E95811" w:rsidP="00CF30D3" w:rsidRDefault="00E95811" w14:paraId="4A18839B" w14:textId="77777777">
            <w:pPr>
              <w:spacing w:line="240" w:lineRule="auto"/>
              <w:jc w:val="center"/>
              <w:rPr>
                <w:rFonts w:ascii="Calibri" w:hAnsi="Calibri"/>
                <w:szCs w:val="22"/>
              </w:rPr>
            </w:pPr>
            <w:r w:rsidRPr="00A96B1F">
              <w:rPr>
                <w:rFonts w:ascii="Calibri" w:hAnsi="Calibri"/>
                <w:szCs w:val="22"/>
              </w:rPr>
              <w:t>2.45</w:t>
            </w:r>
          </w:p>
        </w:tc>
        <w:tc>
          <w:tcPr>
            <w:tcW w:w="1340" w:type="dxa"/>
            <w:shd w:val="clear" w:color="auto" w:fill="auto"/>
            <w:noWrap/>
            <w:vAlign w:val="bottom"/>
          </w:tcPr>
          <w:p w:rsidRPr="00A96B1F" w:rsidR="00E95811" w:rsidP="00CF30D3" w:rsidRDefault="00E95811" w14:paraId="297DB929" w14:textId="77777777">
            <w:pPr>
              <w:spacing w:line="240" w:lineRule="auto"/>
              <w:jc w:val="center"/>
              <w:rPr>
                <w:rFonts w:ascii="Calibri" w:hAnsi="Calibri"/>
                <w:szCs w:val="22"/>
              </w:rPr>
            </w:pPr>
            <w:r w:rsidRPr="00A96B1F">
              <w:rPr>
                <w:rFonts w:ascii="Calibri" w:hAnsi="Calibri"/>
                <w:szCs w:val="22"/>
              </w:rPr>
              <w:t>3.26</w:t>
            </w:r>
          </w:p>
        </w:tc>
        <w:tc>
          <w:tcPr>
            <w:tcW w:w="1431" w:type="dxa"/>
            <w:shd w:val="clear" w:color="auto" w:fill="auto"/>
            <w:noWrap/>
            <w:vAlign w:val="bottom"/>
          </w:tcPr>
          <w:p w:rsidRPr="00A96B1F" w:rsidR="00E95811" w:rsidP="00CF30D3" w:rsidRDefault="00E95811" w14:paraId="573535C1" w14:textId="77777777">
            <w:pPr>
              <w:spacing w:line="240" w:lineRule="auto"/>
              <w:jc w:val="center"/>
              <w:rPr>
                <w:rFonts w:ascii="Calibri" w:hAnsi="Calibri"/>
                <w:szCs w:val="22"/>
              </w:rPr>
            </w:pPr>
            <w:r w:rsidRPr="00A96B1F">
              <w:rPr>
                <w:rFonts w:ascii="Calibri" w:hAnsi="Calibri"/>
                <w:szCs w:val="22"/>
              </w:rPr>
              <w:t>3.74</w:t>
            </w:r>
          </w:p>
        </w:tc>
        <w:tc>
          <w:tcPr>
            <w:tcW w:w="1431" w:type="dxa"/>
            <w:shd w:val="clear" w:color="auto" w:fill="auto"/>
            <w:noWrap/>
            <w:vAlign w:val="bottom"/>
          </w:tcPr>
          <w:p w:rsidRPr="00A96B1F" w:rsidR="00E95811" w:rsidP="00CF30D3" w:rsidRDefault="00E95811" w14:paraId="2F5C217A" w14:textId="77777777">
            <w:pPr>
              <w:spacing w:line="240" w:lineRule="auto"/>
              <w:jc w:val="center"/>
              <w:rPr>
                <w:rFonts w:ascii="Calibri" w:hAnsi="Calibri"/>
                <w:szCs w:val="22"/>
              </w:rPr>
            </w:pPr>
            <w:r w:rsidRPr="00A96B1F">
              <w:rPr>
                <w:rFonts w:ascii="Calibri" w:hAnsi="Calibri"/>
                <w:szCs w:val="22"/>
              </w:rPr>
              <w:t>4.00</w:t>
            </w:r>
          </w:p>
        </w:tc>
        <w:tc>
          <w:tcPr>
            <w:tcW w:w="1431" w:type="dxa"/>
            <w:shd w:val="clear" w:color="auto" w:fill="auto"/>
            <w:noWrap/>
            <w:vAlign w:val="bottom"/>
          </w:tcPr>
          <w:p w:rsidRPr="00A96B1F" w:rsidR="00E95811" w:rsidP="00CF30D3" w:rsidRDefault="00E95811" w14:paraId="7C7D2287" w14:textId="77777777">
            <w:pPr>
              <w:spacing w:line="240" w:lineRule="auto"/>
              <w:jc w:val="center"/>
              <w:rPr>
                <w:rFonts w:ascii="Calibri" w:hAnsi="Calibri"/>
                <w:szCs w:val="22"/>
              </w:rPr>
            </w:pPr>
            <w:r w:rsidRPr="00A96B1F">
              <w:rPr>
                <w:rFonts w:ascii="Calibri" w:hAnsi="Calibri"/>
                <w:szCs w:val="22"/>
              </w:rPr>
              <w:t>4.08</w:t>
            </w:r>
          </w:p>
        </w:tc>
      </w:tr>
      <w:tr w:rsidRPr="00A96B1F" w:rsidR="00E95811" w:rsidTr="00CF30D3" w14:paraId="5AB01A44" w14:textId="77777777">
        <w:trPr>
          <w:trHeight w:val="230"/>
          <w:jc w:val="center"/>
        </w:trPr>
        <w:tc>
          <w:tcPr>
            <w:tcW w:w="1296" w:type="dxa"/>
            <w:shd w:val="clear" w:color="auto" w:fill="auto"/>
            <w:noWrap/>
            <w:vAlign w:val="bottom"/>
          </w:tcPr>
          <w:p w:rsidRPr="00A96B1F" w:rsidR="00E95811" w:rsidP="00CF30D3" w:rsidRDefault="00E95811" w14:paraId="630AE638" w14:textId="77777777">
            <w:pPr>
              <w:pStyle w:val="SL-FlLftSgl"/>
              <w:spacing w:line="240" w:lineRule="auto"/>
              <w:jc w:val="right"/>
              <w:rPr>
                <w:rFonts w:ascii="Calibri" w:hAnsi="Calibri"/>
                <w:szCs w:val="22"/>
              </w:rPr>
            </w:pPr>
            <w:r w:rsidRPr="00A96B1F">
              <w:rPr>
                <w:rFonts w:ascii="Calibri" w:hAnsi="Calibri"/>
                <w:szCs w:val="22"/>
              </w:rPr>
              <w:t>500</w:t>
            </w:r>
          </w:p>
        </w:tc>
        <w:tc>
          <w:tcPr>
            <w:tcW w:w="1340" w:type="dxa"/>
            <w:shd w:val="clear" w:color="auto" w:fill="auto"/>
            <w:noWrap/>
            <w:vAlign w:val="bottom"/>
          </w:tcPr>
          <w:p w:rsidRPr="00A96B1F" w:rsidR="00E95811" w:rsidP="00CF30D3" w:rsidRDefault="00E95811" w14:paraId="342ED866" w14:textId="77777777">
            <w:pPr>
              <w:spacing w:line="240" w:lineRule="auto"/>
              <w:jc w:val="center"/>
              <w:rPr>
                <w:rFonts w:ascii="Calibri" w:hAnsi="Calibri"/>
                <w:szCs w:val="22"/>
              </w:rPr>
            </w:pPr>
            <w:r w:rsidRPr="00A96B1F">
              <w:rPr>
                <w:rFonts w:ascii="Calibri" w:hAnsi="Calibri"/>
                <w:szCs w:val="22"/>
              </w:rPr>
              <w:t>3.00</w:t>
            </w:r>
          </w:p>
        </w:tc>
        <w:tc>
          <w:tcPr>
            <w:tcW w:w="1340" w:type="dxa"/>
            <w:shd w:val="clear" w:color="auto" w:fill="auto"/>
            <w:noWrap/>
            <w:vAlign w:val="bottom"/>
          </w:tcPr>
          <w:p w:rsidRPr="00A96B1F" w:rsidR="00E95811" w:rsidP="00CF30D3" w:rsidRDefault="00E95811" w14:paraId="043083AB" w14:textId="77777777">
            <w:pPr>
              <w:spacing w:line="240" w:lineRule="auto"/>
              <w:jc w:val="center"/>
              <w:rPr>
                <w:rFonts w:ascii="Calibri" w:hAnsi="Calibri"/>
                <w:szCs w:val="22"/>
              </w:rPr>
            </w:pPr>
            <w:r w:rsidRPr="00A96B1F">
              <w:rPr>
                <w:rFonts w:ascii="Calibri" w:hAnsi="Calibri"/>
                <w:szCs w:val="22"/>
              </w:rPr>
              <w:t>4.00</w:t>
            </w:r>
          </w:p>
        </w:tc>
        <w:tc>
          <w:tcPr>
            <w:tcW w:w="1431" w:type="dxa"/>
            <w:shd w:val="clear" w:color="auto" w:fill="auto"/>
            <w:noWrap/>
            <w:vAlign w:val="bottom"/>
          </w:tcPr>
          <w:p w:rsidRPr="00A96B1F" w:rsidR="00E95811" w:rsidP="00CF30D3" w:rsidRDefault="00E95811" w14:paraId="5437FCF4" w14:textId="77777777">
            <w:pPr>
              <w:spacing w:line="240" w:lineRule="auto"/>
              <w:jc w:val="center"/>
              <w:rPr>
                <w:rFonts w:ascii="Calibri" w:hAnsi="Calibri"/>
                <w:szCs w:val="22"/>
              </w:rPr>
            </w:pPr>
            <w:r w:rsidRPr="00A96B1F">
              <w:rPr>
                <w:rFonts w:ascii="Calibri" w:hAnsi="Calibri"/>
                <w:szCs w:val="22"/>
              </w:rPr>
              <w:t>4.58</w:t>
            </w:r>
          </w:p>
        </w:tc>
        <w:tc>
          <w:tcPr>
            <w:tcW w:w="1431" w:type="dxa"/>
            <w:shd w:val="clear" w:color="auto" w:fill="auto"/>
            <w:noWrap/>
            <w:vAlign w:val="bottom"/>
          </w:tcPr>
          <w:p w:rsidRPr="00A96B1F" w:rsidR="00E95811" w:rsidP="00CF30D3" w:rsidRDefault="00E95811" w14:paraId="02F00193" w14:textId="77777777">
            <w:pPr>
              <w:spacing w:line="240" w:lineRule="auto"/>
              <w:jc w:val="center"/>
              <w:rPr>
                <w:rFonts w:ascii="Calibri" w:hAnsi="Calibri"/>
                <w:szCs w:val="22"/>
              </w:rPr>
            </w:pPr>
            <w:r w:rsidRPr="00A96B1F">
              <w:rPr>
                <w:rFonts w:ascii="Calibri" w:hAnsi="Calibri"/>
                <w:szCs w:val="22"/>
              </w:rPr>
              <w:t>4.90</w:t>
            </w:r>
          </w:p>
        </w:tc>
        <w:tc>
          <w:tcPr>
            <w:tcW w:w="1431" w:type="dxa"/>
            <w:shd w:val="clear" w:color="auto" w:fill="auto"/>
            <w:noWrap/>
            <w:vAlign w:val="bottom"/>
          </w:tcPr>
          <w:p w:rsidRPr="00A96B1F" w:rsidR="00E95811" w:rsidP="00CF30D3" w:rsidRDefault="00E95811" w14:paraId="4C790B37" w14:textId="77777777">
            <w:pPr>
              <w:spacing w:line="240" w:lineRule="auto"/>
              <w:jc w:val="center"/>
              <w:rPr>
                <w:rFonts w:ascii="Calibri" w:hAnsi="Calibri"/>
                <w:szCs w:val="22"/>
              </w:rPr>
            </w:pPr>
            <w:r w:rsidRPr="00A96B1F">
              <w:rPr>
                <w:rFonts w:ascii="Calibri" w:hAnsi="Calibri"/>
                <w:szCs w:val="22"/>
              </w:rPr>
              <w:t>5.00</w:t>
            </w:r>
          </w:p>
        </w:tc>
      </w:tr>
      <w:tr w:rsidRPr="00A96B1F" w:rsidR="00E95811" w:rsidTr="00CF30D3" w14:paraId="466CACCB" w14:textId="77777777">
        <w:trPr>
          <w:trHeight w:val="230"/>
          <w:jc w:val="center"/>
        </w:trPr>
        <w:tc>
          <w:tcPr>
            <w:tcW w:w="1296" w:type="dxa"/>
            <w:shd w:val="clear" w:color="auto" w:fill="auto"/>
            <w:noWrap/>
            <w:vAlign w:val="bottom"/>
          </w:tcPr>
          <w:p w:rsidRPr="00A96B1F" w:rsidR="00E95811" w:rsidP="00CF30D3" w:rsidRDefault="00E95811" w14:paraId="30EC9904" w14:textId="77777777">
            <w:pPr>
              <w:pStyle w:val="SL-FlLftSgl"/>
              <w:spacing w:line="240" w:lineRule="auto"/>
              <w:jc w:val="right"/>
              <w:rPr>
                <w:rFonts w:ascii="Calibri" w:hAnsi="Calibri"/>
                <w:szCs w:val="22"/>
              </w:rPr>
            </w:pPr>
            <w:r w:rsidRPr="00A96B1F">
              <w:rPr>
                <w:rFonts w:ascii="Calibri" w:hAnsi="Calibri"/>
                <w:szCs w:val="22"/>
              </w:rPr>
              <w:t>400</w:t>
            </w:r>
          </w:p>
        </w:tc>
        <w:tc>
          <w:tcPr>
            <w:tcW w:w="1340" w:type="dxa"/>
            <w:shd w:val="clear" w:color="auto" w:fill="auto"/>
            <w:noWrap/>
            <w:vAlign w:val="bottom"/>
          </w:tcPr>
          <w:p w:rsidRPr="00A96B1F" w:rsidR="00E95811" w:rsidP="00CF30D3" w:rsidRDefault="00E95811" w14:paraId="7FB70105" w14:textId="77777777">
            <w:pPr>
              <w:spacing w:line="240" w:lineRule="auto"/>
              <w:jc w:val="center"/>
              <w:rPr>
                <w:rFonts w:ascii="Calibri" w:hAnsi="Calibri"/>
                <w:szCs w:val="22"/>
              </w:rPr>
            </w:pPr>
            <w:r w:rsidRPr="00A96B1F">
              <w:rPr>
                <w:rFonts w:ascii="Calibri" w:hAnsi="Calibri"/>
                <w:szCs w:val="22"/>
              </w:rPr>
              <w:t>3.35</w:t>
            </w:r>
          </w:p>
        </w:tc>
        <w:tc>
          <w:tcPr>
            <w:tcW w:w="1340" w:type="dxa"/>
            <w:shd w:val="clear" w:color="auto" w:fill="auto"/>
            <w:noWrap/>
            <w:vAlign w:val="bottom"/>
          </w:tcPr>
          <w:p w:rsidRPr="00A96B1F" w:rsidR="00E95811" w:rsidP="00CF30D3" w:rsidRDefault="00E95811" w14:paraId="2AAF2377" w14:textId="77777777">
            <w:pPr>
              <w:spacing w:line="240" w:lineRule="auto"/>
              <w:jc w:val="center"/>
              <w:rPr>
                <w:rFonts w:ascii="Calibri" w:hAnsi="Calibri"/>
                <w:szCs w:val="22"/>
              </w:rPr>
            </w:pPr>
            <w:r w:rsidRPr="00A96B1F">
              <w:rPr>
                <w:rFonts w:ascii="Calibri" w:hAnsi="Calibri"/>
                <w:szCs w:val="22"/>
              </w:rPr>
              <w:t>4.47</w:t>
            </w:r>
          </w:p>
        </w:tc>
        <w:tc>
          <w:tcPr>
            <w:tcW w:w="1431" w:type="dxa"/>
            <w:shd w:val="clear" w:color="auto" w:fill="auto"/>
            <w:noWrap/>
            <w:vAlign w:val="bottom"/>
          </w:tcPr>
          <w:p w:rsidRPr="00A96B1F" w:rsidR="00E95811" w:rsidP="00CF30D3" w:rsidRDefault="00E95811" w14:paraId="1BF04F72" w14:textId="77777777">
            <w:pPr>
              <w:spacing w:line="240" w:lineRule="auto"/>
              <w:jc w:val="center"/>
              <w:rPr>
                <w:rFonts w:ascii="Calibri" w:hAnsi="Calibri"/>
                <w:szCs w:val="22"/>
              </w:rPr>
            </w:pPr>
            <w:r w:rsidRPr="00A96B1F">
              <w:rPr>
                <w:rFonts w:ascii="Calibri" w:hAnsi="Calibri"/>
                <w:szCs w:val="22"/>
              </w:rPr>
              <w:t>5.12</w:t>
            </w:r>
          </w:p>
        </w:tc>
        <w:tc>
          <w:tcPr>
            <w:tcW w:w="1431" w:type="dxa"/>
            <w:shd w:val="clear" w:color="auto" w:fill="auto"/>
            <w:noWrap/>
            <w:vAlign w:val="bottom"/>
          </w:tcPr>
          <w:p w:rsidRPr="00A96B1F" w:rsidR="00E95811" w:rsidP="00CF30D3" w:rsidRDefault="00E95811" w14:paraId="6D247944" w14:textId="77777777">
            <w:pPr>
              <w:spacing w:line="240" w:lineRule="auto"/>
              <w:jc w:val="center"/>
              <w:rPr>
                <w:rFonts w:ascii="Calibri" w:hAnsi="Calibri"/>
                <w:szCs w:val="22"/>
              </w:rPr>
            </w:pPr>
            <w:r w:rsidRPr="00A96B1F">
              <w:rPr>
                <w:rFonts w:ascii="Calibri" w:hAnsi="Calibri"/>
                <w:szCs w:val="22"/>
              </w:rPr>
              <w:t>5.47</w:t>
            </w:r>
          </w:p>
        </w:tc>
        <w:tc>
          <w:tcPr>
            <w:tcW w:w="1431" w:type="dxa"/>
            <w:shd w:val="clear" w:color="auto" w:fill="auto"/>
            <w:noWrap/>
            <w:vAlign w:val="bottom"/>
          </w:tcPr>
          <w:p w:rsidRPr="00A96B1F" w:rsidR="00E95811" w:rsidP="00CF30D3" w:rsidRDefault="00E95811" w14:paraId="2B4D1007" w14:textId="77777777">
            <w:pPr>
              <w:spacing w:line="240" w:lineRule="auto"/>
              <w:jc w:val="center"/>
              <w:rPr>
                <w:rFonts w:ascii="Calibri" w:hAnsi="Calibri"/>
                <w:szCs w:val="22"/>
              </w:rPr>
            </w:pPr>
            <w:r w:rsidRPr="00A96B1F">
              <w:rPr>
                <w:rFonts w:ascii="Calibri" w:hAnsi="Calibri"/>
                <w:szCs w:val="22"/>
              </w:rPr>
              <w:t>5.59</w:t>
            </w:r>
          </w:p>
        </w:tc>
      </w:tr>
      <w:tr w:rsidRPr="00A96B1F" w:rsidR="00E95811" w:rsidTr="00CF30D3" w14:paraId="084CEB4B" w14:textId="77777777">
        <w:trPr>
          <w:trHeight w:val="230"/>
          <w:jc w:val="center"/>
        </w:trPr>
        <w:tc>
          <w:tcPr>
            <w:tcW w:w="1296" w:type="dxa"/>
            <w:shd w:val="clear" w:color="auto" w:fill="auto"/>
            <w:noWrap/>
            <w:vAlign w:val="bottom"/>
          </w:tcPr>
          <w:p w:rsidRPr="00A96B1F" w:rsidR="00E95811" w:rsidP="00CF30D3" w:rsidRDefault="00E95811" w14:paraId="522DAFD4" w14:textId="77777777">
            <w:pPr>
              <w:pStyle w:val="SL-FlLftSgl"/>
              <w:spacing w:line="240" w:lineRule="auto"/>
              <w:jc w:val="right"/>
              <w:rPr>
                <w:rFonts w:ascii="Calibri" w:hAnsi="Calibri"/>
                <w:szCs w:val="22"/>
              </w:rPr>
            </w:pPr>
            <w:r w:rsidRPr="00A96B1F">
              <w:rPr>
                <w:rFonts w:ascii="Calibri" w:hAnsi="Calibri"/>
                <w:szCs w:val="22"/>
              </w:rPr>
              <w:t>300</w:t>
            </w:r>
          </w:p>
        </w:tc>
        <w:tc>
          <w:tcPr>
            <w:tcW w:w="1340" w:type="dxa"/>
            <w:shd w:val="clear" w:color="auto" w:fill="auto"/>
            <w:noWrap/>
            <w:vAlign w:val="bottom"/>
          </w:tcPr>
          <w:p w:rsidRPr="00A96B1F" w:rsidR="00E95811" w:rsidP="00CF30D3" w:rsidRDefault="00E95811" w14:paraId="3DBF27D1" w14:textId="77777777">
            <w:pPr>
              <w:spacing w:line="240" w:lineRule="auto"/>
              <w:jc w:val="center"/>
              <w:rPr>
                <w:rFonts w:ascii="Calibri" w:hAnsi="Calibri"/>
                <w:szCs w:val="22"/>
              </w:rPr>
            </w:pPr>
            <w:r w:rsidRPr="00A96B1F">
              <w:rPr>
                <w:rFonts w:ascii="Calibri" w:hAnsi="Calibri"/>
                <w:szCs w:val="22"/>
              </w:rPr>
              <w:t>3.87</w:t>
            </w:r>
          </w:p>
        </w:tc>
        <w:tc>
          <w:tcPr>
            <w:tcW w:w="1340" w:type="dxa"/>
            <w:shd w:val="clear" w:color="auto" w:fill="auto"/>
            <w:noWrap/>
            <w:vAlign w:val="bottom"/>
          </w:tcPr>
          <w:p w:rsidRPr="00A96B1F" w:rsidR="00E95811" w:rsidP="00CF30D3" w:rsidRDefault="00E95811" w14:paraId="6967418F" w14:textId="77777777">
            <w:pPr>
              <w:spacing w:line="240" w:lineRule="auto"/>
              <w:jc w:val="center"/>
              <w:rPr>
                <w:rFonts w:ascii="Calibri" w:hAnsi="Calibri"/>
                <w:szCs w:val="22"/>
              </w:rPr>
            </w:pPr>
            <w:r w:rsidRPr="00A96B1F">
              <w:rPr>
                <w:rFonts w:ascii="Calibri" w:hAnsi="Calibri"/>
                <w:szCs w:val="22"/>
              </w:rPr>
              <w:t>5.16</w:t>
            </w:r>
          </w:p>
        </w:tc>
        <w:tc>
          <w:tcPr>
            <w:tcW w:w="1431" w:type="dxa"/>
            <w:shd w:val="clear" w:color="auto" w:fill="auto"/>
            <w:noWrap/>
            <w:vAlign w:val="bottom"/>
          </w:tcPr>
          <w:p w:rsidRPr="00A96B1F" w:rsidR="00E95811" w:rsidP="00CF30D3" w:rsidRDefault="00E95811" w14:paraId="394AF37A" w14:textId="77777777">
            <w:pPr>
              <w:spacing w:line="240" w:lineRule="auto"/>
              <w:jc w:val="center"/>
              <w:rPr>
                <w:rFonts w:ascii="Calibri" w:hAnsi="Calibri"/>
                <w:szCs w:val="22"/>
              </w:rPr>
            </w:pPr>
            <w:r w:rsidRPr="00A96B1F">
              <w:rPr>
                <w:rFonts w:ascii="Calibri" w:hAnsi="Calibri"/>
                <w:szCs w:val="22"/>
              </w:rPr>
              <w:t>5.91</w:t>
            </w:r>
          </w:p>
        </w:tc>
        <w:tc>
          <w:tcPr>
            <w:tcW w:w="1431" w:type="dxa"/>
            <w:shd w:val="clear" w:color="auto" w:fill="auto"/>
            <w:noWrap/>
            <w:vAlign w:val="bottom"/>
          </w:tcPr>
          <w:p w:rsidRPr="00A96B1F" w:rsidR="00E95811" w:rsidP="00CF30D3" w:rsidRDefault="00E95811" w14:paraId="0B6B51B6" w14:textId="77777777">
            <w:pPr>
              <w:spacing w:line="240" w:lineRule="auto"/>
              <w:jc w:val="center"/>
              <w:rPr>
                <w:rFonts w:ascii="Calibri" w:hAnsi="Calibri"/>
                <w:szCs w:val="22"/>
              </w:rPr>
            </w:pPr>
            <w:r w:rsidRPr="00A96B1F">
              <w:rPr>
                <w:rFonts w:ascii="Calibri" w:hAnsi="Calibri"/>
                <w:szCs w:val="22"/>
              </w:rPr>
              <w:t>6.32</w:t>
            </w:r>
          </w:p>
        </w:tc>
        <w:tc>
          <w:tcPr>
            <w:tcW w:w="1431" w:type="dxa"/>
            <w:shd w:val="clear" w:color="auto" w:fill="auto"/>
            <w:noWrap/>
            <w:vAlign w:val="bottom"/>
          </w:tcPr>
          <w:p w:rsidRPr="00A96B1F" w:rsidR="00E95811" w:rsidP="00CF30D3" w:rsidRDefault="00E95811" w14:paraId="2F2A640C" w14:textId="77777777">
            <w:pPr>
              <w:spacing w:line="240" w:lineRule="auto"/>
              <w:jc w:val="center"/>
              <w:rPr>
                <w:rFonts w:ascii="Calibri" w:hAnsi="Calibri"/>
                <w:szCs w:val="22"/>
              </w:rPr>
            </w:pPr>
            <w:r w:rsidRPr="00A96B1F">
              <w:rPr>
                <w:rFonts w:ascii="Calibri" w:hAnsi="Calibri"/>
                <w:szCs w:val="22"/>
              </w:rPr>
              <w:t>6.45</w:t>
            </w:r>
          </w:p>
        </w:tc>
      </w:tr>
      <w:tr w:rsidRPr="00A96B1F" w:rsidR="00E95811" w:rsidTr="00CF30D3" w14:paraId="34C704E5" w14:textId="77777777">
        <w:trPr>
          <w:trHeight w:val="230"/>
          <w:jc w:val="center"/>
        </w:trPr>
        <w:tc>
          <w:tcPr>
            <w:tcW w:w="1296" w:type="dxa"/>
            <w:shd w:val="clear" w:color="auto" w:fill="auto"/>
            <w:noWrap/>
            <w:vAlign w:val="bottom"/>
          </w:tcPr>
          <w:p w:rsidRPr="00A96B1F" w:rsidR="00E95811" w:rsidP="00CF30D3" w:rsidRDefault="00E95811" w14:paraId="09EB41F0" w14:textId="77777777">
            <w:pPr>
              <w:pStyle w:val="SL-FlLftSgl"/>
              <w:spacing w:line="240" w:lineRule="auto"/>
              <w:jc w:val="right"/>
              <w:rPr>
                <w:rFonts w:ascii="Calibri" w:hAnsi="Calibri"/>
                <w:szCs w:val="22"/>
              </w:rPr>
            </w:pPr>
            <w:r w:rsidRPr="00A96B1F">
              <w:rPr>
                <w:rFonts w:ascii="Calibri" w:hAnsi="Calibri"/>
                <w:szCs w:val="22"/>
              </w:rPr>
              <w:t>250</w:t>
            </w:r>
          </w:p>
        </w:tc>
        <w:tc>
          <w:tcPr>
            <w:tcW w:w="1340" w:type="dxa"/>
            <w:shd w:val="clear" w:color="auto" w:fill="auto"/>
            <w:noWrap/>
            <w:vAlign w:val="bottom"/>
          </w:tcPr>
          <w:p w:rsidRPr="00A96B1F" w:rsidR="00E95811" w:rsidP="00CF30D3" w:rsidRDefault="00E95811" w14:paraId="214D55AD" w14:textId="77777777">
            <w:pPr>
              <w:spacing w:line="240" w:lineRule="auto"/>
              <w:jc w:val="center"/>
              <w:rPr>
                <w:rFonts w:ascii="Calibri" w:hAnsi="Calibri"/>
                <w:szCs w:val="22"/>
              </w:rPr>
            </w:pPr>
            <w:r w:rsidRPr="00A96B1F">
              <w:rPr>
                <w:rFonts w:ascii="Calibri" w:hAnsi="Calibri"/>
                <w:szCs w:val="22"/>
              </w:rPr>
              <w:t>4.24</w:t>
            </w:r>
          </w:p>
        </w:tc>
        <w:tc>
          <w:tcPr>
            <w:tcW w:w="1340" w:type="dxa"/>
            <w:shd w:val="clear" w:color="auto" w:fill="auto"/>
            <w:noWrap/>
            <w:vAlign w:val="bottom"/>
          </w:tcPr>
          <w:p w:rsidRPr="00A96B1F" w:rsidR="00E95811" w:rsidP="00CF30D3" w:rsidRDefault="00E95811" w14:paraId="2EDC9E3F" w14:textId="77777777">
            <w:pPr>
              <w:spacing w:line="240" w:lineRule="auto"/>
              <w:jc w:val="center"/>
              <w:rPr>
                <w:rFonts w:ascii="Calibri" w:hAnsi="Calibri"/>
                <w:szCs w:val="22"/>
              </w:rPr>
            </w:pPr>
            <w:r w:rsidRPr="00A96B1F">
              <w:rPr>
                <w:rFonts w:ascii="Calibri" w:hAnsi="Calibri"/>
                <w:szCs w:val="22"/>
              </w:rPr>
              <w:t>5.65</w:t>
            </w:r>
          </w:p>
        </w:tc>
        <w:tc>
          <w:tcPr>
            <w:tcW w:w="1431" w:type="dxa"/>
            <w:shd w:val="clear" w:color="auto" w:fill="auto"/>
            <w:noWrap/>
            <w:vAlign w:val="bottom"/>
          </w:tcPr>
          <w:p w:rsidRPr="00A96B1F" w:rsidR="00E95811" w:rsidP="00CF30D3" w:rsidRDefault="00E95811" w14:paraId="60AFACE7" w14:textId="77777777">
            <w:pPr>
              <w:spacing w:line="240" w:lineRule="auto"/>
              <w:jc w:val="center"/>
              <w:rPr>
                <w:rFonts w:ascii="Calibri" w:hAnsi="Calibri"/>
                <w:szCs w:val="22"/>
              </w:rPr>
            </w:pPr>
            <w:r w:rsidRPr="00A96B1F">
              <w:rPr>
                <w:rFonts w:ascii="Calibri" w:hAnsi="Calibri"/>
                <w:szCs w:val="22"/>
              </w:rPr>
              <w:t>6.48</w:t>
            </w:r>
          </w:p>
        </w:tc>
        <w:tc>
          <w:tcPr>
            <w:tcW w:w="1431" w:type="dxa"/>
            <w:shd w:val="clear" w:color="auto" w:fill="auto"/>
            <w:noWrap/>
            <w:vAlign w:val="bottom"/>
          </w:tcPr>
          <w:p w:rsidRPr="00A96B1F" w:rsidR="00E95811" w:rsidP="00CF30D3" w:rsidRDefault="00E95811" w14:paraId="4E8907D6" w14:textId="77777777">
            <w:pPr>
              <w:spacing w:line="240" w:lineRule="auto"/>
              <w:jc w:val="center"/>
              <w:rPr>
                <w:rFonts w:ascii="Calibri" w:hAnsi="Calibri"/>
                <w:szCs w:val="22"/>
              </w:rPr>
            </w:pPr>
            <w:r w:rsidRPr="00A96B1F">
              <w:rPr>
                <w:rFonts w:ascii="Calibri" w:hAnsi="Calibri"/>
                <w:szCs w:val="22"/>
              </w:rPr>
              <w:t>6.92</w:t>
            </w:r>
          </w:p>
        </w:tc>
        <w:tc>
          <w:tcPr>
            <w:tcW w:w="1431" w:type="dxa"/>
            <w:shd w:val="clear" w:color="auto" w:fill="auto"/>
            <w:noWrap/>
            <w:vAlign w:val="bottom"/>
          </w:tcPr>
          <w:p w:rsidRPr="00A96B1F" w:rsidR="00E95811" w:rsidP="00CF30D3" w:rsidRDefault="00E95811" w14:paraId="79FE887C" w14:textId="77777777">
            <w:pPr>
              <w:spacing w:line="240" w:lineRule="auto"/>
              <w:jc w:val="center"/>
              <w:rPr>
                <w:rFonts w:ascii="Calibri" w:hAnsi="Calibri"/>
                <w:szCs w:val="22"/>
              </w:rPr>
            </w:pPr>
            <w:r w:rsidRPr="00A96B1F">
              <w:rPr>
                <w:rFonts w:ascii="Calibri" w:hAnsi="Calibri"/>
                <w:szCs w:val="22"/>
              </w:rPr>
              <w:t>7.07</w:t>
            </w:r>
          </w:p>
        </w:tc>
      </w:tr>
      <w:tr w:rsidRPr="00A96B1F" w:rsidR="00E95811" w:rsidTr="00CF30D3" w14:paraId="59BD59F7" w14:textId="77777777">
        <w:trPr>
          <w:trHeight w:val="230"/>
          <w:jc w:val="center"/>
        </w:trPr>
        <w:tc>
          <w:tcPr>
            <w:tcW w:w="1296" w:type="dxa"/>
            <w:shd w:val="clear" w:color="auto" w:fill="auto"/>
            <w:noWrap/>
            <w:vAlign w:val="bottom"/>
          </w:tcPr>
          <w:p w:rsidRPr="00A96B1F" w:rsidR="00E95811" w:rsidP="00CF30D3" w:rsidRDefault="00E95811" w14:paraId="521384CE" w14:textId="77777777">
            <w:pPr>
              <w:pStyle w:val="SL-FlLftSgl"/>
              <w:spacing w:line="240" w:lineRule="auto"/>
              <w:jc w:val="right"/>
              <w:rPr>
                <w:rFonts w:ascii="Calibri" w:hAnsi="Calibri"/>
                <w:szCs w:val="22"/>
              </w:rPr>
            </w:pPr>
            <w:r w:rsidRPr="00A96B1F">
              <w:rPr>
                <w:rFonts w:ascii="Calibri" w:hAnsi="Calibri"/>
                <w:szCs w:val="22"/>
              </w:rPr>
              <w:t>200</w:t>
            </w:r>
          </w:p>
        </w:tc>
        <w:tc>
          <w:tcPr>
            <w:tcW w:w="1340" w:type="dxa"/>
            <w:shd w:val="clear" w:color="auto" w:fill="auto"/>
            <w:noWrap/>
            <w:vAlign w:val="bottom"/>
          </w:tcPr>
          <w:p w:rsidRPr="00A96B1F" w:rsidR="00E95811" w:rsidP="00CF30D3" w:rsidRDefault="00E95811" w14:paraId="51DAB4D7" w14:textId="77777777">
            <w:pPr>
              <w:spacing w:line="240" w:lineRule="auto"/>
              <w:jc w:val="center"/>
              <w:rPr>
                <w:rFonts w:ascii="Calibri" w:hAnsi="Calibri"/>
                <w:szCs w:val="22"/>
              </w:rPr>
            </w:pPr>
            <w:r w:rsidRPr="00A96B1F">
              <w:rPr>
                <w:rFonts w:ascii="Calibri" w:hAnsi="Calibri"/>
                <w:szCs w:val="22"/>
              </w:rPr>
              <w:t>4.74</w:t>
            </w:r>
          </w:p>
        </w:tc>
        <w:tc>
          <w:tcPr>
            <w:tcW w:w="1340" w:type="dxa"/>
            <w:shd w:val="clear" w:color="auto" w:fill="auto"/>
            <w:noWrap/>
            <w:vAlign w:val="bottom"/>
          </w:tcPr>
          <w:p w:rsidRPr="00A96B1F" w:rsidR="00E95811" w:rsidP="00CF30D3" w:rsidRDefault="00E95811" w14:paraId="4E588C6C" w14:textId="77777777">
            <w:pPr>
              <w:spacing w:line="240" w:lineRule="auto"/>
              <w:jc w:val="center"/>
              <w:rPr>
                <w:rFonts w:ascii="Calibri" w:hAnsi="Calibri"/>
                <w:szCs w:val="22"/>
              </w:rPr>
            </w:pPr>
            <w:r w:rsidRPr="00A96B1F">
              <w:rPr>
                <w:rFonts w:ascii="Calibri" w:hAnsi="Calibri"/>
                <w:szCs w:val="22"/>
              </w:rPr>
              <w:t>6.32</w:t>
            </w:r>
          </w:p>
        </w:tc>
        <w:tc>
          <w:tcPr>
            <w:tcW w:w="1431" w:type="dxa"/>
            <w:shd w:val="clear" w:color="auto" w:fill="auto"/>
            <w:noWrap/>
            <w:vAlign w:val="bottom"/>
          </w:tcPr>
          <w:p w:rsidRPr="00A96B1F" w:rsidR="00E95811" w:rsidP="00CF30D3" w:rsidRDefault="00E95811" w14:paraId="360FEFCA" w14:textId="77777777">
            <w:pPr>
              <w:spacing w:line="240" w:lineRule="auto"/>
              <w:jc w:val="center"/>
              <w:rPr>
                <w:rFonts w:ascii="Calibri" w:hAnsi="Calibri"/>
                <w:szCs w:val="22"/>
              </w:rPr>
            </w:pPr>
            <w:r w:rsidRPr="00A96B1F">
              <w:rPr>
                <w:rFonts w:ascii="Calibri" w:hAnsi="Calibri"/>
                <w:szCs w:val="22"/>
              </w:rPr>
              <w:t>7.24</w:t>
            </w:r>
          </w:p>
        </w:tc>
        <w:tc>
          <w:tcPr>
            <w:tcW w:w="1431" w:type="dxa"/>
            <w:shd w:val="clear" w:color="auto" w:fill="auto"/>
            <w:noWrap/>
            <w:vAlign w:val="bottom"/>
          </w:tcPr>
          <w:p w:rsidRPr="00A96B1F" w:rsidR="00E95811" w:rsidP="00CF30D3" w:rsidRDefault="00E95811" w14:paraId="1C6EE915" w14:textId="77777777">
            <w:pPr>
              <w:spacing w:line="240" w:lineRule="auto"/>
              <w:jc w:val="center"/>
              <w:rPr>
                <w:rFonts w:ascii="Calibri" w:hAnsi="Calibri"/>
                <w:szCs w:val="22"/>
              </w:rPr>
            </w:pPr>
            <w:r w:rsidRPr="00A96B1F">
              <w:rPr>
                <w:rFonts w:ascii="Calibri" w:hAnsi="Calibri"/>
                <w:szCs w:val="22"/>
              </w:rPr>
              <w:t>7.74</w:t>
            </w:r>
          </w:p>
        </w:tc>
        <w:tc>
          <w:tcPr>
            <w:tcW w:w="1431" w:type="dxa"/>
            <w:shd w:val="clear" w:color="auto" w:fill="auto"/>
            <w:noWrap/>
            <w:vAlign w:val="bottom"/>
          </w:tcPr>
          <w:p w:rsidRPr="00A96B1F" w:rsidR="00E95811" w:rsidP="00CF30D3" w:rsidRDefault="00E95811" w14:paraId="65F09628" w14:textId="77777777">
            <w:pPr>
              <w:spacing w:line="240" w:lineRule="auto"/>
              <w:jc w:val="center"/>
              <w:rPr>
                <w:rFonts w:ascii="Calibri" w:hAnsi="Calibri"/>
                <w:szCs w:val="22"/>
              </w:rPr>
            </w:pPr>
            <w:r w:rsidRPr="00A96B1F">
              <w:rPr>
                <w:rFonts w:ascii="Calibri" w:hAnsi="Calibri"/>
                <w:szCs w:val="22"/>
              </w:rPr>
              <w:t>7.90</w:t>
            </w:r>
          </w:p>
        </w:tc>
      </w:tr>
      <w:tr w:rsidRPr="00A96B1F" w:rsidR="00E95811" w:rsidTr="00CF30D3" w14:paraId="1D900083" w14:textId="77777777">
        <w:trPr>
          <w:trHeight w:val="230"/>
          <w:jc w:val="center"/>
        </w:trPr>
        <w:tc>
          <w:tcPr>
            <w:tcW w:w="1296" w:type="dxa"/>
            <w:shd w:val="clear" w:color="auto" w:fill="auto"/>
            <w:noWrap/>
            <w:vAlign w:val="bottom"/>
          </w:tcPr>
          <w:p w:rsidRPr="00A96B1F" w:rsidR="00E95811" w:rsidP="00CF30D3" w:rsidRDefault="00E95811" w14:paraId="503145FA" w14:textId="77777777">
            <w:pPr>
              <w:pStyle w:val="SL-FlLftSgl"/>
              <w:spacing w:line="240" w:lineRule="auto"/>
              <w:jc w:val="right"/>
              <w:rPr>
                <w:rFonts w:ascii="Calibri" w:hAnsi="Calibri"/>
                <w:szCs w:val="22"/>
              </w:rPr>
            </w:pPr>
            <w:r w:rsidRPr="00A96B1F">
              <w:rPr>
                <w:rFonts w:ascii="Calibri" w:hAnsi="Calibri"/>
                <w:szCs w:val="22"/>
              </w:rPr>
              <w:t>100</w:t>
            </w:r>
          </w:p>
        </w:tc>
        <w:tc>
          <w:tcPr>
            <w:tcW w:w="1340" w:type="dxa"/>
            <w:shd w:val="clear" w:color="auto" w:fill="auto"/>
            <w:noWrap/>
            <w:vAlign w:val="bottom"/>
          </w:tcPr>
          <w:p w:rsidRPr="00A96B1F" w:rsidR="00E95811" w:rsidP="00CF30D3" w:rsidRDefault="00E95811" w14:paraId="0D565B38" w14:textId="77777777">
            <w:pPr>
              <w:spacing w:line="240" w:lineRule="auto"/>
              <w:jc w:val="center"/>
              <w:rPr>
                <w:rFonts w:ascii="Calibri" w:hAnsi="Calibri"/>
                <w:szCs w:val="22"/>
              </w:rPr>
            </w:pPr>
            <w:r w:rsidRPr="00A96B1F">
              <w:rPr>
                <w:rFonts w:ascii="Calibri" w:hAnsi="Calibri"/>
                <w:szCs w:val="22"/>
              </w:rPr>
              <w:t>6.70</w:t>
            </w:r>
          </w:p>
        </w:tc>
        <w:tc>
          <w:tcPr>
            <w:tcW w:w="1340" w:type="dxa"/>
            <w:shd w:val="clear" w:color="auto" w:fill="auto"/>
            <w:noWrap/>
            <w:vAlign w:val="bottom"/>
          </w:tcPr>
          <w:p w:rsidRPr="00A96B1F" w:rsidR="00E95811" w:rsidP="00CF30D3" w:rsidRDefault="00E95811" w14:paraId="44F62D30" w14:textId="77777777">
            <w:pPr>
              <w:spacing w:line="240" w:lineRule="auto"/>
              <w:jc w:val="center"/>
              <w:rPr>
                <w:rFonts w:ascii="Calibri" w:hAnsi="Calibri"/>
                <w:szCs w:val="22"/>
              </w:rPr>
            </w:pPr>
            <w:r w:rsidRPr="00A96B1F">
              <w:rPr>
                <w:rFonts w:ascii="Calibri" w:hAnsi="Calibri"/>
                <w:szCs w:val="22"/>
              </w:rPr>
              <w:t>8.94</w:t>
            </w:r>
          </w:p>
        </w:tc>
        <w:tc>
          <w:tcPr>
            <w:tcW w:w="1431" w:type="dxa"/>
            <w:shd w:val="clear" w:color="auto" w:fill="auto"/>
            <w:noWrap/>
            <w:vAlign w:val="bottom"/>
          </w:tcPr>
          <w:p w:rsidRPr="00A96B1F" w:rsidR="00E95811" w:rsidP="00CF30D3" w:rsidRDefault="00E95811" w14:paraId="33306CF8" w14:textId="77777777">
            <w:pPr>
              <w:spacing w:line="240" w:lineRule="auto"/>
              <w:jc w:val="center"/>
              <w:rPr>
                <w:rFonts w:ascii="Calibri" w:hAnsi="Calibri"/>
                <w:szCs w:val="22"/>
              </w:rPr>
            </w:pPr>
            <w:r w:rsidRPr="00A96B1F">
              <w:rPr>
                <w:rFonts w:ascii="Calibri" w:hAnsi="Calibri"/>
                <w:szCs w:val="22"/>
              </w:rPr>
              <w:t>10.24</w:t>
            </w:r>
          </w:p>
        </w:tc>
        <w:tc>
          <w:tcPr>
            <w:tcW w:w="1431" w:type="dxa"/>
            <w:shd w:val="clear" w:color="auto" w:fill="auto"/>
            <w:noWrap/>
            <w:vAlign w:val="bottom"/>
          </w:tcPr>
          <w:p w:rsidRPr="00A96B1F" w:rsidR="00E95811" w:rsidP="00CF30D3" w:rsidRDefault="00E95811" w14:paraId="63D13A76" w14:textId="77777777">
            <w:pPr>
              <w:spacing w:line="240" w:lineRule="auto"/>
              <w:jc w:val="center"/>
              <w:rPr>
                <w:rFonts w:ascii="Calibri" w:hAnsi="Calibri"/>
                <w:szCs w:val="22"/>
              </w:rPr>
            </w:pPr>
            <w:r w:rsidRPr="00A96B1F">
              <w:rPr>
                <w:rFonts w:ascii="Calibri" w:hAnsi="Calibri"/>
                <w:szCs w:val="22"/>
              </w:rPr>
              <w:t>10.95</w:t>
            </w:r>
          </w:p>
        </w:tc>
        <w:tc>
          <w:tcPr>
            <w:tcW w:w="1431" w:type="dxa"/>
            <w:shd w:val="clear" w:color="auto" w:fill="auto"/>
            <w:noWrap/>
            <w:vAlign w:val="bottom"/>
          </w:tcPr>
          <w:p w:rsidRPr="00A96B1F" w:rsidR="00E95811" w:rsidP="00CF30D3" w:rsidRDefault="00E95811" w14:paraId="6CBCAEEF" w14:textId="77777777">
            <w:pPr>
              <w:spacing w:line="240" w:lineRule="auto"/>
              <w:jc w:val="center"/>
              <w:rPr>
                <w:rFonts w:ascii="Calibri" w:hAnsi="Calibri"/>
                <w:szCs w:val="22"/>
              </w:rPr>
            </w:pPr>
            <w:r w:rsidRPr="00A96B1F">
              <w:rPr>
                <w:rFonts w:ascii="Calibri" w:hAnsi="Calibri"/>
                <w:szCs w:val="22"/>
              </w:rPr>
              <w:t>11.17</w:t>
            </w:r>
          </w:p>
        </w:tc>
      </w:tr>
    </w:tbl>
    <w:p w:rsidRPr="00A96B1F" w:rsidR="00E95811" w:rsidP="00E95811" w:rsidRDefault="00E95811" w14:paraId="38705478" w14:textId="77777777">
      <w:pPr>
        <w:pStyle w:val="P1-StandPara"/>
        <w:spacing w:line="240" w:lineRule="auto"/>
        <w:ind w:firstLine="0"/>
        <w:jc w:val="left"/>
        <w:rPr>
          <w:szCs w:val="22"/>
        </w:rPr>
      </w:pPr>
    </w:p>
    <w:p w:rsidRPr="00A96B1F" w:rsidR="00E95811" w:rsidP="00E95811" w:rsidRDefault="00E95811" w14:paraId="48653FE2" w14:textId="77777777">
      <w:pPr>
        <w:pStyle w:val="P1-StandPara"/>
        <w:spacing w:line="240" w:lineRule="auto"/>
        <w:ind w:firstLine="0"/>
        <w:jc w:val="left"/>
        <w:rPr>
          <w:szCs w:val="22"/>
        </w:rPr>
      </w:pPr>
    </w:p>
    <w:p w:rsidRPr="00A96B1F" w:rsidR="00E95811" w:rsidP="00E95811" w:rsidRDefault="00E95811" w14:paraId="6F509518" w14:textId="77777777">
      <w:pPr>
        <w:pStyle w:val="P1-StandPara"/>
        <w:spacing w:line="240" w:lineRule="auto"/>
        <w:ind w:firstLine="0"/>
        <w:jc w:val="left"/>
        <w:rPr>
          <w:szCs w:val="22"/>
        </w:rPr>
      </w:pPr>
      <w:r w:rsidRPr="00A96B1F">
        <w:rPr>
          <w:szCs w:val="22"/>
        </w:rPr>
        <w:lastRenderedPageBreak/>
        <w:t>It is important to note that if the population sizes in the sub-groups or regions vary widely, then the national sample must be allocated appropriately to produce estimates from all individual sub-groups/regions with an equal level of precision. Otherwise, under a proportionate allocation, larger sub-groups will have more than required sample size while the smaller sub-groups will have less than the sample size required. For example, if the estimates are required separately for Whites and African-Americans, then just increasing the national sample would not ensure sufficient sample size for African-Americans, because less than 15 percent of recipients are African-Americans for many services. In this situation, the national sample can be disproportionately allocated by over-sampling smaller sub-groups to ensure that sufficient samples are drawn from all target sub-groups. However, over-sampling an ethnic or demographic group will require that agencies first list all their clients with the characteristic of interest and then select a sample from this list by sub-group (which may exceed the capacity of many AAA information systems).</w:t>
      </w:r>
    </w:p>
    <w:p w:rsidRPr="00AD2088" w:rsidR="00E95811" w:rsidP="00E95811" w:rsidRDefault="00E95811" w14:paraId="0174AB50" w14:textId="77777777">
      <w:pPr>
        <w:pStyle w:val="P1-StandPara"/>
        <w:spacing w:line="240" w:lineRule="auto"/>
        <w:ind w:firstLine="0"/>
        <w:jc w:val="left"/>
        <w:rPr>
          <w:szCs w:val="22"/>
        </w:rPr>
      </w:pPr>
    </w:p>
    <w:p w:rsidRPr="00E00C43" w:rsidR="00E95811" w:rsidP="00E95811" w:rsidRDefault="00FB61A4" w14:paraId="73DCDD9F" w14:textId="0CB99406">
      <w:pPr>
        <w:pStyle w:val="Heading4"/>
        <w:keepLines/>
        <w:jc w:val="left"/>
        <w:rPr>
          <w:rFonts w:ascii="Franklin Gothic Medium" w:hAnsi="Franklin Gothic Medium"/>
          <w:i/>
          <w:color w:val="17365D" w:themeColor="text2" w:themeShade="BF"/>
          <w:sz w:val="24"/>
          <w:szCs w:val="24"/>
        </w:rPr>
      </w:pPr>
      <w:r>
        <w:rPr>
          <w:rFonts w:ascii="Franklin Gothic Medium" w:hAnsi="Franklin Gothic Medium"/>
          <w:color w:val="17365D" w:themeColor="text2" w:themeShade="BF"/>
          <w:sz w:val="24"/>
          <w:szCs w:val="24"/>
        </w:rPr>
        <w:t>B.2.3.2</w:t>
      </w:r>
      <w:r>
        <w:rPr>
          <w:rFonts w:ascii="Franklin Gothic Medium" w:hAnsi="Franklin Gothic Medium"/>
          <w:color w:val="17365D" w:themeColor="text2" w:themeShade="BF"/>
          <w:sz w:val="24"/>
          <w:szCs w:val="24"/>
        </w:rPr>
        <w:tab/>
      </w:r>
      <w:r>
        <w:rPr>
          <w:rFonts w:ascii="Franklin Gothic Medium" w:hAnsi="Franklin Gothic Medium"/>
          <w:color w:val="17365D" w:themeColor="text2" w:themeShade="BF"/>
          <w:sz w:val="24"/>
          <w:szCs w:val="24"/>
        </w:rPr>
        <w:tab/>
      </w:r>
      <w:r w:rsidRPr="00E00C43" w:rsidR="00E95811">
        <w:rPr>
          <w:rFonts w:ascii="Franklin Gothic Medium" w:hAnsi="Franklin Gothic Medium"/>
          <w:color w:val="17365D" w:themeColor="text2" w:themeShade="BF"/>
          <w:sz w:val="24"/>
          <w:szCs w:val="24"/>
        </w:rPr>
        <w:t>Sample Size for Estimation of Change</w:t>
      </w:r>
    </w:p>
    <w:p w:rsidRPr="00A96B1F" w:rsidR="00E95811" w:rsidP="00E95811" w:rsidRDefault="00E95811" w14:paraId="7B2F1A7D" w14:textId="46150D11">
      <w:pPr>
        <w:pStyle w:val="P1-StandPara"/>
        <w:keepNext/>
        <w:keepLines/>
        <w:spacing w:line="240" w:lineRule="auto"/>
        <w:ind w:firstLine="0"/>
        <w:jc w:val="left"/>
        <w:rPr>
          <w:snapToGrid w:val="0"/>
          <w:szCs w:val="22"/>
        </w:rPr>
      </w:pPr>
      <w:r w:rsidRPr="00A96B1F">
        <w:rPr>
          <w:szCs w:val="22"/>
        </w:rPr>
        <w:t>If there is interest in comparing estimates from one year with another year (</w:t>
      </w:r>
      <w:r w:rsidRPr="00A96B1F" w:rsidR="00920B27">
        <w:rPr>
          <w:szCs w:val="22"/>
        </w:rPr>
        <w:t>cross-</w:t>
      </w:r>
      <w:proofErr w:type="spellStart"/>
      <w:r w:rsidRPr="00A96B1F" w:rsidR="00920B27">
        <w:rPr>
          <w:szCs w:val="22"/>
        </w:rPr>
        <w:t>sectionally</w:t>
      </w:r>
      <w:proofErr w:type="spellEnd"/>
      <w:r w:rsidRPr="00A96B1F">
        <w:rPr>
          <w:szCs w:val="22"/>
        </w:rPr>
        <w:t xml:space="preserve">) , or comparing estimates of one sub-group with another sub-group, the sample size requirements are different from those that show individual point estimates at the same level of precision. </w:t>
      </w:r>
      <w:r w:rsidRPr="00A96B1F">
        <w:rPr>
          <w:snapToGrid w:val="0"/>
          <w:szCs w:val="22"/>
        </w:rPr>
        <w:t xml:space="preserve">The standard error (SE) of the difference between two independent estimates (for example, A and B) can be obtained by </w:t>
      </w:r>
    </w:p>
    <w:p w:rsidRPr="00A96B1F" w:rsidR="00E95811" w:rsidP="00E95811" w:rsidRDefault="00E95811" w14:paraId="59183135" w14:textId="77777777">
      <w:pPr>
        <w:pStyle w:val="P1-StandPara"/>
        <w:keepNext/>
        <w:keepLines/>
        <w:spacing w:line="240" w:lineRule="auto"/>
        <w:ind w:firstLine="0"/>
        <w:jc w:val="left"/>
        <w:rPr>
          <w:snapToGrid w:val="0"/>
          <w:szCs w:val="22"/>
        </w:rPr>
      </w:pPr>
    </w:p>
    <w:p w:rsidRPr="00A96B1F" w:rsidR="00E95811" w:rsidP="00E95811" w:rsidRDefault="00E95811" w14:paraId="1024AB94" w14:textId="77777777">
      <w:pPr>
        <w:pStyle w:val="P1-StandPara"/>
        <w:keepNext/>
        <w:keepLines/>
        <w:spacing w:line="240" w:lineRule="auto"/>
        <w:ind w:firstLine="0"/>
        <w:jc w:val="left"/>
        <w:rPr>
          <w:snapToGrid w:val="0"/>
          <w:position w:val="-10"/>
          <w:szCs w:val="22"/>
        </w:rPr>
      </w:pPr>
      <w:r w:rsidRPr="00A96B1F">
        <w:rPr>
          <w:snapToGrid w:val="0"/>
          <w:position w:val="-12"/>
          <w:szCs w:val="22"/>
        </w:rPr>
        <w:object w:dxaOrig="2920" w:dyaOrig="420" w14:anchorId="09B6C5F3">
          <v:shape id="_x0000_i1030" style="width:147.5pt;height:22pt" o:ole="" type="#_x0000_t75">
            <v:imagedata o:title="" r:id="rId22"/>
          </v:shape>
          <o:OLEObject Type="Embed" ProgID="Equation.3" ShapeID="_x0000_i1030" DrawAspect="Content" ObjectID="_1683361485" r:id="rId23"/>
        </w:object>
      </w:r>
      <w:r w:rsidRPr="00A96B1F">
        <w:rPr>
          <w:snapToGrid w:val="0"/>
          <w:szCs w:val="22"/>
        </w:rPr>
        <w:t xml:space="preserve"> , and the half-width of the 95 percent CI is </w:t>
      </w:r>
      <w:r w:rsidRPr="00A96B1F">
        <w:rPr>
          <w:snapToGrid w:val="0"/>
          <w:position w:val="-10"/>
          <w:szCs w:val="22"/>
        </w:rPr>
        <w:object w:dxaOrig="1520" w:dyaOrig="300" w14:anchorId="43D4A17E">
          <v:shape id="_x0000_i1031" style="width:75pt;height:16pt" o:ole="" type="#_x0000_t75">
            <v:imagedata o:title="" r:id="rId24"/>
          </v:shape>
          <o:OLEObject Type="Embed" ProgID="Equation.3" ShapeID="_x0000_i1031" DrawAspect="Content" ObjectID="_1683361486" r:id="rId25"/>
        </w:object>
      </w:r>
    </w:p>
    <w:p w:rsidRPr="00A96B1F" w:rsidR="00E95811" w:rsidP="00E95811" w:rsidRDefault="00E95811" w14:paraId="69D700C3" w14:textId="77777777">
      <w:pPr>
        <w:pStyle w:val="P1-StandPara"/>
        <w:keepNext/>
        <w:keepLines/>
        <w:spacing w:line="240" w:lineRule="auto"/>
        <w:ind w:firstLine="0"/>
        <w:jc w:val="left"/>
        <w:rPr>
          <w:snapToGrid w:val="0"/>
          <w:position w:val="-10"/>
          <w:szCs w:val="22"/>
        </w:rPr>
      </w:pPr>
    </w:p>
    <w:p w:rsidRPr="00A96B1F" w:rsidR="00E95811" w:rsidP="00E95811" w:rsidRDefault="00E95811" w14:paraId="78453B49" w14:textId="3AB065F2">
      <w:pPr>
        <w:pStyle w:val="P1-StandPara"/>
        <w:spacing w:line="240" w:lineRule="auto"/>
        <w:ind w:firstLine="0"/>
        <w:jc w:val="left"/>
        <w:rPr>
          <w:snapToGrid w:val="0"/>
          <w:szCs w:val="22"/>
        </w:rPr>
      </w:pPr>
      <w:r w:rsidRPr="00A96B1F">
        <w:rPr>
          <w:snapToGrid w:val="0"/>
          <w:szCs w:val="22"/>
        </w:rPr>
        <w:t>Since the variance of the estimate (of a difference between estimates) is the sum of the variances of the relevant individual estimates, the required sample size for estimating a difference or change is higher than for a single point estimate.</w:t>
      </w:r>
    </w:p>
    <w:p w:rsidRPr="00A96B1F" w:rsidR="00E95811" w:rsidP="00E95811" w:rsidRDefault="00E95811" w14:paraId="130068CB" w14:textId="77777777">
      <w:pPr>
        <w:pStyle w:val="P1-StandPara"/>
        <w:spacing w:line="240" w:lineRule="auto"/>
        <w:ind w:firstLine="0"/>
        <w:jc w:val="left"/>
        <w:rPr>
          <w:snapToGrid w:val="0"/>
          <w:szCs w:val="22"/>
        </w:rPr>
      </w:pPr>
    </w:p>
    <w:p w:rsidRPr="00A96B1F" w:rsidR="00E95811" w:rsidP="00E95811" w:rsidRDefault="00E95811" w14:paraId="11C0DE3C" w14:textId="77777777">
      <w:pPr>
        <w:pStyle w:val="P1-StandPara"/>
        <w:spacing w:line="240" w:lineRule="auto"/>
        <w:ind w:firstLine="0"/>
        <w:jc w:val="left"/>
        <w:rPr>
          <w:snapToGrid w:val="0"/>
          <w:szCs w:val="22"/>
        </w:rPr>
      </w:pPr>
      <w:r w:rsidRPr="00A96B1F">
        <w:rPr>
          <w:snapToGrid w:val="0"/>
          <w:szCs w:val="22"/>
        </w:rPr>
        <w:t>Table B-2 presents half-widths of 95 percent CIs under a two-stage design for various sample sizes and various averages of the two estimates to be compared. For example, if the average of the two target characteristics to be compared is around 30 percent (for example, A=25 and B=35) and the sample size in each sub-group is 500, to detect a difference between the two sub-groups with statistical significance, the actual difference between the two sub-group characteristics will have to be at least 6.48 percent. This is much higher than the corresponding half-widths presented in Table B-1 for each of the individual estimates. That means a sample size that is sufficient to produce a reliable point estimate for each sub-group, individually, is not necessarily sufficient to detect the difference between the two sub-groups with the same level of precision.</w:t>
      </w:r>
    </w:p>
    <w:p w:rsidRPr="00A96B1F" w:rsidR="00E95811" w:rsidP="00E95811" w:rsidRDefault="00E95811" w14:paraId="2F1A56E6" w14:textId="77777777">
      <w:pPr>
        <w:pStyle w:val="P1-StandPara"/>
        <w:spacing w:line="240" w:lineRule="auto"/>
        <w:ind w:firstLine="0"/>
        <w:jc w:val="left"/>
        <w:rPr>
          <w:snapToGrid w:val="0"/>
          <w:szCs w:val="22"/>
        </w:rPr>
      </w:pPr>
    </w:p>
    <w:p w:rsidRPr="00A96B1F" w:rsidR="00E95811" w:rsidP="00E95811" w:rsidRDefault="00E95811" w14:paraId="20848AC0" w14:textId="77777777">
      <w:pPr>
        <w:pStyle w:val="P1-StandPara"/>
        <w:spacing w:line="240" w:lineRule="auto"/>
        <w:ind w:firstLine="0"/>
        <w:jc w:val="left"/>
        <w:rPr>
          <w:snapToGrid w:val="0"/>
          <w:szCs w:val="22"/>
        </w:rPr>
      </w:pPr>
      <w:r w:rsidRPr="00A96B1F">
        <w:rPr>
          <w:snapToGrid w:val="0"/>
          <w:szCs w:val="22"/>
        </w:rPr>
        <w:t xml:space="preserve">Therefore, if the survey is designed for use at a region or sub-group level, then the corresponding national estimates can be compared meaningfully from one year to another, or for one service versus another (e.g., the percent of each service’s clients below a certain income level). For example, if the sample size is 1,000 in each year, and if the average response proportion for the two target characteristics is around 30 percent, then a difference of 4.58 percent or more between the years is detectable. The corresponding comparison with a sub-group sample of size 500, would not allow detecting a difference unless it is 6.48 percent or more. </w:t>
      </w:r>
    </w:p>
    <w:p w:rsidRPr="00A96B1F" w:rsidR="00E95811" w:rsidP="00E95811" w:rsidRDefault="00E95811" w14:paraId="17CBAF62" w14:textId="77777777">
      <w:pPr>
        <w:pStyle w:val="P1-StandPara"/>
        <w:spacing w:line="240" w:lineRule="auto"/>
        <w:ind w:firstLine="0"/>
        <w:jc w:val="left"/>
        <w:rPr>
          <w:snapToGrid w:val="0"/>
          <w:szCs w:val="22"/>
        </w:rPr>
      </w:pPr>
    </w:p>
    <w:p w:rsidR="00F4055F" w:rsidP="00DC3806" w:rsidRDefault="00E95811" w14:paraId="5A2D65D1" w14:textId="77777777">
      <w:pPr>
        <w:spacing w:line="240" w:lineRule="auto"/>
        <w:jc w:val="left"/>
        <w:rPr>
          <w:rFonts w:ascii="Franklin Gothic Medium" w:hAnsi="Franklin Gothic Medium"/>
          <w:color w:val="17365D" w:themeColor="text2" w:themeShade="BF"/>
          <w:sz w:val="24"/>
          <w:szCs w:val="24"/>
        </w:rPr>
      </w:pPr>
      <w:r w:rsidRPr="00A96B1F">
        <w:rPr>
          <w:snapToGrid w:val="0"/>
          <w:szCs w:val="22"/>
        </w:rPr>
        <w:t xml:space="preserve">Table B-2 can be used to see the extent of difference that can be detected under a two-stage design, for various sample sizes, and for various characteristics to be compared either at the national or at the sub-group </w:t>
      </w:r>
      <w:r w:rsidRPr="00A96B1F" w:rsidR="00571F09">
        <w:rPr>
          <w:snapToGrid w:val="0"/>
          <w:szCs w:val="22"/>
        </w:rPr>
        <w:t>level.</w:t>
      </w:r>
      <w:r w:rsidRPr="007C29DB" w:rsidR="00571F09">
        <w:rPr>
          <w:rFonts w:ascii="Franklin Gothic Medium" w:hAnsi="Franklin Gothic Medium"/>
          <w:color w:val="17365D" w:themeColor="text2" w:themeShade="BF"/>
          <w:sz w:val="24"/>
          <w:szCs w:val="24"/>
        </w:rPr>
        <w:t xml:space="preserve"> </w:t>
      </w:r>
    </w:p>
    <w:p w:rsidRPr="007C29DB" w:rsidR="00E95811" w:rsidP="00DC3806" w:rsidRDefault="00571F09" w14:paraId="25629A9B" w14:textId="33A4F3E5">
      <w:pPr>
        <w:spacing w:line="240" w:lineRule="auto"/>
        <w:jc w:val="left"/>
        <w:rPr>
          <w:rFonts w:ascii="Franklin Gothic Medium" w:hAnsi="Franklin Gothic Medium"/>
          <w:b/>
          <w:color w:val="17365D" w:themeColor="text2" w:themeShade="BF"/>
          <w:sz w:val="24"/>
          <w:szCs w:val="24"/>
        </w:rPr>
      </w:pPr>
      <w:r w:rsidRPr="007C29DB">
        <w:rPr>
          <w:rFonts w:ascii="Franklin Gothic Medium" w:hAnsi="Franklin Gothic Medium"/>
          <w:color w:val="17365D" w:themeColor="text2" w:themeShade="BF"/>
          <w:sz w:val="24"/>
          <w:szCs w:val="24"/>
        </w:rPr>
        <w:lastRenderedPageBreak/>
        <w:t>Table</w:t>
      </w:r>
      <w:r w:rsidRPr="007C29DB" w:rsidR="00E95811">
        <w:rPr>
          <w:rFonts w:ascii="Franklin Gothic Medium" w:hAnsi="Franklin Gothic Medium"/>
          <w:color w:val="17365D" w:themeColor="text2" w:themeShade="BF"/>
          <w:sz w:val="24"/>
          <w:szCs w:val="24"/>
        </w:rPr>
        <w:t xml:space="preserve"> B-2</w:t>
      </w:r>
      <w:r w:rsidRPr="007C29DB" w:rsidR="00E95811">
        <w:rPr>
          <w:rFonts w:ascii="Franklin Gothic Medium" w:hAnsi="Franklin Gothic Medium"/>
          <w:color w:val="17365D" w:themeColor="text2" w:themeShade="BF"/>
          <w:sz w:val="24"/>
          <w:szCs w:val="24"/>
        </w:rPr>
        <w:tab/>
        <w:t>Half-widths of 95 percent confidence intervals for the difference between two estimates by various sample sizes and for various averages of the two estimates (computed for a two-stage design with a design effect of 1.30)</w:t>
      </w:r>
    </w:p>
    <w:p w:rsidRPr="007C29DB" w:rsidR="00E95811" w:rsidP="00E95811" w:rsidRDefault="00E95811" w14:paraId="52D205FF" w14:textId="77777777">
      <w:pPr>
        <w:pStyle w:val="TT-TableTitle"/>
        <w:keepLines/>
        <w:spacing w:after="120" w:line="240" w:lineRule="auto"/>
        <w:rPr>
          <w:b/>
          <w:szCs w:val="22"/>
        </w:rPr>
      </w:pPr>
    </w:p>
    <w:tbl>
      <w:tblPr>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79"/>
        <w:gridCol w:w="1197"/>
        <w:gridCol w:w="1344"/>
        <w:gridCol w:w="1431"/>
        <w:gridCol w:w="1431"/>
        <w:gridCol w:w="1431"/>
      </w:tblGrid>
      <w:tr w:rsidRPr="00E00C43" w:rsidR="00E95811" w:rsidTr="00CF30D3" w14:paraId="5BCE69EF" w14:textId="77777777">
        <w:trPr>
          <w:trHeight w:val="230"/>
          <w:jc w:val="center"/>
        </w:trPr>
        <w:tc>
          <w:tcPr>
            <w:tcW w:w="1579" w:type="dxa"/>
            <w:vMerge w:val="restart"/>
            <w:shd w:val="clear" w:color="auto" w:fill="auto"/>
            <w:noWrap/>
            <w:vAlign w:val="bottom"/>
          </w:tcPr>
          <w:p w:rsidRPr="007C29DB" w:rsidR="00E95811" w:rsidP="00CF30D3" w:rsidRDefault="00E95811" w14:paraId="5E3CF1BC" w14:textId="77777777">
            <w:pPr>
              <w:pStyle w:val="SL-FlLftSgl"/>
              <w:keepNext/>
              <w:keepLines/>
              <w:spacing w:after="120" w:line="240" w:lineRule="auto"/>
              <w:jc w:val="left"/>
              <w:rPr>
                <w:rFonts w:ascii="Calibri" w:hAnsi="Calibri"/>
                <w:szCs w:val="22"/>
              </w:rPr>
            </w:pPr>
            <w:r w:rsidRPr="007C29DB">
              <w:rPr>
                <w:rFonts w:ascii="Calibri" w:hAnsi="Calibri"/>
                <w:szCs w:val="22"/>
              </w:rPr>
              <w:t>Sample size in each group</w:t>
            </w:r>
          </w:p>
        </w:tc>
        <w:tc>
          <w:tcPr>
            <w:tcW w:w="6834" w:type="dxa"/>
            <w:gridSpan w:val="5"/>
            <w:shd w:val="clear" w:color="auto" w:fill="auto"/>
            <w:vAlign w:val="bottom"/>
          </w:tcPr>
          <w:p w:rsidRPr="007C29DB" w:rsidR="00E95811" w:rsidP="00CF30D3" w:rsidRDefault="00E95811" w14:paraId="63129AED" w14:textId="77777777">
            <w:pPr>
              <w:pStyle w:val="SL-FlLftSgl"/>
              <w:keepNext/>
              <w:keepLines/>
              <w:spacing w:before="120" w:line="240" w:lineRule="auto"/>
              <w:jc w:val="center"/>
              <w:rPr>
                <w:rFonts w:ascii="Calibri" w:hAnsi="Calibri"/>
                <w:b/>
                <w:sz w:val="24"/>
                <w:szCs w:val="24"/>
              </w:rPr>
            </w:pPr>
            <w:r w:rsidRPr="007C29DB">
              <w:rPr>
                <w:rFonts w:ascii="Calibri" w:hAnsi="Calibri"/>
                <w:b/>
                <w:sz w:val="24"/>
                <w:szCs w:val="24"/>
              </w:rPr>
              <w:t>Average of the estimates to be compared</w:t>
            </w:r>
          </w:p>
        </w:tc>
      </w:tr>
      <w:tr w:rsidRPr="00E00C43" w:rsidR="00E95811" w:rsidTr="00CF30D3" w14:paraId="0F540432" w14:textId="77777777">
        <w:trPr>
          <w:trHeight w:val="230"/>
          <w:jc w:val="center"/>
        </w:trPr>
        <w:tc>
          <w:tcPr>
            <w:tcW w:w="1579" w:type="dxa"/>
            <w:vMerge/>
            <w:shd w:val="clear" w:color="auto" w:fill="auto"/>
            <w:noWrap/>
            <w:vAlign w:val="bottom"/>
          </w:tcPr>
          <w:p w:rsidRPr="007C29DB" w:rsidR="00E95811" w:rsidP="00CF30D3" w:rsidRDefault="00E95811" w14:paraId="18C2EEFC" w14:textId="77777777">
            <w:pPr>
              <w:pStyle w:val="SL-FlLftSgl"/>
              <w:keepNext/>
              <w:keepLines/>
              <w:spacing w:line="240" w:lineRule="auto"/>
              <w:jc w:val="left"/>
              <w:rPr>
                <w:rFonts w:ascii="Calibri" w:hAnsi="Calibri"/>
                <w:szCs w:val="22"/>
              </w:rPr>
            </w:pPr>
          </w:p>
        </w:tc>
        <w:tc>
          <w:tcPr>
            <w:tcW w:w="1197" w:type="dxa"/>
            <w:shd w:val="clear" w:color="auto" w:fill="auto"/>
            <w:noWrap/>
            <w:vAlign w:val="bottom"/>
          </w:tcPr>
          <w:p w:rsidRPr="007C29DB" w:rsidR="00E95811" w:rsidP="00CF30D3" w:rsidRDefault="00E95811" w14:paraId="09570860" w14:textId="77777777">
            <w:pPr>
              <w:pStyle w:val="SL-FlLftSgl"/>
              <w:keepNext/>
              <w:keepLines/>
              <w:spacing w:before="120" w:after="120" w:line="240" w:lineRule="auto"/>
              <w:jc w:val="center"/>
              <w:rPr>
                <w:rFonts w:ascii="Calibri" w:hAnsi="Calibri"/>
                <w:b/>
                <w:szCs w:val="22"/>
              </w:rPr>
            </w:pPr>
            <w:r w:rsidRPr="007C29DB">
              <w:rPr>
                <w:rFonts w:ascii="Calibri" w:hAnsi="Calibri"/>
                <w:b/>
                <w:szCs w:val="22"/>
              </w:rPr>
              <w:t>10 percent</w:t>
            </w:r>
          </w:p>
        </w:tc>
        <w:tc>
          <w:tcPr>
            <w:tcW w:w="1344" w:type="dxa"/>
            <w:shd w:val="clear" w:color="auto" w:fill="auto"/>
            <w:noWrap/>
            <w:vAlign w:val="bottom"/>
          </w:tcPr>
          <w:p w:rsidRPr="007C29DB" w:rsidR="00E95811" w:rsidP="00CF30D3" w:rsidRDefault="00E95811" w14:paraId="6AE901A5" w14:textId="77777777">
            <w:pPr>
              <w:pStyle w:val="SL-FlLftSgl"/>
              <w:keepNext/>
              <w:keepLines/>
              <w:spacing w:before="120" w:after="120" w:line="240" w:lineRule="auto"/>
              <w:jc w:val="center"/>
              <w:rPr>
                <w:rFonts w:ascii="Calibri" w:hAnsi="Calibri"/>
                <w:b/>
                <w:szCs w:val="22"/>
              </w:rPr>
            </w:pPr>
            <w:r w:rsidRPr="007C29DB">
              <w:rPr>
                <w:rFonts w:ascii="Calibri" w:hAnsi="Calibri"/>
                <w:b/>
                <w:szCs w:val="22"/>
              </w:rPr>
              <w:t>20 percent</w:t>
            </w:r>
          </w:p>
        </w:tc>
        <w:tc>
          <w:tcPr>
            <w:tcW w:w="1431" w:type="dxa"/>
            <w:shd w:val="clear" w:color="auto" w:fill="auto"/>
            <w:noWrap/>
            <w:vAlign w:val="bottom"/>
          </w:tcPr>
          <w:p w:rsidRPr="007C29DB" w:rsidR="00E95811" w:rsidP="00CF30D3" w:rsidRDefault="00E95811" w14:paraId="07F10EAE" w14:textId="77777777">
            <w:pPr>
              <w:pStyle w:val="SL-FlLftSgl"/>
              <w:keepNext/>
              <w:keepLines/>
              <w:spacing w:before="120" w:after="120" w:line="240" w:lineRule="auto"/>
              <w:jc w:val="center"/>
              <w:rPr>
                <w:rFonts w:ascii="Calibri" w:hAnsi="Calibri"/>
                <w:b/>
                <w:szCs w:val="22"/>
              </w:rPr>
            </w:pPr>
            <w:r w:rsidRPr="007C29DB">
              <w:rPr>
                <w:rFonts w:ascii="Calibri" w:hAnsi="Calibri"/>
                <w:b/>
                <w:szCs w:val="22"/>
              </w:rPr>
              <w:t>30 percent</w:t>
            </w:r>
          </w:p>
        </w:tc>
        <w:tc>
          <w:tcPr>
            <w:tcW w:w="1431" w:type="dxa"/>
            <w:shd w:val="clear" w:color="auto" w:fill="auto"/>
            <w:noWrap/>
            <w:vAlign w:val="bottom"/>
          </w:tcPr>
          <w:p w:rsidRPr="007C29DB" w:rsidR="00E95811" w:rsidP="00CF30D3" w:rsidRDefault="00E95811" w14:paraId="45CCE6E0" w14:textId="77777777">
            <w:pPr>
              <w:pStyle w:val="SL-FlLftSgl"/>
              <w:keepNext/>
              <w:keepLines/>
              <w:spacing w:before="120" w:after="120" w:line="240" w:lineRule="auto"/>
              <w:jc w:val="center"/>
              <w:rPr>
                <w:rFonts w:ascii="Calibri" w:hAnsi="Calibri"/>
                <w:b/>
                <w:szCs w:val="22"/>
              </w:rPr>
            </w:pPr>
            <w:r w:rsidRPr="007C29DB">
              <w:rPr>
                <w:rFonts w:ascii="Calibri" w:hAnsi="Calibri"/>
                <w:b/>
                <w:szCs w:val="22"/>
              </w:rPr>
              <w:t>40 percent</w:t>
            </w:r>
          </w:p>
        </w:tc>
        <w:tc>
          <w:tcPr>
            <w:tcW w:w="1431" w:type="dxa"/>
            <w:shd w:val="clear" w:color="auto" w:fill="auto"/>
            <w:noWrap/>
            <w:vAlign w:val="bottom"/>
          </w:tcPr>
          <w:p w:rsidRPr="007C29DB" w:rsidR="00E95811" w:rsidP="00CF30D3" w:rsidRDefault="00E95811" w14:paraId="60C20C05" w14:textId="77777777">
            <w:pPr>
              <w:pStyle w:val="SL-FlLftSgl"/>
              <w:keepNext/>
              <w:keepLines/>
              <w:spacing w:before="120" w:after="120" w:line="240" w:lineRule="auto"/>
              <w:jc w:val="center"/>
              <w:rPr>
                <w:rFonts w:ascii="Calibri" w:hAnsi="Calibri"/>
                <w:b/>
                <w:szCs w:val="22"/>
              </w:rPr>
            </w:pPr>
            <w:r w:rsidRPr="007C29DB">
              <w:rPr>
                <w:rFonts w:ascii="Calibri" w:hAnsi="Calibri"/>
                <w:b/>
                <w:szCs w:val="22"/>
              </w:rPr>
              <w:t>50 percent</w:t>
            </w:r>
          </w:p>
        </w:tc>
      </w:tr>
      <w:tr w:rsidRPr="00E00C43" w:rsidR="00E95811" w:rsidTr="00CF30D3" w14:paraId="291BD7AD" w14:textId="77777777">
        <w:trPr>
          <w:trHeight w:val="230"/>
          <w:jc w:val="center"/>
        </w:trPr>
        <w:tc>
          <w:tcPr>
            <w:tcW w:w="1579" w:type="dxa"/>
            <w:shd w:val="clear" w:color="auto" w:fill="auto"/>
            <w:noWrap/>
            <w:vAlign w:val="bottom"/>
          </w:tcPr>
          <w:p w:rsidRPr="007C29DB" w:rsidR="00E95811" w:rsidP="00CF30D3" w:rsidRDefault="00E95811" w14:paraId="2531A69E" w14:textId="77777777">
            <w:pPr>
              <w:pStyle w:val="SL-FlLftSgl"/>
              <w:keepNext/>
              <w:keepLines/>
              <w:spacing w:line="240" w:lineRule="auto"/>
              <w:jc w:val="right"/>
              <w:rPr>
                <w:rFonts w:ascii="Calibri" w:hAnsi="Calibri"/>
                <w:szCs w:val="22"/>
              </w:rPr>
            </w:pPr>
            <w:r w:rsidRPr="007C29DB">
              <w:rPr>
                <w:rFonts w:ascii="Calibri" w:hAnsi="Calibri"/>
                <w:szCs w:val="22"/>
              </w:rPr>
              <w:t>3,500</w:t>
            </w:r>
          </w:p>
        </w:tc>
        <w:tc>
          <w:tcPr>
            <w:tcW w:w="1197" w:type="dxa"/>
            <w:shd w:val="clear" w:color="auto" w:fill="auto"/>
            <w:noWrap/>
            <w:vAlign w:val="bottom"/>
          </w:tcPr>
          <w:p w:rsidRPr="007C29DB" w:rsidR="00E95811" w:rsidP="00CF30D3" w:rsidRDefault="00E95811" w14:paraId="7CD1B491" w14:textId="77777777">
            <w:pPr>
              <w:keepNext/>
              <w:keepLines/>
              <w:spacing w:line="240" w:lineRule="auto"/>
              <w:jc w:val="center"/>
              <w:rPr>
                <w:rFonts w:ascii="Calibri" w:hAnsi="Calibri"/>
                <w:szCs w:val="22"/>
              </w:rPr>
            </w:pPr>
            <w:r w:rsidRPr="007C29DB">
              <w:rPr>
                <w:rFonts w:ascii="Calibri" w:hAnsi="Calibri"/>
                <w:szCs w:val="22"/>
              </w:rPr>
              <w:t>1.60</w:t>
            </w:r>
          </w:p>
        </w:tc>
        <w:tc>
          <w:tcPr>
            <w:tcW w:w="1344" w:type="dxa"/>
            <w:shd w:val="clear" w:color="auto" w:fill="auto"/>
            <w:noWrap/>
            <w:vAlign w:val="bottom"/>
          </w:tcPr>
          <w:p w:rsidRPr="007C29DB" w:rsidR="00E95811" w:rsidP="00CF30D3" w:rsidRDefault="00E95811" w14:paraId="14090F39" w14:textId="77777777">
            <w:pPr>
              <w:keepNext/>
              <w:keepLines/>
              <w:spacing w:line="240" w:lineRule="auto"/>
              <w:jc w:val="center"/>
              <w:rPr>
                <w:rFonts w:ascii="Calibri" w:hAnsi="Calibri"/>
                <w:szCs w:val="22"/>
              </w:rPr>
            </w:pPr>
            <w:r w:rsidRPr="007C29DB">
              <w:rPr>
                <w:rFonts w:ascii="Calibri" w:hAnsi="Calibri"/>
                <w:szCs w:val="22"/>
              </w:rPr>
              <w:t>2.14</w:t>
            </w:r>
          </w:p>
        </w:tc>
        <w:tc>
          <w:tcPr>
            <w:tcW w:w="1431" w:type="dxa"/>
            <w:shd w:val="clear" w:color="auto" w:fill="auto"/>
            <w:noWrap/>
            <w:vAlign w:val="bottom"/>
          </w:tcPr>
          <w:p w:rsidRPr="007C29DB" w:rsidR="00E95811" w:rsidP="00CF30D3" w:rsidRDefault="00E95811" w14:paraId="3A99AA97" w14:textId="77777777">
            <w:pPr>
              <w:keepNext/>
              <w:keepLines/>
              <w:spacing w:line="240" w:lineRule="auto"/>
              <w:jc w:val="center"/>
              <w:rPr>
                <w:rFonts w:ascii="Calibri" w:hAnsi="Calibri"/>
                <w:szCs w:val="22"/>
              </w:rPr>
            </w:pPr>
            <w:r w:rsidRPr="007C29DB">
              <w:rPr>
                <w:rFonts w:ascii="Calibri" w:hAnsi="Calibri"/>
                <w:szCs w:val="22"/>
              </w:rPr>
              <w:t>2.45</w:t>
            </w:r>
          </w:p>
        </w:tc>
        <w:tc>
          <w:tcPr>
            <w:tcW w:w="1431" w:type="dxa"/>
            <w:shd w:val="clear" w:color="auto" w:fill="auto"/>
            <w:noWrap/>
            <w:vAlign w:val="bottom"/>
          </w:tcPr>
          <w:p w:rsidRPr="007C29DB" w:rsidR="00E95811" w:rsidP="00CF30D3" w:rsidRDefault="00E95811" w14:paraId="34323521" w14:textId="77777777">
            <w:pPr>
              <w:keepNext/>
              <w:keepLines/>
              <w:spacing w:line="240" w:lineRule="auto"/>
              <w:jc w:val="center"/>
              <w:rPr>
                <w:rFonts w:ascii="Calibri" w:hAnsi="Calibri"/>
                <w:szCs w:val="22"/>
              </w:rPr>
            </w:pPr>
            <w:r w:rsidRPr="007C29DB">
              <w:rPr>
                <w:rFonts w:ascii="Calibri" w:hAnsi="Calibri"/>
                <w:szCs w:val="22"/>
              </w:rPr>
              <w:t>2.62</w:t>
            </w:r>
          </w:p>
        </w:tc>
        <w:tc>
          <w:tcPr>
            <w:tcW w:w="1431" w:type="dxa"/>
            <w:shd w:val="clear" w:color="auto" w:fill="auto"/>
            <w:noWrap/>
            <w:vAlign w:val="bottom"/>
          </w:tcPr>
          <w:p w:rsidRPr="007C29DB" w:rsidR="00E95811" w:rsidP="00CF30D3" w:rsidRDefault="00E95811" w14:paraId="052CF767" w14:textId="77777777">
            <w:pPr>
              <w:keepNext/>
              <w:keepLines/>
              <w:spacing w:line="240" w:lineRule="auto"/>
              <w:jc w:val="center"/>
              <w:rPr>
                <w:rFonts w:ascii="Calibri" w:hAnsi="Calibri"/>
                <w:szCs w:val="22"/>
              </w:rPr>
            </w:pPr>
            <w:r w:rsidRPr="007C29DB">
              <w:rPr>
                <w:rFonts w:ascii="Calibri" w:hAnsi="Calibri"/>
                <w:szCs w:val="22"/>
              </w:rPr>
              <w:t>2.67</w:t>
            </w:r>
          </w:p>
        </w:tc>
      </w:tr>
      <w:tr w:rsidRPr="00E00C43" w:rsidR="00E95811" w:rsidTr="00CF30D3" w14:paraId="0DB0B5AC" w14:textId="77777777">
        <w:trPr>
          <w:trHeight w:val="230"/>
          <w:jc w:val="center"/>
        </w:trPr>
        <w:tc>
          <w:tcPr>
            <w:tcW w:w="1579" w:type="dxa"/>
            <w:shd w:val="clear" w:color="auto" w:fill="auto"/>
            <w:noWrap/>
            <w:vAlign w:val="bottom"/>
          </w:tcPr>
          <w:p w:rsidRPr="007C29DB" w:rsidR="00E95811" w:rsidP="00CF30D3" w:rsidRDefault="00E95811" w14:paraId="2C2DD699" w14:textId="77777777">
            <w:pPr>
              <w:pStyle w:val="SL-FlLftSgl"/>
              <w:keepNext/>
              <w:keepLines/>
              <w:spacing w:line="240" w:lineRule="auto"/>
              <w:jc w:val="right"/>
              <w:rPr>
                <w:rFonts w:ascii="Calibri" w:hAnsi="Calibri"/>
                <w:szCs w:val="22"/>
              </w:rPr>
            </w:pPr>
            <w:r w:rsidRPr="007C29DB">
              <w:rPr>
                <w:rFonts w:ascii="Calibri" w:hAnsi="Calibri"/>
                <w:szCs w:val="22"/>
              </w:rPr>
              <w:t>3,000</w:t>
            </w:r>
          </w:p>
        </w:tc>
        <w:tc>
          <w:tcPr>
            <w:tcW w:w="1197" w:type="dxa"/>
            <w:shd w:val="clear" w:color="auto" w:fill="auto"/>
            <w:noWrap/>
            <w:vAlign w:val="bottom"/>
          </w:tcPr>
          <w:p w:rsidRPr="007C29DB" w:rsidR="00E95811" w:rsidP="00CF30D3" w:rsidRDefault="00E95811" w14:paraId="758E81BF" w14:textId="77777777">
            <w:pPr>
              <w:keepNext/>
              <w:keepLines/>
              <w:spacing w:line="240" w:lineRule="auto"/>
              <w:jc w:val="center"/>
              <w:rPr>
                <w:rFonts w:ascii="Calibri" w:hAnsi="Calibri"/>
                <w:szCs w:val="22"/>
              </w:rPr>
            </w:pPr>
            <w:r w:rsidRPr="007C29DB">
              <w:rPr>
                <w:rFonts w:ascii="Calibri" w:hAnsi="Calibri"/>
                <w:szCs w:val="22"/>
              </w:rPr>
              <w:t>1.73</w:t>
            </w:r>
          </w:p>
        </w:tc>
        <w:tc>
          <w:tcPr>
            <w:tcW w:w="1344" w:type="dxa"/>
            <w:shd w:val="clear" w:color="auto" w:fill="auto"/>
            <w:noWrap/>
            <w:vAlign w:val="bottom"/>
          </w:tcPr>
          <w:p w:rsidRPr="007C29DB" w:rsidR="00E95811" w:rsidP="00CF30D3" w:rsidRDefault="00E95811" w14:paraId="7714783D" w14:textId="77777777">
            <w:pPr>
              <w:keepNext/>
              <w:keepLines/>
              <w:spacing w:line="240" w:lineRule="auto"/>
              <w:jc w:val="center"/>
              <w:rPr>
                <w:rFonts w:ascii="Calibri" w:hAnsi="Calibri"/>
                <w:szCs w:val="22"/>
              </w:rPr>
            </w:pPr>
            <w:r w:rsidRPr="007C29DB">
              <w:rPr>
                <w:rFonts w:ascii="Calibri" w:hAnsi="Calibri"/>
                <w:szCs w:val="22"/>
              </w:rPr>
              <w:t>2.31</w:t>
            </w:r>
          </w:p>
        </w:tc>
        <w:tc>
          <w:tcPr>
            <w:tcW w:w="1431" w:type="dxa"/>
            <w:shd w:val="clear" w:color="auto" w:fill="auto"/>
            <w:noWrap/>
            <w:vAlign w:val="bottom"/>
          </w:tcPr>
          <w:p w:rsidRPr="007C29DB" w:rsidR="00E95811" w:rsidP="00CF30D3" w:rsidRDefault="00E95811" w14:paraId="6755C61A" w14:textId="77777777">
            <w:pPr>
              <w:keepNext/>
              <w:keepLines/>
              <w:spacing w:line="240" w:lineRule="auto"/>
              <w:jc w:val="center"/>
              <w:rPr>
                <w:rFonts w:ascii="Calibri" w:hAnsi="Calibri"/>
                <w:szCs w:val="22"/>
              </w:rPr>
            </w:pPr>
            <w:r w:rsidRPr="007C29DB">
              <w:rPr>
                <w:rFonts w:ascii="Calibri" w:hAnsi="Calibri"/>
                <w:szCs w:val="22"/>
              </w:rPr>
              <w:t>2.64</w:t>
            </w:r>
          </w:p>
        </w:tc>
        <w:tc>
          <w:tcPr>
            <w:tcW w:w="1431" w:type="dxa"/>
            <w:shd w:val="clear" w:color="auto" w:fill="auto"/>
            <w:noWrap/>
            <w:vAlign w:val="bottom"/>
          </w:tcPr>
          <w:p w:rsidRPr="007C29DB" w:rsidR="00E95811" w:rsidP="00CF30D3" w:rsidRDefault="00E95811" w14:paraId="609DBCB8" w14:textId="77777777">
            <w:pPr>
              <w:keepNext/>
              <w:keepLines/>
              <w:spacing w:line="240" w:lineRule="auto"/>
              <w:jc w:val="center"/>
              <w:rPr>
                <w:rFonts w:ascii="Calibri" w:hAnsi="Calibri"/>
                <w:szCs w:val="22"/>
              </w:rPr>
            </w:pPr>
            <w:r w:rsidRPr="007C29DB">
              <w:rPr>
                <w:rFonts w:ascii="Calibri" w:hAnsi="Calibri"/>
                <w:szCs w:val="22"/>
              </w:rPr>
              <w:t>2.83</w:t>
            </w:r>
          </w:p>
        </w:tc>
        <w:tc>
          <w:tcPr>
            <w:tcW w:w="1431" w:type="dxa"/>
            <w:shd w:val="clear" w:color="auto" w:fill="auto"/>
            <w:noWrap/>
            <w:vAlign w:val="bottom"/>
          </w:tcPr>
          <w:p w:rsidRPr="007C29DB" w:rsidR="00E95811" w:rsidP="00CF30D3" w:rsidRDefault="00E95811" w14:paraId="1E5DC08D" w14:textId="77777777">
            <w:pPr>
              <w:keepNext/>
              <w:keepLines/>
              <w:spacing w:line="240" w:lineRule="auto"/>
              <w:jc w:val="center"/>
              <w:rPr>
                <w:rFonts w:ascii="Calibri" w:hAnsi="Calibri"/>
                <w:szCs w:val="22"/>
              </w:rPr>
            </w:pPr>
            <w:r w:rsidRPr="007C29DB">
              <w:rPr>
                <w:rFonts w:ascii="Calibri" w:hAnsi="Calibri"/>
                <w:szCs w:val="22"/>
              </w:rPr>
              <w:t>2.89</w:t>
            </w:r>
          </w:p>
        </w:tc>
      </w:tr>
      <w:tr w:rsidRPr="00E00C43" w:rsidR="00E95811" w:rsidTr="00CF30D3" w14:paraId="7EC692FE" w14:textId="77777777">
        <w:trPr>
          <w:trHeight w:val="230"/>
          <w:jc w:val="center"/>
        </w:trPr>
        <w:tc>
          <w:tcPr>
            <w:tcW w:w="1579" w:type="dxa"/>
            <w:shd w:val="clear" w:color="auto" w:fill="auto"/>
            <w:noWrap/>
            <w:vAlign w:val="bottom"/>
          </w:tcPr>
          <w:p w:rsidRPr="007C29DB" w:rsidR="00E95811" w:rsidP="00CF30D3" w:rsidRDefault="00E95811" w14:paraId="4F362FCC" w14:textId="77777777">
            <w:pPr>
              <w:pStyle w:val="SL-FlLftSgl"/>
              <w:keepNext/>
              <w:keepLines/>
              <w:spacing w:line="240" w:lineRule="auto"/>
              <w:jc w:val="right"/>
              <w:rPr>
                <w:rFonts w:ascii="Calibri" w:hAnsi="Calibri"/>
                <w:szCs w:val="22"/>
              </w:rPr>
            </w:pPr>
            <w:r w:rsidRPr="007C29DB">
              <w:rPr>
                <w:rFonts w:ascii="Calibri" w:hAnsi="Calibri"/>
                <w:szCs w:val="22"/>
              </w:rPr>
              <w:t>2,500</w:t>
            </w:r>
          </w:p>
        </w:tc>
        <w:tc>
          <w:tcPr>
            <w:tcW w:w="1197" w:type="dxa"/>
            <w:shd w:val="clear" w:color="auto" w:fill="auto"/>
            <w:noWrap/>
            <w:vAlign w:val="bottom"/>
          </w:tcPr>
          <w:p w:rsidRPr="007C29DB" w:rsidR="00E95811" w:rsidP="00CF30D3" w:rsidRDefault="00E95811" w14:paraId="6CD4744E" w14:textId="77777777">
            <w:pPr>
              <w:keepNext/>
              <w:keepLines/>
              <w:spacing w:line="240" w:lineRule="auto"/>
              <w:jc w:val="center"/>
              <w:rPr>
                <w:rFonts w:ascii="Calibri" w:hAnsi="Calibri"/>
                <w:szCs w:val="22"/>
              </w:rPr>
            </w:pPr>
            <w:r w:rsidRPr="007C29DB">
              <w:rPr>
                <w:rFonts w:ascii="Calibri" w:hAnsi="Calibri"/>
                <w:szCs w:val="22"/>
              </w:rPr>
              <w:t>1.90</w:t>
            </w:r>
          </w:p>
        </w:tc>
        <w:tc>
          <w:tcPr>
            <w:tcW w:w="1344" w:type="dxa"/>
            <w:shd w:val="clear" w:color="auto" w:fill="auto"/>
            <w:noWrap/>
            <w:vAlign w:val="bottom"/>
          </w:tcPr>
          <w:p w:rsidRPr="007C29DB" w:rsidR="00E95811" w:rsidP="00CF30D3" w:rsidRDefault="00E95811" w14:paraId="2D7ED451" w14:textId="77777777">
            <w:pPr>
              <w:keepNext/>
              <w:keepLines/>
              <w:spacing w:line="240" w:lineRule="auto"/>
              <w:jc w:val="center"/>
              <w:rPr>
                <w:rFonts w:ascii="Calibri" w:hAnsi="Calibri"/>
                <w:szCs w:val="22"/>
              </w:rPr>
            </w:pPr>
            <w:r w:rsidRPr="007C29DB">
              <w:rPr>
                <w:rFonts w:ascii="Calibri" w:hAnsi="Calibri"/>
                <w:szCs w:val="22"/>
              </w:rPr>
              <w:t>2.53</w:t>
            </w:r>
          </w:p>
        </w:tc>
        <w:tc>
          <w:tcPr>
            <w:tcW w:w="1431" w:type="dxa"/>
            <w:shd w:val="clear" w:color="auto" w:fill="auto"/>
            <w:noWrap/>
            <w:vAlign w:val="bottom"/>
          </w:tcPr>
          <w:p w:rsidRPr="007C29DB" w:rsidR="00E95811" w:rsidP="00CF30D3" w:rsidRDefault="00E95811" w14:paraId="75A3E431" w14:textId="77777777">
            <w:pPr>
              <w:keepNext/>
              <w:keepLines/>
              <w:spacing w:line="240" w:lineRule="auto"/>
              <w:jc w:val="center"/>
              <w:rPr>
                <w:rFonts w:ascii="Calibri" w:hAnsi="Calibri"/>
                <w:szCs w:val="22"/>
              </w:rPr>
            </w:pPr>
            <w:r w:rsidRPr="007C29DB">
              <w:rPr>
                <w:rFonts w:ascii="Calibri" w:hAnsi="Calibri"/>
                <w:szCs w:val="22"/>
              </w:rPr>
              <w:t>2.90</w:t>
            </w:r>
          </w:p>
        </w:tc>
        <w:tc>
          <w:tcPr>
            <w:tcW w:w="1431" w:type="dxa"/>
            <w:shd w:val="clear" w:color="auto" w:fill="auto"/>
            <w:noWrap/>
            <w:vAlign w:val="bottom"/>
          </w:tcPr>
          <w:p w:rsidRPr="007C29DB" w:rsidR="00E95811" w:rsidP="00CF30D3" w:rsidRDefault="00E95811" w14:paraId="2B76118E" w14:textId="77777777">
            <w:pPr>
              <w:keepNext/>
              <w:keepLines/>
              <w:spacing w:line="240" w:lineRule="auto"/>
              <w:jc w:val="center"/>
              <w:rPr>
                <w:rFonts w:ascii="Calibri" w:hAnsi="Calibri"/>
                <w:szCs w:val="22"/>
              </w:rPr>
            </w:pPr>
            <w:r w:rsidRPr="007C29DB">
              <w:rPr>
                <w:rFonts w:ascii="Calibri" w:hAnsi="Calibri"/>
                <w:szCs w:val="22"/>
              </w:rPr>
              <w:t>3.10</w:t>
            </w:r>
          </w:p>
        </w:tc>
        <w:tc>
          <w:tcPr>
            <w:tcW w:w="1431" w:type="dxa"/>
            <w:shd w:val="clear" w:color="auto" w:fill="auto"/>
            <w:noWrap/>
            <w:vAlign w:val="bottom"/>
          </w:tcPr>
          <w:p w:rsidRPr="007C29DB" w:rsidR="00E95811" w:rsidP="00CF30D3" w:rsidRDefault="00E95811" w14:paraId="6B8C41D6" w14:textId="77777777">
            <w:pPr>
              <w:keepNext/>
              <w:keepLines/>
              <w:spacing w:line="240" w:lineRule="auto"/>
              <w:jc w:val="center"/>
              <w:rPr>
                <w:rFonts w:ascii="Calibri" w:hAnsi="Calibri"/>
                <w:szCs w:val="22"/>
              </w:rPr>
            </w:pPr>
            <w:r w:rsidRPr="007C29DB">
              <w:rPr>
                <w:rFonts w:ascii="Calibri" w:hAnsi="Calibri"/>
                <w:szCs w:val="22"/>
              </w:rPr>
              <w:t>3.16</w:t>
            </w:r>
          </w:p>
        </w:tc>
      </w:tr>
      <w:tr w:rsidRPr="00E00C43" w:rsidR="00E95811" w:rsidTr="00CF30D3" w14:paraId="2BF20428" w14:textId="77777777">
        <w:trPr>
          <w:trHeight w:val="230"/>
          <w:jc w:val="center"/>
        </w:trPr>
        <w:tc>
          <w:tcPr>
            <w:tcW w:w="1579" w:type="dxa"/>
            <w:shd w:val="clear" w:color="auto" w:fill="auto"/>
            <w:noWrap/>
            <w:vAlign w:val="bottom"/>
          </w:tcPr>
          <w:p w:rsidRPr="007C29DB" w:rsidR="00E95811" w:rsidP="00CF30D3" w:rsidRDefault="00E95811" w14:paraId="23021BFA" w14:textId="77777777">
            <w:pPr>
              <w:pStyle w:val="SL-FlLftSgl"/>
              <w:keepNext/>
              <w:keepLines/>
              <w:spacing w:line="240" w:lineRule="auto"/>
              <w:jc w:val="right"/>
              <w:rPr>
                <w:rFonts w:ascii="Calibri" w:hAnsi="Calibri"/>
                <w:szCs w:val="22"/>
              </w:rPr>
            </w:pPr>
            <w:r w:rsidRPr="007C29DB">
              <w:rPr>
                <w:rFonts w:ascii="Calibri" w:hAnsi="Calibri"/>
                <w:szCs w:val="22"/>
              </w:rPr>
              <w:t>2,000</w:t>
            </w:r>
          </w:p>
        </w:tc>
        <w:tc>
          <w:tcPr>
            <w:tcW w:w="1197" w:type="dxa"/>
            <w:shd w:val="clear" w:color="auto" w:fill="auto"/>
            <w:noWrap/>
            <w:vAlign w:val="bottom"/>
          </w:tcPr>
          <w:p w:rsidRPr="007C29DB" w:rsidR="00E95811" w:rsidP="00CF30D3" w:rsidRDefault="00E95811" w14:paraId="22F8097C" w14:textId="77777777">
            <w:pPr>
              <w:keepNext/>
              <w:keepLines/>
              <w:spacing w:line="240" w:lineRule="auto"/>
              <w:jc w:val="center"/>
              <w:rPr>
                <w:rFonts w:ascii="Calibri" w:hAnsi="Calibri"/>
                <w:szCs w:val="22"/>
              </w:rPr>
            </w:pPr>
            <w:r w:rsidRPr="007C29DB">
              <w:rPr>
                <w:rFonts w:ascii="Calibri" w:hAnsi="Calibri"/>
                <w:szCs w:val="22"/>
              </w:rPr>
              <w:t>2.12</w:t>
            </w:r>
          </w:p>
        </w:tc>
        <w:tc>
          <w:tcPr>
            <w:tcW w:w="1344" w:type="dxa"/>
            <w:shd w:val="clear" w:color="auto" w:fill="auto"/>
            <w:noWrap/>
            <w:vAlign w:val="bottom"/>
          </w:tcPr>
          <w:p w:rsidRPr="007C29DB" w:rsidR="00E95811" w:rsidP="00CF30D3" w:rsidRDefault="00E95811" w14:paraId="20908E59" w14:textId="77777777">
            <w:pPr>
              <w:keepNext/>
              <w:keepLines/>
              <w:spacing w:line="240" w:lineRule="auto"/>
              <w:jc w:val="center"/>
              <w:rPr>
                <w:rFonts w:ascii="Calibri" w:hAnsi="Calibri"/>
                <w:szCs w:val="22"/>
              </w:rPr>
            </w:pPr>
            <w:r w:rsidRPr="007C29DB">
              <w:rPr>
                <w:rFonts w:ascii="Calibri" w:hAnsi="Calibri"/>
                <w:szCs w:val="22"/>
              </w:rPr>
              <w:t>2.83</w:t>
            </w:r>
          </w:p>
        </w:tc>
        <w:tc>
          <w:tcPr>
            <w:tcW w:w="1431" w:type="dxa"/>
            <w:shd w:val="clear" w:color="auto" w:fill="auto"/>
            <w:noWrap/>
            <w:vAlign w:val="bottom"/>
          </w:tcPr>
          <w:p w:rsidRPr="007C29DB" w:rsidR="00E95811" w:rsidP="00CF30D3" w:rsidRDefault="00E95811" w14:paraId="64B1BDED" w14:textId="77777777">
            <w:pPr>
              <w:keepNext/>
              <w:keepLines/>
              <w:spacing w:line="240" w:lineRule="auto"/>
              <w:jc w:val="center"/>
              <w:rPr>
                <w:rFonts w:ascii="Calibri" w:hAnsi="Calibri"/>
                <w:szCs w:val="22"/>
              </w:rPr>
            </w:pPr>
            <w:r w:rsidRPr="007C29DB">
              <w:rPr>
                <w:rFonts w:ascii="Calibri" w:hAnsi="Calibri"/>
                <w:szCs w:val="22"/>
              </w:rPr>
              <w:t>3.24</w:t>
            </w:r>
          </w:p>
        </w:tc>
        <w:tc>
          <w:tcPr>
            <w:tcW w:w="1431" w:type="dxa"/>
            <w:shd w:val="clear" w:color="auto" w:fill="auto"/>
            <w:noWrap/>
            <w:vAlign w:val="bottom"/>
          </w:tcPr>
          <w:p w:rsidRPr="007C29DB" w:rsidR="00E95811" w:rsidP="00CF30D3" w:rsidRDefault="00E95811" w14:paraId="11D025E3" w14:textId="77777777">
            <w:pPr>
              <w:keepNext/>
              <w:keepLines/>
              <w:spacing w:line="240" w:lineRule="auto"/>
              <w:jc w:val="center"/>
              <w:rPr>
                <w:rFonts w:ascii="Calibri" w:hAnsi="Calibri"/>
                <w:szCs w:val="22"/>
              </w:rPr>
            </w:pPr>
            <w:r w:rsidRPr="007C29DB">
              <w:rPr>
                <w:rFonts w:ascii="Calibri" w:hAnsi="Calibri"/>
                <w:szCs w:val="22"/>
              </w:rPr>
              <w:t>3.46</w:t>
            </w:r>
          </w:p>
        </w:tc>
        <w:tc>
          <w:tcPr>
            <w:tcW w:w="1431" w:type="dxa"/>
            <w:shd w:val="clear" w:color="auto" w:fill="auto"/>
            <w:noWrap/>
            <w:vAlign w:val="bottom"/>
          </w:tcPr>
          <w:p w:rsidRPr="007C29DB" w:rsidR="00E95811" w:rsidP="00CF30D3" w:rsidRDefault="00E95811" w14:paraId="794A2172" w14:textId="77777777">
            <w:pPr>
              <w:keepNext/>
              <w:keepLines/>
              <w:spacing w:line="240" w:lineRule="auto"/>
              <w:jc w:val="center"/>
              <w:rPr>
                <w:rFonts w:ascii="Calibri" w:hAnsi="Calibri"/>
                <w:szCs w:val="22"/>
              </w:rPr>
            </w:pPr>
            <w:r w:rsidRPr="007C29DB">
              <w:rPr>
                <w:rFonts w:ascii="Calibri" w:hAnsi="Calibri"/>
                <w:szCs w:val="22"/>
              </w:rPr>
              <w:t>3.53</w:t>
            </w:r>
          </w:p>
        </w:tc>
      </w:tr>
      <w:tr w:rsidRPr="00E00C43" w:rsidR="00E95811" w:rsidTr="00CF30D3" w14:paraId="0EB11B30" w14:textId="77777777">
        <w:trPr>
          <w:trHeight w:val="230"/>
          <w:jc w:val="center"/>
        </w:trPr>
        <w:tc>
          <w:tcPr>
            <w:tcW w:w="1579" w:type="dxa"/>
            <w:shd w:val="clear" w:color="auto" w:fill="auto"/>
            <w:noWrap/>
            <w:vAlign w:val="bottom"/>
          </w:tcPr>
          <w:p w:rsidRPr="007C29DB" w:rsidR="00E95811" w:rsidP="00CF30D3" w:rsidRDefault="00E95811" w14:paraId="7E96422D" w14:textId="77777777">
            <w:pPr>
              <w:pStyle w:val="SL-FlLftSgl"/>
              <w:keepNext/>
              <w:keepLines/>
              <w:spacing w:line="240" w:lineRule="auto"/>
              <w:jc w:val="right"/>
              <w:rPr>
                <w:rFonts w:ascii="Calibri" w:hAnsi="Calibri"/>
                <w:szCs w:val="22"/>
              </w:rPr>
            </w:pPr>
            <w:r w:rsidRPr="007C29DB">
              <w:rPr>
                <w:rFonts w:ascii="Calibri" w:hAnsi="Calibri"/>
                <w:szCs w:val="22"/>
              </w:rPr>
              <w:t>1,500</w:t>
            </w:r>
          </w:p>
        </w:tc>
        <w:tc>
          <w:tcPr>
            <w:tcW w:w="1197" w:type="dxa"/>
            <w:shd w:val="clear" w:color="auto" w:fill="auto"/>
            <w:noWrap/>
            <w:vAlign w:val="bottom"/>
          </w:tcPr>
          <w:p w:rsidRPr="007C29DB" w:rsidR="00E95811" w:rsidP="00CF30D3" w:rsidRDefault="00E95811" w14:paraId="6575BBC5" w14:textId="77777777">
            <w:pPr>
              <w:keepNext/>
              <w:keepLines/>
              <w:spacing w:line="240" w:lineRule="auto"/>
              <w:jc w:val="center"/>
              <w:rPr>
                <w:rFonts w:ascii="Calibri" w:hAnsi="Calibri"/>
                <w:szCs w:val="22"/>
              </w:rPr>
            </w:pPr>
            <w:r w:rsidRPr="007C29DB">
              <w:rPr>
                <w:rFonts w:ascii="Calibri" w:hAnsi="Calibri"/>
                <w:szCs w:val="22"/>
              </w:rPr>
              <w:t>2.45</w:t>
            </w:r>
          </w:p>
        </w:tc>
        <w:tc>
          <w:tcPr>
            <w:tcW w:w="1344" w:type="dxa"/>
            <w:shd w:val="clear" w:color="auto" w:fill="auto"/>
            <w:noWrap/>
            <w:vAlign w:val="bottom"/>
          </w:tcPr>
          <w:p w:rsidRPr="007C29DB" w:rsidR="00E95811" w:rsidP="00CF30D3" w:rsidRDefault="00E95811" w14:paraId="70B1657B" w14:textId="77777777">
            <w:pPr>
              <w:keepNext/>
              <w:keepLines/>
              <w:spacing w:line="240" w:lineRule="auto"/>
              <w:jc w:val="center"/>
              <w:rPr>
                <w:rFonts w:ascii="Calibri" w:hAnsi="Calibri"/>
                <w:szCs w:val="22"/>
              </w:rPr>
            </w:pPr>
            <w:r w:rsidRPr="007C29DB">
              <w:rPr>
                <w:rFonts w:ascii="Calibri" w:hAnsi="Calibri"/>
                <w:szCs w:val="22"/>
              </w:rPr>
              <w:t>3.26</w:t>
            </w:r>
          </w:p>
        </w:tc>
        <w:tc>
          <w:tcPr>
            <w:tcW w:w="1431" w:type="dxa"/>
            <w:shd w:val="clear" w:color="auto" w:fill="auto"/>
            <w:noWrap/>
            <w:vAlign w:val="bottom"/>
          </w:tcPr>
          <w:p w:rsidRPr="007C29DB" w:rsidR="00E95811" w:rsidP="00CF30D3" w:rsidRDefault="00E95811" w14:paraId="608F159E" w14:textId="77777777">
            <w:pPr>
              <w:keepNext/>
              <w:keepLines/>
              <w:spacing w:line="240" w:lineRule="auto"/>
              <w:jc w:val="center"/>
              <w:rPr>
                <w:rFonts w:ascii="Calibri" w:hAnsi="Calibri"/>
                <w:szCs w:val="22"/>
              </w:rPr>
            </w:pPr>
            <w:r w:rsidRPr="007C29DB">
              <w:rPr>
                <w:rFonts w:ascii="Calibri" w:hAnsi="Calibri"/>
                <w:szCs w:val="22"/>
              </w:rPr>
              <w:t>3.74</w:t>
            </w:r>
          </w:p>
        </w:tc>
        <w:tc>
          <w:tcPr>
            <w:tcW w:w="1431" w:type="dxa"/>
            <w:shd w:val="clear" w:color="auto" w:fill="auto"/>
            <w:noWrap/>
            <w:vAlign w:val="bottom"/>
          </w:tcPr>
          <w:p w:rsidRPr="007C29DB" w:rsidR="00E95811" w:rsidP="00CF30D3" w:rsidRDefault="00E95811" w14:paraId="6C3D4B00" w14:textId="77777777">
            <w:pPr>
              <w:keepNext/>
              <w:keepLines/>
              <w:spacing w:line="240" w:lineRule="auto"/>
              <w:jc w:val="center"/>
              <w:rPr>
                <w:rFonts w:ascii="Calibri" w:hAnsi="Calibri"/>
                <w:szCs w:val="22"/>
              </w:rPr>
            </w:pPr>
            <w:r w:rsidRPr="007C29DB">
              <w:rPr>
                <w:rFonts w:ascii="Calibri" w:hAnsi="Calibri"/>
                <w:szCs w:val="22"/>
              </w:rPr>
              <w:t>4.00</w:t>
            </w:r>
          </w:p>
        </w:tc>
        <w:tc>
          <w:tcPr>
            <w:tcW w:w="1431" w:type="dxa"/>
            <w:shd w:val="clear" w:color="auto" w:fill="auto"/>
            <w:noWrap/>
            <w:vAlign w:val="bottom"/>
          </w:tcPr>
          <w:p w:rsidRPr="007C29DB" w:rsidR="00E95811" w:rsidP="00CF30D3" w:rsidRDefault="00E95811" w14:paraId="067341D4" w14:textId="77777777">
            <w:pPr>
              <w:keepNext/>
              <w:keepLines/>
              <w:spacing w:line="240" w:lineRule="auto"/>
              <w:jc w:val="center"/>
              <w:rPr>
                <w:rFonts w:ascii="Calibri" w:hAnsi="Calibri"/>
                <w:szCs w:val="22"/>
              </w:rPr>
            </w:pPr>
            <w:r w:rsidRPr="007C29DB">
              <w:rPr>
                <w:rFonts w:ascii="Calibri" w:hAnsi="Calibri"/>
                <w:szCs w:val="22"/>
              </w:rPr>
              <w:t>4.08</w:t>
            </w:r>
          </w:p>
        </w:tc>
      </w:tr>
      <w:tr w:rsidRPr="00E00C43" w:rsidR="00E95811" w:rsidTr="00CF30D3" w14:paraId="69C028E5" w14:textId="77777777">
        <w:trPr>
          <w:trHeight w:val="230"/>
          <w:jc w:val="center"/>
        </w:trPr>
        <w:tc>
          <w:tcPr>
            <w:tcW w:w="1579" w:type="dxa"/>
            <w:shd w:val="clear" w:color="auto" w:fill="auto"/>
            <w:noWrap/>
            <w:vAlign w:val="bottom"/>
          </w:tcPr>
          <w:p w:rsidRPr="007C29DB" w:rsidR="00E95811" w:rsidP="00CF30D3" w:rsidRDefault="00E95811" w14:paraId="3B6CCA9E" w14:textId="77777777">
            <w:pPr>
              <w:pStyle w:val="SL-FlLftSgl"/>
              <w:keepNext/>
              <w:keepLines/>
              <w:spacing w:line="240" w:lineRule="auto"/>
              <w:jc w:val="right"/>
              <w:rPr>
                <w:rFonts w:ascii="Calibri" w:hAnsi="Calibri"/>
                <w:szCs w:val="22"/>
              </w:rPr>
            </w:pPr>
            <w:r w:rsidRPr="007C29DB">
              <w:rPr>
                <w:rFonts w:ascii="Calibri" w:hAnsi="Calibri"/>
                <w:szCs w:val="22"/>
              </w:rPr>
              <w:t>1,000</w:t>
            </w:r>
          </w:p>
        </w:tc>
        <w:tc>
          <w:tcPr>
            <w:tcW w:w="1197" w:type="dxa"/>
            <w:shd w:val="clear" w:color="auto" w:fill="auto"/>
            <w:noWrap/>
            <w:vAlign w:val="bottom"/>
          </w:tcPr>
          <w:p w:rsidRPr="007C29DB" w:rsidR="00E95811" w:rsidP="00CF30D3" w:rsidRDefault="00E95811" w14:paraId="57A5E27E" w14:textId="77777777">
            <w:pPr>
              <w:keepNext/>
              <w:keepLines/>
              <w:spacing w:line="240" w:lineRule="auto"/>
              <w:jc w:val="center"/>
              <w:rPr>
                <w:rFonts w:ascii="Calibri" w:hAnsi="Calibri"/>
                <w:szCs w:val="22"/>
              </w:rPr>
            </w:pPr>
            <w:r w:rsidRPr="007C29DB">
              <w:rPr>
                <w:rFonts w:ascii="Calibri" w:hAnsi="Calibri"/>
                <w:szCs w:val="22"/>
              </w:rPr>
              <w:t>3.00</w:t>
            </w:r>
          </w:p>
        </w:tc>
        <w:tc>
          <w:tcPr>
            <w:tcW w:w="1344" w:type="dxa"/>
            <w:shd w:val="clear" w:color="auto" w:fill="auto"/>
            <w:noWrap/>
            <w:vAlign w:val="bottom"/>
          </w:tcPr>
          <w:p w:rsidRPr="007C29DB" w:rsidR="00E95811" w:rsidP="00CF30D3" w:rsidRDefault="00E95811" w14:paraId="11EEE679" w14:textId="77777777">
            <w:pPr>
              <w:keepNext/>
              <w:keepLines/>
              <w:spacing w:line="240" w:lineRule="auto"/>
              <w:jc w:val="center"/>
              <w:rPr>
                <w:rFonts w:ascii="Calibri" w:hAnsi="Calibri"/>
                <w:szCs w:val="22"/>
              </w:rPr>
            </w:pPr>
            <w:r w:rsidRPr="007C29DB">
              <w:rPr>
                <w:rFonts w:ascii="Calibri" w:hAnsi="Calibri"/>
                <w:szCs w:val="22"/>
              </w:rPr>
              <w:t>4.00</w:t>
            </w:r>
          </w:p>
        </w:tc>
        <w:tc>
          <w:tcPr>
            <w:tcW w:w="1431" w:type="dxa"/>
            <w:shd w:val="clear" w:color="auto" w:fill="auto"/>
            <w:noWrap/>
            <w:vAlign w:val="bottom"/>
          </w:tcPr>
          <w:p w:rsidRPr="007C29DB" w:rsidR="00E95811" w:rsidP="00CF30D3" w:rsidRDefault="00E95811" w14:paraId="150C7C9D" w14:textId="77777777">
            <w:pPr>
              <w:keepNext/>
              <w:keepLines/>
              <w:spacing w:line="240" w:lineRule="auto"/>
              <w:jc w:val="center"/>
              <w:rPr>
                <w:rFonts w:ascii="Calibri" w:hAnsi="Calibri"/>
                <w:szCs w:val="22"/>
              </w:rPr>
            </w:pPr>
            <w:r w:rsidRPr="007C29DB">
              <w:rPr>
                <w:rFonts w:ascii="Calibri" w:hAnsi="Calibri"/>
                <w:szCs w:val="22"/>
              </w:rPr>
              <w:t>4.58</w:t>
            </w:r>
          </w:p>
        </w:tc>
        <w:tc>
          <w:tcPr>
            <w:tcW w:w="1431" w:type="dxa"/>
            <w:shd w:val="clear" w:color="auto" w:fill="auto"/>
            <w:noWrap/>
            <w:vAlign w:val="bottom"/>
          </w:tcPr>
          <w:p w:rsidRPr="007C29DB" w:rsidR="00E95811" w:rsidP="00CF30D3" w:rsidRDefault="00E95811" w14:paraId="1B153F8C" w14:textId="77777777">
            <w:pPr>
              <w:keepNext/>
              <w:keepLines/>
              <w:spacing w:line="240" w:lineRule="auto"/>
              <w:jc w:val="center"/>
              <w:rPr>
                <w:rFonts w:ascii="Calibri" w:hAnsi="Calibri"/>
                <w:szCs w:val="22"/>
              </w:rPr>
            </w:pPr>
            <w:r w:rsidRPr="007C29DB">
              <w:rPr>
                <w:rFonts w:ascii="Calibri" w:hAnsi="Calibri"/>
                <w:szCs w:val="22"/>
              </w:rPr>
              <w:t>4.90</w:t>
            </w:r>
          </w:p>
        </w:tc>
        <w:tc>
          <w:tcPr>
            <w:tcW w:w="1431" w:type="dxa"/>
            <w:shd w:val="clear" w:color="auto" w:fill="auto"/>
            <w:noWrap/>
            <w:vAlign w:val="bottom"/>
          </w:tcPr>
          <w:p w:rsidRPr="007C29DB" w:rsidR="00E95811" w:rsidP="00CF30D3" w:rsidRDefault="00E95811" w14:paraId="19338D4B" w14:textId="77777777">
            <w:pPr>
              <w:keepNext/>
              <w:keepLines/>
              <w:spacing w:line="240" w:lineRule="auto"/>
              <w:jc w:val="center"/>
              <w:rPr>
                <w:rFonts w:ascii="Calibri" w:hAnsi="Calibri"/>
                <w:szCs w:val="22"/>
              </w:rPr>
            </w:pPr>
            <w:r w:rsidRPr="007C29DB">
              <w:rPr>
                <w:rFonts w:ascii="Calibri" w:hAnsi="Calibri"/>
                <w:szCs w:val="22"/>
              </w:rPr>
              <w:t>5.00</w:t>
            </w:r>
          </w:p>
        </w:tc>
      </w:tr>
      <w:tr w:rsidRPr="00E00C43" w:rsidR="00E95811" w:rsidTr="00CF30D3" w14:paraId="1767426E" w14:textId="77777777">
        <w:trPr>
          <w:trHeight w:val="230"/>
          <w:jc w:val="center"/>
        </w:trPr>
        <w:tc>
          <w:tcPr>
            <w:tcW w:w="1579" w:type="dxa"/>
            <w:shd w:val="clear" w:color="auto" w:fill="auto"/>
            <w:noWrap/>
            <w:vAlign w:val="bottom"/>
          </w:tcPr>
          <w:p w:rsidRPr="007C29DB" w:rsidR="00E95811" w:rsidP="00CF30D3" w:rsidRDefault="00E95811" w14:paraId="0BEDD14E" w14:textId="77777777">
            <w:pPr>
              <w:pStyle w:val="SL-FlLftSgl"/>
              <w:keepNext/>
              <w:keepLines/>
              <w:spacing w:line="240" w:lineRule="auto"/>
              <w:jc w:val="right"/>
              <w:rPr>
                <w:rFonts w:ascii="Calibri" w:hAnsi="Calibri"/>
                <w:szCs w:val="22"/>
              </w:rPr>
            </w:pPr>
            <w:r w:rsidRPr="007C29DB">
              <w:rPr>
                <w:rFonts w:ascii="Calibri" w:hAnsi="Calibri"/>
                <w:szCs w:val="22"/>
              </w:rPr>
              <w:t>750</w:t>
            </w:r>
          </w:p>
        </w:tc>
        <w:tc>
          <w:tcPr>
            <w:tcW w:w="1197" w:type="dxa"/>
            <w:shd w:val="clear" w:color="auto" w:fill="auto"/>
            <w:noWrap/>
            <w:vAlign w:val="bottom"/>
          </w:tcPr>
          <w:p w:rsidRPr="007C29DB" w:rsidR="00E95811" w:rsidP="00CF30D3" w:rsidRDefault="00E95811" w14:paraId="3D835755" w14:textId="77777777">
            <w:pPr>
              <w:keepNext/>
              <w:keepLines/>
              <w:spacing w:line="240" w:lineRule="auto"/>
              <w:jc w:val="center"/>
              <w:rPr>
                <w:rFonts w:ascii="Calibri" w:hAnsi="Calibri"/>
                <w:szCs w:val="22"/>
              </w:rPr>
            </w:pPr>
            <w:r w:rsidRPr="007C29DB">
              <w:rPr>
                <w:rFonts w:ascii="Calibri" w:hAnsi="Calibri"/>
                <w:szCs w:val="22"/>
              </w:rPr>
              <w:t>3.46</w:t>
            </w:r>
          </w:p>
        </w:tc>
        <w:tc>
          <w:tcPr>
            <w:tcW w:w="1344" w:type="dxa"/>
            <w:shd w:val="clear" w:color="auto" w:fill="auto"/>
            <w:noWrap/>
            <w:vAlign w:val="bottom"/>
          </w:tcPr>
          <w:p w:rsidRPr="007C29DB" w:rsidR="00E95811" w:rsidP="00CF30D3" w:rsidRDefault="00E95811" w14:paraId="72BA21FB" w14:textId="77777777">
            <w:pPr>
              <w:keepNext/>
              <w:keepLines/>
              <w:spacing w:line="240" w:lineRule="auto"/>
              <w:jc w:val="center"/>
              <w:rPr>
                <w:rFonts w:ascii="Calibri" w:hAnsi="Calibri"/>
                <w:szCs w:val="22"/>
              </w:rPr>
            </w:pPr>
            <w:r w:rsidRPr="007C29DB">
              <w:rPr>
                <w:rFonts w:ascii="Calibri" w:hAnsi="Calibri"/>
                <w:szCs w:val="22"/>
              </w:rPr>
              <w:t>4.62</w:t>
            </w:r>
          </w:p>
        </w:tc>
        <w:tc>
          <w:tcPr>
            <w:tcW w:w="1431" w:type="dxa"/>
            <w:shd w:val="clear" w:color="auto" w:fill="auto"/>
            <w:noWrap/>
            <w:vAlign w:val="bottom"/>
          </w:tcPr>
          <w:p w:rsidRPr="007C29DB" w:rsidR="00E95811" w:rsidP="00CF30D3" w:rsidRDefault="00E95811" w14:paraId="69B68CAC" w14:textId="77777777">
            <w:pPr>
              <w:keepNext/>
              <w:keepLines/>
              <w:spacing w:line="240" w:lineRule="auto"/>
              <w:jc w:val="center"/>
              <w:rPr>
                <w:rFonts w:ascii="Calibri" w:hAnsi="Calibri"/>
                <w:szCs w:val="22"/>
              </w:rPr>
            </w:pPr>
            <w:r w:rsidRPr="007C29DB">
              <w:rPr>
                <w:rFonts w:ascii="Calibri" w:hAnsi="Calibri"/>
                <w:szCs w:val="22"/>
              </w:rPr>
              <w:t>5.29</w:t>
            </w:r>
          </w:p>
        </w:tc>
        <w:tc>
          <w:tcPr>
            <w:tcW w:w="1431" w:type="dxa"/>
            <w:shd w:val="clear" w:color="auto" w:fill="auto"/>
            <w:noWrap/>
            <w:vAlign w:val="bottom"/>
          </w:tcPr>
          <w:p w:rsidRPr="007C29DB" w:rsidR="00E95811" w:rsidP="00CF30D3" w:rsidRDefault="00E95811" w14:paraId="1B3F914E" w14:textId="77777777">
            <w:pPr>
              <w:keepNext/>
              <w:keepLines/>
              <w:spacing w:line="240" w:lineRule="auto"/>
              <w:jc w:val="center"/>
              <w:rPr>
                <w:rFonts w:ascii="Calibri" w:hAnsi="Calibri"/>
                <w:szCs w:val="22"/>
              </w:rPr>
            </w:pPr>
            <w:r w:rsidRPr="007C29DB">
              <w:rPr>
                <w:rFonts w:ascii="Calibri" w:hAnsi="Calibri"/>
                <w:szCs w:val="22"/>
              </w:rPr>
              <w:t>5.65</w:t>
            </w:r>
          </w:p>
        </w:tc>
        <w:tc>
          <w:tcPr>
            <w:tcW w:w="1431" w:type="dxa"/>
            <w:shd w:val="clear" w:color="auto" w:fill="auto"/>
            <w:noWrap/>
            <w:vAlign w:val="bottom"/>
          </w:tcPr>
          <w:p w:rsidRPr="007C29DB" w:rsidR="00E95811" w:rsidP="00CF30D3" w:rsidRDefault="00E95811" w14:paraId="70B6299C" w14:textId="77777777">
            <w:pPr>
              <w:keepNext/>
              <w:keepLines/>
              <w:spacing w:line="240" w:lineRule="auto"/>
              <w:jc w:val="center"/>
              <w:rPr>
                <w:rFonts w:ascii="Calibri" w:hAnsi="Calibri"/>
                <w:szCs w:val="22"/>
              </w:rPr>
            </w:pPr>
            <w:r w:rsidRPr="007C29DB">
              <w:rPr>
                <w:rFonts w:ascii="Calibri" w:hAnsi="Calibri"/>
                <w:szCs w:val="22"/>
              </w:rPr>
              <w:t>5.77</w:t>
            </w:r>
          </w:p>
        </w:tc>
      </w:tr>
      <w:tr w:rsidRPr="00E00C43" w:rsidR="00E95811" w:rsidTr="00CF30D3" w14:paraId="723CB678" w14:textId="77777777">
        <w:trPr>
          <w:trHeight w:val="230"/>
          <w:jc w:val="center"/>
        </w:trPr>
        <w:tc>
          <w:tcPr>
            <w:tcW w:w="1579" w:type="dxa"/>
            <w:shd w:val="clear" w:color="auto" w:fill="auto"/>
            <w:noWrap/>
            <w:vAlign w:val="bottom"/>
          </w:tcPr>
          <w:p w:rsidRPr="007C29DB" w:rsidR="00E95811" w:rsidP="00CF30D3" w:rsidRDefault="00E95811" w14:paraId="6F6C3A11" w14:textId="77777777">
            <w:pPr>
              <w:pStyle w:val="SL-FlLftSgl"/>
              <w:keepNext/>
              <w:keepLines/>
              <w:spacing w:line="240" w:lineRule="auto"/>
              <w:jc w:val="right"/>
              <w:rPr>
                <w:rFonts w:ascii="Calibri" w:hAnsi="Calibri"/>
                <w:szCs w:val="22"/>
              </w:rPr>
            </w:pPr>
            <w:r w:rsidRPr="007C29DB">
              <w:rPr>
                <w:rFonts w:ascii="Calibri" w:hAnsi="Calibri"/>
                <w:szCs w:val="22"/>
              </w:rPr>
              <w:t>500</w:t>
            </w:r>
          </w:p>
        </w:tc>
        <w:tc>
          <w:tcPr>
            <w:tcW w:w="1197" w:type="dxa"/>
            <w:shd w:val="clear" w:color="auto" w:fill="auto"/>
            <w:noWrap/>
            <w:vAlign w:val="bottom"/>
          </w:tcPr>
          <w:p w:rsidRPr="007C29DB" w:rsidR="00E95811" w:rsidP="00CF30D3" w:rsidRDefault="00E95811" w14:paraId="25FCA2A7" w14:textId="77777777">
            <w:pPr>
              <w:keepNext/>
              <w:keepLines/>
              <w:spacing w:line="240" w:lineRule="auto"/>
              <w:jc w:val="center"/>
              <w:rPr>
                <w:rFonts w:ascii="Calibri" w:hAnsi="Calibri"/>
                <w:szCs w:val="22"/>
              </w:rPr>
            </w:pPr>
            <w:r w:rsidRPr="007C29DB">
              <w:rPr>
                <w:rFonts w:ascii="Calibri" w:hAnsi="Calibri"/>
                <w:szCs w:val="22"/>
              </w:rPr>
              <w:t>4.24</w:t>
            </w:r>
          </w:p>
        </w:tc>
        <w:tc>
          <w:tcPr>
            <w:tcW w:w="1344" w:type="dxa"/>
            <w:shd w:val="clear" w:color="auto" w:fill="auto"/>
            <w:noWrap/>
            <w:vAlign w:val="bottom"/>
          </w:tcPr>
          <w:p w:rsidRPr="007C29DB" w:rsidR="00E95811" w:rsidP="00CF30D3" w:rsidRDefault="00E95811" w14:paraId="67F89989" w14:textId="77777777">
            <w:pPr>
              <w:keepNext/>
              <w:keepLines/>
              <w:spacing w:line="240" w:lineRule="auto"/>
              <w:jc w:val="center"/>
              <w:rPr>
                <w:rFonts w:ascii="Calibri" w:hAnsi="Calibri"/>
                <w:szCs w:val="22"/>
              </w:rPr>
            </w:pPr>
            <w:r w:rsidRPr="007C29DB">
              <w:rPr>
                <w:rFonts w:ascii="Calibri" w:hAnsi="Calibri"/>
                <w:szCs w:val="22"/>
              </w:rPr>
              <w:t>5.65</w:t>
            </w:r>
          </w:p>
        </w:tc>
        <w:tc>
          <w:tcPr>
            <w:tcW w:w="1431" w:type="dxa"/>
            <w:shd w:val="clear" w:color="auto" w:fill="auto"/>
            <w:noWrap/>
            <w:vAlign w:val="bottom"/>
          </w:tcPr>
          <w:p w:rsidRPr="007C29DB" w:rsidR="00E95811" w:rsidP="00CF30D3" w:rsidRDefault="00E95811" w14:paraId="472717CD" w14:textId="77777777">
            <w:pPr>
              <w:keepNext/>
              <w:keepLines/>
              <w:spacing w:line="240" w:lineRule="auto"/>
              <w:jc w:val="center"/>
              <w:rPr>
                <w:rFonts w:ascii="Calibri" w:hAnsi="Calibri"/>
                <w:szCs w:val="22"/>
              </w:rPr>
            </w:pPr>
            <w:r w:rsidRPr="007C29DB">
              <w:rPr>
                <w:rFonts w:ascii="Calibri" w:hAnsi="Calibri"/>
                <w:szCs w:val="22"/>
              </w:rPr>
              <w:t>6.48</w:t>
            </w:r>
          </w:p>
        </w:tc>
        <w:tc>
          <w:tcPr>
            <w:tcW w:w="1431" w:type="dxa"/>
            <w:shd w:val="clear" w:color="auto" w:fill="auto"/>
            <w:noWrap/>
            <w:vAlign w:val="bottom"/>
          </w:tcPr>
          <w:p w:rsidRPr="007C29DB" w:rsidR="00E95811" w:rsidP="00CF30D3" w:rsidRDefault="00E95811" w14:paraId="41C8F70D" w14:textId="77777777">
            <w:pPr>
              <w:keepNext/>
              <w:keepLines/>
              <w:spacing w:line="240" w:lineRule="auto"/>
              <w:jc w:val="center"/>
              <w:rPr>
                <w:rFonts w:ascii="Calibri" w:hAnsi="Calibri"/>
                <w:szCs w:val="22"/>
              </w:rPr>
            </w:pPr>
            <w:r w:rsidRPr="007C29DB">
              <w:rPr>
                <w:rFonts w:ascii="Calibri" w:hAnsi="Calibri"/>
                <w:szCs w:val="22"/>
              </w:rPr>
              <w:t>6.92</w:t>
            </w:r>
          </w:p>
        </w:tc>
        <w:tc>
          <w:tcPr>
            <w:tcW w:w="1431" w:type="dxa"/>
            <w:shd w:val="clear" w:color="auto" w:fill="auto"/>
            <w:noWrap/>
            <w:vAlign w:val="bottom"/>
          </w:tcPr>
          <w:p w:rsidRPr="007C29DB" w:rsidR="00E95811" w:rsidP="00CF30D3" w:rsidRDefault="00E95811" w14:paraId="55BA96EC" w14:textId="77777777">
            <w:pPr>
              <w:keepNext/>
              <w:keepLines/>
              <w:spacing w:line="240" w:lineRule="auto"/>
              <w:jc w:val="center"/>
              <w:rPr>
                <w:rFonts w:ascii="Calibri" w:hAnsi="Calibri"/>
                <w:szCs w:val="22"/>
              </w:rPr>
            </w:pPr>
            <w:r w:rsidRPr="007C29DB">
              <w:rPr>
                <w:rFonts w:ascii="Calibri" w:hAnsi="Calibri"/>
                <w:szCs w:val="22"/>
              </w:rPr>
              <w:t>7.07</w:t>
            </w:r>
          </w:p>
        </w:tc>
      </w:tr>
      <w:tr w:rsidRPr="00E00C43" w:rsidR="00E95811" w:rsidTr="00CF30D3" w14:paraId="5EFC105A" w14:textId="77777777">
        <w:trPr>
          <w:trHeight w:val="230"/>
          <w:jc w:val="center"/>
        </w:trPr>
        <w:tc>
          <w:tcPr>
            <w:tcW w:w="1579" w:type="dxa"/>
            <w:shd w:val="clear" w:color="auto" w:fill="auto"/>
            <w:noWrap/>
            <w:vAlign w:val="bottom"/>
          </w:tcPr>
          <w:p w:rsidRPr="007C29DB" w:rsidR="00E95811" w:rsidP="00CF30D3" w:rsidRDefault="00E95811" w14:paraId="1E311886" w14:textId="77777777">
            <w:pPr>
              <w:pStyle w:val="SL-FlLftSgl"/>
              <w:keepNext/>
              <w:keepLines/>
              <w:spacing w:line="240" w:lineRule="auto"/>
              <w:jc w:val="right"/>
              <w:rPr>
                <w:rFonts w:ascii="Calibri" w:hAnsi="Calibri"/>
                <w:szCs w:val="22"/>
              </w:rPr>
            </w:pPr>
            <w:r w:rsidRPr="007C29DB">
              <w:rPr>
                <w:rFonts w:ascii="Calibri" w:hAnsi="Calibri"/>
                <w:szCs w:val="22"/>
              </w:rPr>
              <w:t>400</w:t>
            </w:r>
          </w:p>
        </w:tc>
        <w:tc>
          <w:tcPr>
            <w:tcW w:w="1197" w:type="dxa"/>
            <w:shd w:val="clear" w:color="auto" w:fill="auto"/>
            <w:noWrap/>
            <w:vAlign w:val="bottom"/>
          </w:tcPr>
          <w:p w:rsidRPr="007C29DB" w:rsidR="00E95811" w:rsidP="00CF30D3" w:rsidRDefault="00E95811" w14:paraId="5C869B21" w14:textId="77777777">
            <w:pPr>
              <w:keepNext/>
              <w:keepLines/>
              <w:spacing w:line="240" w:lineRule="auto"/>
              <w:jc w:val="center"/>
              <w:rPr>
                <w:rFonts w:ascii="Calibri" w:hAnsi="Calibri"/>
                <w:szCs w:val="22"/>
              </w:rPr>
            </w:pPr>
            <w:r w:rsidRPr="007C29DB">
              <w:rPr>
                <w:rFonts w:ascii="Calibri" w:hAnsi="Calibri"/>
                <w:szCs w:val="22"/>
              </w:rPr>
              <w:t>4.74</w:t>
            </w:r>
          </w:p>
        </w:tc>
        <w:tc>
          <w:tcPr>
            <w:tcW w:w="1344" w:type="dxa"/>
            <w:shd w:val="clear" w:color="auto" w:fill="auto"/>
            <w:noWrap/>
            <w:vAlign w:val="bottom"/>
          </w:tcPr>
          <w:p w:rsidRPr="007C29DB" w:rsidR="00E95811" w:rsidP="00CF30D3" w:rsidRDefault="00E95811" w14:paraId="32FA21A6" w14:textId="77777777">
            <w:pPr>
              <w:keepNext/>
              <w:keepLines/>
              <w:spacing w:line="240" w:lineRule="auto"/>
              <w:jc w:val="center"/>
              <w:rPr>
                <w:rFonts w:ascii="Calibri" w:hAnsi="Calibri"/>
                <w:szCs w:val="22"/>
              </w:rPr>
            </w:pPr>
            <w:r w:rsidRPr="007C29DB">
              <w:rPr>
                <w:rFonts w:ascii="Calibri" w:hAnsi="Calibri"/>
                <w:szCs w:val="22"/>
              </w:rPr>
              <w:t>6.32</w:t>
            </w:r>
          </w:p>
        </w:tc>
        <w:tc>
          <w:tcPr>
            <w:tcW w:w="1431" w:type="dxa"/>
            <w:shd w:val="clear" w:color="auto" w:fill="auto"/>
            <w:noWrap/>
            <w:vAlign w:val="bottom"/>
          </w:tcPr>
          <w:p w:rsidRPr="007C29DB" w:rsidR="00E95811" w:rsidP="00CF30D3" w:rsidRDefault="00E95811" w14:paraId="40E99CEB" w14:textId="77777777">
            <w:pPr>
              <w:keepNext/>
              <w:keepLines/>
              <w:spacing w:line="240" w:lineRule="auto"/>
              <w:jc w:val="center"/>
              <w:rPr>
                <w:rFonts w:ascii="Calibri" w:hAnsi="Calibri"/>
                <w:szCs w:val="22"/>
              </w:rPr>
            </w:pPr>
            <w:r w:rsidRPr="007C29DB">
              <w:rPr>
                <w:rFonts w:ascii="Calibri" w:hAnsi="Calibri"/>
                <w:szCs w:val="22"/>
              </w:rPr>
              <w:t>7.24</w:t>
            </w:r>
          </w:p>
        </w:tc>
        <w:tc>
          <w:tcPr>
            <w:tcW w:w="1431" w:type="dxa"/>
            <w:shd w:val="clear" w:color="auto" w:fill="auto"/>
            <w:noWrap/>
            <w:vAlign w:val="bottom"/>
          </w:tcPr>
          <w:p w:rsidRPr="007C29DB" w:rsidR="00E95811" w:rsidP="00CF30D3" w:rsidRDefault="00E95811" w14:paraId="5D35C560" w14:textId="77777777">
            <w:pPr>
              <w:keepNext/>
              <w:keepLines/>
              <w:spacing w:line="240" w:lineRule="auto"/>
              <w:jc w:val="center"/>
              <w:rPr>
                <w:rFonts w:ascii="Calibri" w:hAnsi="Calibri"/>
                <w:szCs w:val="22"/>
              </w:rPr>
            </w:pPr>
            <w:r w:rsidRPr="007C29DB">
              <w:rPr>
                <w:rFonts w:ascii="Calibri" w:hAnsi="Calibri"/>
                <w:szCs w:val="22"/>
              </w:rPr>
              <w:t>7.74</w:t>
            </w:r>
          </w:p>
        </w:tc>
        <w:tc>
          <w:tcPr>
            <w:tcW w:w="1431" w:type="dxa"/>
            <w:shd w:val="clear" w:color="auto" w:fill="auto"/>
            <w:noWrap/>
            <w:vAlign w:val="bottom"/>
          </w:tcPr>
          <w:p w:rsidRPr="007C29DB" w:rsidR="00E95811" w:rsidP="00CF30D3" w:rsidRDefault="00E95811" w14:paraId="72E1E431" w14:textId="77777777">
            <w:pPr>
              <w:keepNext/>
              <w:keepLines/>
              <w:spacing w:line="240" w:lineRule="auto"/>
              <w:jc w:val="center"/>
              <w:rPr>
                <w:rFonts w:ascii="Calibri" w:hAnsi="Calibri"/>
                <w:szCs w:val="22"/>
              </w:rPr>
            </w:pPr>
            <w:r w:rsidRPr="007C29DB">
              <w:rPr>
                <w:rFonts w:ascii="Calibri" w:hAnsi="Calibri"/>
                <w:szCs w:val="22"/>
              </w:rPr>
              <w:t>7.90</w:t>
            </w:r>
          </w:p>
        </w:tc>
      </w:tr>
      <w:tr w:rsidRPr="00E00C43" w:rsidR="00E95811" w:rsidTr="00CF30D3" w14:paraId="6791A85F" w14:textId="77777777">
        <w:trPr>
          <w:trHeight w:val="230"/>
          <w:jc w:val="center"/>
        </w:trPr>
        <w:tc>
          <w:tcPr>
            <w:tcW w:w="1579" w:type="dxa"/>
            <w:shd w:val="clear" w:color="auto" w:fill="auto"/>
            <w:noWrap/>
            <w:vAlign w:val="bottom"/>
          </w:tcPr>
          <w:p w:rsidRPr="007C29DB" w:rsidR="00E95811" w:rsidP="00CF30D3" w:rsidRDefault="00E95811" w14:paraId="070C43E9" w14:textId="77777777">
            <w:pPr>
              <w:pStyle w:val="SL-FlLftSgl"/>
              <w:keepNext/>
              <w:keepLines/>
              <w:spacing w:line="240" w:lineRule="auto"/>
              <w:jc w:val="right"/>
              <w:rPr>
                <w:rFonts w:ascii="Calibri" w:hAnsi="Calibri"/>
                <w:szCs w:val="22"/>
              </w:rPr>
            </w:pPr>
            <w:r w:rsidRPr="007C29DB">
              <w:rPr>
                <w:rFonts w:ascii="Calibri" w:hAnsi="Calibri"/>
                <w:szCs w:val="22"/>
              </w:rPr>
              <w:t>300</w:t>
            </w:r>
          </w:p>
        </w:tc>
        <w:tc>
          <w:tcPr>
            <w:tcW w:w="1197" w:type="dxa"/>
            <w:shd w:val="clear" w:color="auto" w:fill="auto"/>
            <w:noWrap/>
            <w:vAlign w:val="bottom"/>
          </w:tcPr>
          <w:p w:rsidRPr="007C29DB" w:rsidR="00E95811" w:rsidP="00CF30D3" w:rsidRDefault="00E95811" w14:paraId="7C95F4BE" w14:textId="77777777">
            <w:pPr>
              <w:keepNext/>
              <w:keepLines/>
              <w:spacing w:line="240" w:lineRule="auto"/>
              <w:jc w:val="center"/>
              <w:rPr>
                <w:rFonts w:ascii="Calibri" w:hAnsi="Calibri"/>
                <w:szCs w:val="22"/>
              </w:rPr>
            </w:pPr>
            <w:r w:rsidRPr="007C29DB">
              <w:rPr>
                <w:rFonts w:ascii="Calibri" w:hAnsi="Calibri"/>
                <w:szCs w:val="22"/>
              </w:rPr>
              <w:t>5.47</w:t>
            </w:r>
          </w:p>
        </w:tc>
        <w:tc>
          <w:tcPr>
            <w:tcW w:w="1344" w:type="dxa"/>
            <w:shd w:val="clear" w:color="auto" w:fill="auto"/>
            <w:noWrap/>
            <w:vAlign w:val="bottom"/>
          </w:tcPr>
          <w:p w:rsidRPr="007C29DB" w:rsidR="00E95811" w:rsidP="00CF30D3" w:rsidRDefault="00E95811" w14:paraId="1FDB1895" w14:textId="77777777">
            <w:pPr>
              <w:keepNext/>
              <w:keepLines/>
              <w:spacing w:line="240" w:lineRule="auto"/>
              <w:jc w:val="center"/>
              <w:rPr>
                <w:rFonts w:ascii="Calibri" w:hAnsi="Calibri"/>
                <w:szCs w:val="22"/>
              </w:rPr>
            </w:pPr>
            <w:r w:rsidRPr="007C29DB">
              <w:rPr>
                <w:rFonts w:ascii="Calibri" w:hAnsi="Calibri"/>
                <w:szCs w:val="22"/>
              </w:rPr>
              <w:t>7.30</w:t>
            </w:r>
          </w:p>
        </w:tc>
        <w:tc>
          <w:tcPr>
            <w:tcW w:w="1431" w:type="dxa"/>
            <w:shd w:val="clear" w:color="auto" w:fill="auto"/>
            <w:noWrap/>
            <w:vAlign w:val="bottom"/>
          </w:tcPr>
          <w:p w:rsidRPr="007C29DB" w:rsidR="00E95811" w:rsidP="00CF30D3" w:rsidRDefault="00E95811" w14:paraId="334AD3D6" w14:textId="77777777">
            <w:pPr>
              <w:keepNext/>
              <w:keepLines/>
              <w:spacing w:line="240" w:lineRule="auto"/>
              <w:jc w:val="center"/>
              <w:rPr>
                <w:rFonts w:ascii="Calibri" w:hAnsi="Calibri"/>
                <w:szCs w:val="22"/>
              </w:rPr>
            </w:pPr>
            <w:r w:rsidRPr="007C29DB">
              <w:rPr>
                <w:rFonts w:ascii="Calibri" w:hAnsi="Calibri"/>
                <w:szCs w:val="22"/>
              </w:rPr>
              <w:t>8.36</w:t>
            </w:r>
          </w:p>
        </w:tc>
        <w:tc>
          <w:tcPr>
            <w:tcW w:w="1431" w:type="dxa"/>
            <w:shd w:val="clear" w:color="auto" w:fill="auto"/>
            <w:noWrap/>
            <w:vAlign w:val="bottom"/>
          </w:tcPr>
          <w:p w:rsidRPr="007C29DB" w:rsidR="00E95811" w:rsidP="00CF30D3" w:rsidRDefault="00E95811" w14:paraId="58AD8C10" w14:textId="77777777">
            <w:pPr>
              <w:keepNext/>
              <w:keepLines/>
              <w:spacing w:line="240" w:lineRule="auto"/>
              <w:jc w:val="center"/>
              <w:rPr>
                <w:rFonts w:ascii="Calibri" w:hAnsi="Calibri"/>
                <w:szCs w:val="22"/>
              </w:rPr>
            </w:pPr>
            <w:r w:rsidRPr="007C29DB">
              <w:rPr>
                <w:rFonts w:ascii="Calibri" w:hAnsi="Calibri"/>
                <w:szCs w:val="22"/>
              </w:rPr>
              <w:t>8.94</w:t>
            </w:r>
          </w:p>
        </w:tc>
        <w:tc>
          <w:tcPr>
            <w:tcW w:w="1431" w:type="dxa"/>
            <w:shd w:val="clear" w:color="auto" w:fill="auto"/>
            <w:noWrap/>
            <w:vAlign w:val="bottom"/>
          </w:tcPr>
          <w:p w:rsidRPr="007C29DB" w:rsidR="00E95811" w:rsidP="00CF30D3" w:rsidRDefault="00E95811" w14:paraId="14E31B0E" w14:textId="77777777">
            <w:pPr>
              <w:keepNext/>
              <w:keepLines/>
              <w:spacing w:line="240" w:lineRule="auto"/>
              <w:jc w:val="center"/>
              <w:rPr>
                <w:rFonts w:ascii="Calibri" w:hAnsi="Calibri"/>
                <w:szCs w:val="22"/>
              </w:rPr>
            </w:pPr>
            <w:r w:rsidRPr="007C29DB">
              <w:rPr>
                <w:rFonts w:ascii="Calibri" w:hAnsi="Calibri"/>
                <w:szCs w:val="22"/>
              </w:rPr>
              <w:t>9.12</w:t>
            </w:r>
          </w:p>
        </w:tc>
      </w:tr>
      <w:tr w:rsidRPr="00E00C43" w:rsidR="00E95811" w:rsidTr="00CF30D3" w14:paraId="435EC1F1" w14:textId="77777777">
        <w:trPr>
          <w:trHeight w:val="230"/>
          <w:jc w:val="center"/>
        </w:trPr>
        <w:tc>
          <w:tcPr>
            <w:tcW w:w="1579" w:type="dxa"/>
            <w:shd w:val="clear" w:color="auto" w:fill="auto"/>
            <w:noWrap/>
            <w:vAlign w:val="bottom"/>
          </w:tcPr>
          <w:p w:rsidRPr="007C29DB" w:rsidR="00E95811" w:rsidP="00CF30D3" w:rsidRDefault="00E95811" w14:paraId="59F53EDE" w14:textId="77777777">
            <w:pPr>
              <w:pStyle w:val="SL-FlLftSgl"/>
              <w:keepNext/>
              <w:keepLines/>
              <w:spacing w:line="240" w:lineRule="auto"/>
              <w:jc w:val="right"/>
              <w:rPr>
                <w:rFonts w:ascii="Calibri" w:hAnsi="Calibri"/>
                <w:szCs w:val="22"/>
              </w:rPr>
            </w:pPr>
            <w:r w:rsidRPr="007C29DB">
              <w:rPr>
                <w:rFonts w:ascii="Calibri" w:hAnsi="Calibri"/>
                <w:szCs w:val="22"/>
              </w:rPr>
              <w:t>250</w:t>
            </w:r>
          </w:p>
        </w:tc>
        <w:tc>
          <w:tcPr>
            <w:tcW w:w="1197" w:type="dxa"/>
            <w:shd w:val="clear" w:color="auto" w:fill="auto"/>
            <w:noWrap/>
            <w:vAlign w:val="bottom"/>
          </w:tcPr>
          <w:p w:rsidRPr="007C29DB" w:rsidR="00E95811" w:rsidP="00CF30D3" w:rsidRDefault="00E95811" w14:paraId="3079BC3E" w14:textId="77777777">
            <w:pPr>
              <w:keepNext/>
              <w:keepLines/>
              <w:spacing w:line="240" w:lineRule="auto"/>
              <w:jc w:val="center"/>
              <w:rPr>
                <w:rFonts w:ascii="Calibri" w:hAnsi="Calibri"/>
                <w:szCs w:val="22"/>
              </w:rPr>
            </w:pPr>
            <w:r w:rsidRPr="007C29DB">
              <w:rPr>
                <w:rFonts w:ascii="Calibri" w:hAnsi="Calibri"/>
                <w:szCs w:val="22"/>
              </w:rPr>
              <w:t>6.00</w:t>
            </w:r>
          </w:p>
        </w:tc>
        <w:tc>
          <w:tcPr>
            <w:tcW w:w="1344" w:type="dxa"/>
            <w:shd w:val="clear" w:color="auto" w:fill="auto"/>
            <w:noWrap/>
            <w:vAlign w:val="bottom"/>
          </w:tcPr>
          <w:p w:rsidRPr="007C29DB" w:rsidR="00E95811" w:rsidP="00CF30D3" w:rsidRDefault="00E95811" w14:paraId="49375816" w14:textId="77777777">
            <w:pPr>
              <w:keepNext/>
              <w:keepLines/>
              <w:spacing w:line="240" w:lineRule="auto"/>
              <w:jc w:val="center"/>
              <w:rPr>
                <w:rFonts w:ascii="Calibri" w:hAnsi="Calibri"/>
                <w:szCs w:val="22"/>
              </w:rPr>
            </w:pPr>
            <w:r w:rsidRPr="007C29DB">
              <w:rPr>
                <w:rFonts w:ascii="Calibri" w:hAnsi="Calibri"/>
                <w:szCs w:val="22"/>
              </w:rPr>
              <w:t>8.00</w:t>
            </w:r>
          </w:p>
        </w:tc>
        <w:tc>
          <w:tcPr>
            <w:tcW w:w="1431" w:type="dxa"/>
            <w:shd w:val="clear" w:color="auto" w:fill="auto"/>
            <w:noWrap/>
            <w:vAlign w:val="bottom"/>
          </w:tcPr>
          <w:p w:rsidRPr="007C29DB" w:rsidR="00E95811" w:rsidP="00CF30D3" w:rsidRDefault="00E95811" w14:paraId="6B3B1B5B" w14:textId="77777777">
            <w:pPr>
              <w:keepNext/>
              <w:keepLines/>
              <w:spacing w:line="240" w:lineRule="auto"/>
              <w:jc w:val="center"/>
              <w:rPr>
                <w:rFonts w:ascii="Calibri" w:hAnsi="Calibri"/>
                <w:szCs w:val="22"/>
              </w:rPr>
            </w:pPr>
            <w:r w:rsidRPr="007C29DB">
              <w:rPr>
                <w:rFonts w:ascii="Calibri" w:hAnsi="Calibri"/>
                <w:szCs w:val="22"/>
              </w:rPr>
              <w:t>9.16</w:t>
            </w:r>
          </w:p>
        </w:tc>
        <w:tc>
          <w:tcPr>
            <w:tcW w:w="1431" w:type="dxa"/>
            <w:shd w:val="clear" w:color="auto" w:fill="auto"/>
            <w:noWrap/>
            <w:vAlign w:val="bottom"/>
          </w:tcPr>
          <w:p w:rsidRPr="007C29DB" w:rsidR="00E95811" w:rsidP="00CF30D3" w:rsidRDefault="00E95811" w14:paraId="55956A51" w14:textId="77777777">
            <w:pPr>
              <w:keepNext/>
              <w:keepLines/>
              <w:spacing w:line="240" w:lineRule="auto"/>
              <w:jc w:val="center"/>
              <w:rPr>
                <w:rFonts w:ascii="Calibri" w:hAnsi="Calibri"/>
                <w:szCs w:val="22"/>
              </w:rPr>
            </w:pPr>
            <w:r w:rsidRPr="007C29DB">
              <w:rPr>
                <w:rFonts w:ascii="Calibri" w:hAnsi="Calibri"/>
                <w:szCs w:val="22"/>
              </w:rPr>
              <w:t>9.79</w:t>
            </w:r>
          </w:p>
        </w:tc>
        <w:tc>
          <w:tcPr>
            <w:tcW w:w="1431" w:type="dxa"/>
            <w:shd w:val="clear" w:color="auto" w:fill="auto"/>
            <w:noWrap/>
            <w:vAlign w:val="bottom"/>
          </w:tcPr>
          <w:p w:rsidRPr="007C29DB" w:rsidR="00E95811" w:rsidP="00CF30D3" w:rsidRDefault="00E95811" w14:paraId="601C93CB" w14:textId="77777777">
            <w:pPr>
              <w:keepNext/>
              <w:keepLines/>
              <w:spacing w:line="240" w:lineRule="auto"/>
              <w:jc w:val="center"/>
              <w:rPr>
                <w:rFonts w:ascii="Calibri" w:hAnsi="Calibri"/>
                <w:szCs w:val="22"/>
              </w:rPr>
            </w:pPr>
            <w:r w:rsidRPr="007C29DB">
              <w:rPr>
                <w:rFonts w:ascii="Calibri" w:hAnsi="Calibri"/>
                <w:szCs w:val="22"/>
              </w:rPr>
              <w:t>9.99</w:t>
            </w:r>
          </w:p>
        </w:tc>
      </w:tr>
      <w:tr w:rsidRPr="00E00C43" w:rsidR="00E95811" w:rsidTr="00CF30D3" w14:paraId="796A22CB" w14:textId="77777777">
        <w:trPr>
          <w:trHeight w:val="230"/>
          <w:jc w:val="center"/>
        </w:trPr>
        <w:tc>
          <w:tcPr>
            <w:tcW w:w="1579" w:type="dxa"/>
            <w:shd w:val="clear" w:color="auto" w:fill="auto"/>
            <w:noWrap/>
            <w:vAlign w:val="bottom"/>
          </w:tcPr>
          <w:p w:rsidRPr="007C29DB" w:rsidR="00E95811" w:rsidP="00CF30D3" w:rsidRDefault="00E95811" w14:paraId="2543034F" w14:textId="77777777">
            <w:pPr>
              <w:pStyle w:val="SL-FlLftSgl"/>
              <w:keepNext/>
              <w:keepLines/>
              <w:spacing w:line="240" w:lineRule="auto"/>
              <w:jc w:val="right"/>
              <w:rPr>
                <w:rFonts w:ascii="Calibri" w:hAnsi="Calibri"/>
                <w:szCs w:val="22"/>
              </w:rPr>
            </w:pPr>
            <w:r w:rsidRPr="007C29DB">
              <w:rPr>
                <w:rFonts w:ascii="Calibri" w:hAnsi="Calibri"/>
                <w:szCs w:val="22"/>
              </w:rPr>
              <w:t>200</w:t>
            </w:r>
          </w:p>
        </w:tc>
        <w:tc>
          <w:tcPr>
            <w:tcW w:w="1197" w:type="dxa"/>
            <w:shd w:val="clear" w:color="auto" w:fill="auto"/>
            <w:noWrap/>
            <w:vAlign w:val="bottom"/>
          </w:tcPr>
          <w:p w:rsidRPr="007C29DB" w:rsidR="00E95811" w:rsidP="00CF30D3" w:rsidRDefault="00E95811" w14:paraId="16E2AF7D" w14:textId="77777777">
            <w:pPr>
              <w:keepNext/>
              <w:keepLines/>
              <w:spacing w:line="240" w:lineRule="auto"/>
              <w:jc w:val="center"/>
              <w:rPr>
                <w:rFonts w:ascii="Calibri" w:hAnsi="Calibri"/>
                <w:szCs w:val="22"/>
              </w:rPr>
            </w:pPr>
            <w:r w:rsidRPr="007C29DB">
              <w:rPr>
                <w:rFonts w:ascii="Calibri" w:hAnsi="Calibri"/>
                <w:szCs w:val="22"/>
              </w:rPr>
              <w:t>6.70</w:t>
            </w:r>
          </w:p>
        </w:tc>
        <w:tc>
          <w:tcPr>
            <w:tcW w:w="1344" w:type="dxa"/>
            <w:shd w:val="clear" w:color="auto" w:fill="auto"/>
            <w:noWrap/>
            <w:vAlign w:val="bottom"/>
          </w:tcPr>
          <w:p w:rsidRPr="007C29DB" w:rsidR="00E95811" w:rsidP="00CF30D3" w:rsidRDefault="00E95811" w14:paraId="11731452" w14:textId="77777777">
            <w:pPr>
              <w:keepNext/>
              <w:keepLines/>
              <w:spacing w:line="240" w:lineRule="auto"/>
              <w:jc w:val="center"/>
              <w:rPr>
                <w:rFonts w:ascii="Calibri" w:hAnsi="Calibri"/>
                <w:szCs w:val="22"/>
              </w:rPr>
            </w:pPr>
            <w:r w:rsidRPr="007C29DB">
              <w:rPr>
                <w:rFonts w:ascii="Calibri" w:hAnsi="Calibri"/>
                <w:szCs w:val="22"/>
              </w:rPr>
              <w:t>8.94</w:t>
            </w:r>
          </w:p>
        </w:tc>
        <w:tc>
          <w:tcPr>
            <w:tcW w:w="1431" w:type="dxa"/>
            <w:shd w:val="clear" w:color="auto" w:fill="auto"/>
            <w:noWrap/>
            <w:vAlign w:val="bottom"/>
          </w:tcPr>
          <w:p w:rsidRPr="007C29DB" w:rsidR="00E95811" w:rsidP="00CF30D3" w:rsidRDefault="00E95811" w14:paraId="06DF5354" w14:textId="77777777">
            <w:pPr>
              <w:keepNext/>
              <w:keepLines/>
              <w:spacing w:line="240" w:lineRule="auto"/>
              <w:jc w:val="center"/>
              <w:rPr>
                <w:rFonts w:ascii="Calibri" w:hAnsi="Calibri"/>
                <w:szCs w:val="22"/>
              </w:rPr>
            </w:pPr>
            <w:r w:rsidRPr="007C29DB">
              <w:rPr>
                <w:rFonts w:ascii="Calibri" w:hAnsi="Calibri"/>
                <w:szCs w:val="22"/>
              </w:rPr>
              <w:t>10.24</w:t>
            </w:r>
          </w:p>
        </w:tc>
        <w:tc>
          <w:tcPr>
            <w:tcW w:w="1431" w:type="dxa"/>
            <w:shd w:val="clear" w:color="auto" w:fill="auto"/>
            <w:noWrap/>
            <w:vAlign w:val="bottom"/>
          </w:tcPr>
          <w:p w:rsidRPr="007C29DB" w:rsidR="00E95811" w:rsidP="00CF30D3" w:rsidRDefault="00E95811" w14:paraId="408C6035" w14:textId="77777777">
            <w:pPr>
              <w:keepNext/>
              <w:keepLines/>
              <w:spacing w:line="240" w:lineRule="auto"/>
              <w:jc w:val="center"/>
              <w:rPr>
                <w:rFonts w:ascii="Calibri" w:hAnsi="Calibri"/>
                <w:szCs w:val="22"/>
              </w:rPr>
            </w:pPr>
            <w:r w:rsidRPr="007C29DB">
              <w:rPr>
                <w:rFonts w:ascii="Calibri" w:hAnsi="Calibri"/>
                <w:szCs w:val="22"/>
              </w:rPr>
              <w:t>10.95</w:t>
            </w:r>
          </w:p>
        </w:tc>
        <w:tc>
          <w:tcPr>
            <w:tcW w:w="1431" w:type="dxa"/>
            <w:shd w:val="clear" w:color="auto" w:fill="auto"/>
            <w:noWrap/>
            <w:vAlign w:val="bottom"/>
          </w:tcPr>
          <w:p w:rsidRPr="007C29DB" w:rsidR="00E95811" w:rsidP="00CF30D3" w:rsidRDefault="00E95811" w14:paraId="6453AEEA" w14:textId="77777777">
            <w:pPr>
              <w:keepNext/>
              <w:keepLines/>
              <w:spacing w:line="240" w:lineRule="auto"/>
              <w:jc w:val="center"/>
              <w:rPr>
                <w:rFonts w:ascii="Calibri" w:hAnsi="Calibri"/>
                <w:szCs w:val="22"/>
              </w:rPr>
            </w:pPr>
            <w:r w:rsidRPr="007C29DB">
              <w:rPr>
                <w:rFonts w:ascii="Calibri" w:hAnsi="Calibri"/>
                <w:szCs w:val="22"/>
              </w:rPr>
              <w:t>11.17</w:t>
            </w:r>
          </w:p>
        </w:tc>
      </w:tr>
      <w:tr w:rsidRPr="002E75D1" w:rsidR="00E95811" w:rsidTr="00CF30D3" w14:paraId="66D24D85" w14:textId="77777777">
        <w:trPr>
          <w:trHeight w:val="230"/>
          <w:jc w:val="center"/>
        </w:trPr>
        <w:tc>
          <w:tcPr>
            <w:tcW w:w="1579" w:type="dxa"/>
            <w:shd w:val="clear" w:color="auto" w:fill="auto"/>
            <w:noWrap/>
            <w:vAlign w:val="bottom"/>
          </w:tcPr>
          <w:p w:rsidRPr="007C29DB" w:rsidR="00E95811" w:rsidP="00CF30D3" w:rsidRDefault="00E95811" w14:paraId="77C5B323" w14:textId="77777777">
            <w:pPr>
              <w:pStyle w:val="SL-FlLftSgl"/>
              <w:keepNext/>
              <w:keepLines/>
              <w:spacing w:line="240" w:lineRule="auto"/>
              <w:jc w:val="right"/>
              <w:rPr>
                <w:rFonts w:ascii="Calibri" w:hAnsi="Calibri"/>
                <w:szCs w:val="22"/>
              </w:rPr>
            </w:pPr>
            <w:r w:rsidRPr="007C29DB">
              <w:rPr>
                <w:rFonts w:ascii="Calibri" w:hAnsi="Calibri"/>
                <w:szCs w:val="22"/>
              </w:rPr>
              <w:t>100</w:t>
            </w:r>
          </w:p>
        </w:tc>
        <w:tc>
          <w:tcPr>
            <w:tcW w:w="1197" w:type="dxa"/>
            <w:shd w:val="clear" w:color="auto" w:fill="auto"/>
            <w:noWrap/>
            <w:vAlign w:val="bottom"/>
          </w:tcPr>
          <w:p w:rsidRPr="007C29DB" w:rsidR="00E95811" w:rsidP="00CF30D3" w:rsidRDefault="00E95811" w14:paraId="76764D68" w14:textId="77777777">
            <w:pPr>
              <w:keepNext/>
              <w:keepLines/>
              <w:spacing w:line="240" w:lineRule="auto"/>
              <w:jc w:val="center"/>
              <w:rPr>
                <w:rFonts w:ascii="Calibri" w:hAnsi="Calibri"/>
                <w:szCs w:val="22"/>
              </w:rPr>
            </w:pPr>
            <w:r w:rsidRPr="007C29DB">
              <w:rPr>
                <w:rFonts w:ascii="Calibri" w:hAnsi="Calibri"/>
                <w:szCs w:val="22"/>
              </w:rPr>
              <w:t>9.48</w:t>
            </w:r>
          </w:p>
        </w:tc>
        <w:tc>
          <w:tcPr>
            <w:tcW w:w="1344" w:type="dxa"/>
            <w:shd w:val="clear" w:color="auto" w:fill="auto"/>
            <w:noWrap/>
            <w:vAlign w:val="bottom"/>
          </w:tcPr>
          <w:p w:rsidRPr="007C29DB" w:rsidR="00E95811" w:rsidP="00CF30D3" w:rsidRDefault="00E95811" w14:paraId="33848D30" w14:textId="77777777">
            <w:pPr>
              <w:keepNext/>
              <w:keepLines/>
              <w:spacing w:line="240" w:lineRule="auto"/>
              <w:jc w:val="center"/>
              <w:rPr>
                <w:rFonts w:ascii="Calibri" w:hAnsi="Calibri"/>
                <w:szCs w:val="22"/>
              </w:rPr>
            </w:pPr>
            <w:r w:rsidRPr="007C29DB">
              <w:rPr>
                <w:rFonts w:ascii="Calibri" w:hAnsi="Calibri"/>
                <w:szCs w:val="22"/>
              </w:rPr>
              <w:t>12.64</w:t>
            </w:r>
          </w:p>
        </w:tc>
        <w:tc>
          <w:tcPr>
            <w:tcW w:w="1431" w:type="dxa"/>
            <w:shd w:val="clear" w:color="auto" w:fill="auto"/>
            <w:noWrap/>
            <w:vAlign w:val="bottom"/>
          </w:tcPr>
          <w:p w:rsidRPr="007C29DB" w:rsidR="00E95811" w:rsidP="00CF30D3" w:rsidRDefault="00E95811" w14:paraId="7F292E65" w14:textId="77777777">
            <w:pPr>
              <w:keepNext/>
              <w:keepLines/>
              <w:spacing w:line="240" w:lineRule="auto"/>
              <w:jc w:val="center"/>
              <w:rPr>
                <w:rFonts w:ascii="Calibri" w:hAnsi="Calibri"/>
                <w:szCs w:val="22"/>
              </w:rPr>
            </w:pPr>
            <w:r w:rsidRPr="007C29DB">
              <w:rPr>
                <w:rFonts w:ascii="Calibri" w:hAnsi="Calibri"/>
                <w:szCs w:val="22"/>
              </w:rPr>
              <w:t>14.48</w:t>
            </w:r>
          </w:p>
        </w:tc>
        <w:tc>
          <w:tcPr>
            <w:tcW w:w="1431" w:type="dxa"/>
            <w:shd w:val="clear" w:color="auto" w:fill="auto"/>
            <w:noWrap/>
            <w:vAlign w:val="bottom"/>
          </w:tcPr>
          <w:p w:rsidRPr="007C29DB" w:rsidR="00E95811" w:rsidP="00CF30D3" w:rsidRDefault="00E95811" w14:paraId="69E5CF3A" w14:textId="77777777">
            <w:pPr>
              <w:keepNext/>
              <w:keepLines/>
              <w:spacing w:line="240" w:lineRule="auto"/>
              <w:jc w:val="center"/>
              <w:rPr>
                <w:rFonts w:ascii="Calibri" w:hAnsi="Calibri"/>
                <w:szCs w:val="22"/>
              </w:rPr>
            </w:pPr>
            <w:r w:rsidRPr="007C29DB">
              <w:rPr>
                <w:rFonts w:ascii="Calibri" w:hAnsi="Calibri"/>
                <w:szCs w:val="22"/>
              </w:rPr>
              <w:t>15.48</w:t>
            </w:r>
          </w:p>
        </w:tc>
        <w:tc>
          <w:tcPr>
            <w:tcW w:w="1431" w:type="dxa"/>
            <w:shd w:val="clear" w:color="auto" w:fill="auto"/>
            <w:noWrap/>
            <w:vAlign w:val="bottom"/>
          </w:tcPr>
          <w:p w:rsidRPr="007C29DB" w:rsidR="00E95811" w:rsidP="00CF30D3" w:rsidRDefault="00E95811" w14:paraId="304BCBB3" w14:textId="77777777">
            <w:pPr>
              <w:keepNext/>
              <w:keepLines/>
              <w:spacing w:line="240" w:lineRule="auto"/>
              <w:jc w:val="center"/>
              <w:rPr>
                <w:rFonts w:ascii="Calibri" w:hAnsi="Calibri"/>
                <w:szCs w:val="22"/>
              </w:rPr>
            </w:pPr>
            <w:r w:rsidRPr="007C29DB">
              <w:rPr>
                <w:rFonts w:ascii="Calibri" w:hAnsi="Calibri"/>
                <w:szCs w:val="22"/>
              </w:rPr>
              <w:t>15.80</w:t>
            </w:r>
          </w:p>
        </w:tc>
      </w:tr>
    </w:tbl>
    <w:p w:rsidRPr="002E75D1" w:rsidR="00E95811" w:rsidP="00E95811" w:rsidRDefault="00E95811" w14:paraId="2CF4C9B3" w14:textId="77777777">
      <w:pPr>
        <w:jc w:val="left"/>
        <w:rPr>
          <w:highlight w:val="cyan"/>
        </w:rPr>
      </w:pPr>
    </w:p>
    <w:p w:rsidRPr="002E75D1" w:rsidR="00E95811" w:rsidP="00E95811" w:rsidRDefault="00E95811" w14:paraId="45EA9E76" w14:textId="77777777">
      <w:pPr>
        <w:jc w:val="left"/>
        <w:rPr>
          <w:highlight w:val="cyan"/>
        </w:rPr>
      </w:pPr>
    </w:p>
    <w:p w:rsidR="00E95811" w:rsidP="00E95811" w:rsidRDefault="00E95811" w14:paraId="79CFF87E" w14:textId="18BE37CD">
      <w:pPr>
        <w:pStyle w:val="SL-FlLftSgl"/>
        <w:jc w:val="left"/>
        <w:rPr>
          <w:snapToGrid w:val="0"/>
        </w:rPr>
      </w:pPr>
      <w:r w:rsidRPr="007C29DB">
        <w:rPr>
          <w:snapToGrid w:val="0"/>
          <w:shd w:val="clear" w:color="auto" w:fill="FFFFFF" w:themeFill="background1"/>
        </w:rPr>
        <w:t>Nonresponse adjustment</w:t>
      </w:r>
      <w:r w:rsidRPr="007C29DB">
        <w:rPr>
          <w:snapToGrid w:val="0"/>
        </w:rPr>
        <w:t xml:space="preserve"> was done as part of the weighting process for the previous surveys and will also be done for the 1</w:t>
      </w:r>
      <w:r w:rsidRPr="007C29DB" w:rsidR="002E75D1">
        <w:rPr>
          <w:snapToGrid w:val="0"/>
        </w:rPr>
        <w:t>5</w:t>
      </w:r>
      <w:r w:rsidRPr="007C29DB">
        <w:rPr>
          <w:snapToGrid w:val="0"/>
        </w:rPr>
        <w:t xml:space="preserve">th National Survey. The weights of the respondents were inflated to account for the weights of the </w:t>
      </w:r>
      <w:proofErr w:type="spellStart"/>
      <w:r w:rsidRPr="007C29DB">
        <w:rPr>
          <w:snapToGrid w:val="0"/>
        </w:rPr>
        <w:t>nonrespondents</w:t>
      </w:r>
      <w:proofErr w:type="spellEnd"/>
      <w:r w:rsidRPr="007C29DB">
        <w:rPr>
          <w:snapToGrid w:val="0"/>
        </w:rPr>
        <w:t xml:space="preserve"> separately for each service. The adjustment was applied independently within nonresponse adjustment groups defined by census region</w:t>
      </w:r>
      <w:r w:rsidRPr="007C29DB" w:rsidR="004348F9">
        <w:rPr>
          <w:snapToGrid w:val="0"/>
        </w:rPr>
        <w:t xml:space="preserve"> within service</w:t>
      </w:r>
      <w:r w:rsidRPr="007C29DB">
        <w:rPr>
          <w:snapToGrid w:val="0"/>
        </w:rPr>
        <w:t xml:space="preserve">. That means the </w:t>
      </w:r>
      <w:proofErr w:type="spellStart"/>
      <w:r w:rsidRPr="007C29DB">
        <w:rPr>
          <w:snapToGrid w:val="0"/>
        </w:rPr>
        <w:t>nonrespondents</w:t>
      </w:r>
      <w:proofErr w:type="spellEnd"/>
      <w:r w:rsidRPr="007C29DB">
        <w:rPr>
          <w:snapToGrid w:val="0"/>
        </w:rPr>
        <w:t xml:space="preserve"> within a group are represented by the respondents in the same group. The same types of nonresponse adjustment will be done for the 1</w:t>
      </w:r>
      <w:r w:rsidRPr="007C29DB" w:rsidR="002E75D1">
        <w:rPr>
          <w:snapToGrid w:val="0"/>
        </w:rPr>
        <w:t>5</w:t>
      </w:r>
      <w:r w:rsidRPr="007C29DB">
        <w:rPr>
          <w:snapToGrid w:val="0"/>
        </w:rPr>
        <w:t>th survey.</w:t>
      </w:r>
    </w:p>
    <w:p w:rsidR="00E95811" w:rsidP="00E95811" w:rsidRDefault="00E95811" w14:paraId="3A7D006C" w14:textId="77777777">
      <w:pPr>
        <w:pStyle w:val="SL-FlLftSgl"/>
        <w:jc w:val="left"/>
        <w:rPr>
          <w:snapToGrid w:val="0"/>
        </w:rPr>
      </w:pPr>
    </w:p>
    <w:p w:rsidR="00E95811" w:rsidP="00E95811" w:rsidRDefault="00E95811" w14:paraId="6885F271" w14:textId="77777777">
      <w:pPr>
        <w:pStyle w:val="SL-FlLftSgl"/>
        <w:jc w:val="left"/>
        <w:rPr>
          <w:snapToGrid w:val="0"/>
        </w:rPr>
      </w:pPr>
    </w:p>
    <w:p w:rsidRPr="00397B4B" w:rsidR="00E95811" w:rsidP="00E95811" w:rsidRDefault="00FB61A4" w14:paraId="75B2D6A1" w14:textId="6CBD5D6D">
      <w:pPr>
        <w:pStyle w:val="Heading2"/>
        <w:jc w:val="left"/>
        <w:rPr>
          <w:rFonts w:ascii="Franklin Gothic Medium" w:hAnsi="Franklin Gothic Medium"/>
          <w:color w:val="17365D" w:themeColor="text2" w:themeShade="BF"/>
          <w:sz w:val="24"/>
          <w:szCs w:val="24"/>
        </w:rPr>
      </w:pPr>
      <w:r>
        <w:rPr>
          <w:rFonts w:ascii="Franklin Gothic Medium" w:hAnsi="Franklin Gothic Medium"/>
          <w:color w:val="17365D" w:themeColor="text2" w:themeShade="BF"/>
          <w:sz w:val="24"/>
          <w:szCs w:val="24"/>
        </w:rPr>
        <w:t>B.2.4</w:t>
      </w:r>
      <w:r>
        <w:rPr>
          <w:rFonts w:ascii="Franklin Gothic Medium" w:hAnsi="Franklin Gothic Medium"/>
          <w:color w:val="17365D" w:themeColor="text2" w:themeShade="BF"/>
          <w:sz w:val="24"/>
          <w:szCs w:val="24"/>
        </w:rPr>
        <w:tab/>
      </w:r>
      <w:r>
        <w:rPr>
          <w:rFonts w:ascii="Franklin Gothic Medium" w:hAnsi="Franklin Gothic Medium"/>
          <w:color w:val="17365D" w:themeColor="text2" w:themeShade="BF"/>
          <w:sz w:val="24"/>
          <w:szCs w:val="24"/>
        </w:rPr>
        <w:tab/>
      </w:r>
      <w:r w:rsidRPr="00397B4B" w:rsidR="00E95811">
        <w:rPr>
          <w:rFonts w:ascii="Franklin Gothic Medium" w:hAnsi="Franklin Gothic Medium"/>
          <w:color w:val="17365D" w:themeColor="text2" w:themeShade="BF"/>
          <w:sz w:val="24"/>
          <w:szCs w:val="24"/>
        </w:rPr>
        <w:t>Older Americans Act Participant Survey Instruments</w:t>
      </w:r>
    </w:p>
    <w:p w:rsidR="00E95811" w:rsidP="00E95811" w:rsidRDefault="00E95811" w14:paraId="68E0C8CF" w14:textId="32ADFC8A">
      <w:pPr>
        <w:pStyle w:val="SL-FlLftSgl"/>
        <w:jc w:val="left"/>
      </w:pPr>
      <w:r>
        <w:t>The survey consists of telephone interviews with service recipients and caregivers. The interview is structured and will contain specific questions about the mix of services the person has received and his or her assessment of those services. Whenever appropriate, questions will contain predefined categories. Probes will be used to facilitate obtaining complete responses to all the questions. The interviews of caregivers will not include the questions that ask for physical functioning (except health conditions and ADL and IADL limitations of their care recipients) nor the Emotional Well-being and Social Functioning questionnaires. The inter</w:t>
      </w:r>
      <w:r w:rsidR="00F4055F">
        <w:t>views will last approximately 45</w:t>
      </w:r>
      <w:r>
        <w:t xml:space="preserve"> minutes and cover the topics discussed below. </w:t>
      </w:r>
      <w:bookmarkStart w:name="_Toc461868320" w:id="23"/>
      <w:r>
        <w:t xml:space="preserve">This is the same process followed for each of the previous surveys. </w:t>
      </w:r>
    </w:p>
    <w:bookmarkEnd w:id="23"/>
    <w:p w:rsidR="00E95811" w:rsidP="00E95811" w:rsidRDefault="00E95811" w14:paraId="1284A3D0" w14:textId="77777777">
      <w:pPr>
        <w:pStyle w:val="SL-FlLftSgl"/>
        <w:jc w:val="left"/>
        <w:rPr>
          <w:snapToGrid w:val="0"/>
        </w:rPr>
      </w:pPr>
    </w:p>
    <w:p w:rsidR="00E95811" w:rsidP="00E95811" w:rsidRDefault="00E95811" w14:paraId="058D2AA6" w14:textId="4889CF76">
      <w:pPr>
        <w:pStyle w:val="N2-2ndBullet"/>
        <w:keepNext/>
        <w:keepLines/>
        <w:numPr>
          <w:ilvl w:val="0"/>
          <w:numId w:val="47"/>
        </w:numPr>
        <w:ind w:left="1670"/>
        <w:jc w:val="left"/>
        <w:rPr>
          <w:b/>
        </w:rPr>
      </w:pPr>
      <w:r w:rsidRPr="005B15C0">
        <w:rPr>
          <w:b/>
        </w:rPr>
        <w:lastRenderedPageBreak/>
        <w:t>Nutrition-Congregate Meal</w:t>
      </w:r>
      <w:r>
        <w:rPr>
          <w:b/>
        </w:rPr>
        <w:t xml:space="preserve">s: </w:t>
      </w:r>
      <w:r>
        <w:t>If a respondent receives Congregate Meals, they will be asked a short questionnaire based on the Congregate Meals survey</w:t>
      </w:r>
      <w:r w:rsidR="00711F3F">
        <w:t>.</w:t>
      </w:r>
      <w:r>
        <w:t xml:space="preserve"> This questionnaire asks how long they have been attending the congregate meals program; how often they eat at the site; when the last time was they ate at the site; to rate the program; and how much of their food intake the meal provides on the days they eat at the site.</w:t>
      </w:r>
      <w:r w:rsidR="00711F3F">
        <w:t xml:space="preserve"> </w:t>
      </w:r>
    </w:p>
    <w:p w:rsidR="00E95811" w:rsidP="00E95811" w:rsidRDefault="00E95811" w14:paraId="13A9CBBE" w14:textId="2D2C5CA8">
      <w:pPr>
        <w:pStyle w:val="N2-2ndBullet"/>
        <w:numPr>
          <w:ilvl w:val="0"/>
          <w:numId w:val="47"/>
        </w:numPr>
        <w:jc w:val="left"/>
        <w:rPr>
          <w:b/>
        </w:rPr>
      </w:pPr>
      <w:r>
        <w:rPr>
          <w:b/>
        </w:rPr>
        <w:t xml:space="preserve">Nutrition-Home-delivered Meals: </w:t>
      </w:r>
      <w:r>
        <w:t>If a respondent receives Home-delivered Meals, they will be administered a short questionnaire based on the Home-delivered Meals survey. This questionnaire asks how long they have been receiving home-delivered meals; how often they receive home-delivered meals; when the last time was they received a meal; to rate the program; and how much of their food intake the meal provides on the days they receive home-delivered meals.</w:t>
      </w:r>
    </w:p>
    <w:p w:rsidR="00E95811" w:rsidP="00E95811" w:rsidRDefault="00E95811" w14:paraId="73F9FCA8" w14:textId="1905757A">
      <w:pPr>
        <w:pStyle w:val="N2-2ndBullet"/>
        <w:numPr>
          <w:ilvl w:val="0"/>
          <w:numId w:val="47"/>
        </w:numPr>
        <w:tabs>
          <w:tab w:val="clear" w:pos="1728"/>
        </w:tabs>
        <w:jc w:val="left"/>
      </w:pPr>
      <w:r>
        <w:rPr>
          <w:b/>
        </w:rPr>
        <w:t xml:space="preserve">Transportation: </w:t>
      </w:r>
      <w:r>
        <w:t xml:space="preserve">All service recipients who use transportation services will be interviewed using this survey module. The module asks how long they have been using the transportation; how often they use it; when the last time was they used it; trip purpose; to rate the transportation service; and about the number of times the respondent uses the service. </w:t>
      </w:r>
    </w:p>
    <w:p w:rsidRPr="00C1011B" w:rsidR="00E95811" w:rsidP="00E95811" w:rsidRDefault="00E95811" w14:paraId="585EA18E" w14:textId="3564EA62">
      <w:pPr>
        <w:pStyle w:val="N2-2ndBullet"/>
        <w:numPr>
          <w:ilvl w:val="0"/>
          <w:numId w:val="47"/>
        </w:numPr>
        <w:jc w:val="left"/>
        <w:rPr>
          <w:b/>
        </w:rPr>
      </w:pPr>
      <w:r>
        <w:rPr>
          <w:b/>
        </w:rPr>
        <w:t xml:space="preserve">Homemaker/Housekeeping: </w:t>
      </w:r>
      <w:r>
        <w:t>Q</w:t>
      </w:r>
      <w:r w:rsidRPr="005B15C0">
        <w:t>uestions on the impact of homecare</w:t>
      </w:r>
      <w:r>
        <w:t xml:space="preserve"> services will be asked of </w:t>
      </w:r>
      <w:r w:rsidRPr="005B15C0">
        <w:t>respondents who receive homemaker or housekeeping services</w:t>
      </w:r>
      <w:r>
        <w:t>. Again, the set of questions is similar to those asked of the other services:  how long respondents have been receiving homemaker services; how often they receive homemaker services; when the last time was they used the services; to rate the program; and if they can depend on their aides to do deliver the allotted services.</w:t>
      </w:r>
    </w:p>
    <w:p w:rsidR="00E95811" w:rsidP="00E95811" w:rsidRDefault="00E95811" w14:paraId="4168AD69" w14:textId="6BC2877F">
      <w:pPr>
        <w:pStyle w:val="N2-2ndBullet"/>
        <w:numPr>
          <w:ilvl w:val="0"/>
          <w:numId w:val="47"/>
        </w:numPr>
        <w:jc w:val="left"/>
      </w:pPr>
      <w:r>
        <w:rPr>
          <w:b/>
        </w:rPr>
        <w:t xml:space="preserve">Case Management: </w:t>
      </w:r>
      <w:r w:rsidRPr="00C1011B">
        <w:t>Se</w:t>
      </w:r>
      <w:r>
        <w:t>r</w:t>
      </w:r>
      <w:r w:rsidRPr="00C1011B">
        <w:t xml:space="preserve">vice recipients who receive </w:t>
      </w:r>
      <w:r>
        <w:t>case management</w:t>
      </w:r>
      <w:r w:rsidRPr="00C1011B">
        <w:t xml:space="preserve"> services will be asked questions about their experiences with the program</w:t>
      </w:r>
      <w:r>
        <w:t xml:space="preserve">. </w:t>
      </w:r>
      <w:r w:rsidRPr="00C1011B">
        <w:t xml:space="preserve">They will be asked: how long they have been receiving the services; how they would rate </w:t>
      </w:r>
      <w:r>
        <w:t xml:space="preserve">the various aspects of the case management services (e.g. ease of contact with the case managers; if the case managers understand their needs, etc.); to rate </w:t>
      </w:r>
      <w:r w:rsidRPr="00C1011B">
        <w:t xml:space="preserve">the services </w:t>
      </w:r>
      <w:r>
        <w:t xml:space="preserve">overall </w:t>
      </w:r>
      <w:r w:rsidRPr="00C1011B">
        <w:t>and if the</w:t>
      </w:r>
      <w:r>
        <w:t>y</w:t>
      </w:r>
      <w:r w:rsidRPr="00C1011B">
        <w:t xml:space="preserve"> </w:t>
      </w:r>
      <w:r>
        <w:t xml:space="preserve">contribute to the decisions about their care. </w:t>
      </w:r>
    </w:p>
    <w:p w:rsidR="00E95811" w:rsidP="00E95811" w:rsidRDefault="00E95811" w14:paraId="67D17367" w14:textId="599CA1F9">
      <w:pPr>
        <w:pStyle w:val="N2-2ndBullet"/>
        <w:numPr>
          <w:ilvl w:val="0"/>
          <w:numId w:val="47"/>
        </w:numPr>
        <w:jc w:val="left"/>
      </w:pPr>
      <w:r>
        <w:rPr>
          <w:b/>
        </w:rPr>
        <w:t xml:space="preserve">Service List: </w:t>
      </w:r>
      <w:r w:rsidRPr="00804C04">
        <w:t>All service recipients will then be asked about the mix of services they receive and the impact of those services</w:t>
      </w:r>
      <w:r>
        <w:t xml:space="preserve">. They will also be asked to rate the services overall. </w:t>
      </w:r>
    </w:p>
    <w:p w:rsidR="00E95811" w:rsidP="00E95811" w:rsidRDefault="00E95811" w14:paraId="69452396" w14:textId="36A22840">
      <w:pPr>
        <w:pStyle w:val="N2-2ndBullet"/>
        <w:numPr>
          <w:ilvl w:val="0"/>
          <w:numId w:val="47"/>
        </w:numPr>
        <w:jc w:val="left"/>
      </w:pPr>
      <w:r w:rsidRPr="005B15C0">
        <w:rPr>
          <w:b/>
        </w:rPr>
        <w:t>Physical Functioning</w:t>
      </w:r>
      <w:r>
        <w:rPr>
          <w:b/>
        </w:rPr>
        <w:t>:</w:t>
      </w:r>
      <w:r w:rsidRPr="005B15C0">
        <w:rPr>
          <w:snapToGrid w:val="0"/>
        </w:rPr>
        <w:t xml:space="preserve"> This mo</w:t>
      </w:r>
      <w:r>
        <w:rPr>
          <w:snapToGrid w:val="0"/>
        </w:rPr>
        <w:t>dule will be asked of all service</w:t>
      </w:r>
      <w:r w:rsidRPr="005B15C0">
        <w:rPr>
          <w:snapToGrid w:val="0"/>
        </w:rPr>
        <w:t xml:space="preserve"> recipients</w:t>
      </w:r>
      <w:r>
        <w:rPr>
          <w:snapToGrid w:val="0"/>
        </w:rPr>
        <w:t xml:space="preserve"> </w:t>
      </w:r>
      <w:r w:rsidRPr="00711F3F">
        <w:rPr>
          <w:snapToGrid w:val="0"/>
        </w:rPr>
        <w:t>(except C</w:t>
      </w:r>
      <w:r w:rsidRPr="00711F3F" w:rsidR="00711F3F">
        <w:rPr>
          <w:snapToGrid w:val="0"/>
        </w:rPr>
        <w:t>aregiver</w:t>
      </w:r>
      <w:r w:rsidRPr="00711F3F">
        <w:rPr>
          <w:snapToGrid w:val="0"/>
        </w:rPr>
        <w:t xml:space="preserve"> clients</w:t>
      </w:r>
      <w:r>
        <w:rPr>
          <w:snapToGrid w:val="0"/>
        </w:rPr>
        <w:t>)</w:t>
      </w:r>
      <w:r w:rsidRPr="005B15C0">
        <w:rPr>
          <w:snapToGrid w:val="0"/>
        </w:rPr>
        <w:t>. This survey module will include questions on</w:t>
      </w:r>
      <w:r>
        <w:rPr>
          <w:snapToGrid w:val="0"/>
        </w:rPr>
        <w:t>:</w:t>
      </w:r>
      <w:r w:rsidRPr="005B15C0">
        <w:rPr>
          <w:snapToGrid w:val="0"/>
        </w:rPr>
        <w:t xml:space="preserve"> Activit</w:t>
      </w:r>
      <w:r w:rsidR="00E570E0">
        <w:rPr>
          <w:snapToGrid w:val="0"/>
        </w:rPr>
        <w:t>ies</w:t>
      </w:r>
      <w:r w:rsidRPr="005B15C0">
        <w:rPr>
          <w:snapToGrid w:val="0"/>
        </w:rPr>
        <w:t xml:space="preserve"> of Daily Living limitations (e.g., difficulty with personal care activities such as bathing and dressing) and Instrumental Activit</w:t>
      </w:r>
      <w:r w:rsidR="00E570E0">
        <w:rPr>
          <w:snapToGrid w:val="0"/>
        </w:rPr>
        <w:t>ies</w:t>
      </w:r>
      <w:r w:rsidRPr="005B15C0">
        <w:rPr>
          <w:snapToGrid w:val="0"/>
        </w:rPr>
        <w:t xml:space="preserve"> of Daily Living limitations (e.g., difficulty with such home management activities as meal preparation, shopping, and housekeeping).</w:t>
      </w:r>
      <w:r w:rsidRPr="005B15C0">
        <w:t xml:space="preserve"> Questions about the respondents’ health </w:t>
      </w:r>
      <w:r>
        <w:t>are also being asked</w:t>
      </w:r>
      <w:r w:rsidRPr="005B15C0">
        <w:t>, to help with assessing the frailty of the clients served by OAA</w:t>
      </w:r>
      <w:r>
        <w:t xml:space="preserve"> services. Caregivers will be asked these questions about their care recipients.</w:t>
      </w:r>
    </w:p>
    <w:p w:rsidR="00E95811" w:rsidP="00E95811" w:rsidRDefault="00E95811" w14:paraId="1C732449" w14:textId="3FCB4378">
      <w:pPr>
        <w:pStyle w:val="N2-2ndBullet"/>
        <w:widowControl w:val="0"/>
        <w:numPr>
          <w:ilvl w:val="0"/>
          <w:numId w:val="47"/>
        </w:numPr>
        <w:spacing w:after="240" w:line="240" w:lineRule="auto"/>
        <w:rPr>
          <w:b/>
          <w:sz w:val="40"/>
          <w:szCs w:val="40"/>
        </w:rPr>
      </w:pPr>
      <w:r>
        <w:rPr>
          <w:b/>
          <w:szCs w:val="22"/>
        </w:rPr>
        <w:t xml:space="preserve">Emotional well-being: </w:t>
      </w:r>
      <w:r w:rsidRPr="00711F3F">
        <w:rPr>
          <w:szCs w:val="22"/>
        </w:rPr>
        <w:t>This module will be asked of all participants in the surveys, except caregivers. The questions</w:t>
      </w:r>
      <w:r>
        <w:rPr>
          <w:szCs w:val="22"/>
        </w:rPr>
        <w:t xml:space="preserve"> ask if the respondent has felt sad or depressed, worried or tense, and if they feel that they did not get enough rest, within the last thirty days. They are also asked to describe their overall emotional well-being by responding to a close-ended question (i.e., “Would you say…Excellent, Very Good, Good, Fair, or </w:t>
      </w:r>
      <w:r>
        <w:rPr>
          <w:szCs w:val="22"/>
        </w:rPr>
        <w:lastRenderedPageBreak/>
        <w:t xml:space="preserve">Poor?”).  </w:t>
      </w:r>
      <w:r>
        <w:rPr>
          <w:szCs w:val="22"/>
        </w:rPr>
        <w:tab/>
      </w:r>
      <w:r>
        <w:rPr>
          <w:szCs w:val="22"/>
        </w:rPr>
        <w:tab/>
      </w:r>
      <w:r>
        <w:rPr>
          <w:szCs w:val="22"/>
        </w:rPr>
        <w:tab/>
      </w:r>
      <w:r>
        <w:rPr>
          <w:szCs w:val="22"/>
        </w:rPr>
        <w:tab/>
      </w:r>
    </w:p>
    <w:p w:rsidRPr="002E75D1" w:rsidR="00E95811" w:rsidP="00E95811" w:rsidRDefault="00E95811" w14:paraId="0843C27D" w14:textId="6BEC65BF">
      <w:pPr>
        <w:pStyle w:val="N2-2ndBullet"/>
        <w:numPr>
          <w:ilvl w:val="0"/>
          <w:numId w:val="47"/>
        </w:numPr>
        <w:jc w:val="left"/>
        <w:rPr>
          <w:b/>
        </w:rPr>
      </w:pPr>
      <w:r w:rsidRPr="00763F3D">
        <w:rPr>
          <w:b/>
        </w:rPr>
        <w:t xml:space="preserve">Social Functioning: </w:t>
      </w:r>
      <w:r w:rsidRPr="00763F3D">
        <w:t xml:space="preserve">All service recipients </w:t>
      </w:r>
      <w:r w:rsidR="00772D29">
        <w:t xml:space="preserve">except caregivers </w:t>
      </w:r>
      <w:r w:rsidRPr="00763F3D">
        <w:t xml:space="preserve">will be asked </w:t>
      </w:r>
      <w:r w:rsidRPr="00E570E0">
        <w:t xml:space="preserve">four questions from the Social Functioning </w:t>
      </w:r>
      <w:r w:rsidR="00E570E0">
        <w:t xml:space="preserve">section of the </w:t>
      </w:r>
      <w:r w:rsidR="005C2D2A">
        <w:t>Short-Form Survey (</w:t>
      </w:r>
      <w:r w:rsidR="00E570E0">
        <w:t>SF-36</w:t>
      </w:r>
      <w:r w:rsidR="005C2D2A">
        <w:t>)</w:t>
      </w:r>
      <w:r w:rsidRPr="00E570E0">
        <w:t>.</w:t>
      </w:r>
      <w:r w:rsidRPr="00763F3D">
        <w:t xml:space="preserve"> These questions ask if the respondent</w:t>
      </w:r>
      <w:r w:rsidRPr="00AC5127">
        <w:t xml:space="preserve"> feels his or her social life is adequate and if health concerns have interfered with the ability to participate in social activities.</w:t>
      </w:r>
    </w:p>
    <w:p w:rsidRPr="00763F3D" w:rsidR="002E75D1" w:rsidP="00E95811" w:rsidRDefault="002E75D1" w14:paraId="447ACF53" w14:textId="0C13CB89">
      <w:pPr>
        <w:pStyle w:val="N2-2ndBullet"/>
        <w:numPr>
          <w:ilvl w:val="0"/>
          <w:numId w:val="47"/>
        </w:numPr>
        <w:jc w:val="left"/>
        <w:rPr>
          <w:b/>
        </w:rPr>
      </w:pPr>
      <w:r w:rsidRPr="00763F3D">
        <w:rPr>
          <w:b/>
        </w:rPr>
        <w:t>Falls</w:t>
      </w:r>
      <w:r w:rsidRPr="00763F3D" w:rsidR="00711F3F">
        <w:rPr>
          <w:b/>
        </w:rPr>
        <w:t xml:space="preserve">: </w:t>
      </w:r>
      <w:r w:rsidRPr="00763F3D" w:rsidR="00711F3F">
        <w:t xml:space="preserve">All service recipients </w:t>
      </w:r>
      <w:r w:rsidR="00772D29">
        <w:t xml:space="preserve">and caregivers </w:t>
      </w:r>
      <w:r w:rsidRPr="00763F3D" w:rsidR="00711F3F">
        <w:t>will be asked these five questions.</w:t>
      </w:r>
      <w:r w:rsidRPr="00763F3D" w:rsidR="00763F3D">
        <w:t xml:space="preserve"> The questions ask about falling and losing one’s balance.</w:t>
      </w:r>
    </w:p>
    <w:p w:rsidRPr="00763F3D" w:rsidR="002E75D1" w:rsidP="00E95811" w:rsidRDefault="002E75D1" w14:paraId="285BC8AA" w14:textId="1682F760">
      <w:pPr>
        <w:pStyle w:val="N2-2ndBullet"/>
        <w:numPr>
          <w:ilvl w:val="0"/>
          <w:numId w:val="47"/>
        </w:numPr>
        <w:jc w:val="left"/>
        <w:rPr>
          <w:b/>
        </w:rPr>
      </w:pPr>
      <w:r w:rsidRPr="00763F3D">
        <w:rPr>
          <w:b/>
        </w:rPr>
        <w:t>Social I</w:t>
      </w:r>
      <w:r w:rsidRPr="00763F3D" w:rsidR="00763F3D">
        <w:rPr>
          <w:b/>
        </w:rPr>
        <w:t>ntegration</w:t>
      </w:r>
      <w:r w:rsidR="00763F3D">
        <w:rPr>
          <w:b/>
        </w:rPr>
        <w:t xml:space="preserve">: </w:t>
      </w:r>
      <w:r w:rsidRPr="00763F3D" w:rsidR="00763F3D">
        <w:t xml:space="preserve">All service recipients </w:t>
      </w:r>
      <w:r w:rsidR="00772D29">
        <w:t xml:space="preserve">except caregivers </w:t>
      </w:r>
      <w:r w:rsidRPr="00763F3D" w:rsidR="00763F3D">
        <w:t>will be asked these f</w:t>
      </w:r>
      <w:r w:rsidR="00763F3D">
        <w:t>our</w:t>
      </w:r>
      <w:r w:rsidRPr="00763F3D" w:rsidR="00763F3D">
        <w:t xml:space="preserve"> questions</w:t>
      </w:r>
      <w:r w:rsidR="00763F3D">
        <w:t xml:space="preserve"> about social isolation.</w:t>
      </w:r>
    </w:p>
    <w:p w:rsidRPr="00E570E0" w:rsidR="002E75D1" w:rsidP="00E95811" w:rsidRDefault="002E75D1" w14:paraId="26999E45" w14:textId="63883AF5">
      <w:pPr>
        <w:pStyle w:val="N2-2ndBullet"/>
        <w:numPr>
          <w:ilvl w:val="0"/>
          <w:numId w:val="47"/>
        </w:numPr>
        <w:jc w:val="left"/>
      </w:pPr>
      <w:r w:rsidRPr="00E00C43">
        <w:rPr>
          <w:b/>
        </w:rPr>
        <w:t>Life Change</w:t>
      </w:r>
      <w:r w:rsidRPr="00E00C43" w:rsidR="008C3CF7">
        <w:rPr>
          <w:b/>
        </w:rPr>
        <w:t>s</w:t>
      </w:r>
      <w:r w:rsidRPr="00E00C43" w:rsidR="00E570E0">
        <w:rPr>
          <w:b/>
        </w:rPr>
        <w:t xml:space="preserve">: </w:t>
      </w:r>
      <w:r w:rsidRPr="00E00C43" w:rsidR="00E570E0">
        <w:t xml:space="preserve">All service recipients </w:t>
      </w:r>
      <w:r w:rsidR="00772D29">
        <w:t xml:space="preserve">except caregivers </w:t>
      </w:r>
      <w:r w:rsidRPr="00E00C43" w:rsidR="00E570E0">
        <w:t>will be asked this one question about why they sought out</w:t>
      </w:r>
      <w:r w:rsidRPr="00E570E0" w:rsidR="00E570E0">
        <w:t xml:space="preserve"> services.</w:t>
      </w:r>
    </w:p>
    <w:p w:rsidRPr="00397B4B" w:rsidR="00E95811" w:rsidP="00C42167" w:rsidRDefault="00E95811" w14:paraId="2A88F134" w14:textId="6FF525ED">
      <w:pPr>
        <w:pStyle w:val="N2-2ndBullet"/>
        <w:numPr>
          <w:ilvl w:val="0"/>
          <w:numId w:val="47"/>
        </w:numPr>
        <w:tabs>
          <w:tab w:val="clear" w:pos="1728"/>
          <w:tab w:val="left" w:pos="1100"/>
        </w:tabs>
        <w:jc w:val="left"/>
        <w:rPr>
          <w:b/>
        </w:rPr>
      </w:pPr>
      <w:r w:rsidRPr="0033511E">
        <w:rPr>
          <w:b/>
        </w:rPr>
        <w:t>National Fa</w:t>
      </w:r>
      <w:r>
        <w:rPr>
          <w:b/>
        </w:rPr>
        <w:t>mily Caregiver Support Program A</w:t>
      </w:r>
      <w:r w:rsidRPr="0033511E">
        <w:rPr>
          <w:b/>
        </w:rPr>
        <w:t>ssessment</w:t>
      </w:r>
      <w:r>
        <w:rPr>
          <w:b/>
        </w:rPr>
        <w:t xml:space="preserve">: </w:t>
      </w:r>
      <w:r w:rsidRPr="0033511E">
        <w:t xml:space="preserve">Caregivers who receive caregiver support services through the National Family Caregiver </w:t>
      </w:r>
      <w:r>
        <w:t xml:space="preserve">Support </w:t>
      </w:r>
      <w:r w:rsidRPr="0033511E">
        <w:t xml:space="preserve">Program </w:t>
      </w:r>
      <w:r>
        <w:t>will be surveyed as part of the 1</w:t>
      </w:r>
      <w:r w:rsidR="002E75D1">
        <w:t>5</w:t>
      </w:r>
      <w:r>
        <w:t>th</w:t>
      </w:r>
      <w:r w:rsidRPr="00104BE9">
        <w:t xml:space="preserve"> N</w:t>
      </w:r>
      <w:r>
        <w:t>SOAAP</w:t>
      </w:r>
      <w:r w:rsidRPr="0033511E">
        <w:t>. This module has questions on services offered to caregivers through the National Family Caregiver Support Program, and the impact of those services</w:t>
      </w:r>
      <w:r>
        <w:t xml:space="preserve">. </w:t>
      </w:r>
      <w:r w:rsidRPr="0033511E">
        <w:t xml:space="preserve">There are also questions about services the care recipient receives and satisfaction </w:t>
      </w:r>
      <w:r>
        <w:t xml:space="preserve">with </w:t>
      </w:r>
      <w:r w:rsidRPr="0033511E">
        <w:t xml:space="preserve">and impact of those services; support the caregiver receives, either as part of a formal support group or from other relatives and friends; and </w:t>
      </w:r>
      <w:r>
        <w:t>what</w:t>
      </w:r>
      <w:r w:rsidRPr="0033511E">
        <w:t xml:space="preserve"> kinds of </w:t>
      </w:r>
      <w:r>
        <w:t xml:space="preserve">other </w:t>
      </w:r>
      <w:r w:rsidRPr="0033511E">
        <w:t xml:space="preserve">information the caregiver would find valuable. The survey asks </w:t>
      </w:r>
      <w:r>
        <w:t xml:space="preserve">about </w:t>
      </w:r>
      <w:r w:rsidRPr="0033511E">
        <w:t xml:space="preserve">the type of help the caregiver provides for the </w:t>
      </w:r>
      <w:r>
        <w:t>care recipient</w:t>
      </w:r>
      <w:r w:rsidRPr="0033511E">
        <w:t>, the amount of time they provide care, benefits caregiving provides them (companionship, a sense of accomplishment, etc.), drawbacks of caregiving (financial burdens, lack of private time, etc.), and demographic and health information on the care recipient.</w:t>
      </w:r>
      <w:r>
        <w:t xml:space="preserve"> Three of the questions for this module were adapted from an AARP survey, </w:t>
      </w:r>
      <w:r w:rsidRPr="00A92D17">
        <w:rPr>
          <w:i/>
        </w:rPr>
        <w:t>Caregiving in the U.S</w:t>
      </w:r>
      <w:r w:rsidRPr="00A92D17" w:rsidR="00152542">
        <w:rPr>
          <w:rStyle w:val="FootnoteReference"/>
          <w:b/>
          <w:vertAlign w:val="superscript"/>
        </w:rPr>
        <w:footnoteReference w:customMarkFollows="1" w:id="8"/>
        <w:t>8</w:t>
      </w:r>
    </w:p>
    <w:p w:rsidRPr="00820559" w:rsidR="00E95811" w:rsidP="00C42167" w:rsidRDefault="00E95811" w14:paraId="629A2FC8" w14:textId="7E72E551">
      <w:pPr>
        <w:pStyle w:val="N2-2ndBullet"/>
        <w:numPr>
          <w:ilvl w:val="0"/>
          <w:numId w:val="47"/>
        </w:numPr>
        <w:tabs>
          <w:tab w:val="left" w:pos="1100"/>
        </w:tabs>
        <w:jc w:val="left"/>
        <w:rPr>
          <w:b/>
        </w:rPr>
      </w:pPr>
      <w:r w:rsidRPr="00475276">
        <w:rPr>
          <w:b/>
        </w:rPr>
        <w:t>Demographic information of the respondent</w:t>
      </w:r>
      <w:r>
        <w:rPr>
          <w:b/>
        </w:rPr>
        <w:t xml:space="preserve">: </w:t>
      </w:r>
      <w:r w:rsidRPr="00475276">
        <w:t>Demographic information about the respondent will be collected, including type of area of residence (urban, suburban, or rural), Zip Code, education level, race, gender, living arrangements (living alone, with spouse, or with others), and income level. This module will be administered to all participants. The caregiver survey already includes some demographic questions about the care recipient, but the demographic information on the caregiver will be gathered using this demographic module.</w:t>
      </w:r>
    </w:p>
    <w:p w:rsidRPr="00475276" w:rsidR="004671CB" w:rsidP="00C42167" w:rsidRDefault="004671CB" w14:paraId="18D4595A" w14:textId="0B6067BA">
      <w:pPr>
        <w:pStyle w:val="N2-2ndBullet"/>
        <w:numPr>
          <w:ilvl w:val="0"/>
          <w:numId w:val="47"/>
        </w:numPr>
        <w:tabs>
          <w:tab w:val="left" w:pos="1100"/>
        </w:tabs>
        <w:jc w:val="left"/>
        <w:rPr>
          <w:b/>
        </w:rPr>
      </w:pPr>
      <w:r>
        <w:rPr>
          <w:b/>
        </w:rPr>
        <w:t xml:space="preserve">COVID-19 Module: </w:t>
      </w:r>
      <w:r w:rsidRPr="00820559">
        <w:t xml:space="preserve">For 2021 only, </w:t>
      </w:r>
      <w:r w:rsidRPr="004671CB">
        <w:t>a</w:t>
      </w:r>
      <w:r w:rsidRPr="00820559">
        <w:t xml:space="preserve">ll service recipients and caregivers will be asked questions </w:t>
      </w:r>
      <w:r w:rsidRPr="004671CB">
        <w:rPr>
          <w:szCs w:val="22"/>
        </w:rPr>
        <w:t>about the effect COVID-19 h</w:t>
      </w:r>
      <w:r>
        <w:rPr>
          <w:szCs w:val="22"/>
        </w:rPr>
        <w:t>as had o</w:t>
      </w:r>
      <w:r w:rsidR="00820559">
        <w:rPr>
          <w:szCs w:val="22"/>
        </w:rPr>
        <w:t xml:space="preserve">n their </w:t>
      </w:r>
      <w:r w:rsidRPr="004671CB">
        <w:rPr>
          <w:szCs w:val="22"/>
        </w:rPr>
        <w:t>access to and use of Older</w:t>
      </w:r>
      <w:r w:rsidRPr="00171391">
        <w:rPr>
          <w:szCs w:val="22"/>
        </w:rPr>
        <w:t xml:space="preserve"> Americans Act programs and services during the past year.</w:t>
      </w:r>
    </w:p>
    <w:p w:rsidR="00E95811" w:rsidP="00C42167" w:rsidRDefault="00E95811" w14:paraId="5027E7F8" w14:textId="77777777">
      <w:pPr>
        <w:pStyle w:val="SL-FlLftSgl"/>
        <w:tabs>
          <w:tab w:val="left" w:pos="1100"/>
        </w:tabs>
        <w:jc w:val="left"/>
        <w:rPr>
          <w:snapToGrid w:val="0"/>
        </w:rPr>
      </w:pPr>
    </w:p>
    <w:p w:rsidR="00E95811" w:rsidP="00C42167" w:rsidRDefault="00E95811" w14:paraId="25FAE68B" w14:textId="5AE0DBE9">
      <w:pPr>
        <w:pStyle w:val="SL-FlLftSgl"/>
        <w:tabs>
          <w:tab w:val="left" w:pos="1100"/>
        </w:tabs>
        <w:jc w:val="left"/>
        <w:rPr>
          <w:snapToGrid w:val="0"/>
        </w:rPr>
      </w:pPr>
      <w:r>
        <w:rPr>
          <w:snapToGrid w:val="0"/>
        </w:rPr>
        <w:t xml:space="preserve">Many of the national survey questions come from such commonly used vehicles as the Survey of Income and Program Participation (SIPP), (e.g., the ADL and IADL questions), the Behavioral Risk Factor Surveillance System (BRFSS) surveys conducted within each state using </w:t>
      </w:r>
      <w:smartTag w:uri="urn:schemas-microsoft-com:office:smarttags" w:element="stockticker">
        <w:r>
          <w:rPr>
            <w:snapToGrid w:val="0"/>
          </w:rPr>
          <w:t>HHS</w:t>
        </w:r>
      </w:smartTag>
      <w:r>
        <w:rPr>
          <w:snapToGrid w:val="0"/>
        </w:rPr>
        <w:t>/CDC standard questions, and other existing surveys.</w:t>
      </w:r>
      <w:r w:rsidR="005C2D2A">
        <w:rPr>
          <w:snapToGrid w:val="0"/>
        </w:rPr>
        <w:t xml:space="preserve"> As mentioned previously, other questions were developed under the POMP contract, as well as with input </w:t>
      </w:r>
      <w:r w:rsidRPr="005C2D2A" w:rsidR="005C2D2A">
        <w:rPr>
          <w:snapToGrid w:val="0"/>
        </w:rPr>
        <w:t>from</w:t>
      </w:r>
      <w:r w:rsidR="005C2D2A">
        <w:rPr>
          <w:snapToGrid w:val="0"/>
        </w:rPr>
        <w:t xml:space="preserve"> an advisory panel of aging experts</w:t>
      </w:r>
      <w:r w:rsidR="000D153A">
        <w:rPr>
          <w:snapToGrid w:val="0"/>
        </w:rPr>
        <w:t xml:space="preserve"> under a Redesign contract</w:t>
      </w:r>
      <w:r w:rsidR="005C2D2A">
        <w:rPr>
          <w:snapToGrid w:val="0"/>
        </w:rPr>
        <w:t>.</w:t>
      </w:r>
      <w:r w:rsidRPr="005C2D2A" w:rsidR="005C2D2A">
        <w:rPr>
          <w:snapToGrid w:val="0"/>
        </w:rPr>
        <w:t xml:space="preserve"> </w:t>
      </w:r>
      <w:r w:rsidRPr="005C2D2A">
        <w:rPr>
          <w:snapToGrid w:val="0"/>
        </w:rPr>
        <w:t>The</w:t>
      </w:r>
      <w:r w:rsidRPr="005C2D2A" w:rsidR="005C2D2A">
        <w:rPr>
          <w:snapToGrid w:val="0"/>
        </w:rPr>
        <w:t xml:space="preserve"> survey </w:t>
      </w:r>
      <w:r w:rsidRPr="005C2D2A">
        <w:rPr>
          <w:snapToGrid w:val="0"/>
        </w:rPr>
        <w:t>instrument</w:t>
      </w:r>
      <w:r w:rsidRPr="005C2D2A" w:rsidR="005C2D2A">
        <w:rPr>
          <w:snapToGrid w:val="0"/>
        </w:rPr>
        <w:t xml:space="preserve"> for the 15</w:t>
      </w:r>
      <w:r w:rsidRPr="005C2D2A" w:rsidR="005C2D2A">
        <w:rPr>
          <w:snapToGrid w:val="0"/>
          <w:vertAlign w:val="superscript"/>
        </w:rPr>
        <w:t>th</w:t>
      </w:r>
      <w:r w:rsidRPr="005C2D2A" w:rsidR="005C2D2A">
        <w:rPr>
          <w:snapToGrid w:val="0"/>
        </w:rPr>
        <w:t xml:space="preserve"> NSOAAP is virtually the same as th</w:t>
      </w:r>
      <w:r w:rsidR="005C2D2A">
        <w:rPr>
          <w:snapToGrid w:val="0"/>
        </w:rPr>
        <w:t>e instrument</w:t>
      </w:r>
      <w:r w:rsidRPr="005C2D2A">
        <w:rPr>
          <w:snapToGrid w:val="0"/>
        </w:rPr>
        <w:t xml:space="preserve"> used for the previous </w:t>
      </w:r>
      <w:r w:rsidRPr="005C2D2A" w:rsidR="005C2D2A">
        <w:rPr>
          <w:snapToGrid w:val="0"/>
        </w:rPr>
        <w:t>14</w:t>
      </w:r>
      <w:r w:rsidRPr="005C2D2A" w:rsidR="005C2D2A">
        <w:rPr>
          <w:snapToGrid w:val="0"/>
          <w:vertAlign w:val="superscript"/>
        </w:rPr>
        <w:t>th</w:t>
      </w:r>
      <w:r w:rsidRPr="005C2D2A" w:rsidR="005C2D2A">
        <w:rPr>
          <w:snapToGrid w:val="0"/>
        </w:rPr>
        <w:t xml:space="preserve"> NSOAAP.</w:t>
      </w:r>
    </w:p>
    <w:p w:rsidR="00E95811" w:rsidP="00C42167" w:rsidRDefault="00E95811" w14:paraId="256B26FC" w14:textId="77777777">
      <w:pPr>
        <w:pStyle w:val="SL-FlLftSgl"/>
        <w:tabs>
          <w:tab w:val="left" w:pos="1100"/>
        </w:tabs>
        <w:jc w:val="left"/>
        <w:rPr>
          <w:snapToGrid w:val="0"/>
        </w:rPr>
      </w:pPr>
    </w:p>
    <w:p w:rsidR="00E95811" w:rsidP="00C42167" w:rsidRDefault="00E95811" w14:paraId="1AC345C6" w14:textId="77777777">
      <w:pPr>
        <w:tabs>
          <w:tab w:val="left" w:pos="1100"/>
        </w:tabs>
      </w:pPr>
    </w:p>
    <w:p w:rsidRPr="00C2728B" w:rsidR="00E95811" w:rsidP="00C42167" w:rsidRDefault="00FB61A4" w14:paraId="6F554F7D" w14:textId="5687966B">
      <w:pPr>
        <w:pStyle w:val="Heading1"/>
        <w:tabs>
          <w:tab w:val="left" w:pos="1100"/>
        </w:tabs>
        <w:ind w:left="1440" w:hanging="1440"/>
        <w:jc w:val="left"/>
        <w:rPr>
          <w:rFonts w:ascii="Franklin Gothic Medium" w:hAnsi="Franklin Gothic Medium"/>
          <w:color w:val="17365D" w:themeColor="text2" w:themeShade="BF"/>
          <w:sz w:val="32"/>
          <w:szCs w:val="32"/>
        </w:rPr>
      </w:pPr>
      <w:r>
        <w:rPr>
          <w:rFonts w:ascii="Franklin Gothic Medium" w:hAnsi="Franklin Gothic Medium"/>
          <w:color w:val="17365D" w:themeColor="text2" w:themeShade="BF"/>
          <w:sz w:val="32"/>
          <w:szCs w:val="32"/>
        </w:rPr>
        <w:t>B.3</w:t>
      </w:r>
      <w:r>
        <w:rPr>
          <w:rFonts w:ascii="Franklin Gothic Medium" w:hAnsi="Franklin Gothic Medium"/>
          <w:color w:val="17365D" w:themeColor="text2" w:themeShade="BF"/>
          <w:sz w:val="32"/>
          <w:szCs w:val="32"/>
        </w:rPr>
        <w:tab/>
      </w:r>
      <w:r>
        <w:rPr>
          <w:rFonts w:ascii="Franklin Gothic Medium" w:hAnsi="Franklin Gothic Medium"/>
          <w:color w:val="17365D" w:themeColor="text2" w:themeShade="BF"/>
          <w:sz w:val="32"/>
          <w:szCs w:val="32"/>
        </w:rPr>
        <w:tab/>
      </w:r>
      <w:r w:rsidRPr="00C2728B" w:rsidR="00E95811">
        <w:rPr>
          <w:rFonts w:ascii="Franklin Gothic Medium" w:hAnsi="Franklin Gothic Medium"/>
          <w:color w:val="17365D" w:themeColor="text2" w:themeShade="BF"/>
          <w:sz w:val="32"/>
          <w:szCs w:val="32"/>
        </w:rPr>
        <w:t>Methods to Maximize Response Rates and Deal with Nonresponse</w:t>
      </w:r>
    </w:p>
    <w:p w:rsidRPr="00311D9A" w:rsidR="00E95811" w:rsidP="00C42167" w:rsidRDefault="00E95811" w14:paraId="36D766BF" w14:textId="77777777">
      <w:pPr>
        <w:tabs>
          <w:tab w:val="left" w:pos="1100"/>
        </w:tabs>
        <w:rPr>
          <w:b/>
        </w:rPr>
      </w:pPr>
      <w:r w:rsidRPr="00311D9A">
        <w:rPr>
          <w:b/>
        </w:rPr>
        <w:t>Procedures for Eliciting Cooperation and Maximizing Response Rates among AAAs</w:t>
      </w:r>
    </w:p>
    <w:p w:rsidRPr="00311D9A" w:rsidR="00E95811" w:rsidP="00C42167" w:rsidRDefault="00E95811" w14:paraId="008D7C71" w14:textId="77777777">
      <w:pPr>
        <w:tabs>
          <w:tab w:val="left" w:pos="1100"/>
        </w:tabs>
        <w:rPr>
          <w:b/>
        </w:rPr>
      </w:pPr>
    </w:p>
    <w:p w:rsidR="00E95811" w:rsidP="00C42167" w:rsidRDefault="00E95811" w14:paraId="4EEBA05D" w14:textId="4831154C">
      <w:pPr>
        <w:pStyle w:val="SL-FlLftSgl"/>
        <w:tabs>
          <w:tab w:val="left" w:pos="1100"/>
        </w:tabs>
        <w:jc w:val="left"/>
      </w:pPr>
      <w:r>
        <w:t xml:space="preserve">Westat will use </w:t>
      </w:r>
      <w:r w:rsidR="003766BD">
        <w:t>a similar</w:t>
      </w:r>
      <w:r>
        <w:t xml:space="preserve"> procedure to select respondents for the 1</w:t>
      </w:r>
      <w:r w:rsidR="003766BD">
        <w:t>5</w:t>
      </w:r>
      <w:r>
        <w:t xml:space="preserve">th National Survey of OAA Participants as it did in the previous </w:t>
      </w:r>
      <w:r w:rsidRPr="007C29DB" w:rsidR="003766BD">
        <w:t>seven</w:t>
      </w:r>
      <w:r w:rsidRPr="00E00C43">
        <w:t xml:space="preserve"> surveys, which proved very successful. As part of the recruitment procedures, Westat initially contacts</w:t>
      </w:r>
      <w:r>
        <w:t xml:space="preserve"> the AAAs by sending </w:t>
      </w:r>
      <w:r w:rsidR="0033495C">
        <w:t xml:space="preserve">via email </w:t>
      </w:r>
      <w:r>
        <w:t>an introductory letter from ACL and an information package about the survey. A copy of these materials is also sent to each State Unit on Aging that had AAAs sampled for the survey. (See Appendi</w:t>
      </w:r>
      <w:r w:rsidR="0033495C">
        <w:t xml:space="preserve">x </w:t>
      </w:r>
      <w:r w:rsidR="005849AC">
        <w:t>G</w:t>
      </w:r>
      <w:r w:rsidRPr="00C73A78">
        <w:t xml:space="preserve"> for</w:t>
      </w:r>
      <w:r>
        <w:t xml:space="preserve"> the </w:t>
      </w:r>
      <w:r w:rsidR="0033495C">
        <w:t xml:space="preserve">ACL </w:t>
      </w:r>
      <w:r>
        <w:t>letter sent to the State</w:t>
      </w:r>
      <w:r w:rsidR="0016258C">
        <w:t xml:space="preserve"> Units on Aging; </w:t>
      </w:r>
      <w:r w:rsidR="0033495C">
        <w:t>A</w:t>
      </w:r>
      <w:r w:rsidR="0016258C">
        <w:t xml:space="preserve">ppendix </w:t>
      </w:r>
      <w:r w:rsidR="005849AC">
        <w:t>H</w:t>
      </w:r>
      <w:r w:rsidR="0016258C">
        <w:t xml:space="preserve"> for the ACL letter sent to the AAAs;</w:t>
      </w:r>
      <w:r>
        <w:t xml:space="preserve"> and </w:t>
      </w:r>
      <w:r w:rsidR="0033495C">
        <w:t xml:space="preserve">Appendix </w:t>
      </w:r>
      <w:r w:rsidR="005849AC">
        <w:t>I</w:t>
      </w:r>
      <w:r w:rsidR="0016258C">
        <w:t xml:space="preserve"> instructions/</w:t>
      </w:r>
      <w:r>
        <w:t xml:space="preserve">information package sent to the AAAs.) Following up by </w:t>
      </w:r>
      <w:r w:rsidR="003766BD">
        <w:t>email and telephone,</w:t>
      </w:r>
      <w:r>
        <w:t xml:space="preserve"> the Westat research team works closely with each participating AAA to generate numbered lists of clients (using client ID numbers) by service for the client sample frame. The Westat research team uses the numbered lists of client ID numbers for the random selection of the respondents to be interviewed. To complete the random sampling process, Westat research team members enter the total numbers of participants by service into a computer sampling program. The sampling program randomly selects line numbers from the numbered lists of clients. The number of clients to select per service is already entered into the program. </w:t>
      </w:r>
      <w:r w:rsidRPr="007C29DB">
        <w:t>Westat informs the AAAs of the selected line numbers. The AAAs then provide the participant names and telephone numbers associated with those line numbers to Westat.</w:t>
      </w:r>
      <w:r>
        <w:t xml:space="preserve"> </w:t>
      </w:r>
    </w:p>
    <w:p w:rsidR="00E95811" w:rsidP="00C42167" w:rsidRDefault="00E95811" w14:paraId="4073FB29" w14:textId="77777777">
      <w:pPr>
        <w:pStyle w:val="SL-FlLftSgl"/>
        <w:tabs>
          <w:tab w:val="left" w:pos="1100"/>
        </w:tabs>
        <w:jc w:val="left"/>
      </w:pPr>
    </w:p>
    <w:p w:rsidRPr="005F0992" w:rsidR="00E95811" w:rsidP="00C42167" w:rsidRDefault="00E95811" w14:paraId="3C771E00" w14:textId="50E2970C">
      <w:pPr>
        <w:pStyle w:val="SL-FlLftSgl"/>
        <w:tabs>
          <w:tab w:val="left" w:pos="1100"/>
        </w:tabs>
        <w:jc w:val="left"/>
        <w:rPr>
          <w:szCs w:val="22"/>
        </w:rPr>
      </w:pPr>
      <w:r>
        <w:t xml:space="preserve">Westat research assistants serving as recruitment specialists will encourage the participation of all selected agencies by establishing rapport with contacts within each agency, coaching them on how to generate their client lists, and assuring them that the time involved for them to complete the participant selection procedures will be minimal. </w:t>
      </w:r>
      <w:r w:rsidRPr="007C29DB">
        <w:t>For agencies that refuse to participate, Westat will send them a refusal conversion letter (already developed for the previous surveys), and call them one more time to try to gain their cooperation. Once an agency refuses a second time, Westat will not try to contact them again.</w:t>
      </w:r>
      <w:r w:rsidRPr="000D153A">
        <w:t xml:space="preserve"> </w:t>
      </w:r>
      <w:r>
        <w:t xml:space="preserve">Westat will </w:t>
      </w:r>
      <w:r w:rsidR="000D153A">
        <w:t xml:space="preserve">also work with ACL to communicate with ACL Regional Administrators for help in persuading reluctant AAAs to participate. </w:t>
      </w:r>
      <w:r>
        <w:t xml:space="preserve">Additionally, to promote agency participation, we plan to gain the endorsement and support of the National Association for Agencies on Aging (N4A), as </w:t>
      </w:r>
      <w:r w:rsidRPr="000B0686">
        <w:rPr>
          <w:szCs w:val="22"/>
        </w:rPr>
        <w:t>well as</w:t>
      </w:r>
      <w:r w:rsidRPr="005F0992">
        <w:rPr>
          <w:szCs w:val="22"/>
        </w:rPr>
        <w:t xml:space="preserve"> </w:t>
      </w:r>
      <w:r>
        <w:rPr>
          <w:szCs w:val="22"/>
        </w:rPr>
        <w:t xml:space="preserve">the </w:t>
      </w:r>
      <w:r w:rsidR="00AE024B">
        <w:rPr>
          <w:szCs w:val="22"/>
        </w:rPr>
        <w:t xml:space="preserve">Advancing States [formerly known as the </w:t>
      </w:r>
      <w:r w:rsidRPr="00397F2D">
        <w:rPr>
          <w:color w:val="000000"/>
          <w:szCs w:val="22"/>
          <w:lang w:val="en"/>
        </w:rPr>
        <w:t>National Association of States United for Aging and Disabilities (NASUAD)</w:t>
      </w:r>
      <w:r w:rsidR="00AE024B">
        <w:rPr>
          <w:szCs w:val="22"/>
        </w:rPr>
        <w:t>].</w:t>
      </w:r>
    </w:p>
    <w:p w:rsidR="00E95811" w:rsidP="00C42167" w:rsidRDefault="00E95811" w14:paraId="40C6B221" w14:textId="77777777">
      <w:pPr>
        <w:pStyle w:val="SL-FlLftSgl"/>
        <w:tabs>
          <w:tab w:val="left" w:pos="1100"/>
        </w:tabs>
        <w:jc w:val="left"/>
      </w:pPr>
    </w:p>
    <w:p w:rsidR="00E95811" w:rsidP="00C42167" w:rsidRDefault="00E95811" w14:paraId="21AC6472" w14:textId="77777777">
      <w:pPr>
        <w:pStyle w:val="SL-FlLftSgl"/>
        <w:tabs>
          <w:tab w:val="left" w:pos="1100"/>
        </w:tabs>
        <w:jc w:val="left"/>
      </w:pPr>
      <w:r>
        <w:t>To reduce the burden for the AAAs, Westat works with software vendors of commercial client tracking software programs commonly used by AAAs to develop step-by-step instructions for creating numbered lists of client ID numbers by service</w:t>
      </w:r>
      <w:r w:rsidRPr="000D153A">
        <w:t xml:space="preserve">. </w:t>
      </w:r>
      <w:r w:rsidRPr="007C29DB">
        <w:t>By using agency-assigned client ID numbers to generate numbered lists of clients for the participant sample frame, Westat is able to screen the lists for duplicate client entries. Additionally, the use of agency-assigned client ID numbers helps to decrease the amount of personally identifiable client contact information collected by Westat during the survey</w:t>
      </w:r>
      <w:r w:rsidRPr="000D153A">
        <w:t>.</w:t>
      </w:r>
      <w:r>
        <w:t xml:space="preserve"> </w:t>
      </w:r>
    </w:p>
    <w:p w:rsidR="00E95811" w:rsidP="00C42167" w:rsidRDefault="00E95811" w14:paraId="6D9635B0" w14:textId="77777777">
      <w:pPr>
        <w:pStyle w:val="SL-FlLftSgl"/>
        <w:tabs>
          <w:tab w:val="left" w:pos="1100"/>
        </w:tabs>
        <w:jc w:val="left"/>
      </w:pPr>
    </w:p>
    <w:p w:rsidR="00E95811" w:rsidP="00C42167" w:rsidRDefault="00E95811" w14:paraId="36969DB2" w14:textId="77777777">
      <w:pPr>
        <w:pStyle w:val="SL-FlLftSgl"/>
        <w:tabs>
          <w:tab w:val="left" w:pos="1100"/>
        </w:tabs>
        <w:jc w:val="left"/>
      </w:pPr>
      <w:r>
        <w:t xml:space="preserve">Numbered lists will be developed for the following services: home delivered meals, congregate meals, transportation, case management, and homemaker services, as well as caregivers who are served by the National Family Caregiver Support Program. </w:t>
      </w:r>
    </w:p>
    <w:p w:rsidR="00E95811" w:rsidP="00C42167" w:rsidRDefault="00E95811" w14:paraId="4B2C79C6" w14:textId="77777777">
      <w:pPr>
        <w:pStyle w:val="SL-FlLftSgl"/>
        <w:tabs>
          <w:tab w:val="left" w:pos="1100"/>
        </w:tabs>
        <w:jc w:val="left"/>
      </w:pPr>
      <w:r>
        <w:t xml:space="preserve"> </w:t>
      </w:r>
    </w:p>
    <w:p w:rsidR="00E95811" w:rsidP="00C42167" w:rsidRDefault="00E95811" w14:paraId="3E519EE7" w14:textId="2A211495">
      <w:pPr>
        <w:pStyle w:val="SL-FlLftSgl"/>
        <w:keepNext/>
        <w:keepLines/>
        <w:tabs>
          <w:tab w:val="left" w:pos="1100"/>
        </w:tabs>
        <w:jc w:val="left"/>
      </w:pPr>
      <w:r w:rsidRPr="007C29DB">
        <w:lastRenderedPageBreak/>
        <w:t xml:space="preserve">To ensure a high participant response rate, </w:t>
      </w:r>
      <w:r w:rsidRPr="007C29DB" w:rsidR="000D153A">
        <w:t>Westat</w:t>
      </w:r>
      <w:r w:rsidRPr="007C29DB">
        <w:t xml:space="preserve"> will send participants who are eligible for the telephone survey a letter before they are contacted by an interviewer. The letters will be on each A</w:t>
      </w:r>
      <w:r w:rsidRPr="007C29DB" w:rsidR="000D153A">
        <w:t>CL’</w:t>
      </w:r>
      <w:r w:rsidRPr="007C29DB">
        <w:t>s letterhead,</w:t>
      </w:r>
      <w:r w:rsidRPr="007C29DB" w:rsidR="000D153A">
        <w:t xml:space="preserve"> with toll-free phone numbers provided to answer participants’ questions.</w:t>
      </w:r>
      <w:r w:rsidRPr="000D153A">
        <w:t xml:space="preserve"> Westat will attempt to contact participants at different times of the day and different days of the week to maximize the possibility of contact. Westat is also experienced in refusal conversion procedures, having achieved a refusal conversion rate of </w:t>
      </w:r>
      <w:r w:rsidRPr="007C29DB">
        <w:t>40</w:t>
      </w:r>
      <w:r w:rsidRPr="000D153A">
        <w:t xml:space="preserve"> percent for the earlier surveys.</w:t>
      </w:r>
      <w:r>
        <w:t xml:space="preserve"> </w:t>
      </w:r>
      <w:r w:rsidR="0016258C">
        <w:t xml:space="preserve">(See Appendix </w:t>
      </w:r>
      <w:r w:rsidR="00745536">
        <w:t>F)</w:t>
      </w:r>
      <w:r w:rsidR="0016258C">
        <w:t xml:space="preserve"> </w:t>
      </w:r>
    </w:p>
    <w:p w:rsidR="00E95811" w:rsidP="00C42167" w:rsidRDefault="00E95811" w14:paraId="5C49CB2C" w14:textId="77777777">
      <w:pPr>
        <w:pStyle w:val="SL-FlLftSgl"/>
        <w:tabs>
          <w:tab w:val="left" w:pos="1100"/>
        </w:tabs>
        <w:jc w:val="left"/>
      </w:pPr>
    </w:p>
    <w:p w:rsidRPr="00C2728B" w:rsidR="00E95811" w:rsidP="00C42167" w:rsidRDefault="00FB61A4" w14:paraId="16044D39" w14:textId="3D9FA210">
      <w:pPr>
        <w:pStyle w:val="SL-FlLftSgl"/>
        <w:tabs>
          <w:tab w:val="left" w:pos="1100"/>
        </w:tabs>
        <w:spacing w:before="240"/>
        <w:jc w:val="left"/>
        <w:rPr>
          <w:rFonts w:ascii="Franklin Gothic Medium" w:hAnsi="Franklin Gothic Medium"/>
          <w:b/>
          <w:color w:val="17365D" w:themeColor="text2" w:themeShade="BF"/>
          <w:sz w:val="32"/>
          <w:szCs w:val="32"/>
        </w:rPr>
      </w:pPr>
      <w:r>
        <w:rPr>
          <w:rFonts w:ascii="Franklin Gothic Medium" w:hAnsi="Franklin Gothic Medium"/>
          <w:b/>
          <w:color w:val="17365D" w:themeColor="text2" w:themeShade="BF"/>
          <w:sz w:val="32"/>
          <w:szCs w:val="32"/>
        </w:rPr>
        <w:t>B.4</w:t>
      </w:r>
      <w:r>
        <w:rPr>
          <w:rFonts w:ascii="Franklin Gothic Medium" w:hAnsi="Franklin Gothic Medium"/>
          <w:b/>
          <w:color w:val="17365D" w:themeColor="text2" w:themeShade="BF"/>
          <w:sz w:val="32"/>
          <w:szCs w:val="32"/>
        </w:rPr>
        <w:tab/>
      </w:r>
      <w:r>
        <w:rPr>
          <w:rFonts w:ascii="Franklin Gothic Medium" w:hAnsi="Franklin Gothic Medium"/>
          <w:b/>
          <w:color w:val="17365D" w:themeColor="text2" w:themeShade="BF"/>
          <w:sz w:val="32"/>
          <w:szCs w:val="32"/>
        </w:rPr>
        <w:tab/>
      </w:r>
      <w:r w:rsidRPr="00C2728B" w:rsidR="00E95811">
        <w:rPr>
          <w:rFonts w:ascii="Franklin Gothic Medium" w:hAnsi="Franklin Gothic Medium"/>
          <w:b/>
          <w:color w:val="17365D" w:themeColor="text2" w:themeShade="BF"/>
          <w:sz w:val="32"/>
          <w:szCs w:val="32"/>
        </w:rPr>
        <w:t>Tests of Procedures or Methods to Be Undertaken</w:t>
      </w:r>
    </w:p>
    <w:p w:rsidRPr="001E17A9" w:rsidR="00E95811" w:rsidP="00C42167" w:rsidRDefault="00E95811" w14:paraId="3E134F4F" w14:textId="77777777">
      <w:pPr>
        <w:pStyle w:val="SL-FlLftSgl"/>
        <w:tabs>
          <w:tab w:val="left" w:pos="1100"/>
        </w:tabs>
        <w:jc w:val="left"/>
        <w:rPr>
          <w:rFonts w:ascii="Franklin Gothic Medium" w:hAnsi="Franklin Gothic Medium"/>
          <w:color w:val="1F497D" w:themeColor="text2"/>
        </w:rPr>
      </w:pPr>
    </w:p>
    <w:p w:rsidR="00E95811" w:rsidP="00C42167" w:rsidRDefault="00E95811" w14:paraId="0E4AC493" w14:textId="4F4B7732">
      <w:pPr>
        <w:pStyle w:val="SL-FlLftSgl"/>
        <w:tabs>
          <w:tab w:val="left" w:pos="1100"/>
        </w:tabs>
        <w:jc w:val="left"/>
      </w:pPr>
      <w:r w:rsidRPr="00A20385">
        <w:t>As discussed in earlier sections, the individual service modules and the modules on physical functioning, quality of life, and demographics have all been field tested and validated by the POMP participants. For example, for each module the POMP grantees drew samples of service recipients, administered the modules, and analyzed the data. The POMP grantees revised the items on the modules</w:t>
      </w:r>
      <w:r>
        <w:t xml:space="preserve"> based on the results of the field tests and validity studies.</w:t>
      </w:r>
      <w:r w:rsidR="00AE024B">
        <w:t xml:space="preserve"> </w:t>
      </w:r>
      <w:r w:rsidR="005217E1">
        <w:t>Some new questions added for the 14</w:t>
      </w:r>
      <w:r w:rsidRPr="007C29DB" w:rsidR="005217E1">
        <w:rPr>
          <w:vertAlign w:val="superscript"/>
        </w:rPr>
        <w:t>th</w:t>
      </w:r>
      <w:r w:rsidR="005217E1">
        <w:t xml:space="preserve"> NSOAAP </w:t>
      </w:r>
      <w:r w:rsidR="00A20385">
        <w:t xml:space="preserve">(Life Changes, Social Integration, Falls) </w:t>
      </w:r>
      <w:r w:rsidR="005217E1">
        <w:t>were developed by an advisory panel of aging experts and cognitively-tested under a separate NSOAAP Redesign contract.</w:t>
      </w:r>
    </w:p>
    <w:p w:rsidR="005217E1" w:rsidP="00C42167" w:rsidRDefault="005217E1" w14:paraId="78BC5520" w14:textId="77777777">
      <w:pPr>
        <w:pStyle w:val="SL-FlLftSgl"/>
        <w:tabs>
          <w:tab w:val="left" w:pos="1100"/>
        </w:tabs>
        <w:jc w:val="left"/>
      </w:pPr>
    </w:p>
    <w:p w:rsidR="00374CCE" w:rsidP="00C42167" w:rsidRDefault="00E95811" w14:paraId="5B24EF2B" w14:textId="381666EA">
      <w:pPr>
        <w:pStyle w:val="SL-FlLftSgl"/>
        <w:tabs>
          <w:tab w:val="left" w:pos="1100"/>
        </w:tabs>
        <w:jc w:val="left"/>
      </w:pPr>
      <w:r w:rsidRPr="007C29DB">
        <w:t>The majority</w:t>
      </w:r>
      <w:r w:rsidRPr="005217E1">
        <w:t xml:space="preserve"> of the items on the survey instrument for the 1</w:t>
      </w:r>
      <w:r w:rsidRPr="005217E1" w:rsidR="00AE024B">
        <w:t>5</w:t>
      </w:r>
      <w:r w:rsidRPr="005217E1">
        <w:t xml:space="preserve">th National Survey are from the </w:t>
      </w:r>
      <w:r w:rsidRPr="007C29DB">
        <w:t>previous</w:t>
      </w:r>
      <w:r w:rsidRPr="005217E1">
        <w:t xml:space="preserve"> survey instruments. Over the years, several items have been removed from the survey instrument because of ambiguity of the wording or in cases where the results of the item showed no variation across response options.</w:t>
      </w:r>
    </w:p>
    <w:p w:rsidR="001B1F55" w:rsidP="00C42167" w:rsidRDefault="001B1F55" w14:paraId="19F23770" w14:textId="00D74E20">
      <w:pPr>
        <w:pStyle w:val="SL-FlLftSgl"/>
        <w:tabs>
          <w:tab w:val="left" w:pos="1100"/>
        </w:tabs>
        <w:jc w:val="left"/>
      </w:pPr>
    </w:p>
    <w:p w:rsidR="001B1F55" w:rsidP="00C42167" w:rsidRDefault="001B1F55" w14:paraId="5EDCC42A" w14:textId="744FF956">
      <w:pPr>
        <w:tabs>
          <w:tab w:val="left" w:pos="1100"/>
        </w:tabs>
        <w:spacing w:line="240" w:lineRule="auto"/>
        <w:jc w:val="left"/>
      </w:pPr>
    </w:p>
    <w:p w:rsidR="001B1F55" w:rsidP="00C42167" w:rsidRDefault="001B1F55" w14:paraId="490647E8" w14:textId="77777777">
      <w:pPr>
        <w:pStyle w:val="SL-FlLftSgl"/>
        <w:tabs>
          <w:tab w:val="left" w:pos="1100"/>
        </w:tabs>
        <w:jc w:val="left"/>
        <w:sectPr w:rsidR="001B1F55" w:rsidSect="009B1C18">
          <w:footerReference w:type="default" r:id="rId26"/>
          <w:footerReference w:type="first" r:id="rId27"/>
          <w:pgSz w:w="12240" w:h="15840" w:code="1"/>
          <w:pgMar w:top="1728" w:right="1440" w:bottom="1728" w:left="1440" w:header="720" w:footer="576" w:gutter="0"/>
          <w:pgNumType w:start="1"/>
          <w:cols w:space="720"/>
          <w:noEndnote/>
          <w:docGrid w:linePitch="299"/>
        </w:sectPr>
      </w:pPr>
    </w:p>
    <w:p w:rsidRPr="00C2728B" w:rsidR="00A739D2" w:rsidP="00C42167" w:rsidRDefault="00FB61A4" w14:paraId="3F7E3F83" w14:textId="7659B74C">
      <w:pPr>
        <w:pStyle w:val="Heading1"/>
        <w:keepLines/>
        <w:tabs>
          <w:tab w:val="left" w:pos="1100"/>
        </w:tabs>
        <w:spacing w:after="0"/>
        <w:ind w:left="1440" w:hanging="1440"/>
        <w:jc w:val="left"/>
        <w:rPr>
          <w:rFonts w:ascii="Franklin Gothic Medium" w:hAnsi="Franklin Gothic Medium"/>
          <w:color w:val="17365D" w:themeColor="text2" w:themeShade="BF"/>
          <w:sz w:val="32"/>
          <w:szCs w:val="32"/>
        </w:rPr>
      </w:pPr>
      <w:r>
        <w:rPr>
          <w:rFonts w:ascii="Franklin Gothic Medium" w:hAnsi="Franklin Gothic Medium"/>
          <w:color w:val="17365D" w:themeColor="text2" w:themeShade="BF"/>
          <w:sz w:val="32"/>
          <w:szCs w:val="32"/>
        </w:rPr>
        <w:lastRenderedPageBreak/>
        <w:t>B.5</w:t>
      </w:r>
      <w:r>
        <w:rPr>
          <w:rFonts w:ascii="Franklin Gothic Medium" w:hAnsi="Franklin Gothic Medium"/>
          <w:color w:val="17365D" w:themeColor="text2" w:themeShade="BF"/>
          <w:sz w:val="32"/>
          <w:szCs w:val="32"/>
        </w:rPr>
        <w:tab/>
      </w:r>
      <w:r>
        <w:rPr>
          <w:rFonts w:ascii="Franklin Gothic Medium" w:hAnsi="Franklin Gothic Medium"/>
          <w:color w:val="17365D" w:themeColor="text2" w:themeShade="BF"/>
          <w:sz w:val="32"/>
          <w:szCs w:val="32"/>
        </w:rPr>
        <w:tab/>
      </w:r>
      <w:r w:rsidRPr="00C2728B" w:rsidR="00A739D2">
        <w:rPr>
          <w:rFonts w:ascii="Franklin Gothic Medium" w:hAnsi="Franklin Gothic Medium"/>
          <w:color w:val="17365D" w:themeColor="text2" w:themeShade="BF"/>
          <w:sz w:val="32"/>
          <w:szCs w:val="32"/>
        </w:rPr>
        <w:t xml:space="preserve">Individuals Consulted on Statistical Aspects and Individuals Collecting and/or Analyzing Data </w:t>
      </w:r>
    </w:p>
    <w:p w:rsidR="00A739D2" w:rsidP="00C42167" w:rsidRDefault="00A739D2" w14:paraId="69575B0E" w14:textId="77777777">
      <w:pPr>
        <w:pStyle w:val="SL-FlLftSgl"/>
        <w:keepNext/>
        <w:keepLines/>
        <w:tabs>
          <w:tab w:val="left" w:pos="1100"/>
        </w:tabs>
        <w:jc w:val="left"/>
      </w:pPr>
    </w:p>
    <w:p w:rsidR="00A739D2" w:rsidP="00C42167" w:rsidRDefault="00A739D2" w14:paraId="574D1974" w14:textId="2A2AAD38">
      <w:pPr>
        <w:pStyle w:val="SL-FlLftSgl"/>
        <w:keepNext/>
        <w:keepLines/>
        <w:tabs>
          <w:tab w:val="left" w:pos="1100"/>
        </w:tabs>
        <w:jc w:val="left"/>
      </w:pPr>
      <w:r>
        <w:t>The use of statistical sampling methods is critical to this survey. Under the supervision of A</w:t>
      </w:r>
      <w:r w:rsidR="00AE024B">
        <w:t>CL</w:t>
      </w:r>
      <w:r>
        <w:t>, Westat is responsible for selecting the sample, conducting the interviews, data weighting and data analysis.  Below are the names and contact information of individuals responsible for the statistical aspects of the study and individual collection and/or analysis of the data.</w:t>
      </w:r>
    </w:p>
    <w:p w:rsidR="00A739D2" w:rsidP="00C42167" w:rsidRDefault="00A739D2" w14:paraId="43D64A29" w14:textId="77777777">
      <w:pPr>
        <w:pStyle w:val="SL-FlLftSgl"/>
        <w:keepNext/>
        <w:keepLines/>
        <w:tabs>
          <w:tab w:val="left" w:pos="1100"/>
        </w:tabs>
        <w:jc w:val="left"/>
      </w:pPr>
    </w:p>
    <w:p w:rsidR="00A739D2" w:rsidP="00C42167" w:rsidRDefault="00A739D2" w14:paraId="0EE7EAA1" w14:textId="77777777">
      <w:pPr>
        <w:pStyle w:val="SL-FlLftSgl"/>
        <w:keepNext/>
        <w:keepLines/>
        <w:tabs>
          <w:tab w:val="left" w:pos="1100"/>
        </w:tabs>
        <w:jc w:val="left"/>
      </w:pPr>
    </w:p>
    <w:p w:rsidR="00A739D2" w:rsidP="00C42167" w:rsidRDefault="00A739D2" w14:paraId="7220CCE5" w14:textId="77777777">
      <w:pPr>
        <w:keepNext/>
        <w:keepLines/>
        <w:tabs>
          <w:tab w:val="left" w:pos="1100"/>
        </w:tabs>
        <w:jc w:val="left"/>
        <w:rPr>
          <w:b/>
        </w:rPr>
      </w:pPr>
      <w:r w:rsidRPr="00AD68CD">
        <w:rPr>
          <w:b/>
        </w:rPr>
        <w:t xml:space="preserve">Administration </w:t>
      </w:r>
      <w:r>
        <w:rPr>
          <w:b/>
        </w:rPr>
        <w:t>for Community Living/Administration for Aging Personnel</w:t>
      </w:r>
      <w:r w:rsidRPr="00AD68CD">
        <w:rPr>
          <w:b/>
        </w:rPr>
        <w:t xml:space="preserve"> Responsible for Deliverables</w:t>
      </w:r>
    </w:p>
    <w:p w:rsidR="00A739D2" w:rsidP="00C42167" w:rsidRDefault="00A739D2" w14:paraId="6F61660C" w14:textId="77777777">
      <w:pPr>
        <w:keepNext/>
        <w:keepLines/>
        <w:tabs>
          <w:tab w:val="left" w:pos="1100"/>
        </w:tabs>
        <w:rPr>
          <w:b/>
        </w:rPr>
      </w:pPr>
    </w:p>
    <w:p w:rsidRPr="007C29DB" w:rsidR="00AE024B" w:rsidP="00C42167" w:rsidRDefault="00AE024B" w14:paraId="76401B45" w14:textId="77777777">
      <w:pPr>
        <w:tabs>
          <w:tab w:val="left" w:pos="1100"/>
        </w:tabs>
        <w:rPr>
          <w:color w:val="000000"/>
          <w:szCs w:val="22"/>
        </w:rPr>
      </w:pPr>
      <w:r w:rsidRPr="007C29DB">
        <w:rPr>
          <w:color w:val="000000"/>
          <w:szCs w:val="22"/>
        </w:rPr>
        <w:t>Susan Jenkins</w:t>
      </w:r>
      <w:r w:rsidRPr="007C29DB" w:rsidR="00A739D2">
        <w:rPr>
          <w:color w:val="000000"/>
          <w:szCs w:val="22"/>
        </w:rPr>
        <w:t xml:space="preserve">, Ph.D. </w:t>
      </w:r>
    </w:p>
    <w:p w:rsidRPr="007C29DB" w:rsidR="00A739D2" w:rsidP="00C42167" w:rsidRDefault="00AE024B" w14:paraId="31DCDC77" w14:textId="7080B709">
      <w:pPr>
        <w:tabs>
          <w:tab w:val="left" w:pos="1100"/>
        </w:tabs>
        <w:rPr>
          <w:color w:val="000000"/>
          <w:szCs w:val="22"/>
        </w:rPr>
      </w:pPr>
      <w:r w:rsidRPr="007C29DB">
        <w:rPr>
          <w:color w:val="000000"/>
          <w:szCs w:val="22"/>
        </w:rPr>
        <w:t xml:space="preserve">Director, </w:t>
      </w:r>
      <w:r w:rsidRPr="007C29DB" w:rsidR="00A739D2">
        <w:rPr>
          <w:color w:val="000000"/>
          <w:szCs w:val="22"/>
        </w:rPr>
        <w:t>Office of Performance and Evaluation</w:t>
      </w:r>
    </w:p>
    <w:p w:rsidRPr="007C29DB" w:rsidR="00A739D2" w:rsidP="00C42167" w:rsidRDefault="00A739D2" w14:paraId="01028917" w14:textId="0E062543">
      <w:pPr>
        <w:tabs>
          <w:tab w:val="left" w:pos="1100"/>
        </w:tabs>
        <w:rPr>
          <w:szCs w:val="22"/>
        </w:rPr>
      </w:pPr>
      <w:r w:rsidRPr="007C29DB">
        <w:rPr>
          <w:szCs w:val="22"/>
        </w:rPr>
        <w:t>Administration for Community Living</w:t>
      </w:r>
    </w:p>
    <w:p w:rsidRPr="007C29DB" w:rsidR="00A739D2" w:rsidP="00C42167" w:rsidRDefault="00A739D2" w14:paraId="5951F23F" w14:textId="77777777">
      <w:pPr>
        <w:tabs>
          <w:tab w:val="left" w:pos="1100"/>
        </w:tabs>
        <w:rPr>
          <w:szCs w:val="22"/>
        </w:rPr>
      </w:pPr>
      <w:r w:rsidRPr="007C29DB">
        <w:rPr>
          <w:szCs w:val="22"/>
        </w:rPr>
        <w:t>U.S. Department of Health and Human Services</w:t>
      </w:r>
    </w:p>
    <w:p w:rsidRPr="007C29DB" w:rsidR="00A739D2" w:rsidP="00C42167" w:rsidRDefault="00A739D2" w14:paraId="37C75240" w14:textId="209E5E2B">
      <w:pPr>
        <w:tabs>
          <w:tab w:val="left" w:pos="1100"/>
        </w:tabs>
        <w:rPr>
          <w:color w:val="000000"/>
          <w:szCs w:val="22"/>
        </w:rPr>
      </w:pPr>
      <w:r w:rsidRPr="007C29DB">
        <w:rPr>
          <w:color w:val="000000"/>
          <w:szCs w:val="22"/>
        </w:rPr>
        <w:t>300 C Street, SW</w:t>
      </w:r>
      <w:r w:rsidRPr="007C29DB" w:rsidR="00AE024B">
        <w:rPr>
          <w:color w:val="000000"/>
          <w:szCs w:val="22"/>
        </w:rPr>
        <w:t>, Rm 1243</w:t>
      </w:r>
    </w:p>
    <w:p w:rsidRPr="007C29DB" w:rsidR="00A739D2" w:rsidP="00C42167" w:rsidRDefault="00A739D2" w14:paraId="74AB2DC0" w14:textId="77777777">
      <w:pPr>
        <w:tabs>
          <w:tab w:val="left" w:pos="1100"/>
        </w:tabs>
        <w:rPr>
          <w:color w:val="000000"/>
          <w:szCs w:val="22"/>
        </w:rPr>
      </w:pPr>
      <w:r w:rsidRPr="007C29DB">
        <w:rPr>
          <w:color w:val="000000"/>
          <w:szCs w:val="22"/>
        </w:rPr>
        <w:t>Washington, DC 20201</w:t>
      </w:r>
    </w:p>
    <w:p w:rsidR="008F71B0" w:rsidP="00C42167" w:rsidRDefault="00A739D2" w14:paraId="1A2F9AEC" w14:textId="77777777">
      <w:pPr>
        <w:tabs>
          <w:tab w:val="left" w:pos="1100"/>
        </w:tabs>
        <w:rPr>
          <w:color w:val="000000"/>
          <w:szCs w:val="22"/>
        </w:rPr>
      </w:pPr>
      <w:r w:rsidRPr="007C29DB">
        <w:rPr>
          <w:color w:val="000000"/>
          <w:szCs w:val="22"/>
        </w:rPr>
        <w:t>Tel: 202-795-7</w:t>
      </w:r>
      <w:r w:rsidRPr="007C29DB" w:rsidR="008F71B0">
        <w:rPr>
          <w:color w:val="000000"/>
          <w:szCs w:val="22"/>
        </w:rPr>
        <w:t>369</w:t>
      </w:r>
      <w:r w:rsidRPr="004E2800">
        <w:rPr>
          <w:color w:val="000000"/>
          <w:szCs w:val="22"/>
        </w:rPr>
        <w:t> </w:t>
      </w:r>
    </w:p>
    <w:p w:rsidRPr="004E2800" w:rsidR="00A739D2" w:rsidP="00C42167" w:rsidRDefault="00336DE2" w14:paraId="66070A0C" w14:textId="0AEA4162">
      <w:pPr>
        <w:tabs>
          <w:tab w:val="left" w:pos="1100"/>
        </w:tabs>
        <w:rPr>
          <w:color w:val="000000"/>
          <w:szCs w:val="22"/>
        </w:rPr>
      </w:pPr>
      <w:hyperlink w:history="1" r:id="rId28">
        <w:r w:rsidR="008F71B0">
          <w:rPr>
            <w:rStyle w:val="Hyperlink"/>
            <w:rFonts w:ascii="Book Antiqua" w:hAnsi="Book Antiqua"/>
            <w:sz w:val="20"/>
          </w:rPr>
          <w:t>Susan.Jenkins@ACL.HHS.Gov</w:t>
        </w:r>
      </w:hyperlink>
      <w:r w:rsidRPr="004E2800" w:rsidR="00A739D2">
        <w:rPr>
          <w:color w:val="000000"/>
          <w:szCs w:val="22"/>
        </w:rPr>
        <w:t xml:space="preserve"> </w:t>
      </w:r>
    </w:p>
    <w:p w:rsidR="00A739D2" w:rsidP="00C42167" w:rsidRDefault="00A739D2" w14:paraId="3F700DCB" w14:textId="551F0C29">
      <w:pPr>
        <w:tabs>
          <w:tab w:val="left" w:pos="1100"/>
        </w:tabs>
        <w:jc w:val="left"/>
        <w:rPr>
          <w:b/>
        </w:rPr>
      </w:pPr>
    </w:p>
    <w:p w:rsidR="008F71B0" w:rsidP="00C42167" w:rsidRDefault="008F71B0" w14:paraId="23226BAB" w14:textId="77777777">
      <w:pPr>
        <w:tabs>
          <w:tab w:val="left" w:pos="1100"/>
        </w:tabs>
        <w:jc w:val="left"/>
        <w:rPr>
          <w:b/>
        </w:rPr>
      </w:pPr>
    </w:p>
    <w:p w:rsidR="00A739D2" w:rsidP="00C42167" w:rsidRDefault="00A739D2" w14:paraId="48CE07F3" w14:textId="77777777">
      <w:pPr>
        <w:tabs>
          <w:tab w:val="left" w:pos="1100"/>
        </w:tabs>
        <w:jc w:val="left"/>
        <w:rPr>
          <w:b/>
        </w:rPr>
      </w:pPr>
      <w:r w:rsidRPr="00110A13">
        <w:rPr>
          <w:b/>
        </w:rPr>
        <w:t>Westat Staff</w:t>
      </w:r>
    </w:p>
    <w:p w:rsidR="00A739D2" w:rsidP="00C42167" w:rsidRDefault="00A739D2" w14:paraId="2313E200" w14:textId="77777777">
      <w:pPr>
        <w:tabs>
          <w:tab w:val="left" w:pos="1100"/>
        </w:tabs>
        <w:jc w:val="left"/>
        <w:rPr>
          <w:b/>
        </w:rPr>
      </w:pPr>
    </w:p>
    <w:p w:rsidR="00A739D2" w:rsidP="00C42167" w:rsidRDefault="000E46A1" w14:paraId="4CD1E2FB" w14:textId="589F8706">
      <w:pPr>
        <w:tabs>
          <w:tab w:val="left" w:pos="1100"/>
        </w:tabs>
        <w:jc w:val="left"/>
      </w:pPr>
      <w:r>
        <w:t>Dwight Brock, Ph.D. – Role:  S</w:t>
      </w:r>
      <w:r w:rsidR="00A739D2">
        <w:t>enior statistician overseeing study design, development of the sampling plan, weighting, and data analysis</w:t>
      </w:r>
    </w:p>
    <w:p w:rsidR="00A739D2" w:rsidP="00C42167" w:rsidRDefault="00A739D2" w14:paraId="2AFD8DE1" w14:textId="77777777">
      <w:pPr>
        <w:tabs>
          <w:tab w:val="left" w:pos="1100"/>
        </w:tabs>
        <w:jc w:val="left"/>
      </w:pPr>
      <w:r>
        <w:t>Senior Statistician</w:t>
      </w:r>
    </w:p>
    <w:p w:rsidR="00A739D2" w:rsidP="00C42167" w:rsidRDefault="00A739D2" w14:paraId="5C38AA48" w14:textId="77777777">
      <w:pPr>
        <w:tabs>
          <w:tab w:val="left" w:pos="1100"/>
        </w:tabs>
        <w:jc w:val="left"/>
      </w:pPr>
      <w:r>
        <w:t>Westat</w:t>
      </w:r>
    </w:p>
    <w:p w:rsidR="00A739D2" w:rsidP="00C42167" w:rsidRDefault="00A739D2" w14:paraId="04E9792E" w14:textId="77777777">
      <w:pPr>
        <w:tabs>
          <w:tab w:val="left" w:pos="1100"/>
        </w:tabs>
        <w:jc w:val="left"/>
      </w:pPr>
      <w:r>
        <w:t>1600 Research Blvd.</w:t>
      </w:r>
    </w:p>
    <w:p w:rsidR="00A739D2" w:rsidP="00C42167" w:rsidRDefault="00A739D2" w14:paraId="0BDA9834" w14:textId="77777777">
      <w:pPr>
        <w:tabs>
          <w:tab w:val="left" w:pos="1100"/>
        </w:tabs>
        <w:jc w:val="left"/>
      </w:pPr>
      <w:r>
        <w:t>Rockville, Maryland 20850</w:t>
      </w:r>
    </w:p>
    <w:p w:rsidR="00A739D2" w:rsidP="00C42167" w:rsidRDefault="00A739D2" w14:paraId="5C0DC919" w14:textId="77777777">
      <w:pPr>
        <w:tabs>
          <w:tab w:val="left" w:pos="1100"/>
        </w:tabs>
        <w:jc w:val="left"/>
      </w:pPr>
      <w:r>
        <w:t>301-517-4026</w:t>
      </w:r>
    </w:p>
    <w:p w:rsidR="00A739D2" w:rsidP="00C42167" w:rsidRDefault="00336DE2" w14:paraId="17E8A57E" w14:textId="7D597A61">
      <w:pPr>
        <w:tabs>
          <w:tab w:val="left" w:pos="1100"/>
        </w:tabs>
        <w:jc w:val="left"/>
        <w:rPr>
          <w:rStyle w:val="Hyperlink"/>
        </w:rPr>
      </w:pPr>
      <w:hyperlink w:history="1" r:id="rId29">
        <w:r w:rsidRPr="007D479F" w:rsidR="00A739D2">
          <w:rPr>
            <w:rStyle w:val="Hyperlink"/>
          </w:rPr>
          <w:t>DwightBrock@westat.com</w:t>
        </w:r>
      </w:hyperlink>
    </w:p>
    <w:p w:rsidR="00CD6854" w:rsidP="00C42167" w:rsidRDefault="00CD6854" w14:paraId="6CB8D6F1" w14:textId="2AD4220C">
      <w:pPr>
        <w:tabs>
          <w:tab w:val="left" w:pos="1100"/>
        </w:tabs>
        <w:jc w:val="left"/>
        <w:rPr>
          <w:rStyle w:val="Hyperlink"/>
        </w:rPr>
      </w:pPr>
    </w:p>
    <w:p w:rsidR="00CD6854" w:rsidP="00C42167" w:rsidRDefault="00CD6854" w14:paraId="5461E03D" w14:textId="77777777">
      <w:pPr>
        <w:keepNext/>
        <w:tabs>
          <w:tab w:val="left" w:pos="1100"/>
        </w:tabs>
        <w:rPr>
          <w:szCs w:val="22"/>
        </w:rPr>
      </w:pPr>
      <w:r>
        <w:t xml:space="preserve">Joanne </w:t>
      </w:r>
      <w:proofErr w:type="spellStart"/>
      <w:r>
        <w:t>Campione</w:t>
      </w:r>
      <w:proofErr w:type="spellEnd"/>
      <w:r>
        <w:t xml:space="preserve"> – Role: Project Director</w:t>
      </w:r>
    </w:p>
    <w:p w:rsidR="00CD6854" w:rsidP="00C42167" w:rsidRDefault="00CD6854" w14:paraId="49E45E00" w14:textId="77777777">
      <w:pPr>
        <w:keepNext/>
        <w:tabs>
          <w:tab w:val="left" w:pos="1100"/>
        </w:tabs>
        <w:rPr>
          <w:sz w:val="24"/>
          <w:szCs w:val="24"/>
        </w:rPr>
      </w:pPr>
      <w:r>
        <w:t>Senior Study Director</w:t>
      </w:r>
    </w:p>
    <w:p w:rsidR="00CD6854" w:rsidP="00C42167" w:rsidRDefault="00CD6854" w14:paraId="58F6F7AC" w14:textId="77777777">
      <w:pPr>
        <w:tabs>
          <w:tab w:val="left" w:pos="1100"/>
        </w:tabs>
      </w:pPr>
      <w:r>
        <w:t>Westat</w:t>
      </w:r>
    </w:p>
    <w:p w:rsidR="00CD6854" w:rsidP="00C42167" w:rsidRDefault="00CD6854" w14:paraId="15885AE0" w14:textId="77777777">
      <w:pPr>
        <w:tabs>
          <w:tab w:val="left" w:pos="1100"/>
        </w:tabs>
      </w:pPr>
      <w:r>
        <w:t>2530 Meridian Pkwy, Suite 200</w:t>
      </w:r>
    </w:p>
    <w:p w:rsidR="00CD6854" w:rsidP="00C42167" w:rsidRDefault="00CD6854" w14:paraId="2B13119A" w14:textId="77777777">
      <w:pPr>
        <w:tabs>
          <w:tab w:val="left" w:pos="1100"/>
        </w:tabs>
      </w:pPr>
      <w:r>
        <w:t>Durham, NC 27703</w:t>
      </w:r>
    </w:p>
    <w:p w:rsidR="00CD6854" w:rsidP="00C42167" w:rsidRDefault="00CD6854" w14:paraId="15970CB3" w14:textId="77777777">
      <w:pPr>
        <w:tabs>
          <w:tab w:val="left" w:pos="1100"/>
        </w:tabs>
      </w:pPr>
      <w:r>
        <w:t>919-474-3506</w:t>
      </w:r>
    </w:p>
    <w:p w:rsidR="00CD6854" w:rsidP="00C42167" w:rsidRDefault="00336DE2" w14:paraId="272ADF62" w14:textId="5ECEFB01">
      <w:pPr>
        <w:tabs>
          <w:tab w:val="left" w:pos="1100"/>
        </w:tabs>
        <w:jc w:val="left"/>
      </w:pPr>
      <w:hyperlink w:history="1" r:id="rId30">
        <w:r w:rsidR="00CD6854">
          <w:rPr>
            <w:rStyle w:val="Hyperlink"/>
          </w:rPr>
          <w:t>JoanneCampione@Westat.com</w:t>
        </w:r>
      </w:hyperlink>
    </w:p>
    <w:p w:rsidR="00A739D2" w:rsidP="00C42167" w:rsidRDefault="00A739D2" w14:paraId="53218B58" w14:textId="77777777">
      <w:pPr>
        <w:tabs>
          <w:tab w:val="left" w:pos="1100"/>
        </w:tabs>
        <w:jc w:val="left"/>
      </w:pPr>
    </w:p>
    <w:p w:rsidR="00A739D2" w:rsidP="00C42167" w:rsidRDefault="00A739D2" w14:paraId="64533CED" w14:textId="19D29CF3">
      <w:pPr>
        <w:keepNext/>
        <w:keepLines/>
        <w:tabs>
          <w:tab w:val="left" w:pos="1100"/>
        </w:tabs>
        <w:jc w:val="left"/>
      </w:pPr>
      <w:r>
        <w:t xml:space="preserve">Katie Hubbell– Role: </w:t>
      </w:r>
      <w:r w:rsidR="000E46A1">
        <w:t>S</w:t>
      </w:r>
      <w:r w:rsidR="008F71B0">
        <w:t xml:space="preserve">enior </w:t>
      </w:r>
      <w:r>
        <w:t>systems analyst with involvement in sampling data weighting, data analysis, and reports.</w:t>
      </w:r>
    </w:p>
    <w:p w:rsidR="00A739D2" w:rsidP="00C42167" w:rsidRDefault="00A739D2" w14:paraId="68553240" w14:textId="77777777">
      <w:pPr>
        <w:keepNext/>
        <w:keepLines/>
        <w:tabs>
          <w:tab w:val="left" w:pos="1100"/>
        </w:tabs>
        <w:jc w:val="left"/>
      </w:pPr>
      <w:r>
        <w:t>Senior Systems Analyst</w:t>
      </w:r>
    </w:p>
    <w:p w:rsidR="00A739D2" w:rsidP="00C42167" w:rsidRDefault="00A739D2" w14:paraId="2775BF82" w14:textId="77777777">
      <w:pPr>
        <w:tabs>
          <w:tab w:val="left" w:pos="1100"/>
        </w:tabs>
        <w:jc w:val="left"/>
      </w:pPr>
      <w:r>
        <w:t>Westat</w:t>
      </w:r>
    </w:p>
    <w:p w:rsidR="00A739D2" w:rsidP="00C42167" w:rsidRDefault="00A739D2" w14:paraId="6B40942C" w14:textId="77777777">
      <w:pPr>
        <w:tabs>
          <w:tab w:val="left" w:pos="1100"/>
        </w:tabs>
        <w:jc w:val="left"/>
      </w:pPr>
      <w:r>
        <w:t>1600 Research Blvd.</w:t>
      </w:r>
    </w:p>
    <w:p w:rsidR="00A739D2" w:rsidP="00C42167" w:rsidRDefault="00A739D2" w14:paraId="278153CC" w14:textId="77777777">
      <w:pPr>
        <w:tabs>
          <w:tab w:val="left" w:pos="1100"/>
        </w:tabs>
        <w:jc w:val="left"/>
      </w:pPr>
      <w:r>
        <w:t>Rockville, Maryland 20850</w:t>
      </w:r>
    </w:p>
    <w:p w:rsidR="00A739D2" w:rsidP="00C42167" w:rsidRDefault="00A739D2" w14:paraId="27787DAC" w14:textId="77777777">
      <w:pPr>
        <w:tabs>
          <w:tab w:val="left" w:pos="1100"/>
        </w:tabs>
        <w:jc w:val="left"/>
      </w:pPr>
      <w:r>
        <w:t>301-294-2020</w:t>
      </w:r>
    </w:p>
    <w:p w:rsidR="00A739D2" w:rsidP="00C42167" w:rsidRDefault="00336DE2" w14:paraId="5479EAAD" w14:textId="717E2D8C">
      <w:pPr>
        <w:tabs>
          <w:tab w:val="left" w:pos="1100"/>
        </w:tabs>
        <w:jc w:val="left"/>
      </w:pPr>
      <w:hyperlink w:history="1" r:id="rId31">
        <w:r w:rsidRPr="00294C60" w:rsidR="008F71B0">
          <w:rPr>
            <w:rStyle w:val="Hyperlink"/>
          </w:rPr>
          <w:t>KatieHubbell@westat.com</w:t>
        </w:r>
      </w:hyperlink>
    </w:p>
    <w:p w:rsidR="00A739D2" w:rsidP="00C42167" w:rsidRDefault="00A739D2" w14:paraId="642CDBB7" w14:textId="77777777">
      <w:pPr>
        <w:tabs>
          <w:tab w:val="left" w:pos="1100"/>
        </w:tabs>
        <w:jc w:val="left"/>
      </w:pPr>
    </w:p>
    <w:p w:rsidR="00A739D2" w:rsidP="00C42167" w:rsidRDefault="00A739D2" w14:paraId="27F5F8C3" w14:textId="3C2B7577">
      <w:pPr>
        <w:tabs>
          <w:tab w:val="left" w:pos="1100"/>
        </w:tabs>
        <w:jc w:val="left"/>
      </w:pPr>
      <w:r>
        <w:t xml:space="preserve">Robin Ritter – Role:  </w:t>
      </w:r>
      <w:r w:rsidR="00D8145E">
        <w:t>Recruitment</w:t>
      </w:r>
      <w:r>
        <w:t xml:space="preserve"> Director with involvement in design, sampling, AAA and respondent recruitment, and data analysis</w:t>
      </w:r>
    </w:p>
    <w:p w:rsidR="00A739D2" w:rsidP="00C42167" w:rsidRDefault="00A739D2" w14:paraId="22551F4B" w14:textId="77777777">
      <w:pPr>
        <w:tabs>
          <w:tab w:val="left" w:pos="1100"/>
        </w:tabs>
        <w:jc w:val="left"/>
      </w:pPr>
      <w:r>
        <w:lastRenderedPageBreak/>
        <w:t>Senior Study Director</w:t>
      </w:r>
    </w:p>
    <w:p w:rsidR="00A739D2" w:rsidP="00C42167" w:rsidRDefault="00A739D2" w14:paraId="369E3A8B" w14:textId="77777777">
      <w:pPr>
        <w:tabs>
          <w:tab w:val="left" w:pos="1100"/>
        </w:tabs>
        <w:jc w:val="left"/>
      </w:pPr>
      <w:r>
        <w:t>Westat</w:t>
      </w:r>
    </w:p>
    <w:p w:rsidR="00A739D2" w:rsidP="00C42167" w:rsidRDefault="00A739D2" w14:paraId="6F38A61C" w14:textId="77777777">
      <w:pPr>
        <w:tabs>
          <w:tab w:val="left" w:pos="1100"/>
        </w:tabs>
        <w:jc w:val="left"/>
      </w:pPr>
      <w:r>
        <w:t>1600 Research Blvd.</w:t>
      </w:r>
    </w:p>
    <w:p w:rsidR="00A739D2" w:rsidP="00C42167" w:rsidRDefault="00A739D2" w14:paraId="6B49622D" w14:textId="77777777">
      <w:pPr>
        <w:tabs>
          <w:tab w:val="left" w:pos="1100"/>
        </w:tabs>
        <w:jc w:val="left"/>
      </w:pPr>
      <w:r>
        <w:t>Rockville, Maryland 20850</w:t>
      </w:r>
    </w:p>
    <w:p w:rsidR="00A739D2" w:rsidP="00C42167" w:rsidRDefault="00A739D2" w14:paraId="794848A9" w14:textId="77777777">
      <w:pPr>
        <w:tabs>
          <w:tab w:val="left" w:pos="1100"/>
        </w:tabs>
        <w:jc w:val="left"/>
      </w:pPr>
      <w:r>
        <w:t>301-240-314-5804</w:t>
      </w:r>
    </w:p>
    <w:p w:rsidR="00A739D2" w:rsidP="00C42167" w:rsidRDefault="00336DE2" w14:paraId="65188662" w14:textId="77777777">
      <w:pPr>
        <w:tabs>
          <w:tab w:val="left" w:pos="1100"/>
        </w:tabs>
        <w:jc w:val="left"/>
      </w:pPr>
      <w:hyperlink w:history="1" r:id="rId32">
        <w:r w:rsidRPr="00707909" w:rsidR="00A739D2">
          <w:rPr>
            <w:rStyle w:val="Hyperlink"/>
          </w:rPr>
          <w:t>RobinRitter@westat.com</w:t>
        </w:r>
      </w:hyperlink>
    </w:p>
    <w:p w:rsidR="00A739D2" w:rsidP="00C42167" w:rsidRDefault="00A739D2" w14:paraId="78E85BB4" w14:textId="77777777">
      <w:pPr>
        <w:tabs>
          <w:tab w:val="left" w:pos="1100"/>
        </w:tabs>
        <w:jc w:val="left"/>
      </w:pPr>
    </w:p>
    <w:p w:rsidR="00A739D2" w:rsidP="00C42167" w:rsidRDefault="00A739D2" w14:paraId="0512FD22" w14:textId="5E16392F">
      <w:pPr>
        <w:tabs>
          <w:tab w:val="left" w:pos="1100"/>
        </w:tabs>
        <w:jc w:val="left"/>
      </w:pPr>
      <w:r>
        <w:t xml:space="preserve">Jacqueline </w:t>
      </w:r>
      <w:proofErr w:type="spellStart"/>
      <w:r>
        <w:t>Severynse</w:t>
      </w:r>
      <w:proofErr w:type="spellEnd"/>
      <w:r>
        <w:t xml:space="preserve"> – Rol</w:t>
      </w:r>
      <w:r w:rsidR="000E46A1">
        <w:t>e:  D</w:t>
      </w:r>
      <w:r>
        <w:t>esign of the sampling plan, weighting, and data analysis.</w:t>
      </w:r>
    </w:p>
    <w:p w:rsidR="00A739D2" w:rsidP="00C42167" w:rsidRDefault="00A739D2" w14:paraId="4485B4D4" w14:textId="77777777">
      <w:pPr>
        <w:tabs>
          <w:tab w:val="left" w:pos="1100"/>
        </w:tabs>
        <w:jc w:val="left"/>
      </w:pPr>
      <w:r>
        <w:t>Senior Statistician</w:t>
      </w:r>
    </w:p>
    <w:p w:rsidR="00A739D2" w:rsidP="00C42167" w:rsidRDefault="00A739D2" w14:paraId="5876FAB0" w14:textId="77777777">
      <w:pPr>
        <w:tabs>
          <w:tab w:val="left" w:pos="1100"/>
        </w:tabs>
        <w:jc w:val="left"/>
      </w:pPr>
      <w:r>
        <w:t>Westat</w:t>
      </w:r>
    </w:p>
    <w:p w:rsidR="00A739D2" w:rsidP="00C42167" w:rsidRDefault="00A739D2" w14:paraId="677C0B53" w14:textId="77777777">
      <w:pPr>
        <w:tabs>
          <w:tab w:val="left" w:pos="1100"/>
        </w:tabs>
        <w:jc w:val="left"/>
      </w:pPr>
      <w:r>
        <w:t>1600 Research Blvd.</w:t>
      </w:r>
    </w:p>
    <w:p w:rsidR="00A739D2" w:rsidP="00C42167" w:rsidRDefault="00A739D2" w14:paraId="1CCB63BE" w14:textId="77777777">
      <w:pPr>
        <w:tabs>
          <w:tab w:val="left" w:pos="1100"/>
        </w:tabs>
        <w:jc w:val="left"/>
      </w:pPr>
      <w:r>
        <w:t>Rockville, Maryland 20850</w:t>
      </w:r>
    </w:p>
    <w:p w:rsidR="00A739D2" w:rsidP="00C42167" w:rsidRDefault="00A739D2" w14:paraId="41BE3BC7" w14:textId="77777777">
      <w:pPr>
        <w:tabs>
          <w:tab w:val="left" w:pos="1100"/>
        </w:tabs>
        <w:jc w:val="left"/>
      </w:pPr>
      <w:r>
        <w:t>301-517-8058</w:t>
      </w:r>
    </w:p>
    <w:p w:rsidR="00A739D2" w:rsidP="00C42167" w:rsidRDefault="00336DE2" w14:paraId="3A080D45" w14:textId="77777777">
      <w:pPr>
        <w:tabs>
          <w:tab w:val="left" w:pos="1100"/>
        </w:tabs>
        <w:jc w:val="left"/>
      </w:pPr>
      <w:hyperlink w:history="1" r:id="rId33">
        <w:r w:rsidRPr="00707909" w:rsidR="00A739D2">
          <w:rPr>
            <w:rStyle w:val="Hyperlink"/>
          </w:rPr>
          <w:t>JacquelineSeverynse@westat.com</w:t>
        </w:r>
      </w:hyperlink>
    </w:p>
    <w:p w:rsidR="00A739D2" w:rsidP="00C42167" w:rsidRDefault="00A739D2" w14:paraId="61F1F0F2" w14:textId="77777777">
      <w:pPr>
        <w:tabs>
          <w:tab w:val="left" w:pos="1100"/>
        </w:tabs>
        <w:jc w:val="left"/>
      </w:pPr>
    </w:p>
    <w:p w:rsidR="005217E1" w:rsidP="00C42167" w:rsidRDefault="008F71B0" w14:paraId="69A9595C" w14:textId="59F11EBB">
      <w:pPr>
        <w:tabs>
          <w:tab w:val="left" w:pos="1100"/>
        </w:tabs>
        <w:jc w:val="left"/>
      </w:pPr>
      <w:r w:rsidRPr="007C29DB">
        <w:t xml:space="preserve">Lena Watkins – Role: </w:t>
      </w:r>
      <w:r w:rsidR="005217E1">
        <w:t>Telephone Operations Manager</w:t>
      </w:r>
    </w:p>
    <w:p w:rsidRPr="007C29DB" w:rsidR="008F71B0" w:rsidP="00C42167" w:rsidRDefault="008F71B0" w14:paraId="6EFF4C2B" w14:textId="123DD88D">
      <w:pPr>
        <w:tabs>
          <w:tab w:val="left" w:pos="1100"/>
        </w:tabs>
        <w:jc w:val="left"/>
      </w:pPr>
      <w:r w:rsidRPr="007C29DB">
        <w:t>Westat</w:t>
      </w:r>
    </w:p>
    <w:p w:rsidRPr="007C29DB" w:rsidR="008F71B0" w:rsidP="00C42167" w:rsidRDefault="008F71B0" w14:paraId="531A08BA" w14:textId="77777777">
      <w:pPr>
        <w:tabs>
          <w:tab w:val="left" w:pos="1100"/>
        </w:tabs>
        <w:jc w:val="left"/>
      </w:pPr>
      <w:r w:rsidRPr="007C29DB">
        <w:t>1600 Research Blvd.</w:t>
      </w:r>
    </w:p>
    <w:p w:rsidRPr="007C29DB" w:rsidR="008F71B0" w:rsidP="00C42167" w:rsidRDefault="008F71B0" w14:paraId="28CDB232" w14:textId="77777777">
      <w:pPr>
        <w:tabs>
          <w:tab w:val="left" w:pos="1100"/>
        </w:tabs>
        <w:jc w:val="left"/>
      </w:pPr>
      <w:r w:rsidRPr="007C29DB">
        <w:t>Rockville, Maryland 20850</w:t>
      </w:r>
    </w:p>
    <w:p w:rsidRPr="007C29DB" w:rsidR="008F71B0" w:rsidP="00C42167" w:rsidRDefault="008F71B0" w14:paraId="7639EDD8" w14:textId="537635D8">
      <w:pPr>
        <w:tabs>
          <w:tab w:val="left" w:pos="1100"/>
        </w:tabs>
        <w:jc w:val="left"/>
      </w:pPr>
      <w:r w:rsidRPr="007C29DB">
        <w:t>301-</w:t>
      </w:r>
      <w:r w:rsidRPr="007C29DB">
        <w:rPr>
          <w:rFonts w:ascii="OpenSans" w:hAnsi="OpenSans" w:cs="Arial"/>
          <w:color w:val="000000"/>
          <w:szCs w:val="22"/>
        </w:rPr>
        <w:t xml:space="preserve"> 294-3938</w:t>
      </w:r>
    </w:p>
    <w:p w:rsidR="008F71B0" w:rsidP="00C42167" w:rsidRDefault="00336DE2" w14:paraId="276674D3" w14:textId="77777777">
      <w:pPr>
        <w:tabs>
          <w:tab w:val="left" w:pos="1100"/>
        </w:tabs>
        <w:jc w:val="left"/>
      </w:pPr>
      <w:hyperlink w:history="1" r:id="rId34">
        <w:r w:rsidRPr="007C29DB" w:rsidR="008F71B0">
          <w:rPr>
            <w:rStyle w:val="Hyperlink"/>
          </w:rPr>
          <w:t>LenaWatkins@westat.com</w:t>
        </w:r>
      </w:hyperlink>
    </w:p>
    <w:p w:rsidR="005F1520" w:rsidP="00C42167" w:rsidRDefault="005F1520" w14:paraId="70DC1C43" w14:textId="1977C3BA">
      <w:pPr>
        <w:tabs>
          <w:tab w:val="left" w:pos="1100"/>
        </w:tabs>
        <w:autoSpaceDE w:val="0"/>
        <w:autoSpaceDN w:val="0"/>
        <w:adjustRightInd w:val="0"/>
      </w:pPr>
    </w:p>
    <w:p w:rsidR="00F62F95" w:rsidP="00C42167" w:rsidRDefault="00F62F95" w14:paraId="229C7AC2" w14:textId="5E32E1CB">
      <w:pPr>
        <w:tabs>
          <w:tab w:val="left" w:pos="1100"/>
        </w:tabs>
        <w:autoSpaceDE w:val="0"/>
        <w:autoSpaceDN w:val="0"/>
        <w:adjustRightInd w:val="0"/>
      </w:pPr>
    </w:p>
    <w:sectPr w:rsidR="00F62F95" w:rsidSect="00D36100">
      <w:footerReference w:type="default" r:id="rId35"/>
      <w:pgSz w:w="12240" w:h="15840"/>
      <w:pgMar w:top="1008" w:right="1800" w:bottom="864"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5C87C" w14:textId="77777777" w:rsidR="00336DE2" w:rsidRDefault="00336DE2" w:rsidP="00374CCE">
      <w:pPr>
        <w:spacing w:line="240" w:lineRule="auto"/>
      </w:pPr>
      <w:r>
        <w:separator/>
      </w:r>
    </w:p>
  </w:endnote>
  <w:endnote w:type="continuationSeparator" w:id="0">
    <w:p w14:paraId="71D858CA" w14:textId="77777777" w:rsidR="00336DE2" w:rsidRDefault="00336DE2" w:rsidP="00374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Open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779D2" w14:textId="77777777" w:rsidR="00D00C91" w:rsidRDefault="00D00C91" w:rsidP="00872248">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2E87A" w14:textId="704A2221" w:rsidR="00D00C91" w:rsidRPr="006D321C" w:rsidRDefault="00D00C91">
    <w:pPr>
      <w:pStyle w:val="Footer"/>
      <w:jc w:val="center"/>
      <w:rPr>
        <w:rFonts w:ascii="Arial" w:hAnsi="Arial"/>
        <w:szCs w:val="22"/>
      </w:rPr>
    </w:pPr>
    <w:r w:rsidRPr="006D321C">
      <w:rPr>
        <w:rFonts w:ascii="Arial" w:hAnsi="Arial"/>
        <w:szCs w:val="22"/>
      </w:rPr>
      <w:t>1-</w:t>
    </w:r>
    <w:r w:rsidRPr="006D321C">
      <w:rPr>
        <w:rFonts w:ascii="Arial" w:hAnsi="Arial"/>
        <w:szCs w:val="22"/>
      </w:rPr>
      <w:fldChar w:fldCharType="begin"/>
    </w:r>
    <w:r w:rsidRPr="006D321C">
      <w:rPr>
        <w:rFonts w:ascii="Arial" w:hAnsi="Arial"/>
        <w:szCs w:val="22"/>
      </w:rPr>
      <w:instrText xml:space="preserve"> PAGE   \* MERGEFORMAT </w:instrText>
    </w:r>
    <w:r w:rsidRPr="006D321C">
      <w:rPr>
        <w:rFonts w:ascii="Arial" w:hAnsi="Arial"/>
        <w:szCs w:val="22"/>
      </w:rPr>
      <w:fldChar w:fldCharType="separate"/>
    </w:r>
    <w:r w:rsidR="004A21FE">
      <w:rPr>
        <w:rFonts w:ascii="Arial" w:hAnsi="Arial"/>
        <w:noProof/>
        <w:szCs w:val="22"/>
      </w:rPr>
      <w:t>20</w:t>
    </w:r>
    <w:r w:rsidRPr="006D321C">
      <w:rPr>
        <w:rFonts w:ascii="Arial" w:hAnsi="Arial"/>
        <w:noProof/>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C637" w14:textId="5D35AC96" w:rsidR="00D00C91" w:rsidRPr="00DE08D1" w:rsidRDefault="00D00C91" w:rsidP="00CF30D3">
    <w:pPr>
      <w:pStyle w:val="Footer"/>
      <w:jc w:val="center"/>
    </w:pPr>
    <w:r>
      <w:t>2-</w:t>
    </w:r>
    <w:r>
      <w:fldChar w:fldCharType="begin"/>
    </w:r>
    <w:r>
      <w:instrText xml:space="preserve"> PAGE   \* MERGEFORMAT </w:instrText>
    </w:r>
    <w:r>
      <w:fldChar w:fldCharType="separate"/>
    </w:r>
    <w:r w:rsidR="004A21FE">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0BED4" w14:textId="500BCB02" w:rsidR="00D00C91" w:rsidRPr="00CF30D3" w:rsidRDefault="00D00C91" w:rsidP="00CF30D3">
    <w:pPr>
      <w:pStyle w:val="Footer"/>
      <w:jc w:val="center"/>
    </w:pPr>
    <w:r>
      <w:t>2-</w:t>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C12D7" w14:textId="39CC4280" w:rsidR="00D00C91" w:rsidRDefault="00D00C91">
    <w:pPr>
      <w:pStyle w:val="Footer"/>
      <w:jc w:val="center"/>
    </w:pPr>
  </w:p>
  <w:p w14:paraId="087B92CF" w14:textId="77777777" w:rsidR="00D00C91" w:rsidRPr="00221898" w:rsidRDefault="00D00C91" w:rsidP="0053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75F99" w14:textId="77777777" w:rsidR="00336DE2" w:rsidRDefault="00336DE2">
      <w:pPr>
        <w:pStyle w:val="SL-FlLftSgl"/>
      </w:pPr>
      <w:r>
        <w:separator/>
      </w:r>
    </w:p>
  </w:footnote>
  <w:footnote w:type="continuationSeparator" w:id="0">
    <w:p w14:paraId="2377BEB2" w14:textId="77777777" w:rsidR="00336DE2" w:rsidRDefault="00336DE2" w:rsidP="00374CCE">
      <w:pPr>
        <w:spacing w:line="240" w:lineRule="auto"/>
      </w:pPr>
      <w:r>
        <w:continuationSeparator/>
      </w:r>
    </w:p>
  </w:footnote>
  <w:footnote w:id="1">
    <w:p w14:paraId="60841E96" w14:textId="7D2E819F" w:rsidR="00D00C91" w:rsidRPr="00D73867" w:rsidRDefault="00D00C91" w:rsidP="00770577">
      <w:pPr>
        <w:pStyle w:val="FootnoteText"/>
        <w:jc w:val="left"/>
        <w:rPr>
          <w:color w:val="FF0000"/>
          <w:sz w:val="22"/>
          <w:szCs w:val="22"/>
        </w:rPr>
      </w:pPr>
      <w:r w:rsidRPr="00320E35">
        <w:rPr>
          <w:rStyle w:val="FootnoteReference"/>
          <w:vertAlign w:val="superscript"/>
        </w:rPr>
        <w:footnoteRef/>
      </w:r>
      <w:r w:rsidRPr="00320E35">
        <w:t xml:space="preserve"> </w:t>
      </w:r>
      <w:hyperlink r:id="rId1" w:history="1">
        <w:r w:rsidRPr="00D73867">
          <w:rPr>
            <w:rStyle w:val="Hyperlink"/>
            <w:szCs w:val="16"/>
          </w:rPr>
          <w:t>http://www.gao.gov/key_issues/managing_for_results_in_government/issue_summary</w:t>
        </w:r>
      </w:hyperlink>
    </w:p>
  </w:footnote>
  <w:footnote w:id="2">
    <w:p w14:paraId="47965A40" w14:textId="4D1F3321" w:rsidR="00D00C91" w:rsidRPr="0079596B" w:rsidRDefault="00D00C91" w:rsidP="00B418E1">
      <w:pPr>
        <w:pStyle w:val="FootnoteText"/>
        <w:jc w:val="left"/>
        <w:rPr>
          <w:color w:val="FF0000"/>
          <w:sz w:val="22"/>
          <w:szCs w:val="22"/>
        </w:rPr>
      </w:pPr>
      <w:r w:rsidRPr="00D73867">
        <w:rPr>
          <w:rStyle w:val="FootnoteReference"/>
          <w:vertAlign w:val="superscript"/>
        </w:rPr>
        <w:footnoteRef/>
      </w:r>
      <w:r w:rsidRPr="00D73867">
        <w:rPr>
          <w:vertAlign w:val="superscript"/>
        </w:rPr>
        <w:t xml:space="preserve"> </w:t>
      </w:r>
      <w:hyperlink r:id="rId2" w:history="1">
        <w:r w:rsidRPr="00D73867">
          <w:rPr>
            <w:rStyle w:val="Hyperlink"/>
          </w:rPr>
          <w:t>https://acl.gov/sites/default/files/about-acl/2020-04/Older%20Americans%20Act%20Of%201965%20as%20amended%20by%20Public%20Law%20116-131%20on%203-25-2020.pdf</w:t>
        </w:r>
      </w:hyperlink>
    </w:p>
    <w:p w14:paraId="6E112975" w14:textId="77777777" w:rsidR="00D00C91" w:rsidRPr="00770577" w:rsidRDefault="00D00C91" w:rsidP="00820559">
      <w:pPr>
        <w:pStyle w:val="FootnoteText"/>
        <w:ind w:left="0" w:firstLine="0"/>
      </w:pPr>
    </w:p>
  </w:footnote>
  <w:footnote w:id="3">
    <w:p w14:paraId="23705009" w14:textId="4629CB36" w:rsidR="00D00C91" w:rsidRDefault="00D00C91" w:rsidP="004E7BE5">
      <w:pPr>
        <w:pStyle w:val="FootnoteText"/>
        <w:rPr>
          <w:rStyle w:val="Hyperlink"/>
          <w:szCs w:val="22"/>
        </w:rPr>
      </w:pPr>
      <w:r w:rsidRPr="0070138E">
        <w:rPr>
          <w:rStyle w:val="FootnoteReference"/>
          <w:vertAlign w:val="superscript"/>
        </w:rPr>
        <w:footnoteRef/>
      </w:r>
      <w:r w:rsidRPr="0070138E">
        <w:t xml:space="preserve"> </w:t>
      </w:r>
      <w:hyperlink r:id="rId3" w:history="1">
        <w:r w:rsidRPr="00A87F0F">
          <w:rPr>
            <w:rStyle w:val="Hyperlink"/>
          </w:rPr>
          <w:t>https://acl.gov/programs/performance-older-americans-act-programs</w:t>
        </w:r>
      </w:hyperlink>
    </w:p>
    <w:p w14:paraId="66115F67" w14:textId="13F4C6F2" w:rsidR="00D00C91" w:rsidRPr="00B418E1" w:rsidRDefault="00D00C91" w:rsidP="004E7BE5">
      <w:pPr>
        <w:pStyle w:val="FootnoteText"/>
        <w:rPr>
          <w:color w:val="FF0000"/>
          <w:sz w:val="22"/>
          <w:szCs w:val="22"/>
        </w:rPr>
      </w:pPr>
    </w:p>
  </w:footnote>
  <w:footnote w:id="4">
    <w:p w14:paraId="2B5C7507" w14:textId="5E528164" w:rsidR="00D00C91" w:rsidRPr="00A40468" w:rsidRDefault="00D00C91" w:rsidP="00314BF4">
      <w:pPr>
        <w:spacing w:line="0" w:lineRule="atLeast"/>
        <w:rPr>
          <w:sz w:val="16"/>
          <w:szCs w:val="16"/>
        </w:rPr>
      </w:pPr>
      <w:r w:rsidRPr="00820559">
        <w:rPr>
          <w:rStyle w:val="FootnoteReference"/>
          <w:sz w:val="16"/>
          <w:szCs w:val="16"/>
          <w:vertAlign w:val="superscript"/>
        </w:rPr>
        <w:footnoteRef/>
      </w:r>
      <w:r w:rsidRPr="00A40468">
        <w:rPr>
          <w:sz w:val="16"/>
          <w:szCs w:val="16"/>
          <w:vertAlign w:val="superscript"/>
        </w:rPr>
        <w:t xml:space="preserve"> </w:t>
      </w:r>
      <w:hyperlink r:id="rId4" w:history="1">
        <w:r w:rsidRPr="00820559">
          <w:rPr>
            <w:rStyle w:val="Hyperlink"/>
            <w:sz w:val="16"/>
            <w:szCs w:val="16"/>
          </w:rPr>
          <w:t>https://www.census.gov/programs-surveys/acs/methodology/sample-size-and-data-quality/response-rates-definitions.html</w:t>
        </w:r>
      </w:hyperlink>
    </w:p>
    <w:p w14:paraId="15026523" w14:textId="77777777" w:rsidR="00D00C91" w:rsidRPr="00820559" w:rsidRDefault="00D00C91" w:rsidP="00314BF4">
      <w:pPr>
        <w:spacing w:line="0" w:lineRule="atLeast"/>
        <w:rPr>
          <w:b/>
          <w:sz w:val="16"/>
          <w:szCs w:val="16"/>
        </w:rPr>
      </w:pPr>
    </w:p>
    <w:p w14:paraId="17EEB028" w14:textId="77777777" w:rsidR="00D00C91" w:rsidRPr="00820559" w:rsidRDefault="00D00C91" w:rsidP="00314BF4">
      <w:pPr>
        <w:spacing w:line="0" w:lineRule="atLeast"/>
        <w:rPr>
          <w:b/>
          <w:sz w:val="16"/>
          <w:szCs w:val="16"/>
        </w:rPr>
      </w:pPr>
      <w:r w:rsidRPr="00820559">
        <w:rPr>
          <w:sz w:val="16"/>
          <w:szCs w:val="16"/>
          <w:vertAlign w:val="superscript"/>
        </w:rPr>
        <w:t>5</w:t>
      </w:r>
      <w:r w:rsidRPr="00820559">
        <w:rPr>
          <w:sz w:val="16"/>
          <w:szCs w:val="16"/>
        </w:rPr>
        <w:t xml:space="preserve"> </w:t>
      </w:r>
      <w:hyperlink r:id="rId5" w:history="1">
        <w:r w:rsidRPr="00820559">
          <w:rPr>
            <w:rStyle w:val="Hyperlink"/>
            <w:sz w:val="16"/>
            <w:szCs w:val="16"/>
          </w:rPr>
          <w:t>https://www.insightsassociation.org/issues-policies/best-practice/casro-definition-response-rates</w:t>
        </w:r>
      </w:hyperlink>
    </w:p>
    <w:p w14:paraId="40628004" w14:textId="35C36052" w:rsidR="00D00C91" w:rsidRDefault="00D00C91">
      <w:pPr>
        <w:pStyle w:val="FootnoteText"/>
      </w:pPr>
    </w:p>
  </w:footnote>
  <w:footnote w:id="5">
    <w:p w14:paraId="297476AA" w14:textId="2EF5A607" w:rsidR="00D00C91" w:rsidRDefault="00D00C91" w:rsidP="00314BF4">
      <w:pPr>
        <w:pStyle w:val="FootnoteText"/>
        <w:ind w:left="0" w:firstLine="0"/>
      </w:pPr>
    </w:p>
  </w:footnote>
  <w:footnote w:id="6">
    <w:p w14:paraId="01182775" w14:textId="1082EC7D" w:rsidR="00D00C91" w:rsidRDefault="00D00C91" w:rsidP="00E95811">
      <w:pPr>
        <w:pStyle w:val="FootnoteText"/>
      </w:pPr>
      <w:r>
        <w:rPr>
          <w:rStyle w:val="FootnoteReference"/>
          <w:vertAlign w:val="superscript"/>
        </w:rPr>
        <w:t>6</w:t>
      </w:r>
      <w:r>
        <w:t xml:space="preserve"> State units also receive a letter with a list of AAAs selected in the state.</w:t>
      </w:r>
    </w:p>
  </w:footnote>
  <w:footnote w:id="7">
    <w:p w14:paraId="26548503" w14:textId="3CC81943" w:rsidR="00D00C91" w:rsidRDefault="00D00C91" w:rsidP="00E95811">
      <w:pPr>
        <w:pStyle w:val="FootnoteText"/>
      </w:pPr>
      <w:r>
        <w:rPr>
          <w:vertAlign w:val="superscript"/>
        </w:rPr>
        <w:t>7</w:t>
      </w:r>
      <w:r w:rsidRPr="001D311E">
        <w:rPr>
          <w:vertAlign w:val="superscript"/>
        </w:rPr>
        <w:t xml:space="preserve"> </w:t>
      </w:r>
      <w:r w:rsidRPr="00A92D17">
        <w:t>This percent range refers to the client response patterns that may occur; for example, in a yes/no question, it refers to the expected percent of respondents who will answer yes, versus no.</w:t>
      </w:r>
    </w:p>
  </w:footnote>
  <w:footnote w:id="8">
    <w:p w14:paraId="1B9CF87A" w14:textId="676C9095" w:rsidR="00D00C91" w:rsidRDefault="00D00C91" w:rsidP="00465C4A">
      <w:pPr>
        <w:pStyle w:val="FootnoteText"/>
        <w:spacing w:before="0"/>
        <w:ind w:left="0" w:firstLine="0"/>
      </w:pPr>
      <w:r w:rsidRPr="00152542">
        <w:rPr>
          <w:rStyle w:val="FootnoteReference"/>
          <w:vertAlign w:val="superscript"/>
        </w:rPr>
        <w:t>8</w:t>
      </w:r>
      <w:r w:rsidRPr="00152542">
        <w:rPr>
          <w:vertAlign w:val="superscript"/>
        </w:rPr>
        <w:t xml:space="preserve"> </w:t>
      </w:r>
      <w:r w:rsidRPr="00A92D17">
        <w:t xml:space="preserve">National Alliance for Caregiving and AARP (2004, April). </w:t>
      </w:r>
      <w:r w:rsidRPr="00A92D17">
        <w:rPr>
          <w:i/>
          <w:iCs/>
        </w:rPr>
        <w:t>Caregiving in the U.S. Appendix C</w:t>
      </w:r>
      <w:r w:rsidRPr="00A92D17">
        <w:t xml:space="preserve">, pp. 16-17  retrieved from AARP Web site: </w:t>
      </w:r>
      <w:hyperlink r:id="rId6" w:history="1">
        <w:r w:rsidRPr="00A92D17">
          <w:rPr>
            <w:rStyle w:val="Hyperlink"/>
          </w:rPr>
          <w:t>http://assets.aarp.org/rgcenter/il/us_caregiving.pdf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DDA"/>
    <w:multiLevelType w:val="hybridMultilevel"/>
    <w:tmpl w:val="28942A0C"/>
    <w:lvl w:ilvl="0" w:tplc="EDD0EE08">
      <w:start w:val="1"/>
      <w:numFmt w:val="decimal"/>
      <w:pStyle w:val="Question"/>
      <w:lvlText w:val="%1."/>
      <w:lvlJc w:val="left"/>
      <w:pPr>
        <w:tabs>
          <w:tab w:val="num" w:pos="720"/>
        </w:tabs>
        <w:ind w:left="72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15:restartNumberingAfterBreak="0">
    <w:nsid w:val="01E144EF"/>
    <w:multiLevelType w:val="hybridMultilevel"/>
    <w:tmpl w:val="A00A3DD0"/>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D71BA"/>
    <w:multiLevelType w:val="hybridMultilevel"/>
    <w:tmpl w:val="9E24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7537A"/>
    <w:multiLevelType w:val="hybridMultilevel"/>
    <w:tmpl w:val="FBBAB248"/>
    <w:lvl w:ilvl="0" w:tplc="8B8053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D566C"/>
    <w:multiLevelType w:val="hybridMultilevel"/>
    <w:tmpl w:val="704EC12A"/>
    <w:lvl w:ilvl="0" w:tplc="8BC8FF8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0A603FC9"/>
    <w:multiLevelType w:val="multilevel"/>
    <w:tmpl w:val="E89653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EF03F6E"/>
    <w:multiLevelType w:val="hybridMultilevel"/>
    <w:tmpl w:val="0BB6BA3E"/>
    <w:lvl w:ilvl="0" w:tplc="9EFCAE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3819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FA427CE"/>
    <w:multiLevelType w:val="hybridMultilevel"/>
    <w:tmpl w:val="A510ED9E"/>
    <w:lvl w:ilvl="0" w:tplc="365E1AB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BB3B0B"/>
    <w:multiLevelType w:val="hybridMultilevel"/>
    <w:tmpl w:val="CB16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939A8"/>
    <w:multiLevelType w:val="hybridMultilevel"/>
    <w:tmpl w:val="62CEF314"/>
    <w:lvl w:ilvl="0" w:tplc="76062182">
      <w:start w:val="1"/>
      <w:numFmt w:val="decimal"/>
      <w:lvlText w:val="%1."/>
      <w:lvlJc w:val="left"/>
      <w:pPr>
        <w:tabs>
          <w:tab w:val="num" w:pos="1676"/>
        </w:tabs>
        <w:ind w:left="1676" w:hanging="576"/>
      </w:pPr>
      <w:rPr>
        <w:rFonts w:ascii="Times New Roman" w:hAnsi="Times New Roman" w:hint="default"/>
        <w:b w:val="0"/>
        <w:i w:val="0"/>
        <w:sz w:val="22"/>
        <w:szCs w:val="22"/>
      </w:rPr>
    </w:lvl>
    <w:lvl w:ilvl="1" w:tplc="017E7FF6" w:tentative="1">
      <w:start w:val="1"/>
      <w:numFmt w:val="lowerLetter"/>
      <w:lvlText w:val="%2."/>
      <w:lvlJc w:val="left"/>
      <w:pPr>
        <w:tabs>
          <w:tab w:val="num" w:pos="1440"/>
        </w:tabs>
        <w:ind w:left="1440" w:hanging="360"/>
      </w:pPr>
    </w:lvl>
    <w:lvl w:ilvl="2" w:tplc="7AFEF8F4" w:tentative="1">
      <w:start w:val="1"/>
      <w:numFmt w:val="lowerRoman"/>
      <w:lvlText w:val="%3."/>
      <w:lvlJc w:val="right"/>
      <w:pPr>
        <w:tabs>
          <w:tab w:val="num" w:pos="2160"/>
        </w:tabs>
        <w:ind w:left="2160" w:hanging="180"/>
      </w:pPr>
    </w:lvl>
    <w:lvl w:ilvl="3" w:tplc="40F2EBD8" w:tentative="1">
      <w:start w:val="1"/>
      <w:numFmt w:val="decimal"/>
      <w:lvlText w:val="%4."/>
      <w:lvlJc w:val="left"/>
      <w:pPr>
        <w:tabs>
          <w:tab w:val="num" w:pos="2880"/>
        </w:tabs>
        <w:ind w:left="2880" w:hanging="360"/>
      </w:pPr>
    </w:lvl>
    <w:lvl w:ilvl="4" w:tplc="5BA05BEA" w:tentative="1">
      <w:start w:val="1"/>
      <w:numFmt w:val="lowerLetter"/>
      <w:lvlText w:val="%5."/>
      <w:lvlJc w:val="left"/>
      <w:pPr>
        <w:tabs>
          <w:tab w:val="num" w:pos="3600"/>
        </w:tabs>
        <w:ind w:left="3600" w:hanging="360"/>
      </w:pPr>
    </w:lvl>
    <w:lvl w:ilvl="5" w:tplc="812E345A" w:tentative="1">
      <w:start w:val="1"/>
      <w:numFmt w:val="lowerRoman"/>
      <w:lvlText w:val="%6."/>
      <w:lvlJc w:val="right"/>
      <w:pPr>
        <w:tabs>
          <w:tab w:val="num" w:pos="4320"/>
        </w:tabs>
        <w:ind w:left="4320" w:hanging="180"/>
      </w:pPr>
    </w:lvl>
    <w:lvl w:ilvl="6" w:tplc="BA606A3E" w:tentative="1">
      <w:start w:val="1"/>
      <w:numFmt w:val="decimal"/>
      <w:lvlText w:val="%7."/>
      <w:lvlJc w:val="left"/>
      <w:pPr>
        <w:tabs>
          <w:tab w:val="num" w:pos="5040"/>
        </w:tabs>
        <w:ind w:left="5040" w:hanging="360"/>
      </w:pPr>
    </w:lvl>
    <w:lvl w:ilvl="7" w:tplc="6CA43514" w:tentative="1">
      <w:start w:val="1"/>
      <w:numFmt w:val="lowerLetter"/>
      <w:lvlText w:val="%8."/>
      <w:lvlJc w:val="left"/>
      <w:pPr>
        <w:tabs>
          <w:tab w:val="num" w:pos="5760"/>
        </w:tabs>
        <w:ind w:left="5760" w:hanging="360"/>
      </w:pPr>
    </w:lvl>
    <w:lvl w:ilvl="8" w:tplc="BC909688" w:tentative="1">
      <w:start w:val="1"/>
      <w:numFmt w:val="lowerRoman"/>
      <w:lvlText w:val="%9."/>
      <w:lvlJc w:val="right"/>
      <w:pPr>
        <w:tabs>
          <w:tab w:val="num" w:pos="6480"/>
        </w:tabs>
        <w:ind w:left="6480" w:hanging="180"/>
      </w:pPr>
    </w:lvl>
  </w:abstractNum>
  <w:abstractNum w:abstractNumId="11" w15:restartNumberingAfterBreak="0">
    <w:nsid w:val="146770FB"/>
    <w:multiLevelType w:val="hybridMultilevel"/>
    <w:tmpl w:val="B5BEAB2A"/>
    <w:lvl w:ilvl="0" w:tplc="365E1AB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AB1B2D"/>
    <w:multiLevelType w:val="hybridMultilevel"/>
    <w:tmpl w:val="6D98FA64"/>
    <w:lvl w:ilvl="0" w:tplc="A0D6A7B6">
      <w:start w:val="1"/>
      <w:numFmt w:val="bullet"/>
      <w:lvlText w:val=""/>
      <w:lvlJc w:val="left"/>
      <w:pPr>
        <w:tabs>
          <w:tab w:val="num" w:pos="1584"/>
        </w:tabs>
        <w:ind w:left="1584" w:hanging="432"/>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1C327181"/>
    <w:multiLevelType w:val="hybridMultilevel"/>
    <w:tmpl w:val="490CA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50B5B"/>
    <w:multiLevelType w:val="hybridMultilevel"/>
    <w:tmpl w:val="848C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050FC"/>
    <w:multiLevelType w:val="hybridMultilevel"/>
    <w:tmpl w:val="2926E7E4"/>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E72951"/>
    <w:multiLevelType w:val="multilevel"/>
    <w:tmpl w:val="97563C8C"/>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9D4579A"/>
    <w:multiLevelType w:val="hybridMultilevel"/>
    <w:tmpl w:val="ECF40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D20E6F"/>
    <w:multiLevelType w:val="hybridMultilevel"/>
    <w:tmpl w:val="61D81FFA"/>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30631078"/>
    <w:multiLevelType w:val="hybridMultilevel"/>
    <w:tmpl w:val="DCDC5CE0"/>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0C2A47"/>
    <w:multiLevelType w:val="multilevel"/>
    <w:tmpl w:val="4D341EA8"/>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1"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2" w15:restartNumberingAfterBreak="0">
    <w:nsid w:val="32BC23FF"/>
    <w:multiLevelType w:val="hybridMultilevel"/>
    <w:tmpl w:val="2E1A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482062"/>
    <w:multiLevelType w:val="hybridMultilevel"/>
    <w:tmpl w:val="026AEDB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36DF59DF"/>
    <w:multiLevelType w:val="hybridMultilevel"/>
    <w:tmpl w:val="003A0C68"/>
    <w:lvl w:ilvl="0" w:tplc="3C10A5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AF4FFE"/>
    <w:multiLevelType w:val="hybridMultilevel"/>
    <w:tmpl w:val="CD10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BC3117"/>
    <w:multiLevelType w:val="hybridMultilevel"/>
    <w:tmpl w:val="E3363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E17AC6"/>
    <w:multiLevelType w:val="hybridMultilevel"/>
    <w:tmpl w:val="7BA2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29" w15:restartNumberingAfterBreak="0">
    <w:nsid w:val="471E1742"/>
    <w:multiLevelType w:val="hybridMultilevel"/>
    <w:tmpl w:val="E4B203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76B0DD9"/>
    <w:multiLevelType w:val="hybridMultilevel"/>
    <w:tmpl w:val="FC9EF3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4C4F2C17"/>
    <w:multiLevelType w:val="hybridMultilevel"/>
    <w:tmpl w:val="3C644150"/>
    <w:lvl w:ilvl="0" w:tplc="365E1ABE">
      <w:start w:val="1"/>
      <w:numFmt w:val="bullet"/>
      <w:lvlText w:val=""/>
      <w:lvlJc w:val="left"/>
      <w:pPr>
        <w:tabs>
          <w:tab w:val="num" w:pos="360"/>
        </w:tabs>
        <w:ind w:left="360" w:hanging="360"/>
      </w:pPr>
      <w:rPr>
        <w:rFonts w:ascii="Symbol" w:hAnsi="Symbol" w:hint="default"/>
      </w:rPr>
    </w:lvl>
    <w:lvl w:ilvl="1" w:tplc="A88EEF0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06905"/>
    <w:multiLevelType w:val="hybridMultilevel"/>
    <w:tmpl w:val="4BA6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040270"/>
    <w:multiLevelType w:val="hybridMultilevel"/>
    <w:tmpl w:val="AAA61E00"/>
    <w:lvl w:ilvl="0" w:tplc="049E72AC">
      <w:start w:val="1"/>
      <w:numFmt w:val="bullet"/>
      <w:pStyle w:val="N3-Arial12"/>
      <w:lvlText w:val="-"/>
      <w:lvlJc w:val="left"/>
      <w:pPr>
        <w:tabs>
          <w:tab w:val="num" w:pos="2304"/>
        </w:tabs>
        <w:ind w:left="2304" w:hanging="576"/>
      </w:pPr>
      <w:rPr>
        <w:rFonts w:ascii="Arial" w:hAnsi="Arial" w:hint="default"/>
        <w:sz w:val="24"/>
        <w:szCs w:val="24"/>
      </w:rPr>
    </w:lvl>
    <w:lvl w:ilvl="1" w:tplc="B742E494" w:tentative="1">
      <w:start w:val="1"/>
      <w:numFmt w:val="bullet"/>
      <w:lvlText w:val="o"/>
      <w:lvlJc w:val="left"/>
      <w:pPr>
        <w:tabs>
          <w:tab w:val="num" w:pos="1440"/>
        </w:tabs>
        <w:ind w:left="1440" w:hanging="360"/>
      </w:pPr>
      <w:rPr>
        <w:rFonts w:ascii="Courier New" w:hAnsi="Courier New" w:cs="WP MathA" w:hint="default"/>
      </w:rPr>
    </w:lvl>
    <w:lvl w:ilvl="2" w:tplc="90FA705E" w:tentative="1">
      <w:start w:val="1"/>
      <w:numFmt w:val="bullet"/>
      <w:lvlText w:val=""/>
      <w:lvlJc w:val="left"/>
      <w:pPr>
        <w:tabs>
          <w:tab w:val="num" w:pos="2160"/>
        </w:tabs>
        <w:ind w:left="2160" w:hanging="360"/>
      </w:pPr>
      <w:rPr>
        <w:rFonts w:ascii="Wingdings" w:hAnsi="Wingdings" w:hint="default"/>
      </w:rPr>
    </w:lvl>
    <w:lvl w:ilvl="3" w:tplc="4DD68D26" w:tentative="1">
      <w:start w:val="1"/>
      <w:numFmt w:val="bullet"/>
      <w:lvlText w:val=""/>
      <w:lvlJc w:val="left"/>
      <w:pPr>
        <w:tabs>
          <w:tab w:val="num" w:pos="2880"/>
        </w:tabs>
        <w:ind w:left="2880" w:hanging="360"/>
      </w:pPr>
      <w:rPr>
        <w:rFonts w:ascii="Symbol" w:hAnsi="Symbol" w:hint="default"/>
      </w:rPr>
    </w:lvl>
    <w:lvl w:ilvl="4" w:tplc="7D22F05C" w:tentative="1">
      <w:start w:val="1"/>
      <w:numFmt w:val="bullet"/>
      <w:lvlText w:val="o"/>
      <w:lvlJc w:val="left"/>
      <w:pPr>
        <w:tabs>
          <w:tab w:val="num" w:pos="3600"/>
        </w:tabs>
        <w:ind w:left="3600" w:hanging="360"/>
      </w:pPr>
      <w:rPr>
        <w:rFonts w:ascii="Courier New" w:hAnsi="Courier New" w:cs="WP MathA" w:hint="default"/>
      </w:rPr>
    </w:lvl>
    <w:lvl w:ilvl="5" w:tplc="A8F44062" w:tentative="1">
      <w:start w:val="1"/>
      <w:numFmt w:val="bullet"/>
      <w:lvlText w:val=""/>
      <w:lvlJc w:val="left"/>
      <w:pPr>
        <w:tabs>
          <w:tab w:val="num" w:pos="4320"/>
        </w:tabs>
        <w:ind w:left="4320" w:hanging="360"/>
      </w:pPr>
      <w:rPr>
        <w:rFonts w:ascii="Wingdings" w:hAnsi="Wingdings" w:hint="default"/>
      </w:rPr>
    </w:lvl>
    <w:lvl w:ilvl="6" w:tplc="3BAA352E" w:tentative="1">
      <w:start w:val="1"/>
      <w:numFmt w:val="bullet"/>
      <w:lvlText w:val=""/>
      <w:lvlJc w:val="left"/>
      <w:pPr>
        <w:tabs>
          <w:tab w:val="num" w:pos="5040"/>
        </w:tabs>
        <w:ind w:left="5040" w:hanging="360"/>
      </w:pPr>
      <w:rPr>
        <w:rFonts w:ascii="Symbol" w:hAnsi="Symbol" w:hint="default"/>
      </w:rPr>
    </w:lvl>
    <w:lvl w:ilvl="7" w:tplc="7F52E794" w:tentative="1">
      <w:start w:val="1"/>
      <w:numFmt w:val="bullet"/>
      <w:lvlText w:val="o"/>
      <w:lvlJc w:val="left"/>
      <w:pPr>
        <w:tabs>
          <w:tab w:val="num" w:pos="5760"/>
        </w:tabs>
        <w:ind w:left="5760" w:hanging="360"/>
      </w:pPr>
      <w:rPr>
        <w:rFonts w:ascii="Courier New" w:hAnsi="Courier New" w:cs="WP MathA" w:hint="default"/>
      </w:rPr>
    </w:lvl>
    <w:lvl w:ilvl="8" w:tplc="B220195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E5488C"/>
    <w:multiLevelType w:val="multilevel"/>
    <w:tmpl w:val="B9D24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33448A"/>
    <w:multiLevelType w:val="multilevel"/>
    <w:tmpl w:val="41E8D03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6" w15:restartNumberingAfterBreak="0">
    <w:nsid w:val="55782302"/>
    <w:multiLevelType w:val="multilevel"/>
    <w:tmpl w:val="94D2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7C26A5"/>
    <w:multiLevelType w:val="multilevel"/>
    <w:tmpl w:val="17208632"/>
    <w:lvl w:ilvl="0">
      <w:start w:val="6"/>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5AC1660D"/>
    <w:multiLevelType w:val="hybridMultilevel"/>
    <w:tmpl w:val="846A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7A67D2"/>
    <w:multiLevelType w:val="hybridMultilevel"/>
    <w:tmpl w:val="29448E2E"/>
    <w:lvl w:ilvl="0" w:tplc="74845326">
      <w:start w:val="1"/>
      <w:numFmt w:val="decimal"/>
      <w:lvlText w:val="%1."/>
      <w:lvlJc w:val="left"/>
      <w:pPr>
        <w:ind w:left="720" w:hanging="360"/>
      </w:pPr>
      <w:rPr>
        <w:rFonts w:cs="Times New Roman"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55350E"/>
    <w:multiLevelType w:val="hybridMultilevel"/>
    <w:tmpl w:val="1F6A6B7C"/>
    <w:lvl w:ilvl="0" w:tplc="365E1ABE">
      <w:start w:val="1"/>
      <w:numFmt w:val="bullet"/>
      <w:lvlText w:val=""/>
      <w:lvlJc w:val="left"/>
      <w:pPr>
        <w:tabs>
          <w:tab w:val="num" w:pos="360"/>
        </w:tabs>
        <w:ind w:left="360" w:hanging="360"/>
      </w:pPr>
      <w:rPr>
        <w:rFonts w:ascii="Symbol" w:hAnsi="Symbol" w:hint="default"/>
      </w:rPr>
    </w:lvl>
    <w:lvl w:ilvl="1" w:tplc="FADC821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6B3179"/>
    <w:multiLevelType w:val="hybridMultilevel"/>
    <w:tmpl w:val="7E00405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2" w15:restartNumberingAfterBreak="0">
    <w:nsid w:val="65954B83"/>
    <w:multiLevelType w:val="hybridMultilevel"/>
    <w:tmpl w:val="0AEA28E2"/>
    <w:lvl w:ilvl="0" w:tplc="833040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C095759"/>
    <w:multiLevelType w:val="hybridMultilevel"/>
    <w:tmpl w:val="525AC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2205B9"/>
    <w:multiLevelType w:val="hybridMultilevel"/>
    <w:tmpl w:val="983007EA"/>
    <w:lvl w:ilvl="0" w:tplc="286873D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5F1DF6"/>
    <w:multiLevelType w:val="hybridMultilevel"/>
    <w:tmpl w:val="527CF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E661AF"/>
    <w:multiLevelType w:val="multilevel"/>
    <w:tmpl w:val="9648CB8E"/>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7F4F5BCB"/>
    <w:multiLevelType w:val="hybridMultilevel"/>
    <w:tmpl w:val="9F60C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33"/>
  </w:num>
  <w:num w:numId="3">
    <w:abstractNumId w:val="28"/>
  </w:num>
  <w:num w:numId="4">
    <w:abstractNumId w:val="34"/>
  </w:num>
  <w:num w:numId="5">
    <w:abstractNumId w:val="25"/>
  </w:num>
  <w:num w:numId="6">
    <w:abstractNumId w:val="17"/>
  </w:num>
  <w:num w:numId="7">
    <w:abstractNumId w:val="26"/>
  </w:num>
  <w:num w:numId="8">
    <w:abstractNumId w:val="9"/>
  </w:num>
  <w:num w:numId="9">
    <w:abstractNumId w:val="14"/>
  </w:num>
  <w:num w:numId="10">
    <w:abstractNumId w:val="41"/>
  </w:num>
  <w:num w:numId="11">
    <w:abstractNumId w:val="22"/>
  </w:num>
  <w:num w:numId="12">
    <w:abstractNumId w:val="32"/>
  </w:num>
  <w:num w:numId="13">
    <w:abstractNumId w:val="38"/>
  </w:num>
  <w:num w:numId="14">
    <w:abstractNumId w:val="27"/>
  </w:num>
  <w:num w:numId="15">
    <w:abstractNumId w:val="2"/>
  </w:num>
  <w:num w:numId="16">
    <w:abstractNumId w:val="43"/>
  </w:num>
  <w:num w:numId="17">
    <w:abstractNumId w:val="23"/>
  </w:num>
  <w:num w:numId="18">
    <w:abstractNumId w:val="7"/>
  </w:num>
  <w:num w:numId="19">
    <w:abstractNumId w:val="3"/>
  </w:num>
  <w:num w:numId="20">
    <w:abstractNumId w:val="16"/>
  </w:num>
  <w:num w:numId="21">
    <w:abstractNumId w:val="11"/>
  </w:num>
  <w:num w:numId="22">
    <w:abstractNumId w:val="1"/>
  </w:num>
  <w:num w:numId="23">
    <w:abstractNumId w:val="15"/>
  </w:num>
  <w:num w:numId="24">
    <w:abstractNumId w:val="8"/>
  </w:num>
  <w:num w:numId="25">
    <w:abstractNumId w:val="19"/>
  </w:num>
  <w:num w:numId="26">
    <w:abstractNumId w:val="40"/>
  </w:num>
  <w:num w:numId="27">
    <w:abstractNumId w:val="31"/>
  </w:num>
  <w:num w:numId="28">
    <w:abstractNumId w:val="44"/>
  </w:num>
  <w:num w:numId="29">
    <w:abstractNumId w:val="4"/>
  </w:num>
  <w:num w:numId="30">
    <w:abstractNumId w:val="29"/>
  </w:num>
  <w:num w:numId="31">
    <w:abstractNumId w:val="6"/>
  </w:num>
  <w:num w:numId="32">
    <w:abstractNumId w:val="0"/>
  </w:num>
  <w:num w:numId="33">
    <w:abstractNumId w:val="39"/>
  </w:num>
  <w:num w:numId="34">
    <w:abstractNumId w:val="5"/>
  </w:num>
  <w:num w:numId="35">
    <w:abstractNumId w:val="37"/>
  </w:num>
  <w:num w:numId="36">
    <w:abstractNumId w:val="46"/>
  </w:num>
  <w:num w:numId="37">
    <w:abstractNumId w:val="20"/>
  </w:num>
  <w:num w:numId="38">
    <w:abstractNumId w:val="24"/>
  </w:num>
  <w:num w:numId="39">
    <w:abstractNumId w:val="35"/>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47"/>
  </w:num>
  <w:num w:numId="43">
    <w:abstractNumId w:val="45"/>
  </w:num>
  <w:num w:numId="44">
    <w:abstractNumId w:val="36"/>
  </w:num>
  <w:num w:numId="45">
    <w:abstractNumId w:val="18"/>
  </w:num>
  <w:num w:numId="46">
    <w:abstractNumId w:val="30"/>
  </w:num>
  <w:num w:numId="47">
    <w:abstractNumId w:val="10"/>
  </w:num>
  <w:num w:numId="48">
    <w:abstractNumId w:val="12"/>
  </w:num>
  <w:num w:numId="49">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CD"/>
    <w:rsid w:val="00012513"/>
    <w:rsid w:val="0001295F"/>
    <w:rsid w:val="00013D47"/>
    <w:rsid w:val="0002380E"/>
    <w:rsid w:val="00025A66"/>
    <w:rsid w:val="000267F5"/>
    <w:rsid w:val="00030E54"/>
    <w:rsid w:val="00034A1C"/>
    <w:rsid w:val="00036B67"/>
    <w:rsid w:val="00040C81"/>
    <w:rsid w:val="00041070"/>
    <w:rsid w:val="00043EE2"/>
    <w:rsid w:val="00044FA3"/>
    <w:rsid w:val="00046DCF"/>
    <w:rsid w:val="00053045"/>
    <w:rsid w:val="00055674"/>
    <w:rsid w:val="0005600B"/>
    <w:rsid w:val="000575E2"/>
    <w:rsid w:val="0006107E"/>
    <w:rsid w:val="00063073"/>
    <w:rsid w:val="00063F63"/>
    <w:rsid w:val="00064B5A"/>
    <w:rsid w:val="0006762F"/>
    <w:rsid w:val="000709C9"/>
    <w:rsid w:val="000710D8"/>
    <w:rsid w:val="00071410"/>
    <w:rsid w:val="000730A3"/>
    <w:rsid w:val="00074184"/>
    <w:rsid w:val="0007733F"/>
    <w:rsid w:val="00081B6D"/>
    <w:rsid w:val="00083302"/>
    <w:rsid w:val="000838A3"/>
    <w:rsid w:val="0008487E"/>
    <w:rsid w:val="000857D1"/>
    <w:rsid w:val="00093472"/>
    <w:rsid w:val="00093A0A"/>
    <w:rsid w:val="00096B94"/>
    <w:rsid w:val="00097938"/>
    <w:rsid w:val="000A1641"/>
    <w:rsid w:val="000A404F"/>
    <w:rsid w:val="000B3184"/>
    <w:rsid w:val="000B31C3"/>
    <w:rsid w:val="000B5481"/>
    <w:rsid w:val="000C2B97"/>
    <w:rsid w:val="000C640B"/>
    <w:rsid w:val="000D0DAB"/>
    <w:rsid w:val="000D0F31"/>
    <w:rsid w:val="000D153A"/>
    <w:rsid w:val="000D29DA"/>
    <w:rsid w:val="000D52F0"/>
    <w:rsid w:val="000D61AB"/>
    <w:rsid w:val="000D6404"/>
    <w:rsid w:val="000D6F98"/>
    <w:rsid w:val="000D78DF"/>
    <w:rsid w:val="000D7BDA"/>
    <w:rsid w:val="000E06DF"/>
    <w:rsid w:val="000E167D"/>
    <w:rsid w:val="000E3AC0"/>
    <w:rsid w:val="000E46A1"/>
    <w:rsid w:val="000E5001"/>
    <w:rsid w:val="000F3B11"/>
    <w:rsid w:val="000F7CBE"/>
    <w:rsid w:val="00101B68"/>
    <w:rsid w:val="0010367B"/>
    <w:rsid w:val="00103969"/>
    <w:rsid w:val="00106618"/>
    <w:rsid w:val="00110A96"/>
    <w:rsid w:val="00112F9E"/>
    <w:rsid w:val="00115A8F"/>
    <w:rsid w:val="00116FF3"/>
    <w:rsid w:val="0012167B"/>
    <w:rsid w:val="0012692E"/>
    <w:rsid w:val="00127E5A"/>
    <w:rsid w:val="0013436B"/>
    <w:rsid w:val="00135570"/>
    <w:rsid w:val="00136E3C"/>
    <w:rsid w:val="00136EBC"/>
    <w:rsid w:val="00140C1F"/>
    <w:rsid w:val="00141591"/>
    <w:rsid w:val="00144A7C"/>
    <w:rsid w:val="0014710E"/>
    <w:rsid w:val="001510F2"/>
    <w:rsid w:val="00152542"/>
    <w:rsid w:val="00153164"/>
    <w:rsid w:val="00155FB3"/>
    <w:rsid w:val="0016258C"/>
    <w:rsid w:val="00164D68"/>
    <w:rsid w:val="00166EB5"/>
    <w:rsid w:val="0016731F"/>
    <w:rsid w:val="00171391"/>
    <w:rsid w:val="00173171"/>
    <w:rsid w:val="001773E7"/>
    <w:rsid w:val="0018108A"/>
    <w:rsid w:val="00183004"/>
    <w:rsid w:val="00187874"/>
    <w:rsid w:val="0019060F"/>
    <w:rsid w:val="00192ED2"/>
    <w:rsid w:val="001A046C"/>
    <w:rsid w:val="001A7389"/>
    <w:rsid w:val="001B1F55"/>
    <w:rsid w:val="001B2F13"/>
    <w:rsid w:val="001B319F"/>
    <w:rsid w:val="001B412E"/>
    <w:rsid w:val="001C061E"/>
    <w:rsid w:val="001C1189"/>
    <w:rsid w:val="001C1B4D"/>
    <w:rsid w:val="001C4606"/>
    <w:rsid w:val="001C586B"/>
    <w:rsid w:val="001D1354"/>
    <w:rsid w:val="001D14C4"/>
    <w:rsid w:val="001D311E"/>
    <w:rsid w:val="001D67C7"/>
    <w:rsid w:val="001D743B"/>
    <w:rsid w:val="001E01F5"/>
    <w:rsid w:val="001E1731"/>
    <w:rsid w:val="001E6BC8"/>
    <w:rsid w:val="001F67FD"/>
    <w:rsid w:val="00200F9D"/>
    <w:rsid w:val="00205A3D"/>
    <w:rsid w:val="00210F23"/>
    <w:rsid w:val="0022601D"/>
    <w:rsid w:val="00227767"/>
    <w:rsid w:val="002348B7"/>
    <w:rsid w:val="00237F5D"/>
    <w:rsid w:val="00241A42"/>
    <w:rsid w:val="00250819"/>
    <w:rsid w:val="00251F92"/>
    <w:rsid w:val="00252875"/>
    <w:rsid w:val="00253509"/>
    <w:rsid w:val="00264ACB"/>
    <w:rsid w:val="00264EB5"/>
    <w:rsid w:val="00272323"/>
    <w:rsid w:val="002733FB"/>
    <w:rsid w:val="00274DD8"/>
    <w:rsid w:val="00276198"/>
    <w:rsid w:val="002778CC"/>
    <w:rsid w:val="00277AAB"/>
    <w:rsid w:val="002800E9"/>
    <w:rsid w:val="00281BCA"/>
    <w:rsid w:val="00283047"/>
    <w:rsid w:val="00284338"/>
    <w:rsid w:val="002844F3"/>
    <w:rsid w:val="00290418"/>
    <w:rsid w:val="00293D8A"/>
    <w:rsid w:val="00296070"/>
    <w:rsid w:val="00296C1E"/>
    <w:rsid w:val="002A13E6"/>
    <w:rsid w:val="002A1D88"/>
    <w:rsid w:val="002A43B0"/>
    <w:rsid w:val="002A4516"/>
    <w:rsid w:val="002A5FB7"/>
    <w:rsid w:val="002A6A7F"/>
    <w:rsid w:val="002A6BCD"/>
    <w:rsid w:val="002B020F"/>
    <w:rsid w:val="002B04DD"/>
    <w:rsid w:val="002B33DE"/>
    <w:rsid w:val="002B5CD6"/>
    <w:rsid w:val="002B675D"/>
    <w:rsid w:val="002C0DE2"/>
    <w:rsid w:val="002C5AF0"/>
    <w:rsid w:val="002D5D8C"/>
    <w:rsid w:val="002D715B"/>
    <w:rsid w:val="002E01CB"/>
    <w:rsid w:val="002E43FF"/>
    <w:rsid w:val="002E4BBE"/>
    <w:rsid w:val="002E4C76"/>
    <w:rsid w:val="002E52C7"/>
    <w:rsid w:val="002E73AB"/>
    <w:rsid w:val="002E756A"/>
    <w:rsid w:val="002E75D1"/>
    <w:rsid w:val="002F14F4"/>
    <w:rsid w:val="002F1BA6"/>
    <w:rsid w:val="00300753"/>
    <w:rsid w:val="00300983"/>
    <w:rsid w:val="00300E22"/>
    <w:rsid w:val="00301E85"/>
    <w:rsid w:val="00306437"/>
    <w:rsid w:val="00307613"/>
    <w:rsid w:val="00312AE4"/>
    <w:rsid w:val="00314BF4"/>
    <w:rsid w:val="003201A7"/>
    <w:rsid w:val="00320E35"/>
    <w:rsid w:val="0032100F"/>
    <w:rsid w:val="0032318A"/>
    <w:rsid w:val="003236FA"/>
    <w:rsid w:val="00323FFA"/>
    <w:rsid w:val="003244D9"/>
    <w:rsid w:val="0032599B"/>
    <w:rsid w:val="00325E85"/>
    <w:rsid w:val="0033230A"/>
    <w:rsid w:val="00332601"/>
    <w:rsid w:val="00332D2A"/>
    <w:rsid w:val="00334542"/>
    <w:rsid w:val="0033495C"/>
    <w:rsid w:val="00336DE2"/>
    <w:rsid w:val="00345625"/>
    <w:rsid w:val="003527E7"/>
    <w:rsid w:val="00355F16"/>
    <w:rsid w:val="00366DF9"/>
    <w:rsid w:val="00374CCE"/>
    <w:rsid w:val="00375C65"/>
    <w:rsid w:val="003766BD"/>
    <w:rsid w:val="00376C06"/>
    <w:rsid w:val="003905D4"/>
    <w:rsid w:val="00391191"/>
    <w:rsid w:val="00391CF1"/>
    <w:rsid w:val="00397B4B"/>
    <w:rsid w:val="003A33EF"/>
    <w:rsid w:val="003A4630"/>
    <w:rsid w:val="003B365A"/>
    <w:rsid w:val="003B3E5A"/>
    <w:rsid w:val="003C2224"/>
    <w:rsid w:val="003C4F05"/>
    <w:rsid w:val="003C6E94"/>
    <w:rsid w:val="003E07AE"/>
    <w:rsid w:val="003E5AC8"/>
    <w:rsid w:val="003E6ECB"/>
    <w:rsid w:val="003E6F97"/>
    <w:rsid w:val="003F0860"/>
    <w:rsid w:val="003F1FCD"/>
    <w:rsid w:val="003F4228"/>
    <w:rsid w:val="00401EA0"/>
    <w:rsid w:val="00402223"/>
    <w:rsid w:val="00404A79"/>
    <w:rsid w:val="004123B0"/>
    <w:rsid w:val="00413DB8"/>
    <w:rsid w:val="00413DFB"/>
    <w:rsid w:val="0041673E"/>
    <w:rsid w:val="00422359"/>
    <w:rsid w:val="004251B5"/>
    <w:rsid w:val="00425D79"/>
    <w:rsid w:val="00432FA7"/>
    <w:rsid w:val="004339FF"/>
    <w:rsid w:val="004348F9"/>
    <w:rsid w:val="00435856"/>
    <w:rsid w:val="004378FB"/>
    <w:rsid w:val="00440247"/>
    <w:rsid w:val="0044259E"/>
    <w:rsid w:val="0044292C"/>
    <w:rsid w:val="00444611"/>
    <w:rsid w:val="00444C9D"/>
    <w:rsid w:val="0045122D"/>
    <w:rsid w:val="004534BE"/>
    <w:rsid w:val="00455DF7"/>
    <w:rsid w:val="004578E6"/>
    <w:rsid w:val="00461E5D"/>
    <w:rsid w:val="00463238"/>
    <w:rsid w:val="00465C4A"/>
    <w:rsid w:val="004671CB"/>
    <w:rsid w:val="0047147E"/>
    <w:rsid w:val="004736BC"/>
    <w:rsid w:val="00480386"/>
    <w:rsid w:val="0048185C"/>
    <w:rsid w:val="00485492"/>
    <w:rsid w:val="004854AA"/>
    <w:rsid w:val="004911D1"/>
    <w:rsid w:val="004951B1"/>
    <w:rsid w:val="00496403"/>
    <w:rsid w:val="004A21FE"/>
    <w:rsid w:val="004A34B7"/>
    <w:rsid w:val="004B16D6"/>
    <w:rsid w:val="004B441A"/>
    <w:rsid w:val="004C1972"/>
    <w:rsid w:val="004C2987"/>
    <w:rsid w:val="004C6C8F"/>
    <w:rsid w:val="004C7F6C"/>
    <w:rsid w:val="004E0C96"/>
    <w:rsid w:val="004E6DD7"/>
    <w:rsid w:val="004E7BE5"/>
    <w:rsid w:val="004F171C"/>
    <w:rsid w:val="004F2572"/>
    <w:rsid w:val="005072C3"/>
    <w:rsid w:val="00507A34"/>
    <w:rsid w:val="00514C0E"/>
    <w:rsid w:val="005156C4"/>
    <w:rsid w:val="005217E1"/>
    <w:rsid w:val="00522854"/>
    <w:rsid w:val="005263C3"/>
    <w:rsid w:val="00526BCB"/>
    <w:rsid w:val="005271F1"/>
    <w:rsid w:val="005344A0"/>
    <w:rsid w:val="005350D7"/>
    <w:rsid w:val="0053545C"/>
    <w:rsid w:val="005421AC"/>
    <w:rsid w:val="00543D3E"/>
    <w:rsid w:val="00545608"/>
    <w:rsid w:val="00551282"/>
    <w:rsid w:val="00554A68"/>
    <w:rsid w:val="00555ED4"/>
    <w:rsid w:val="005620CB"/>
    <w:rsid w:val="005718B0"/>
    <w:rsid w:val="00571F09"/>
    <w:rsid w:val="005722BF"/>
    <w:rsid w:val="0057263A"/>
    <w:rsid w:val="00576539"/>
    <w:rsid w:val="00576910"/>
    <w:rsid w:val="00577AD3"/>
    <w:rsid w:val="00581799"/>
    <w:rsid w:val="005849AC"/>
    <w:rsid w:val="00585A70"/>
    <w:rsid w:val="005921BC"/>
    <w:rsid w:val="005A2A92"/>
    <w:rsid w:val="005A33BC"/>
    <w:rsid w:val="005A4E69"/>
    <w:rsid w:val="005A73EA"/>
    <w:rsid w:val="005A7AE4"/>
    <w:rsid w:val="005B0555"/>
    <w:rsid w:val="005B266E"/>
    <w:rsid w:val="005B3FD9"/>
    <w:rsid w:val="005B5308"/>
    <w:rsid w:val="005B7F77"/>
    <w:rsid w:val="005C0AF5"/>
    <w:rsid w:val="005C2D2A"/>
    <w:rsid w:val="005C3D54"/>
    <w:rsid w:val="005C61B1"/>
    <w:rsid w:val="005C77A7"/>
    <w:rsid w:val="005E0300"/>
    <w:rsid w:val="005E0321"/>
    <w:rsid w:val="005E5494"/>
    <w:rsid w:val="005F113A"/>
    <w:rsid w:val="005F1520"/>
    <w:rsid w:val="005F5CF8"/>
    <w:rsid w:val="00600678"/>
    <w:rsid w:val="00601161"/>
    <w:rsid w:val="00601DFC"/>
    <w:rsid w:val="0060328D"/>
    <w:rsid w:val="006038CB"/>
    <w:rsid w:val="00610289"/>
    <w:rsid w:val="006102C0"/>
    <w:rsid w:val="00613324"/>
    <w:rsid w:val="00613334"/>
    <w:rsid w:val="00614728"/>
    <w:rsid w:val="006209E6"/>
    <w:rsid w:val="00631D01"/>
    <w:rsid w:val="006332BC"/>
    <w:rsid w:val="00637719"/>
    <w:rsid w:val="00645992"/>
    <w:rsid w:val="00647DA6"/>
    <w:rsid w:val="0065763F"/>
    <w:rsid w:val="00657A73"/>
    <w:rsid w:val="00663E9D"/>
    <w:rsid w:val="00666E55"/>
    <w:rsid w:val="0067284B"/>
    <w:rsid w:val="00674F33"/>
    <w:rsid w:val="00677210"/>
    <w:rsid w:val="006776AC"/>
    <w:rsid w:val="00680E97"/>
    <w:rsid w:val="00680F72"/>
    <w:rsid w:val="006812E1"/>
    <w:rsid w:val="00683B46"/>
    <w:rsid w:val="0068668A"/>
    <w:rsid w:val="006908C4"/>
    <w:rsid w:val="00690994"/>
    <w:rsid w:val="0069354B"/>
    <w:rsid w:val="00693EB9"/>
    <w:rsid w:val="006959B9"/>
    <w:rsid w:val="006A02ED"/>
    <w:rsid w:val="006A0DF3"/>
    <w:rsid w:val="006A348F"/>
    <w:rsid w:val="006A6B8F"/>
    <w:rsid w:val="006B63E3"/>
    <w:rsid w:val="006B6C24"/>
    <w:rsid w:val="006C4EBF"/>
    <w:rsid w:val="006D103B"/>
    <w:rsid w:val="006D226C"/>
    <w:rsid w:val="006D321C"/>
    <w:rsid w:val="006D642E"/>
    <w:rsid w:val="006F2C59"/>
    <w:rsid w:val="006F3A36"/>
    <w:rsid w:val="0070138E"/>
    <w:rsid w:val="0070514E"/>
    <w:rsid w:val="00705312"/>
    <w:rsid w:val="00705ABF"/>
    <w:rsid w:val="00705F8E"/>
    <w:rsid w:val="00705FF0"/>
    <w:rsid w:val="0070666F"/>
    <w:rsid w:val="0070697C"/>
    <w:rsid w:val="00710CD3"/>
    <w:rsid w:val="00711F3F"/>
    <w:rsid w:val="00712A67"/>
    <w:rsid w:val="00715855"/>
    <w:rsid w:val="00715DD7"/>
    <w:rsid w:val="0071658F"/>
    <w:rsid w:val="00717EA0"/>
    <w:rsid w:val="00720F3F"/>
    <w:rsid w:val="0072579B"/>
    <w:rsid w:val="00725D80"/>
    <w:rsid w:val="00727B9F"/>
    <w:rsid w:val="007311CC"/>
    <w:rsid w:val="00731744"/>
    <w:rsid w:val="00731C73"/>
    <w:rsid w:val="00733813"/>
    <w:rsid w:val="00733DDB"/>
    <w:rsid w:val="007400A1"/>
    <w:rsid w:val="00740DE9"/>
    <w:rsid w:val="007435D5"/>
    <w:rsid w:val="00745536"/>
    <w:rsid w:val="00763F3D"/>
    <w:rsid w:val="007700D6"/>
    <w:rsid w:val="00770577"/>
    <w:rsid w:val="00772D29"/>
    <w:rsid w:val="007745FC"/>
    <w:rsid w:val="00774F3A"/>
    <w:rsid w:val="00790DDF"/>
    <w:rsid w:val="007910B9"/>
    <w:rsid w:val="0079188F"/>
    <w:rsid w:val="00794E89"/>
    <w:rsid w:val="007950B2"/>
    <w:rsid w:val="00795403"/>
    <w:rsid w:val="0079596B"/>
    <w:rsid w:val="007960FE"/>
    <w:rsid w:val="007967D5"/>
    <w:rsid w:val="00796BE2"/>
    <w:rsid w:val="007A1042"/>
    <w:rsid w:val="007A22FB"/>
    <w:rsid w:val="007A2475"/>
    <w:rsid w:val="007A4B85"/>
    <w:rsid w:val="007A7495"/>
    <w:rsid w:val="007B2C1D"/>
    <w:rsid w:val="007C29DB"/>
    <w:rsid w:val="007D0DEC"/>
    <w:rsid w:val="007D5C4C"/>
    <w:rsid w:val="007D6B51"/>
    <w:rsid w:val="007D7356"/>
    <w:rsid w:val="007E3FF7"/>
    <w:rsid w:val="007E6D69"/>
    <w:rsid w:val="007F14B8"/>
    <w:rsid w:val="007F1EE7"/>
    <w:rsid w:val="00801139"/>
    <w:rsid w:val="00801A98"/>
    <w:rsid w:val="00803B04"/>
    <w:rsid w:val="0080400D"/>
    <w:rsid w:val="00806DFC"/>
    <w:rsid w:val="008075AF"/>
    <w:rsid w:val="008133DF"/>
    <w:rsid w:val="008171D1"/>
    <w:rsid w:val="00820559"/>
    <w:rsid w:val="008207A6"/>
    <w:rsid w:val="00821A79"/>
    <w:rsid w:val="00822848"/>
    <w:rsid w:val="00830005"/>
    <w:rsid w:val="00831CB9"/>
    <w:rsid w:val="0083215D"/>
    <w:rsid w:val="00832EEE"/>
    <w:rsid w:val="00841C57"/>
    <w:rsid w:val="008539C0"/>
    <w:rsid w:val="00853E24"/>
    <w:rsid w:val="0086154B"/>
    <w:rsid w:val="00861C17"/>
    <w:rsid w:val="00864924"/>
    <w:rsid w:val="0086604A"/>
    <w:rsid w:val="00867EAC"/>
    <w:rsid w:val="00872248"/>
    <w:rsid w:val="00873F44"/>
    <w:rsid w:val="00875935"/>
    <w:rsid w:val="0087611E"/>
    <w:rsid w:val="008820BB"/>
    <w:rsid w:val="00882D85"/>
    <w:rsid w:val="008866A4"/>
    <w:rsid w:val="008867D1"/>
    <w:rsid w:val="00892DA8"/>
    <w:rsid w:val="008930A0"/>
    <w:rsid w:val="00895026"/>
    <w:rsid w:val="008A1DF0"/>
    <w:rsid w:val="008A294C"/>
    <w:rsid w:val="008A57CC"/>
    <w:rsid w:val="008B1FC3"/>
    <w:rsid w:val="008B3D54"/>
    <w:rsid w:val="008B643D"/>
    <w:rsid w:val="008C3CF7"/>
    <w:rsid w:val="008C4E31"/>
    <w:rsid w:val="008C5962"/>
    <w:rsid w:val="008C613F"/>
    <w:rsid w:val="008C7291"/>
    <w:rsid w:val="008D14CD"/>
    <w:rsid w:val="008D49FC"/>
    <w:rsid w:val="008D773F"/>
    <w:rsid w:val="008E075A"/>
    <w:rsid w:val="008F0DD6"/>
    <w:rsid w:val="008F2AD9"/>
    <w:rsid w:val="008F71B0"/>
    <w:rsid w:val="00902148"/>
    <w:rsid w:val="0090348A"/>
    <w:rsid w:val="00904F97"/>
    <w:rsid w:val="00907CB5"/>
    <w:rsid w:val="00910C31"/>
    <w:rsid w:val="00914381"/>
    <w:rsid w:val="00920B27"/>
    <w:rsid w:val="00921EC4"/>
    <w:rsid w:val="00926138"/>
    <w:rsid w:val="00927A6B"/>
    <w:rsid w:val="009309BB"/>
    <w:rsid w:val="009312AC"/>
    <w:rsid w:val="009325F1"/>
    <w:rsid w:val="009349AA"/>
    <w:rsid w:val="00935309"/>
    <w:rsid w:val="00944F04"/>
    <w:rsid w:val="0095339F"/>
    <w:rsid w:val="00954742"/>
    <w:rsid w:val="00955B6A"/>
    <w:rsid w:val="0096038B"/>
    <w:rsid w:val="009613C4"/>
    <w:rsid w:val="009618E8"/>
    <w:rsid w:val="00965DF0"/>
    <w:rsid w:val="00966353"/>
    <w:rsid w:val="00972129"/>
    <w:rsid w:val="00975346"/>
    <w:rsid w:val="00982388"/>
    <w:rsid w:val="0098515F"/>
    <w:rsid w:val="009A028C"/>
    <w:rsid w:val="009A292C"/>
    <w:rsid w:val="009A2AC6"/>
    <w:rsid w:val="009A5C6C"/>
    <w:rsid w:val="009A7C54"/>
    <w:rsid w:val="009B042B"/>
    <w:rsid w:val="009B1C18"/>
    <w:rsid w:val="009B3338"/>
    <w:rsid w:val="009B4A1D"/>
    <w:rsid w:val="009B5E45"/>
    <w:rsid w:val="009B6506"/>
    <w:rsid w:val="009C089E"/>
    <w:rsid w:val="009C1DC8"/>
    <w:rsid w:val="009C357B"/>
    <w:rsid w:val="009C4100"/>
    <w:rsid w:val="009C5E24"/>
    <w:rsid w:val="009C69D6"/>
    <w:rsid w:val="009C720C"/>
    <w:rsid w:val="009D0750"/>
    <w:rsid w:val="009D26D7"/>
    <w:rsid w:val="009D7448"/>
    <w:rsid w:val="009E1A7B"/>
    <w:rsid w:val="009E70A2"/>
    <w:rsid w:val="009F0934"/>
    <w:rsid w:val="009F0B5D"/>
    <w:rsid w:val="009F3C74"/>
    <w:rsid w:val="009F56D0"/>
    <w:rsid w:val="009F651F"/>
    <w:rsid w:val="00A012FD"/>
    <w:rsid w:val="00A04358"/>
    <w:rsid w:val="00A13C0A"/>
    <w:rsid w:val="00A20385"/>
    <w:rsid w:val="00A211C2"/>
    <w:rsid w:val="00A21CC9"/>
    <w:rsid w:val="00A238DC"/>
    <w:rsid w:val="00A31D89"/>
    <w:rsid w:val="00A32765"/>
    <w:rsid w:val="00A328D5"/>
    <w:rsid w:val="00A345E5"/>
    <w:rsid w:val="00A361EF"/>
    <w:rsid w:val="00A40468"/>
    <w:rsid w:val="00A40ECB"/>
    <w:rsid w:val="00A4528C"/>
    <w:rsid w:val="00A452A4"/>
    <w:rsid w:val="00A45F7C"/>
    <w:rsid w:val="00A46760"/>
    <w:rsid w:val="00A47305"/>
    <w:rsid w:val="00A51128"/>
    <w:rsid w:val="00A51AA8"/>
    <w:rsid w:val="00A6361C"/>
    <w:rsid w:val="00A739D2"/>
    <w:rsid w:val="00A80ABD"/>
    <w:rsid w:val="00A82AF4"/>
    <w:rsid w:val="00A843B9"/>
    <w:rsid w:val="00A84CD7"/>
    <w:rsid w:val="00A87D77"/>
    <w:rsid w:val="00A87F0F"/>
    <w:rsid w:val="00A9130F"/>
    <w:rsid w:val="00A92367"/>
    <w:rsid w:val="00A92D17"/>
    <w:rsid w:val="00A9356F"/>
    <w:rsid w:val="00A9407F"/>
    <w:rsid w:val="00A943E9"/>
    <w:rsid w:val="00A96B1F"/>
    <w:rsid w:val="00AA1B95"/>
    <w:rsid w:val="00AA1BF4"/>
    <w:rsid w:val="00AA36F7"/>
    <w:rsid w:val="00AA5DA4"/>
    <w:rsid w:val="00AB1A1B"/>
    <w:rsid w:val="00AB448F"/>
    <w:rsid w:val="00AB4CD8"/>
    <w:rsid w:val="00AB7774"/>
    <w:rsid w:val="00AC3F34"/>
    <w:rsid w:val="00AC5D60"/>
    <w:rsid w:val="00AC7F3D"/>
    <w:rsid w:val="00AD08C9"/>
    <w:rsid w:val="00AD0B6F"/>
    <w:rsid w:val="00AD2088"/>
    <w:rsid w:val="00AD4A60"/>
    <w:rsid w:val="00AD4D6C"/>
    <w:rsid w:val="00AD6FD3"/>
    <w:rsid w:val="00AD7FB6"/>
    <w:rsid w:val="00AE024B"/>
    <w:rsid w:val="00AE027F"/>
    <w:rsid w:val="00AE1D16"/>
    <w:rsid w:val="00AE2D06"/>
    <w:rsid w:val="00AE3E05"/>
    <w:rsid w:val="00AE554E"/>
    <w:rsid w:val="00B001B9"/>
    <w:rsid w:val="00B006CD"/>
    <w:rsid w:val="00B00FC4"/>
    <w:rsid w:val="00B0175C"/>
    <w:rsid w:val="00B040C9"/>
    <w:rsid w:val="00B04B57"/>
    <w:rsid w:val="00B113CE"/>
    <w:rsid w:val="00B1150F"/>
    <w:rsid w:val="00B13AF7"/>
    <w:rsid w:val="00B20725"/>
    <w:rsid w:val="00B23E09"/>
    <w:rsid w:val="00B24ECE"/>
    <w:rsid w:val="00B25061"/>
    <w:rsid w:val="00B31EDD"/>
    <w:rsid w:val="00B402EF"/>
    <w:rsid w:val="00B418E1"/>
    <w:rsid w:val="00B431BA"/>
    <w:rsid w:val="00B4537D"/>
    <w:rsid w:val="00B45B3A"/>
    <w:rsid w:val="00B5595D"/>
    <w:rsid w:val="00B63A25"/>
    <w:rsid w:val="00B70FA6"/>
    <w:rsid w:val="00B73EF6"/>
    <w:rsid w:val="00B75A2B"/>
    <w:rsid w:val="00B80765"/>
    <w:rsid w:val="00B80B74"/>
    <w:rsid w:val="00B810F1"/>
    <w:rsid w:val="00B8269D"/>
    <w:rsid w:val="00B8290F"/>
    <w:rsid w:val="00B84C5B"/>
    <w:rsid w:val="00B93E80"/>
    <w:rsid w:val="00B94F9F"/>
    <w:rsid w:val="00B9760E"/>
    <w:rsid w:val="00B97D42"/>
    <w:rsid w:val="00BA3EE1"/>
    <w:rsid w:val="00BA693F"/>
    <w:rsid w:val="00BA6F54"/>
    <w:rsid w:val="00BB3611"/>
    <w:rsid w:val="00BC0CF0"/>
    <w:rsid w:val="00BC34D3"/>
    <w:rsid w:val="00BC400C"/>
    <w:rsid w:val="00BC4206"/>
    <w:rsid w:val="00BC4E91"/>
    <w:rsid w:val="00BD08AC"/>
    <w:rsid w:val="00BD1F60"/>
    <w:rsid w:val="00BD3863"/>
    <w:rsid w:val="00BD3FB1"/>
    <w:rsid w:val="00BD5CBC"/>
    <w:rsid w:val="00BD61D2"/>
    <w:rsid w:val="00BE0C33"/>
    <w:rsid w:val="00BE7041"/>
    <w:rsid w:val="00BF2935"/>
    <w:rsid w:val="00BF3C9B"/>
    <w:rsid w:val="00BF4808"/>
    <w:rsid w:val="00BF493A"/>
    <w:rsid w:val="00BF5303"/>
    <w:rsid w:val="00C00D30"/>
    <w:rsid w:val="00C01943"/>
    <w:rsid w:val="00C07643"/>
    <w:rsid w:val="00C13254"/>
    <w:rsid w:val="00C13FA5"/>
    <w:rsid w:val="00C156AB"/>
    <w:rsid w:val="00C20FAC"/>
    <w:rsid w:val="00C21A07"/>
    <w:rsid w:val="00C22CB2"/>
    <w:rsid w:val="00C2728B"/>
    <w:rsid w:val="00C32B2E"/>
    <w:rsid w:val="00C35CDC"/>
    <w:rsid w:val="00C3781E"/>
    <w:rsid w:val="00C42167"/>
    <w:rsid w:val="00C50E80"/>
    <w:rsid w:val="00C53950"/>
    <w:rsid w:val="00C56DAD"/>
    <w:rsid w:val="00C60A8E"/>
    <w:rsid w:val="00C61128"/>
    <w:rsid w:val="00C6165A"/>
    <w:rsid w:val="00C622A1"/>
    <w:rsid w:val="00C63A8D"/>
    <w:rsid w:val="00C715B5"/>
    <w:rsid w:val="00C73A78"/>
    <w:rsid w:val="00C73C23"/>
    <w:rsid w:val="00C74D3C"/>
    <w:rsid w:val="00C75E1B"/>
    <w:rsid w:val="00C850F0"/>
    <w:rsid w:val="00C865ED"/>
    <w:rsid w:val="00C93392"/>
    <w:rsid w:val="00C93DB1"/>
    <w:rsid w:val="00C95A80"/>
    <w:rsid w:val="00CA30C6"/>
    <w:rsid w:val="00CA6B2E"/>
    <w:rsid w:val="00CA7F63"/>
    <w:rsid w:val="00CB701E"/>
    <w:rsid w:val="00CD1CF5"/>
    <w:rsid w:val="00CD6854"/>
    <w:rsid w:val="00CE505B"/>
    <w:rsid w:val="00CE69FA"/>
    <w:rsid w:val="00CE6E5F"/>
    <w:rsid w:val="00CF30D3"/>
    <w:rsid w:val="00CF559C"/>
    <w:rsid w:val="00CF5894"/>
    <w:rsid w:val="00CF7827"/>
    <w:rsid w:val="00D00C91"/>
    <w:rsid w:val="00D03F6D"/>
    <w:rsid w:val="00D04BD3"/>
    <w:rsid w:val="00D07D5E"/>
    <w:rsid w:val="00D12224"/>
    <w:rsid w:val="00D15D6D"/>
    <w:rsid w:val="00D1689A"/>
    <w:rsid w:val="00D16A18"/>
    <w:rsid w:val="00D2712F"/>
    <w:rsid w:val="00D3113F"/>
    <w:rsid w:val="00D32840"/>
    <w:rsid w:val="00D358C8"/>
    <w:rsid w:val="00D35F25"/>
    <w:rsid w:val="00D36100"/>
    <w:rsid w:val="00D365AD"/>
    <w:rsid w:val="00D36C99"/>
    <w:rsid w:val="00D37DE0"/>
    <w:rsid w:val="00D41B16"/>
    <w:rsid w:val="00D433D0"/>
    <w:rsid w:val="00D46A0A"/>
    <w:rsid w:val="00D54C8F"/>
    <w:rsid w:val="00D56A77"/>
    <w:rsid w:val="00D5706C"/>
    <w:rsid w:val="00D6303D"/>
    <w:rsid w:val="00D66858"/>
    <w:rsid w:val="00D713C9"/>
    <w:rsid w:val="00D7315D"/>
    <w:rsid w:val="00D73867"/>
    <w:rsid w:val="00D73BA7"/>
    <w:rsid w:val="00D73F55"/>
    <w:rsid w:val="00D7529F"/>
    <w:rsid w:val="00D7652F"/>
    <w:rsid w:val="00D80142"/>
    <w:rsid w:val="00D805B8"/>
    <w:rsid w:val="00D8145E"/>
    <w:rsid w:val="00D85131"/>
    <w:rsid w:val="00D914B6"/>
    <w:rsid w:val="00D91F8D"/>
    <w:rsid w:val="00D936D2"/>
    <w:rsid w:val="00D95557"/>
    <w:rsid w:val="00D96F8A"/>
    <w:rsid w:val="00D97AFA"/>
    <w:rsid w:val="00DA70E4"/>
    <w:rsid w:val="00DB2FE5"/>
    <w:rsid w:val="00DB53B9"/>
    <w:rsid w:val="00DB5407"/>
    <w:rsid w:val="00DB7454"/>
    <w:rsid w:val="00DC3806"/>
    <w:rsid w:val="00DC795C"/>
    <w:rsid w:val="00DC7F21"/>
    <w:rsid w:val="00DD356A"/>
    <w:rsid w:val="00DE08D1"/>
    <w:rsid w:val="00DE0A0E"/>
    <w:rsid w:val="00DE33A6"/>
    <w:rsid w:val="00DE4193"/>
    <w:rsid w:val="00DE5F50"/>
    <w:rsid w:val="00DE6450"/>
    <w:rsid w:val="00DF3672"/>
    <w:rsid w:val="00DF5684"/>
    <w:rsid w:val="00DF6381"/>
    <w:rsid w:val="00E00C43"/>
    <w:rsid w:val="00E02F98"/>
    <w:rsid w:val="00E038DE"/>
    <w:rsid w:val="00E0489D"/>
    <w:rsid w:val="00E05BF3"/>
    <w:rsid w:val="00E076E2"/>
    <w:rsid w:val="00E07A2D"/>
    <w:rsid w:val="00E100E2"/>
    <w:rsid w:val="00E12C9C"/>
    <w:rsid w:val="00E14DD9"/>
    <w:rsid w:val="00E17577"/>
    <w:rsid w:val="00E17B6F"/>
    <w:rsid w:val="00E2448D"/>
    <w:rsid w:val="00E26E74"/>
    <w:rsid w:val="00E27071"/>
    <w:rsid w:val="00E30421"/>
    <w:rsid w:val="00E32086"/>
    <w:rsid w:val="00E32E13"/>
    <w:rsid w:val="00E37602"/>
    <w:rsid w:val="00E37756"/>
    <w:rsid w:val="00E40590"/>
    <w:rsid w:val="00E41BA6"/>
    <w:rsid w:val="00E42B37"/>
    <w:rsid w:val="00E56258"/>
    <w:rsid w:val="00E56906"/>
    <w:rsid w:val="00E570E0"/>
    <w:rsid w:val="00E57619"/>
    <w:rsid w:val="00E608EC"/>
    <w:rsid w:val="00E60B25"/>
    <w:rsid w:val="00E6571C"/>
    <w:rsid w:val="00E66324"/>
    <w:rsid w:val="00E67A3C"/>
    <w:rsid w:val="00E70102"/>
    <w:rsid w:val="00E71660"/>
    <w:rsid w:val="00E746C2"/>
    <w:rsid w:val="00E80DD4"/>
    <w:rsid w:val="00E80EAF"/>
    <w:rsid w:val="00E87913"/>
    <w:rsid w:val="00E93A22"/>
    <w:rsid w:val="00E95811"/>
    <w:rsid w:val="00EA424B"/>
    <w:rsid w:val="00EA7F29"/>
    <w:rsid w:val="00EB257B"/>
    <w:rsid w:val="00EB2ADA"/>
    <w:rsid w:val="00EB4316"/>
    <w:rsid w:val="00EB55C7"/>
    <w:rsid w:val="00EC1870"/>
    <w:rsid w:val="00EC2223"/>
    <w:rsid w:val="00EC3690"/>
    <w:rsid w:val="00EC43E0"/>
    <w:rsid w:val="00EC7C5A"/>
    <w:rsid w:val="00ED1D85"/>
    <w:rsid w:val="00ED2710"/>
    <w:rsid w:val="00ED2B39"/>
    <w:rsid w:val="00ED5D0A"/>
    <w:rsid w:val="00ED667E"/>
    <w:rsid w:val="00ED674D"/>
    <w:rsid w:val="00ED68B1"/>
    <w:rsid w:val="00EE0CE9"/>
    <w:rsid w:val="00EE4959"/>
    <w:rsid w:val="00EE4C96"/>
    <w:rsid w:val="00EE5169"/>
    <w:rsid w:val="00EE60CD"/>
    <w:rsid w:val="00EF081C"/>
    <w:rsid w:val="00EF14F3"/>
    <w:rsid w:val="00F04532"/>
    <w:rsid w:val="00F04A09"/>
    <w:rsid w:val="00F05246"/>
    <w:rsid w:val="00F06122"/>
    <w:rsid w:val="00F06575"/>
    <w:rsid w:val="00F1036E"/>
    <w:rsid w:val="00F17282"/>
    <w:rsid w:val="00F20778"/>
    <w:rsid w:val="00F20F95"/>
    <w:rsid w:val="00F22303"/>
    <w:rsid w:val="00F26154"/>
    <w:rsid w:val="00F261BC"/>
    <w:rsid w:val="00F31237"/>
    <w:rsid w:val="00F31768"/>
    <w:rsid w:val="00F3275F"/>
    <w:rsid w:val="00F34498"/>
    <w:rsid w:val="00F34D3E"/>
    <w:rsid w:val="00F37FDE"/>
    <w:rsid w:val="00F4055F"/>
    <w:rsid w:val="00F40AC1"/>
    <w:rsid w:val="00F4129A"/>
    <w:rsid w:val="00F5053E"/>
    <w:rsid w:val="00F523FB"/>
    <w:rsid w:val="00F52497"/>
    <w:rsid w:val="00F5259E"/>
    <w:rsid w:val="00F6296A"/>
    <w:rsid w:val="00F62F95"/>
    <w:rsid w:val="00F72787"/>
    <w:rsid w:val="00F74EF3"/>
    <w:rsid w:val="00F76CDC"/>
    <w:rsid w:val="00F77BF5"/>
    <w:rsid w:val="00F77E63"/>
    <w:rsid w:val="00F8054B"/>
    <w:rsid w:val="00F82E4B"/>
    <w:rsid w:val="00F83AC0"/>
    <w:rsid w:val="00F86901"/>
    <w:rsid w:val="00F870D7"/>
    <w:rsid w:val="00F93B85"/>
    <w:rsid w:val="00F946E3"/>
    <w:rsid w:val="00FA2460"/>
    <w:rsid w:val="00FA72BF"/>
    <w:rsid w:val="00FB0DCA"/>
    <w:rsid w:val="00FB273B"/>
    <w:rsid w:val="00FB61A4"/>
    <w:rsid w:val="00FB6D10"/>
    <w:rsid w:val="00FC56CE"/>
    <w:rsid w:val="00FC5AD9"/>
    <w:rsid w:val="00FD780F"/>
    <w:rsid w:val="00FE2B9D"/>
    <w:rsid w:val="00FE58A0"/>
    <w:rsid w:val="00FE5AE3"/>
    <w:rsid w:val="00FF1B5E"/>
    <w:rsid w:val="00FF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BF4DA60"/>
  <w15:docId w15:val="{4C954704-30B1-4FC1-9C59-8ADD69E1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AC1"/>
    <w:pPr>
      <w:spacing w:line="240" w:lineRule="atLeast"/>
      <w:jc w:val="both"/>
    </w:pPr>
    <w:rPr>
      <w:sz w:val="22"/>
    </w:rPr>
  </w:style>
  <w:style w:type="paragraph" w:styleId="Heading1">
    <w:name w:val="heading 1"/>
    <w:aliases w:val="H1-Sec.Head"/>
    <w:basedOn w:val="Normal"/>
    <w:next w:val="P1-StandPara"/>
    <w:qFormat/>
    <w:rsid w:val="00F40A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F40AC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F40AC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40AC1"/>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40AC1"/>
    <w:pPr>
      <w:keepLines/>
      <w:spacing w:before="360" w:line="360" w:lineRule="atLeast"/>
      <w:jc w:val="center"/>
      <w:outlineLvl w:val="4"/>
    </w:pPr>
  </w:style>
  <w:style w:type="paragraph" w:styleId="Heading6">
    <w:name w:val="heading 6"/>
    <w:basedOn w:val="Normal"/>
    <w:next w:val="Normal"/>
    <w:qFormat/>
    <w:rsid w:val="00F40AC1"/>
    <w:pPr>
      <w:keepNext/>
      <w:spacing w:before="240"/>
      <w:jc w:val="center"/>
      <w:outlineLvl w:val="5"/>
    </w:pPr>
    <w:rPr>
      <w:b/>
      <w:caps/>
    </w:rPr>
  </w:style>
  <w:style w:type="paragraph" w:styleId="Heading7">
    <w:name w:val="heading 7"/>
    <w:basedOn w:val="Normal"/>
    <w:next w:val="Normal"/>
    <w:qFormat/>
    <w:rsid w:val="00F40AC1"/>
    <w:pPr>
      <w:spacing w:before="240" w:after="60"/>
      <w:outlineLvl w:val="6"/>
    </w:pPr>
  </w:style>
  <w:style w:type="paragraph" w:styleId="Heading8">
    <w:name w:val="heading 8"/>
    <w:basedOn w:val="Normal"/>
    <w:next w:val="Normal"/>
    <w:qFormat/>
    <w:rsid w:val="00F40AC1"/>
    <w:pPr>
      <w:keepNext/>
      <w:outlineLvl w:val="7"/>
    </w:pPr>
    <w:rPr>
      <w:u w:val="single"/>
    </w:rPr>
  </w:style>
  <w:style w:type="paragraph" w:styleId="Heading9">
    <w:name w:val="heading 9"/>
    <w:basedOn w:val="Normal"/>
    <w:next w:val="Normal"/>
    <w:qFormat/>
    <w:rsid w:val="00F40AC1"/>
    <w:pPr>
      <w:keepNext/>
      <w:ind w:firstLine="576"/>
      <w:outlineLvl w:val="8"/>
    </w:pPr>
    <w:rPr>
      <w:b/>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F40AC1"/>
    <w:pPr>
      <w:spacing w:line="360" w:lineRule="atLeast"/>
      <w:ind w:firstLine="1152"/>
      <w:jc w:val="both"/>
    </w:pPr>
    <w:rPr>
      <w:sz w:val="22"/>
    </w:rPr>
  </w:style>
  <w:style w:type="paragraph" w:customStyle="1" w:styleId="none">
    <w:name w:val="none"/>
    <w:rsid w:val="00F40AC1"/>
    <w:pPr>
      <w:framePr w:hSpace="187" w:vSpace="187" w:wrap="notBeside" w:vAnchor="text" w:hAnchor="text" w:y="1"/>
      <w:widowControl w:val="0"/>
      <w:jc w:val="center"/>
    </w:pPr>
    <w:rPr>
      <w:rFonts w:ascii="Arial" w:hAnsi="Arial"/>
      <w:b/>
      <w:sz w:val="22"/>
    </w:rPr>
  </w:style>
  <w:style w:type="paragraph" w:customStyle="1" w:styleId="C2-CtrSglSp">
    <w:name w:val="C2-Ctr Sgl Sp"/>
    <w:rsid w:val="00F40AC1"/>
    <w:pPr>
      <w:keepLines/>
      <w:spacing w:line="240" w:lineRule="atLeast"/>
      <w:jc w:val="center"/>
    </w:pPr>
    <w:rPr>
      <w:sz w:val="22"/>
    </w:rPr>
  </w:style>
  <w:style w:type="paragraph" w:customStyle="1" w:styleId="C3-CtrSp12">
    <w:name w:val="C3-Ctr Sp&amp;1/2"/>
    <w:rsid w:val="00F40AC1"/>
    <w:pPr>
      <w:keepLines/>
      <w:spacing w:line="360" w:lineRule="atLeast"/>
      <w:jc w:val="center"/>
    </w:pPr>
    <w:rPr>
      <w:sz w:val="22"/>
    </w:rPr>
  </w:style>
  <w:style w:type="paragraph" w:customStyle="1" w:styleId="E1-Equation">
    <w:name w:val="E1-Equation"/>
    <w:rsid w:val="00F40AC1"/>
    <w:pPr>
      <w:tabs>
        <w:tab w:val="center" w:pos="4680"/>
        <w:tab w:val="right" w:pos="9360"/>
      </w:tabs>
      <w:spacing w:line="240" w:lineRule="atLeast"/>
      <w:jc w:val="both"/>
    </w:pPr>
    <w:rPr>
      <w:sz w:val="22"/>
    </w:rPr>
  </w:style>
  <w:style w:type="paragraph" w:customStyle="1" w:styleId="E2-Equation">
    <w:name w:val="E2-Equation"/>
    <w:basedOn w:val="E1-Equation"/>
    <w:rsid w:val="00F40AC1"/>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F40AC1"/>
    <w:pPr>
      <w:tabs>
        <w:tab w:val="left" w:pos="120"/>
      </w:tabs>
      <w:spacing w:before="120" w:line="200" w:lineRule="atLeast"/>
      <w:ind w:left="115" w:hanging="115"/>
      <w:jc w:val="both"/>
    </w:pPr>
    <w:rPr>
      <w:sz w:val="16"/>
    </w:rPr>
  </w:style>
  <w:style w:type="paragraph" w:customStyle="1" w:styleId="L1-FlLSp12">
    <w:name w:val="L1-FlL Sp&amp;1/2"/>
    <w:rsid w:val="00F40AC1"/>
    <w:pPr>
      <w:tabs>
        <w:tab w:val="left" w:pos="1152"/>
      </w:tabs>
      <w:spacing w:line="360" w:lineRule="atLeast"/>
      <w:jc w:val="both"/>
    </w:pPr>
    <w:rPr>
      <w:sz w:val="22"/>
    </w:rPr>
  </w:style>
  <w:style w:type="paragraph" w:customStyle="1" w:styleId="N0-FlLftBullet">
    <w:name w:val="N0-Fl Lft Bullet"/>
    <w:basedOn w:val="Normal"/>
    <w:rsid w:val="00F40AC1"/>
    <w:pPr>
      <w:tabs>
        <w:tab w:val="left" w:pos="576"/>
      </w:tabs>
      <w:spacing w:after="240"/>
      <w:ind w:left="576" w:hanging="576"/>
    </w:pPr>
  </w:style>
  <w:style w:type="paragraph" w:customStyle="1" w:styleId="N1-1stBullet">
    <w:name w:val="N1-1st Bullet"/>
    <w:basedOn w:val="Normal"/>
    <w:rsid w:val="00F40AC1"/>
    <w:pPr>
      <w:tabs>
        <w:tab w:val="left" w:pos="1152"/>
      </w:tabs>
      <w:spacing w:after="240"/>
      <w:ind w:left="1152" w:hanging="576"/>
    </w:pPr>
  </w:style>
  <w:style w:type="paragraph" w:customStyle="1" w:styleId="N2-2ndBullet">
    <w:name w:val="N2-2nd Bullet"/>
    <w:basedOn w:val="Normal"/>
    <w:rsid w:val="00F40AC1"/>
    <w:pPr>
      <w:numPr>
        <w:numId w:val="1"/>
      </w:numPr>
      <w:tabs>
        <w:tab w:val="clear" w:pos="0"/>
        <w:tab w:val="left" w:pos="1728"/>
      </w:tabs>
      <w:spacing w:after="120"/>
    </w:pPr>
  </w:style>
  <w:style w:type="paragraph" w:customStyle="1" w:styleId="N3-3rdBullet">
    <w:name w:val="N3-3rd Bullet"/>
    <w:basedOn w:val="Normal"/>
    <w:rsid w:val="00F40AC1"/>
    <w:pPr>
      <w:tabs>
        <w:tab w:val="left" w:pos="2304"/>
      </w:tabs>
      <w:spacing w:after="240"/>
      <w:ind w:left="2304" w:hanging="576"/>
    </w:pPr>
  </w:style>
  <w:style w:type="paragraph" w:customStyle="1" w:styleId="N4-4thBullet">
    <w:name w:val="N4-4th Bullet"/>
    <w:basedOn w:val="Normal"/>
    <w:rsid w:val="00F40AC1"/>
    <w:pPr>
      <w:tabs>
        <w:tab w:val="left" w:pos="2880"/>
      </w:tabs>
      <w:spacing w:after="240"/>
      <w:ind w:left="2880" w:hanging="576"/>
    </w:pPr>
  </w:style>
  <w:style w:type="paragraph" w:customStyle="1" w:styleId="N5-5thBullet">
    <w:name w:val="N5-5th Bullet"/>
    <w:basedOn w:val="Normal"/>
    <w:rsid w:val="00F40AC1"/>
    <w:pPr>
      <w:tabs>
        <w:tab w:val="left" w:pos="3456"/>
      </w:tabs>
      <w:spacing w:after="240"/>
      <w:ind w:left="3456" w:hanging="576"/>
    </w:pPr>
  </w:style>
  <w:style w:type="paragraph" w:customStyle="1" w:styleId="N6-DateInd">
    <w:name w:val="N6-Date Ind."/>
    <w:basedOn w:val="Normal"/>
    <w:rsid w:val="00F40AC1"/>
    <w:pPr>
      <w:tabs>
        <w:tab w:val="left" w:pos="5400"/>
      </w:tabs>
      <w:ind w:left="5400"/>
    </w:pPr>
  </w:style>
  <w:style w:type="paragraph" w:customStyle="1" w:styleId="N7-3Block">
    <w:name w:val="N7-3&quot; Block"/>
    <w:basedOn w:val="Normal"/>
    <w:rsid w:val="00F40AC1"/>
    <w:pPr>
      <w:tabs>
        <w:tab w:val="left" w:pos="1152"/>
      </w:tabs>
      <w:ind w:left="1152" w:right="1152"/>
    </w:pPr>
  </w:style>
  <w:style w:type="paragraph" w:customStyle="1" w:styleId="N8-QxQBlock">
    <w:name w:val="N8-QxQ Block"/>
    <w:rsid w:val="00F40AC1"/>
    <w:pPr>
      <w:tabs>
        <w:tab w:val="left" w:pos="1152"/>
      </w:tabs>
      <w:spacing w:after="360" w:line="360" w:lineRule="atLeast"/>
      <w:ind w:left="1152" w:hanging="1152"/>
      <w:jc w:val="both"/>
    </w:pPr>
    <w:rPr>
      <w:sz w:val="22"/>
    </w:rPr>
  </w:style>
  <w:style w:type="paragraph" w:customStyle="1" w:styleId="Q1-BestFinQ">
    <w:name w:val="Q1-Best/Fin Q"/>
    <w:rsid w:val="00F40AC1"/>
    <w:pPr>
      <w:tabs>
        <w:tab w:val="left" w:pos="1152"/>
      </w:tabs>
      <w:spacing w:after="360" w:line="240" w:lineRule="atLeast"/>
      <w:ind w:left="1152" w:hanging="1152"/>
      <w:jc w:val="both"/>
    </w:pPr>
    <w:rPr>
      <w:b/>
      <w:sz w:val="22"/>
    </w:rPr>
  </w:style>
  <w:style w:type="paragraph" w:customStyle="1" w:styleId="SH-SglSpHead">
    <w:name w:val="SH-Sgl Sp Head"/>
    <w:rsid w:val="00F40AC1"/>
    <w:pPr>
      <w:keepNext/>
      <w:tabs>
        <w:tab w:val="left" w:pos="576"/>
      </w:tabs>
      <w:spacing w:line="240" w:lineRule="atLeast"/>
      <w:ind w:left="576" w:hanging="576"/>
    </w:pPr>
    <w:rPr>
      <w:b/>
      <w:sz w:val="22"/>
    </w:rPr>
  </w:style>
  <w:style w:type="paragraph" w:customStyle="1" w:styleId="SL-FlLftSgl">
    <w:name w:val="SL-Fl Lft Sgl"/>
    <w:rsid w:val="00F40AC1"/>
    <w:pPr>
      <w:spacing w:line="240" w:lineRule="atLeast"/>
      <w:jc w:val="both"/>
    </w:pPr>
    <w:rPr>
      <w:sz w:val="22"/>
    </w:rPr>
  </w:style>
  <w:style w:type="paragraph" w:customStyle="1" w:styleId="SP-SglSpPara">
    <w:name w:val="SP-Sgl Sp Para"/>
    <w:rsid w:val="00F40AC1"/>
    <w:pPr>
      <w:tabs>
        <w:tab w:val="left" w:pos="576"/>
      </w:tabs>
      <w:spacing w:line="240" w:lineRule="atLeast"/>
      <w:ind w:firstLine="576"/>
      <w:jc w:val="both"/>
    </w:pPr>
    <w:rPr>
      <w:sz w:val="22"/>
    </w:rPr>
  </w:style>
  <w:style w:type="paragraph" w:customStyle="1" w:styleId="T0-ChapPgHd">
    <w:name w:val="T0-Chap/Pg Hd"/>
    <w:rsid w:val="00F40AC1"/>
    <w:pPr>
      <w:tabs>
        <w:tab w:val="left" w:pos="8640"/>
      </w:tabs>
      <w:spacing w:line="240" w:lineRule="atLeast"/>
      <w:jc w:val="both"/>
    </w:pPr>
    <w:rPr>
      <w:sz w:val="22"/>
      <w:u w:val="words"/>
    </w:rPr>
  </w:style>
  <w:style w:type="paragraph" w:styleId="TOC1">
    <w:name w:val="toc 1"/>
    <w:semiHidden/>
    <w:rsid w:val="00F40AC1"/>
    <w:pPr>
      <w:tabs>
        <w:tab w:val="left" w:pos="1440"/>
        <w:tab w:val="right" w:leader="dot" w:pos="8208"/>
        <w:tab w:val="left" w:pos="8640"/>
      </w:tabs>
      <w:spacing w:line="240" w:lineRule="atLeast"/>
      <w:ind w:left="288"/>
    </w:pPr>
    <w:rPr>
      <w:caps/>
      <w:sz w:val="22"/>
    </w:rPr>
  </w:style>
  <w:style w:type="paragraph" w:styleId="TOC2">
    <w:name w:val="toc 2"/>
    <w:semiHidden/>
    <w:rsid w:val="00F40AC1"/>
    <w:pPr>
      <w:tabs>
        <w:tab w:val="left" w:pos="2160"/>
        <w:tab w:val="right" w:leader="dot" w:pos="8208"/>
        <w:tab w:val="left" w:pos="8640"/>
      </w:tabs>
      <w:spacing w:line="240" w:lineRule="atLeast"/>
      <w:ind w:left="2160" w:hanging="720"/>
    </w:pPr>
    <w:rPr>
      <w:sz w:val="22"/>
    </w:rPr>
  </w:style>
  <w:style w:type="paragraph" w:styleId="TOC3">
    <w:name w:val="toc 3"/>
    <w:semiHidden/>
    <w:rsid w:val="00F40AC1"/>
    <w:pPr>
      <w:tabs>
        <w:tab w:val="left" w:pos="3024"/>
        <w:tab w:val="right" w:leader="dot" w:pos="8208"/>
        <w:tab w:val="left" w:pos="8640"/>
      </w:tabs>
      <w:spacing w:line="240" w:lineRule="atLeast"/>
      <w:ind w:left="3024" w:hanging="864"/>
    </w:pPr>
    <w:rPr>
      <w:sz w:val="22"/>
    </w:rPr>
  </w:style>
  <w:style w:type="paragraph" w:styleId="TOC4">
    <w:name w:val="toc 4"/>
    <w:semiHidden/>
    <w:rsid w:val="00F40AC1"/>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F40AC1"/>
    <w:rPr>
      <w:caps w:val="0"/>
    </w:rPr>
  </w:style>
  <w:style w:type="paragraph" w:customStyle="1" w:styleId="TT-TableTitle">
    <w:name w:val="TT-Table Title"/>
    <w:rsid w:val="00F40AC1"/>
    <w:pPr>
      <w:tabs>
        <w:tab w:val="left" w:pos="1152"/>
      </w:tabs>
      <w:spacing w:line="240" w:lineRule="atLeast"/>
      <w:ind w:left="1152" w:hanging="1152"/>
    </w:pPr>
    <w:rPr>
      <w:sz w:val="22"/>
    </w:rPr>
  </w:style>
  <w:style w:type="paragraph" w:styleId="Header">
    <w:name w:val="header"/>
    <w:basedOn w:val="Normal"/>
    <w:link w:val="HeaderChar"/>
    <w:uiPriority w:val="99"/>
    <w:rsid w:val="00F40AC1"/>
    <w:pPr>
      <w:tabs>
        <w:tab w:val="center" w:pos="4320"/>
        <w:tab w:val="right" w:pos="8640"/>
      </w:tabs>
    </w:pPr>
    <w:rPr>
      <w:sz w:val="16"/>
    </w:rPr>
  </w:style>
  <w:style w:type="paragraph" w:styleId="Footer">
    <w:name w:val="footer"/>
    <w:basedOn w:val="Normal"/>
    <w:link w:val="FooterChar"/>
    <w:uiPriority w:val="99"/>
    <w:rsid w:val="00F40AC1"/>
    <w:pPr>
      <w:tabs>
        <w:tab w:val="center" w:pos="4320"/>
        <w:tab w:val="right" w:pos="8640"/>
      </w:tabs>
    </w:pPr>
  </w:style>
  <w:style w:type="paragraph" w:customStyle="1" w:styleId="CT-ContractInformation">
    <w:name w:val="CT-Contract Information"/>
    <w:rsid w:val="00F40AC1"/>
    <w:pPr>
      <w:tabs>
        <w:tab w:val="left" w:pos="1958"/>
      </w:tabs>
      <w:spacing w:line="240" w:lineRule="exact"/>
    </w:pPr>
    <w:rPr>
      <w:vanish/>
      <w:sz w:val="22"/>
    </w:rPr>
  </w:style>
  <w:style w:type="paragraph" w:customStyle="1" w:styleId="R1-ResPara">
    <w:name w:val="R1-Res. Para"/>
    <w:rsid w:val="00F40AC1"/>
    <w:pPr>
      <w:spacing w:line="240" w:lineRule="exact"/>
      <w:ind w:left="288"/>
      <w:jc w:val="both"/>
    </w:pPr>
    <w:rPr>
      <w:sz w:val="22"/>
    </w:rPr>
  </w:style>
  <w:style w:type="paragraph" w:customStyle="1" w:styleId="R2-ResBullet">
    <w:name w:val="R2-Res Bullet"/>
    <w:rsid w:val="00F40AC1"/>
    <w:pPr>
      <w:tabs>
        <w:tab w:val="left" w:pos="720"/>
      </w:tabs>
      <w:spacing w:line="240" w:lineRule="exact"/>
      <w:ind w:left="720" w:hanging="432"/>
      <w:jc w:val="both"/>
    </w:pPr>
    <w:rPr>
      <w:sz w:val="22"/>
    </w:rPr>
  </w:style>
  <w:style w:type="paragraph" w:customStyle="1" w:styleId="RF-Reference">
    <w:name w:val="RF-Reference"/>
    <w:rsid w:val="00F40AC1"/>
    <w:pPr>
      <w:spacing w:line="240" w:lineRule="exact"/>
      <w:ind w:left="216" w:hanging="216"/>
    </w:pPr>
    <w:rPr>
      <w:sz w:val="22"/>
    </w:rPr>
  </w:style>
  <w:style w:type="paragraph" w:customStyle="1" w:styleId="RH-SglSpHead">
    <w:name w:val="RH-Sgl Sp Head"/>
    <w:basedOn w:val="Normal"/>
    <w:next w:val="RL-FlLftSgl"/>
    <w:rsid w:val="00F40AC1"/>
    <w:pPr>
      <w:keepNext/>
      <w:pBdr>
        <w:bottom w:val="double" w:sz="6" w:space="1" w:color="auto"/>
      </w:pBdr>
      <w:spacing w:after="480" w:line="240" w:lineRule="exact"/>
      <w:jc w:val="left"/>
    </w:pPr>
    <w:rPr>
      <w:b/>
    </w:rPr>
  </w:style>
  <w:style w:type="paragraph" w:customStyle="1" w:styleId="RL-FlLftSgl">
    <w:name w:val="RL-Fl Lft Sgl"/>
    <w:basedOn w:val="Normal"/>
    <w:rsid w:val="00F40AC1"/>
    <w:pPr>
      <w:keepNext/>
      <w:spacing w:line="240" w:lineRule="exact"/>
    </w:pPr>
    <w:rPr>
      <w:b/>
    </w:rPr>
  </w:style>
  <w:style w:type="paragraph" w:customStyle="1" w:styleId="SU-FlLftUndln">
    <w:name w:val="SU-Fl Lft Undln"/>
    <w:rsid w:val="00F40AC1"/>
    <w:pPr>
      <w:keepNext/>
      <w:spacing w:line="240" w:lineRule="exact"/>
    </w:pPr>
    <w:rPr>
      <w:sz w:val="22"/>
      <w:u w:val="single"/>
    </w:rPr>
  </w:style>
  <w:style w:type="character" w:styleId="FootnoteReference">
    <w:name w:val="footnote reference"/>
    <w:semiHidden/>
    <w:rsid w:val="00F40AC1"/>
  </w:style>
  <w:style w:type="character" w:styleId="PageNumber">
    <w:name w:val="page number"/>
    <w:basedOn w:val="DefaultParagraphFont"/>
    <w:rsid w:val="00F40AC1"/>
  </w:style>
  <w:style w:type="paragraph" w:styleId="BodyTextIndent">
    <w:name w:val="Body Text Indent"/>
    <w:basedOn w:val="Normal"/>
    <w:link w:val="BodyTextIndentChar"/>
    <w:rsid w:val="00F40AC1"/>
    <w:pPr>
      <w:spacing w:line="240" w:lineRule="auto"/>
      <w:ind w:left="720"/>
      <w:jc w:val="left"/>
    </w:pPr>
    <w:rPr>
      <w:sz w:val="24"/>
    </w:rPr>
  </w:style>
  <w:style w:type="character" w:styleId="Hyperlink">
    <w:name w:val="Hyperlink"/>
    <w:basedOn w:val="DefaultParagraphFont"/>
    <w:rsid w:val="00F40AC1"/>
    <w:rPr>
      <w:color w:val="0000FF"/>
      <w:u w:val="single"/>
    </w:rPr>
  </w:style>
  <w:style w:type="paragraph" w:customStyle="1" w:styleId="a">
    <w:name w:val="_"/>
    <w:basedOn w:val="Normal"/>
    <w:rsid w:val="00F40AC1"/>
    <w:pPr>
      <w:widowControl w:val="0"/>
      <w:spacing w:line="240" w:lineRule="auto"/>
      <w:ind w:left="360" w:hanging="360"/>
      <w:jc w:val="left"/>
    </w:pPr>
    <w:rPr>
      <w:snapToGrid w:val="0"/>
      <w:sz w:val="24"/>
    </w:rPr>
  </w:style>
  <w:style w:type="character" w:customStyle="1" w:styleId="ALT-uunderlining">
    <w:name w:val="ALT-u underlining"/>
    <w:rsid w:val="00F40AC1"/>
    <w:rPr>
      <w:rFonts w:ascii="Times" w:hAnsi="Times"/>
      <w:sz w:val="22"/>
      <w:u w:val="single"/>
    </w:rPr>
  </w:style>
  <w:style w:type="paragraph" w:customStyle="1" w:styleId="Style1">
    <w:name w:val="Style1"/>
    <w:basedOn w:val="Normal"/>
    <w:autoRedefine/>
    <w:rsid w:val="00F40AC1"/>
    <w:pPr>
      <w:widowControl w:val="0"/>
      <w:spacing w:line="240" w:lineRule="auto"/>
    </w:pPr>
    <w:rPr>
      <w:b/>
      <w:snapToGrid w:val="0"/>
    </w:rPr>
  </w:style>
  <w:style w:type="paragraph" w:customStyle="1" w:styleId="Style2">
    <w:name w:val="Style2"/>
    <w:basedOn w:val="Normal"/>
    <w:autoRedefine/>
    <w:rsid w:val="00F40AC1"/>
    <w:pPr>
      <w:widowControl w:val="0"/>
      <w:spacing w:line="240" w:lineRule="auto"/>
      <w:ind w:left="360"/>
      <w:jc w:val="left"/>
    </w:pPr>
    <w:rPr>
      <w:snapToGrid w:val="0"/>
    </w:rPr>
  </w:style>
  <w:style w:type="paragraph" w:customStyle="1" w:styleId="Style3">
    <w:name w:val="Style3"/>
    <w:basedOn w:val="Normal"/>
    <w:autoRedefine/>
    <w:rsid w:val="00F40AC1"/>
    <w:pPr>
      <w:widowControl w:val="0"/>
      <w:spacing w:line="240" w:lineRule="auto"/>
      <w:jc w:val="left"/>
    </w:pPr>
    <w:rPr>
      <w:snapToGrid w:val="0"/>
    </w:rPr>
  </w:style>
  <w:style w:type="paragraph" w:customStyle="1" w:styleId="Style4">
    <w:name w:val="Style4"/>
    <w:basedOn w:val="Normal"/>
    <w:autoRedefine/>
    <w:rsid w:val="00F40A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rsid w:val="00F40AC1"/>
    <w:pPr>
      <w:widowControl w:val="0"/>
      <w:tabs>
        <w:tab w:val="num" w:pos="360"/>
      </w:tabs>
      <w:spacing w:line="240" w:lineRule="auto"/>
      <w:ind w:left="360" w:hanging="360"/>
      <w:jc w:val="left"/>
      <w:outlineLvl w:val="0"/>
    </w:pPr>
    <w:rPr>
      <w:snapToGrid w:val="0"/>
      <w:sz w:val="24"/>
    </w:rPr>
  </w:style>
  <w:style w:type="paragraph" w:customStyle="1" w:styleId="1Header">
    <w:name w:val="1 Header"/>
    <w:basedOn w:val="Normal"/>
    <w:rsid w:val="00F40AC1"/>
    <w:pPr>
      <w:widowControl w:val="0"/>
      <w:spacing w:line="240" w:lineRule="auto"/>
    </w:pPr>
    <w:rPr>
      <w:b/>
      <w:snapToGrid w:val="0"/>
      <w:sz w:val="30"/>
    </w:rPr>
  </w:style>
  <w:style w:type="paragraph" w:customStyle="1" w:styleId="Bullet">
    <w:name w:val="Bullet"/>
    <w:basedOn w:val="Normal"/>
    <w:rsid w:val="00F40AC1"/>
    <w:pPr>
      <w:widowControl w:val="0"/>
      <w:spacing w:line="240" w:lineRule="auto"/>
      <w:ind w:left="1440" w:hanging="720"/>
      <w:jc w:val="left"/>
    </w:pPr>
    <w:rPr>
      <w:snapToGrid w:val="0"/>
      <w:color w:val="000000"/>
    </w:rPr>
  </w:style>
  <w:style w:type="paragraph" w:customStyle="1" w:styleId="Style0">
    <w:name w:val="Style0"/>
    <w:rsid w:val="00F40AC1"/>
    <w:rPr>
      <w:rFonts w:ascii="Arial" w:hAnsi="Arial"/>
      <w:snapToGrid w:val="0"/>
      <w:sz w:val="24"/>
    </w:rPr>
  </w:style>
  <w:style w:type="paragraph" w:styleId="BodyTextIndent3">
    <w:name w:val="Body Text Indent 3"/>
    <w:basedOn w:val="Normal"/>
    <w:rsid w:val="00F40AC1"/>
    <w:pPr>
      <w:spacing w:before="120" w:line="240" w:lineRule="auto"/>
      <w:ind w:left="432"/>
      <w:jc w:val="left"/>
    </w:pPr>
    <w:rPr>
      <w:snapToGrid w:val="0"/>
      <w:sz w:val="20"/>
    </w:rPr>
  </w:style>
  <w:style w:type="paragraph" w:styleId="BodyTextIndent2">
    <w:name w:val="Body Text Indent 2"/>
    <w:basedOn w:val="Normal"/>
    <w:rsid w:val="00F40AC1"/>
    <w:pPr>
      <w:spacing w:line="240" w:lineRule="auto"/>
      <w:ind w:firstLine="576"/>
      <w:jc w:val="center"/>
    </w:pPr>
    <w:rPr>
      <w:sz w:val="24"/>
    </w:rPr>
  </w:style>
  <w:style w:type="paragraph" w:styleId="PlainText">
    <w:name w:val="Plain Text"/>
    <w:basedOn w:val="Normal"/>
    <w:link w:val="PlainTextChar"/>
    <w:rsid w:val="00F40AC1"/>
    <w:pPr>
      <w:spacing w:line="240" w:lineRule="auto"/>
      <w:jc w:val="left"/>
    </w:pPr>
    <w:rPr>
      <w:rFonts w:ascii="Courier New" w:hAnsi="Courier New"/>
      <w:sz w:val="20"/>
    </w:rPr>
  </w:style>
  <w:style w:type="paragraph" w:styleId="BodyText">
    <w:name w:val="Body Text"/>
    <w:basedOn w:val="Normal"/>
    <w:rsid w:val="00F40AC1"/>
    <w:pPr>
      <w:widowControl w:val="0"/>
      <w:spacing w:line="240" w:lineRule="auto"/>
      <w:jc w:val="left"/>
    </w:pPr>
    <w:rPr>
      <w:snapToGrid w:val="0"/>
    </w:rPr>
  </w:style>
  <w:style w:type="paragraph" w:styleId="BodyText2">
    <w:name w:val="Body Text 2"/>
    <w:basedOn w:val="Normal"/>
    <w:rsid w:val="00F40AC1"/>
    <w:pPr>
      <w:widowControl w:val="0"/>
      <w:spacing w:line="240" w:lineRule="auto"/>
      <w:jc w:val="left"/>
    </w:pPr>
    <w:rPr>
      <w:b/>
      <w:snapToGrid w:val="0"/>
      <w:sz w:val="24"/>
    </w:rPr>
  </w:style>
  <w:style w:type="paragraph" w:styleId="Subtitle">
    <w:name w:val="Subtitle"/>
    <w:basedOn w:val="Normal"/>
    <w:qFormat/>
    <w:rsid w:val="00F40AC1"/>
    <w:pPr>
      <w:jc w:val="left"/>
    </w:pPr>
    <w:rPr>
      <w:rFonts w:ascii="Arial" w:hAnsi="Arial"/>
      <w:b/>
      <w:sz w:val="24"/>
    </w:rPr>
  </w:style>
  <w:style w:type="character" w:styleId="CommentReference">
    <w:name w:val="annotation reference"/>
    <w:basedOn w:val="DefaultParagraphFont"/>
    <w:semiHidden/>
    <w:rsid w:val="00F40AC1"/>
    <w:rPr>
      <w:sz w:val="16"/>
    </w:rPr>
  </w:style>
  <w:style w:type="paragraph" w:customStyle="1" w:styleId="C1-CtrBoldHd">
    <w:name w:val="C1-Ctr BoldHd"/>
    <w:rsid w:val="00F40AC1"/>
    <w:pPr>
      <w:keepNext/>
      <w:spacing w:after="720" w:line="240" w:lineRule="atLeast"/>
      <w:jc w:val="center"/>
    </w:pPr>
    <w:rPr>
      <w:b/>
      <w:caps/>
      <w:sz w:val="22"/>
    </w:rPr>
  </w:style>
  <w:style w:type="paragraph" w:styleId="CommentText">
    <w:name w:val="annotation text"/>
    <w:basedOn w:val="Normal"/>
    <w:link w:val="CommentTextChar"/>
    <w:semiHidden/>
    <w:rsid w:val="00F40AC1"/>
    <w:pPr>
      <w:widowControl w:val="0"/>
      <w:spacing w:line="240" w:lineRule="auto"/>
      <w:jc w:val="left"/>
    </w:pPr>
    <w:rPr>
      <w:snapToGrid w:val="0"/>
      <w:sz w:val="20"/>
    </w:rPr>
  </w:style>
  <w:style w:type="paragraph" w:customStyle="1" w:styleId="Q1-FirstLevelQuestion">
    <w:name w:val="Q1-First Level Question"/>
    <w:link w:val="Q1-FirstLevelQuestionChar"/>
    <w:rsid w:val="00F40AC1"/>
    <w:pPr>
      <w:tabs>
        <w:tab w:val="left" w:pos="720"/>
      </w:tabs>
      <w:spacing w:line="240" w:lineRule="atLeast"/>
      <w:ind w:left="720" w:hanging="720"/>
      <w:jc w:val="both"/>
    </w:pPr>
    <w:rPr>
      <w:rFonts w:ascii="Arial" w:hAnsi="Arial"/>
    </w:rPr>
  </w:style>
  <w:style w:type="paragraph" w:customStyle="1" w:styleId="L1-FlLfSp12">
    <w:name w:val="L1-FlLfSp&amp;1/2"/>
    <w:rsid w:val="00F40AC1"/>
    <w:pPr>
      <w:tabs>
        <w:tab w:val="left" w:pos="1152"/>
      </w:tabs>
      <w:spacing w:line="360" w:lineRule="atLeast"/>
      <w:jc w:val="both"/>
    </w:pPr>
    <w:rPr>
      <w:rFonts w:ascii="Arial" w:hAnsi="Arial"/>
    </w:rPr>
  </w:style>
  <w:style w:type="paragraph" w:styleId="BalloonText">
    <w:name w:val="Balloon Text"/>
    <w:basedOn w:val="Normal"/>
    <w:semiHidden/>
    <w:rsid w:val="00F40AC1"/>
    <w:pPr>
      <w:widowControl w:val="0"/>
      <w:spacing w:line="240" w:lineRule="auto"/>
      <w:jc w:val="left"/>
    </w:pPr>
    <w:rPr>
      <w:rFonts w:ascii="Tahoma" w:hAnsi="Tahoma"/>
      <w:snapToGrid w:val="0"/>
      <w:sz w:val="16"/>
    </w:rPr>
  </w:style>
  <w:style w:type="paragraph" w:customStyle="1" w:styleId="E1-Arial12">
    <w:name w:val="E1-Arial12"/>
    <w:rsid w:val="00F40AC1"/>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rsid w:val="00F40AC1"/>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rsid w:val="00F40AC1"/>
    <w:pPr>
      <w:numPr>
        <w:numId w:val="2"/>
      </w:numPr>
      <w:spacing w:after="240" w:line="240" w:lineRule="auto"/>
      <w:jc w:val="left"/>
    </w:pPr>
    <w:rPr>
      <w:rFonts w:ascii="Arial" w:hAnsi="Arial"/>
      <w:sz w:val="24"/>
      <w:szCs w:val="24"/>
    </w:rPr>
  </w:style>
  <w:style w:type="paragraph" w:customStyle="1" w:styleId="SL-Arial12">
    <w:name w:val="SL-Arial12"/>
    <w:rsid w:val="00F40AC1"/>
    <w:rPr>
      <w:rFonts w:ascii="Arial" w:hAnsi="Arial"/>
      <w:sz w:val="24"/>
      <w:szCs w:val="24"/>
    </w:rPr>
  </w:style>
  <w:style w:type="paragraph" w:customStyle="1" w:styleId="TT-Arial12">
    <w:name w:val="TT-Arial12"/>
    <w:rsid w:val="00F40AC1"/>
    <w:pPr>
      <w:tabs>
        <w:tab w:val="left" w:pos="1296"/>
      </w:tabs>
      <w:spacing w:line="240" w:lineRule="atLeast"/>
      <w:ind w:left="1296" w:hanging="1296"/>
    </w:pPr>
    <w:rPr>
      <w:rFonts w:ascii="Arial" w:hAnsi="Arial"/>
      <w:b/>
      <w:sz w:val="24"/>
      <w:szCs w:val="24"/>
    </w:rPr>
  </w:style>
  <w:style w:type="paragraph" w:customStyle="1" w:styleId="C1-Arial12">
    <w:name w:val="C1-Arial12"/>
    <w:rsid w:val="00F40AC1"/>
    <w:pPr>
      <w:keepNext/>
      <w:spacing w:after="720" w:line="240" w:lineRule="atLeast"/>
      <w:jc w:val="center"/>
    </w:pPr>
    <w:rPr>
      <w:rFonts w:ascii="Arial" w:hAnsi="Arial"/>
      <w:b/>
      <w:caps/>
      <w:sz w:val="24"/>
      <w:szCs w:val="24"/>
    </w:rPr>
  </w:style>
  <w:style w:type="paragraph" w:customStyle="1" w:styleId="H1-Arial12">
    <w:name w:val="H1-Arial12"/>
    <w:basedOn w:val="Heading1"/>
    <w:rsid w:val="00F40AC1"/>
    <w:pPr>
      <w:keepLines/>
      <w:spacing w:line="240" w:lineRule="auto"/>
      <w:jc w:val="left"/>
    </w:pPr>
    <w:rPr>
      <w:rFonts w:ascii="Arial" w:hAnsi="Arial"/>
      <w:sz w:val="24"/>
      <w:szCs w:val="24"/>
    </w:rPr>
  </w:style>
  <w:style w:type="paragraph" w:customStyle="1" w:styleId="H2-Arial12">
    <w:name w:val="H2-Arial12"/>
    <w:basedOn w:val="Heading2"/>
    <w:rsid w:val="00F40AC1"/>
    <w:pPr>
      <w:keepLines/>
      <w:spacing w:line="240" w:lineRule="auto"/>
      <w:jc w:val="left"/>
    </w:pPr>
    <w:rPr>
      <w:rFonts w:ascii="Arial" w:hAnsi="Arial"/>
      <w:sz w:val="24"/>
      <w:szCs w:val="24"/>
    </w:rPr>
  </w:style>
  <w:style w:type="paragraph" w:customStyle="1" w:styleId="H3-Arial12">
    <w:name w:val="H3-Arial12"/>
    <w:basedOn w:val="Heading3"/>
    <w:rsid w:val="00F40AC1"/>
    <w:pPr>
      <w:keepLines/>
      <w:spacing w:line="240" w:lineRule="auto"/>
      <w:jc w:val="left"/>
    </w:pPr>
    <w:rPr>
      <w:rFonts w:ascii="Arial" w:hAnsi="Arial"/>
      <w:sz w:val="24"/>
      <w:szCs w:val="24"/>
    </w:rPr>
  </w:style>
  <w:style w:type="paragraph" w:customStyle="1" w:styleId="H4-Arial12">
    <w:name w:val="H4-Arial12"/>
    <w:basedOn w:val="Heading4"/>
    <w:rsid w:val="00F40AC1"/>
    <w:pPr>
      <w:spacing w:line="240" w:lineRule="auto"/>
      <w:jc w:val="left"/>
    </w:pPr>
    <w:rPr>
      <w:rFonts w:ascii="Arial" w:hAnsi="Arial"/>
      <w:sz w:val="24"/>
      <w:szCs w:val="24"/>
    </w:rPr>
  </w:style>
  <w:style w:type="paragraph" w:customStyle="1" w:styleId="F1-Arial9">
    <w:name w:val="F1-Arial9"/>
    <w:basedOn w:val="SL-Arial12"/>
    <w:rsid w:val="00F40AC1"/>
    <w:pPr>
      <w:ind w:left="115" w:hanging="115"/>
    </w:pPr>
    <w:rPr>
      <w:sz w:val="18"/>
      <w:szCs w:val="18"/>
    </w:rPr>
  </w:style>
  <w:style w:type="table" w:styleId="TableGrid">
    <w:name w:val="Table Grid"/>
    <w:basedOn w:val="TableNormal"/>
    <w:rsid w:val="00F40AC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basedOn w:val="DefaultParagraphFont"/>
    <w:rsid w:val="00F40AC1"/>
    <w:rPr>
      <w:color w:val="800080"/>
      <w:u w:val="single"/>
    </w:rPr>
  </w:style>
  <w:style w:type="paragraph" w:styleId="CommentSubject">
    <w:name w:val="annotation subject"/>
    <w:basedOn w:val="CommentText"/>
    <w:next w:val="CommentText"/>
    <w:semiHidden/>
    <w:rsid w:val="00F40AC1"/>
    <w:pPr>
      <w:widowControl/>
      <w:spacing w:line="240" w:lineRule="atLeast"/>
      <w:jc w:val="both"/>
    </w:pPr>
    <w:rPr>
      <w:b/>
      <w:bCs/>
      <w:snapToGrid/>
    </w:rPr>
  </w:style>
  <w:style w:type="character" w:styleId="Strong">
    <w:name w:val="Strong"/>
    <w:basedOn w:val="DefaultParagraphFont"/>
    <w:qFormat/>
    <w:rsid w:val="00F40AC1"/>
    <w:rPr>
      <w:b/>
      <w:bCs/>
    </w:rPr>
  </w:style>
  <w:style w:type="table" w:styleId="TableGrid1">
    <w:name w:val="Table Grid 1"/>
    <w:basedOn w:val="TableNormal"/>
    <w:rsid w:val="00F40A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F40AC1"/>
    <w:pPr>
      <w:spacing w:before="100" w:beforeAutospacing="1" w:after="100" w:afterAutospacing="1" w:line="240" w:lineRule="auto"/>
      <w:jc w:val="left"/>
    </w:pPr>
    <w:rPr>
      <w:sz w:val="24"/>
      <w:szCs w:val="24"/>
    </w:rPr>
  </w:style>
  <w:style w:type="paragraph" w:styleId="Revision">
    <w:name w:val="Revision"/>
    <w:hidden/>
    <w:uiPriority w:val="99"/>
    <w:semiHidden/>
    <w:rsid w:val="00693EB9"/>
    <w:rPr>
      <w:sz w:val="22"/>
    </w:rPr>
  </w:style>
  <w:style w:type="character" w:customStyle="1" w:styleId="HTMLPreformattedChar">
    <w:name w:val="HTML Preformatted Char"/>
    <w:basedOn w:val="DefaultParagraphFont"/>
    <w:link w:val="HTMLPreformatted"/>
    <w:uiPriority w:val="99"/>
    <w:rsid w:val="00693EB9"/>
    <w:rPr>
      <w:rFonts w:ascii="Courier New" w:hAnsi="Courier New" w:cs="Courier New"/>
    </w:rPr>
  </w:style>
  <w:style w:type="paragraph" w:styleId="ListParagraph">
    <w:name w:val="List Paragraph"/>
    <w:basedOn w:val="Normal"/>
    <w:uiPriority w:val="34"/>
    <w:qFormat/>
    <w:rsid w:val="003E07AE"/>
    <w:pPr>
      <w:ind w:left="720"/>
    </w:pPr>
  </w:style>
  <w:style w:type="character" w:customStyle="1" w:styleId="Heading2Char">
    <w:name w:val="Heading 2 Char"/>
    <w:aliases w:val="H2-Sec. Head Char"/>
    <w:basedOn w:val="DefaultParagraphFont"/>
    <w:link w:val="Heading2"/>
    <w:rsid w:val="00AA1B95"/>
    <w:rPr>
      <w:b/>
      <w:sz w:val="22"/>
    </w:rPr>
  </w:style>
  <w:style w:type="character" w:customStyle="1" w:styleId="FootnoteTextChar">
    <w:name w:val="Footnote Text Char"/>
    <w:aliases w:val="F1 Char"/>
    <w:basedOn w:val="DefaultParagraphFont"/>
    <w:link w:val="FootnoteText"/>
    <w:semiHidden/>
    <w:rsid w:val="00AA1B95"/>
    <w:rPr>
      <w:sz w:val="16"/>
    </w:rPr>
  </w:style>
  <w:style w:type="character" w:customStyle="1" w:styleId="Heading3Char">
    <w:name w:val="Heading 3 Char"/>
    <w:aliases w:val="H3-Sec. Head Char"/>
    <w:basedOn w:val="DefaultParagraphFont"/>
    <w:link w:val="Heading3"/>
    <w:rsid w:val="00637719"/>
    <w:rPr>
      <w:b/>
      <w:sz w:val="22"/>
    </w:rPr>
  </w:style>
  <w:style w:type="character" w:customStyle="1" w:styleId="Heading4Char">
    <w:name w:val="Heading 4 Char"/>
    <w:aliases w:val="H4 Sec.Heading Char"/>
    <w:basedOn w:val="DefaultParagraphFont"/>
    <w:link w:val="Heading4"/>
    <w:rsid w:val="00637719"/>
    <w:rPr>
      <w:b/>
      <w:sz w:val="22"/>
    </w:rPr>
  </w:style>
  <w:style w:type="paragraph" w:styleId="NormalWeb">
    <w:name w:val="Normal (Web)"/>
    <w:basedOn w:val="Normal"/>
    <w:uiPriority w:val="99"/>
    <w:unhideWhenUsed/>
    <w:rsid w:val="00966353"/>
    <w:pPr>
      <w:spacing w:before="100" w:beforeAutospacing="1" w:after="100" w:afterAutospacing="1" w:line="240" w:lineRule="auto"/>
      <w:jc w:val="left"/>
    </w:pPr>
    <w:rPr>
      <w:sz w:val="24"/>
      <w:szCs w:val="24"/>
    </w:rPr>
  </w:style>
  <w:style w:type="character" w:customStyle="1" w:styleId="FooterChar">
    <w:name w:val="Footer Char"/>
    <w:basedOn w:val="DefaultParagraphFont"/>
    <w:link w:val="Footer"/>
    <w:uiPriority w:val="99"/>
    <w:rsid w:val="00EC1870"/>
    <w:rPr>
      <w:sz w:val="22"/>
    </w:rPr>
  </w:style>
  <w:style w:type="paragraph" w:customStyle="1" w:styleId="p">
    <w:name w:val="p"/>
    <w:basedOn w:val="Normal"/>
    <w:rsid w:val="007700D6"/>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rsid w:val="007700D6"/>
    <w:rPr>
      <w:b/>
      <w:bCs/>
      <w:color w:val="006600"/>
    </w:rPr>
  </w:style>
  <w:style w:type="paragraph" w:customStyle="1" w:styleId="A1-1stLeader">
    <w:name w:val="A1-1st Leader"/>
    <w:rsid w:val="00705ABF"/>
    <w:pPr>
      <w:tabs>
        <w:tab w:val="right" w:leader="dot" w:pos="7200"/>
        <w:tab w:val="right" w:pos="7488"/>
        <w:tab w:val="left" w:pos="7632"/>
      </w:tabs>
      <w:spacing w:line="240" w:lineRule="atLeast"/>
      <w:ind w:left="1710" w:hanging="270"/>
    </w:pPr>
    <w:rPr>
      <w:rFonts w:ascii="Arial" w:hAnsi="Arial"/>
    </w:rPr>
  </w:style>
  <w:style w:type="paragraph" w:customStyle="1" w:styleId="A2-lstLine">
    <w:name w:val="A2-lst Line"/>
    <w:rsid w:val="00705ABF"/>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05ABF"/>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05ABF"/>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05ABF"/>
    <w:pPr>
      <w:tabs>
        <w:tab w:val="right" w:leader="dot" w:pos="6498"/>
        <w:tab w:val="right" w:pos="6669"/>
        <w:tab w:val="left" w:pos="6840"/>
      </w:tabs>
      <w:spacing w:line="240" w:lineRule="atLeast"/>
      <w:ind w:left="6840" w:hanging="3240"/>
    </w:pPr>
    <w:rPr>
      <w:rFonts w:ascii="Arial" w:hAnsi="Arial"/>
    </w:rPr>
  </w:style>
  <w:style w:type="paragraph" w:customStyle="1" w:styleId="A6-2ndLine">
    <w:name w:val="A6-2nd Line"/>
    <w:rsid w:val="00705ABF"/>
    <w:pPr>
      <w:tabs>
        <w:tab w:val="right" w:leader="underscore" w:pos="7200"/>
        <w:tab w:val="right" w:pos="7488"/>
        <w:tab w:val="left" w:pos="7632"/>
      </w:tabs>
      <w:spacing w:line="240" w:lineRule="atLeast"/>
      <w:ind w:left="3600"/>
    </w:pPr>
    <w:rPr>
      <w:rFonts w:ascii="Arial" w:hAnsi="Arial"/>
    </w:rPr>
  </w:style>
  <w:style w:type="paragraph" w:customStyle="1" w:styleId="Q2-SecondLevelQuestion">
    <w:name w:val="Q2-Second Level Question"/>
    <w:rsid w:val="00705ABF"/>
    <w:pPr>
      <w:tabs>
        <w:tab w:val="left" w:pos="1881"/>
      </w:tabs>
      <w:spacing w:line="240" w:lineRule="atLeast"/>
      <w:ind w:left="1881" w:hanging="1161"/>
      <w:jc w:val="both"/>
    </w:pPr>
    <w:rPr>
      <w:rFonts w:ascii="Arial" w:hAnsi="Arial"/>
    </w:rPr>
  </w:style>
  <w:style w:type="paragraph" w:customStyle="1" w:styleId="Y0-YNHead">
    <w:name w:val="Y0-Y/N Head"/>
    <w:rsid w:val="00705ABF"/>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05ABF"/>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05ABF"/>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05ABF"/>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05ABF"/>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05ABF"/>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05ABF"/>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ListHeader">
    <w:name w:val="List Header"/>
    <w:basedOn w:val="Caption"/>
    <w:rsid w:val="00705ABF"/>
    <w:pPr>
      <w:spacing w:before="240" w:line="240" w:lineRule="auto"/>
      <w:ind w:left="-360" w:firstLine="0"/>
      <w:jc w:val="left"/>
    </w:pPr>
    <w:rPr>
      <w:rFonts w:ascii="Times New Roman" w:hAnsi="Times New Roman"/>
      <w:bCs w:val="0"/>
      <w:sz w:val="22"/>
    </w:rPr>
  </w:style>
  <w:style w:type="paragraph" w:styleId="Caption">
    <w:name w:val="caption"/>
    <w:basedOn w:val="Normal"/>
    <w:next w:val="Normal"/>
    <w:qFormat/>
    <w:rsid w:val="00705ABF"/>
    <w:pPr>
      <w:spacing w:before="120" w:after="120" w:line="360" w:lineRule="atLeast"/>
      <w:ind w:firstLine="1152"/>
    </w:pPr>
    <w:rPr>
      <w:rFonts w:ascii="Arial" w:hAnsi="Arial"/>
      <w:b/>
      <w:bCs/>
      <w:sz w:val="20"/>
    </w:rPr>
  </w:style>
  <w:style w:type="paragraph" w:customStyle="1" w:styleId="SurveyQuestion">
    <w:name w:val="Survey Question"/>
    <w:basedOn w:val="Normal"/>
    <w:rsid w:val="00705ABF"/>
    <w:pPr>
      <w:keepNext/>
      <w:tabs>
        <w:tab w:val="left" w:pos="1080"/>
        <w:tab w:val="right" w:leader="dot" w:pos="6480"/>
        <w:tab w:val="right" w:pos="6840"/>
        <w:tab w:val="left" w:pos="7020"/>
      </w:tabs>
      <w:spacing w:line="240" w:lineRule="auto"/>
      <w:ind w:left="1080" w:right="3060" w:hanging="360"/>
      <w:jc w:val="left"/>
    </w:pPr>
    <w:rPr>
      <w:snapToGrid w:val="0"/>
      <w:sz w:val="24"/>
      <w:szCs w:val="24"/>
    </w:rPr>
  </w:style>
  <w:style w:type="paragraph" w:styleId="Title">
    <w:name w:val="Title"/>
    <w:basedOn w:val="Normal"/>
    <w:link w:val="TitleChar"/>
    <w:qFormat/>
    <w:rsid w:val="00705ABF"/>
    <w:pPr>
      <w:spacing w:line="240" w:lineRule="auto"/>
      <w:jc w:val="center"/>
    </w:pPr>
    <w:rPr>
      <w:b/>
      <w:bCs/>
      <w:i/>
      <w:iCs/>
      <w:sz w:val="28"/>
    </w:rPr>
  </w:style>
  <w:style w:type="character" w:customStyle="1" w:styleId="TitleChar">
    <w:name w:val="Title Char"/>
    <w:basedOn w:val="DefaultParagraphFont"/>
    <w:link w:val="Title"/>
    <w:rsid w:val="00705ABF"/>
    <w:rPr>
      <w:b/>
      <w:bCs/>
      <w:i/>
      <w:iCs/>
      <w:sz w:val="28"/>
    </w:rPr>
  </w:style>
  <w:style w:type="paragraph" w:customStyle="1" w:styleId="Variable2">
    <w:name w:val="Variable 2"/>
    <w:basedOn w:val="Normal"/>
    <w:link w:val="Variable2Char"/>
    <w:rsid w:val="00705ABF"/>
    <w:pPr>
      <w:keepNext/>
      <w:ind w:left="1440"/>
      <w:jc w:val="left"/>
    </w:pPr>
    <w:rPr>
      <w:rFonts w:ascii="Arial" w:hAnsi="Arial"/>
      <w:sz w:val="16"/>
    </w:rPr>
  </w:style>
  <w:style w:type="character" w:customStyle="1" w:styleId="Variable2Char">
    <w:name w:val="Variable 2 Char"/>
    <w:basedOn w:val="DefaultParagraphFont"/>
    <w:link w:val="Variable2"/>
    <w:rsid w:val="00705ABF"/>
    <w:rPr>
      <w:rFonts w:ascii="Arial" w:hAnsi="Arial"/>
      <w:sz w:val="16"/>
    </w:rPr>
  </w:style>
  <w:style w:type="paragraph" w:customStyle="1" w:styleId="Variable1">
    <w:name w:val="Variable 1"/>
    <w:link w:val="Variable1Char"/>
    <w:rsid w:val="00705ABF"/>
    <w:pPr>
      <w:keepNext/>
      <w:spacing w:line="240" w:lineRule="atLeast"/>
      <w:ind w:left="1080"/>
    </w:pPr>
    <w:rPr>
      <w:rFonts w:ascii="Arial" w:hAnsi="Arial"/>
      <w:sz w:val="16"/>
    </w:rPr>
  </w:style>
  <w:style w:type="character" w:customStyle="1" w:styleId="Variable1Char">
    <w:name w:val="Variable 1 Char"/>
    <w:basedOn w:val="DefaultParagraphFont"/>
    <w:link w:val="Variable1"/>
    <w:rsid w:val="00705ABF"/>
    <w:rPr>
      <w:rFonts w:ascii="Arial" w:hAnsi="Arial"/>
      <w:sz w:val="16"/>
    </w:rPr>
  </w:style>
  <w:style w:type="paragraph" w:customStyle="1" w:styleId="a1-1stleader0">
    <w:name w:val="a1-1stleader"/>
    <w:basedOn w:val="Normal"/>
    <w:rsid w:val="00705ABF"/>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rsid w:val="00705ABF"/>
    <w:pPr>
      <w:numPr>
        <w:numId w:val="32"/>
      </w:numPr>
      <w:spacing w:line="240" w:lineRule="auto"/>
      <w:jc w:val="left"/>
    </w:pPr>
    <w:rPr>
      <w:rFonts w:ascii="Arial" w:hAnsi="Arial" w:cs="Arial"/>
      <w:sz w:val="24"/>
      <w:szCs w:val="24"/>
    </w:rPr>
  </w:style>
  <w:style w:type="paragraph" w:customStyle="1" w:styleId="Answer1">
    <w:name w:val="Answer1"/>
    <w:basedOn w:val="Normal"/>
    <w:next w:val="Question"/>
    <w:rsid w:val="00705ABF"/>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rsid w:val="00705ABF"/>
    <w:rPr>
      <w:rFonts w:ascii="Arial" w:hAnsi="Arial" w:cs="Arial"/>
      <w:sz w:val="24"/>
      <w:szCs w:val="24"/>
    </w:rPr>
  </w:style>
  <w:style w:type="paragraph" w:customStyle="1" w:styleId="Subquestion">
    <w:name w:val="Sub question"/>
    <w:basedOn w:val="Question"/>
    <w:link w:val="SubquestionChar"/>
    <w:rsid w:val="00705ABF"/>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705ABF"/>
    <w:rPr>
      <w:rFonts w:ascii="Arial"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705ABF"/>
    <w:pPr>
      <w:ind w:left="907" w:hanging="547"/>
    </w:pPr>
  </w:style>
  <w:style w:type="character" w:customStyle="1" w:styleId="StyleSubquestionLeft025Hanging038Char">
    <w:name w:val="Style Sub question + Left:  0.25&quot; Hanging:  0.38&quot; Char"/>
    <w:basedOn w:val="SubquestionChar"/>
    <w:link w:val="StyleSubquestionLeft025Hanging038"/>
    <w:rsid w:val="00705ABF"/>
    <w:rPr>
      <w:rFonts w:ascii="Arial" w:hAnsi="Arial" w:cs="Arial"/>
      <w:sz w:val="24"/>
      <w:szCs w:val="24"/>
    </w:rPr>
  </w:style>
  <w:style w:type="character" w:customStyle="1" w:styleId="BodyTextIndentChar">
    <w:name w:val="Body Text Indent Char"/>
    <w:link w:val="BodyTextIndent"/>
    <w:rsid w:val="00BF493A"/>
    <w:rPr>
      <w:sz w:val="24"/>
    </w:rPr>
  </w:style>
  <w:style w:type="character" w:customStyle="1" w:styleId="Q1-FirstLevelQuestionChar">
    <w:name w:val="Q1-First Level Question Char"/>
    <w:link w:val="Q1-FirstLevelQuestion"/>
    <w:rsid w:val="00BE0C33"/>
    <w:rPr>
      <w:rFonts w:ascii="Arial" w:hAnsi="Arial"/>
    </w:rPr>
  </w:style>
  <w:style w:type="paragraph" w:customStyle="1" w:styleId="Level9">
    <w:name w:val="Level 9"/>
    <w:basedOn w:val="Normal"/>
    <w:rsid w:val="00B97D42"/>
    <w:pPr>
      <w:widowControl w:val="0"/>
      <w:spacing w:line="240" w:lineRule="auto"/>
      <w:jc w:val="left"/>
    </w:pPr>
    <w:rPr>
      <w:b/>
      <w:sz w:val="24"/>
    </w:rPr>
  </w:style>
  <w:style w:type="character" w:customStyle="1" w:styleId="Heading31">
    <w:name w:val="Heading 31"/>
    <w:basedOn w:val="DefaultParagraphFont"/>
    <w:rsid w:val="00B97D42"/>
    <w:rPr>
      <w:b/>
      <w:bCs w:val="0"/>
    </w:rPr>
  </w:style>
  <w:style w:type="character" w:customStyle="1" w:styleId="Footer1">
    <w:name w:val="Footer1"/>
    <w:basedOn w:val="DefaultParagraphFont"/>
    <w:rsid w:val="00B97D42"/>
  </w:style>
  <w:style w:type="character" w:styleId="Emphasis">
    <w:name w:val="Emphasis"/>
    <w:basedOn w:val="DefaultParagraphFont"/>
    <w:uiPriority w:val="20"/>
    <w:qFormat/>
    <w:rsid w:val="00725D80"/>
    <w:rPr>
      <w:b/>
      <w:bCs/>
      <w:i w:val="0"/>
      <w:iCs w:val="0"/>
    </w:rPr>
  </w:style>
  <w:style w:type="character" w:customStyle="1" w:styleId="PlainTextChar">
    <w:name w:val="Plain Text Char"/>
    <w:basedOn w:val="DefaultParagraphFont"/>
    <w:link w:val="PlainText"/>
    <w:rsid w:val="006F2C59"/>
    <w:rPr>
      <w:rFonts w:ascii="Courier New" w:hAnsi="Courier New"/>
    </w:rPr>
  </w:style>
  <w:style w:type="paragraph" w:customStyle="1" w:styleId="Default">
    <w:name w:val="Default"/>
    <w:rsid w:val="006F2C59"/>
    <w:pPr>
      <w:autoSpaceDE w:val="0"/>
      <w:autoSpaceDN w:val="0"/>
      <w:adjustRightInd w:val="0"/>
    </w:pPr>
    <w:rPr>
      <w:rFonts w:ascii="Calibri" w:eastAsia="Calibri" w:hAnsi="Calibri" w:cs="Calibri"/>
      <w:color w:val="000000"/>
      <w:sz w:val="24"/>
      <w:szCs w:val="24"/>
    </w:rPr>
  </w:style>
  <w:style w:type="paragraph" w:customStyle="1" w:styleId="TC-TableofContentsHeading">
    <w:name w:val="TC-Table of Contents Heading"/>
    <w:basedOn w:val="Heading1"/>
    <w:next w:val="T0-ChapPgHd"/>
    <w:rsid w:val="006F2C59"/>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 w:type="character" w:customStyle="1" w:styleId="HeaderChar">
    <w:name w:val="Header Char"/>
    <w:basedOn w:val="DefaultParagraphFont"/>
    <w:link w:val="Header"/>
    <w:uiPriority w:val="99"/>
    <w:rsid w:val="00790DDF"/>
    <w:rPr>
      <w:sz w:val="16"/>
    </w:rPr>
  </w:style>
  <w:style w:type="character" w:customStyle="1" w:styleId="StyleArial10pt">
    <w:name w:val="Style Arial 10 pt"/>
    <w:basedOn w:val="DefaultParagraphFont"/>
    <w:rsid w:val="00C50E80"/>
    <w:rPr>
      <w:rFonts w:ascii="Arial" w:hAnsi="Arial"/>
      <w:sz w:val="20"/>
    </w:rPr>
  </w:style>
  <w:style w:type="paragraph" w:styleId="EndnoteText">
    <w:name w:val="endnote text"/>
    <w:basedOn w:val="Normal"/>
    <w:link w:val="EndnoteTextChar"/>
    <w:uiPriority w:val="99"/>
    <w:semiHidden/>
    <w:unhideWhenUsed/>
    <w:rsid w:val="000E06DF"/>
    <w:pPr>
      <w:spacing w:line="240" w:lineRule="auto"/>
    </w:pPr>
    <w:rPr>
      <w:sz w:val="20"/>
    </w:rPr>
  </w:style>
  <w:style w:type="character" w:customStyle="1" w:styleId="EndnoteTextChar">
    <w:name w:val="Endnote Text Char"/>
    <w:basedOn w:val="DefaultParagraphFont"/>
    <w:link w:val="EndnoteText"/>
    <w:uiPriority w:val="99"/>
    <w:semiHidden/>
    <w:rsid w:val="000E06DF"/>
  </w:style>
  <w:style w:type="character" w:styleId="EndnoteReference">
    <w:name w:val="endnote reference"/>
    <w:basedOn w:val="DefaultParagraphFont"/>
    <w:uiPriority w:val="99"/>
    <w:semiHidden/>
    <w:unhideWhenUsed/>
    <w:rsid w:val="000E06DF"/>
    <w:rPr>
      <w:vertAlign w:val="superscript"/>
    </w:rPr>
  </w:style>
  <w:style w:type="character" w:customStyle="1" w:styleId="CommentTextChar">
    <w:name w:val="Comment Text Char"/>
    <w:basedOn w:val="DefaultParagraphFont"/>
    <w:link w:val="CommentText"/>
    <w:semiHidden/>
    <w:rsid w:val="00277AAB"/>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8257">
      <w:bodyDiv w:val="1"/>
      <w:marLeft w:val="0"/>
      <w:marRight w:val="0"/>
      <w:marTop w:val="0"/>
      <w:marBottom w:val="0"/>
      <w:divBdr>
        <w:top w:val="none" w:sz="0" w:space="0" w:color="auto"/>
        <w:left w:val="none" w:sz="0" w:space="0" w:color="auto"/>
        <w:bottom w:val="none" w:sz="0" w:space="0" w:color="auto"/>
        <w:right w:val="none" w:sz="0" w:space="0" w:color="auto"/>
      </w:divBdr>
    </w:div>
    <w:div w:id="428045492">
      <w:bodyDiv w:val="1"/>
      <w:marLeft w:val="75"/>
      <w:marRight w:val="75"/>
      <w:marTop w:val="75"/>
      <w:marBottom w:val="75"/>
      <w:divBdr>
        <w:top w:val="none" w:sz="0" w:space="0" w:color="auto"/>
        <w:left w:val="none" w:sz="0" w:space="0" w:color="auto"/>
        <w:bottom w:val="none" w:sz="0" w:space="0" w:color="auto"/>
        <w:right w:val="none" w:sz="0" w:space="0" w:color="auto"/>
      </w:divBdr>
    </w:div>
    <w:div w:id="452022628">
      <w:bodyDiv w:val="1"/>
      <w:marLeft w:val="0"/>
      <w:marRight w:val="0"/>
      <w:marTop w:val="0"/>
      <w:marBottom w:val="0"/>
      <w:divBdr>
        <w:top w:val="none" w:sz="0" w:space="0" w:color="auto"/>
        <w:left w:val="none" w:sz="0" w:space="0" w:color="auto"/>
        <w:bottom w:val="none" w:sz="0" w:space="0" w:color="auto"/>
        <w:right w:val="none" w:sz="0" w:space="0" w:color="auto"/>
      </w:divBdr>
      <w:divsChild>
        <w:div w:id="1457870485">
          <w:marLeft w:val="0"/>
          <w:marRight w:val="0"/>
          <w:marTop w:val="0"/>
          <w:marBottom w:val="0"/>
          <w:divBdr>
            <w:top w:val="none" w:sz="0" w:space="0" w:color="auto"/>
            <w:left w:val="none" w:sz="0" w:space="0" w:color="auto"/>
            <w:bottom w:val="none" w:sz="0" w:space="0" w:color="auto"/>
            <w:right w:val="none" w:sz="0" w:space="0" w:color="auto"/>
          </w:divBdr>
          <w:divsChild>
            <w:div w:id="1607155918">
              <w:marLeft w:val="0"/>
              <w:marRight w:val="0"/>
              <w:marTop w:val="0"/>
              <w:marBottom w:val="0"/>
              <w:divBdr>
                <w:top w:val="none" w:sz="0" w:space="0" w:color="auto"/>
                <w:left w:val="none" w:sz="0" w:space="0" w:color="auto"/>
                <w:bottom w:val="none" w:sz="0" w:space="0" w:color="auto"/>
                <w:right w:val="none" w:sz="0" w:space="0" w:color="auto"/>
              </w:divBdr>
            </w:div>
            <w:div w:id="218366588">
              <w:marLeft w:val="0"/>
              <w:marRight w:val="0"/>
              <w:marTop w:val="0"/>
              <w:marBottom w:val="750"/>
              <w:divBdr>
                <w:top w:val="none" w:sz="0" w:space="0" w:color="auto"/>
                <w:left w:val="none" w:sz="0" w:space="0" w:color="auto"/>
                <w:bottom w:val="none" w:sz="0" w:space="0" w:color="auto"/>
                <w:right w:val="none" w:sz="0" w:space="0" w:color="auto"/>
              </w:divBdr>
              <w:divsChild>
                <w:div w:id="1264342954">
                  <w:marLeft w:val="0"/>
                  <w:marRight w:val="0"/>
                  <w:marTop w:val="0"/>
                  <w:marBottom w:val="0"/>
                  <w:divBdr>
                    <w:top w:val="single" w:sz="6" w:space="0" w:color="000000"/>
                    <w:left w:val="none" w:sz="0" w:space="0" w:color="auto"/>
                    <w:bottom w:val="none" w:sz="0" w:space="0" w:color="auto"/>
                    <w:right w:val="none" w:sz="0" w:space="0" w:color="auto"/>
                  </w:divBdr>
                </w:div>
                <w:div w:id="1131947380">
                  <w:marLeft w:val="0"/>
                  <w:marRight w:val="0"/>
                  <w:marTop w:val="15"/>
                  <w:marBottom w:val="0"/>
                  <w:divBdr>
                    <w:top w:val="none" w:sz="0" w:space="0" w:color="auto"/>
                    <w:left w:val="none" w:sz="0" w:space="0" w:color="auto"/>
                    <w:bottom w:val="single" w:sz="6" w:space="2" w:color="000000"/>
                    <w:right w:val="none" w:sz="0" w:space="0" w:color="auto"/>
                  </w:divBdr>
                </w:div>
                <w:div w:id="1554274377">
                  <w:marLeft w:val="0"/>
                  <w:marRight w:val="0"/>
                  <w:marTop w:val="0"/>
                  <w:marBottom w:val="0"/>
                  <w:divBdr>
                    <w:top w:val="none" w:sz="0" w:space="0" w:color="auto"/>
                    <w:left w:val="single" w:sz="6" w:space="4" w:color="E3DEFF"/>
                    <w:bottom w:val="dotted" w:sz="6" w:space="0" w:color="F8CF6E"/>
                    <w:right w:val="single" w:sz="6" w:space="0" w:color="E3DEFF"/>
                  </w:divBdr>
                </w:div>
                <w:div w:id="2117820051">
                  <w:marLeft w:val="0"/>
                  <w:marRight w:val="0"/>
                  <w:marTop w:val="0"/>
                  <w:marBottom w:val="0"/>
                  <w:divBdr>
                    <w:top w:val="none" w:sz="0" w:space="0" w:color="auto"/>
                    <w:left w:val="single" w:sz="6" w:space="4" w:color="E3DEFF"/>
                    <w:bottom w:val="dotted" w:sz="6" w:space="0" w:color="F8CF6E"/>
                    <w:right w:val="single" w:sz="6" w:space="0" w:color="E3DEFF"/>
                  </w:divBdr>
                </w:div>
                <w:div w:id="1350523972">
                  <w:marLeft w:val="0"/>
                  <w:marRight w:val="0"/>
                  <w:marTop w:val="0"/>
                  <w:marBottom w:val="0"/>
                  <w:divBdr>
                    <w:top w:val="none" w:sz="0" w:space="0" w:color="auto"/>
                    <w:left w:val="single" w:sz="6" w:space="4" w:color="E3DEFF"/>
                    <w:bottom w:val="dotted" w:sz="6" w:space="0" w:color="F8CF6E"/>
                    <w:right w:val="single" w:sz="6" w:space="0" w:color="E3DEFF"/>
                  </w:divBdr>
                </w:div>
                <w:div w:id="121871072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 w:id="728580696">
      <w:bodyDiv w:val="1"/>
      <w:marLeft w:val="0"/>
      <w:marRight w:val="0"/>
      <w:marTop w:val="0"/>
      <w:marBottom w:val="0"/>
      <w:divBdr>
        <w:top w:val="none" w:sz="0" w:space="0" w:color="auto"/>
        <w:left w:val="none" w:sz="0" w:space="0" w:color="auto"/>
        <w:bottom w:val="none" w:sz="0" w:space="0" w:color="auto"/>
        <w:right w:val="none" w:sz="0" w:space="0" w:color="auto"/>
      </w:divBdr>
    </w:div>
    <w:div w:id="732310489">
      <w:bodyDiv w:val="1"/>
      <w:marLeft w:val="75"/>
      <w:marRight w:val="75"/>
      <w:marTop w:val="75"/>
      <w:marBottom w:val="75"/>
      <w:divBdr>
        <w:top w:val="none" w:sz="0" w:space="0" w:color="auto"/>
        <w:left w:val="none" w:sz="0" w:space="0" w:color="auto"/>
        <w:bottom w:val="none" w:sz="0" w:space="0" w:color="auto"/>
        <w:right w:val="none" w:sz="0" w:space="0" w:color="auto"/>
      </w:divBdr>
    </w:div>
    <w:div w:id="987897312">
      <w:bodyDiv w:val="1"/>
      <w:marLeft w:val="0"/>
      <w:marRight w:val="0"/>
      <w:marTop w:val="0"/>
      <w:marBottom w:val="0"/>
      <w:divBdr>
        <w:top w:val="none" w:sz="0" w:space="0" w:color="auto"/>
        <w:left w:val="none" w:sz="0" w:space="0" w:color="auto"/>
        <w:bottom w:val="none" w:sz="0" w:space="0" w:color="auto"/>
        <w:right w:val="none" w:sz="0" w:space="0" w:color="auto"/>
      </w:divBdr>
    </w:div>
    <w:div w:id="1314484524">
      <w:bodyDiv w:val="1"/>
      <w:marLeft w:val="0"/>
      <w:marRight w:val="0"/>
      <w:marTop w:val="0"/>
      <w:marBottom w:val="0"/>
      <w:divBdr>
        <w:top w:val="none" w:sz="0" w:space="0" w:color="auto"/>
        <w:left w:val="none" w:sz="0" w:space="0" w:color="auto"/>
        <w:bottom w:val="none" w:sz="0" w:space="0" w:color="auto"/>
        <w:right w:val="none" w:sz="0" w:space="0" w:color="auto"/>
      </w:divBdr>
      <w:divsChild>
        <w:div w:id="1861316518">
          <w:marLeft w:val="0"/>
          <w:marRight w:val="0"/>
          <w:marTop w:val="0"/>
          <w:marBottom w:val="0"/>
          <w:divBdr>
            <w:top w:val="none" w:sz="0" w:space="0" w:color="auto"/>
            <w:left w:val="none" w:sz="0" w:space="0" w:color="auto"/>
            <w:bottom w:val="none" w:sz="0" w:space="0" w:color="auto"/>
            <w:right w:val="none" w:sz="0" w:space="0" w:color="auto"/>
          </w:divBdr>
        </w:div>
      </w:divsChild>
    </w:div>
    <w:div w:id="1370378194">
      <w:bodyDiv w:val="1"/>
      <w:marLeft w:val="0"/>
      <w:marRight w:val="0"/>
      <w:marTop w:val="0"/>
      <w:marBottom w:val="0"/>
      <w:divBdr>
        <w:top w:val="none" w:sz="0" w:space="0" w:color="auto"/>
        <w:left w:val="none" w:sz="0" w:space="0" w:color="auto"/>
        <w:bottom w:val="none" w:sz="0" w:space="0" w:color="auto"/>
        <w:right w:val="none" w:sz="0" w:space="0" w:color="auto"/>
      </w:divBdr>
      <w:divsChild>
        <w:div w:id="1063598993">
          <w:marLeft w:val="0"/>
          <w:marRight w:val="0"/>
          <w:marTop w:val="0"/>
          <w:marBottom w:val="0"/>
          <w:divBdr>
            <w:top w:val="none" w:sz="0" w:space="0" w:color="auto"/>
            <w:left w:val="none" w:sz="0" w:space="0" w:color="auto"/>
            <w:bottom w:val="none" w:sz="0" w:space="0" w:color="auto"/>
            <w:right w:val="none" w:sz="0" w:space="0" w:color="auto"/>
          </w:divBdr>
          <w:divsChild>
            <w:div w:id="1255163036">
              <w:marLeft w:val="0"/>
              <w:marRight w:val="0"/>
              <w:marTop w:val="0"/>
              <w:marBottom w:val="0"/>
              <w:divBdr>
                <w:top w:val="none" w:sz="0" w:space="0" w:color="auto"/>
                <w:left w:val="none" w:sz="0" w:space="0" w:color="auto"/>
                <w:bottom w:val="none" w:sz="0" w:space="0" w:color="auto"/>
                <w:right w:val="none" w:sz="0" w:space="0" w:color="auto"/>
              </w:divBdr>
              <w:divsChild>
                <w:div w:id="11061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8623">
      <w:bodyDiv w:val="1"/>
      <w:marLeft w:val="0"/>
      <w:marRight w:val="0"/>
      <w:marTop w:val="0"/>
      <w:marBottom w:val="0"/>
      <w:divBdr>
        <w:top w:val="none" w:sz="0" w:space="0" w:color="auto"/>
        <w:left w:val="none" w:sz="0" w:space="0" w:color="auto"/>
        <w:bottom w:val="none" w:sz="0" w:space="0" w:color="auto"/>
        <w:right w:val="none" w:sz="0" w:space="0" w:color="auto"/>
      </w:divBdr>
    </w:div>
    <w:div w:id="1652245921">
      <w:bodyDiv w:val="1"/>
      <w:marLeft w:val="0"/>
      <w:marRight w:val="0"/>
      <w:marTop w:val="0"/>
      <w:marBottom w:val="0"/>
      <w:divBdr>
        <w:top w:val="none" w:sz="0" w:space="0" w:color="auto"/>
        <w:left w:val="none" w:sz="0" w:space="0" w:color="auto"/>
        <w:bottom w:val="none" w:sz="0" w:space="0" w:color="auto"/>
        <w:right w:val="none" w:sz="0" w:space="0" w:color="auto"/>
      </w:divBdr>
    </w:div>
    <w:div w:id="1727027479">
      <w:bodyDiv w:val="1"/>
      <w:marLeft w:val="0"/>
      <w:marRight w:val="0"/>
      <w:marTop w:val="0"/>
      <w:marBottom w:val="0"/>
      <w:divBdr>
        <w:top w:val="none" w:sz="0" w:space="0" w:color="auto"/>
        <w:left w:val="none" w:sz="0" w:space="0" w:color="auto"/>
        <w:bottom w:val="none" w:sz="0" w:space="0" w:color="auto"/>
        <w:right w:val="none" w:sz="0" w:space="0" w:color="auto"/>
      </w:divBdr>
    </w:div>
    <w:div w:id="1739405140">
      <w:bodyDiv w:val="1"/>
      <w:marLeft w:val="0"/>
      <w:marRight w:val="0"/>
      <w:marTop w:val="0"/>
      <w:marBottom w:val="0"/>
      <w:divBdr>
        <w:top w:val="none" w:sz="0" w:space="0" w:color="auto"/>
        <w:left w:val="none" w:sz="0" w:space="0" w:color="auto"/>
        <w:bottom w:val="none" w:sz="0" w:space="0" w:color="auto"/>
        <w:right w:val="none" w:sz="0" w:space="0" w:color="auto"/>
      </w:divBdr>
      <w:divsChild>
        <w:div w:id="336225830">
          <w:marLeft w:val="0"/>
          <w:marRight w:val="0"/>
          <w:marTop w:val="0"/>
          <w:marBottom w:val="0"/>
          <w:divBdr>
            <w:top w:val="none" w:sz="0" w:space="0" w:color="auto"/>
            <w:left w:val="none" w:sz="0" w:space="0" w:color="auto"/>
            <w:bottom w:val="none" w:sz="0" w:space="0" w:color="auto"/>
            <w:right w:val="none" w:sz="0" w:space="0" w:color="auto"/>
          </w:divBdr>
        </w:div>
        <w:div w:id="2057701627">
          <w:marLeft w:val="0"/>
          <w:marRight w:val="0"/>
          <w:marTop w:val="0"/>
          <w:marBottom w:val="0"/>
          <w:divBdr>
            <w:top w:val="none" w:sz="0" w:space="0" w:color="auto"/>
            <w:left w:val="none" w:sz="0" w:space="0" w:color="auto"/>
            <w:bottom w:val="none" w:sz="0" w:space="0" w:color="auto"/>
            <w:right w:val="none" w:sz="0" w:space="0" w:color="auto"/>
          </w:divBdr>
        </w:div>
      </w:divsChild>
    </w:div>
    <w:div w:id="1791583223">
      <w:bodyDiv w:val="1"/>
      <w:marLeft w:val="0"/>
      <w:marRight w:val="0"/>
      <w:marTop w:val="0"/>
      <w:marBottom w:val="0"/>
      <w:divBdr>
        <w:top w:val="none" w:sz="0" w:space="0" w:color="auto"/>
        <w:left w:val="none" w:sz="0" w:space="0" w:color="auto"/>
        <w:bottom w:val="none" w:sz="0" w:space="0" w:color="auto"/>
        <w:right w:val="none" w:sz="0" w:space="0" w:color="auto"/>
      </w:divBdr>
      <w:divsChild>
        <w:div w:id="1737046450">
          <w:marLeft w:val="0"/>
          <w:marRight w:val="0"/>
          <w:marTop w:val="0"/>
          <w:marBottom w:val="0"/>
          <w:divBdr>
            <w:top w:val="none" w:sz="0" w:space="0" w:color="auto"/>
            <w:left w:val="none" w:sz="0" w:space="0" w:color="auto"/>
            <w:bottom w:val="none" w:sz="0" w:space="0" w:color="auto"/>
            <w:right w:val="none" w:sz="0" w:space="0" w:color="auto"/>
          </w:divBdr>
          <w:divsChild>
            <w:div w:id="675697025">
              <w:marLeft w:val="0"/>
              <w:marRight w:val="0"/>
              <w:marTop w:val="0"/>
              <w:marBottom w:val="0"/>
              <w:divBdr>
                <w:top w:val="none" w:sz="0" w:space="0" w:color="auto"/>
                <w:left w:val="none" w:sz="0" w:space="0" w:color="auto"/>
                <w:bottom w:val="none" w:sz="0" w:space="0" w:color="auto"/>
                <w:right w:val="none" w:sz="0" w:space="0" w:color="auto"/>
              </w:divBdr>
              <w:divsChild>
                <w:div w:id="14036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67468">
      <w:bodyDiv w:val="1"/>
      <w:marLeft w:val="0"/>
      <w:marRight w:val="0"/>
      <w:marTop w:val="0"/>
      <w:marBottom w:val="0"/>
      <w:divBdr>
        <w:top w:val="none" w:sz="0" w:space="0" w:color="auto"/>
        <w:left w:val="none" w:sz="0" w:space="0" w:color="auto"/>
        <w:bottom w:val="none" w:sz="0" w:space="0" w:color="auto"/>
        <w:right w:val="none" w:sz="0" w:space="0" w:color="auto"/>
      </w:divBdr>
    </w:div>
    <w:div w:id="1892035254">
      <w:bodyDiv w:val="1"/>
      <w:marLeft w:val="0"/>
      <w:marRight w:val="0"/>
      <w:marTop w:val="0"/>
      <w:marBottom w:val="0"/>
      <w:divBdr>
        <w:top w:val="none" w:sz="0" w:space="0" w:color="auto"/>
        <w:left w:val="none" w:sz="0" w:space="0" w:color="auto"/>
        <w:bottom w:val="none" w:sz="0" w:space="0" w:color="auto"/>
        <w:right w:val="none" w:sz="0" w:space="0" w:color="auto"/>
      </w:divBdr>
      <w:divsChild>
        <w:div w:id="1912042001">
          <w:marLeft w:val="0"/>
          <w:marRight w:val="0"/>
          <w:marTop w:val="0"/>
          <w:marBottom w:val="0"/>
          <w:divBdr>
            <w:top w:val="none" w:sz="0" w:space="0" w:color="auto"/>
            <w:left w:val="none" w:sz="0" w:space="0" w:color="auto"/>
            <w:bottom w:val="none" w:sz="0" w:space="0" w:color="auto"/>
            <w:right w:val="none" w:sz="0" w:space="0" w:color="auto"/>
          </w:divBdr>
          <w:divsChild>
            <w:div w:id="3532437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79814801">
      <w:bodyDiv w:val="1"/>
      <w:marLeft w:val="0"/>
      <w:marRight w:val="0"/>
      <w:marTop w:val="0"/>
      <w:marBottom w:val="0"/>
      <w:divBdr>
        <w:top w:val="none" w:sz="0" w:space="0" w:color="auto"/>
        <w:left w:val="none" w:sz="0" w:space="0" w:color="auto"/>
        <w:bottom w:val="none" w:sz="0" w:space="0" w:color="auto"/>
        <w:right w:val="none" w:sz="0" w:space="0" w:color="auto"/>
      </w:divBdr>
    </w:div>
    <w:div w:id="2110393577">
      <w:bodyDiv w:val="1"/>
      <w:marLeft w:val="0"/>
      <w:marRight w:val="0"/>
      <w:marTop w:val="0"/>
      <w:marBottom w:val="0"/>
      <w:divBdr>
        <w:top w:val="none" w:sz="0" w:space="0" w:color="auto"/>
        <w:left w:val="none" w:sz="0" w:space="0" w:color="auto"/>
        <w:bottom w:val="none" w:sz="0" w:space="0" w:color="auto"/>
        <w:right w:val="none" w:sz="0" w:space="0" w:color="auto"/>
      </w:divBdr>
      <w:divsChild>
        <w:div w:id="1121264213">
          <w:marLeft w:val="0"/>
          <w:marRight w:val="0"/>
          <w:marTop w:val="0"/>
          <w:marBottom w:val="0"/>
          <w:divBdr>
            <w:top w:val="none" w:sz="0" w:space="0" w:color="auto"/>
            <w:left w:val="none" w:sz="0" w:space="0" w:color="auto"/>
            <w:bottom w:val="none" w:sz="0" w:space="0" w:color="auto"/>
            <w:right w:val="none" w:sz="0" w:space="0" w:color="auto"/>
          </w:divBdr>
          <w:divsChild>
            <w:div w:id="108406176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yperlink" Target="mailto:LenaWatkins@westat.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yperlink" Target="mailto:JacquelineSeverynse@westat.com"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hyperlink" Target="mailto:DwightBrock@westa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oasurvey@westat.com" TargetMode="External"/><Relationship Id="rId24" Type="http://schemas.openxmlformats.org/officeDocument/2006/relationships/image" Target="media/image6.wmf"/><Relationship Id="rId32" Type="http://schemas.openxmlformats.org/officeDocument/2006/relationships/hyperlink" Target="mailto:RobinRitter@westat.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hyperlink" Target="mailto:Susan.Jenkins@AoA.HHS.Gov" TargetMode="External"/><Relationship Id="rId36" Type="http://schemas.openxmlformats.org/officeDocument/2006/relationships/fontTable" Target="fontTable.xml"/><Relationship Id="rId10" Type="http://schemas.openxmlformats.org/officeDocument/2006/relationships/hyperlink" Target="https://aoasurvey.org" TargetMode="External"/><Relationship Id="rId19" Type="http://schemas.openxmlformats.org/officeDocument/2006/relationships/oleObject" Target="embeddings/oleObject4.bin"/><Relationship Id="rId31" Type="http://schemas.openxmlformats.org/officeDocument/2006/relationships/hyperlink" Target="mailto:KatieHubbell@westat.com" TargetMode="External"/><Relationship Id="rId4" Type="http://schemas.openxmlformats.org/officeDocument/2006/relationships/settings" Target="settings.xml"/><Relationship Id="rId9" Type="http://schemas.openxmlformats.org/officeDocument/2006/relationships/hyperlink" Target="https://acl.gov/programs/pomp" TargetMode="Externa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footer" Target="footer4.xml"/><Relationship Id="rId30" Type="http://schemas.openxmlformats.org/officeDocument/2006/relationships/hyperlink" Target="mailto:KatieHubbell@westat.com" TargetMode="External"/><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acl.gov/programs/performance-older-americans-act-programs" TargetMode="External"/><Relationship Id="rId2" Type="http://schemas.openxmlformats.org/officeDocument/2006/relationships/hyperlink" Target="https://acl.gov/sites/default/files/about-acl/2020-04/Older%20Americans%20Act%20Of%201965%20as%20amended%20by%20Public%20Law%20116-131%20on%203-25-2020.pdf" TargetMode="External"/><Relationship Id="rId1" Type="http://schemas.openxmlformats.org/officeDocument/2006/relationships/hyperlink" Target="http://www.gao.gov/key_issues/managing_for_results_in_government/issue_summary" TargetMode="External"/><Relationship Id="rId6" Type="http://schemas.openxmlformats.org/officeDocument/2006/relationships/hyperlink" Target="http://assets.aarp.org/rgcenter/il/us_caregiving.pdf" TargetMode="External"/><Relationship Id="rId5" Type="http://schemas.openxmlformats.org/officeDocument/2006/relationships/hyperlink" Target="https://www.insightsassociation.org/issues-policies/best-practice/casro-definition-response-rates" TargetMode="External"/><Relationship Id="rId4" Type="http://schemas.openxmlformats.org/officeDocument/2006/relationships/hyperlink" Target="https://www.census.gov/programs-surveys/acs/methodology/sample-size-and-data-quality/response-rates-defini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C26A0-8970-482D-B228-8FDD077A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39</Pages>
  <Words>13617</Words>
  <Characters>77621</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91056</CharactersWithSpaces>
  <SharedDoc>false</SharedDoc>
  <HLinks>
    <vt:vector size="48" baseType="variant">
      <vt:variant>
        <vt:i4>2949123</vt:i4>
      </vt:variant>
      <vt:variant>
        <vt:i4>61</vt:i4>
      </vt:variant>
      <vt:variant>
        <vt:i4>0</vt:i4>
      </vt:variant>
      <vt:variant>
        <vt:i4>5</vt:i4>
      </vt:variant>
      <vt:variant>
        <vt:lpwstr>http://www.aoa.gov/oaa2006/main_site/oaa/oaa_full.asp</vt:lpwstr>
      </vt:variant>
      <vt:variant>
        <vt:lpwstr>_Toc153957633</vt:lpwstr>
      </vt:variant>
      <vt:variant>
        <vt:i4>6094912</vt:i4>
      </vt:variant>
      <vt:variant>
        <vt:i4>58</vt:i4>
      </vt:variant>
      <vt:variant>
        <vt:i4>0</vt:i4>
      </vt:variant>
      <vt:variant>
        <vt:i4>5</vt:i4>
      </vt:variant>
      <vt:variant>
        <vt:lpwstr>http://www.whitehouse.gov/omb/budget/fy2005/part.html</vt:lpwstr>
      </vt:variant>
      <vt:variant>
        <vt:lpwstr/>
      </vt:variant>
      <vt:variant>
        <vt:i4>6029312</vt:i4>
      </vt:variant>
      <vt:variant>
        <vt:i4>55</vt:i4>
      </vt:variant>
      <vt:variant>
        <vt:i4>0</vt:i4>
      </vt:variant>
      <vt:variant>
        <vt:i4>5</vt:i4>
      </vt:variant>
      <vt:variant>
        <vt:lpwstr>http://www.whitehouse.gov/omb/mgmt-gpra/gplaw2m.html</vt:lpwstr>
      </vt:variant>
      <vt:variant>
        <vt:lpwstr/>
      </vt:variant>
      <vt:variant>
        <vt:i4>1376382</vt:i4>
      </vt:variant>
      <vt:variant>
        <vt:i4>52</vt:i4>
      </vt:variant>
      <vt:variant>
        <vt:i4>0</vt:i4>
      </vt:variant>
      <vt:variant>
        <vt:i4>5</vt:i4>
      </vt:variant>
      <vt:variant>
        <vt:lpwstr>http://thomas.loc.gov/cgi-bin/bdquery/R?d103:FLD002:@1(103+62)%20</vt:lpwstr>
      </vt:variant>
      <vt:variant>
        <vt:lpwstr/>
      </vt:variant>
      <vt:variant>
        <vt:i4>7995495</vt:i4>
      </vt:variant>
      <vt:variant>
        <vt:i4>49</vt:i4>
      </vt:variant>
      <vt:variant>
        <vt:i4>0</vt:i4>
      </vt:variant>
      <vt:variant>
        <vt:i4>5</vt:i4>
      </vt:variant>
      <vt:variant>
        <vt:lpwstr>http://frwebgate.access.gpo.gov/cgi-bin/leaving.cgi?from=leavingFR.html&amp;log=linklog&amp;to=http://www.gpra.net</vt:lpwstr>
      </vt:variant>
      <vt:variant>
        <vt:lpwstr/>
      </vt:variant>
      <vt:variant>
        <vt:i4>4915313</vt:i4>
      </vt:variant>
      <vt:variant>
        <vt:i4>46</vt:i4>
      </vt:variant>
      <vt:variant>
        <vt:i4>0</vt:i4>
      </vt:variant>
      <vt:variant>
        <vt:i4>5</vt:i4>
      </vt:variant>
      <vt:variant>
        <vt:lpwstr>mailto:Valerie.Cook@aoa.hhs.gov</vt:lpwstr>
      </vt:variant>
      <vt:variant>
        <vt:lpwstr/>
      </vt:variant>
      <vt:variant>
        <vt:i4>3932167</vt:i4>
      </vt:variant>
      <vt:variant>
        <vt:i4>22</vt:i4>
      </vt:variant>
      <vt:variant>
        <vt:i4>0</vt:i4>
      </vt:variant>
      <vt:variant>
        <vt:i4>5</vt:i4>
      </vt:variant>
      <vt:variant>
        <vt:lpwstr>mailto:aoasurvey@westat.com</vt:lpwstr>
      </vt:variant>
      <vt:variant>
        <vt:lpwstr/>
      </vt:variant>
      <vt:variant>
        <vt:i4>917542</vt:i4>
      </vt:variant>
      <vt:variant>
        <vt:i4>0</vt:i4>
      </vt:variant>
      <vt:variant>
        <vt:i4>0</vt:i4>
      </vt:variant>
      <vt:variant>
        <vt:i4>5</vt:i4>
      </vt:variant>
      <vt:variant>
        <vt:lpwstr>http://research.aarp.org/il/us_caregiving.pdf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Washington, Tomakie (ACL)</cp:lastModifiedBy>
  <cp:revision>8</cp:revision>
  <cp:lastPrinted>2017-05-01T21:11:00Z</cp:lastPrinted>
  <dcterms:created xsi:type="dcterms:W3CDTF">2021-03-24T19:34:00Z</dcterms:created>
  <dcterms:modified xsi:type="dcterms:W3CDTF">2021-05-24T15:38:00Z</dcterms:modified>
</cp:coreProperties>
</file>