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E0E44" w:rsidRDefault="009E0E44" w14:paraId="2F8969B8" w14:textId="77777777">
      <w:pPr>
        <w:tabs>
          <w:tab w:val="left" w:pos="-1440"/>
        </w:tabs>
      </w:pPr>
    </w:p>
    <w:p w:rsidR="00F96C8F" w:rsidP="0028214D" w:rsidRDefault="0028214D" w14:paraId="45A9816C" w14:textId="70B90940">
      <w:pPr>
        <w:spacing w:line="480" w:lineRule="auto"/>
        <w:jc w:val="right"/>
        <w:outlineLvl w:val="0"/>
        <w:rPr>
          <w:snapToGrid/>
        </w:rPr>
      </w:pPr>
      <w:r w:rsidRPr="0028214D">
        <w:rPr>
          <w:snapToGrid/>
        </w:rPr>
        <w:t>Billing code:</w:t>
      </w:r>
      <w:r w:rsidR="00B62372">
        <w:rPr>
          <w:snapToGrid/>
        </w:rPr>
        <w:t xml:space="preserve"> 4150-47</w:t>
      </w:r>
    </w:p>
    <w:p w:rsidRPr="00F96C8F" w:rsidR="0028214D" w:rsidP="00F96C8F" w:rsidRDefault="0028214D" w14:paraId="5B676000" w14:textId="77777777">
      <w:pPr>
        <w:spacing w:line="480" w:lineRule="auto"/>
        <w:rPr>
          <w:b/>
        </w:rPr>
      </w:pPr>
      <w:r w:rsidRPr="00F96C8F">
        <w:rPr>
          <w:b/>
        </w:rPr>
        <w:t>DEPARTMENT OF HEALTH AND HUMAN SERVICES</w:t>
      </w:r>
    </w:p>
    <w:p w:rsidRPr="004C64FF" w:rsidR="0028214D" w:rsidP="0028214D" w:rsidRDefault="0028214D" w14:paraId="27DAD005" w14:textId="25749689">
      <w:pPr>
        <w:spacing w:line="480" w:lineRule="auto"/>
        <w:rPr>
          <w:bCs/>
        </w:rPr>
      </w:pPr>
      <w:r w:rsidRPr="004C64FF">
        <w:rPr>
          <w:b/>
        </w:rPr>
        <w:t xml:space="preserve">Document Identifier: </w:t>
      </w:r>
      <w:r w:rsidRPr="004C64FF">
        <w:rPr>
          <w:bCs/>
        </w:rPr>
        <w:t>OS-0990-</w:t>
      </w:r>
      <w:r w:rsidRPr="004C64FF" w:rsidR="004C64FF">
        <w:rPr>
          <w:bCs/>
        </w:rPr>
        <w:t>0302</w:t>
      </w:r>
    </w:p>
    <w:p w:rsidRPr="0028214D" w:rsidR="0028214D" w:rsidP="0028214D" w:rsidRDefault="0028214D" w14:paraId="106B1880" w14:textId="77777777">
      <w:pPr>
        <w:spacing w:line="480" w:lineRule="auto"/>
      </w:pPr>
      <w:r w:rsidRPr="0028214D">
        <w:t>Agency Information Collection Request. 30-Day Public Comment Request</w:t>
      </w:r>
    </w:p>
    <w:p w:rsidRPr="0028214D" w:rsidR="0028214D" w:rsidP="0028214D" w:rsidRDefault="0028214D" w14:paraId="7797A151" w14:textId="77777777">
      <w:pPr>
        <w:spacing w:line="480" w:lineRule="auto"/>
      </w:pPr>
      <w:r w:rsidRPr="0028214D">
        <w:rPr>
          <w:b/>
        </w:rPr>
        <w:t>AGENCY:</w:t>
      </w:r>
      <w:r w:rsidRPr="0028214D">
        <w:t xml:space="preserve">  Office of the Secretary, HHS</w:t>
      </w:r>
    </w:p>
    <w:p w:rsidRPr="0028214D" w:rsidR="0028214D" w:rsidP="0028214D" w:rsidRDefault="0028214D" w14:paraId="0F1490D2" w14:textId="77777777">
      <w:pPr>
        <w:spacing w:line="480" w:lineRule="auto"/>
      </w:pPr>
      <w:r w:rsidRPr="0028214D">
        <w:rPr>
          <w:b/>
        </w:rPr>
        <w:t>ACTION</w:t>
      </w:r>
      <w:r w:rsidRPr="0028214D">
        <w:t>: Notice.</w:t>
      </w:r>
    </w:p>
    <w:p w:rsidRPr="0028214D" w:rsidR="006D4FC2" w:rsidP="006D4FC2" w:rsidRDefault="006D4FC2" w14:paraId="44FA62BC" w14:textId="77777777">
      <w:pPr>
        <w:spacing w:line="480" w:lineRule="auto"/>
      </w:pPr>
      <w:r w:rsidRPr="0028214D">
        <w:t>Agency Information Collection Request. 30-Day Public Comment Request</w:t>
      </w:r>
    </w:p>
    <w:p w:rsidRPr="0028214D" w:rsidR="006D4FC2" w:rsidP="006D4FC2" w:rsidRDefault="006D4FC2" w14:paraId="54AA94E5" w14:textId="77777777">
      <w:pPr>
        <w:spacing w:line="480" w:lineRule="auto"/>
      </w:pPr>
      <w:r w:rsidRPr="0028214D">
        <w:rPr>
          <w:b/>
        </w:rPr>
        <w:t>AGENCY:</w:t>
      </w:r>
      <w:r w:rsidRPr="0028214D">
        <w:t xml:space="preserve">  Office of the Secretary, HHS</w:t>
      </w:r>
    </w:p>
    <w:p w:rsidRPr="0028214D" w:rsidR="006D4FC2" w:rsidP="006D4FC2" w:rsidRDefault="006D4FC2" w14:paraId="2F1F03C9" w14:textId="77777777">
      <w:pPr>
        <w:spacing w:line="480" w:lineRule="auto"/>
      </w:pPr>
      <w:r w:rsidRPr="0028214D">
        <w:rPr>
          <w:b/>
        </w:rPr>
        <w:t>ACTION</w:t>
      </w:r>
      <w:r w:rsidRPr="0028214D">
        <w:t>: Notice.</w:t>
      </w:r>
    </w:p>
    <w:p w:rsidRPr="0028214D" w:rsidR="006D4FC2" w:rsidP="006D4FC2" w:rsidRDefault="006D4FC2" w14:paraId="53E113C1" w14:textId="77777777">
      <w:pPr>
        <w:spacing w:line="480" w:lineRule="auto"/>
        <w:rPr>
          <w:snapToGrid/>
        </w:rPr>
      </w:pPr>
      <w:r w:rsidRPr="0028214D">
        <w:rPr>
          <w:b/>
          <w:snapToGrid/>
        </w:rPr>
        <w:t>SUMMARY:</w:t>
      </w:r>
      <w:r w:rsidRPr="0028214D">
        <w:rPr>
          <w:snapToGrid/>
        </w:rPr>
        <w:t xml:space="preserve"> In compliance with the requirement of the Paperwork Reduction Act of 1995, the Office of the Secretary (OS), Department of Health and Human Services, is publishing the following summary of a proposed collection for public comment.  </w:t>
      </w:r>
    </w:p>
    <w:p w:rsidRPr="0028214D" w:rsidR="006D4FC2" w:rsidP="006D4FC2" w:rsidRDefault="006D4FC2" w14:paraId="7CBFB5DE" w14:textId="77777777">
      <w:pPr>
        <w:spacing w:line="480" w:lineRule="auto"/>
        <w:rPr>
          <w:snapToGrid/>
        </w:rPr>
      </w:pPr>
      <w:r w:rsidRPr="0028214D">
        <w:rPr>
          <w:b/>
          <w:snapToGrid/>
        </w:rPr>
        <w:t>DATES:</w:t>
      </w:r>
      <w:r w:rsidRPr="0028214D">
        <w:rPr>
          <w:snapToGrid/>
        </w:rPr>
        <w:t xml:space="preserve"> Comments on the ICR must be received on or before </w:t>
      </w:r>
      <w:r w:rsidRPr="0028214D">
        <w:rPr>
          <w:b/>
          <w:snapToGrid/>
        </w:rPr>
        <w:t>[</w:t>
      </w:r>
      <w:r w:rsidRPr="0028214D">
        <w:rPr>
          <w:snapToGrid/>
        </w:rPr>
        <w:t>INSERT DATE 30 DAYS AFTER DATE OF PUBLICATION IN THE FEDERAL REGISTER].</w:t>
      </w:r>
    </w:p>
    <w:p w:rsidRPr="00463AFE" w:rsidR="006D4FC2" w:rsidP="006D4FC2" w:rsidRDefault="006D4FC2" w14:paraId="61B0EEEC" w14:textId="77777777">
      <w:pPr>
        <w:spacing w:line="480" w:lineRule="auto"/>
        <w:rPr>
          <w:snapToGrid/>
        </w:rPr>
      </w:pPr>
      <w:r w:rsidRPr="0028214D">
        <w:rPr>
          <w:b/>
          <w:snapToGrid/>
        </w:rPr>
        <w:t>ADDRESSES</w:t>
      </w:r>
      <w:r w:rsidRPr="0028214D">
        <w:rPr>
          <w:snapToGrid/>
        </w:rPr>
        <w:t xml:space="preserve">: </w:t>
      </w:r>
      <w:r w:rsidRPr="007B2C02">
        <w:rPr>
          <w:snapToGrid/>
        </w:rPr>
        <w:t xml:space="preserve">Written comments and recommendations for the proposed information collection should be sent within 30 days of publication of this notice to </w:t>
      </w:r>
      <w:hyperlink w:history="1" r:id="rId6">
        <w:r w:rsidRPr="007B2C02">
          <w:rPr>
            <w:rStyle w:val="Hyperlink"/>
            <w:snapToGrid/>
          </w:rPr>
          <w:t>www.reginfo.gov/public/do/PRAMain</w:t>
        </w:r>
      </w:hyperlink>
      <w:r w:rsidRPr="007B2C02">
        <w:rPr>
          <w:snapToGrid/>
        </w:rPr>
        <w:t xml:space="preserve"> . Find this particular information collection by selecting </w:t>
      </w:r>
      <w:r w:rsidRPr="00463AFE">
        <w:rPr>
          <w:snapToGrid/>
        </w:rPr>
        <w:t>"Currently under 30-day Review - Open for Public Comments" or by using the search function.</w:t>
      </w:r>
    </w:p>
    <w:p w:rsidRPr="0028214D" w:rsidR="006D4FC2" w:rsidP="006D4FC2" w:rsidRDefault="006D4FC2" w14:paraId="5BCAB584" w14:textId="7328BCF8">
      <w:pPr>
        <w:spacing w:line="480" w:lineRule="auto"/>
        <w:rPr>
          <w:snapToGrid/>
        </w:rPr>
      </w:pPr>
      <w:r w:rsidRPr="00463AFE">
        <w:rPr>
          <w:b/>
          <w:snapToGrid/>
        </w:rPr>
        <w:t>FOR FURTHER INFORMATION CONTACT</w:t>
      </w:r>
      <w:r w:rsidRPr="00463AFE">
        <w:rPr>
          <w:snapToGrid/>
        </w:rPr>
        <w:t xml:space="preserve">: Sherrette Funn, </w:t>
      </w:r>
      <w:r w:rsidRPr="00463AFE">
        <w:rPr>
          <w:snapToGrid/>
          <w:color w:val="0000FF"/>
          <w:u w:val="single"/>
        </w:rPr>
        <w:t>Sherrette.Funn@hhs.gov</w:t>
      </w:r>
      <w:r w:rsidRPr="00463AFE">
        <w:rPr>
          <w:snapToGrid/>
        </w:rPr>
        <w:t xml:space="preserve"> or (202) 795-7714. When submitting comments or requesting information, please include the document identifier 0990-</w:t>
      </w:r>
      <w:r>
        <w:rPr>
          <w:snapToGrid/>
        </w:rPr>
        <w:t>0302</w:t>
      </w:r>
      <w:r w:rsidRPr="00463AFE">
        <w:rPr>
          <w:snapToGrid/>
        </w:rPr>
        <w:t>-30D and project title for reference.</w:t>
      </w:r>
    </w:p>
    <w:p w:rsidRPr="0028214D" w:rsidR="006D4FC2" w:rsidP="006D4FC2" w:rsidRDefault="006D4FC2" w14:paraId="0AA2645F" w14:textId="77777777">
      <w:pPr>
        <w:pStyle w:val="Preamble"/>
        <w:rPr>
          <w:b/>
        </w:rPr>
      </w:pPr>
      <w:r w:rsidRPr="0028214D">
        <w:rPr>
          <w:b/>
        </w:rPr>
        <w:t xml:space="preserve">SUPPLEMENTARY INFORMATION: </w:t>
      </w:r>
      <w:bookmarkStart w:name="_Hlk103679960" w:id="0"/>
      <w:r w:rsidRPr="0028214D">
        <w:t xml:space="preserve">Interested persons are invited to send comments regarding this burden estimate or any other aspect of this collection of information, including any </w:t>
      </w:r>
      <w:r w:rsidRPr="0028214D">
        <w:lastRenderedPageBreak/>
        <w:t>of the following subjects: (1) The necessity and utility of the proposed information collection for the proper performance of the agency’s functions; (2) the accuracy of the estimated burden; (3) ways to enhance the quality, utility, and clarity of the information to be collected; and (4) the use of automated collection techniques or other forms of information technology to minimize the information collection burden.</w:t>
      </w:r>
    </w:p>
    <w:bookmarkEnd w:id="0"/>
    <w:p w:rsidRPr="006D4FC2" w:rsidR="00F16A34" w:rsidP="00F16A34" w:rsidRDefault="00F16A34" w14:paraId="369ED376" w14:textId="7E831060">
      <w:pPr>
        <w:spacing w:line="480" w:lineRule="auto"/>
      </w:pPr>
      <w:r w:rsidRPr="006D4FC2">
        <w:t xml:space="preserve">Title of the Collection: </w:t>
      </w:r>
      <w:r w:rsidRPr="006D4FC2" w:rsidR="00ED48CB">
        <w:t>Medical Reserve Corps Unit Profile and Reports</w:t>
      </w:r>
    </w:p>
    <w:p w:rsidRPr="006D4FC2" w:rsidR="00F16A34" w:rsidP="00F16A34" w:rsidRDefault="00F16A34" w14:paraId="06233601" w14:textId="74116508">
      <w:pPr>
        <w:spacing w:line="480" w:lineRule="auto"/>
      </w:pPr>
      <w:r w:rsidRPr="006D4FC2">
        <w:t>Type of Collection:</w:t>
      </w:r>
      <w:r w:rsidRPr="006D4FC2" w:rsidR="00ED48CB">
        <w:t xml:space="preserve">  </w:t>
      </w:r>
      <w:r w:rsidRPr="006D4FC2">
        <w:t>Revision</w:t>
      </w:r>
      <w:r w:rsidRPr="006D4FC2" w:rsidR="00ED48CB">
        <w:t xml:space="preserve"> </w:t>
      </w:r>
    </w:p>
    <w:p w:rsidRPr="006D4FC2" w:rsidR="00F16A34" w:rsidP="00F16A34" w:rsidRDefault="00F16A34" w14:paraId="0FDB7991" w14:textId="44508E10">
      <w:pPr>
        <w:spacing w:line="480" w:lineRule="auto"/>
      </w:pPr>
      <w:r w:rsidRPr="006D4FC2">
        <w:t xml:space="preserve">OMB No. </w:t>
      </w:r>
      <w:r w:rsidRPr="006D4FC2" w:rsidR="00ED48CB">
        <w:t>0990-0302</w:t>
      </w:r>
    </w:p>
    <w:p w:rsidRPr="006D4FC2" w:rsidR="00ED48CB" w:rsidP="00ED48CB" w:rsidRDefault="00F16A34" w14:paraId="2A99F0E7" w14:textId="304993E0">
      <w:pPr>
        <w:spacing w:line="480" w:lineRule="auto"/>
      </w:pPr>
      <w:r w:rsidRPr="006D4FC2">
        <w:rPr>
          <w:u w:val="single"/>
        </w:rPr>
        <w:t>Abstract:</w:t>
      </w:r>
      <w:r w:rsidRPr="006D4FC2">
        <w:t xml:space="preserve">  </w:t>
      </w:r>
      <w:r w:rsidRPr="006D4FC2" w:rsidR="00ED48CB">
        <w:t>Medical Reserve Corps Units are currently located in 748 communities across the United States and represent a resource of over</w:t>
      </w:r>
      <w:r w:rsidRPr="006D4FC2" w:rsidR="00ED48CB">
        <w:rPr>
          <w:color w:val="FF0000"/>
        </w:rPr>
        <w:t xml:space="preserve"> </w:t>
      </w:r>
      <w:r w:rsidRPr="006D4FC2" w:rsidR="00ED48CB">
        <w:t>300,000</w:t>
      </w:r>
      <w:r w:rsidRPr="006D4FC2" w:rsidR="00ED48CB">
        <w:rPr>
          <w:color w:val="FF0000"/>
        </w:rPr>
        <w:t xml:space="preserve"> </w:t>
      </w:r>
      <w:r w:rsidRPr="006D4FC2" w:rsidR="00ED48CB">
        <w:t xml:space="preserve">volunteers.  </w:t>
      </w:r>
      <w:r w:rsidRPr="006D4FC2" w:rsidR="006D4FC2">
        <w:t>To</w:t>
      </w:r>
      <w:r w:rsidRPr="006D4FC2" w:rsidR="00ED48CB">
        <w:t xml:space="preserve"> continue to support MRC units, detailed information about the MRC units, including unit/user demographics, contact information, volunteer numbers and information about non-emergency and emergency unit activities is needed by the MRC Program.  MRC Unit Leaders are asked to update this information on the MRC website at least quarterly and to participate in a technical assistance assessment using the Capability Assessment and Factors for Success at least annually.  This collection informs resources and tools developed as part of national programing and helps to identify trends and target technical assistance to support MRC units’ preparedness to respond to disasters in their communities. The MRC unit data collection has been refined to eliminate duplication and streamline data collection tools.</w:t>
      </w:r>
    </w:p>
    <w:p w:rsidRPr="006D4FC2" w:rsidR="00ED48CB" w:rsidP="00ED48CB" w:rsidRDefault="002E6F79" w14:paraId="126107F4" w14:textId="5E2A0B31">
      <w:r w:rsidRPr="006D4FC2">
        <w:t xml:space="preserve">Annualized Burden Table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01"/>
        <w:gridCol w:w="1808"/>
        <w:gridCol w:w="1915"/>
        <w:gridCol w:w="1522"/>
        <w:gridCol w:w="1318"/>
        <w:gridCol w:w="1186"/>
      </w:tblGrid>
      <w:tr w:rsidRPr="006D4FC2" w:rsidR="00ED48CB" w:rsidTr="00ED48CB" w14:paraId="101E29D0" w14:textId="77777777">
        <w:trPr>
          <w:trHeight w:val="144"/>
        </w:trPr>
        <w:tc>
          <w:tcPr>
            <w:tcW w:w="856" w:type="pct"/>
            <w:tcBorders>
              <w:top w:val="single" w:color="auto" w:sz="4" w:space="0"/>
              <w:left w:val="single" w:color="auto" w:sz="4" w:space="0"/>
              <w:bottom w:val="single" w:color="auto" w:sz="4" w:space="0"/>
              <w:right w:val="single" w:color="auto" w:sz="4" w:space="0"/>
            </w:tcBorders>
            <w:hideMark/>
          </w:tcPr>
          <w:p w:rsidRPr="006D4FC2" w:rsidR="00ED48CB" w:rsidRDefault="00ED48CB" w14:paraId="2F7ADDA7" w14:textId="77777777">
            <w:pPr>
              <w:rPr>
                <w:lang w:eastAsia="ja-JP"/>
              </w:rPr>
            </w:pPr>
            <w:r w:rsidRPr="006D4FC2">
              <w:rPr>
                <w:lang w:eastAsia="ja-JP"/>
              </w:rPr>
              <w:t xml:space="preserve">Forms </w:t>
            </w:r>
          </w:p>
          <w:p w:rsidRPr="006D4FC2" w:rsidR="00ED48CB" w:rsidRDefault="00ED48CB" w14:paraId="17962A7C" w14:textId="77777777">
            <w:pPr>
              <w:rPr>
                <w:lang w:eastAsia="ja-JP"/>
              </w:rPr>
            </w:pPr>
            <w:r w:rsidRPr="006D4FC2">
              <w:rPr>
                <w:lang w:eastAsia="ja-JP"/>
              </w:rPr>
              <w:t xml:space="preserve">(If necessary) </w:t>
            </w:r>
          </w:p>
        </w:tc>
        <w:tc>
          <w:tcPr>
            <w:tcW w:w="967" w:type="pct"/>
            <w:tcBorders>
              <w:top w:val="single" w:color="auto" w:sz="4" w:space="0"/>
              <w:left w:val="single" w:color="auto" w:sz="4" w:space="0"/>
              <w:bottom w:val="single" w:color="auto" w:sz="4" w:space="0"/>
              <w:right w:val="single" w:color="auto" w:sz="4" w:space="0"/>
            </w:tcBorders>
            <w:hideMark/>
          </w:tcPr>
          <w:p w:rsidRPr="006D4FC2" w:rsidR="00ED48CB" w:rsidRDefault="0007733A" w14:paraId="76E89037" w14:textId="05ECA81A">
            <w:pPr>
              <w:rPr>
                <w:lang w:eastAsia="ja-JP"/>
              </w:rPr>
            </w:pPr>
            <w:r w:rsidRPr="006D4FC2">
              <w:rPr>
                <w:lang w:eastAsia="ja-JP"/>
              </w:rPr>
              <w:t xml:space="preserve">Type of </w:t>
            </w:r>
            <w:r w:rsidRPr="006D4FC2" w:rsidR="00ED48CB">
              <w:rPr>
                <w:lang w:eastAsia="ja-JP"/>
              </w:rPr>
              <w:t>Respondents</w:t>
            </w:r>
          </w:p>
          <w:p w:rsidRPr="006D4FC2" w:rsidR="00ED48CB" w:rsidRDefault="00ED48CB" w14:paraId="52F17E86" w14:textId="77777777">
            <w:pPr>
              <w:rPr>
                <w:lang w:eastAsia="ja-JP"/>
              </w:rPr>
            </w:pPr>
            <w:r w:rsidRPr="006D4FC2">
              <w:rPr>
                <w:lang w:eastAsia="ja-JP"/>
              </w:rPr>
              <w:t>(If necessary)</w:t>
            </w:r>
          </w:p>
        </w:tc>
        <w:tc>
          <w:tcPr>
            <w:tcW w:w="1024" w:type="pct"/>
            <w:tcBorders>
              <w:top w:val="single" w:color="auto" w:sz="4" w:space="0"/>
              <w:left w:val="single" w:color="auto" w:sz="4" w:space="0"/>
              <w:bottom w:val="single" w:color="auto" w:sz="4" w:space="0"/>
              <w:right w:val="single" w:color="auto" w:sz="4" w:space="0"/>
            </w:tcBorders>
            <w:hideMark/>
          </w:tcPr>
          <w:p w:rsidRPr="006D4FC2" w:rsidR="00ED48CB" w:rsidRDefault="00ED48CB" w14:paraId="158FADEE" w14:textId="77777777">
            <w:pPr>
              <w:rPr>
                <w:lang w:eastAsia="ja-JP"/>
              </w:rPr>
            </w:pPr>
            <w:r w:rsidRPr="006D4FC2">
              <w:rPr>
                <w:lang w:eastAsia="ja-JP"/>
              </w:rPr>
              <w:t xml:space="preserve">Number </w:t>
            </w:r>
            <w:proofErr w:type="gramStart"/>
            <w:r w:rsidRPr="006D4FC2">
              <w:rPr>
                <w:lang w:eastAsia="ja-JP"/>
              </w:rPr>
              <w:t>of  Respondents</w:t>
            </w:r>
            <w:proofErr w:type="gramEnd"/>
            <w:r w:rsidRPr="006D4FC2">
              <w:rPr>
                <w:lang w:eastAsia="ja-JP"/>
              </w:rPr>
              <w:t xml:space="preserve">   </w:t>
            </w:r>
          </w:p>
        </w:tc>
        <w:tc>
          <w:tcPr>
            <w:tcW w:w="814" w:type="pct"/>
            <w:tcBorders>
              <w:top w:val="single" w:color="auto" w:sz="4" w:space="0"/>
              <w:left w:val="single" w:color="auto" w:sz="4" w:space="0"/>
              <w:bottom w:val="single" w:color="auto" w:sz="4" w:space="0"/>
              <w:right w:val="single" w:color="auto" w:sz="4" w:space="0"/>
            </w:tcBorders>
            <w:hideMark/>
          </w:tcPr>
          <w:p w:rsidRPr="006D4FC2" w:rsidR="00ED48CB" w:rsidRDefault="00ED48CB" w14:paraId="44102F5E" w14:textId="77777777">
            <w:pPr>
              <w:rPr>
                <w:lang w:eastAsia="ja-JP"/>
              </w:rPr>
            </w:pPr>
            <w:r w:rsidRPr="006D4FC2">
              <w:rPr>
                <w:lang w:eastAsia="ja-JP"/>
              </w:rPr>
              <w:t xml:space="preserve">Number of Responses </w:t>
            </w:r>
            <w:proofErr w:type="gramStart"/>
            <w:r w:rsidRPr="006D4FC2">
              <w:rPr>
                <w:lang w:eastAsia="ja-JP"/>
              </w:rPr>
              <w:t>per  Respondents</w:t>
            </w:r>
            <w:proofErr w:type="gramEnd"/>
            <w:r w:rsidRPr="006D4FC2">
              <w:rPr>
                <w:lang w:eastAsia="ja-JP"/>
              </w:rPr>
              <w:t xml:space="preserve">  </w:t>
            </w:r>
          </w:p>
        </w:tc>
        <w:tc>
          <w:tcPr>
            <w:tcW w:w="705" w:type="pct"/>
            <w:tcBorders>
              <w:top w:val="single" w:color="auto" w:sz="4" w:space="0"/>
              <w:left w:val="single" w:color="auto" w:sz="4" w:space="0"/>
              <w:bottom w:val="single" w:color="auto" w:sz="4" w:space="0"/>
              <w:right w:val="single" w:color="auto" w:sz="4" w:space="0"/>
            </w:tcBorders>
            <w:hideMark/>
          </w:tcPr>
          <w:p w:rsidRPr="006D4FC2" w:rsidR="00ED48CB" w:rsidRDefault="00ED48CB" w14:paraId="3BF613EC" w14:textId="77777777">
            <w:pPr>
              <w:rPr>
                <w:lang w:eastAsia="ja-JP"/>
              </w:rPr>
            </w:pPr>
            <w:r w:rsidRPr="006D4FC2">
              <w:rPr>
                <w:lang w:eastAsia="ja-JP"/>
              </w:rPr>
              <w:t xml:space="preserve">Average Burden per Response  </w:t>
            </w:r>
          </w:p>
        </w:tc>
        <w:tc>
          <w:tcPr>
            <w:tcW w:w="634" w:type="pct"/>
            <w:tcBorders>
              <w:top w:val="single" w:color="auto" w:sz="4" w:space="0"/>
              <w:left w:val="single" w:color="auto" w:sz="4" w:space="0"/>
              <w:bottom w:val="single" w:color="auto" w:sz="4" w:space="0"/>
              <w:right w:val="single" w:color="auto" w:sz="4" w:space="0"/>
            </w:tcBorders>
            <w:hideMark/>
          </w:tcPr>
          <w:p w:rsidRPr="006D4FC2" w:rsidR="00ED48CB" w:rsidRDefault="00ED48CB" w14:paraId="6A67185A" w14:textId="77777777">
            <w:pPr>
              <w:rPr>
                <w:lang w:eastAsia="ja-JP"/>
              </w:rPr>
            </w:pPr>
            <w:r w:rsidRPr="006D4FC2">
              <w:rPr>
                <w:lang w:eastAsia="ja-JP"/>
              </w:rPr>
              <w:t xml:space="preserve">Total Burden Hours </w:t>
            </w:r>
          </w:p>
        </w:tc>
      </w:tr>
      <w:tr w:rsidRPr="006D4FC2" w:rsidR="00ED48CB" w:rsidTr="00ED48CB" w14:paraId="6C9AAD39" w14:textId="77777777">
        <w:trPr>
          <w:trHeight w:val="144"/>
        </w:trPr>
        <w:tc>
          <w:tcPr>
            <w:tcW w:w="856" w:type="pct"/>
            <w:tcBorders>
              <w:top w:val="single" w:color="auto" w:sz="4" w:space="0"/>
              <w:left w:val="single" w:color="auto" w:sz="4" w:space="0"/>
              <w:bottom w:val="single" w:color="auto" w:sz="4" w:space="0"/>
              <w:right w:val="single" w:color="auto" w:sz="4" w:space="0"/>
            </w:tcBorders>
            <w:hideMark/>
          </w:tcPr>
          <w:p w:rsidRPr="006D4FC2" w:rsidR="00ED48CB" w:rsidRDefault="00ED48CB" w14:paraId="7036C05D" w14:textId="77777777">
            <w:pPr>
              <w:rPr>
                <w:lang w:eastAsia="ja-JP"/>
              </w:rPr>
            </w:pPr>
            <w:r w:rsidRPr="006D4FC2">
              <w:rPr>
                <w:lang w:eastAsia="ja-JP"/>
              </w:rPr>
              <w:t>Unit Profile</w:t>
            </w:r>
          </w:p>
        </w:tc>
        <w:tc>
          <w:tcPr>
            <w:tcW w:w="967" w:type="pct"/>
            <w:tcBorders>
              <w:top w:val="single" w:color="auto" w:sz="4" w:space="0"/>
              <w:left w:val="single" w:color="auto" w:sz="4" w:space="0"/>
              <w:bottom w:val="single" w:color="auto" w:sz="4" w:space="0"/>
              <w:right w:val="single" w:color="auto" w:sz="4" w:space="0"/>
            </w:tcBorders>
            <w:hideMark/>
          </w:tcPr>
          <w:p w:rsidRPr="006D4FC2" w:rsidR="00ED48CB" w:rsidRDefault="00ED48CB" w14:paraId="7F7EABA3" w14:textId="77777777">
            <w:pPr>
              <w:rPr>
                <w:lang w:eastAsia="ja-JP"/>
              </w:rPr>
            </w:pPr>
            <w:r w:rsidRPr="006D4FC2">
              <w:rPr>
                <w:lang w:eastAsia="ja-JP"/>
              </w:rPr>
              <w:t>MRC Unit Leader</w:t>
            </w:r>
          </w:p>
        </w:tc>
        <w:tc>
          <w:tcPr>
            <w:tcW w:w="1024" w:type="pct"/>
            <w:tcBorders>
              <w:top w:val="single" w:color="auto" w:sz="4" w:space="0"/>
              <w:left w:val="single" w:color="auto" w:sz="4" w:space="0"/>
              <w:bottom w:val="single" w:color="auto" w:sz="4" w:space="0"/>
              <w:right w:val="single" w:color="auto" w:sz="4" w:space="0"/>
            </w:tcBorders>
            <w:hideMark/>
          </w:tcPr>
          <w:p w:rsidRPr="006D4FC2" w:rsidR="00ED48CB" w:rsidRDefault="00ED48CB" w14:paraId="398B9629" w14:textId="77777777">
            <w:pPr>
              <w:rPr>
                <w:lang w:eastAsia="ja-JP"/>
              </w:rPr>
            </w:pPr>
            <w:r w:rsidRPr="006D4FC2">
              <w:rPr>
                <w:lang w:eastAsia="ja-JP"/>
              </w:rPr>
              <w:t>748</w:t>
            </w:r>
          </w:p>
        </w:tc>
        <w:tc>
          <w:tcPr>
            <w:tcW w:w="814" w:type="pct"/>
            <w:tcBorders>
              <w:top w:val="single" w:color="auto" w:sz="4" w:space="0"/>
              <w:left w:val="single" w:color="auto" w:sz="4" w:space="0"/>
              <w:bottom w:val="single" w:color="auto" w:sz="4" w:space="0"/>
              <w:right w:val="single" w:color="auto" w:sz="4" w:space="0"/>
            </w:tcBorders>
            <w:hideMark/>
          </w:tcPr>
          <w:p w:rsidRPr="006D4FC2" w:rsidR="00ED48CB" w:rsidRDefault="00ED48CB" w14:paraId="3B0C65CE" w14:textId="77777777">
            <w:pPr>
              <w:rPr>
                <w:lang w:eastAsia="ja-JP"/>
              </w:rPr>
            </w:pPr>
            <w:r w:rsidRPr="006D4FC2">
              <w:rPr>
                <w:lang w:eastAsia="ja-JP"/>
              </w:rPr>
              <w:t>4</w:t>
            </w:r>
          </w:p>
        </w:tc>
        <w:tc>
          <w:tcPr>
            <w:tcW w:w="705" w:type="pct"/>
            <w:tcBorders>
              <w:top w:val="single" w:color="auto" w:sz="4" w:space="0"/>
              <w:left w:val="single" w:color="auto" w:sz="4" w:space="0"/>
              <w:bottom w:val="single" w:color="auto" w:sz="4" w:space="0"/>
              <w:right w:val="single" w:color="auto" w:sz="4" w:space="0"/>
            </w:tcBorders>
            <w:hideMark/>
          </w:tcPr>
          <w:p w:rsidRPr="006D4FC2" w:rsidR="00ED48CB" w:rsidRDefault="00ED48CB" w14:paraId="65AA718A" w14:textId="77777777">
            <w:pPr>
              <w:rPr>
                <w:lang w:eastAsia="ja-JP"/>
              </w:rPr>
            </w:pPr>
            <w:r w:rsidRPr="006D4FC2">
              <w:rPr>
                <w:lang w:eastAsia="ja-JP"/>
              </w:rPr>
              <w:t>15/60</w:t>
            </w:r>
          </w:p>
        </w:tc>
        <w:tc>
          <w:tcPr>
            <w:tcW w:w="634" w:type="pct"/>
            <w:tcBorders>
              <w:top w:val="single" w:color="auto" w:sz="4" w:space="0"/>
              <w:left w:val="single" w:color="auto" w:sz="4" w:space="0"/>
              <w:bottom w:val="single" w:color="auto" w:sz="4" w:space="0"/>
              <w:right w:val="single" w:color="auto" w:sz="4" w:space="0"/>
            </w:tcBorders>
            <w:hideMark/>
          </w:tcPr>
          <w:p w:rsidRPr="006D4FC2" w:rsidR="00ED48CB" w:rsidRDefault="00ED48CB" w14:paraId="56D2B5F0" w14:textId="77777777">
            <w:pPr>
              <w:rPr>
                <w:lang w:eastAsia="ja-JP"/>
              </w:rPr>
            </w:pPr>
            <w:r w:rsidRPr="006D4FC2">
              <w:rPr>
                <w:lang w:eastAsia="ja-JP"/>
              </w:rPr>
              <w:t>748</w:t>
            </w:r>
          </w:p>
        </w:tc>
      </w:tr>
      <w:tr w:rsidRPr="006D4FC2" w:rsidR="00ED48CB" w:rsidTr="00ED48CB" w14:paraId="4FCEC6F9" w14:textId="77777777">
        <w:trPr>
          <w:trHeight w:val="144"/>
        </w:trPr>
        <w:tc>
          <w:tcPr>
            <w:tcW w:w="856" w:type="pct"/>
            <w:tcBorders>
              <w:top w:val="single" w:color="auto" w:sz="4" w:space="0"/>
              <w:left w:val="single" w:color="auto" w:sz="4" w:space="0"/>
              <w:bottom w:val="single" w:color="auto" w:sz="4" w:space="0"/>
              <w:right w:val="single" w:color="auto" w:sz="4" w:space="0"/>
            </w:tcBorders>
            <w:hideMark/>
          </w:tcPr>
          <w:p w:rsidRPr="006D4FC2" w:rsidR="00ED48CB" w:rsidRDefault="00ED48CB" w14:paraId="04F45946" w14:textId="77777777">
            <w:pPr>
              <w:rPr>
                <w:lang w:eastAsia="ja-JP"/>
              </w:rPr>
            </w:pPr>
            <w:r w:rsidRPr="006D4FC2">
              <w:rPr>
                <w:lang w:eastAsia="ja-JP"/>
              </w:rPr>
              <w:t xml:space="preserve">Capability </w:t>
            </w:r>
            <w:r w:rsidRPr="006D4FC2">
              <w:rPr>
                <w:lang w:eastAsia="ja-JP"/>
              </w:rPr>
              <w:lastRenderedPageBreak/>
              <w:t>Assessment</w:t>
            </w:r>
          </w:p>
        </w:tc>
        <w:tc>
          <w:tcPr>
            <w:tcW w:w="967" w:type="pct"/>
            <w:tcBorders>
              <w:top w:val="single" w:color="auto" w:sz="4" w:space="0"/>
              <w:left w:val="single" w:color="auto" w:sz="4" w:space="0"/>
              <w:bottom w:val="single" w:color="auto" w:sz="4" w:space="0"/>
              <w:right w:val="single" w:color="auto" w:sz="4" w:space="0"/>
            </w:tcBorders>
            <w:hideMark/>
          </w:tcPr>
          <w:p w:rsidRPr="006D4FC2" w:rsidR="00ED48CB" w:rsidRDefault="00ED48CB" w14:paraId="2D1185C2" w14:textId="77777777">
            <w:pPr>
              <w:rPr>
                <w:lang w:eastAsia="ja-JP"/>
              </w:rPr>
            </w:pPr>
            <w:r w:rsidRPr="006D4FC2">
              <w:rPr>
                <w:lang w:eastAsia="ja-JP"/>
              </w:rPr>
              <w:lastRenderedPageBreak/>
              <w:t xml:space="preserve">MRC Unit </w:t>
            </w:r>
            <w:r w:rsidRPr="006D4FC2">
              <w:rPr>
                <w:lang w:eastAsia="ja-JP"/>
              </w:rPr>
              <w:lastRenderedPageBreak/>
              <w:t>Leader</w:t>
            </w:r>
          </w:p>
        </w:tc>
        <w:tc>
          <w:tcPr>
            <w:tcW w:w="1024" w:type="pct"/>
            <w:tcBorders>
              <w:top w:val="single" w:color="auto" w:sz="4" w:space="0"/>
              <w:left w:val="single" w:color="auto" w:sz="4" w:space="0"/>
              <w:bottom w:val="single" w:color="auto" w:sz="4" w:space="0"/>
              <w:right w:val="single" w:color="auto" w:sz="4" w:space="0"/>
            </w:tcBorders>
            <w:hideMark/>
          </w:tcPr>
          <w:p w:rsidRPr="006D4FC2" w:rsidR="00ED48CB" w:rsidRDefault="00ED48CB" w14:paraId="14452737" w14:textId="77777777">
            <w:pPr>
              <w:rPr>
                <w:lang w:eastAsia="ja-JP"/>
              </w:rPr>
            </w:pPr>
            <w:r w:rsidRPr="006D4FC2">
              <w:rPr>
                <w:lang w:eastAsia="ja-JP"/>
              </w:rPr>
              <w:lastRenderedPageBreak/>
              <w:t>748</w:t>
            </w:r>
          </w:p>
        </w:tc>
        <w:tc>
          <w:tcPr>
            <w:tcW w:w="814" w:type="pct"/>
            <w:tcBorders>
              <w:top w:val="single" w:color="auto" w:sz="4" w:space="0"/>
              <w:left w:val="single" w:color="auto" w:sz="4" w:space="0"/>
              <w:bottom w:val="single" w:color="auto" w:sz="4" w:space="0"/>
              <w:right w:val="single" w:color="auto" w:sz="4" w:space="0"/>
            </w:tcBorders>
            <w:hideMark/>
          </w:tcPr>
          <w:p w:rsidRPr="006D4FC2" w:rsidR="00ED48CB" w:rsidRDefault="00ED48CB" w14:paraId="3BFE2440" w14:textId="77777777">
            <w:pPr>
              <w:rPr>
                <w:lang w:eastAsia="ja-JP"/>
              </w:rPr>
            </w:pPr>
            <w:r w:rsidRPr="006D4FC2">
              <w:rPr>
                <w:lang w:eastAsia="ja-JP"/>
              </w:rPr>
              <w:t>1</w:t>
            </w:r>
          </w:p>
        </w:tc>
        <w:tc>
          <w:tcPr>
            <w:tcW w:w="705" w:type="pct"/>
            <w:tcBorders>
              <w:top w:val="single" w:color="auto" w:sz="4" w:space="0"/>
              <w:left w:val="single" w:color="auto" w:sz="4" w:space="0"/>
              <w:bottom w:val="single" w:color="auto" w:sz="4" w:space="0"/>
              <w:right w:val="single" w:color="auto" w:sz="4" w:space="0"/>
            </w:tcBorders>
            <w:hideMark/>
          </w:tcPr>
          <w:p w:rsidRPr="006D4FC2" w:rsidR="00ED48CB" w:rsidRDefault="00ED48CB" w14:paraId="1FC178BA" w14:textId="77777777">
            <w:pPr>
              <w:rPr>
                <w:lang w:eastAsia="ja-JP"/>
              </w:rPr>
            </w:pPr>
            <w:r w:rsidRPr="006D4FC2">
              <w:rPr>
                <w:lang w:eastAsia="ja-JP"/>
              </w:rPr>
              <w:t>30/60</w:t>
            </w:r>
          </w:p>
        </w:tc>
        <w:tc>
          <w:tcPr>
            <w:tcW w:w="634" w:type="pct"/>
            <w:tcBorders>
              <w:top w:val="single" w:color="auto" w:sz="4" w:space="0"/>
              <w:left w:val="single" w:color="auto" w:sz="4" w:space="0"/>
              <w:bottom w:val="single" w:color="auto" w:sz="4" w:space="0"/>
              <w:right w:val="single" w:color="auto" w:sz="4" w:space="0"/>
            </w:tcBorders>
            <w:hideMark/>
          </w:tcPr>
          <w:p w:rsidRPr="006D4FC2" w:rsidR="00ED48CB" w:rsidRDefault="00ED48CB" w14:paraId="5C414A5D" w14:textId="77777777">
            <w:pPr>
              <w:rPr>
                <w:lang w:eastAsia="ja-JP"/>
              </w:rPr>
            </w:pPr>
            <w:r w:rsidRPr="006D4FC2">
              <w:rPr>
                <w:lang w:eastAsia="ja-JP"/>
              </w:rPr>
              <w:t>374</w:t>
            </w:r>
          </w:p>
        </w:tc>
      </w:tr>
      <w:tr w:rsidRPr="006D4FC2" w:rsidR="00ED48CB" w:rsidTr="00ED48CB" w14:paraId="25807EAB" w14:textId="77777777">
        <w:trPr>
          <w:trHeight w:val="144"/>
        </w:trPr>
        <w:tc>
          <w:tcPr>
            <w:tcW w:w="856" w:type="pct"/>
            <w:tcBorders>
              <w:top w:val="single" w:color="auto" w:sz="4" w:space="0"/>
              <w:left w:val="single" w:color="auto" w:sz="4" w:space="0"/>
              <w:bottom w:val="single" w:color="auto" w:sz="4" w:space="0"/>
              <w:right w:val="single" w:color="auto" w:sz="4" w:space="0"/>
            </w:tcBorders>
            <w:hideMark/>
          </w:tcPr>
          <w:p w:rsidRPr="006D4FC2" w:rsidR="00ED48CB" w:rsidRDefault="00ED48CB" w14:paraId="4AB41B98" w14:textId="77777777">
            <w:pPr>
              <w:rPr>
                <w:lang w:eastAsia="ja-JP"/>
              </w:rPr>
            </w:pPr>
            <w:r w:rsidRPr="006D4FC2">
              <w:rPr>
                <w:lang w:eastAsia="ja-JP"/>
              </w:rPr>
              <w:t>Factors for Success</w:t>
            </w:r>
          </w:p>
        </w:tc>
        <w:tc>
          <w:tcPr>
            <w:tcW w:w="967" w:type="pct"/>
            <w:tcBorders>
              <w:top w:val="single" w:color="auto" w:sz="4" w:space="0"/>
              <w:left w:val="single" w:color="auto" w:sz="4" w:space="0"/>
              <w:bottom w:val="single" w:color="auto" w:sz="4" w:space="0"/>
              <w:right w:val="single" w:color="auto" w:sz="4" w:space="0"/>
            </w:tcBorders>
            <w:hideMark/>
          </w:tcPr>
          <w:p w:rsidRPr="006D4FC2" w:rsidR="00ED48CB" w:rsidRDefault="00ED48CB" w14:paraId="7A936796" w14:textId="77777777">
            <w:pPr>
              <w:rPr>
                <w:lang w:eastAsia="ja-JP"/>
              </w:rPr>
            </w:pPr>
            <w:r w:rsidRPr="006D4FC2">
              <w:rPr>
                <w:lang w:eastAsia="ja-JP"/>
              </w:rPr>
              <w:t>MRC Unit Leader</w:t>
            </w:r>
          </w:p>
        </w:tc>
        <w:tc>
          <w:tcPr>
            <w:tcW w:w="1024" w:type="pct"/>
            <w:tcBorders>
              <w:top w:val="single" w:color="auto" w:sz="4" w:space="0"/>
              <w:left w:val="single" w:color="auto" w:sz="4" w:space="0"/>
              <w:bottom w:val="single" w:color="auto" w:sz="4" w:space="0"/>
              <w:right w:val="single" w:color="auto" w:sz="4" w:space="0"/>
            </w:tcBorders>
            <w:hideMark/>
          </w:tcPr>
          <w:p w:rsidRPr="006D4FC2" w:rsidR="00ED48CB" w:rsidRDefault="00ED48CB" w14:paraId="03F9EFBD" w14:textId="77777777">
            <w:pPr>
              <w:rPr>
                <w:lang w:eastAsia="ja-JP"/>
              </w:rPr>
            </w:pPr>
            <w:r w:rsidRPr="006D4FC2">
              <w:rPr>
                <w:lang w:eastAsia="ja-JP"/>
              </w:rPr>
              <w:t>748</w:t>
            </w:r>
          </w:p>
        </w:tc>
        <w:tc>
          <w:tcPr>
            <w:tcW w:w="814" w:type="pct"/>
            <w:tcBorders>
              <w:top w:val="single" w:color="auto" w:sz="4" w:space="0"/>
              <w:left w:val="single" w:color="auto" w:sz="4" w:space="0"/>
              <w:bottom w:val="single" w:color="auto" w:sz="4" w:space="0"/>
              <w:right w:val="single" w:color="auto" w:sz="4" w:space="0"/>
            </w:tcBorders>
            <w:hideMark/>
          </w:tcPr>
          <w:p w:rsidRPr="006D4FC2" w:rsidR="00ED48CB" w:rsidRDefault="00ED48CB" w14:paraId="266EDE15" w14:textId="77777777">
            <w:pPr>
              <w:rPr>
                <w:lang w:eastAsia="ja-JP"/>
              </w:rPr>
            </w:pPr>
            <w:r w:rsidRPr="006D4FC2">
              <w:rPr>
                <w:lang w:eastAsia="ja-JP"/>
              </w:rPr>
              <w:t>1</w:t>
            </w:r>
          </w:p>
        </w:tc>
        <w:tc>
          <w:tcPr>
            <w:tcW w:w="705" w:type="pct"/>
            <w:tcBorders>
              <w:top w:val="single" w:color="auto" w:sz="4" w:space="0"/>
              <w:left w:val="single" w:color="auto" w:sz="4" w:space="0"/>
              <w:bottom w:val="single" w:color="auto" w:sz="4" w:space="0"/>
              <w:right w:val="single" w:color="auto" w:sz="4" w:space="0"/>
            </w:tcBorders>
            <w:hideMark/>
          </w:tcPr>
          <w:p w:rsidRPr="006D4FC2" w:rsidR="00ED48CB" w:rsidRDefault="00ED48CB" w14:paraId="064A9CDB" w14:textId="77777777">
            <w:pPr>
              <w:rPr>
                <w:lang w:eastAsia="ja-JP"/>
              </w:rPr>
            </w:pPr>
            <w:r w:rsidRPr="006D4FC2">
              <w:rPr>
                <w:lang w:eastAsia="ja-JP"/>
              </w:rPr>
              <w:t>30/60</w:t>
            </w:r>
          </w:p>
        </w:tc>
        <w:tc>
          <w:tcPr>
            <w:tcW w:w="634" w:type="pct"/>
            <w:tcBorders>
              <w:top w:val="single" w:color="auto" w:sz="4" w:space="0"/>
              <w:left w:val="single" w:color="auto" w:sz="4" w:space="0"/>
              <w:bottom w:val="single" w:color="auto" w:sz="4" w:space="0"/>
              <w:right w:val="single" w:color="auto" w:sz="4" w:space="0"/>
            </w:tcBorders>
            <w:hideMark/>
          </w:tcPr>
          <w:p w:rsidRPr="006D4FC2" w:rsidR="00ED48CB" w:rsidRDefault="00ED48CB" w14:paraId="77702D23" w14:textId="77777777">
            <w:pPr>
              <w:rPr>
                <w:lang w:eastAsia="ja-JP"/>
              </w:rPr>
            </w:pPr>
            <w:r w:rsidRPr="006D4FC2">
              <w:rPr>
                <w:lang w:eastAsia="ja-JP"/>
              </w:rPr>
              <w:t>374</w:t>
            </w:r>
          </w:p>
        </w:tc>
      </w:tr>
      <w:tr w:rsidRPr="006D4FC2" w:rsidR="00ED48CB" w:rsidTr="00ED48CB" w14:paraId="5EB1561C" w14:textId="77777777">
        <w:trPr>
          <w:trHeight w:val="144"/>
        </w:trPr>
        <w:tc>
          <w:tcPr>
            <w:tcW w:w="856" w:type="pct"/>
            <w:tcBorders>
              <w:top w:val="single" w:color="auto" w:sz="4" w:space="0"/>
              <w:left w:val="single" w:color="auto" w:sz="4" w:space="0"/>
              <w:bottom w:val="single" w:color="auto" w:sz="4" w:space="0"/>
              <w:right w:val="single" w:color="auto" w:sz="4" w:space="0"/>
            </w:tcBorders>
            <w:hideMark/>
          </w:tcPr>
          <w:p w:rsidRPr="006D4FC2" w:rsidR="00ED48CB" w:rsidRDefault="00ED48CB" w14:paraId="4D882FC6" w14:textId="77777777">
            <w:pPr>
              <w:tabs>
                <w:tab w:val="left" w:pos="1190"/>
              </w:tabs>
              <w:rPr>
                <w:szCs w:val="24"/>
                <w:lang w:eastAsia="ja-JP"/>
              </w:rPr>
            </w:pPr>
            <w:r w:rsidRPr="006D4FC2">
              <w:rPr>
                <w:lang w:eastAsia="ja-JP"/>
              </w:rPr>
              <w:t xml:space="preserve">Unit Activity Reporting </w:t>
            </w:r>
          </w:p>
        </w:tc>
        <w:tc>
          <w:tcPr>
            <w:tcW w:w="967" w:type="pct"/>
            <w:tcBorders>
              <w:top w:val="single" w:color="auto" w:sz="4" w:space="0"/>
              <w:left w:val="single" w:color="auto" w:sz="4" w:space="0"/>
              <w:bottom w:val="single" w:color="auto" w:sz="4" w:space="0"/>
              <w:right w:val="single" w:color="auto" w:sz="4" w:space="0"/>
            </w:tcBorders>
            <w:hideMark/>
          </w:tcPr>
          <w:p w:rsidRPr="006D4FC2" w:rsidR="00ED48CB" w:rsidRDefault="00ED48CB" w14:paraId="7C9DADF8" w14:textId="77777777">
            <w:pPr>
              <w:tabs>
                <w:tab w:val="left" w:pos="1190"/>
              </w:tabs>
              <w:rPr>
                <w:szCs w:val="24"/>
                <w:lang w:eastAsia="ja-JP"/>
              </w:rPr>
            </w:pPr>
            <w:r w:rsidRPr="006D4FC2">
              <w:rPr>
                <w:lang w:eastAsia="ja-JP"/>
              </w:rPr>
              <w:t>MRC Unit Leader</w:t>
            </w:r>
          </w:p>
        </w:tc>
        <w:tc>
          <w:tcPr>
            <w:tcW w:w="1024" w:type="pct"/>
            <w:tcBorders>
              <w:top w:val="single" w:color="auto" w:sz="4" w:space="0"/>
              <w:left w:val="single" w:color="auto" w:sz="4" w:space="0"/>
              <w:bottom w:val="single" w:color="auto" w:sz="4" w:space="0"/>
              <w:right w:val="single" w:color="auto" w:sz="4" w:space="0"/>
            </w:tcBorders>
            <w:hideMark/>
          </w:tcPr>
          <w:p w:rsidRPr="006D4FC2" w:rsidR="00ED48CB" w:rsidRDefault="00ED48CB" w14:paraId="48280AA4" w14:textId="77777777">
            <w:pPr>
              <w:tabs>
                <w:tab w:val="left" w:pos="1190"/>
              </w:tabs>
              <w:rPr>
                <w:szCs w:val="24"/>
                <w:lang w:eastAsia="ja-JP"/>
              </w:rPr>
            </w:pPr>
            <w:r w:rsidRPr="006D4FC2">
              <w:rPr>
                <w:szCs w:val="24"/>
                <w:lang w:eastAsia="ja-JP"/>
              </w:rPr>
              <w:t>748</w:t>
            </w:r>
          </w:p>
        </w:tc>
        <w:tc>
          <w:tcPr>
            <w:tcW w:w="814" w:type="pct"/>
            <w:tcBorders>
              <w:top w:val="single" w:color="auto" w:sz="4" w:space="0"/>
              <w:left w:val="single" w:color="auto" w:sz="4" w:space="0"/>
              <w:bottom w:val="single" w:color="auto" w:sz="4" w:space="0"/>
              <w:right w:val="single" w:color="auto" w:sz="4" w:space="0"/>
            </w:tcBorders>
            <w:hideMark/>
          </w:tcPr>
          <w:p w:rsidRPr="006D4FC2" w:rsidR="00ED48CB" w:rsidRDefault="00ED48CB" w14:paraId="432CFFAF" w14:textId="77777777">
            <w:pPr>
              <w:rPr>
                <w:color w:val="4472C4"/>
                <w:lang w:eastAsia="ja-JP"/>
              </w:rPr>
            </w:pPr>
            <w:r w:rsidRPr="006D4FC2">
              <w:rPr>
                <w:lang w:eastAsia="ja-JP"/>
              </w:rPr>
              <w:t>4</w:t>
            </w:r>
          </w:p>
        </w:tc>
        <w:tc>
          <w:tcPr>
            <w:tcW w:w="705" w:type="pct"/>
            <w:tcBorders>
              <w:top w:val="single" w:color="auto" w:sz="4" w:space="0"/>
              <w:left w:val="single" w:color="auto" w:sz="4" w:space="0"/>
              <w:bottom w:val="single" w:color="auto" w:sz="4" w:space="0"/>
              <w:right w:val="single" w:color="auto" w:sz="4" w:space="0"/>
            </w:tcBorders>
            <w:hideMark/>
          </w:tcPr>
          <w:p w:rsidRPr="006D4FC2" w:rsidR="00ED48CB" w:rsidRDefault="00ED48CB" w14:paraId="3059A8B4" w14:textId="77777777">
            <w:pPr>
              <w:rPr>
                <w:lang w:eastAsia="ja-JP"/>
              </w:rPr>
            </w:pPr>
            <w:r w:rsidRPr="006D4FC2">
              <w:rPr>
                <w:lang w:eastAsia="ja-JP"/>
              </w:rPr>
              <w:t>15/60</w:t>
            </w:r>
          </w:p>
        </w:tc>
        <w:tc>
          <w:tcPr>
            <w:tcW w:w="634" w:type="pct"/>
            <w:tcBorders>
              <w:top w:val="single" w:color="auto" w:sz="4" w:space="0"/>
              <w:left w:val="single" w:color="auto" w:sz="4" w:space="0"/>
              <w:bottom w:val="single" w:color="auto" w:sz="4" w:space="0"/>
              <w:right w:val="single" w:color="auto" w:sz="4" w:space="0"/>
            </w:tcBorders>
            <w:hideMark/>
          </w:tcPr>
          <w:p w:rsidRPr="006D4FC2" w:rsidR="00ED48CB" w:rsidRDefault="00ED48CB" w14:paraId="7AA9C9D8" w14:textId="77777777">
            <w:pPr>
              <w:rPr>
                <w:lang w:eastAsia="ja-JP"/>
              </w:rPr>
            </w:pPr>
            <w:r w:rsidRPr="006D4FC2">
              <w:rPr>
                <w:lang w:eastAsia="ja-JP"/>
              </w:rPr>
              <w:t>748</w:t>
            </w:r>
          </w:p>
        </w:tc>
      </w:tr>
      <w:tr w:rsidRPr="006D4FC2" w:rsidR="00ED48CB" w:rsidTr="00ED48CB" w14:paraId="2253ABBF" w14:textId="77777777">
        <w:trPr>
          <w:trHeight w:val="144"/>
        </w:trPr>
        <w:tc>
          <w:tcPr>
            <w:tcW w:w="856" w:type="pct"/>
            <w:tcBorders>
              <w:top w:val="single" w:color="auto" w:sz="4" w:space="0"/>
              <w:left w:val="single" w:color="auto" w:sz="4" w:space="0"/>
              <w:bottom w:val="single" w:color="auto" w:sz="4" w:space="0"/>
              <w:right w:val="single" w:color="auto" w:sz="4" w:space="0"/>
            </w:tcBorders>
            <w:hideMark/>
          </w:tcPr>
          <w:p w:rsidRPr="006D4FC2" w:rsidR="00ED48CB" w:rsidRDefault="00ED48CB" w14:paraId="544146B7" w14:textId="77777777">
            <w:pPr>
              <w:rPr>
                <w:lang w:eastAsia="ja-JP"/>
              </w:rPr>
            </w:pPr>
            <w:r w:rsidRPr="006D4FC2">
              <w:rPr>
                <w:lang w:eastAsia="ja-JP"/>
              </w:rPr>
              <w:t>Total</w:t>
            </w:r>
          </w:p>
        </w:tc>
        <w:tc>
          <w:tcPr>
            <w:tcW w:w="967" w:type="pct"/>
            <w:tcBorders>
              <w:top w:val="single" w:color="auto" w:sz="4" w:space="0"/>
              <w:left w:val="single" w:color="auto" w:sz="4" w:space="0"/>
              <w:bottom w:val="single" w:color="auto" w:sz="4" w:space="0"/>
              <w:right w:val="single" w:color="auto" w:sz="4" w:space="0"/>
            </w:tcBorders>
            <w:shd w:val="clear" w:color="auto" w:fill="A6A6A6"/>
          </w:tcPr>
          <w:p w:rsidRPr="006D4FC2" w:rsidR="00ED48CB" w:rsidRDefault="00ED48CB" w14:paraId="6742AC73" w14:textId="77777777">
            <w:pPr>
              <w:rPr>
                <w:u w:val="single"/>
                <w:lang w:eastAsia="ja-JP"/>
              </w:rPr>
            </w:pPr>
          </w:p>
        </w:tc>
        <w:tc>
          <w:tcPr>
            <w:tcW w:w="1024" w:type="pct"/>
            <w:tcBorders>
              <w:top w:val="single" w:color="auto" w:sz="4" w:space="0"/>
              <w:left w:val="single" w:color="auto" w:sz="4" w:space="0"/>
              <w:bottom w:val="single" w:color="auto" w:sz="4" w:space="0"/>
              <w:right w:val="single" w:color="auto" w:sz="4" w:space="0"/>
            </w:tcBorders>
            <w:shd w:val="clear" w:color="auto" w:fill="A6A6A6"/>
          </w:tcPr>
          <w:p w:rsidRPr="006D4FC2" w:rsidR="00ED48CB" w:rsidRDefault="00ED48CB" w14:paraId="03DEAD0B" w14:textId="77777777">
            <w:pPr>
              <w:rPr>
                <w:u w:val="single"/>
                <w:lang w:eastAsia="ja-JP"/>
              </w:rPr>
            </w:pPr>
          </w:p>
        </w:tc>
        <w:tc>
          <w:tcPr>
            <w:tcW w:w="814" w:type="pct"/>
            <w:tcBorders>
              <w:top w:val="single" w:color="auto" w:sz="4" w:space="0"/>
              <w:left w:val="single" w:color="auto" w:sz="4" w:space="0"/>
              <w:bottom w:val="single" w:color="auto" w:sz="4" w:space="0"/>
              <w:right w:val="single" w:color="auto" w:sz="4" w:space="0"/>
            </w:tcBorders>
            <w:hideMark/>
          </w:tcPr>
          <w:p w:rsidRPr="006D4FC2" w:rsidR="00ED48CB" w:rsidRDefault="00ED48CB" w14:paraId="10A13CBD" w14:textId="77777777">
            <w:pPr>
              <w:jc w:val="center"/>
              <w:rPr>
                <w:lang w:eastAsia="ja-JP"/>
              </w:rPr>
            </w:pPr>
            <w:r w:rsidRPr="006D4FC2">
              <w:rPr>
                <w:lang w:eastAsia="ja-JP"/>
              </w:rPr>
              <w:t>10</w:t>
            </w:r>
          </w:p>
        </w:tc>
        <w:tc>
          <w:tcPr>
            <w:tcW w:w="705" w:type="pct"/>
            <w:tcBorders>
              <w:top w:val="single" w:color="auto" w:sz="4" w:space="0"/>
              <w:left w:val="single" w:color="auto" w:sz="4" w:space="0"/>
              <w:bottom w:val="single" w:color="auto" w:sz="4" w:space="0"/>
              <w:right w:val="single" w:color="auto" w:sz="4" w:space="0"/>
            </w:tcBorders>
            <w:shd w:val="clear" w:color="auto" w:fill="A0A0A0"/>
          </w:tcPr>
          <w:p w:rsidRPr="006D4FC2" w:rsidR="00ED48CB" w:rsidRDefault="00ED48CB" w14:paraId="14A3EBEA" w14:textId="77777777">
            <w:pPr>
              <w:rPr>
                <w:lang w:eastAsia="ja-JP"/>
              </w:rPr>
            </w:pPr>
          </w:p>
        </w:tc>
        <w:tc>
          <w:tcPr>
            <w:tcW w:w="634" w:type="pct"/>
            <w:tcBorders>
              <w:top w:val="single" w:color="auto" w:sz="4" w:space="0"/>
              <w:left w:val="single" w:color="auto" w:sz="4" w:space="0"/>
              <w:bottom w:val="single" w:color="auto" w:sz="4" w:space="0"/>
              <w:right w:val="single" w:color="auto" w:sz="4" w:space="0"/>
            </w:tcBorders>
            <w:hideMark/>
          </w:tcPr>
          <w:p w:rsidRPr="006D4FC2" w:rsidR="00ED48CB" w:rsidRDefault="00ED48CB" w14:paraId="6F9E2DE5" w14:textId="77777777">
            <w:pPr>
              <w:rPr>
                <w:color w:val="FF0000"/>
                <w:lang w:eastAsia="ja-JP"/>
              </w:rPr>
            </w:pPr>
            <w:r w:rsidRPr="006D4FC2">
              <w:rPr>
                <w:lang w:eastAsia="ja-JP"/>
              </w:rPr>
              <w:t>2,244</w:t>
            </w:r>
          </w:p>
        </w:tc>
      </w:tr>
    </w:tbl>
    <w:p w:rsidRPr="006D4FC2" w:rsidR="00ED48CB" w:rsidP="00ED48CB" w:rsidRDefault="00ED48CB" w14:paraId="7EF0741B" w14:textId="77777777"/>
    <w:p w:rsidRPr="00F5791E" w:rsidR="002E6F79" w:rsidP="0076710B" w:rsidRDefault="00ED48CB" w14:paraId="1F595082" w14:textId="06A26F54">
      <w:pPr>
        <w:spacing w:line="480" w:lineRule="auto"/>
      </w:pPr>
      <w:r w:rsidRPr="006D4FC2">
        <w:t xml:space="preserve"> </w:t>
      </w:r>
      <w:r w:rsidRPr="00F5791E" w:rsidR="002E6F79">
        <w:rPr>
          <w:u w:val="single"/>
        </w:rPr>
        <w:t xml:space="preserve">                                                                                    </w:t>
      </w:r>
    </w:p>
    <w:p w:rsidRPr="00B11889" w:rsidR="0076710B" w:rsidP="0076710B" w:rsidRDefault="0076710B" w14:paraId="40724B11" w14:textId="32A0CEB9">
      <w:pPr>
        <w:spacing w:line="480" w:lineRule="auto"/>
        <w:rPr>
          <w:b/>
        </w:rPr>
      </w:pPr>
      <w:bookmarkStart w:name="_Hlk68785134" w:id="1"/>
      <w:r w:rsidRPr="00B11889">
        <w:rPr>
          <w:b/>
        </w:rPr>
        <w:t xml:space="preserve">Sherrette A. Funn,   </w:t>
      </w:r>
    </w:p>
    <w:p w:rsidRPr="00B11889" w:rsidR="0076710B" w:rsidP="0076710B" w:rsidRDefault="0076710B" w14:paraId="7BB69BB8" w14:textId="77777777">
      <w:pPr>
        <w:spacing w:line="480" w:lineRule="auto"/>
        <w:rPr>
          <w:i/>
        </w:rPr>
      </w:pPr>
      <w:r w:rsidRPr="00B11889">
        <w:rPr>
          <w:i/>
        </w:rPr>
        <w:t>Paperwork Reduction Act Reports Clearance Officer,</w:t>
      </w:r>
    </w:p>
    <w:p w:rsidRPr="00B11889" w:rsidR="0076710B" w:rsidP="0076710B" w:rsidRDefault="0076710B" w14:paraId="2780EC2A" w14:textId="77777777">
      <w:pPr>
        <w:spacing w:line="480" w:lineRule="auto"/>
        <w:rPr>
          <w:i/>
        </w:rPr>
      </w:pPr>
      <w:r w:rsidRPr="00B11889">
        <w:rPr>
          <w:i/>
        </w:rPr>
        <w:t>Office of the Secretary.</w:t>
      </w:r>
    </w:p>
    <w:bookmarkEnd w:id="1"/>
    <w:p w:rsidR="009E0E44" w:rsidRDefault="009E0E44" w14:paraId="17F0C6BA" w14:textId="77777777">
      <w:pPr>
        <w:spacing w:line="480" w:lineRule="auto"/>
      </w:pPr>
      <w:r>
        <w:t xml:space="preserve">  </w:t>
      </w:r>
      <w:r>
        <w:tab/>
      </w:r>
      <w:r>
        <w:tab/>
      </w:r>
    </w:p>
    <w:sectPr w:rsidR="009E0E44" w:rsidSect="008A2729">
      <w:footerReference w:type="default" r:id="rId7"/>
      <w:endnotePr>
        <w:numFmt w:val="decimal"/>
      </w:endnotePr>
      <w:type w:val="continuous"/>
      <w:pgSz w:w="12240" w:h="15840"/>
      <w:pgMar w:top="720" w:right="1440" w:bottom="72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78C90" w14:textId="77777777" w:rsidR="00ED01F3" w:rsidRDefault="00ED01F3">
      <w:r>
        <w:separator/>
      </w:r>
    </w:p>
  </w:endnote>
  <w:endnote w:type="continuationSeparator" w:id="0">
    <w:p w14:paraId="317833C9" w14:textId="77777777" w:rsidR="00ED01F3" w:rsidRDefault="00ED0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237D0" w14:textId="77777777" w:rsidR="008516F4" w:rsidRDefault="008516F4">
    <w:pPr>
      <w:spacing w:line="240" w:lineRule="exact"/>
    </w:pPr>
  </w:p>
  <w:p w14:paraId="6BF3E5F3" w14:textId="77777777" w:rsidR="008516F4" w:rsidRDefault="008516F4">
    <w:pPr>
      <w:framePr w:w="9361" w:wrap="notBeside" w:vAnchor="text" w:hAnchor="text" w:x="1" w:y="1"/>
      <w:jc w:val="center"/>
    </w:pPr>
    <w:r>
      <w:fldChar w:fldCharType="begin"/>
    </w:r>
    <w:r>
      <w:instrText xml:space="preserve">PAGE </w:instrText>
    </w:r>
    <w:r>
      <w:fldChar w:fldCharType="separate"/>
    </w:r>
    <w:r w:rsidR="00463AFE">
      <w:rPr>
        <w:noProof/>
      </w:rPr>
      <w:t>2</w:t>
    </w:r>
    <w:r>
      <w:fldChar w:fldCharType="end"/>
    </w:r>
  </w:p>
  <w:p w14:paraId="06C98EBF" w14:textId="77777777" w:rsidR="008516F4" w:rsidRDefault="008516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35037" w14:textId="77777777" w:rsidR="00ED01F3" w:rsidRDefault="00ED01F3">
      <w:r>
        <w:separator/>
      </w:r>
    </w:p>
  </w:footnote>
  <w:footnote w:type="continuationSeparator" w:id="0">
    <w:p w14:paraId="037C88AF" w14:textId="77777777" w:rsidR="00ED01F3" w:rsidRDefault="00ED01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4CA"/>
    <w:rsid w:val="00030CF1"/>
    <w:rsid w:val="0007733A"/>
    <w:rsid w:val="000B4460"/>
    <w:rsid w:val="001236BA"/>
    <w:rsid w:val="00151B79"/>
    <w:rsid w:val="001631E0"/>
    <w:rsid w:val="00196215"/>
    <w:rsid w:val="001A54C3"/>
    <w:rsid w:val="001C62CE"/>
    <w:rsid w:val="0026735A"/>
    <w:rsid w:val="00275DA4"/>
    <w:rsid w:val="0028214D"/>
    <w:rsid w:val="002D1E3D"/>
    <w:rsid w:val="002E6F79"/>
    <w:rsid w:val="00324ED0"/>
    <w:rsid w:val="0032673A"/>
    <w:rsid w:val="00350193"/>
    <w:rsid w:val="0038131C"/>
    <w:rsid w:val="0039056F"/>
    <w:rsid w:val="003A47B0"/>
    <w:rsid w:val="003E0191"/>
    <w:rsid w:val="003E150A"/>
    <w:rsid w:val="00463AFE"/>
    <w:rsid w:val="00470B95"/>
    <w:rsid w:val="004C64FF"/>
    <w:rsid w:val="004D1516"/>
    <w:rsid w:val="004F4B05"/>
    <w:rsid w:val="005725D1"/>
    <w:rsid w:val="005B59DC"/>
    <w:rsid w:val="005C7F72"/>
    <w:rsid w:val="0060707C"/>
    <w:rsid w:val="006A7D0B"/>
    <w:rsid w:val="006D4FC2"/>
    <w:rsid w:val="00711A65"/>
    <w:rsid w:val="00722940"/>
    <w:rsid w:val="007304D1"/>
    <w:rsid w:val="0076710B"/>
    <w:rsid w:val="007B2C02"/>
    <w:rsid w:val="00805322"/>
    <w:rsid w:val="00817162"/>
    <w:rsid w:val="008516F4"/>
    <w:rsid w:val="008A2729"/>
    <w:rsid w:val="008C1A74"/>
    <w:rsid w:val="008F3EF4"/>
    <w:rsid w:val="00912D2B"/>
    <w:rsid w:val="00953E0A"/>
    <w:rsid w:val="009E0E44"/>
    <w:rsid w:val="00A00D39"/>
    <w:rsid w:val="00A34F61"/>
    <w:rsid w:val="00AE3813"/>
    <w:rsid w:val="00B56C20"/>
    <w:rsid w:val="00B62372"/>
    <w:rsid w:val="00B944CA"/>
    <w:rsid w:val="00BB3892"/>
    <w:rsid w:val="00C80DC0"/>
    <w:rsid w:val="00C86AAE"/>
    <w:rsid w:val="00C909D9"/>
    <w:rsid w:val="00D2686A"/>
    <w:rsid w:val="00E054BF"/>
    <w:rsid w:val="00E557A8"/>
    <w:rsid w:val="00E621C4"/>
    <w:rsid w:val="00EA26F2"/>
    <w:rsid w:val="00ED01F3"/>
    <w:rsid w:val="00ED48CB"/>
    <w:rsid w:val="00EE68CF"/>
    <w:rsid w:val="00F16A34"/>
    <w:rsid w:val="00F41B5A"/>
    <w:rsid w:val="00F566D6"/>
    <w:rsid w:val="00F96C8F"/>
    <w:rsid w:val="00FE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80698"/>
  <w15:chartTrackingRefBased/>
  <w15:docId w15:val="{ACE204A0-F29A-44D4-9F56-1584301F7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napToGrid/>
      <w:sz w:val="20"/>
    </w:rPr>
  </w:style>
  <w:style w:type="character" w:styleId="Strong">
    <w:name w:val="Strong"/>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harCharChar1CharCharCharChar">
    <w:name w:val="Char Char Char1 Char Char Char Char"/>
    <w:basedOn w:val="Normal"/>
    <w:semiHidden/>
    <w:pPr>
      <w:widowControl/>
      <w:spacing w:before="80" w:after="80"/>
      <w:ind w:left="4320"/>
      <w:jc w:val="both"/>
    </w:pPr>
    <w:rPr>
      <w:rFonts w:ascii="Arial" w:hAnsi="Arial"/>
      <w:snapToGrid/>
      <w:sz w:val="20"/>
      <w:szCs w:val="24"/>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link w:val="bodytextChar"/>
    <w:pPr>
      <w:widowControl/>
      <w:spacing w:after="160" w:line="320" w:lineRule="exact"/>
    </w:pPr>
    <w:rPr>
      <w:rFonts w:ascii="Verdana" w:eastAsia="MS Mincho" w:hAnsi="Verdana"/>
      <w:snapToGrid/>
      <w:sz w:val="20"/>
    </w:rPr>
  </w:style>
  <w:style w:type="character" w:customStyle="1" w:styleId="bodytextChar">
    <w:name w:val="body text Char"/>
    <w:link w:val="BodyText1"/>
    <w:rPr>
      <w:rFonts w:ascii="Verdana" w:eastAsia="MS Mincho" w:hAnsi="Verdana"/>
      <w:lang w:val="en-US" w:eastAsia="en-US" w:bidi="ar-SA"/>
    </w:rPr>
  </w:style>
  <w:style w:type="character" w:styleId="CommentReference">
    <w:name w:val="annotation reference"/>
    <w:rsid w:val="00722940"/>
    <w:rPr>
      <w:sz w:val="16"/>
      <w:szCs w:val="16"/>
    </w:rPr>
  </w:style>
  <w:style w:type="paragraph" w:styleId="CommentText">
    <w:name w:val="annotation text"/>
    <w:basedOn w:val="Normal"/>
    <w:link w:val="CommentTextChar"/>
    <w:rsid w:val="00722940"/>
    <w:rPr>
      <w:sz w:val="20"/>
    </w:rPr>
  </w:style>
  <w:style w:type="character" w:customStyle="1" w:styleId="CommentTextChar">
    <w:name w:val="Comment Text Char"/>
    <w:link w:val="CommentText"/>
    <w:rsid w:val="00722940"/>
    <w:rPr>
      <w:snapToGrid w:val="0"/>
    </w:rPr>
  </w:style>
  <w:style w:type="paragraph" w:styleId="CommentSubject">
    <w:name w:val="annotation subject"/>
    <w:basedOn w:val="CommentText"/>
    <w:next w:val="CommentText"/>
    <w:link w:val="CommentSubjectChar"/>
    <w:rsid w:val="00722940"/>
    <w:rPr>
      <w:b/>
      <w:bCs/>
    </w:rPr>
  </w:style>
  <w:style w:type="character" w:customStyle="1" w:styleId="CommentSubjectChar">
    <w:name w:val="Comment Subject Char"/>
    <w:link w:val="CommentSubject"/>
    <w:rsid w:val="00722940"/>
    <w:rPr>
      <w:b/>
      <w:bCs/>
      <w:snapToGrid w:val="0"/>
    </w:rPr>
  </w:style>
  <w:style w:type="paragraph" w:styleId="BodyTextIndent">
    <w:name w:val="Body Text Indent"/>
    <w:basedOn w:val="Normal"/>
    <w:link w:val="BodyTextIndentChar"/>
    <w:rsid w:val="008516F4"/>
    <w:pPr>
      <w:autoSpaceDE w:val="0"/>
      <w:autoSpaceDN w:val="0"/>
      <w:adjustRightInd w:val="0"/>
      <w:ind w:left="720"/>
    </w:pPr>
    <w:rPr>
      <w:rFonts w:ascii="Baskerville Old Face" w:hAnsi="Baskerville Old Face"/>
      <w:snapToGrid/>
      <w:szCs w:val="24"/>
    </w:rPr>
  </w:style>
  <w:style w:type="character" w:customStyle="1" w:styleId="BodyTextIndentChar">
    <w:name w:val="Body Text Indent Char"/>
    <w:link w:val="BodyTextIndent"/>
    <w:rsid w:val="008516F4"/>
    <w:rPr>
      <w:rFonts w:ascii="Baskerville Old Face" w:hAnsi="Baskerville Old Face"/>
      <w:sz w:val="24"/>
      <w:szCs w:val="24"/>
    </w:rPr>
  </w:style>
  <w:style w:type="paragraph" w:customStyle="1" w:styleId="Preamble">
    <w:name w:val="Preamble"/>
    <w:basedOn w:val="Normal"/>
    <w:qFormat/>
    <w:rsid w:val="00F16A34"/>
    <w:pPr>
      <w:spacing w:line="480" w:lineRule="auto"/>
    </w:pPr>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279630">
      <w:bodyDiv w:val="1"/>
      <w:marLeft w:val="0"/>
      <w:marRight w:val="0"/>
      <w:marTop w:val="0"/>
      <w:marBottom w:val="0"/>
      <w:divBdr>
        <w:top w:val="none" w:sz="0" w:space="0" w:color="auto"/>
        <w:left w:val="none" w:sz="0" w:space="0" w:color="auto"/>
        <w:bottom w:val="none" w:sz="0" w:space="0" w:color="auto"/>
        <w:right w:val="none" w:sz="0" w:space="0" w:color="auto"/>
      </w:divBdr>
    </w:div>
    <w:div w:id="537133111">
      <w:bodyDiv w:val="1"/>
      <w:marLeft w:val="0"/>
      <w:marRight w:val="0"/>
      <w:marTop w:val="0"/>
      <w:marBottom w:val="0"/>
      <w:divBdr>
        <w:top w:val="none" w:sz="0" w:space="0" w:color="auto"/>
        <w:left w:val="none" w:sz="0" w:space="0" w:color="auto"/>
        <w:bottom w:val="none" w:sz="0" w:space="0" w:color="auto"/>
        <w:right w:val="none" w:sz="0" w:space="0" w:color="auto"/>
      </w:divBdr>
    </w:div>
    <w:div w:id="1574386962">
      <w:bodyDiv w:val="1"/>
      <w:marLeft w:val="0"/>
      <w:marRight w:val="0"/>
      <w:marTop w:val="0"/>
      <w:marBottom w:val="0"/>
      <w:divBdr>
        <w:top w:val="none" w:sz="0" w:space="0" w:color="auto"/>
        <w:left w:val="none" w:sz="0" w:space="0" w:color="auto"/>
        <w:bottom w:val="none" w:sz="0" w:space="0" w:color="auto"/>
        <w:right w:val="none" w:sz="0" w:space="0" w:color="auto"/>
      </w:divBdr>
    </w:div>
    <w:div w:id="197375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ginfo.gov/public/do/PRAMai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Billing Code:</vt:lpstr>
    </vt:vector>
  </TitlesOfParts>
  <Company>HCFA</Company>
  <LinksUpToDate>false</LinksUpToDate>
  <CharactersWithSpaces>3632</CharactersWithSpaces>
  <SharedDoc>false</SharedDoc>
  <HLinks>
    <vt:vector size="6" baseType="variant">
      <vt:variant>
        <vt:i4>720915</vt:i4>
      </vt:variant>
      <vt:variant>
        <vt:i4>0</vt:i4>
      </vt:variant>
      <vt:variant>
        <vt:i4>0</vt:i4>
      </vt:variant>
      <vt:variant>
        <vt:i4>5</vt:i4>
      </vt:variant>
      <vt:variant>
        <vt:lpwstr>http://www.reginfo.gov/public/do/PRAMain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dc:title>
  <dc:subject/>
  <dc:creator>HCFA Software Control</dc:creator>
  <cp:keywords/>
  <cp:lastModifiedBy>Watt, Melissa (OS/ASPR/EMMO)</cp:lastModifiedBy>
  <cp:revision>2</cp:revision>
  <cp:lastPrinted>2006-06-16T16:43:00Z</cp:lastPrinted>
  <dcterms:created xsi:type="dcterms:W3CDTF">2022-05-24T20:47:00Z</dcterms:created>
  <dcterms:modified xsi:type="dcterms:W3CDTF">2022-05-24T20:47:00Z</dcterms:modified>
</cp:coreProperties>
</file>