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78D" w:rsidP="005B363F" w:rsidRDefault="00161E65" w14:paraId="0584EA89" w14:textId="06C661AD">
      <w:pPr>
        <w:tabs>
          <w:tab w:val="center" w:pos="4680"/>
        </w:tabs>
        <w:jc w:val="center"/>
        <w:rPr>
          <w:b/>
          <w:szCs w:val="24"/>
        </w:rPr>
      </w:pPr>
      <w:r w:rsidRPr="00600EEB">
        <w:rPr>
          <w:b/>
          <w:szCs w:val="24"/>
        </w:rPr>
        <w:t xml:space="preserve">Supporting Statement </w:t>
      </w:r>
      <w:r w:rsidRPr="003F25DF" w:rsidR="0041259F">
        <w:rPr>
          <w:b/>
          <w:szCs w:val="24"/>
        </w:rPr>
        <w:t>A</w:t>
      </w:r>
      <w:r w:rsidR="0041259F">
        <w:rPr>
          <w:b/>
          <w:szCs w:val="24"/>
        </w:rPr>
        <w:t xml:space="preserve"> </w:t>
      </w:r>
    </w:p>
    <w:p w:rsidR="00E95E44" w:rsidP="005B363F" w:rsidRDefault="00E95E44" w14:paraId="0D1C44A2" w14:textId="77777777">
      <w:pPr>
        <w:tabs>
          <w:tab w:val="center" w:pos="4680"/>
        </w:tabs>
        <w:jc w:val="center"/>
        <w:rPr>
          <w:b/>
          <w:szCs w:val="24"/>
        </w:rPr>
      </w:pPr>
      <w:r>
        <w:rPr>
          <w:b/>
          <w:szCs w:val="24"/>
        </w:rPr>
        <w:t xml:space="preserve">Proposed Rule </w:t>
      </w:r>
      <w:r w:rsidRPr="00E95E44">
        <w:rPr>
          <w:b/>
          <w:szCs w:val="24"/>
        </w:rPr>
        <w:t>1014-AA52</w:t>
      </w:r>
    </w:p>
    <w:p w:rsidR="00E95E44" w:rsidP="005B363F" w:rsidRDefault="00E95E44" w14:paraId="039DDF80" w14:textId="3F0A66F3">
      <w:pPr>
        <w:tabs>
          <w:tab w:val="center" w:pos="4680"/>
        </w:tabs>
        <w:jc w:val="center"/>
        <w:rPr>
          <w:b/>
          <w:szCs w:val="24"/>
        </w:rPr>
      </w:pPr>
      <w:r>
        <w:rPr>
          <w:b/>
          <w:szCs w:val="24"/>
        </w:rPr>
        <w:t>Blowout Preventer Systems and Well Control Revisions</w:t>
      </w:r>
    </w:p>
    <w:p w:rsidR="00714690" w:rsidP="005B363F" w:rsidRDefault="00714690" w14:paraId="5726300F" w14:textId="77777777">
      <w:pPr>
        <w:tabs>
          <w:tab w:val="left" w:pos="360"/>
          <w:tab w:val="left" w:pos="720"/>
          <w:tab w:val="left" w:pos="1080"/>
        </w:tabs>
        <w:jc w:val="center"/>
        <w:rPr>
          <w:rFonts w:eastAsia="Times New Roman"/>
          <w:b/>
          <w:szCs w:val="24"/>
        </w:rPr>
      </w:pPr>
      <w:r>
        <w:rPr>
          <w:b/>
          <w:szCs w:val="24"/>
        </w:rPr>
        <w:t>30 CFR 250, Subpart G,</w:t>
      </w:r>
      <w:r w:rsidR="003F25DF">
        <w:rPr>
          <w:b/>
          <w:szCs w:val="24"/>
        </w:rPr>
        <w:t xml:space="preserve"> </w:t>
      </w:r>
      <w:bookmarkStart w:name="_Hlk102389452" w:id="0"/>
      <w:r w:rsidRPr="00337032" w:rsidR="00337032">
        <w:rPr>
          <w:rFonts w:eastAsia="Times New Roman"/>
          <w:b/>
          <w:szCs w:val="24"/>
        </w:rPr>
        <w:t>Well Operations and Equipment</w:t>
      </w:r>
      <w:bookmarkEnd w:id="0"/>
    </w:p>
    <w:p w:rsidR="00CE1B4D" w:rsidP="005B363F" w:rsidRDefault="00CE1B4D" w14:paraId="29CDB0EB" w14:textId="7C3A24DC">
      <w:pPr>
        <w:tabs>
          <w:tab w:val="left" w:pos="360"/>
          <w:tab w:val="left" w:pos="720"/>
          <w:tab w:val="left" w:pos="1080"/>
        </w:tabs>
        <w:jc w:val="center"/>
        <w:rPr>
          <w:rFonts w:eastAsia="Times New Roman"/>
          <w:b/>
          <w:szCs w:val="24"/>
        </w:rPr>
      </w:pPr>
      <w:bookmarkStart w:name="_Hlk102389497" w:id="1"/>
      <w:r w:rsidRPr="00CE1B4D">
        <w:rPr>
          <w:rFonts w:eastAsia="Times New Roman"/>
          <w:b/>
          <w:szCs w:val="24"/>
        </w:rPr>
        <w:t>Rig Movement Notification Report</w:t>
      </w:r>
      <w:bookmarkEnd w:id="1"/>
      <w:r w:rsidRPr="00CE1B4D">
        <w:rPr>
          <w:rFonts w:eastAsia="Times New Roman"/>
          <w:b/>
          <w:szCs w:val="24"/>
        </w:rPr>
        <w:t xml:space="preserve">, </w:t>
      </w:r>
      <w:bookmarkStart w:name="_Hlk102389479" w:id="2"/>
      <w:r w:rsidRPr="00CE1B4D">
        <w:rPr>
          <w:rFonts w:eastAsia="Times New Roman"/>
          <w:b/>
          <w:szCs w:val="24"/>
        </w:rPr>
        <w:t>Form BSEE-0144</w:t>
      </w:r>
      <w:bookmarkEnd w:id="2"/>
    </w:p>
    <w:p w:rsidR="00EF63E5" w:rsidP="005B363F" w:rsidRDefault="00EF63E5" w14:paraId="6F0E8251" w14:textId="77777777">
      <w:pPr>
        <w:tabs>
          <w:tab w:val="left" w:pos="360"/>
          <w:tab w:val="left" w:pos="720"/>
          <w:tab w:val="left" w:pos="1080"/>
        </w:tabs>
        <w:jc w:val="center"/>
        <w:rPr>
          <w:b/>
        </w:rPr>
      </w:pPr>
      <w:r>
        <w:rPr>
          <w:b/>
        </w:rPr>
        <w:t>OMB Control Number 101</w:t>
      </w:r>
      <w:r w:rsidR="006E3B52">
        <w:rPr>
          <w:b/>
        </w:rPr>
        <w:t>4</w:t>
      </w:r>
      <w:r>
        <w:rPr>
          <w:b/>
        </w:rPr>
        <w:t>-</w:t>
      </w:r>
      <w:r w:rsidR="001853B9">
        <w:rPr>
          <w:b/>
        </w:rPr>
        <w:t>0028</w:t>
      </w:r>
    </w:p>
    <w:p w:rsidR="006E3B52" w:rsidP="005B363F" w:rsidRDefault="006E3B52" w14:paraId="1AAA5996" w14:textId="4EECA6BC">
      <w:pPr>
        <w:tabs>
          <w:tab w:val="left" w:pos="360"/>
          <w:tab w:val="left" w:pos="720"/>
          <w:tab w:val="left" w:pos="1080"/>
        </w:tabs>
        <w:jc w:val="center"/>
        <w:rPr>
          <w:b/>
        </w:rPr>
      </w:pPr>
      <w:r>
        <w:rPr>
          <w:b/>
        </w:rPr>
        <w:t xml:space="preserve">OMB Expiration Date:  </w:t>
      </w:r>
      <w:r w:rsidR="00C667E2">
        <w:rPr>
          <w:b/>
        </w:rPr>
        <w:t xml:space="preserve">January </w:t>
      </w:r>
      <w:r w:rsidR="002736AE">
        <w:rPr>
          <w:b/>
        </w:rPr>
        <w:t>31, 20</w:t>
      </w:r>
      <w:r w:rsidR="00C667E2">
        <w:rPr>
          <w:b/>
        </w:rPr>
        <w:t>2</w:t>
      </w:r>
      <w:r w:rsidR="00690020">
        <w:rPr>
          <w:b/>
        </w:rPr>
        <w:t>3</w:t>
      </w:r>
    </w:p>
    <w:p w:rsidR="00905D47" w:rsidP="005B363F" w:rsidRDefault="00905D47" w14:paraId="143B8239" w14:textId="77777777">
      <w:pPr>
        <w:tabs>
          <w:tab w:val="left" w:pos="360"/>
          <w:tab w:val="left" w:pos="720"/>
          <w:tab w:val="left" w:pos="1080"/>
        </w:tabs>
        <w:jc w:val="center"/>
        <w:rPr>
          <w:b/>
        </w:rPr>
      </w:pPr>
    </w:p>
    <w:p w:rsidRPr="00305378" w:rsidR="00905D47" w:rsidP="005B363F" w:rsidRDefault="00905D47" w14:paraId="49FF770F" w14:textId="25CC045F">
      <w:pPr>
        <w:autoSpaceDE w:val="0"/>
        <w:autoSpaceDN w:val="0"/>
        <w:adjustRightInd w:val="0"/>
        <w:rPr>
          <w:szCs w:val="24"/>
        </w:rPr>
      </w:pPr>
      <w:r w:rsidRPr="00845D09">
        <w:rPr>
          <w:rFonts w:ascii="Arial" w:hAnsi="Arial" w:cs="Arial"/>
          <w:b/>
          <w:sz w:val="22"/>
          <w:szCs w:val="22"/>
        </w:rPr>
        <w:t>Terms of Clearance:</w:t>
      </w:r>
      <w:r>
        <w:rPr>
          <w:b/>
        </w:rPr>
        <w:t xml:space="preserve">  </w:t>
      </w:r>
      <w:r w:rsidR="00B651B9">
        <w:rPr>
          <w:snapToGrid/>
          <w:szCs w:val="24"/>
        </w:rPr>
        <w:t>None.</w:t>
      </w:r>
    </w:p>
    <w:p w:rsidRPr="00305378" w:rsidR="00EF63E5" w:rsidP="005B363F" w:rsidRDefault="00EF63E5" w14:paraId="688756AF" w14:textId="77777777">
      <w:pPr>
        <w:rPr>
          <w:szCs w:val="24"/>
        </w:rPr>
      </w:pPr>
    </w:p>
    <w:p w:rsidRPr="00F362C3" w:rsidR="0089291E" w:rsidP="005B363F" w:rsidRDefault="0089291E" w14:paraId="2B15686B"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89291E" w:rsidP="005B363F" w:rsidRDefault="0089291E" w14:paraId="6F539979" w14:textId="77777777">
      <w:pPr>
        <w:tabs>
          <w:tab w:val="center" w:pos="4680"/>
        </w:tabs>
        <w:rPr>
          <w:b/>
        </w:rPr>
      </w:pPr>
    </w:p>
    <w:p w:rsidR="0041259F" w:rsidP="005B363F" w:rsidRDefault="0041259F" w14:paraId="7533B788" w14:textId="7D5131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70682">
        <w:rPr>
          <w:szCs w:val="24"/>
        </w:rPr>
        <w:t xml:space="preserve">A completed Supporting Statement A must accompany each request for approval of a collection of information.  The Supporting Statement must be prepared in the format described </w:t>
      </w:r>
      <w:r w:rsidRPr="00770682" w:rsidR="00F23325">
        <w:rPr>
          <w:szCs w:val="24"/>
        </w:rPr>
        <w:t>below and</w:t>
      </w:r>
      <w:r w:rsidRPr="00770682">
        <w:rPr>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P="005B363F" w:rsidRDefault="0089291E" w14:paraId="5C14D0EB" w14:textId="77777777">
      <w:pPr>
        <w:tabs>
          <w:tab w:val="center" w:pos="4680"/>
        </w:tabs>
      </w:pPr>
    </w:p>
    <w:p w:rsidRPr="00F362C3" w:rsidR="0089291E" w:rsidP="005B363F" w:rsidRDefault="0089291E" w14:paraId="259FB298"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89291E" w:rsidP="005B363F" w:rsidRDefault="0089291E" w14:paraId="7A934848" w14:textId="77777777">
      <w:pPr>
        <w:tabs>
          <w:tab w:val="center" w:pos="4680"/>
        </w:tabs>
        <w:rPr>
          <w:b/>
        </w:rPr>
      </w:pPr>
    </w:p>
    <w:p w:rsidRPr="00B03115" w:rsidR="0089291E" w:rsidP="005B363F" w:rsidRDefault="0089291E" w14:paraId="7F48F4E7" w14:textId="77777777">
      <w:pPr>
        <w:tabs>
          <w:tab w:val="left" w:pos="-1080"/>
          <w:tab w:val="left" w:pos="-720"/>
          <w:tab w:val="left" w:pos="360"/>
          <w:tab w:val="left" w:pos="720"/>
        </w:tabs>
        <w:rPr>
          <w:b/>
          <w:u w:val="single"/>
        </w:rPr>
      </w:pPr>
      <w:r w:rsidRPr="00B03115">
        <w:rPr>
          <w:b/>
          <w:u w:val="single"/>
        </w:rPr>
        <w:t>Justification</w:t>
      </w:r>
    </w:p>
    <w:p w:rsidRPr="00EB51C3" w:rsidR="0089291E" w:rsidP="005B363F" w:rsidRDefault="0089291E" w14:paraId="2CE840C6" w14:textId="77777777">
      <w:pPr>
        <w:tabs>
          <w:tab w:val="left" w:pos="-1080"/>
          <w:tab w:val="left" w:pos="-720"/>
          <w:tab w:val="left" w:pos="360"/>
          <w:tab w:val="left" w:pos="720"/>
        </w:tabs>
      </w:pPr>
    </w:p>
    <w:p w:rsidRPr="0041259F" w:rsidR="0089291E" w:rsidP="005B363F" w:rsidRDefault="0089291E" w14:paraId="6509B356" w14:textId="77777777">
      <w:pPr>
        <w:tabs>
          <w:tab w:val="left" w:pos="-1080"/>
          <w:tab w:val="left" w:pos="-720"/>
          <w:tab w:val="left" w:pos="360"/>
          <w:tab w:val="left" w:pos="720"/>
        </w:tabs>
        <w:rPr>
          <w:strike/>
        </w:rPr>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89291E" w:rsidP="005B363F" w:rsidRDefault="0089291E" w14:paraId="4031C80D" w14:textId="77777777">
      <w:pPr>
        <w:tabs>
          <w:tab w:val="left" w:pos="-1080"/>
          <w:tab w:val="left" w:pos="-720"/>
          <w:tab w:val="left" w:pos="360"/>
          <w:tab w:val="left" w:pos="720"/>
        </w:tabs>
      </w:pPr>
    </w:p>
    <w:p w:rsidR="00770682" w:rsidP="005B363F" w:rsidRDefault="005D4D83" w14:paraId="50D48472" w14:textId="77777777">
      <w:pPr>
        <w:tabs>
          <w:tab w:val="left" w:pos="360"/>
          <w:tab w:val="left" w:pos="720"/>
          <w:tab w:val="left" w:pos="1080"/>
        </w:tabs>
      </w:pPr>
      <w:r w:rsidRPr="005D4D83">
        <w:t>The Outer Continental Shelf (OCS) Lands Act, as amended (43 U.S.C. 133</w:t>
      </w:r>
      <w:r w:rsidR="001C18AE">
        <w:t>4</w:t>
      </w:r>
      <w:r w:rsidRPr="005D4D83">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D4D83" w:rsidP="005B363F" w:rsidRDefault="005D4D83" w14:paraId="03E9EE92" w14:textId="77777777">
      <w:pPr>
        <w:tabs>
          <w:tab w:val="left" w:pos="360"/>
          <w:tab w:val="left" w:pos="720"/>
          <w:tab w:val="left" w:pos="1080"/>
        </w:tabs>
      </w:pPr>
    </w:p>
    <w:p w:rsidRPr="00877A93" w:rsidR="00877A93" w:rsidP="002402C9" w:rsidRDefault="00877A93" w14:paraId="72028515" w14:textId="77777777">
      <w:pPr>
        <w:widowControl/>
        <w:spacing w:after="200"/>
        <w:rPr>
          <w:rFonts w:eastAsiaTheme="minorHAnsi"/>
          <w:snapToGrid/>
          <w:szCs w:val="24"/>
        </w:rPr>
      </w:pPr>
      <w:r w:rsidRPr="00877A93">
        <w:rPr>
          <w:rFonts w:eastAsiaTheme="minorHAnsi"/>
          <w:snapToGrid/>
          <w:szCs w:val="24"/>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Various applications and/or permits are subject to cost recovery, and BSEE regulations specify service fees for these requests.  </w:t>
      </w:r>
    </w:p>
    <w:p w:rsidR="006B67F6" w:rsidP="005B363F" w:rsidRDefault="001C1E09" w14:paraId="407212C2" w14:textId="77777777">
      <w:pPr>
        <w:tabs>
          <w:tab w:val="left" w:pos="360"/>
          <w:tab w:val="left" w:pos="720"/>
          <w:tab w:val="left" w:pos="1080"/>
        </w:tabs>
      </w:pPr>
      <w:r w:rsidRPr="001C1E09">
        <w:lastRenderedPageBreak/>
        <w:t xml:space="preserve">In addition to the general </w:t>
      </w:r>
      <w:r w:rsidR="005D4D83">
        <w:t xml:space="preserve">rulemaking </w:t>
      </w:r>
      <w:r w:rsidRPr="001C1E09">
        <w:t xml:space="preserve">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w:t>
      </w:r>
      <w:r w:rsidRPr="005D4D83" w:rsidR="005D4D83">
        <w:t>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FC12FD" w:rsidP="005B363F" w:rsidRDefault="00FC12FD" w14:paraId="73466D65" w14:textId="77777777">
      <w:pPr>
        <w:tabs>
          <w:tab w:val="left" w:pos="360"/>
          <w:tab w:val="left" w:pos="720"/>
          <w:tab w:val="left" w:pos="1080"/>
        </w:tabs>
      </w:pPr>
    </w:p>
    <w:p w:rsidRPr="00600EEB" w:rsidR="00987858" w:rsidP="005B363F" w:rsidRDefault="00987858" w14:paraId="1A957A2B" w14:textId="77777777">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i/>
        </w:rPr>
        <w:t xml:space="preserve">  </w:t>
      </w:r>
    </w:p>
    <w:p w:rsidR="00987858" w:rsidP="005B363F" w:rsidRDefault="00987858" w14:paraId="737C852E" w14:textId="77777777">
      <w:pPr>
        <w:tabs>
          <w:tab w:val="left" w:pos="-1080"/>
          <w:tab w:val="left" w:pos="-720"/>
          <w:tab w:val="left" w:pos="360"/>
          <w:tab w:val="left" w:pos="720"/>
        </w:tabs>
      </w:pPr>
    </w:p>
    <w:p w:rsidR="00935A78" w:rsidP="005B363F" w:rsidRDefault="00935A78" w14:paraId="0B0E3372" w14:textId="77777777">
      <w:pPr>
        <w:tabs>
          <w:tab w:val="left" w:pos="360"/>
          <w:tab w:val="left" w:pos="720"/>
          <w:tab w:val="left" w:pos="1080"/>
        </w:tabs>
      </w:pPr>
      <w:r w:rsidRPr="00935A78">
        <w:t>BSEE uses the information to ensure safe drilling, workover, completion, and decommissioning operations and to protect the human, marine</w:t>
      </w:r>
      <w:r w:rsidR="007329C7">
        <w:t xml:space="preserve">, and coastal environment.  </w:t>
      </w:r>
      <w:r w:rsidRPr="00935A78">
        <w:t>BSEE analyzes and evaluates these information/requirements to reduce the likelihood of a similar Deepwater Horizon event and to reduce the risk of fatalit</w:t>
      </w:r>
      <w:r w:rsidR="007329C7">
        <w:t xml:space="preserve">ies, injuries, and spills.  </w:t>
      </w:r>
      <w:r w:rsidRPr="00935A78">
        <w:t xml:space="preserve">BSEE also utilizes these requirements in the approval, disapproval, or modification process for well operations.  </w:t>
      </w:r>
    </w:p>
    <w:p w:rsidR="00935A78" w:rsidP="005B363F" w:rsidRDefault="00935A78" w14:paraId="3AD84819" w14:textId="77777777">
      <w:pPr>
        <w:tabs>
          <w:tab w:val="left" w:pos="360"/>
          <w:tab w:val="left" w:pos="720"/>
          <w:tab w:val="left" w:pos="1080"/>
        </w:tabs>
      </w:pPr>
    </w:p>
    <w:p w:rsidR="00935A78" w:rsidP="005B363F" w:rsidRDefault="00935A78" w14:paraId="1652BCF4" w14:textId="1FE0B77A">
      <w:pPr>
        <w:tabs>
          <w:tab w:val="left" w:pos="360"/>
          <w:tab w:val="left" w:pos="720"/>
          <w:tab w:val="left" w:pos="1080"/>
        </w:tabs>
      </w:pPr>
      <w:r>
        <w:t>Specifically, BSEE uses the information</w:t>
      </w:r>
      <w:r w:rsidR="00202F24">
        <w:t xml:space="preserve"> in Subpart G</w:t>
      </w:r>
      <w:r>
        <w:t xml:space="preserve"> to ensure:  </w:t>
      </w:r>
    </w:p>
    <w:p w:rsidR="004612E8" w:rsidP="005B363F" w:rsidRDefault="004612E8" w14:paraId="0B2C24C9" w14:textId="77777777">
      <w:pPr>
        <w:tabs>
          <w:tab w:val="left" w:pos="360"/>
          <w:tab w:val="left" w:pos="720"/>
          <w:tab w:val="left" w:pos="1080"/>
        </w:tabs>
      </w:pPr>
    </w:p>
    <w:p w:rsidR="00935A78" w:rsidP="005B363F" w:rsidRDefault="00935A78" w14:paraId="5A991071" w14:textId="77777777">
      <w:pPr>
        <w:numPr>
          <w:ilvl w:val="0"/>
          <w:numId w:val="2"/>
        </w:numPr>
        <w:tabs>
          <w:tab w:val="left" w:pos="360"/>
          <w:tab w:val="left" w:pos="720"/>
          <w:tab w:val="left" w:pos="1080"/>
        </w:tabs>
      </w:pPr>
      <w:r>
        <w:t>certain well designs and operations have been reviewed by appropriate third parties/engineers/classification societies</w:t>
      </w:r>
      <w:r w:rsidR="00F00078">
        <w:t xml:space="preserve"> that, after one year, have been approved by BSEE</w:t>
      </w:r>
      <w:r>
        <w:t xml:space="preserve">;  </w:t>
      </w:r>
    </w:p>
    <w:p w:rsidR="00935A78" w:rsidP="005B363F" w:rsidRDefault="00935A78" w14:paraId="3D189E0F" w14:textId="77777777">
      <w:pPr>
        <w:numPr>
          <w:ilvl w:val="0"/>
          <w:numId w:val="2"/>
        </w:numPr>
        <w:tabs>
          <w:tab w:val="left" w:pos="360"/>
          <w:tab w:val="left" w:pos="720"/>
          <w:tab w:val="left" w:pos="1080"/>
        </w:tabs>
      </w:pPr>
      <w:r>
        <w:t>rig tracking data is available to locate rigs during major storms;</w:t>
      </w:r>
    </w:p>
    <w:p w:rsidR="00935A78" w:rsidP="005B363F" w:rsidRDefault="00935A78" w14:paraId="74748B93" w14:textId="77777777">
      <w:pPr>
        <w:numPr>
          <w:ilvl w:val="0"/>
          <w:numId w:val="2"/>
        </w:numPr>
        <w:tabs>
          <w:tab w:val="left" w:pos="360"/>
          <w:tab w:val="left" w:pos="720"/>
          <w:tab w:val="left" w:pos="1080"/>
        </w:tabs>
      </w:pPr>
      <w:r>
        <w:t xml:space="preserve">casing or equipment repairs are acceptable and tested; </w:t>
      </w:r>
    </w:p>
    <w:p w:rsidR="00935A78" w:rsidP="005B363F" w:rsidRDefault="00935A78" w14:paraId="361B7659" w14:textId="77777777">
      <w:pPr>
        <w:numPr>
          <w:ilvl w:val="0"/>
          <w:numId w:val="2"/>
        </w:numPr>
        <w:tabs>
          <w:tab w:val="left" w:pos="360"/>
          <w:tab w:val="left" w:pos="720"/>
          <w:tab w:val="left" w:pos="1080"/>
        </w:tabs>
      </w:pPr>
      <w:r>
        <w:t>up</w:t>
      </w:r>
      <w:r w:rsidR="006B3786">
        <w:t>-</w:t>
      </w:r>
      <w:r>
        <w:t>to</w:t>
      </w:r>
      <w:r w:rsidR="006B3786">
        <w:t>-</w:t>
      </w:r>
      <w:r>
        <w:t>date engin</w:t>
      </w:r>
      <w:r w:rsidR="006B3786">
        <w:t>eering documents are available;</w:t>
      </w:r>
    </w:p>
    <w:p w:rsidR="006B3786" w:rsidP="005B363F" w:rsidRDefault="00935A78" w14:paraId="5697F631" w14:textId="09AAD343">
      <w:pPr>
        <w:numPr>
          <w:ilvl w:val="0"/>
          <w:numId w:val="2"/>
        </w:numPr>
        <w:tabs>
          <w:tab w:val="left" w:pos="360"/>
          <w:tab w:val="left" w:pos="720"/>
          <w:tab w:val="left" w:pos="1080"/>
        </w:tabs>
      </w:pPr>
      <w:r>
        <w:t xml:space="preserve">the </w:t>
      </w:r>
      <w:r w:rsidR="00CE61AF">
        <w:t>Blowout Prevent</w:t>
      </w:r>
      <w:r w:rsidR="000B52D5">
        <w:t>e</w:t>
      </w:r>
      <w:r w:rsidR="00CE61AF">
        <w:t>r (</w:t>
      </w:r>
      <w:r>
        <w:t>BOP</w:t>
      </w:r>
      <w:r w:rsidR="00CE61AF">
        <w:t>)</w:t>
      </w:r>
      <w:r>
        <w:t xml:space="preserve"> and associated components are fit for service for its intended use; </w:t>
      </w:r>
    </w:p>
    <w:p w:rsidR="006B3786" w:rsidP="005B363F" w:rsidRDefault="00935A78" w14:paraId="1ECCA90B" w14:textId="77777777">
      <w:pPr>
        <w:numPr>
          <w:ilvl w:val="0"/>
          <w:numId w:val="2"/>
        </w:numPr>
        <w:tabs>
          <w:tab w:val="left" w:pos="360"/>
          <w:tab w:val="left" w:pos="720"/>
          <w:tab w:val="left" w:pos="1080"/>
        </w:tabs>
      </w:pPr>
      <w:r>
        <w:t xml:space="preserve">that the BOP will function as intended; </w:t>
      </w:r>
    </w:p>
    <w:p w:rsidR="001A342F" w:rsidP="005B363F" w:rsidRDefault="001A342F" w14:paraId="2C7DCC69" w14:textId="77777777">
      <w:pPr>
        <w:numPr>
          <w:ilvl w:val="0"/>
          <w:numId w:val="2"/>
        </w:numPr>
        <w:tabs>
          <w:tab w:val="left" w:pos="360"/>
          <w:tab w:val="left" w:pos="720"/>
          <w:tab w:val="left" w:pos="1080"/>
        </w:tabs>
      </w:pPr>
      <w:r>
        <w:t xml:space="preserve">that </w:t>
      </w:r>
      <w:r w:rsidR="00935A78">
        <w:t xml:space="preserve">BOP components are properly maintained and inspected; </w:t>
      </w:r>
    </w:p>
    <w:p w:rsidR="006E3B52" w:rsidP="005B363F" w:rsidRDefault="001A342F" w14:paraId="7117A192" w14:textId="77777777">
      <w:pPr>
        <w:numPr>
          <w:ilvl w:val="0"/>
          <w:numId w:val="2"/>
        </w:numPr>
        <w:tabs>
          <w:tab w:val="left" w:pos="360"/>
          <w:tab w:val="left" w:pos="720"/>
          <w:tab w:val="left" w:pos="1080"/>
        </w:tabs>
      </w:pPr>
      <w:r>
        <w:t xml:space="preserve">the </w:t>
      </w:r>
      <w:r w:rsidR="00935A78">
        <w:t>proper engineering reviews and approvals for all BOP designs, repairs, and modifications</w:t>
      </w:r>
      <w:r>
        <w:t xml:space="preserve"> are met</w:t>
      </w:r>
      <w:r w:rsidR="00935A78">
        <w:t xml:space="preserve">.  </w:t>
      </w:r>
    </w:p>
    <w:p w:rsidR="009B4E40" w:rsidP="005B363F" w:rsidRDefault="009B4E40" w14:paraId="41AC082C" w14:textId="77777777">
      <w:pPr>
        <w:tabs>
          <w:tab w:val="left" w:pos="-1080"/>
          <w:tab w:val="left" w:pos="-720"/>
          <w:tab w:val="left" w:pos="0"/>
        </w:tabs>
        <w:rPr>
          <w:rFonts w:eastAsia="Times New Roman"/>
        </w:rPr>
      </w:pPr>
    </w:p>
    <w:p w:rsidRPr="009F513F" w:rsidR="00987858" w:rsidP="005B363F" w:rsidRDefault="00987858" w14:paraId="357745C1" w14:textId="77777777">
      <w:pPr>
        <w:tabs>
          <w:tab w:val="left" w:pos="-1080"/>
          <w:tab w:val="left" w:pos="-720"/>
          <w:tab w:val="left" w:pos="360"/>
          <w:tab w:val="left" w:pos="720"/>
        </w:tabs>
        <w:rPr>
          <w:i/>
        </w:rPr>
      </w:pPr>
      <w:r w:rsidRPr="009F513F">
        <w:rPr>
          <w:b/>
          <w:i/>
        </w:rPr>
        <w:t>3.</w:t>
      </w:r>
      <w:r w:rsidRPr="009F513F">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9F513F">
        <w:rPr>
          <w:i/>
        </w:rPr>
        <w:t xml:space="preserve"> </w:t>
      </w:r>
    </w:p>
    <w:p w:rsidR="00B03115" w:rsidP="005B363F" w:rsidRDefault="00B03115" w14:paraId="3BBBCEC9" w14:textId="77777777">
      <w:pPr>
        <w:tabs>
          <w:tab w:val="left" w:pos="-1080"/>
          <w:tab w:val="left" w:pos="-720"/>
          <w:tab w:val="left" w:pos="360"/>
          <w:tab w:val="left" w:pos="720"/>
        </w:tabs>
      </w:pPr>
    </w:p>
    <w:p w:rsidR="00567505" w:rsidP="005B363F" w:rsidRDefault="001759AC" w14:paraId="2EF8CE69" w14:textId="7133587B">
      <w:pPr>
        <w:tabs>
          <w:tab w:val="left" w:pos="360"/>
          <w:tab w:val="left" w:pos="720"/>
        </w:tabs>
      </w:pPr>
      <w:r w:rsidRPr="001759AC">
        <w:t xml:space="preserve">BSEE encourages respondents to use the forms available on the website and submit them electronically as attachments to secure emails; or to use eWell--an internet based system that provides respondents with the ability to submit most </w:t>
      </w:r>
      <w:r w:rsidR="007F52C3">
        <w:t xml:space="preserve">of the </w:t>
      </w:r>
      <w:r w:rsidRPr="001759AC">
        <w:t xml:space="preserve">forms </w:t>
      </w:r>
      <w:r w:rsidR="007F52C3">
        <w:t xml:space="preserve">listed in this collection </w:t>
      </w:r>
      <w:r w:rsidRPr="001759AC">
        <w:t xml:space="preserve">electronically using a secure web application in lieu of submitting paper forms.  </w:t>
      </w:r>
      <w:r w:rsidR="00DC058F">
        <w:t>We</w:t>
      </w:r>
      <w:r w:rsidRPr="001759AC">
        <w:t xml:space="preserve"> estimate</w:t>
      </w:r>
      <w:r w:rsidR="00DC058F">
        <w:t xml:space="preserve"> that an average of</w:t>
      </w:r>
      <w:r w:rsidRPr="001759AC">
        <w:t xml:space="preserve"> </w:t>
      </w:r>
      <w:r w:rsidR="00F70B2F">
        <w:t>90</w:t>
      </w:r>
      <w:r w:rsidRPr="001759AC">
        <w:t xml:space="preserve"> percent of submittals pertaining to this collection </w:t>
      </w:r>
      <w:r w:rsidR="00DC058F">
        <w:t>will be</w:t>
      </w:r>
      <w:r w:rsidRPr="001759AC">
        <w:t xml:space="preserve"> submitted electronically</w:t>
      </w:r>
      <w:r>
        <w:t>.</w:t>
      </w:r>
    </w:p>
    <w:p w:rsidR="001759AC" w:rsidP="005B363F" w:rsidRDefault="001759AC" w14:paraId="1A13605F" w14:textId="77777777">
      <w:pPr>
        <w:tabs>
          <w:tab w:val="left" w:pos="360"/>
          <w:tab w:val="left" w:pos="720"/>
        </w:tabs>
      </w:pPr>
    </w:p>
    <w:p w:rsidRPr="00600EEB" w:rsidR="00987858" w:rsidP="005B363F" w:rsidRDefault="00987858" w14:paraId="7464E843" w14:textId="77777777">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rsidR="009F513F" w:rsidP="005B363F" w:rsidRDefault="009F513F" w14:paraId="5E2F44AE" w14:textId="77777777">
      <w:pPr>
        <w:tabs>
          <w:tab w:val="left" w:pos="360"/>
          <w:tab w:val="left" w:pos="720"/>
          <w:tab w:val="left" w:pos="1080"/>
        </w:tabs>
      </w:pPr>
    </w:p>
    <w:p w:rsidR="00EF63E5" w:rsidP="005B363F" w:rsidRDefault="00B03115" w14:paraId="566AA83E" w14:textId="77777777">
      <w:pPr>
        <w:tabs>
          <w:tab w:val="left" w:pos="360"/>
          <w:tab w:val="left" w:pos="720"/>
          <w:tab w:val="left" w:pos="1080"/>
        </w:tabs>
      </w:pPr>
      <w:r w:rsidRPr="00B03115">
        <w:t>The DOI has several Memoranda of Understanding (MOU) that define the responsibilities of each agency with respect to activities in the OCS.  These MOU</w:t>
      </w:r>
      <w:r w:rsidR="0081120C">
        <w:t>s</w:t>
      </w:r>
      <w:r w:rsidRPr="00B03115">
        <w:t xml:space="preserve"> are effective in avoiding duplication of regulations and reporting requirements.  The information collected is specific to a </w:t>
      </w:r>
      <w:r w:rsidR="000B2B76">
        <w:t>well</w:t>
      </w:r>
      <w:r w:rsidRPr="00B03115">
        <w:t xml:space="preserve">, a lessee/operator, or a particular request for BSEE approval and is unique to the site and well operation.  </w:t>
      </w:r>
    </w:p>
    <w:p w:rsidR="00B03115" w:rsidP="005B363F" w:rsidRDefault="00B03115" w14:paraId="54C534FA" w14:textId="77777777">
      <w:pPr>
        <w:tabs>
          <w:tab w:val="left" w:pos="360"/>
          <w:tab w:val="left" w:pos="720"/>
          <w:tab w:val="left" w:pos="1080"/>
        </w:tabs>
      </w:pPr>
    </w:p>
    <w:p w:rsidRPr="00600EEB" w:rsidR="00987858" w:rsidP="005B363F" w:rsidRDefault="00987858" w14:paraId="2C8E4E96" w14:textId="77777777">
      <w:pPr>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EF2525" w:rsidP="005B363F" w:rsidRDefault="00EF2525" w14:paraId="6A699C51" w14:textId="77777777">
      <w:pPr>
        <w:tabs>
          <w:tab w:val="left" w:pos="-1080"/>
          <w:tab w:val="left" w:pos="-720"/>
          <w:tab w:val="left" w:pos="360"/>
          <w:tab w:val="left" w:pos="720"/>
        </w:tabs>
      </w:pPr>
    </w:p>
    <w:p w:rsidR="00987858" w:rsidP="005B363F" w:rsidRDefault="00EF2525" w14:paraId="709EC8BB" w14:textId="77777777">
      <w:pPr>
        <w:tabs>
          <w:tab w:val="left" w:pos="-1080"/>
          <w:tab w:val="left" w:pos="-720"/>
          <w:tab w:val="left" w:pos="360"/>
          <w:tab w:val="left" w:pos="720"/>
        </w:tabs>
      </w:pPr>
      <w:r w:rsidRPr="00EF2525">
        <w:t xml:space="preserve">This collection of information could have an economic effect on a number of small entities.  Any direct effects primarily impact the OCS lessees and operators.  However, many of these OCS lessees and operators may have less than 500 employees and would be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EF2525" w:rsidP="005B363F" w:rsidRDefault="00EF2525" w14:paraId="1687B110" w14:textId="77777777">
      <w:pPr>
        <w:tabs>
          <w:tab w:val="left" w:pos="-1080"/>
          <w:tab w:val="left" w:pos="-720"/>
          <w:tab w:val="left" w:pos="360"/>
          <w:tab w:val="left" w:pos="720"/>
        </w:tabs>
      </w:pPr>
    </w:p>
    <w:p w:rsidR="00987858" w:rsidP="005B363F" w:rsidRDefault="00987858" w14:paraId="6EA0617E" w14:textId="77777777">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987858" w:rsidP="005B363F" w:rsidRDefault="00987858" w14:paraId="19C8FED6" w14:textId="77777777">
      <w:pPr>
        <w:tabs>
          <w:tab w:val="left" w:pos="-1080"/>
          <w:tab w:val="left" w:pos="-720"/>
          <w:tab w:val="left" w:pos="360"/>
          <w:tab w:val="left" w:pos="720"/>
        </w:tabs>
      </w:pPr>
    </w:p>
    <w:p w:rsidR="007D4258" w:rsidP="005B363F" w:rsidRDefault="00984249" w14:paraId="4EE5061F" w14:textId="320A6ED8">
      <w:pPr>
        <w:tabs>
          <w:tab w:val="left" w:pos="-1080"/>
          <w:tab w:val="left" w:pos="-720"/>
          <w:tab w:val="left" w:pos="360"/>
          <w:tab w:val="left" w:pos="720"/>
        </w:tabs>
      </w:pPr>
      <w:r>
        <w:t xml:space="preserve">If BSEE did not collect the information, we could not determine whether lessees and operators are properly providing for the safety of </w:t>
      </w:r>
      <w:r w:rsidR="00661BDE">
        <w:t xml:space="preserve">drilling, workover, completion, and decommissioning </w:t>
      </w:r>
      <w:r>
        <w:t>operations</w:t>
      </w:r>
      <w:r w:rsidR="00661BDE">
        <w:t>;</w:t>
      </w:r>
      <w:r>
        <w:t xml:space="preserve"> and the protection of the environment and resources.  The information is generally collected on occasion of drilling activity and initiated by respondents’ activity.  During drilling operations, respondents must submit reports on a daily (or weekly in the</w:t>
      </w:r>
      <w:r w:rsidR="00596852">
        <w:t xml:space="preserve"> Gulf of Mexico)</w:t>
      </w:r>
      <w:r>
        <w:t xml:space="preserve"> basis.  We must have accurate and timely information on the condition of the drilling site to be able to make informed decisions on requests for alternative compliance and departures and for inspection purposes.  Respondents maintain the information reported on a daily basis, and the burden of submitting to BSEE is not substantial.  Quarterly reporting would be ineffectual.</w:t>
      </w:r>
      <w:r w:rsidR="00CF7058">
        <w:t xml:space="preserve">  </w:t>
      </w:r>
    </w:p>
    <w:p w:rsidR="007D4258" w:rsidP="005B363F" w:rsidRDefault="007D4258" w14:paraId="4328BDCF" w14:textId="77777777">
      <w:pPr>
        <w:tabs>
          <w:tab w:val="left" w:pos="-1080"/>
          <w:tab w:val="left" w:pos="-720"/>
          <w:tab w:val="left" w:pos="360"/>
          <w:tab w:val="left" w:pos="720"/>
        </w:tabs>
      </w:pPr>
    </w:p>
    <w:p w:rsidR="00984249" w:rsidP="005B363F" w:rsidRDefault="00CF7058" w14:paraId="0D069348" w14:textId="77777777">
      <w:pPr>
        <w:tabs>
          <w:tab w:val="left" w:pos="-1080"/>
          <w:tab w:val="left" w:pos="-720"/>
          <w:tab w:val="left" w:pos="360"/>
          <w:tab w:val="left" w:pos="720"/>
        </w:tabs>
      </w:pPr>
      <w:r w:rsidRPr="00CF7058">
        <w:t xml:space="preserve">BSEE also </w:t>
      </w:r>
      <w:r>
        <w:t>needs this information for</w:t>
      </w:r>
      <w:r w:rsidRPr="00CF7058">
        <w:t xml:space="preserve"> the approval, disapproval, or modification process for well operations</w:t>
      </w:r>
      <w:r>
        <w:t>; to ensure</w:t>
      </w:r>
      <w:r w:rsidRPr="00CF7058">
        <w:t xml:space="preserve"> cement jobs are adequate for the well conditions</w:t>
      </w:r>
      <w:r>
        <w:t>,</w:t>
      </w:r>
      <w:r w:rsidRPr="00CF7058">
        <w:t xml:space="preserve"> and </w:t>
      </w:r>
      <w:r w:rsidR="00F00078">
        <w:t xml:space="preserve">that </w:t>
      </w:r>
      <w:r w:rsidRPr="00CF7058">
        <w:t xml:space="preserve">industry can </w:t>
      </w:r>
      <w:r w:rsidRPr="00CF7058">
        <w:lastRenderedPageBreak/>
        <w:t xml:space="preserve">demonstrate </w:t>
      </w:r>
      <w:r w:rsidR="00003ABA">
        <w:t>source control and containment capabilities</w:t>
      </w:r>
      <w:r>
        <w:t xml:space="preserve">; </w:t>
      </w:r>
      <w:r w:rsidR="007D4258">
        <w:t xml:space="preserve">information on </w:t>
      </w:r>
      <w:r w:rsidRPr="00CF7058">
        <w:t xml:space="preserve">production packer setting depth would ensure consistent permitting.  </w:t>
      </w:r>
    </w:p>
    <w:p w:rsidR="00EF63E5" w:rsidP="005B363F" w:rsidRDefault="00EF63E5" w14:paraId="504CE5E8" w14:textId="77777777">
      <w:pPr>
        <w:tabs>
          <w:tab w:val="left" w:pos="360"/>
          <w:tab w:val="left" w:pos="720"/>
          <w:tab w:val="left" w:pos="1080"/>
        </w:tabs>
      </w:pPr>
    </w:p>
    <w:p w:rsidR="00987858" w:rsidP="00602C67" w:rsidRDefault="00987858" w14:paraId="388AB236" w14:textId="3446976F">
      <w:pPr>
        <w:tabs>
          <w:tab w:val="left" w:pos="-1080"/>
          <w:tab w:val="left" w:pos="-720"/>
          <w:tab w:val="left" w:pos="0"/>
          <w:tab w:val="left" w:pos="540"/>
          <w:tab w:val="left" w:pos="990"/>
          <w:tab w:val="left" w:pos="1440"/>
          <w:tab w:val="left" w:pos="2880"/>
        </w:tabs>
      </w:pPr>
      <w:r w:rsidRPr="00600EEB">
        <w:rPr>
          <w:b/>
          <w:i/>
        </w:rPr>
        <w:t>7.</w:t>
      </w:r>
      <w:r w:rsidRPr="00600EEB">
        <w:rPr>
          <w:b/>
          <w:i/>
        </w:rPr>
        <w:tab/>
        <w:t>Explain any special circumstances that would cause an information collection to be conducted in a manner:</w:t>
      </w:r>
      <w:r w:rsidRPr="00600EEB">
        <w:rPr>
          <w:i/>
        </w:rPr>
        <w:t xml:space="preserve">  </w:t>
      </w:r>
      <w:r>
        <w:tab/>
      </w:r>
    </w:p>
    <w:p w:rsidR="00987858" w:rsidP="005B363F" w:rsidRDefault="00987858" w14:paraId="3BE39636" w14:textId="77777777">
      <w:pPr>
        <w:tabs>
          <w:tab w:val="left" w:pos="-1080"/>
          <w:tab w:val="left" w:pos="-720"/>
          <w:tab w:val="left" w:pos="360"/>
          <w:tab w:val="left" w:pos="720"/>
        </w:tabs>
        <w:rPr>
          <w:b/>
          <w:i/>
        </w:rPr>
      </w:pPr>
      <w:r>
        <w:tab/>
      </w:r>
      <w:r w:rsidRPr="00A90789">
        <w:rPr>
          <w:b/>
          <w:i/>
        </w:rPr>
        <w:t>(a) requiring respondents to report information to the agency more often than quarterl</w:t>
      </w:r>
      <w:r>
        <w:rPr>
          <w:b/>
          <w:i/>
        </w:rPr>
        <w:t>y</w:t>
      </w:r>
      <w:r w:rsidRPr="00C9142C" w:rsidR="00D11676">
        <w:rPr>
          <w:b/>
          <w:i/>
        </w:rPr>
        <w:t>;</w:t>
      </w:r>
    </w:p>
    <w:p w:rsidR="00A92DEE" w:rsidP="005B363F" w:rsidRDefault="00987858" w14:paraId="09A3BEB2" w14:textId="77777777">
      <w:pPr>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receipt of it</w:t>
      </w:r>
      <w:r w:rsidRPr="00C9142C" w:rsidR="00D11676">
        <w:rPr>
          <w:b/>
          <w:i/>
        </w:rPr>
        <w:t>;</w:t>
      </w:r>
    </w:p>
    <w:p w:rsidR="00987858" w:rsidP="005B363F" w:rsidRDefault="00987858" w14:paraId="4B78BBDC" w14:textId="77777777">
      <w:pPr>
        <w:tabs>
          <w:tab w:val="left" w:pos="-1080"/>
          <w:tab w:val="left" w:pos="-720"/>
          <w:tab w:val="left" w:pos="360"/>
          <w:tab w:val="left" w:pos="720"/>
        </w:tabs>
        <w:rPr>
          <w:b/>
          <w:i/>
        </w:rPr>
      </w:pPr>
      <w:r>
        <w:rPr>
          <w:b/>
        </w:rPr>
        <w:tab/>
      </w:r>
      <w:r w:rsidRPr="00A90789">
        <w:rPr>
          <w:b/>
          <w:i/>
        </w:rPr>
        <w:t>(c) requiring respondents to submit more than an original and two copies of any document</w:t>
      </w:r>
      <w:r w:rsidRPr="00C9142C" w:rsidR="00D11676">
        <w:rPr>
          <w:b/>
          <w:i/>
        </w:rPr>
        <w:t>;</w:t>
      </w:r>
    </w:p>
    <w:p w:rsidRPr="00A90789" w:rsidR="00987858" w:rsidP="005B363F" w:rsidRDefault="00987858" w14:paraId="153BCB9B" w14:textId="77777777">
      <w:pPr>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 records, for more than 3 years</w:t>
      </w:r>
      <w:r w:rsidRPr="00C9142C" w:rsidR="00D11676">
        <w:rPr>
          <w:b/>
          <w:i/>
        </w:rPr>
        <w:t>;</w:t>
      </w:r>
    </w:p>
    <w:p w:rsidR="00987858" w:rsidP="005B363F" w:rsidRDefault="00987858" w14:paraId="04BE3447" w14:textId="77777777">
      <w:pPr>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Pr="00C9142C" w:rsidR="00D11676">
        <w:rPr>
          <w:b/>
          <w:i/>
        </w:rPr>
        <w:t>;</w:t>
      </w:r>
    </w:p>
    <w:p w:rsidR="00987858" w:rsidP="005B363F" w:rsidRDefault="00987858" w14:paraId="0FE8368D" w14:textId="77777777">
      <w:pPr>
        <w:tabs>
          <w:tab w:val="left" w:pos="-1080"/>
          <w:tab w:val="left" w:pos="-720"/>
          <w:tab w:val="left" w:pos="360"/>
          <w:tab w:val="left" w:pos="720"/>
        </w:tabs>
        <w:rPr>
          <w:b/>
          <w:i/>
        </w:rPr>
      </w:pPr>
      <w:r w:rsidRPr="00B27CC7">
        <w:rPr>
          <w:b/>
          <w:i/>
        </w:rPr>
        <w:tab/>
        <w:t>(f) requiring the use of statistical data classification that has been reviewed and approved by OMB</w:t>
      </w:r>
      <w:r w:rsidRPr="00C9142C" w:rsidR="00D11676">
        <w:rPr>
          <w:b/>
          <w:i/>
        </w:rPr>
        <w:t>;</w:t>
      </w:r>
    </w:p>
    <w:p w:rsidRPr="00B27CC7" w:rsidR="00987858" w:rsidP="005B363F" w:rsidRDefault="00987858" w14:paraId="5A817FE2" w14:textId="77777777">
      <w:pPr>
        <w:tabs>
          <w:tab w:val="left" w:pos="-1080"/>
          <w:tab w:val="left" w:pos="-720"/>
          <w:tab w:val="left" w:pos="360"/>
          <w:tab w:val="left" w:pos="720"/>
        </w:tabs>
        <w:rPr>
          <w:b/>
          <w:i/>
        </w:rPr>
      </w:pPr>
      <w:r>
        <w:rPr>
          <w:b/>
        </w:rPr>
        <w:tab/>
      </w:r>
      <w:r w:rsidRPr="00B27CC7">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9142C" w:rsidR="0041259F">
        <w:rPr>
          <w:b/>
          <w:i/>
        </w:rPr>
        <w:t>; or</w:t>
      </w:r>
    </w:p>
    <w:p w:rsidR="00987858" w:rsidP="005B363F" w:rsidRDefault="00987858" w14:paraId="3513F7F0" w14:textId="63B9E41C">
      <w:pPr>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rsidRPr="00B27CC7" w:rsidR="00684121" w:rsidP="005B363F" w:rsidRDefault="00684121" w14:paraId="6D70ED58" w14:textId="77777777">
      <w:pPr>
        <w:tabs>
          <w:tab w:val="left" w:pos="-1080"/>
          <w:tab w:val="left" w:pos="-720"/>
          <w:tab w:val="left" w:pos="360"/>
          <w:tab w:val="left" w:pos="720"/>
        </w:tabs>
        <w:rPr>
          <w:b/>
          <w:i/>
        </w:rPr>
      </w:pPr>
    </w:p>
    <w:p w:rsidR="005133DA" w:rsidP="005B363F" w:rsidRDefault="004B2DFA" w14:paraId="5A1B8F2C" w14:textId="77777777">
      <w:pPr>
        <w:tabs>
          <w:tab w:val="left" w:pos="-1080"/>
          <w:tab w:val="left" w:pos="-720"/>
          <w:tab w:val="left" w:pos="360"/>
          <w:tab w:val="left" w:pos="720"/>
        </w:tabs>
      </w:pPr>
      <w:r w:rsidRPr="004B2DFA">
        <w:t>Not applicable in this collection.</w:t>
      </w:r>
    </w:p>
    <w:p w:rsidR="004B2DFA" w:rsidP="005B363F" w:rsidRDefault="004B2DFA" w14:paraId="6E5074C8" w14:textId="77777777">
      <w:pPr>
        <w:tabs>
          <w:tab w:val="left" w:pos="-1080"/>
          <w:tab w:val="left" w:pos="-720"/>
          <w:tab w:val="left" w:pos="360"/>
          <w:tab w:val="left" w:pos="720"/>
        </w:tabs>
      </w:pPr>
    </w:p>
    <w:p w:rsidR="00987858" w:rsidP="005B363F" w:rsidRDefault="00987858" w14:paraId="1F9D08C8" w14:textId="77777777">
      <w:pPr>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w:t>
      </w:r>
      <w:r w:rsidR="00DF6592">
        <w:rPr>
          <w:b/>
          <w:i/>
        </w:rPr>
        <w:t>11</w:t>
      </w:r>
      <w:r w:rsidRPr="00600EEB">
        <w:rPr>
          <w:b/>
          <w:i/>
        </w:rPr>
        <w:t xml:space="preserve">,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987858" w:rsidP="005B363F" w:rsidRDefault="00987858" w14:paraId="66669853" w14:textId="77777777">
      <w:pPr>
        <w:tabs>
          <w:tab w:val="left" w:pos="360"/>
          <w:tab w:val="left" w:pos="720"/>
          <w:tab w:val="left" w:pos="1080"/>
        </w:tabs>
        <w:rPr>
          <w:b/>
        </w:rPr>
      </w:pPr>
    </w:p>
    <w:p w:rsidR="0041259F" w:rsidP="005B363F" w:rsidRDefault="00987858" w14:paraId="08EEA6C9" w14:textId="77777777">
      <w:pPr>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6592" w:rsidP="005B363F" w:rsidRDefault="00DF6592" w14:paraId="46811F72" w14:textId="77777777">
      <w:pPr>
        <w:tabs>
          <w:tab w:val="left" w:pos="360"/>
          <w:tab w:val="left" w:pos="720"/>
          <w:tab w:val="left" w:pos="1080"/>
        </w:tabs>
        <w:rPr>
          <w:b/>
          <w:i/>
        </w:rPr>
      </w:pPr>
    </w:p>
    <w:p w:rsidR="00987858" w:rsidP="005B363F" w:rsidRDefault="00987858" w14:paraId="62A03B9E" w14:textId="77777777">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EF63E5" w:rsidP="005B363F" w:rsidRDefault="00EF63E5" w14:paraId="381C091F" w14:textId="77777777">
      <w:pPr>
        <w:tabs>
          <w:tab w:val="left" w:pos="360"/>
          <w:tab w:val="left" w:pos="720"/>
          <w:tab w:val="left" w:pos="1080"/>
        </w:tabs>
      </w:pPr>
    </w:p>
    <w:p w:rsidRPr="00967994" w:rsidR="00967994" w:rsidP="00967994" w:rsidRDefault="00967994" w14:paraId="317D9649" w14:textId="76C43697">
      <w:pPr>
        <w:tabs>
          <w:tab w:val="left" w:pos="360"/>
          <w:tab w:val="left" w:pos="720"/>
          <w:tab w:val="left" w:pos="1080"/>
        </w:tabs>
        <w:snapToGrid w:val="0"/>
        <w:rPr>
          <w:snapToGrid/>
        </w:rPr>
      </w:pPr>
      <w:r w:rsidRPr="00967994">
        <w:rPr>
          <w:snapToGrid/>
        </w:rPr>
        <w:t xml:space="preserve">As required in 5 CFR 1320.11, BSEE is providing the initial 60-day review and comment process through the preamble of the proposed rulemaking.  BSEE will address in the preamble to </w:t>
      </w:r>
      <w:r w:rsidRPr="00967994">
        <w:rPr>
          <w:snapToGrid/>
        </w:rPr>
        <w:lastRenderedPageBreak/>
        <w:t>the final rulemaking any comments received and make necessary adjustments where applicable.  No individual respondents were contacted due to the proposed rulemaking nature of the collection.  However, BSEE based its estimates on the latest data and information available from previous contacts with respondents to the current regulations and its staff expertise.</w:t>
      </w:r>
    </w:p>
    <w:p w:rsidR="005A0370" w:rsidP="005A0370" w:rsidRDefault="005A0370" w14:paraId="3E04215E" w14:textId="77777777">
      <w:pPr>
        <w:tabs>
          <w:tab w:val="left" w:pos="360"/>
          <w:tab w:val="left" w:pos="720"/>
          <w:tab w:val="left" w:pos="1080"/>
        </w:tabs>
      </w:pPr>
    </w:p>
    <w:p w:rsidR="00CB728E" w:rsidP="005B363F" w:rsidRDefault="00CB728E" w14:paraId="38F4C919" w14:textId="77777777">
      <w:pPr>
        <w:tabs>
          <w:tab w:val="left" w:pos="-1080"/>
          <w:tab w:val="left" w:pos="-720"/>
          <w:tab w:val="left" w:pos="360"/>
          <w:tab w:val="left" w:pos="720"/>
        </w:tabs>
        <w:rPr>
          <w:b/>
        </w:rPr>
      </w:pPr>
      <w:r w:rsidRPr="00600EEB">
        <w:rPr>
          <w:b/>
          <w:i/>
        </w:rPr>
        <w:t>9.</w:t>
      </w:r>
      <w:r w:rsidRPr="00600EEB">
        <w:rPr>
          <w:b/>
          <w:i/>
        </w:rPr>
        <w:tab/>
        <w:t xml:space="preserve">Explain any </w:t>
      </w:r>
      <w:r w:rsidR="007253FB">
        <w:rPr>
          <w:b/>
          <w:i/>
        </w:rPr>
        <w:t>decision</w:t>
      </w:r>
      <w:r w:rsidRPr="00600EEB">
        <w:rPr>
          <w:b/>
          <w:i/>
        </w:rPr>
        <w:t xml:space="preserve"> to provide any payment or gift to respondents, other than remuneration of contractors or grantees.</w:t>
      </w:r>
      <w:r>
        <w:rPr>
          <w:b/>
        </w:rPr>
        <w:t xml:space="preserve"> </w:t>
      </w:r>
    </w:p>
    <w:p w:rsidR="00A24143" w:rsidP="005B363F" w:rsidRDefault="00A24143" w14:paraId="21D3A92A" w14:textId="77777777">
      <w:pPr>
        <w:tabs>
          <w:tab w:val="left" w:pos="-1080"/>
          <w:tab w:val="left" w:pos="-720"/>
          <w:tab w:val="left" w:pos="360"/>
          <w:tab w:val="left" w:pos="720"/>
        </w:tabs>
      </w:pPr>
    </w:p>
    <w:p w:rsidRPr="00A24143" w:rsidR="00A24143" w:rsidP="005B363F" w:rsidRDefault="00A24143" w14:paraId="500D6502" w14:textId="77777777">
      <w:r w:rsidRPr="00A24143">
        <w:t>BSEE will not provide payment or gifts to respondents in this collection.</w:t>
      </w:r>
    </w:p>
    <w:p w:rsidR="00CB728E" w:rsidP="005B363F" w:rsidRDefault="00CB728E" w14:paraId="2CE8D2C6" w14:textId="77777777">
      <w:pPr>
        <w:tabs>
          <w:tab w:val="left" w:pos="-1080"/>
          <w:tab w:val="left" w:pos="-720"/>
          <w:tab w:val="left" w:pos="360"/>
          <w:tab w:val="left" w:pos="720"/>
        </w:tabs>
      </w:pPr>
    </w:p>
    <w:p w:rsidRPr="00600EEB" w:rsidR="00CB728E" w:rsidP="005B363F" w:rsidRDefault="00CB728E" w14:paraId="7AEAAF9F" w14:textId="77777777">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A24143" w:rsidP="005B363F" w:rsidRDefault="00A24143" w14:paraId="186061B9" w14:textId="77777777">
      <w:pPr>
        <w:tabs>
          <w:tab w:val="left" w:pos="360"/>
          <w:tab w:val="left" w:pos="720"/>
          <w:tab w:val="left" w:pos="1080"/>
        </w:tabs>
        <w:rPr>
          <w:b/>
        </w:rPr>
      </w:pPr>
    </w:p>
    <w:p w:rsidRPr="00A636DC" w:rsidR="00A636DC" w:rsidP="005B363F" w:rsidRDefault="00A636DC" w14:paraId="4491AC88" w14:textId="77777777">
      <w:pPr>
        <w:tabs>
          <w:tab w:val="left" w:pos="360"/>
          <w:tab w:val="left" w:pos="720"/>
        </w:tabs>
        <w:rPr>
          <w:rFonts w:eastAsia="Times New Roman"/>
        </w:rPr>
      </w:pPr>
      <w:r>
        <w:rPr>
          <w:rFonts w:eastAsia="Times New Roman"/>
        </w:rPr>
        <w:t>We</w:t>
      </w:r>
      <w:r w:rsidRPr="00A636DC">
        <w:rPr>
          <w:rFonts w:eastAsia="Times New Roman"/>
        </w:rPr>
        <w:t xml:space="preserve"> protect information considered proprietary under the Freedom of Information Act (5 U.S.C. 552) and DOIs implementing regulations (43 CFR 2), and under regulations at 30 CFR Part 250.197, </w:t>
      </w:r>
      <w:r w:rsidRPr="00A636DC">
        <w:rPr>
          <w:rFonts w:eastAsia="Times New Roman"/>
          <w:i/>
        </w:rPr>
        <w:t>Data and information to be made available to the public or for limited inspection</w:t>
      </w:r>
      <w:r w:rsidRPr="00A636DC">
        <w:rPr>
          <w:rFonts w:eastAsia="Times New Roman"/>
        </w:rPr>
        <w:t xml:space="preserve">, 30 CFR Part 252, </w:t>
      </w:r>
      <w:r w:rsidRPr="00A636DC">
        <w:rPr>
          <w:rFonts w:eastAsia="Times New Roman"/>
          <w:i/>
        </w:rPr>
        <w:t>OCS Oil and Gas Information Program</w:t>
      </w:r>
      <w:r w:rsidRPr="00A636DC">
        <w:rPr>
          <w:rFonts w:eastAsia="Times New Roman"/>
        </w:rPr>
        <w:t xml:space="preserve">.  </w:t>
      </w:r>
    </w:p>
    <w:p w:rsidR="00EF63E5" w:rsidP="005B363F" w:rsidRDefault="00EF63E5" w14:paraId="2394AB55" w14:textId="77777777">
      <w:pPr>
        <w:tabs>
          <w:tab w:val="left" w:pos="360"/>
          <w:tab w:val="left" w:pos="720"/>
          <w:tab w:val="left" w:pos="1080"/>
        </w:tabs>
      </w:pPr>
      <w:r>
        <w:t xml:space="preserve">  </w:t>
      </w:r>
    </w:p>
    <w:p w:rsidRPr="00600EEB" w:rsidR="006C6064" w:rsidP="005B363F" w:rsidRDefault="006C6064" w14:paraId="197DB220" w14:textId="77777777">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6C6064" w:rsidP="005B363F" w:rsidRDefault="006C6064" w14:paraId="06272BBA" w14:textId="77777777">
      <w:pPr>
        <w:tabs>
          <w:tab w:val="left" w:pos="-1080"/>
          <w:tab w:val="left" w:pos="-720"/>
          <w:tab w:val="left" w:pos="360"/>
          <w:tab w:val="left" w:pos="810"/>
        </w:tabs>
      </w:pPr>
    </w:p>
    <w:p w:rsidR="006C6064" w:rsidP="005B363F" w:rsidRDefault="005511C8" w14:paraId="27C53798" w14:textId="77777777">
      <w:pPr>
        <w:tabs>
          <w:tab w:val="left" w:pos="-1080"/>
          <w:tab w:val="left" w:pos="-720"/>
          <w:tab w:val="left" w:pos="360"/>
          <w:tab w:val="left" w:pos="810"/>
        </w:tabs>
      </w:pPr>
      <w:r w:rsidRPr="005511C8">
        <w:t>The collection does not include sensitive or private questions.</w:t>
      </w:r>
    </w:p>
    <w:p w:rsidR="005511C8" w:rsidP="005B363F" w:rsidRDefault="005511C8" w14:paraId="53F27E76" w14:textId="77777777">
      <w:pPr>
        <w:tabs>
          <w:tab w:val="left" w:pos="-1080"/>
          <w:tab w:val="left" w:pos="-720"/>
          <w:tab w:val="left" w:pos="360"/>
          <w:tab w:val="left" w:pos="810"/>
        </w:tabs>
      </w:pPr>
    </w:p>
    <w:p w:rsidR="006C6064" w:rsidP="005B363F" w:rsidRDefault="006C6064" w14:paraId="18EA5035" w14:textId="77777777">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Pr="00600EEB" w:rsidR="006C6064" w:rsidP="005B363F" w:rsidRDefault="006C6064" w14:paraId="7013C4D6" w14:textId="77777777">
      <w:pPr>
        <w:tabs>
          <w:tab w:val="left" w:pos="-1080"/>
          <w:tab w:val="left" w:pos="-720"/>
          <w:tab w:val="left" w:pos="360"/>
          <w:tab w:val="left" w:pos="810"/>
        </w:tabs>
        <w:rPr>
          <w:b/>
          <w:i/>
        </w:rPr>
      </w:pPr>
    </w:p>
    <w:p w:rsidR="006C6064" w:rsidP="005B363F" w:rsidRDefault="006C6064" w14:paraId="41733FCD" w14:textId="77777777">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6C6064" w:rsidP="005B363F" w:rsidRDefault="006C6064" w14:paraId="7D637143" w14:textId="77777777">
      <w:pPr>
        <w:tabs>
          <w:tab w:val="left" w:pos="-1080"/>
          <w:tab w:val="left" w:pos="-720"/>
          <w:tab w:val="left" w:pos="360"/>
          <w:tab w:val="left" w:pos="810"/>
        </w:tabs>
        <w:rPr>
          <w:b/>
          <w:i/>
        </w:rPr>
      </w:pPr>
    </w:p>
    <w:p w:rsidR="006C6064" w:rsidP="005B363F" w:rsidRDefault="006C6064" w14:paraId="6AFD16B7" w14:textId="77777777">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0E13D8" w:rsidP="005B363F" w:rsidRDefault="000E13D8" w14:paraId="0A5D6298" w14:textId="77777777">
      <w:pPr>
        <w:tabs>
          <w:tab w:val="left" w:pos="-1080"/>
          <w:tab w:val="left" w:pos="-720"/>
          <w:tab w:val="left" w:pos="360"/>
          <w:tab w:val="left" w:pos="810"/>
        </w:tabs>
        <w:rPr>
          <w:b/>
          <w:i/>
        </w:rPr>
      </w:pPr>
    </w:p>
    <w:p w:rsidR="000E13D8" w:rsidP="005B363F" w:rsidRDefault="00545064" w14:paraId="3B9C1B4A" w14:textId="7B9D2A5E">
      <w:pPr>
        <w:tabs>
          <w:tab w:val="left" w:pos="-1080"/>
          <w:tab w:val="left" w:pos="-720"/>
          <w:tab w:val="left" w:pos="360"/>
          <w:tab w:val="left" w:pos="810"/>
        </w:tabs>
      </w:pPr>
      <w:r w:rsidRPr="00545064">
        <w:t xml:space="preserve">Potential respondents comprise Federal oil and gas OCS lessees and operators.  It should be noted that not all of the potential respondents will submit information at any given time and some may submit multiple times.  The burden estimates include the time for reviewing </w:t>
      </w:r>
      <w:r w:rsidRPr="00545064">
        <w:lastRenderedPageBreak/>
        <w:t xml:space="preserve">instructions, searching existing data sources, gathering and maintaining the data needed, and completing the collection of information.  </w:t>
      </w:r>
      <w:r w:rsidRPr="00BB7A8F" w:rsidR="00BB7A8F">
        <w:t>Responses to this collection of information are mandatory, or are required to obtain or retain a benefit</w:t>
      </w:r>
      <w:r w:rsidR="00BB7A8F">
        <w:t xml:space="preserve">. </w:t>
      </w:r>
      <w:r w:rsidRPr="00BB7A8F" w:rsidR="00BB7A8F">
        <w:t xml:space="preserve"> </w:t>
      </w:r>
      <w:r w:rsidRPr="00545064">
        <w:t xml:space="preserve">Submissions are generally </w:t>
      </w:r>
      <w:r w:rsidRPr="00266E27" w:rsidR="00266E27">
        <w:t xml:space="preserve">on occasion, </w:t>
      </w:r>
      <w:r w:rsidRPr="00545064">
        <w:t>Refer to the chart for a breakdown of the burden hours.</w:t>
      </w:r>
    </w:p>
    <w:p w:rsidR="00031E08" w:rsidP="005B363F" w:rsidRDefault="00031E08" w14:paraId="5C805C91" w14:textId="436C0FF3">
      <w:pPr>
        <w:tabs>
          <w:tab w:val="left" w:pos="-1080"/>
          <w:tab w:val="left" w:pos="-720"/>
          <w:tab w:val="left" w:pos="360"/>
          <w:tab w:val="left" w:pos="810"/>
        </w:tabs>
      </w:pPr>
    </w:p>
    <w:p w:rsidR="00031E08" w:rsidP="0000261A" w:rsidRDefault="00031E08" w14:paraId="23ACBEFC" w14:textId="0DA12F38">
      <w:pPr>
        <w:tabs>
          <w:tab w:val="left" w:pos="360"/>
        </w:tabs>
      </w:pPr>
      <w:r>
        <w:t xml:space="preserve">BSEE </w:t>
      </w:r>
      <w:r w:rsidR="0000261A">
        <w:t>requests</w:t>
      </w:r>
      <w:r>
        <w:t xml:space="preserve"> +10 hours to 250.732(b), shown in </w:t>
      </w:r>
      <w:r w:rsidRPr="00031E08">
        <w:rPr>
          <w:color w:val="000000" w:themeColor="text1"/>
        </w:rPr>
        <w:t>BOLD</w:t>
      </w:r>
      <w:r>
        <w:rPr>
          <w:color w:val="000000" w:themeColor="text1"/>
        </w:rPr>
        <w:t xml:space="preserve">.  </w:t>
      </w:r>
      <w:r w:rsidR="000100CF">
        <w:rPr>
          <w:rFonts w:eastAsia="Times New Roman"/>
        </w:rPr>
        <w:t xml:space="preserve">This change is due to Proposed Rule 1014-AA52, </w:t>
      </w:r>
      <w:r w:rsidRPr="00C34EC0" w:rsidR="000100CF">
        <w:rPr>
          <w:rFonts w:eastAsia="Times New Roman"/>
          <w:i/>
          <w:iCs/>
        </w:rPr>
        <w:t>Oil and Gas and Sulfur Operations in the Outer Continental Shelf-Blowout</w:t>
      </w:r>
      <w:r w:rsidR="000100CF">
        <w:rPr>
          <w:rFonts w:eastAsia="Times New Roman"/>
          <w:i/>
          <w:iCs/>
        </w:rPr>
        <w:t xml:space="preserve"> </w:t>
      </w:r>
      <w:r w:rsidRPr="00C34EC0" w:rsidR="000100CF">
        <w:rPr>
          <w:rFonts w:eastAsia="Times New Roman"/>
          <w:i/>
          <w:iCs/>
        </w:rPr>
        <w:t>Preventer Systems and Well Control Revisions</w:t>
      </w:r>
      <w:r w:rsidR="000100CF">
        <w:rPr>
          <w:rFonts w:eastAsia="Times New Roman"/>
        </w:rPr>
        <w:t xml:space="preserve">.  Once the rulemaking </w:t>
      </w:r>
      <w:r w:rsidR="0000261A">
        <w:rPr>
          <w:rFonts w:eastAsia="Times New Roman"/>
        </w:rPr>
        <w:t>is final and effective, BSEE will request to transfer the 10 hours to 1014-0028 and then discontinue</w:t>
      </w:r>
      <w:r w:rsidR="000100CF">
        <w:rPr>
          <w:rFonts w:eastAsia="Times New Roman"/>
        </w:rPr>
        <w:t xml:space="preserve"> the new OMB Control Number.</w:t>
      </w:r>
    </w:p>
    <w:p w:rsidR="0014481B" w:rsidP="005B363F" w:rsidRDefault="0014481B" w14:paraId="6ECFB6F4" w14:textId="77777777">
      <w:pPr>
        <w:tabs>
          <w:tab w:val="left" w:pos="-1080"/>
          <w:tab w:val="left" w:pos="-720"/>
          <w:tab w:val="left" w:pos="360"/>
          <w:tab w:val="left" w:pos="810"/>
        </w:tabs>
      </w:pPr>
    </w:p>
    <w:p w:rsidR="00AA55C8" w:rsidP="00A1174C" w:rsidRDefault="00855D2E" w14:paraId="39CA0B80" w14:textId="54172554">
      <w:pPr>
        <w:tabs>
          <w:tab w:val="left" w:pos="360"/>
        </w:tabs>
        <w:jc w:val="center"/>
        <w:rPr>
          <w:rFonts w:eastAsia="Times New Roman"/>
          <w:snapToGrid/>
          <w:szCs w:val="24"/>
        </w:rPr>
      </w:pPr>
      <w:r w:rsidRPr="00855D2E">
        <w:rPr>
          <w:rFonts w:eastAsia="Times New Roman"/>
          <w:b/>
          <w:snapToGrid/>
          <w:szCs w:val="24"/>
        </w:rPr>
        <w:t>BURDEN TABLE</w:t>
      </w:r>
    </w:p>
    <w:tbl>
      <w:tblPr>
        <w:tblpPr w:leftFromText="180" w:rightFromText="180" w:vertAnchor="text" w:tblpX="68" w:tblpY="1"/>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107"/>
        <w:gridCol w:w="4018"/>
        <w:gridCol w:w="900"/>
        <w:gridCol w:w="1260"/>
        <w:gridCol w:w="1355"/>
      </w:tblGrid>
      <w:tr w:rsidRPr="008E0E7F" w:rsidR="00793CE6" w:rsidTr="00C34EC0" w14:paraId="61D3122D" w14:textId="77777777">
        <w:tc>
          <w:tcPr>
            <w:tcW w:w="1107" w:type="dxa"/>
            <w:vAlign w:val="center"/>
          </w:tcPr>
          <w:p w:rsidRPr="00926C27" w:rsidR="00793CE6" w:rsidP="00793CE6" w:rsidRDefault="00793CE6" w14:paraId="1727F67C" w14:textId="77777777">
            <w:pPr>
              <w:tabs>
                <w:tab w:val="left" w:pos="-1080"/>
                <w:tab w:val="left" w:pos="-720"/>
                <w:tab w:val="left" w:pos="360"/>
                <w:tab w:val="left" w:pos="810"/>
              </w:tabs>
              <w:jc w:val="center"/>
              <w:rPr>
                <w:rFonts w:eastAsia="Times New Roman"/>
                <w:b/>
                <w:snapToGrid/>
                <w:sz w:val="20"/>
              </w:rPr>
            </w:pPr>
            <w:r w:rsidRPr="00926C27">
              <w:rPr>
                <w:rFonts w:eastAsia="Times New Roman"/>
                <w:b/>
                <w:snapToGrid/>
                <w:sz w:val="20"/>
              </w:rPr>
              <w:t>30 CFR 250</w:t>
            </w:r>
          </w:p>
          <w:p w:rsidRPr="00926C27" w:rsidR="00793CE6" w:rsidP="00793CE6" w:rsidRDefault="00614371" w14:paraId="4A53DAAD" w14:textId="7E0F912E">
            <w:pPr>
              <w:tabs>
                <w:tab w:val="left" w:pos="-1080"/>
                <w:tab w:val="left" w:pos="-720"/>
                <w:tab w:val="left" w:pos="360"/>
                <w:tab w:val="left" w:pos="810"/>
              </w:tabs>
              <w:jc w:val="center"/>
              <w:rPr>
                <w:rFonts w:eastAsia="Times New Roman"/>
                <w:b/>
                <w:snapToGrid/>
                <w:sz w:val="20"/>
              </w:rPr>
            </w:pPr>
            <w:r w:rsidRPr="00926C27">
              <w:rPr>
                <w:rFonts w:eastAsia="Times New Roman"/>
                <w:b/>
                <w:snapToGrid/>
                <w:sz w:val="20"/>
              </w:rPr>
              <w:t>Subpart G</w:t>
            </w:r>
          </w:p>
        </w:tc>
        <w:tc>
          <w:tcPr>
            <w:tcW w:w="4018" w:type="dxa"/>
            <w:vAlign w:val="center"/>
          </w:tcPr>
          <w:p w:rsidRPr="008E0E7F" w:rsidR="00793CE6" w:rsidP="00793CE6" w:rsidRDefault="00793CE6" w14:paraId="0DF903B4"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Reporting &amp; Recordkeeping</w:t>
            </w:r>
          </w:p>
          <w:p w:rsidRPr="008E0E7F" w:rsidR="00793CE6" w:rsidP="00793CE6" w:rsidRDefault="00614371" w14:paraId="250FD69A" w14:textId="589DFAC8">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Requirement</w:t>
            </w:r>
          </w:p>
        </w:tc>
        <w:tc>
          <w:tcPr>
            <w:tcW w:w="900" w:type="dxa"/>
            <w:vAlign w:val="center"/>
          </w:tcPr>
          <w:p w:rsidRPr="008E0E7F" w:rsidR="00793CE6" w:rsidP="00793CE6" w:rsidRDefault="00793CE6" w14:paraId="6BA88CFD"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Hour Burden</w:t>
            </w:r>
          </w:p>
        </w:tc>
        <w:tc>
          <w:tcPr>
            <w:tcW w:w="1260" w:type="dxa"/>
            <w:vAlign w:val="center"/>
          </w:tcPr>
          <w:p w:rsidRPr="008E0E7F" w:rsidR="00793CE6" w:rsidP="00793CE6" w:rsidRDefault="00793CE6" w14:paraId="3C35A4D8"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Average No. of Annual Responses</w:t>
            </w:r>
          </w:p>
        </w:tc>
        <w:tc>
          <w:tcPr>
            <w:tcW w:w="1355" w:type="dxa"/>
            <w:vAlign w:val="center"/>
          </w:tcPr>
          <w:p w:rsidRPr="008E0E7F" w:rsidR="00793CE6" w:rsidP="00793CE6" w:rsidRDefault="00793CE6" w14:paraId="7101D1B3"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Annual Burden Hours</w:t>
            </w:r>
          </w:p>
          <w:p w:rsidRPr="008E0E7F" w:rsidR="00793CE6" w:rsidP="00793CE6" w:rsidRDefault="00793CE6" w14:paraId="6DD6BB0F" w14:textId="77777777">
            <w:pPr>
              <w:tabs>
                <w:tab w:val="left" w:pos="-1080"/>
                <w:tab w:val="left" w:pos="-720"/>
                <w:tab w:val="left" w:pos="360"/>
                <w:tab w:val="left" w:pos="810"/>
              </w:tabs>
              <w:ind w:right="-36"/>
              <w:jc w:val="center"/>
              <w:rPr>
                <w:rFonts w:eastAsia="Times New Roman"/>
                <w:b/>
                <w:snapToGrid/>
                <w:sz w:val="20"/>
              </w:rPr>
            </w:pPr>
            <w:r w:rsidRPr="008E0E7F">
              <w:rPr>
                <w:rFonts w:eastAsia="Times New Roman"/>
                <w:b/>
                <w:snapToGrid/>
                <w:sz w:val="20"/>
              </w:rPr>
              <w:t>(rounded)</w:t>
            </w:r>
          </w:p>
        </w:tc>
      </w:tr>
      <w:tr w:rsidRPr="00CE74F2" w:rsidR="00CE74F2" w:rsidTr="00C34EC0" w14:paraId="09CA8508" w14:textId="77777777">
        <w:trPr>
          <w:trHeight w:val="385"/>
        </w:trPr>
        <w:tc>
          <w:tcPr>
            <w:tcW w:w="1107" w:type="dxa"/>
          </w:tcPr>
          <w:p w:rsidRPr="00CE74F2" w:rsidR="00561FA7" w:rsidP="006F4260" w:rsidRDefault="00561FA7" w14:paraId="04641609" w14:textId="307678F8">
            <w:pPr>
              <w:tabs>
                <w:tab w:val="left" w:pos="360"/>
              </w:tabs>
              <w:rPr>
                <w:rFonts w:eastAsia="Times New Roman"/>
                <w:b/>
                <w:bCs/>
                <w:snapToGrid/>
                <w:color w:val="000000" w:themeColor="text1"/>
                <w:sz w:val="20"/>
              </w:rPr>
            </w:pPr>
            <w:r w:rsidRPr="00CE74F2">
              <w:rPr>
                <w:rFonts w:eastAsia="Times New Roman"/>
                <w:b/>
                <w:bCs/>
                <w:snapToGrid/>
                <w:color w:val="000000" w:themeColor="text1"/>
                <w:sz w:val="20"/>
              </w:rPr>
              <w:t>732(b)</w:t>
            </w:r>
          </w:p>
        </w:tc>
        <w:tc>
          <w:tcPr>
            <w:tcW w:w="4018" w:type="dxa"/>
          </w:tcPr>
          <w:p w:rsidRPr="00CE74F2" w:rsidR="00561FA7" w:rsidP="00793CE6" w:rsidRDefault="000D2442" w14:paraId="0EAE19B2" w14:textId="07AA7DA1">
            <w:pPr>
              <w:tabs>
                <w:tab w:val="left" w:pos="-1219"/>
                <w:tab w:val="left" w:pos="-720"/>
                <w:tab w:val="left" w:pos="360"/>
                <w:tab w:val="left" w:pos="720"/>
              </w:tabs>
              <w:rPr>
                <w:rFonts w:eastAsia="Times New Roman"/>
                <w:b/>
                <w:bCs/>
                <w:snapToGrid/>
                <w:color w:val="000000" w:themeColor="text1"/>
                <w:sz w:val="20"/>
              </w:rPr>
            </w:pPr>
            <w:r w:rsidRPr="00CE74F2">
              <w:rPr>
                <w:rFonts w:eastAsia="Times New Roman"/>
                <w:b/>
                <w:bCs/>
                <w:snapToGrid/>
                <w:color w:val="000000" w:themeColor="text1"/>
                <w:sz w:val="20"/>
              </w:rPr>
              <w:t xml:space="preserve">Make available to </w:t>
            </w:r>
            <w:r w:rsidRPr="00CE74F2" w:rsidR="00561FA7">
              <w:rPr>
                <w:rFonts w:eastAsia="Times New Roman"/>
                <w:b/>
                <w:bCs/>
                <w:snapToGrid/>
                <w:color w:val="000000" w:themeColor="text1"/>
                <w:sz w:val="20"/>
              </w:rPr>
              <w:t>BSEE independent third party accreditation and qualifications</w:t>
            </w:r>
            <w:r w:rsidRPr="00CE74F2">
              <w:rPr>
                <w:rFonts w:eastAsia="Times New Roman"/>
                <w:b/>
                <w:bCs/>
                <w:snapToGrid/>
                <w:color w:val="000000" w:themeColor="text1"/>
                <w:sz w:val="20"/>
              </w:rPr>
              <w:t xml:space="preserve"> for review. </w:t>
            </w:r>
            <w:r w:rsidRPr="00CE74F2" w:rsidR="00561FA7">
              <w:rPr>
                <w:rFonts w:eastAsia="Times New Roman"/>
                <w:b/>
                <w:bCs/>
                <w:snapToGrid/>
                <w:color w:val="000000" w:themeColor="text1"/>
                <w:sz w:val="20"/>
              </w:rPr>
              <w:t xml:space="preserve">   </w:t>
            </w:r>
          </w:p>
        </w:tc>
        <w:tc>
          <w:tcPr>
            <w:tcW w:w="900" w:type="dxa"/>
            <w:vAlign w:val="center"/>
          </w:tcPr>
          <w:p w:rsidRPr="00CE74F2" w:rsidR="00561FA7" w:rsidP="002C3C40" w:rsidRDefault="006C458D" w14:paraId="646BBD6A" w14:textId="72CEDE1B">
            <w:pPr>
              <w:tabs>
                <w:tab w:val="left" w:pos="360"/>
              </w:tabs>
              <w:rPr>
                <w:rFonts w:eastAsia="Times New Roman"/>
                <w:b/>
                <w:bCs/>
                <w:snapToGrid/>
                <w:color w:val="000000" w:themeColor="text1"/>
                <w:sz w:val="20"/>
              </w:rPr>
            </w:pPr>
            <w:r w:rsidRPr="00CE74F2">
              <w:rPr>
                <w:rFonts w:eastAsia="Times New Roman"/>
                <w:b/>
                <w:bCs/>
                <w:snapToGrid/>
                <w:color w:val="000000" w:themeColor="text1"/>
                <w:sz w:val="20"/>
              </w:rPr>
              <w:t>2</w:t>
            </w:r>
          </w:p>
        </w:tc>
        <w:tc>
          <w:tcPr>
            <w:tcW w:w="1260" w:type="dxa"/>
            <w:vAlign w:val="center"/>
          </w:tcPr>
          <w:p w:rsidRPr="00CE74F2" w:rsidR="00561FA7" w:rsidP="002C3C40" w:rsidRDefault="006C458D" w14:paraId="144E8532" w14:textId="72BE8AA4">
            <w:pPr>
              <w:tabs>
                <w:tab w:val="left" w:pos="360"/>
              </w:tabs>
              <w:rPr>
                <w:rFonts w:eastAsia="Times New Roman"/>
                <w:b/>
                <w:bCs/>
                <w:snapToGrid/>
                <w:color w:val="000000" w:themeColor="text1"/>
                <w:sz w:val="20"/>
              </w:rPr>
            </w:pPr>
            <w:r w:rsidRPr="00CE74F2">
              <w:rPr>
                <w:rFonts w:eastAsia="Times New Roman"/>
                <w:b/>
                <w:bCs/>
                <w:snapToGrid/>
                <w:color w:val="000000" w:themeColor="text1"/>
                <w:sz w:val="20"/>
              </w:rPr>
              <w:t>5</w:t>
            </w:r>
            <w:r w:rsidRPr="00CE74F2" w:rsidR="002C3C40">
              <w:rPr>
                <w:rFonts w:eastAsia="Times New Roman"/>
                <w:b/>
                <w:bCs/>
                <w:snapToGrid/>
                <w:color w:val="000000" w:themeColor="text1"/>
                <w:sz w:val="20"/>
              </w:rPr>
              <w:t xml:space="preserve"> submissions</w:t>
            </w:r>
          </w:p>
        </w:tc>
        <w:tc>
          <w:tcPr>
            <w:tcW w:w="1355" w:type="dxa"/>
            <w:vAlign w:val="center"/>
          </w:tcPr>
          <w:p w:rsidRPr="00CE74F2" w:rsidR="00561FA7" w:rsidP="002C3C40" w:rsidRDefault="006C458D" w14:paraId="481C8942" w14:textId="4DF3FAC0">
            <w:pPr>
              <w:tabs>
                <w:tab w:val="left" w:pos="360"/>
              </w:tabs>
              <w:jc w:val="right"/>
              <w:rPr>
                <w:rFonts w:eastAsia="Times New Roman"/>
                <w:b/>
                <w:bCs/>
                <w:snapToGrid/>
                <w:color w:val="000000" w:themeColor="text1"/>
                <w:sz w:val="20"/>
              </w:rPr>
            </w:pPr>
            <w:r w:rsidRPr="00CE74F2">
              <w:rPr>
                <w:rFonts w:eastAsia="Times New Roman"/>
                <w:b/>
                <w:bCs/>
                <w:snapToGrid/>
                <w:color w:val="000000" w:themeColor="text1"/>
                <w:sz w:val="20"/>
              </w:rPr>
              <w:t>10</w:t>
            </w:r>
          </w:p>
        </w:tc>
      </w:tr>
      <w:tr w:rsidRPr="008E0E7F" w:rsidR="00793CE6" w:rsidTr="00C34EC0" w14:paraId="48C0D5DE" w14:textId="77777777">
        <w:tc>
          <w:tcPr>
            <w:tcW w:w="6025" w:type="dxa"/>
            <w:gridSpan w:val="3"/>
            <w:vMerge w:val="restart"/>
            <w:vAlign w:val="center"/>
          </w:tcPr>
          <w:p w:rsidRPr="008E0E7F" w:rsidR="00793CE6" w:rsidP="00793CE6" w:rsidRDefault="00793CE6" w14:paraId="0307B0A9" w14:textId="77777777">
            <w:pPr>
              <w:tabs>
                <w:tab w:val="left" w:pos="360"/>
              </w:tabs>
              <w:jc w:val="center"/>
              <w:rPr>
                <w:rFonts w:eastAsia="Times New Roman"/>
                <w:b/>
                <w:snapToGrid/>
                <w:sz w:val="20"/>
              </w:rPr>
            </w:pPr>
          </w:p>
          <w:p w:rsidRPr="008E0E7F" w:rsidR="00793CE6" w:rsidP="00926C27" w:rsidRDefault="00793CE6" w14:paraId="5911057B" w14:textId="50521AF1">
            <w:pPr>
              <w:tabs>
                <w:tab w:val="left" w:pos="360"/>
              </w:tabs>
              <w:jc w:val="center"/>
              <w:rPr>
                <w:rFonts w:eastAsia="Times New Roman"/>
                <w:b/>
                <w:snapToGrid/>
                <w:sz w:val="20"/>
              </w:rPr>
            </w:pPr>
            <w:r w:rsidRPr="008E0E7F">
              <w:rPr>
                <w:rFonts w:eastAsia="Times New Roman"/>
                <w:b/>
                <w:snapToGrid/>
                <w:sz w:val="20"/>
              </w:rPr>
              <w:t>Total</w:t>
            </w:r>
            <w:r w:rsidR="00926C27">
              <w:rPr>
                <w:rFonts w:eastAsia="Times New Roman"/>
                <w:b/>
                <w:snapToGrid/>
                <w:sz w:val="20"/>
              </w:rPr>
              <w:t xml:space="preserve"> Subpart G</w:t>
            </w:r>
          </w:p>
        </w:tc>
        <w:tc>
          <w:tcPr>
            <w:tcW w:w="1260" w:type="dxa"/>
            <w:vAlign w:val="bottom"/>
          </w:tcPr>
          <w:p w:rsidRPr="00F116F9" w:rsidR="00793CE6" w:rsidP="00793CE6" w:rsidRDefault="00684121" w14:paraId="7D0C2177" w14:textId="63718B1D">
            <w:pPr>
              <w:tabs>
                <w:tab w:val="left" w:pos="360"/>
              </w:tabs>
              <w:rPr>
                <w:rFonts w:eastAsia="Times New Roman"/>
                <w:b/>
                <w:snapToGrid/>
                <w:sz w:val="20"/>
              </w:rPr>
            </w:pPr>
            <w:r>
              <w:rPr>
                <w:rFonts w:eastAsia="Times New Roman"/>
                <w:b/>
                <w:snapToGrid/>
                <w:sz w:val="20"/>
              </w:rPr>
              <w:t>5</w:t>
            </w:r>
            <w:r w:rsidRPr="00F116F9" w:rsidR="00F116F9">
              <w:rPr>
                <w:rFonts w:eastAsia="Times New Roman"/>
                <w:b/>
                <w:snapToGrid/>
                <w:sz w:val="20"/>
              </w:rPr>
              <w:t xml:space="preserve"> </w:t>
            </w:r>
            <w:r w:rsidRPr="00F116F9" w:rsidR="00793CE6">
              <w:rPr>
                <w:rFonts w:eastAsia="Times New Roman"/>
                <w:b/>
                <w:snapToGrid/>
                <w:sz w:val="20"/>
              </w:rPr>
              <w:t>Responses</w:t>
            </w:r>
          </w:p>
        </w:tc>
        <w:tc>
          <w:tcPr>
            <w:tcW w:w="1355" w:type="dxa"/>
            <w:vAlign w:val="bottom"/>
          </w:tcPr>
          <w:p w:rsidRPr="00F116F9" w:rsidR="00793CE6" w:rsidP="00793CE6" w:rsidRDefault="00684121" w14:paraId="556CC4A5" w14:textId="1975F5C9">
            <w:pPr>
              <w:tabs>
                <w:tab w:val="left" w:pos="360"/>
              </w:tabs>
              <w:jc w:val="right"/>
              <w:rPr>
                <w:rFonts w:eastAsia="Times New Roman"/>
                <w:b/>
                <w:snapToGrid/>
                <w:sz w:val="20"/>
              </w:rPr>
            </w:pPr>
            <w:r>
              <w:rPr>
                <w:rFonts w:eastAsia="Times New Roman"/>
                <w:b/>
                <w:snapToGrid/>
                <w:sz w:val="20"/>
              </w:rPr>
              <w:t>10</w:t>
            </w:r>
            <w:r w:rsidRPr="00F116F9" w:rsidR="00793CE6">
              <w:rPr>
                <w:rFonts w:eastAsia="Times New Roman"/>
                <w:b/>
                <w:snapToGrid/>
                <w:sz w:val="20"/>
              </w:rPr>
              <w:t xml:space="preserve"> Hours</w:t>
            </w:r>
          </w:p>
        </w:tc>
      </w:tr>
      <w:tr w:rsidRPr="008E0E7F" w:rsidR="00793CE6" w:rsidTr="00C34EC0" w14:paraId="53E848A0" w14:textId="77777777">
        <w:trPr>
          <w:trHeight w:val="401"/>
        </w:trPr>
        <w:tc>
          <w:tcPr>
            <w:tcW w:w="6025" w:type="dxa"/>
            <w:gridSpan w:val="3"/>
            <w:vMerge/>
          </w:tcPr>
          <w:p w:rsidRPr="008E0E7F" w:rsidR="00793CE6" w:rsidP="00793CE6" w:rsidRDefault="00793CE6" w14:paraId="28D97D04" w14:textId="77777777">
            <w:pPr>
              <w:tabs>
                <w:tab w:val="left" w:pos="360"/>
              </w:tabs>
              <w:rPr>
                <w:rFonts w:eastAsia="Times New Roman"/>
                <w:snapToGrid/>
                <w:sz w:val="20"/>
                <w:highlight w:val="yellow"/>
              </w:rPr>
            </w:pPr>
          </w:p>
        </w:tc>
        <w:tc>
          <w:tcPr>
            <w:tcW w:w="2615" w:type="dxa"/>
            <w:gridSpan w:val="2"/>
            <w:vAlign w:val="center"/>
          </w:tcPr>
          <w:p w:rsidRPr="00F116F9" w:rsidR="00793CE6" w:rsidP="00926C27" w:rsidRDefault="00684121" w14:paraId="3A9DD45A" w14:textId="04E98508">
            <w:pPr>
              <w:tabs>
                <w:tab w:val="left" w:pos="360"/>
              </w:tabs>
              <w:jc w:val="center"/>
              <w:rPr>
                <w:rFonts w:eastAsia="Times New Roman"/>
                <w:b/>
                <w:snapToGrid/>
                <w:sz w:val="20"/>
                <w:highlight w:val="yellow"/>
              </w:rPr>
            </w:pPr>
            <w:r>
              <w:rPr>
                <w:rFonts w:eastAsia="Times New Roman"/>
                <w:b/>
                <w:snapToGrid/>
                <w:sz w:val="20"/>
              </w:rPr>
              <w:t xml:space="preserve">$0.00 </w:t>
            </w:r>
            <w:r w:rsidRPr="00F116F9" w:rsidR="00793CE6">
              <w:rPr>
                <w:rFonts w:eastAsia="Times New Roman"/>
                <w:b/>
                <w:snapToGrid/>
                <w:sz w:val="20"/>
              </w:rPr>
              <w:t>Non-Hour Cost Burden</w:t>
            </w:r>
          </w:p>
        </w:tc>
      </w:tr>
    </w:tbl>
    <w:p w:rsidR="00793CE6" w:rsidP="005B363F" w:rsidRDefault="00793CE6" w14:paraId="11370A5A" w14:textId="77777777">
      <w:pPr>
        <w:tabs>
          <w:tab w:val="left" w:pos="360"/>
        </w:tabs>
        <w:rPr>
          <w:rFonts w:eastAsia="Times New Roman"/>
          <w:snapToGrid/>
          <w:szCs w:val="24"/>
        </w:rPr>
      </w:pPr>
    </w:p>
    <w:p w:rsidR="00793CE6" w:rsidP="005B363F" w:rsidRDefault="00793CE6" w14:paraId="0794EB93" w14:textId="77777777">
      <w:pPr>
        <w:tabs>
          <w:tab w:val="left" w:pos="360"/>
        </w:tabs>
        <w:rPr>
          <w:rFonts w:eastAsia="Times New Roman"/>
          <w:snapToGrid/>
          <w:szCs w:val="24"/>
        </w:rPr>
      </w:pPr>
    </w:p>
    <w:p w:rsidR="00793CE6" w:rsidP="005B363F" w:rsidRDefault="00793CE6" w14:paraId="771E27D0" w14:textId="77777777">
      <w:pPr>
        <w:tabs>
          <w:tab w:val="left" w:pos="360"/>
        </w:tabs>
        <w:rPr>
          <w:rFonts w:eastAsia="Times New Roman"/>
          <w:snapToGrid/>
          <w:szCs w:val="24"/>
        </w:rPr>
      </w:pPr>
    </w:p>
    <w:p w:rsidR="00793CE6" w:rsidP="005B363F" w:rsidRDefault="00793CE6" w14:paraId="5AEA465B" w14:textId="77777777">
      <w:pPr>
        <w:tabs>
          <w:tab w:val="left" w:pos="360"/>
        </w:tabs>
        <w:rPr>
          <w:rFonts w:eastAsia="Times New Roman"/>
          <w:snapToGrid/>
          <w:szCs w:val="24"/>
        </w:rPr>
      </w:pPr>
    </w:p>
    <w:p w:rsidR="00793CE6" w:rsidP="005B363F" w:rsidRDefault="00793CE6" w14:paraId="6899EB32" w14:textId="77777777">
      <w:pPr>
        <w:tabs>
          <w:tab w:val="left" w:pos="360"/>
        </w:tabs>
        <w:rPr>
          <w:rFonts w:eastAsia="Times New Roman"/>
          <w:snapToGrid/>
          <w:szCs w:val="24"/>
        </w:rPr>
      </w:pPr>
    </w:p>
    <w:p w:rsidR="00793CE6" w:rsidP="005B363F" w:rsidRDefault="00793CE6" w14:paraId="73E0CAB5" w14:textId="77777777">
      <w:pPr>
        <w:tabs>
          <w:tab w:val="left" w:pos="360"/>
        </w:tabs>
        <w:rPr>
          <w:rFonts w:eastAsia="Times New Roman"/>
          <w:snapToGrid/>
          <w:szCs w:val="24"/>
        </w:rPr>
      </w:pPr>
    </w:p>
    <w:p w:rsidR="00793CE6" w:rsidP="005B363F" w:rsidRDefault="00793CE6" w14:paraId="11CD7107" w14:textId="77777777">
      <w:pPr>
        <w:tabs>
          <w:tab w:val="left" w:pos="360"/>
        </w:tabs>
        <w:rPr>
          <w:rFonts w:eastAsia="Times New Roman"/>
          <w:snapToGrid/>
          <w:szCs w:val="24"/>
        </w:rPr>
      </w:pPr>
    </w:p>
    <w:p w:rsidR="001316C0" w:rsidP="00D06888" w:rsidRDefault="001316C0" w14:paraId="51F74BA1" w14:textId="77777777">
      <w:pPr>
        <w:tabs>
          <w:tab w:val="left" w:pos="360"/>
        </w:tabs>
        <w:ind w:right="288"/>
        <w:rPr>
          <w:rFonts w:eastAsia="Times New Roman"/>
          <w:snapToGrid/>
          <w:sz w:val="18"/>
          <w:szCs w:val="18"/>
        </w:rPr>
      </w:pPr>
    </w:p>
    <w:p w:rsidR="001316C0" w:rsidP="00D06888" w:rsidRDefault="001316C0" w14:paraId="171D40D3" w14:textId="77777777">
      <w:pPr>
        <w:tabs>
          <w:tab w:val="left" w:pos="360"/>
        </w:tabs>
        <w:ind w:right="288"/>
        <w:rPr>
          <w:rFonts w:eastAsia="Times New Roman"/>
          <w:snapToGrid/>
          <w:sz w:val="18"/>
          <w:szCs w:val="18"/>
        </w:rPr>
      </w:pPr>
    </w:p>
    <w:p w:rsidR="001316C0" w:rsidP="00D06888" w:rsidRDefault="001316C0" w14:paraId="584C9041" w14:textId="77777777">
      <w:pPr>
        <w:tabs>
          <w:tab w:val="left" w:pos="360"/>
        </w:tabs>
        <w:ind w:right="288"/>
        <w:rPr>
          <w:rFonts w:eastAsia="Times New Roman"/>
          <w:snapToGrid/>
          <w:sz w:val="18"/>
          <w:szCs w:val="18"/>
        </w:rPr>
      </w:pPr>
    </w:p>
    <w:p w:rsidR="001316C0" w:rsidP="00D06888" w:rsidRDefault="001316C0" w14:paraId="0C46F0E6" w14:textId="77777777">
      <w:pPr>
        <w:tabs>
          <w:tab w:val="left" w:pos="360"/>
        </w:tabs>
        <w:ind w:right="288"/>
        <w:rPr>
          <w:rFonts w:eastAsia="Times New Roman"/>
          <w:snapToGrid/>
          <w:sz w:val="18"/>
          <w:szCs w:val="18"/>
        </w:rPr>
      </w:pPr>
    </w:p>
    <w:p w:rsidR="005F72B9" w:rsidP="005B363F" w:rsidRDefault="005F72B9" w14:paraId="03B883AD" w14:textId="0DD5D37F">
      <w:pPr>
        <w:tabs>
          <w:tab w:val="left" w:pos="-1080"/>
          <w:tab w:val="left" w:pos="-720"/>
          <w:tab w:val="left" w:pos="360"/>
          <w:tab w:val="left" w:pos="810"/>
        </w:tabs>
        <w:rPr>
          <w:b/>
          <w:i/>
        </w:rPr>
      </w:pP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F907D4" w:rsidP="005B363F" w:rsidRDefault="00F907D4" w14:paraId="58A02723" w14:textId="77777777">
      <w:pPr>
        <w:tabs>
          <w:tab w:val="left" w:pos="-1080"/>
          <w:tab w:val="left" w:pos="-720"/>
          <w:tab w:val="left" w:pos="360"/>
          <w:tab w:val="left" w:pos="810"/>
        </w:tabs>
      </w:pPr>
    </w:p>
    <w:p w:rsidR="008A433F" w:rsidP="008A433F" w:rsidRDefault="008A433F" w14:paraId="2A1F93BE" w14:textId="5F451154">
      <w:pPr>
        <w:widowControl/>
        <w:tabs>
          <w:tab w:val="left" w:pos="360"/>
        </w:tabs>
        <w:rPr>
          <w:rFonts w:eastAsia="Times New Roman"/>
        </w:rPr>
      </w:pPr>
      <w:r w:rsidRPr="008A433F">
        <w:rPr>
          <w:rFonts w:eastAsia="Times New Roman"/>
        </w:rPr>
        <w:t>The average respondent cost is $14</w:t>
      </w:r>
      <w:r w:rsidR="00D6304C">
        <w:rPr>
          <w:rFonts w:eastAsia="Times New Roman"/>
        </w:rPr>
        <w:t>0</w:t>
      </w:r>
      <w:r w:rsidRPr="008A433F">
        <w:rPr>
          <w:rFonts w:eastAsia="Times New Roman"/>
        </w:rPr>
        <w:t>/hour (rounded).  This cost is broken out in the below table using the Society of Petroleum Engineers Salary Survey</w:t>
      </w:r>
      <w:r w:rsidRPr="008A433F">
        <w:rPr>
          <w:rFonts w:eastAsia="Times New Roman"/>
          <w:snapToGrid/>
        </w:rPr>
        <w:t xml:space="preserve"> data dated </w:t>
      </w:r>
      <w:r w:rsidR="00CF341A">
        <w:rPr>
          <w:rFonts w:eastAsia="Times New Roman"/>
          <w:snapToGrid/>
        </w:rPr>
        <w:t>December 20</w:t>
      </w:r>
      <w:r w:rsidR="00046C2C">
        <w:rPr>
          <w:rFonts w:eastAsia="Times New Roman"/>
          <w:snapToGrid/>
        </w:rPr>
        <w:t>21</w:t>
      </w:r>
      <w:r w:rsidRPr="008A433F">
        <w:rPr>
          <w:rFonts w:eastAsia="Times New Roman"/>
        </w:rPr>
        <w:t>.  See SPE.org website:</w:t>
      </w:r>
      <w:r w:rsidR="00CF341A">
        <w:rPr>
          <w:rFonts w:eastAsia="Times New Roman"/>
        </w:rPr>
        <w:t xml:space="preserve"> </w:t>
      </w:r>
      <w:r w:rsidRPr="008A433F">
        <w:rPr>
          <w:rFonts w:eastAsia="Times New Roman"/>
        </w:rPr>
        <w:t xml:space="preserve"> </w:t>
      </w:r>
      <w:hyperlink w:history="1" r:id="rId8">
        <w:r w:rsidRPr="00CF341A" w:rsidR="00CF341A">
          <w:rPr>
            <w:color w:val="0000FF"/>
            <w:u w:val="single"/>
          </w:rPr>
          <w:t>https://www.spe.org/industry/docs/2018-Salary-Survey-Highlight-Report.pdf</w:t>
        </w:r>
      </w:hyperlink>
      <w:r w:rsidR="00CF341A">
        <w:t xml:space="preserve">. </w:t>
      </w:r>
      <w:r w:rsidRPr="008A433F">
        <w:rPr>
          <w:rFonts w:eastAsia="Times New Roman"/>
        </w:rPr>
        <w:t xml:space="preserve"> </w:t>
      </w:r>
    </w:p>
    <w:p w:rsidRPr="008A433F" w:rsidR="00CF341A" w:rsidP="008A433F" w:rsidRDefault="00CF341A" w14:paraId="2B3C93CC" w14:textId="77777777">
      <w:pPr>
        <w:widowControl/>
        <w:tabs>
          <w:tab w:val="left" w:pos="360"/>
        </w:tabs>
        <w:rPr>
          <w:rFonts w:eastAsia="Times New Roman"/>
        </w:rPr>
      </w:pPr>
    </w:p>
    <w:tbl>
      <w:tblPr>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5"/>
        <w:gridCol w:w="1339"/>
        <w:gridCol w:w="1711"/>
        <w:gridCol w:w="1762"/>
        <w:gridCol w:w="1593"/>
      </w:tblGrid>
      <w:tr w:rsidRPr="008A433F" w:rsidR="008A433F" w:rsidTr="008A433F" w14:paraId="57A31C7D" w14:textId="77777777">
        <w:tc>
          <w:tcPr>
            <w:tcW w:w="2290" w:type="dxa"/>
            <w:vAlign w:val="center"/>
          </w:tcPr>
          <w:p w:rsidRPr="008A433F" w:rsidR="008A433F" w:rsidP="008A433F" w:rsidRDefault="008A433F" w14:paraId="1873991F" w14:textId="77777777">
            <w:pPr>
              <w:widowControl/>
              <w:tabs>
                <w:tab w:val="left" w:pos="360"/>
              </w:tabs>
              <w:jc w:val="center"/>
              <w:rPr>
                <w:rFonts w:eastAsia="Times New Roman"/>
                <w:b/>
                <w:sz w:val="22"/>
                <w:szCs w:val="22"/>
              </w:rPr>
            </w:pPr>
            <w:r w:rsidRPr="008A433F">
              <w:rPr>
                <w:rFonts w:eastAsia="Times New Roman"/>
                <w:b/>
                <w:sz w:val="22"/>
                <w:szCs w:val="22"/>
              </w:rPr>
              <w:t>Position</w:t>
            </w:r>
          </w:p>
        </w:tc>
        <w:tc>
          <w:tcPr>
            <w:tcW w:w="1363" w:type="dxa"/>
          </w:tcPr>
          <w:p w:rsidRPr="008A433F" w:rsidR="008A433F" w:rsidP="008A433F" w:rsidRDefault="008A433F" w14:paraId="25C5FD79" w14:textId="77777777">
            <w:pPr>
              <w:widowControl/>
              <w:tabs>
                <w:tab w:val="left" w:pos="360"/>
              </w:tabs>
              <w:jc w:val="center"/>
              <w:rPr>
                <w:rFonts w:eastAsia="Times New Roman"/>
                <w:b/>
                <w:sz w:val="22"/>
                <w:szCs w:val="22"/>
              </w:rPr>
            </w:pPr>
            <w:r w:rsidRPr="008A433F">
              <w:rPr>
                <w:rFonts w:eastAsia="Times New Roman"/>
                <w:b/>
                <w:sz w:val="22"/>
                <w:szCs w:val="22"/>
              </w:rPr>
              <w:t>Base Pay Hourly Rate ($/hr)</w:t>
            </w:r>
          </w:p>
        </w:tc>
        <w:tc>
          <w:tcPr>
            <w:tcW w:w="1747" w:type="dxa"/>
          </w:tcPr>
          <w:p w:rsidRPr="008A433F" w:rsidR="008A433F" w:rsidP="008A433F" w:rsidRDefault="008A433F" w14:paraId="3799E22D" w14:textId="77777777">
            <w:pPr>
              <w:widowControl/>
              <w:tabs>
                <w:tab w:val="left" w:pos="360"/>
              </w:tabs>
              <w:jc w:val="center"/>
              <w:rPr>
                <w:rFonts w:eastAsia="Times New Roman"/>
                <w:b/>
                <w:sz w:val="22"/>
                <w:szCs w:val="22"/>
              </w:rPr>
            </w:pPr>
            <w:r w:rsidRPr="008A433F">
              <w:rPr>
                <w:rFonts w:eastAsia="Times New Roman"/>
                <w:b/>
                <w:sz w:val="22"/>
                <w:szCs w:val="22"/>
              </w:rPr>
              <w:t>Hourly Rate including Benefits (1.4* x $/hr)</w:t>
            </w:r>
          </w:p>
        </w:tc>
        <w:tc>
          <w:tcPr>
            <w:tcW w:w="1800" w:type="dxa"/>
          </w:tcPr>
          <w:p w:rsidRPr="008A433F" w:rsidR="008A433F" w:rsidP="008A433F" w:rsidRDefault="008A433F" w14:paraId="25869C4F" w14:textId="77777777">
            <w:pPr>
              <w:widowControl/>
              <w:tabs>
                <w:tab w:val="left" w:pos="360"/>
              </w:tabs>
              <w:jc w:val="center"/>
              <w:rPr>
                <w:rFonts w:eastAsia="Times New Roman"/>
                <w:b/>
                <w:sz w:val="22"/>
                <w:szCs w:val="22"/>
              </w:rPr>
            </w:pPr>
            <w:r w:rsidRPr="008A433F">
              <w:rPr>
                <w:rFonts w:eastAsia="Times New Roman"/>
                <w:b/>
                <w:sz w:val="22"/>
                <w:szCs w:val="22"/>
              </w:rPr>
              <w:t>Percent of time spent on collection</w:t>
            </w:r>
          </w:p>
        </w:tc>
        <w:tc>
          <w:tcPr>
            <w:tcW w:w="1620" w:type="dxa"/>
          </w:tcPr>
          <w:p w:rsidRPr="008A433F" w:rsidR="008A433F" w:rsidP="008A433F" w:rsidRDefault="008A433F" w14:paraId="382752E0" w14:textId="77777777">
            <w:pPr>
              <w:widowControl/>
              <w:tabs>
                <w:tab w:val="left" w:pos="360"/>
              </w:tabs>
              <w:jc w:val="center"/>
              <w:rPr>
                <w:rFonts w:eastAsia="Times New Roman"/>
                <w:b/>
                <w:sz w:val="22"/>
                <w:szCs w:val="22"/>
              </w:rPr>
            </w:pPr>
            <w:r w:rsidRPr="008A433F">
              <w:rPr>
                <w:rFonts w:eastAsia="Times New Roman"/>
                <w:b/>
                <w:sz w:val="22"/>
                <w:szCs w:val="22"/>
              </w:rPr>
              <w:t>Weighted Average ($/hour/ rounded)</w:t>
            </w:r>
          </w:p>
        </w:tc>
      </w:tr>
      <w:tr w:rsidRPr="008A433F" w:rsidR="008A433F" w:rsidTr="008A433F" w14:paraId="26D337A6" w14:textId="77777777">
        <w:tc>
          <w:tcPr>
            <w:tcW w:w="2290" w:type="dxa"/>
          </w:tcPr>
          <w:p w:rsidRPr="008A433F" w:rsidR="008A433F" w:rsidP="008A433F" w:rsidRDefault="008A433F" w14:paraId="2788BB55" w14:textId="77777777">
            <w:pPr>
              <w:widowControl/>
              <w:tabs>
                <w:tab w:val="left" w:pos="360"/>
              </w:tabs>
              <w:rPr>
                <w:rFonts w:eastAsia="Times New Roman"/>
                <w:sz w:val="22"/>
                <w:szCs w:val="22"/>
              </w:rPr>
            </w:pPr>
            <w:r w:rsidRPr="008A433F">
              <w:rPr>
                <w:rFonts w:eastAsia="Times New Roman"/>
                <w:sz w:val="22"/>
                <w:szCs w:val="22"/>
              </w:rPr>
              <w:t>Non-Engineering Technical</w:t>
            </w:r>
          </w:p>
        </w:tc>
        <w:tc>
          <w:tcPr>
            <w:tcW w:w="1363" w:type="dxa"/>
          </w:tcPr>
          <w:p w:rsidRPr="008A433F" w:rsidR="008A433F" w:rsidP="00CF341A" w:rsidRDefault="008A433F" w14:paraId="43877024" w14:textId="2D2861CD">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67.79</w:t>
            </w:r>
          </w:p>
        </w:tc>
        <w:tc>
          <w:tcPr>
            <w:tcW w:w="1747" w:type="dxa"/>
          </w:tcPr>
          <w:p w:rsidRPr="008A433F" w:rsidR="008A433F" w:rsidP="00CF341A" w:rsidRDefault="008A433F" w14:paraId="3DE5DAC3" w14:textId="6322DBD7">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94.90</w:t>
            </w:r>
          </w:p>
        </w:tc>
        <w:tc>
          <w:tcPr>
            <w:tcW w:w="1800" w:type="dxa"/>
          </w:tcPr>
          <w:p w:rsidRPr="008A433F" w:rsidR="008A433F" w:rsidP="008A433F" w:rsidRDefault="008A433F" w14:paraId="360641D5" w14:textId="77777777">
            <w:pPr>
              <w:widowControl/>
              <w:tabs>
                <w:tab w:val="left" w:pos="360"/>
              </w:tabs>
              <w:jc w:val="center"/>
              <w:rPr>
                <w:rFonts w:eastAsia="Times New Roman"/>
                <w:sz w:val="22"/>
                <w:szCs w:val="22"/>
              </w:rPr>
            </w:pPr>
            <w:r w:rsidRPr="008A433F">
              <w:rPr>
                <w:rFonts w:eastAsia="Times New Roman"/>
                <w:sz w:val="22"/>
                <w:szCs w:val="22"/>
              </w:rPr>
              <w:t>15%</w:t>
            </w:r>
          </w:p>
        </w:tc>
        <w:tc>
          <w:tcPr>
            <w:tcW w:w="1620" w:type="dxa"/>
          </w:tcPr>
          <w:p w:rsidRPr="008A433F" w:rsidR="008A433F" w:rsidP="00CF341A" w:rsidRDefault="008A433F" w14:paraId="29185DCD" w14:textId="10F8D3F8">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14.24</w:t>
            </w:r>
          </w:p>
        </w:tc>
      </w:tr>
      <w:tr w:rsidRPr="008A433F" w:rsidR="008A433F" w:rsidTr="008A433F" w14:paraId="0A1521D6" w14:textId="77777777">
        <w:tc>
          <w:tcPr>
            <w:tcW w:w="2290" w:type="dxa"/>
          </w:tcPr>
          <w:p w:rsidRPr="008A433F" w:rsidR="008A433F" w:rsidP="008A433F" w:rsidRDefault="008A433F" w14:paraId="100A9B4C" w14:textId="77777777">
            <w:pPr>
              <w:widowControl/>
              <w:tabs>
                <w:tab w:val="left" w:pos="360"/>
              </w:tabs>
              <w:rPr>
                <w:rFonts w:eastAsia="Times New Roman"/>
                <w:sz w:val="22"/>
                <w:szCs w:val="22"/>
              </w:rPr>
            </w:pPr>
            <w:r w:rsidRPr="008A433F">
              <w:rPr>
                <w:rFonts w:eastAsia="Times New Roman"/>
                <w:sz w:val="22"/>
                <w:szCs w:val="22"/>
              </w:rPr>
              <w:t>Engineers - Drilling</w:t>
            </w:r>
          </w:p>
        </w:tc>
        <w:tc>
          <w:tcPr>
            <w:tcW w:w="1363" w:type="dxa"/>
          </w:tcPr>
          <w:p w:rsidRPr="008A433F" w:rsidR="008A433F" w:rsidP="00CF341A" w:rsidRDefault="008A433F" w14:paraId="01F46ABC" w14:textId="649D0AAA">
            <w:pPr>
              <w:widowControl/>
              <w:tabs>
                <w:tab w:val="left" w:pos="360"/>
              </w:tabs>
              <w:jc w:val="center"/>
              <w:rPr>
                <w:rFonts w:eastAsia="Times New Roman"/>
                <w:sz w:val="22"/>
                <w:szCs w:val="22"/>
              </w:rPr>
            </w:pPr>
            <w:r w:rsidRPr="008A433F">
              <w:rPr>
                <w:rFonts w:eastAsia="Times New Roman"/>
                <w:sz w:val="22"/>
                <w:szCs w:val="22"/>
              </w:rPr>
              <w:t>$10</w:t>
            </w:r>
            <w:r w:rsidR="00CF341A">
              <w:rPr>
                <w:rFonts w:eastAsia="Times New Roman"/>
                <w:sz w:val="22"/>
                <w:szCs w:val="22"/>
              </w:rPr>
              <w:t>9</w:t>
            </w:r>
            <w:r w:rsidRPr="008A433F">
              <w:rPr>
                <w:rFonts w:eastAsia="Times New Roman"/>
                <w:sz w:val="22"/>
                <w:szCs w:val="22"/>
              </w:rPr>
              <w:t>.0</w:t>
            </w:r>
            <w:r w:rsidR="00CF341A">
              <w:rPr>
                <w:rFonts w:eastAsia="Times New Roman"/>
                <w:sz w:val="22"/>
                <w:szCs w:val="22"/>
              </w:rPr>
              <w:t>4</w:t>
            </w:r>
          </w:p>
        </w:tc>
        <w:tc>
          <w:tcPr>
            <w:tcW w:w="1747" w:type="dxa"/>
          </w:tcPr>
          <w:p w:rsidRPr="008A433F" w:rsidR="008A433F" w:rsidP="00CF341A" w:rsidRDefault="008A433F" w14:paraId="18AF63A6" w14:textId="70CA6A5B">
            <w:pPr>
              <w:widowControl/>
              <w:tabs>
                <w:tab w:val="left" w:pos="360"/>
              </w:tabs>
              <w:jc w:val="center"/>
              <w:rPr>
                <w:rFonts w:eastAsia="Times New Roman"/>
                <w:sz w:val="22"/>
                <w:szCs w:val="22"/>
              </w:rPr>
            </w:pPr>
            <w:r w:rsidRPr="008A433F">
              <w:rPr>
                <w:rFonts w:eastAsia="Times New Roman"/>
                <w:sz w:val="22"/>
                <w:szCs w:val="22"/>
              </w:rPr>
              <w:t>$15</w:t>
            </w:r>
            <w:r w:rsidR="00CF341A">
              <w:rPr>
                <w:rFonts w:eastAsia="Times New Roman"/>
                <w:sz w:val="22"/>
                <w:szCs w:val="22"/>
              </w:rPr>
              <w:t>2</w:t>
            </w:r>
            <w:r w:rsidRPr="008A433F">
              <w:rPr>
                <w:rFonts w:eastAsia="Times New Roman"/>
                <w:sz w:val="22"/>
                <w:szCs w:val="22"/>
              </w:rPr>
              <w:t>.6</w:t>
            </w:r>
            <w:r w:rsidR="00CF341A">
              <w:rPr>
                <w:rFonts w:eastAsia="Times New Roman"/>
                <w:sz w:val="22"/>
                <w:szCs w:val="22"/>
              </w:rPr>
              <w:t>6</w:t>
            </w:r>
          </w:p>
        </w:tc>
        <w:tc>
          <w:tcPr>
            <w:tcW w:w="1800" w:type="dxa"/>
          </w:tcPr>
          <w:p w:rsidRPr="008A433F" w:rsidR="008A433F" w:rsidP="008A433F" w:rsidRDefault="008A433F" w14:paraId="1B8E9760" w14:textId="77777777">
            <w:pPr>
              <w:widowControl/>
              <w:tabs>
                <w:tab w:val="left" w:pos="360"/>
              </w:tabs>
              <w:jc w:val="center"/>
              <w:rPr>
                <w:rFonts w:eastAsia="Times New Roman"/>
                <w:sz w:val="22"/>
                <w:szCs w:val="22"/>
              </w:rPr>
            </w:pPr>
            <w:r w:rsidRPr="008A433F">
              <w:rPr>
                <w:rFonts w:eastAsia="Times New Roman"/>
                <w:sz w:val="22"/>
                <w:szCs w:val="22"/>
              </w:rPr>
              <w:t>67%</w:t>
            </w:r>
          </w:p>
        </w:tc>
        <w:tc>
          <w:tcPr>
            <w:tcW w:w="1620" w:type="dxa"/>
          </w:tcPr>
          <w:p w:rsidRPr="008A433F" w:rsidR="008A433F" w:rsidP="00CF341A" w:rsidRDefault="008A433F" w14:paraId="4851ED9B" w14:textId="101C53A0">
            <w:pPr>
              <w:widowControl/>
              <w:tabs>
                <w:tab w:val="left" w:pos="360"/>
              </w:tabs>
              <w:jc w:val="center"/>
              <w:rPr>
                <w:rFonts w:eastAsia="Times New Roman"/>
                <w:sz w:val="22"/>
                <w:szCs w:val="22"/>
              </w:rPr>
            </w:pPr>
            <w:r w:rsidRPr="008A433F">
              <w:rPr>
                <w:rFonts w:eastAsia="Times New Roman"/>
                <w:sz w:val="22"/>
                <w:szCs w:val="22"/>
              </w:rPr>
              <w:t>$10</w:t>
            </w:r>
            <w:r w:rsidR="00CF341A">
              <w:rPr>
                <w:rFonts w:eastAsia="Times New Roman"/>
                <w:sz w:val="22"/>
                <w:szCs w:val="22"/>
              </w:rPr>
              <w:t>2</w:t>
            </w:r>
            <w:r w:rsidRPr="008A433F">
              <w:rPr>
                <w:rFonts w:eastAsia="Times New Roman"/>
                <w:sz w:val="22"/>
                <w:szCs w:val="22"/>
              </w:rPr>
              <w:t>.</w:t>
            </w:r>
            <w:r w:rsidR="00CF341A">
              <w:rPr>
                <w:rFonts w:eastAsia="Times New Roman"/>
                <w:sz w:val="22"/>
                <w:szCs w:val="22"/>
              </w:rPr>
              <w:t>28</w:t>
            </w:r>
          </w:p>
        </w:tc>
      </w:tr>
      <w:tr w:rsidRPr="008A433F" w:rsidR="008A433F" w:rsidTr="008A433F" w14:paraId="0013F9A3" w14:textId="77777777">
        <w:tc>
          <w:tcPr>
            <w:tcW w:w="2290" w:type="dxa"/>
          </w:tcPr>
          <w:p w:rsidRPr="008A433F" w:rsidR="008A433F" w:rsidP="008A433F" w:rsidRDefault="00CF341A" w14:paraId="67BFD001" w14:textId="48B0B61E">
            <w:pPr>
              <w:widowControl/>
              <w:tabs>
                <w:tab w:val="left" w:pos="360"/>
              </w:tabs>
              <w:rPr>
                <w:rFonts w:eastAsia="Times New Roman"/>
                <w:sz w:val="22"/>
                <w:szCs w:val="22"/>
              </w:rPr>
            </w:pPr>
            <w:r>
              <w:rPr>
                <w:rFonts w:eastAsia="Times New Roman"/>
                <w:sz w:val="22"/>
                <w:szCs w:val="22"/>
              </w:rPr>
              <w:t xml:space="preserve">Earth Science/ </w:t>
            </w:r>
            <w:r w:rsidRPr="008A433F" w:rsidR="008A433F">
              <w:rPr>
                <w:rFonts w:eastAsia="Times New Roman"/>
                <w:sz w:val="22"/>
                <w:szCs w:val="22"/>
              </w:rPr>
              <w:t xml:space="preserve">Geologist </w:t>
            </w:r>
          </w:p>
        </w:tc>
        <w:tc>
          <w:tcPr>
            <w:tcW w:w="1363" w:type="dxa"/>
          </w:tcPr>
          <w:p w:rsidRPr="008A433F" w:rsidR="008A433F" w:rsidP="00D6304C" w:rsidRDefault="008A433F" w14:paraId="449B9838" w14:textId="10B7FBB5">
            <w:pPr>
              <w:widowControl/>
              <w:tabs>
                <w:tab w:val="left" w:pos="360"/>
              </w:tabs>
              <w:jc w:val="center"/>
              <w:rPr>
                <w:rFonts w:eastAsia="Times New Roman"/>
                <w:sz w:val="22"/>
                <w:szCs w:val="22"/>
              </w:rPr>
            </w:pPr>
            <w:r w:rsidRPr="008A433F">
              <w:rPr>
                <w:rFonts w:eastAsia="Times New Roman"/>
                <w:sz w:val="22"/>
                <w:szCs w:val="22"/>
              </w:rPr>
              <w:t>$</w:t>
            </w:r>
            <w:r w:rsidR="00D6304C">
              <w:rPr>
                <w:rFonts w:eastAsia="Times New Roman"/>
                <w:sz w:val="22"/>
                <w:szCs w:val="22"/>
              </w:rPr>
              <w:t>93.60</w:t>
            </w:r>
          </w:p>
        </w:tc>
        <w:tc>
          <w:tcPr>
            <w:tcW w:w="1747" w:type="dxa"/>
          </w:tcPr>
          <w:p w:rsidRPr="008A433F" w:rsidR="008A433F" w:rsidP="00D6304C" w:rsidRDefault="008A433F" w14:paraId="202B7EBA" w14:textId="22AC193E">
            <w:pPr>
              <w:widowControl/>
              <w:tabs>
                <w:tab w:val="left" w:pos="360"/>
              </w:tabs>
              <w:jc w:val="center"/>
              <w:rPr>
                <w:rFonts w:eastAsia="Times New Roman"/>
                <w:sz w:val="22"/>
                <w:szCs w:val="22"/>
              </w:rPr>
            </w:pPr>
            <w:r w:rsidRPr="008A433F">
              <w:rPr>
                <w:rFonts w:eastAsia="Times New Roman"/>
                <w:sz w:val="22"/>
                <w:szCs w:val="22"/>
              </w:rPr>
              <w:t>$13</w:t>
            </w:r>
            <w:r w:rsidR="00D6304C">
              <w:rPr>
                <w:rFonts w:eastAsia="Times New Roman"/>
                <w:sz w:val="22"/>
                <w:szCs w:val="22"/>
              </w:rPr>
              <w:t>1</w:t>
            </w:r>
            <w:r w:rsidRPr="008A433F">
              <w:rPr>
                <w:rFonts w:eastAsia="Times New Roman"/>
                <w:sz w:val="22"/>
                <w:szCs w:val="22"/>
              </w:rPr>
              <w:t>.</w:t>
            </w:r>
            <w:r w:rsidR="00D6304C">
              <w:rPr>
                <w:rFonts w:eastAsia="Times New Roman"/>
                <w:sz w:val="22"/>
                <w:szCs w:val="22"/>
              </w:rPr>
              <w:t>04</w:t>
            </w:r>
          </w:p>
        </w:tc>
        <w:tc>
          <w:tcPr>
            <w:tcW w:w="1800" w:type="dxa"/>
          </w:tcPr>
          <w:p w:rsidRPr="008A433F" w:rsidR="008A433F" w:rsidP="008A433F" w:rsidRDefault="008A433F" w14:paraId="3FA96C01" w14:textId="77777777">
            <w:pPr>
              <w:widowControl/>
              <w:tabs>
                <w:tab w:val="left" w:pos="360"/>
              </w:tabs>
              <w:jc w:val="center"/>
              <w:rPr>
                <w:rFonts w:eastAsia="Times New Roman"/>
                <w:sz w:val="22"/>
                <w:szCs w:val="22"/>
              </w:rPr>
            </w:pPr>
            <w:r w:rsidRPr="008A433F">
              <w:rPr>
                <w:rFonts w:eastAsia="Times New Roman"/>
                <w:sz w:val="22"/>
                <w:szCs w:val="22"/>
              </w:rPr>
              <w:t>18%</w:t>
            </w:r>
          </w:p>
        </w:tc>
        <w:tc>
          <w:tcPr>
            <w:tcW w:w="1620" w:type="dxa"/>
          </w:tcPr>
          <w:p w:rsidRPr="008A433F" w:rsidR="008A433F" w:rsidP="00D6304C" w:rsidRDefault="008A433F" w14:paraId="61A1324F" w14:textId="54256C43">
            <w:pPr>
              <w:widowControl/>
              <w:tabs>
                <w:tab w:val="left" w:pos="360"/>
              </w:tabs>
              <w:jc w:val="center"/>
              <w:rPr>
                <w:rFonts w:eastAsia="Times New Roman"/>
                <w:sz w:val="22"/>
                <w:szCs w:val="22"/>
              </w:rPr>
            </w:pPr>
            <w:r w:rsidRPr="008A433F">
              <w:rPr>
                <w:rFonts w:eastAsia="Times New Roman"/>
                <w:sz w:val="22"/>
                <w:szCs w:val="22"/>
              </w:rPr>
              <w:t>$23.</w:t>
            </w:r>
            <w:r w:rsidR="00D6304C">
              <w:rPr>
                <w:rFonts w:eastAsia="Times New Roman"/>
                <w:sz w:val="22"/>
                <w:szCs w:val="22"/>
              </w:rPr>
              <w:t>5</w:t>
            </w:r>
            <w:r w:rsidRPr="008A433F">
              <w:rPr>
                <w:rFonts w:eastAsia="Times New Roman"/>
                <w:sz w:val="22"/>
                <w:szCs w:val="22"/>
              </w:rPr>
              <w:t>9</w:t>
            </w:r>
          </w:p>
        </w:tc>
      </w:tr>
      <w:tr w:rsidRPr="008A433F" w:rsidR="008A433F" w:rsidTr="008A433F" w14:paraId="49C06219" w14:textId="77777777">
        <w:tc>
          <w:tcPr>
            <w:tcW w:w="7200" w:type="dxa"/>
            <w:gridSpan w:val="4"/>
          </w:tcPr>
          <w:p w:rsidRPr="008A433F" w:rsidR="008A433F" w:rsidP="008A433F" w:rsidRDefault="008A433F" w14:paraId="195C9C23" w14:textId="77777777">
            <w:pPr>
              <w:widowControl/>
              <w:tabs>
                <w:tab w:val="left" w:pos="360"/>
              </w:tabs>
              <w:rPr>
                <w:rFonts w:eastAsia="Times New Roman"/>
                <w:b/>
                <w:sz w:val="22"/>
                <w:szCs w:val="22"/>
              </w:rPr>
            </w:pPr>
            <w:r w:rsidRPr="008A433F">
              <w:rPr>
                <w:rFonts w:eastAsia="Times New Roman"/>
                <w:b/>
                <w:sz w:val="22"/>
                <w:szCs w:val="22"/>
              </w:rPr>
              <w:t>Weighted Average ($/hour)</w:t>
            </w:r>
          </w:p>
        </w:tc>
        <w:tc>
          <w:tcPr>
            <w:tcW w:w="1620" w:type="dxa"/>
          </w:tcPr>
          <w:p w:rsidRPr="008A433F" w:rsidR="008A433F" w:rsidP="00D6304C" w:rsidRDefault="008A433F" w14:paraId="10DEADDB" w14:textId="2855751F">
            <w:pPr>
              <w:widowControl/>
              <w:tabs>
                <w:tab w:val="left" w:pos="360"/>
              </w:tabs>
              <w:jc w:val="center"/>
              <w:rPr>
                <w:rFonts w:eastAsia="Times New Roman"/>
                <w:b/>
                <w:sz w:val="22"/>
                <w:szCs w:val="22"/>
              </w:rPr>
            </w:pPr>
            <w:r w:rsidRPr="008A433F">
              <w:rPr>
                <w:rFonts w:eastAsia="Times New Roman"/>
                <w:b/>
                <w:sz w:val="22"/>
                <w:szCs w:val="22"/>
              </w:rPr>
              <w:t>$14</w:t>
            </w:r>
            <w:r w:rsidR="00D6304C">
              <w:rPr>
                <w:rFonts w:eastAsia="Times New Roman"/>
                <w:b/>
                <w:sz w:val="22"/>
                <w:szCs w:val="22"/>
              </w:rPr>
              <w:t>0</w:t>
            </w:r>
            <w:r w:rsidRPr="008A433F">
              <w:rPr>
                <w:rFonts w:eastAsia="Times New Roman"/>
                <w:b/>
                <w:sz w:val="22"/>
                <w:szCs w:val="22"/>
              </w:rPr>
              <w:t>.</w:t>
            </w:r>
            <w:r w:rsidR="00D6304C">
              <w:rPr>
                <w:rFonts w:eastAsia="Times New Roman"/>
                <w:b/>
                <w:sz w:val="22"/>
                <w:szCs w:val="22"/>
              </w:rPr>
              <w:t>11</w:t>
            </w:r>
          </w:p>
        </w:tc>
      </w:tr>
    </w:tbl>
    <w:p w:rsidR="008A433F" w:rsidP="008A433F" w:rsidRDefault="008A433F" w14:paraId="748041EC" w14:textId="72803A8C">
      <w:pPr>
        <w:widowControl/>
        <w:tabs>
          <w:tab w:val="left" w:pos="-1080"/>
          <w:tab w:val="left" w:pos="-720"/>
          <w:tab w:val="left" w:pos="360"/>
          <w:tab w:val="left" w:pos="810"/>
        </w:tabs>
        <w:rPr>
          <w:rFonts w:eastAsia="Times New Roman"/>
          <w:sz w:val="20"/>
        </w:rPr>
      </w:pPr>
      <w:r w:rsidRPr="008A433F">
        <w:rPr>
          <w:rFonts w:eastAsia="Times New Roman"/>
          <w:sz w:val="20"/>
        </w:rPr>
        <w:t xml:space="preserve">*A multiplier of 1.4 </w:t>
      </w:r>
      <w:r w:rsidR="00BC55DC">
        <w:rPr>
          <w:rFonts w:eastAsia="Times New Roman"/>
          <w:sz w:val="20"/>
        </w:rPr>
        <w:t xml:space="preserve">for private industry </w:t>
      </w:r>
      <w:r w:rsidRPr="008A433F">
        <w:rPr>
          <w:rFonts w:eastAsia="Times New Roman"/>
          <w:sz w:val="20"/>
        </w:rPr>
        <w:t xml:space="preserve">(as implied by BLS news release </w:t>
      </w:r>
      <w:r w:rsidRPr="00FF1359" w:rsidR="00FF1359">
        <w:rPr>
          <w:rFonts w:eastAsia="Times New Roman"/>
          <w:sz w:val="20"/>
        </w:rPr>
        <w:t>USDL-22-1176</w:t>
      </w:r>
      <w:r w:rsidRPr="008A433F">
        <w:rPr>
          <w:rFonts w:eastAsia="Times New Roman"/>
          <w:sz w:val="20"/>
        </w:rPr>
        <w:t xml:space="preserve">, </w:t>
      </w:r>
      <w:r w:rsidRPr="00FF1359" w:rsidR="00FF1359">
        <w:rPr>
          <w:rFonts w:eastAsia="Times New Roman"/>
          <w:sz w:val="20"/>
        </w:rPr>
        <w:t>June 16, 2022</w:t>
      </w:r>
      <w:r w:rsidRPr="00FF1359" w:rsidR="00FF1359">
        <w:rPr>
          <w:rFonts w:eastAsia="Times New Roman"/>
          <w:sz w:val="20"/>
        </w:rPr>
        <w:t xml:space="preserve"> </w:t>
      </w:r>
      <w:r w:rsidRPr="008A433F">
        <w:rPr>
          <w:rFonts w:eastAsia="Times New Roman"/>
          <w:sz w:val="20"/>
        </w:rPr>
        <w:t xml:space="preserve">(see </w:t>
      </w:r>
      <w:hyperlink w:history="1" r:id="rId9">
        <w:r w:rsidRPr="00716B90" w:rsidR="00CF341A">
          <w:rPr>
            <w:rStyle w:val="Hyperlink"/>
            <w:rFonts w:eastAsia="Times New Roman"/>
            <w:sz w:val="20"/>
          </w:rPr>
          <w:t>http://www.bls.gov/news.release/ecec.nr0.htm</w:t>
        </w:r>
      </w:hyperlink>
      <w:r w:rsidRPr="008A433F">
        <w:rPr>
          <w:rFonts w:eastAsia="Times New Roman"/>
          <w:sz w:val="20"/>
        </w:rPr>
        <w:t>)) was added for benefits.</w:t>
      </w:r>
    </w:p>
    <w:p w:rsidRPr="008A433F" w:rsidR="008A433F" w:rsidP="008A433F" w:rsidRDefault="008A433F" w14:paraId="7D33A3BB" w14:textId="77777777">
      <w:pPr>
        <w:widowControl/>
        <w:tabs>
          <w:tab w:val="left" w:pos="-1080"/>
          <w:tab w:val="left" w:pos="-720"/>
          <w:tab w:val="left" w:pos="360"/>
          <w:tab w:val="left" w:pos="810"/>
        </w:tabs>
        <w:rPr>
          <w:rFonts w:eastAsia="Times New Roman"/>
          <w:sz w:val="20"/>
        </w:rPr>
      </w:pPr>
    </w:p>
    <w:p w:rsidRPr="00A02C21" w:rsidR="00A02C21" w:rsidP="005B363F" w:rsidRDefault="00F13A5D" w14:paraId="1517AC07" w14:textId="6167A6A1">
      <w:pPr>
        <w:tabs>
          <w:tab w:val="left" w:pos="-1080"/>
          <w:tab w:val="left" w:pos="-720"/>
          <w:tab w:val="left" w:pos="360"/>
          <w:tab w:val="left" w:pos="810"/>
        </w:tabs>
        <w:rPr>
          <w:rFonts w:eastAsia="Times New Roman"/>
          <w:b/>
          <w:i/>
          <w:snapToGrid/>
        </w:rPr>
      </w:pPr>
      <w:r w:rsidRPr="006571BC">
        <w:rPr>
          <w:rFonts w:eastAsia="Times New Roman"/>
          <w:snapToGrid/>
        </w:rPr>
        <w:t>Based on a cost factor of $</w:t>
      </w:r>
      <w:r w:rsidR="008A433F">
        <w:rPr>
          <w:rFonts w:eastAsia="Times New Roman"/>
          <w:snapToGrid/>
        </w:rPr>
        <w:t>14</w:t>
      </w:r>
      <w:r w:rsidR="00D6304C">
        <w:rPr>
          <w:rFonts w:eastAsia="Times New Roman"/>
          <w:snapToGrid/>
        </w:rPr>
        <w:t>0</w:t>
      </w:r>
      <w:r w:rsidRPr="00F33829" w:rsidR="008A433F">
        <w:rPr>
          <w:rFonts w:eastAsia="Times New Roman"/>
          <w:snapToGrid/>
        </w:rPr>
        <w:t xml:space="preserve"> </w:t>
      </w:r>
      <w:r w:rsidRPr="00F33829">
        <w:rPr>
          <w:rFonts w:eastAsia="Times New Roman"/>
          <w:snapToGrid/>
        </w:rPr>
        <w:t>per hour, we estimate the hour burden as a dollar equivalent is $</w:t>
      </w:r>
      <w:r w:rsidR="00FF1359">
        <w:rPr>
          <w:rFonts w:eastAsia="Times New Roman"/>
          <w:snapToGrid/>
        </w:rPr>
        <w:t>1,400</w:t>
      </w:r>
      <w:r w:rsidRPr="00B46D8E" w:rsidDel="00B46D8E" w:rsidR="00B46D8E">
        <w:rPr>
          <w:rFonts w:eastAsia="Times New Roman"/>
          <w:snapToGrid/>
        </w:rPr>
        <w:t xml:space="preserve"> </w:t>
      </w:r>
      <w:r w:rsidRPr="006571BC">
        <w:rPr>
          <w:rFonts w:eastAsia="Times New Roman"/>
          <w:snapToGrid/>
        </w:rPr>
        <w:t>($</w:t>
      </w:r>
      <w:r w:rsidR="008A433F">
        <w:rPr>
          <w:rFonts w:eastAsia="Times New Roman"/>
          <w:snapToGrid/>
        </w:rPr>
        <w:t>14</w:t>
      </w:r>
      <w:r w:rsidR="00D6304C">
        <w:rPr>
          <w:rFonts w:eastAsia="Times New Roman"/>
          <w:snapToGrid/>
        </w:rPr>
        <w:t>0</w:t>
      </w:r>
      <w:r w:rsidRPr="00F33829" w:rsidR="008A433F">
        <w:rPr>
          <w:rFonts w:eastAsia="Times New Roman"/>
          <w:snapToGrid/>
        </w:rPr>
        <w:t xml:space="preserve"> </w:t>
      </w:r>
      <w:r w:rsidRPr="00F33829">
        <w:rPr>
          <w:rFonts w:eastAsia="Times New Roman"/>
          <w:snapToGrid/>
        </w:rPr>
        <w:t xml:space="preserve">x </w:t>
      </w:r>
      <w:r w:rsidR="00FF1359">
        <w:rPr>
          <w:rFonts w:eastAsia="Times New Roman"/>
        </w:rPr>
        <w:t>10</w:t>
      </w:r>
      <w:r w:rsidRPr="007F7B59" w:rsidR="007F7B59">
        <w:rPr>
          <w:rFonts w:eastAsia="Times New Roman"/>
        </w:rPr>
        <w:t xml:space="preserve"> </w:t>
      </w:r>
      <w:r w:rsidRPr="00E969E1">
        <w:rPr>
          <w:rFonts w:eastAsia="Times New Roman"/>
          <w:snapToGrid/>
        </w:rPr>
        <w:t xml:space="preserve">hours = </w:t>
      </w:r>
      <w:r w:rsidRPr="00FF1359" w:rsidR="00FF1359">
        <w:rPr>
          <w:rFonts w:eastAsia="Times New Roman"/>
          <w:snapToGrid/>
        </w:rPr>
        <w:t>$1,400</w:t>
      </w:r>
      <w:r w:rsidRPr="00F33829">
        <w:rPr>
          <w:rFonts w:eastAsia="Times New Roman"/>
          <w:snapToGrid/>
        </w:rPr>
        <w:t>).</w:t>
      </w:r>
      <w:r w:rsidRPr="00F13A5D">
        <w:rPr>
          <w:rFonts w:eastAsia="Times New Roman"/>
          <w:snapToGrid/>
        </w:rPr>
        <w:t xml:space="preserve">  </w:t>
      </w:r>
    </w:p>
    <w:p w:rsidR="00A02C21" w:rsidP="005B363F" w:rsidRDefault="00A02C21" w14:paraId="482F3859" w14:textId="77777777">
      <w:pPr>
        <w:tabs>
          <w:tab w:val="left" w:pos="-1080"/>
          <w:tab w:val="left" w:pos="-720"/>
          <w:tab w:val="left" w:pos="360"/>
          <w:tab w:val="left" w:pos="810"/>
        </w:tabs>
      </w:pPr>
    </w:p>
    <w:p w:rsidR="006C6064" w:rsidP="005B363F" w:rsidRDefault="006C6064" w14:paraId="569183D3" w14:textId="77777777">
      <w:pPr>
        <w:tabs>
          <w:tab w:val="left" w:pos="-1080"/>
          <w:tab w:val="left" w:pos="-720"/>
          <w:tab w:val="left" w:pos="360"/>
          <w:tab w:val="left" w:pos="810"/>
        </w:tabs>
        <w:rPr>
          <w:b/>
          <w:i/>
        </w:rPr>
      </w:pPr>
      <w:r w:rsidRPr="00E969E1">
        <w:rPr>
          <w:b/>
          <w:i/>
        </w:rPr>
        <w:lastRenderedPageBreak/>
        <w:t>13.</w:t>
      </w:r>
      <w:r w:rsidRPr="00E969E1">
        <w:rPr>
          <w:b/>
          <w:i/>
        </w:rPr>
        <w:tab/>
        <w:t xml:space="preserve">Provide an estimate of the total annual non-hour cost burden to respondents or recordkeepers resulting from the collection of information.  (Do not include the cost of any hour burden </w:t>
      </w:r>
      <w:r w:rsidRPr="00E969E1" w:rsidR="001B6123">
        <w:rPr>
          <w:b/>
          <w:i/>
        </w:rPr>
        <w:t xml:space="preserve">already reflected </w:t>
      </w:r>
      <w:r w:rsidRPr="00E969E1">
        <w:rPr>
          <w:b/>
          <w:i/>
        </w:rPr>
        <w:t>in Item 12).</w:t>
      </w:r>
    </w:p>
    <w:p w:rsidRPr="00600EEB" w:rsidR="006C6064" w:rsidP="005B363F" w:rsidRDefault="006C6064" w14:paraId="277B1929" w14:textId="77777777">
      <w:pPr>
        <w:tabs>
          <w:tab w:val="left" w:pos="-1080"/>
          <w:tab w:val="left" w:pos="-720"/>
          <w:tab w:val="left" w:pos="360"/>
          <w:tab w:val="left" w:pos="810"/>
        </w:tabs>
        <w:rPr>
          <w:b/>
          <w:i/>
        </w:rPr>
      </w:pPr>
    </w:p>
    <w:p w:rsidR="006C6064" w:rsidP="005B363F" w:rsidRDefault="006C6064" w14:paraId="3880F5C3" w14:textId="77777777">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disclosing or providing the information</w:t>
      </w:r>
      <w:r w:rsidR="005E62BD">
        <w:rPr>
          <w:b/>
          <w:i/>
        </w:rPr>
        <w:t xml:space="preserve"> </w:t>
      </w:r>
      <w:r w:rsidRPr="005E62BD" w:rsidR="00E9385F">
        <w:rPr>
          <w:b/>
          <w:i/>
        </w:rPr>
        <w:t>(</w:t>
      </w:r>
      <w:r w:rsidRPr="00600EEB">
        <w:rPr>
          <w:b/>
          <w:i/>
        </w:rPr>
        <w:t>including filing fees paid</w:t>
      </w:r>
      <w:r w:rsidR="00E9385F">
        <w:rPr>
          <w:b/>
          <w:i/>
          <w:strike/>
        </w:rPr>
        <w:t xml:space="preserve"> </w:t>
      </w:r>
      <w:r w:rsidRPr="005E62BD" w:rsidR="00E9385F">
        <w:rPr>
          <w:b/>
          <w:i/>
        </w:rPr>
        <w:t>for</w:t>
      </w:r>
      <w:r w:rsidRPr="00F34EA5" w:rsidR="00E9385F">
        <w:rPr>
          <w:b/>
          <w:i/>
        </w:rPr>
        <w:t xml:space="preserve"> </w:t>
      </w:r>
      <w:r w:rsidRPr="005E62BD" w:rsidR="00E9385F">
        <w:rPr>
          <w:b/>
          <w:i/>
        </w:rPr>
        <w:t>form processing)</w:t>
      </w:r>
      <w:r w:rsidRPr="005E62BD">
        <w:rPr>
          <w:b/>
          <w:i/>
        </w:rPr>
        <w:t>.</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6C6064" w:rsidP="005B363F" w:rsidRDefault="006C6064" w14:paraId="466118B3" w14:textId="77777777">
      <w:pPr>
        <w:tabs>
          <w:tab w:val="left" w:pos="-1080"/>
          <w:tab w:val="left" w:pos="-720"/>
          <w:tab w:val="left" w:pos="360"/>
          <w:tab w:val="left" w:pos="810"/>
        </w:tabs>
        <w:rPr>
          <w:b/>
          <w:i/>
        </w:rPr>
      </w:pPr>
    </w:p>
    <w:p w:rsidRPr="00F5139C" w:rsidR="003B14C0" w:rsidP="005B363F" w:rsidRDefault="006C6064" w14:paraId="15FD6339" w14:textId="77777777">
      <w:pPr>
        <w:tabs>
          <w:tab w:val="left" w:pos="-1080"/>
          <w:tab w:val="left" w:pos="-720"/>
          <w:tab w:val="left" w:pos="360"/>
          <w:tab w:val="left" w:pos="720"/>
        </w:tabs>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Pr="00600EEB" w:rsidR="006C6064" w:rsidP="005B363F" w:rsidRDefault="006C6064" w14:paraId="34D42D2B" w14:textId="77777777">
      <w:pPr>
        <w:tabs>
          <w:tab w:val="left" w:pos="-1080"/>
          <w:tab w:val="left" w:pos="-720"/>
          <w:tab w:val="left" w:pos="360"/>
          <w:tab w:val="left" w:pos="810"/>
        </w:tabs>
        <w:rPr>
          <w:i/>
        </w:rPr>
      </w:pPr>
    </w:p>
    <w:p w:rsidR="00A45257" w:rsidP="005B363F" w:rsidRDefault="006C6064" w14:paraId="4AD58B95" w14:textId="77777777">
      <w:pPr>
        <w:tabs>
          <w:tab w:val="left" w:pos="-1080"/>
          <w:tab w:val="left" w:pos="-720"/>
          <w:tab w:val="left" w:pos="360"/>
          <w:tab w:val="left" w:pos="72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132630" w:rsidP="005B363F" w:rsidRDefault="00132630" w14:paraId="7D58BF79" w14:textId="77777777">
      <w:pPr>
        <w:tabs>
          <w:tab w:val="left" w:pos="-1080"/>
          <w:tab w:val="left" w:pos="-720"/>
          <w:tab w:val="left" w:pos="360"/>
          <w:tab w:val="left" w:pos="720"/>
        </w:tabs>
        <w:rPr>
          <w:i/>
        </w:rPr>
      </w:pPr>
    </w:p>
    <w:p w:rsidR="008424A9" w:rsidP="005B363F" w:rsidRDefault="008424A9" w14:paraId="2F1389EC" w14:textId="793FE25E">
      <w:pPr>
        <w:tabs>
          <w:tab w:val="left" w:pos="-1080"/>
          <w:tab w:val="left" w:pos="-720"/>
          <w:tab w:val="left" w:pos="360"/>
          <w:tab w:val="left" w:pos="720"/>
        </w:tabs>
      </w:pPr>
      <w:r w:rsidRPr="008424A9">
        <w:t>We have</w:t>
      </w:r>
      <w:r w:rsidR="00564825">
        <w:t xml:space="preserve"> not</w:t>
      </w:r>
      <w:r w:rsidRPr="008424A9">
        <w:t xml:space="preserve"> iden</w:t>
      </w:r>
      <w:r>
        <w:t xml:space="preserve">tified </w:t>
      </w:r>
      <w:r w:rsidR="00564825">
        <w:t>any new</w:t>
      </w:r>
      <w:r>
        <w:t xml:space="preserve"> non-hour cost burdens</w:t>
      </w:r>
      <w:r w:rsidR="00564825">
        <w:t xml:space="preserve"> due to 1014-AA52.</w:t>
      </w:r>
    </w:p>
    <w:p w:rsidRPr="001B036C" w:rsidR="005D74B1" w:rsidP="00080480" w:rsidRDefault="005D74B1" w14:paraId="268DFD19" w14:textId="77777777">
      <w:pPr>
        <w:tabs>
          <w:tab w:val="left" w:pos="-1080"/>
          <w:tab w:val="left" w:pos="-720"/>
          <w:tab w:val="left" w:pos="360"/>
          <w:tab w:val="left" w:pos="720"/>
        </w:tabs>
      </w:pPr>
    </w:p>
    <w:p w:rsidRPr="00E9385F" w:rsidR="006C6064" w:rsidP="005B363F" w:rsidRDefault="006C6064" w14:paraId="303372DD" w14:textId="77777777">
      <w:pPr>
        <w:tabs>
          <w:tab w:val="left" w:pos="-1080"/>
          <w:tab w:val="left" w:pos="-720"/>
          <w:tab w:val="left" w:pos="360"/>
          <w:tab w:val="left" w:pos="810"/>
        </w:tabs>
        <w:rPr>
          <w:b/>
          <w:strike/>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02893" w:rsidP="005B363F" w:rsidRDefault="00C02893" w14:paraId="40CA4667" w14:textId="77777777">
      <w:pPr>
        <w:tabs>
          <w:tab w:val="left" w:pos="360"/>
          <w:tab w:val="left" w:pos="720"/>
          <w:tab w:val="left" w:pos="1080"/>
        </w:tabs>
        <w:rPr>
          <w:rFonts w:eastAsia="Times New Roman"/>
        </w:rPr>
      </w:pPr>
    </w:p>
    <w:p w:rsidR="00C02893" w:rsidP="005B363F" w:rsidRDefault="00C02893" w14:paraId="2AFBA726" w14:textId="61C983F0">
      <w:pPr>
        <w:tabs>
          <w:tab w:val="left" w:pos="360"/>
          <w:tab w:val="left" w:pos="720"/>
          <w:tab w:val="left" w:pos="1080"/>
        </w:tabs>
        <w:rPr>
          <w:rFonts w:eastAsia="Times New Roman"/>
        </w:rPr>
      </w:pPr>
      <w:r w:rsidRPr="00152B3F">
        <w:rPr>
          <w:rFonts w:eastAsia="Times New Roman"/>
        </w:rPr>
        <w:t xml:space="preserve">To analyze and review the information required by </w:t>
      </w:r>
      <w:r w:rsidR="001A219C">
        <w:rPr>
          <w:rFonts w:eastAsia="Times New Roman"/>
        </w:rPr>
        <w:t>S</w:t>
      </w:r>
      <w:r w:rsidRPr="00152B3F">
        <w:rPr>
          <w:rFonts w:eastAsia="Times New Roman"/>
        </w:rPr>
        <w:t xml:space="preserve">ubpart </w:t>
      </w:r>
      <w:r w:rsidR="001A219C">
        <w:rPr>
          <w:rFonts w:eastAsia="Times New Roman"/>
        </w:rPr>
        <w:t>G</w:t>
      </w:r>
      <w:r w:rsidRPr="00152B3F">
        <w:rPr>
          <w:rFonts w:eastAsia="Times New Roman"/>
        </w:rPr>
        <w:t>, we estimate the Government will spend an average of approximately</w:t>
      </w:r>
      <w:r w:rsidR="00A64860">
        <w:rPr>
          <w:rFonts w:eastAsia="Times New Roman"/>
        </w:rPr>
        <w:t xml:space="preserve"> 1</w:t>
      </w:r>
      <w:r w:rsidRPr="00152B3F">
        <w:rPr>
          <w:rFonts w:eastAsia="Times New Roman"/>
        </w:rPr>
        <w:t xml:space="preserve"> hour for each hour spent by the respondents for a total of </w:t>
      </w:r>
      <w:r w:rsidR="00A64860">
        <w:rPr>
          <w:rFonts w:eastAsia="Times New Roman"/>
        </w:rPr>
        <w:t>10</w:t>
      </w:r>
      <w:r w:rsidRPr="0075210E" w:rsidR="0075210E">
        <w:rPr>
          <w:rFonts w:eastAsia="Times New Roman"/>
        </w:rPr>
        <w:t xml:space="preserve"> </w:t>
      </w:r>
      <w:r w:rsidRPr="00152B3F">
        <w:rPr>
          <w:rFonts w:eastAsia="Times New Roman"/>
        </w:rPr>
        <w:t xml:space="preserve">hours.  </w:t>
      </w:r>
    </w:p>
    <w:p w:rsidRPr="00C02893" w:rsidR="00C02893" w:rsidP="005B363F" w:rsidRDefault="00C02893" w14:paraId="3292044C" w14:textId="77777777">
      <w:pPr>
        <w:tabs>
          <w:tab w:val="left" w:pos="360"/>
          <w:tab w:val="left" w:pos="720"/>
          <w:tab w:val="left" w:pos="1080"/>
        </w:tabs>
        <w:rPr>
          <w:rFonts w:eastAsia="Times New Roman"/>
          <w:highlight w:val="yellow"/>
        </w:rPr>
      </w:pPr>
    </w:p>
    <w:p w:rsidRPr="00EE5CF2" w:rsidR="00EE5CF2" w:rsidP="005B363F" w:rsidRDefault="00EE5CF2" w14:paraId="15DA387C" w14:textId="67A2F58E">
      <w:pPr>
        <w:tabs>
          <w:tab w:val="left" w:pos="360"/>
          <w:tab w:val="left" w:pos="720"/>
          <w:tab w:val="left" w:pos="1080"/>
        </w:tabs>
        <w:rPr>
          <w:rFonts w:eastAsia="Times New Roman"/>
        </w:rPr>
      </w:pPr>
      <w:r w:rsidRPr="00EE5CF2">
        <w:rPr>
          <w:rFonts w:eastAsia="Times New Roman"/>
        </w:rPr>
        <w:t>The average government cost is $</w:t>
      </w:r>
      <w:r w:rsidR="00CA003F">
        <w:rPr>
          <w:rFonts w:eastAsia="Times New Roman"/>
        </w:rPr>
        <w:t>91</w:t>
      </w:r>
      <w:r w:rsidRPr="00EE5CF2">
        <w:rPr>
          <w:rFonts w:eastAsia="Times New Roman"/>
        </w:rPr>
        <w:t>/hour (rounded).  This cost is broken out in the below table using the Office of Personnel Management salary data for the REST OF THE UNITED STATES (</w:t>
      </w:r>
      <w:hyperlink w:history="1" r:id="rId10">
        <w:r w:rsidRPr="000E5927" w:rsidR="000E5927">
          <w:rPr>
            <w:color w:val="0000FF"/>
            <w:u w:val="single"/>
          </w:rPr>
          <w:t>https://www.opm.gov/policy-data-oversight/pay-leave/salaries-wages/</w:t>
        </w:r>
      </w:hyperlink>
      <w:r w:rsidR="000E5927">
        <w:t xml:space="preserve">). </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990"/>
        <w:gridCol w:w="1260"/>
        <w:gridCol w:w="1620"/>
        <w:gridCol w:w="1350"/>
        <w:gridCol w:w="1350"/>
      </w:tblGrid>
      <w:tr w:rsidRPr="00EE5CF2" w:rsidR="00EE5CF2" w:rsidTr="00EE5CF2" w14:paraId="1B9BBAC2" w14:textId="77777777">
        <w:tc>
          <w:tcPr>
            <w:tcW w:w="2340" w:type="dxa"/>
            <w:vAlign w:val="center"/>
          </w:tcPr>
          <w:p w:rsidRPr="00EE5CF2" w:rsidR="00EE5CF2" w:rsidP="00766F42" w:rsidRDefault="00EE5CF2" w14:paraId="6FB5A757" w14:textId="77777777">
            <w:pPr>
              <w:pStyle w:val="NoSpacing"/>
            </w:pPr>
            <w:r w:rsidRPr="00EE5CF2">
              <w:lastRenderedPageBreak/>
              <w:t>Position</w:t>
            </w:r>
          </w:p>
        </w:tc>
        <w:tc>
          <w:tcPr>
            <w:tcW w:w="990" w:type="dxa"/>
            <w:vAlign w:val="center"/>
          </w:tcPr>
          <w:p w:rsidRPr="00EE5CF2" w:rsidR="00EE5CF2" w:rsidP="00EE5CF2" w:rsidRDefault="00EE5CF2" w14:paraId="26E19A96" w14:textId="77777777">
            <w:pPr>
              <w:tabs>
                <w:tab w:val="left" w:pos="360"/>
              </w:tabs>
              <w:jc w:val="center"/>
              <w:rPr>
                <w:rFonts w:eastAsia="Times New Roman"/>
                <w:b/>
                <w:sz w:val="22"/>
                <w:szCs w:val="22"/>
              </w:rPr>
            </w:pPr>
            <w:r w:rsidRPr="00EE5CF2">
              <w:rPr>
                <w:rFonts w:eastAsia="Times New Roman"/>
                <w:b/>
                <w:sz w:val="22"/>
                <w:szCs w:val="22"/>
              </w:rPr>
              <w:t>Grade</w:t>
            </w:r>
          </w:p>
        </w:tc>
        <w:tc>
          <w:tcPr>
            <w:tcW w:w="1260" w:type="dxa"/>
          </w:tcPr>
          <w:p w:rsidRPr="00EE5CF2" w:rsidR="00EE5CF2" w:rsidP="00EE5CF2" w:rsidRDefault="00EE5CF2" w14:paraId="37F42836" w14:textId="77777777">
            <w:pPr>
              <w:widowControl/>
              <w:tabs>
                <w:tab w:val="left" w:pos="360"/>
              </w:tabs>
              <w:jc w:val="center"/>
              <w:rPr>
                <w:rFonts w:eastAsia="Times New Roman"/>
                <w:b/>
                <w:sz w:val="22"/>
                <w:szCs w:val="22"/>
              </w:rPr>
            </w:pPr>
            <w:r w:rsidRPr="00EE5CF2">
              <w:rPr>
                <w:rFonts w:eastAsia="Times New Roman"/>
                <w:b/>
                <w:sz w:val="22"/>
                <w:szCs w:val="22"/>
              </w:rPr>
              <w:t>Hourly Pay rate ($/hour estimate)</w:t>
            </w:r>
          </w:p>
        </w:tc>
        <w:tc>
          <w:tcPr>
            <w:tcW w:w="1620" w:type="dxa"/>
          </w:tcPr>
          <w:p w:rsidRPr="00EE5CF2" w:rsidR="00EE5CF2" w:rsidP="00EE5CF2" w:rsidRDefault="00EE5CF2" w14:paraId="2CB7708B" w14:textId="77777777">
            <w:pPr>
              <w:widowControl/>
              <w:tabs>
                <w:tab w:val="left" w:pos="360"/>
              </w:tabs>
              <w:jc w:val="center"/>
              <w:rPr>
                <w:rFonts w:eastAsia="Times New Roman"/>
                <w:b/>
                <w:sz w:val="22"/>
                <w:szCs w:val="22"/>
              </w:rPr>
            </w:pPr>
            <w:r w:rsidRPr="00EE5CF2">
              <w:rPr>
                <w:rFonts w:eastAsia="Times New Roman"/>
                <w:b/>
                <w:sz w:val="22"/>
                <w:szCs w:val="22"/>
              </w:rPr>
              <w:t>Hourly rate including benefits (1.6* x $/hour)</w:t>
            </w:r>
          </w:p>
        </w:tc>
        <w:tc>
          <w:tcPr>
            <w:tcW w:w="1350" w:type="dxa"/>
          </w:tcPr>
          <w:p w:rsidRPr="00EE5CF2" w:rsidR="00EE5CF2" w:rsidP="00EE5CF2" w:rsidRDefault="00EE5CF2" w14:paraId="14653E92" w14:textId="77777777">
            <w:pPr>
              <w:widowControl/>
              <w:tabs>
                <w:tab w:val="left" w:pos="360"/>
              </w:tabs>
              <w:jc w:val="center"/>
              <w:rPr>
                <w:rFonts w:eastAsia="Times New Roman"/>
                <w:b/>
                <w:sz w:val="22"/>
                <w:szCs w:val="22"/>
              </w:rPr>
            </w:pPr>
            <w:r w:rsidRPr="00EE5CF2">
              <w:rPr>
                <w:rFonts w:eastAsia="Times New Roman"/>
                <w:b/>
                <w:sz w:val="22"/>
                <w:szCs w:val="22"/>
              </w:rPr>
              <w:t>Percent of time spent on collection</w:t>
            </w:r>
          </w:p>
        </w:tc>
        <w:tc>
          <w:tcPr>
            <w:tcW w:w="1350" w:type="dxa"/>
          </w:tcPr>
          <w:p w:rsidRPr="00EE5CF2" w:rsidR="00EE5CF2" w:rsidP="00EE5CF2" w:rsidRDefault="00EE5CF2" w14:paraId="0B1E11C0" w14:textId="77777777">
            <w:pPr>
              <w:widowControl/>
              <w:tabs>
                <w:tab w:val="left" w:pos="360"/>
              </w:tabs>
              <w:jc w:val="center"/>
              <w:rPr>
                <w:rFonts w:eastAsia="Times New Roman"/>
                <w:b/>
                <w:sz w:val="22"/>
                <w:szCs w:val="22"/>
              </w:rPr>
            </w:pPr>
            <w:r w:rsidRPr="00EE5CF2">
              <w:rPr>
                <w:rFonts w:eastAsia="Times New Roman"/>
                <w:b/>
                <w:sz w:val="22"/>
                <w:szCs w:val="22"/>
              </w:rPr>
              <w:t>Weighted Average ($/hour)</w:t>
            </w:r>
          </w:p>
        </w:tc>
      </w:tr>
      <w:tr w:rsidRPr="00EE5CF2" w:rsidR="00EE5CF2" w:rsidTr="00EE5CF2" w14:paraId="63C7CB2B" w14:textId="77777777">
        <w:tc>
          <w:tcPr>
            <w:tcW w:w="2340" w:type="dxa"/>
          </w:tcPr>
          <w:p w:rsidRPr="00EE5CF2" w:rsidR="00EE5CF2" w:rsidP="00EE5CF2" w:rsidRDefault="00EE5CF2" w14:paraId="40586D4F" w14:textId="77777777">
            <w:pPr>
              <w:widowControl/>
              <w:tabs>
                <w:tab w:val="left" w:pos="360"/>
              </w:tabs>
              <w:rPr>
                <w:rFonts w:eastAsia="Times New Roman"/>
                <w:sz w:val="22"/>
                <w:szCs w:val="22"/>
              </w:rPr>
            </w:pPr>
            <w:r w:rsidRPr="00EE5CF2">
              <w:rPr>
                <w:rFonts w:eastAsia="Times New Roman"/>
                <w:sz w:val="22"/>
                <w:szCs w:val="22"/>
              </w:rPr>
              <w:t>Clerical</w:t>
            </w:r>
          </w:p>
        </w:tc>
        <w:tc>
          <w:tcPr>
            <w:tcW w:w="990" w:type="dxa"/>
          </w:tcPr>
          <w:p w:rsidRPr="00EE5CF2" w:rsidR="00EE5CF2" w:rsidP="00EE5CF2" w:rsidRDefault="00EE5CF2" w14:paraId="1B663875" w14:textId="77777777">
            <w:pPr>
              <w:widowControl/>
              <w:tabs>
                <w:tab w:val="left" w:pos="360"/>
              </w:tabs>
              <w:jc w:val="center"/>
              <w:rPr>
                <w:rFonts w:eastAsia="Times New Roman"/>
                <w:sz w:val="22"/>
                <w:szCs w:val="22"/>
              </w:rPr>
            </w:pPr>
            <w:r w:rsidRPr="00EE5CF2">
              <w:rPr>
                <w:rFonts w:eastAsia="Times New Roman"/>
                <w:sz w:val="22"/>
                <w:szCs w:val="22"/>
              </w:rPr>
              <w:t>GS-7/5</w:t>
            </w:r>
          </w:p>
        </w:tc>
        <w:tc>
          <w:tcPr>
            <w:tcW w:w="1260" w:type="dxa"/>
          </w:tcPr>
          <w:p w:rsidRPr="00EE5CF2" w:rsidR="00EE5CF2" w:rsidP="000E5927" w:rsidRDefault="00EE5CF2" w14:paraId="3B90A24B" w14:textId="2837B9A0">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24.30</w:t>
            </w:r>
          </w:p>
        </w:tc>
        <w:tc>
          <w:tcPr>
            <w:tcW w:w="1620" w:type="dxa"/>
          </w:tcPr>
          <w:p w:rsidRPr="00EE5CF2" w:rsidR="00EE5CF2" w:rsidP="000E5927" w:rsidRDefault="00EE5CF2" w14:paraId="36AEDD28" w14:textId="6F0711F7">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38.88</w:t>
            </w:r>
          </w:p>
        </w:tc>
        <w:tc>
          <w:tcPr>
            <w:tcW w:w="1350" w:type="dxa"/>
          </w:tcPr>
          <w:p w:rsidRPr="00EE5CF2" w:rsidR="00EE5CF2" w:rsidP="00EE5CF2" w:rsidRDefault="00EE5CF2" w14:paraId="6D670D10" w14:textId="77777777">
            <w:pPr>
              <w:widowControl/>
              <w:tabs>
                <w:tab w:val="left" w:pos="360"/>
              </w:tabs>
              <w:jc w:val="center"/>
              <w:rPr>
                <w:rFonts w:eastAsia="Times New Roman"/>
                <w:sz w:val="22"/>
                <w:szCs w:val="22"/>
              </w:rPr>
            </w:pPr>
            <w:r w:rsidRPr="00EE5CF2">
              <w:rPr>
                <w:rFonts w:eastAsia="Times New Roman"/>
                <w:sz w:val="22"/>
                <w:szCs w:val="22"/>
              </w:rPr>
              <w:t>5%</w:t>
            </w:r>
          </w:p>
        </w:tc>
        <w:tc>
          <w:tcPr>
            <w:tcW w:w="1350" w:type="dxa"/>
          </w:tcPr>
          <w:p w:rsidRPr="00EE5CF2" w:rsidR="00EE5CF2" w:rsidP="000E5927" w:rsidRDefault="00EE5CF2" w14:paraId="256D0E3C" w14:textId="169240AE">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1.94</w:t>
            </w:r>
          </w:p>
        </w:tc>
      </w:tr>
      <w:tr w:rsidRPr="00EE5CF2" w:rsidR="00EE5CF2" w:rsidTr="00EE5CF2" w14:paraId="3C884E45" w14:textId="77777777">
        <w:trPr>
          <w:trHeight w:val="215"/>
        </w:trPr>
        <w:tc>
          <w:tcPr>
            <w:tcW w:w="2340" w:type="dxa"/>
          </w:tcPr>
          <w:p w:rsidRPr="00EE5CF2" w:rsidR="00EE5CF2" w:rsidP="00EE5CF2" w:rsidRDefault="00EE5CF2" w14:paraId="02CA1361" w14:textId="77777777">
            <w:pPr>
              <w:widowControl/>
              <w:tabs>
                <w:tab w:val="left" w:pos="360"/>
              </w:tabs>
              <w:rPr>
                <w:rFonts w:eastAsia="Times New Roman"/>
                <w:sz w:val="22"/>
                <w:szCs w:val="22"/>
              </w:rPr>
            </w:pPr>
            <w:r w:rsidRPr="00EE5CF2">
              <w:rPr>
                <w:rFonts w:eastAsia="Times New Roman"/>
                <w:sz w:val="22"/>
                <w:szCs w:val="22"/>
              </w:rPr>
              <w:t>Petroleum Engineer</w:t>
            </w:r>
          </w:p>
        </w:tc>
        <w:tc>
          <w:tcPr>
            <w:tcW w:w="990" w:type="dxa"/>
          </w:tcPr>
          <w:p w:rsidRPr="00EE5CF2" w:rsidR="00EE5CF2" w:rsidP="00EE5CF2" w:rsidRDefault="00EE5CF2" w14:paraId="1D563327" w14:textId="77777777">
            <w:pPr>
              <w:widowControl/>
              <w:tabs>
                <w:tab w:val="left" w:pos="360"/>
              </w:tabs>
              <w:jc w:val="center"/>
              <w:rPr>
                <w:rFonts w:eastAsia="Times New Roman"/>
                <w:sz w:val="22"/>
                <w:szCs w:val="22"/>
              </w:rPr>
            </w:pPr>
            <w:r w:rsidRPr="00EE5CF2">
              <w:rPr>
                <w:rFonts w:eastAsia="Times New Roman"/>
                <w:sz w:val="22"/>
                <w:szCs w:val="22"/>
              </w:rPr>
              <w:t>GS-13/5</w:t>
            </w:r>
          </w:p>
        </w:tc>
        <w:tc>
          <w:tcPr>
            <w:tcW w:w="1260" w:type="dxa"/>
          </w:tcPr>
          <w:p w:rsidRPr="00EE5CF2" w:rsidR="00EE5CF2" w:rsidP="000E5927" w:rsidRDefault="00EE5CF2" w14:paraId="0EF51A84" w14:textId="1D18BED5">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51.25</w:t>
            </w:r>
          </w:p>
        </w:tc>
        <w:tc>
          <w:tcPr>
            <w:tcW w:w="1620" w:type="dxa"/>
          </w:tcPr>
          <w:p w:rsidRPr="00EE5CF2" w:rsidR="00EE5CF2" w:rsidP="000E5927" w:rsidRDefault="00EE5CF2" w14:paraId="6C06FF09" w14:textId="3217A03C">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82.00</w:t>
            </w:r>
          </w:p>
        </w:tc>
        <w:tc>
          <w:tcPr>
            <w:tcW w:w="1350" w:type="dxa"/>
          </w:tcPr>
          <w:p w:rsidRPr="00EE5CF2" w:rsidR="00EE5CF2" w:rsidP="00EE5CF2" w:rsidRDefault="00EE5CF2" w14:paraId="6372E83D" w14:textId="77777777">
            <w:pPr>
              <w:widowControl/>
              <w:tabs>
                <w:tab w:val="left" w:pos="360"/>
              </w:tabs>
              <w:jc w:val="center"/>
              <w:rPr>
                <w:rFonts w:eastAsia="Times New Roman"/>
                <w:sz w:val="22"/>
                <w:szCs w:val="22"/>
              </w:rPr>
            </w:pPr>
            <w:r w:rsidRPr="00EE5CF2">
              <w:rPr>
                <w:rFonts w:eastAsia="Times New Roman"/>
                <w:sz w:val="22"/>
                <w:szCs w:val="22"/>
              </w:rPr>
              <w:t>60%</w:t>
            </w:r>
          </w:p>
        </w:tc>
        <w:tc>
          <w:tcPr>
            <w:tcW w:w="1350" w:type="dxa"/>
          </w:tcPr>
          <w:p w:rsidRPr="00EE5CF2" w:rsidR="00EE5CF2" w:rsidP="000E5927" w:rsidRDefault="00EE5CF2" w14:paraId="4A44629F" w14:textId="4275800B">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49.20</w:t>
            </w:r>
          </w:p>
        </w:tc>
      </w:tr>
      <w:tr w:rsidRPr="00EE5CF2" w:rsidR="00EE5CF2" w:rsidTr="00EE5CF2" w14:paraId="6EA9B131" w14:textId="77777777">
        <w:tc>
          <w:tcPr>
            <w:tcW w:w="2340" w:type="dxa"/>
          </w:tcPr>
          <w:p w:rsidRPr="00EE5CF2" w:rsidR="00EE5CF2" w:rsidP="00EE5CF2" w:rsidRDefault="00EE5CF2" w14:paraId="542F851B" w14:textId="77777777">
            <w:pPr>
              <w:widowControl/>
              <w:tabs>
                <w:tab w:val="left" w:pos="360"/>
              </w:tabs>
              <w:rPr>
                <w:rFonts w:eastAsia="Times New Roman"/>
                <w:sz w:val="22"/>
                <w:szCs w:val="22"/>
              </w:rPr>
            </w:pPr>
            <w:r w:rsidRPr="00EE5CF2">
              <w:rPr>
                <w:rFonts w:eastAsia="Times New Roman"/>
                <w:sz w:val="22"/>
                <w:szCs w:val="22"/>
              </w:rPr>
              <w:t>Supv. Petroleum Engineer</w:t>
            </w:r>
          </w:p>
        </w:tc>
        <w:tc>
          <w:tcPr>
            <w:tcW w:w="990" w:type="dxa"/>
          </w:tcPr>
          <w:p w:rsidRPr="00EE5CF2" w:rsidR="00EE5CF2" w:rsidP="00EE5CF2" w:rsidRDefault="00EE5CF2" w14:paraId="3E12470F" w14:textId="77777777">
            <w:pPr>
              <w:widowControl/>
              <w:tabs>
                <w:tab w:val="left" w:pos="360"/>
              </w:tabs>
              <w:jc w:val="center"/>
              <w:rPr>
                <w:rFonts w:eastAsia="Times New Roman"/>
                <w:sz w:val="22"/>
                <w:szCs w:val="22"/>
              </w:rPr>
            </w:pPr>
            <w:r w:rsidRPr="00EE5CF2">
              <w:rPr>
                <w:rFonts w:eastAsia="Times New Roman"/>
                <w:sz w:val="22"/>
                <w:szCs w:val="22"/>
              </w:rPr>
              <w:t>GS-15/5</w:t>
            </w:r>
          </w:p>
        </w:tc>
        <w:tc>
          <w:tcPr>
            <w:tcW w:w="1260" w:type="dxa"/>
          </w:tcPr>
          <w:p w:rsidRPr="00EE5CF2" w:rsidR="00EE5CF2" w:rsidP="000E5927" w:rsidRDefault="00EE5CF2" w14:paraId="5E3CD3A7" w14:textId="7845DA64">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71.24</w:t>
            </w:r>
          </w:p>
        </w:tc>
        <w:tc>
          <w:tcPr>
            <w:tcW w:w="1620" w:type="dxa"/>
          </w:tcPr>
          <w:p w:rsidRPr="00EE5CF2" w:rsidR="00EE5CF2" w:rsidP="000E5927" w:rsidRDefault="00EE5CF2" w14:paraId="5E909943" w14:textId="781FBCDA">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113.98</w:t>
            </w:r>
          </w:p>
        </w:tc>
        <w:tc>
          <w:tcPr>
            <w:tcW w:w="1350" w:type="dxa"/>
          </w:tcPr>
          <w:p w:rsidRPr="00EE5CF2" w:rsidR="00EE5CF2" w:rsidP="00EE5CF2" w:rsidRDefault="00EE5CF2" w14:paraId="6C54993F" w14:textId="77777777">
            <w:pPr>
              <w:widowControl/>
              <w:tabs>
                <w:tab w:val="left" w:pos="360"/>
              </w:tabs>
              <w:jc w:val="center"/>
              <w:rPr>
                <w:rFonts w:eastAsia="Times New Roman"/>
                <w:sz w:val="22"/>
                <w:szCs w:val="22"/>
              </w:rPr>
            </w:pPr>
            <w:r w:rsidRPr="00EE5CF2">
              <w:rPr>
                <w:rFonts w:eastAsia="Times New Roman"/>
                <w:sz w:val="22"/>
                <w:szCs w:val="22"/>
              </w:rPr>
              <w:t>35%</w:t>
            </w:r>
          </w:p>
        </w:tc>
        <w:tc>
          <w:tcPr>
            <w:tcW w:w="1350" w:type="dxa"/>
          </w:tcPr>
          <w:p w:rsidRPr="00EE5CF2" w:rsidR="00EE5CF2" w:rsidP="000E5927" w:rsidRDefault="00EE5CF2" w14:paraId="0487F409" w14:textId="6C1EEBEB">
            <w:pPr>
              <w:widowControl/>
              <w:tabs>
                <w:tab w:val="left" w:pos="360"/>
              </w:tabs>
              <w:jc w:val="center"/>
              <w:rPr>
                <w:rFonts w:eastAsia="Times New Roman"/>
                <w:sz w:val="22"/>
                <w:szCs w:val="22"/>
              </w:rPr>
            </w:pPr>
            <w:r w:rsidRPr="00EE5CF2">
              <w:rPr>
                <w:rFonts w:eastAsia="Times New Roman"/>
                <w:sz w:val="22"/>
                <w:szCs w:val="22"/>
              </w:rPr>
              <w:t>$</w:t>
            </w:r>
            <w:r w:rsidR="00CA003F">
              <w:rPr>
                <w:rFonts w:eastAsia="Times New Roman"/>
                <w:sz w:val="22"/>
                <w:szCs w:val="22"/>
              </w:rPr>
              <w:t>39.89</w:t>
            </w:r>
          </w:p>
        </w:tc>
      </w:tr>
      <w:tr w:rsidRPr="00EE5CF2" w:rsidR="00EE5CF2" w:rsidTr="00EE5CF2" w14:paraId="46C9C89F" w14:textId="77777777">
        <w:tc>
          <w:tcPr>
            <w:tcW w:w="7560" w:type="dxa"/>
            <w:gridSpan w:val="5"/>
          </w:tcPr>
          <w:p w:rsidRPr="00EE5CF2" w:rsidR="00EE5CF2" w:rsidP="00EE5CF2" w:rsidRDefault="00EE5CF2" w14:paraId="7EFFA047" w14:textId="77777777">
            <w:pPr>
              <w:widowControl/>
              <w:tabs>
                <w:tab w:val="left" w:pos="360"/>
              </w:tabs>
              <w:rPr>
                <w:rFonts w:eastAsia="Times New Roman"/>
                <w:b/>
                <w:sz w:val="22"/>
                <w:szCs w:val="22"/>
              </w:rPr>
            </w:pPr>
            <w:r w:rsidRPr="00EE5CF2">
              <w:rPr>
                <w:rFonts w:eastAsia="Times New Roman"/>
                <w:b/>
                <w:sz w:val="22"/>
                <w:szCs w:val="22"/>
              </w:rPr>
              <w:t>Weighted Average ($/hour)</w:t>
            </w:r>
          </w:p>
        </w:tc>
        <w:tc>
          <w:tcPr>
            <w:tcW w:w="1350" w:type="dxa"/>
          </w:tcPr>
          <w:p w:rsidRPr="00EE5CF2" w:rsidR="00EE5CF2" w:rsidP="000E5927" w:rsidRDefault="00EE5CF2" w14:paraId="2FB4D12F" w14:textId="3F4EDA12">
            <w:pPr>
              <w:widowControl/>
              <w:tabs>
                <w:tab w:val="left" w:pos="360"/>
              </w:tabs>
              <w:jc w:val="center"/>
              <w:rPr>
                <w:rFonts w:eastAsia="Times New Roman"/>
                <w:b/>
                <w:sz w:val="22"/>
                <w:szCs w:val="22"/>
              </w:rPr>
            </w:pPr>
            <w:r w:rsidRPr="00EE5CF2">
              <w:rPr>
                <w:rFonts w:eastAsia="Times New Roman"/>
                <w:b/>
                <w:sz w:val="22"/>
                <w:szCs w:val="22"/>
              </w:rPr>
              <w:t>$</w:t>
            </w:r>
            <w:r w:rsidR="00CA003F">
              <w:rPr>
                <w:rFonts w:eastAsia="Times New Roman"/>
                <w:b/>
                <w:sz w:val="22"/>
                <w:szCs w:val="22"/>
              </w:rPr>
              <w:t>91.03</w:t>
            </w:r>
          </w:p>
        </w:tc>
      </w:tr>
    </w:tbl>
    <w:p w:rsidRPr="00EE5CF2" w:rsidR="00EE5CF2" w:rsidP="00EE5CF2" w:rsidRDefault="00EE5CF2" w14:paraId="3003BCD9" w14:textId="4B80C010">
      <w:pPr>
        <w:widowControl/>
        <w:tabs>
          <w:tab w:val="left" w:pos="360"/>
          <w:tab w:val="left" w:pos="720"/>
          <w:tab w:val="left" w:pos="1080"/>
        </w:tabs>
        <w:rPr>
          <w:rFonts w:eastAsia="Times New Roman"/>
          <w:sz w:val="21"/>
          <w:szCs w:val="21"/>
        </w:rPr>
      </w:pPr>
      <w:r w:rsidRPr="00EE5CF2">
        <w:rPr>
          <w:rFonts w:eastAsia="Times New Roman"/>
          <w:sz w:val="21"/>
          <w:szCs w:val="21"/>
        </w:rPr>
        <w:t xml:space="preserve">*A multiplier of 1.6 </w:t>
      </w:r>
      <w:r w:rsidR="00BC55DC">
        <w:rPr>
          <w:rFonts w:eastAsia="Times New Roman"/>
          <w:sz w:val="21"/>
          <w:szCs w:val="21"/>
        </w:rPr>
        <w:t xml:space="preserve">for government employees </w:t>
      </w:r>
      <w:r w:rsidRPr="00EE5CF2">
        <w:rPr>
          <w:rFonts w:eastAsia="Times New Roman"/>
          <w:sz w:val="21"/>
          <w:szCs w:val="21"/>
        </w:rPr>
        <w:t xml:space="preserve">(as implied by BLS news release </w:t>
      </w:r>
      <w:r w:rsidRPr="00FF1359" w:rsidR="00FF1359">
        <w:rPr>
          <w:rFonts w:eastAsia="Times New Roman"/>
          <w:sz w:val="21"/>
          <w:szCs w:val="21"/>
        </w:rPr>
        <w:t xml:space="preserve">USDL-22-1176, June 16, 2022 </w:t>
      </w:r>
      <w:r w:rsidRPr="00EE5CF2">
        <w:rPr>
          <w:rFonts w:eastAsia="Times New Roman"/>
          <w:sz w:val="21"/>
          <w:szCs w:val="21"/>
        </w:rPr>
        <w:t xml:space="preserve">(see </w:t>
      </w:r>
      <w:hyperlink w:history="1" r:id="rId11">
        <w:r w:rsidRPr="00EE5CF2">
          <w:rPr>
            <w:rFonts w:eastAsia="Times New Roman"/>
            <w:color w:val="0000FF"/>
            <w:sz w:val="21"/>
            <w:szCs w:val="21"/>
            <w:u w:val="single"/>
          </w:rPr>
          <w:t>http://www.bls.gov/news.release/ecec.nr0.htm</w:t>
        </w:r>
      </w:hyperlink>
      <w:r w:rsidRPr="00EE5CF2">
        <w:rPr>
          <w:rFonts w:eastAsia="Times New Roman"/>
          <w:sz w:val="21"/>
          <w:szCs w:val="21"/>
        </w:rPr>
        <w:t>)) was added for benefits.</w:t>
      </w:r>
    </w:p>
    <w:p w:rsidRPr="00C02893" w:rsidR="00C02893" w:rsidP="005B363F" w:rsidRDefault="00C02893" w14:paraId="774B4EA6" w14:textId="77777777">
      <w:pPr>
        <w:tabs>
          <w:tab w:val="left" w:pos="-1080"/>
          <w:tab w:val="left" w:pos="-720"/>
          <w:tab w:val="left" w:pos="0"/>
          <w:tab w:val="left" w:pos="360"/>
          <w:tab w:val="left" w:pos="720"/>
          <w:tab w:val="left" w:pos="3600"/>
        </w:tabs>
        <w:rPr>
          <w:rFonts w:eastAsia="Times New Roman"/>
          <w:highlight w:val="yellow"/>
        </w:rPr>
      </w:pPr>
    </w:p>
    <w:p w:rsidRPr="00585BCC" w:rsidR="00C02893" w:rsidP="005B363F" w:rsidRDefault="00C02893" w14:paraId="1F15268D" w14:textId="28E040B3">
      <w:pPr>
        <w:rPr>
          <w:rFonts w:eastAsia="Times New Roman"/>
        </w:rPr>
      </w:pPr>
      <w:r w:rsidRPr="00E969E1">
        <w:rPr>
          <w:rFonts w:eastAsia="Times New Roman"/>
        </w:rPr>
        <w:t>Based on a cost factor of $</w:t>
      </w:r>
      <w:r w:rsidR="000F4DA6">
        <w:rPr>
          <w:rFonts w:eastAsia="Times New Roman"/>
        </w:rPr>
        <w:t>91</w:t>
      </w:r>
      <w:r w:rsidRPr="00E969E1" w:rsidR="00EE5CF2">
        <w:rPr>
          <w:rFonts w:eastAsia="Times New Roman"/>
        </w:rPr>
        <w:t xml:space="preserve"> </w:t>
      </w:r>
      <w:r w:rsidRPr="00E969E1">
        <w:rPr>
          <w:rFonts w:eastAsia="Times New Roman"/>
        </w:rPr>
        <w:t xml:space="preserve">per hour, </w:t>
      </w:r>
      <w:r w:rsidRPr="00E969E1" w:rsidR="00462233">
        <w:t xml:space="preserve">we estimate the total annual cost to Government </w:t>
      </w:r>
      <w:r w:rsidRPr="00E969E1">
        <w:rPr>
          <w:rFonts w:eastAsia="Times New Roman"/>
        </w:rPr>
        <w:t>is $</w:t>
      </w:r>
      <w:r w:rsidR="00A64860">
        <w:rPr>
          <w:rFonts w:eastAsia="Times New Roman"/>
        </w:rPr>
        <w:t>910</w:t>
      </w:r>
      <w:r w:rsidRPr="000F4DA6" w:rsidDel="000F4DA6" w:rsidR="000F4DA6">
        <w:rPr>
          <w:rFonts w:eastAsia="Times New Roman"/>
        </w:rPr>
        <w:t xml:space="preserve"> </w:t>
      </w:r>
      <w:r w:rsidRPr="00E969E1">
        <w:rPr>
          <w:rFonts w:eastAsia="Times New Roman"/>
        </w:rPr>
        <w:t>(</w:t>
      </w:r>
      <w:r w:rsidR="00A64860">
        <w:rPr>
          <w:rFonts w:eastAsia="Times New Roman"/>
        </w:rPr>
        <w:t>10</w:t>
      </w:r>
      <w:r w:rsidRPr="00EE5CF2" w:rsidR="00EE5CF2">
        <w:rPr>
          <w:rFonts w:eastAsia="Times New Roman"/>
        </w:rPr>
        <w:t xml:space="preserve"> </w:t>
      </w:r>
      <w:r w:rsidRPr="00E969E1">
        <w:rPr>
          <w:rFonts w:eastAsia="Times New Roman"/>
        </w:rPr>
        <w:t>hours x hours</w:t>
      </w:r>
      <w:r w:rsidR="00C64AC7">
        <w:rPr>
          <w:rFonts w:eastAsia="Times New Roman"/>
        </w:rPr>
        <w:t xml:space="preserve"> </w:t>
      </w:r>
      <w:r w:rsidRPr="00E969E1">
        <w:rPr>
          <w:rFonts w:eastAsia="Times New Roman"/>
        </w:rPr>
        <w:t>x $</w:t>
      </w:r>
      <w:r w:rsidR="000F4DA6">
        <w:rPr>
          <w:rFonts w:eastAsia="Times New Roman"/>
        </w:rPr>
        <w:t>91</w:t>
      </w:r>
      <w:r w:rsidRPr="00E969E1">
        <w:rPr>
          <w:rFonts w:eastAsia="Times New Roman"/>
        </w:rPr>
        <w:t xml:space="preserve"> = $</w:t>
      </w:r>
      <w:r w:rsidR="00A64860">
        <w:rPr>
          <w:rFonts w:eastAsia="Times New Roman"/>
        </w:rPr>
        <w:t>910</w:t>
      </w:r>
      <w:r w:rsidRPr="00E969E1">
        <w:rPr>
          <w:rFonts w:eastAsia="Times New Roman"/>
        </w:rPr>
        <w:t>).</w:t>
      </w:r>
      <w:r w:rsidRPr="00585BCC">
        <w:rPr>
          <w:rFonts w:eastAsia="Times New Roman"/>
        </w:rPr>
        <w:t xml:space="preserve">  </w:t>
      </w:r>
    </w:p>
    <w:p w:rsidRPr="00585BCC" w:rsidR="00EF63E5" w:rsidP="005B363F" w:rsidRDefault="00EF63E5" w14:paraId="0974A699" w14:textId="77777777">
      <w:pPr>
        <w:tabs>
          <w:tab w:val="left" w:pos="360"/>
          <w:tab w:val="left" w:pos="720"/>
          <w:tab w:val="left" w:pos="1080"/>
        </w:tabs>
      </w:pPr>
    </w:p>
    <w:p w:rsidR="006C6064" w:rsidP="005B363F" w:rsidRDefault="006C6064" w14:paraId="5B27F7F9" w14:textId="77777777">
      <w:pPr>
        <w:tabs>
          <w:tab w:val="left" w:pos="-1080"/>
          <w:tab w:val="left" w:pos="-720"/>
          <w:tab w:val="left" w:pos="360"/>
          <w:tab w:val="left" w:pos="810"/>
        </w:tabs>
      </w:pPr>
      <w:r w:rsidRPr="00600EEB">
        <w:rPr>
          <w:b/>
          <w:i/>
        </w:rPr>
        <w:t>15.</w:t>
      </w:r>
      <w:r w:rsidRPr="00600EEB">
        <w:rPr>
          <w:b/>
          <w:i/>
        </w:rPr>
        <w:tab/>
        <w:t>Explain the reasons for any program changes or adjustments.</w:t>
      </w:r>
      <w:r>
        <w:t xml:space="preserve">  </w:t>
      </w:r>
    </w:p>
    <w:p w:rsidR="00EF63E5" w:rsidP="005B363F" w:rsidRDefault="00EF63E5" w14:paraId="2760F4BC" w14:textId="77777777">
      <w:pPr>
        <w:tabs>
          <w:tab w:val="left" w:pos="360"/>
          <w:tab w:val="left" w:pos="720"/>
          <w:tab w:val="left" w:pos="1080"/>
        </w:tabs>
      </w:pPr>
    </w:p>
    <w:p w:rsidRPr="00874DFE" w:rsidR="00874DFE" w:rsidP="00CB1C03" w:rsidRDefault="00874DFE" w14:paraId="3E95EA85" w14:textId="27A930C0">
      <w:pPr>
        <w:tabs>
          <w:tab w:val="left" w:pos="360"/>
        </w:tabs>
        <w:rPr>
          <w:rFonts w:eastAsia="Times New Roman"/>
        </w:rPr>
      </w:pPr>
      <w:r>
        <w:rPr>
          <w:rFonts w:eastAsia="Times New Roman"/>
        </w:rPr>
        <w:tab/>
      </w:r>
      <w:r w:rsidRPr="00874DFE">
        <w:rPr>
          <w:rFonts w:eastAsia="Times New Roman"/>
        </w:rPr>
        <w:t>In this submission, we are requesting</w:t>
      </w:r>
      <w:r w:rsidR="00AD27A8">
        <w:rPr>
          <w:rFonts w:eastAsia="Times New Roman"/>
        </w:rPr>
        <w:t xml:space="preserve"> </w:t>
      </w:r>
      <w:r w:rsidR="002C3C40">
        <w:rPr>
          <w:rFonts w:eastAsia="Times New Roman"/>
        </w:rPr>
        <w:t xml:space="preserve">a program increase of </w:t>
      </w:r>
      <w:r w:rsidR="00C34EC0">
        <w:rPr>
          <w:rFonts w:eastAsia="Times New Roman"/>
        </w:rPr>
        <w:t>+10-hour</w:t>
      </w:r>
      <w:r w:rsidR="00AD27A8">
        <w:rPr>
          <w:rFonts w:eastAsia="Times New Roman"/>
        </w:rPr>
        <w:t xml:space="preserve"> burdens.</w:t>
      </w:r>
      <w:r w:rsidR="002C3C40">
        <w:rPr>
          <w:rFonts w:eastAsia="Times New Roman"/>
        </w:rPr>
        <w:t xml:space="preserve">  This change is due to Proposed Rule 1014-AA52</w:t>
      </w:r>
      <w:r w:rsidR="00CB1C03">
        <w:rPr>
          <w:rFonts w:eastAsia="Times New Roman"/>
        </w:rPr>
        <w:t>,</w:t>
      </w:r>
      <w:r w:rsidR="002C3C40">
        <w:rPr>
          <w:rFonts w:eastAsia="Times New Roman"/>
        </w:rPr>
        <w:t xml:space="preserve"> </w:t>
      </w:r>
      <w:r w:rsidRPr="00C34EC0" w:rsidR="00CB1C03">
        <w:rPr>
          <w:rFonts w:eastAsia="Times New Roman"/>
          <w:i/>
          <w:iCs/>
        </w:rPr>
        <w:t>Oil and Gas and Sulfur Operations in the Outer Continental Shelf-Blowout</w:t>
      </w:r>
      <w:r w:rsidR="00DF20BF">
        <w:rPr>
          <w:rFonts w:eastAsia="Times New Roman"/>
          <w:i/>
          <w:iCs/>
        </w:rPr>
        <w:t xml:space="preserve"> </w:t>
      </w:r>
      <w:r w:rsidRPr="00C34EC0" w:rsidR="00CB1C03">
        <w:rPr>
          <w:rFonts w:eastAsia="Times New Roman"/>
          <w:i/>
          <w:iCs/>
        </w:rPr>
        <w:t>Preventer Systems and Well Control Revisions</w:t>
      </w:r>
      <w:r w:rsidR="002C3C40">
        <w:rPr>
          <w:rFonts w:eastAsia="Times New Roman"/>
        </w:rPr>
        <w:t>.  The proposed rule would revise 250.732(b) to include third-party accreditation and qualifications for BSEE review when requested.</w:t>
      </w:r>
      <w:r w:rsidR="0000261A">
        <w:rPr>
          <w:rFonts w:eastAsia="Times New Roman"/>
        </w:rPr>
        <w:t xml:space="preserve"> </w:t>
      </w:r>
      <w:r w:rsidR="00DF20BF">
        <w:rPr>
          <w:rFonts w:eastAsia="Times New Roman"/>
        </w:rPr>
        <w:t xml:space="preserve"> Once the rulemaking goes final and effective, BSEE will request to transfer the 10 hours to 1014-0028 and then request a discontinuation.</w:t>
      </w:r>
    </w:p>
    <w:p w:rsidRPr="00874DFE" w:rsidR="00874DFE" w:rsidP="00874DFE" w:rsidRDefault="00874DFE" w14:paraId="1852D6F9" w14:textId="68DB6D74">
      <w:pPr>
        <w:widowControl/>
        <w:tabs>
          <w:tab w:val="left" w:pos="-1080"/>
          <w:tab w:val="left" w:pos="-720"/>
          <w:tab w:val="left" w:pos="360"/>
          <w:tab w:val="left" w:pos="720"/>
        </w:tabs>
        <w:rPr>
          <w:rFonts w:eastAsia="Times New Roman"/>
        </w:rPr>
      </w:pPr>
    </w:p>
    <w:p w:rsidRPr="00874DFE" w:rsidR="00874DFE" w:rsidP="00874DFE" w:rsidRDefault="00874DFE" w14:paraId="3D0DBC17" w14:textId="5C433EF6">
      <w:pPr>
        <w:widowControl/>
        <w:tabs>
          <w:tab w:val="left" w:pos="-1080"/>
          <w:tab w:val="left" w:pos="-720"/>
          <w:tab w:val="left" w:pos="360"/>
          <w:tab w:val="left" w:pos="720"/>
        </w:tabs>
        <w:rPr>
          <w:rFonts w:eastAsia="Times New Roman"/>
        </w:rPr>
      </w:pPr>
      <w:r w:rsidRPr="00874DFE">
        <w:rPr>
          <w:rFonts w:eastAsia="Times New Roman"/>
        </w:rPr>
        <w:tab/>
        <w:t>In this submission, we are</w:t>
      </w:r>
      <w:r w:rsidR="002D3941">
        <w:rPr>
          <w:rFonts w:eastAsia="Times New Roman"/>
        </w:rPr>
        <w:t xml:space="preserve"> not requesting any additional non-hour cost burdens.  </w:t>
      </w:r>
    </w:p>
    <w:p w:rsidR="00874DFE" w:rsidP="005B363F" w:rsidRDefault="00874DFE" w14:paraId="601F3F5F" w14:textId="77777777">
      <w:pPr>
        <w:tabs>
          <w:tab w:val="left" w:pos="360"/>
          <w:tab w:val="left" w:pos="720"/>
          <w:tab w:val="left" w:pos="1080"/>
        </w:tabs>
      </w:pPr>
    </w:p>
    <w:p w:rsidR="006C6064" w:rsidP="005B363F" w:rsidRDefault="006C6064" w14:paraId="37B4B316" w14:textId="77777777">
      <w:pPr>
        <w:tabs>
          <w:tab w:val="left" w:pos="360"/>
          <w:tab w:val="left" w:pos="720"/>
          <w:tab w:val="left" w:pos="1080"/>
        </w:tabs>
        <w:rPr>
          <w:b/>
        </w:rPr>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466E9">
        <w:rPr>
          <w:b/>
          <w:i/>
        </w:rPr>
        <w:t>.</w:t>
      </w:r>
      <w:r w:rsidR="00EF63E5">
        <w:rPr>
          <w:b/>
        </w:rPr>
        <w:tab/>
      </w:r>
    </w:p>
    <w:p w:rsidR="007329C7" w:rsidP="005B363F" w:rsidRDefault="007329C7" w14:paraId="2A471EE5" w14:textId="77777777"/>
    <w:p w:rsidRPr="00080731" w:rsidR="00080731" w:rsidP="00080731" w:rsidRDefault="00080731" w14:paraId="0CE8CB55" w14:textId="77777777">
      <w:pPr>
        <w:widowControl/>
        <w:tabs>
          <w:tab w:val="left" w:pos="-1080"/>
          <w:tab w:val="left" w:pos="-720"/>
          <w:tab w:val="left" w:pos="360"/>
          <w:tab w:val="left" w:pos="810"/>
        </w:tabs>
        <w:rPr>
          <w:rFonts w:eastAsia="Times New Roman"/>
        </w:rPr>
      </w:pPr>
      <w:r w:rsidRPr="00080731">
        <w:rPr>
          <w:rFonts w:eastAsia="Times New Roman"/>
        </w:rPr>
        <w:t>BSEE will not tabulate or publish the data.</w:t>
      </w:r>
    </w:p>
    <w:p w:rsidR="00EF63E5" w:rsidP="005B363F" w:rsidRDefault="00EF63E5" w14:paraId="10921174" w14:textId="77777777">
      <w:pPr>
        <w:tabs>
          <w:tab w:val="left" w:pos="360"/>
          <w:tab w:val="left" w:pos="720"/>
          <w:tab w:val="left" w:pos="1080"/>
        </w:tabs>
      </w:pPr>
    </w:p>
    <w:p w:rsidR="006C6064" w:rsidP="005B363F" w:rsidRDefault="006C6064" w14:paraId="4EB43E0C" w14:textId="77777777">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6C6064" w:rsidP="005B363F" w:rsidRDefault="006C6064" w14:paraId="73BD20F5" w14:textId="77777777">
      <w:pPr>
        <w:tabs>
          <w:tab w:val="left" w:pos="-1080"/>
          <w:tab w:val="left" w:pos="-720"/>
          <w:tab w:val="left" w:pos="360"/>
          <w:tab w:val="left" w:pos="810"/>
        </w:tabs>
      </w:pPr>
    </w:p>
    <w:p w:rsidR="00080731" w:rsidP="005B363F" w:rsidRDefault="00080731" w14:paraId="219BCD6E" w14:textId="77777777">
      <w:pPr>
        <w:tabs>
          <w:tab w:val="left" w:pos="-1080"/>
          <w:tab w:val="left" w:pos="-720"/>
          <w:tab w:val="left" w:pos="360"/>
          <w:tab w:val="left" w:pos="810"/>
        </w:tabs>
      </w:pPr>
      <w:r w:rsidRPr="00080731">
        <w:t xml:space="preserve">BSEE will display the OMB control number and approval expiration date.  </w:t>
      </w:r>
    </w:p>
    <w:p w:rsidR="00207F0D" w:rsidP="005B363F" w:rsidRDefault="00207F0D" w14:paraId="3AC8DC51" w14:textId="77777777">
      <w:pPr>
        <w:tabs>
          <w:tab w:val="left" w:pos="-1080"/>
          <w:tab w:val="left" w:pos="-720"/>
          <w:tab w:val="left" w:pos="360"/>
          <w:tab w:val="left" w:pos="810"/>
        </w:tabs>
      </w:pPr>
    </w:p>
    <w:p w:rsidR="006C6064" w:rsidP="005B363F" w:rsidRDefault="006C6064" w14:paraId="46B8F22E" w14:textId="77777777">
      <w:pPr>
        <w:tabs>
          <w:tab w:val="left" w:pos="-1080"/>
          <w:tab w:val="left" w:pos="-720"/>
          <w:tab w:val="left" w:pos="360"/>
          <w:tab w:val="left" w:pos="810"/>
        </w:tabs>
      </w:pPr>
      <w:r w:rsidRPr="00600EEB">
        <w:rPr>
          <w:b/>
          <w:i/>
        </w:rPr>
        <w:t>18.</w:t>
      </w:r>
      <w:r w:rsidRPr="00600EEB">
        <w:rPr>
          <w:b/>
          <w:i/>
        </w:rPr>
        <w:tab/>
        <w:t xml:space="preserve">Explain each exception to the </w:t>
      </w:r>
      <w:r w:rsidRPr="00207F0D" w:rsidR="00A466E9">
        <w:rPr>
          <w:b/>
          <w:i/>
        </w:rPr>
        <w:t xml:space="preserve">topics of the certification </w:t>
      </w:r>
      <w:r w:rsidRPr="00207F0D">
        <w:rPr>
          <w:b/>
          <w:i/>
        </w:rPr>
        <w:t>statement</w:t>
      </w:r>
      <w:r w:rsidRPr="00207F0D" w:rsidR="00A466E9">
        <w:rPr>
          <w:b/>
          <w:i/>
        </w:rPr>
        <w:t xml:space="preserve"> identified in, “Certification for Paperwork Reduction Act Submission.”</w:t>
      </w:r>
      <w:r>
        <w:t xml:space="preserve">  </w:t>
      </w:r>
    </w:p>
    <w:p w:rsidR="00207F0D" w:rsidP="005B363F" w:rsidRDefault="00207F0D" w14:paraId="402FB7FC" w14:textId="77777777">
      <w:pPr>
        <w:tabs>
          <w:tab w:val="left" w:pos="-1080"/>
          <w:tab w:val="left" w:pos="-720"/>
          <w:tab w:val="left" w:pos="360"/>
          <w:tab w:val="left" w:pos="810"/>
        </w:tabs>
      </w:pPr>
    </w:p>
    <w:p w:rsidR="006C6064" w:rsidP="005B363F" w:rsidRDefault="005C7ADA" w14:paraId="01B22042" w14:textId="5B777DBE">
      <w:pPr>
        <w:tabs>
          <w:tab w:val="left" w:pos="-1080"/>
          <w:tab w:val="left" w:pos="-720"/>
          <w:tab w:val="left" w:pos="360"/>
          <w:tab w:val="left" w:pos="810"/>
        </w:tabs>
      </w:pPr>
      <w:r>
        <w:t>W</w:t>
      </w:r>
      <w:r w:rsidRPr="00207F0D" w:rsidR="00207F0D">
        <w:t>e are not making any exceptions to the “Certification for Paperwork Reduction Act Submissions.”</w:t>
      </w:r>
    </w:p>
    <w:sectPr w:rsidR="006C6064" w:rsidSect="00D06888">
      <w:footerReference w:type="even" r:id="rId12"/>
      <w:footerReference w:type="default" r:id="rId13"/>
      <w:endnotePr>
        <w:numFmt w:val="decimal"/>
      </w:endnotePr>
      <w:pgSz w:w="12240" w:h="15840"/>
      <w:pgMar w:top="1440" w:right="1440" w:bottom="1440" w:left="144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7D53" w14:textId="77777777" w:rsidR="0061002F" w:rsidRDefault="0061002F">
      <w:r>
        <w:separator/>
      </w:r>
    </w:p>
    <w:p w14:paraId="4CA0A5CE" w14:textId="77777777" w:rsidR="0061002F" w:rsidRDefault="0061002F"/>
  </w:endnote>
  <w:endnote w:type="continuationSeparator" w:id="0">
    <w:p w14:paraId="553FCF8C" w14:textId="77777777" w:rsidR="0061002F" w:rsidRDefault="0061002F">
      <w:r>
        <w:continuationSeparator/>
      </w:r>
    </w:p>
    <w:p w14:paraId="0C0A06E1" w14:textId="77777777" w:rsidR="0061002F" w:rsidRDefault="0061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1A73" w14:textId="77777777" w:rsidR="00DE3605" w:rsidRDefault="00DE3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5B266" w14:textId="77777777" w:rsidR="00DE3605" w:rsidRDefault="00DE3605">
    <w:pPr>
      <w:pStyle w:val="Footer"/>
    </w:pPr>
  </w:p>
  <w:p w14:paraId="1959E061" w14:textId="77777777" w:rsidR="00DE3605" w:rsidRDefault="00DE36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E91E" w14:textId="77777777" w:rsidR="00DE3605" w:rsidRDefault="00DE3605">
    <w:pPr>
      <w:spacing w:line="240" w:lineRule="exact"/>
    </w:pPr>
  </w:p>
  <w:p w14:paraId="618802AE" w14:textId="194ABABA" w:rsidR="00DE3605" w:rsidRDefault="00DE3605">
    <w:pPr>
      <w:framePr w:wrap="around" w:vAnchor="text" w:hAnchor="margin" w:xAlign="center" w:y="1"/>
      <w:jc w:val="center"/>
    </w:pPr>
    <w:r>
      <w:fldChar w:fldCharType="begin"/>
    </w:r>
    <w:r>
      <w:instrText xml:space="preserve">PAGE </w:instrText>
    </w:r>
    <w:r>
      <w:fldChar w:fldCharType="separate"/>
    </w:r>
    <w:r w:rsidR="00BC55DC">
      <w:rPr>
        <w:noProof/>
      </w:rPr>
      <w:t>2</w:t>
    </w:r>
    <w:r>
      <w:fldChar w:fldCharType="end"/>
    </w:r>
  </w:p>
  <w:p w14:paraId="39DBC4CC" w14:textId="77777777" w:rsidR="00DE3605" w:rsidRDefault="00DE3605"/>
  <w:p w14:paraId="3F199C0D" w14:textId="77777777" w:rsidR="00DE3605" w:rsidRDefault="00DE36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C34D" w14:textId="77777777" w:rsidR="0061002F" w:rsidRDefault="0061002F">
      <w:r>
        <w:separator/>
      </w:r>
    </w:p>
    <w:p w14:paraId="7F073C02" w14:textId="77777777" w:rsidR="0061002F" w:rsidRDefault="0061002F"/>
  </w:footnote>
  <w:footnote w:type="continuationSeparator" w:id="0">
    <w:p w14:paraId="40ABCFC2" w14:textId="77777777" w:rsidR="0061002F" w:rsidRDefault="0061002F">
      <w:r>
        <w:continuationSeparator/>
      </w:r>
    </w:p>
    <w:p w14:paraId="1A4E0FA8" w14:textId="77777777" w:rsidR="0061002F" w:rsidRDefault="00610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8BD72BE"/>
    <w:multiLevelType w:val="hybridMultilevel"/>
    <w:tmpl w:val="A1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7E0"/>
    <w:multiLevelType w:val="hybridMultilevel"/>
    <w:tmpl w:val="C6543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62B9A"/>
    <w:multiLevelType w:val="hybridMultilevel"/>
    <w:tmpl w:val="3BA8E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EF1BA3"/>
    <w:multiLevelType w:val="hybridMultilevel"/>
    <w:tmpl w:val="B9244086"/>
    <w:lvl w:ilvl="0" w:tplc="DD3C0336">
      <w:start w:val="1"/>
      <w:numFmt w:val="decimal"/>
      <w:pStyle w:val="Style2"/>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1024611"/>
    <w:multiLevelType w:val="hybridMultilevel"/>
    <w:tmpl w:val="6B44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C1DE7"/>
    <w:multiLevelType w:val="hybridMultilevel"/>
    <w:tmpl w:val="682242E4"/>
    <w:lvl w:ilvl="0" w:tplc="AA20100E">
      <w:start w:val="1"/>
      <w:numFmt w:val="upp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2"/>
      <w:lvl w:ilvl="0">
        <w:start w:val="2"/>
        <w:numFmt w:val="decimal"/>
        <w:pStyle w:val="QuickA"/>
        <w:lvlText w:val="%1."/>
        <w:lvlJc w:val="left"/>
      </w:lvl>
    </w:lvlOverride>
  </w:num>
  <w:num w:numId="2">
    <w:abstractNumId w:val="1"/>
  </w:num>
  <w:num w:numId="3">
    <w:abstractNumId w:val="4"/>
  </w:num>
  <w:num w:numId="4">
    <w:abstractNumId w:val="6"/>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bQwMjI1NTEzNjNQ0lEKTi0uzszPAykwNKgFAG1hdDktAAAA"/>
  </w:docVars>
  <w:rsids>
    <w:rsidRoot w:val="009E45C1"/>
    <w:rsid w:val="0000051A"/>
    <w:rsid w:val="00000BAA"/>
    <w:rsid w:val="0000261A"/>
    <w:rsid w:val="000033CD"/>
    <w:rsid w:val="00003ABA"/>
    <w:rsid w:val="00006458"/>
    <w:rsid w:val="00006AD3"/>
    <w:rsid w:val="00007FF4"/>
    <w:rsid w:val="000100CF"/>
    <w:rsid w:val="00013D3E"/>
    <w:rsid w:val="000200AB"/>
    <w:rsid w:val="0002069F"/>
    <w:rsid w:val="000217E9"/>
    <w:rsid w:val="00027D6E"/>
    <w:rsid w:val="00031E08"/>
    <w:rsid w:val="000327A2"/>
    <w:rsid w:val="00032ECC"/>
    <w:rsid w:val="000334F8"/>
    <w:rsid w:val="0003377B"/>
    <w:rsid w:val="000356A8"/>
    <w:rsid w:val="00040579"/>
    <w:rsid w:val="000406D3"/>
    <w:rsid w:val="000433AC"/>
    <w:rsid w:val="000439D7"/>
    <w:rsid w:val="000443EB"/>
    <w:rsid w:val="000454E9"/>
    <w:rsid w:val="00046C2C"/>
    <w:rsid w:val="000479A7"/>
    <w:rsid w:val="000560D2"/>
    <w:rsid w:val="00063F7A"/>
    <w:rsid w:val="00072B04"/>
    <w:rsid w:val="00076A58"/>
    <w:rsid w:val="00076C47"/>
    <w:rsid w:val="00076EF3"/>
    <w:rsid w:val="00080480"/>
    <w:rsid w:val="00080731"/>
    <w:rsid w:val="00082C69"/>
    <w:rsid w:val="000830C5"/>
    <w:rsid w:val="00091EBE"/>
    <w:rsid w:val="0009418A"/>
    <w:rsid w:val="0009451B"/>
    <w:rsid w:val="000947CA"/>
    <w:rsid w:val="00095A5C"/>
    <w:rsid w:val="000A3E4C"/>
    <w:rsid w:val="000A4276"/>
    <w:rsid w:val="000A4F70"/>
    <w:rsid w:val="000A7B7E"/>
    <w:rsid w:val="000B2B76"/>
    <w:rsid w:val="000B4750"/>
    <w:rsid w:val="000B52D5"/>
    <w:rsid w:val="000B7805"/>
    <w:rsid w:val="000C0365"/>
    <w:rsid w:val="000C730A"/>
    <w:rsid w:val="000D2442"/>
    <w:rsid w:val="000D550F"/>
    <w:rsid w:val="000D602A"/>
    <w:rsid w:val="000D6075"/>
    <w:rsid w:val="000E13D8"/>
    <w:rsid w:val="000E2267"/>
    <w:rsid w:val="000E4FD2"/>
    <w:rsid w:val="000E5407"/>
    <w:rsid w:val="000E5494"/>
    <w:rsid w:val="000E5927"/>
    <w:rsid w:val="000E6D76"/>
    <w:rsid w:val="000E6F4E"/>
    <w:rsid w:val="000E73AF"/>
    <w:rsid w:val="000F1746"/>
    <w:rsid w:val="000F1FDA"/>
    <w:rsid w:val="000F3616"/>
    <w:rsid w:val="000F3B3D"/>
    <w:rsid w:val="000F4DA6"/>
    <w:rsid w:val="000F6410"/>
    <w:rsid w:val="000F6E12"/>
    <w:rsid w:val="000F7819"/>
    <w:rsid w:val="000F7CB2"/>
    <w:rsid w:val="000F7FC3"/>
    <w:rsid w:val="001020FD"/>
    <w:rsid w:val="0010278D"/>
    <w:rsid w:val="001055EF"/>
    <w:rsid w:val="00105EB2"/>
    <w:rsid w:val="001228E1"/>
    <w:rsid w:val="00123831"/>
    <w:rsid w:val="0012586E"/>
    <w:rsid w:val="0012587A"/>
    <w:rsid w:val="0013028B"/>
    <w:rsid w:val="001316C0"/>
    <w:rsid w:val="00132630"/>
    <w:rsid w:val="001330B1"/>
    <w:rsid w:val="00133DC7"/>
    <w:rsid w:val="001343BE"/>
    <w:rsid w:val="00141E5D"/>
    <w:rsid w:val="0014481B"/>
    <w:rsid w:val="0015122F"/>
    <w:rsid w:val="0015225E"/>
    <w:rsid w:val="00152B3F"/>
    <w:rsid w:val="00153C77"/>
    <w:rsid w:val="00153E8B"/>
    <w:rsid w:val="00155E1F"/>
    <w:rsid w:val="00156EA2"/>
    <w:rsid w:val="00161E65"/>
    <w:rsid w:val="00166091"/>
    <w:rsid w:val="0016783B"/>
    <w:rsid w:val="00167BDA"/>
    <w:rsid w:val="00172AE4"/>
    <w:rsid w:val="001759AC"/>
    <w:rsid w:val="00177688"/>
    <w:rsid w:val="0018164B"/>
    <w:rsid w:val="00183F8B"/>
    <w:rsid w:val="001853B9"/>
    <w:rsid w:val="0018637C"/>
    <w:rsid w:val="00192A40"/>
    <w:rsid w:val="0019305A"/>
    <w:rsid w:val="00195F4C"/>
    <w:rsid w:val="00196D65"/>
    <w:rsid w:val="001A0604"/>
    <w:rsid w:val="001A219C"/>
    <w:rsid w:val="001A2242"/>
    <w:rsid w:val="001A2B41"/>
    <w:rsid w:val="001A342F"/>
    <w:rsid w:val="001A38BA"/>
    <w:rsid w:val="001A5735"/>
    <w:rsid w:val="001A60BC"/>
    <w:rsid w:val="001A7907"/>
    <w:rsid w:val="001B036C"/>
    <w:rsid w:val="001B2094"/>
    <w:rsid w:val="001B25F9"/>
    <w:rsid w:val="001B27FC"/>
    <w:rsid w:val="001B4E3E"/>
    <w:rsid w:val="001B6123"/>
    <w:rsid w:val="001B7D9D"/>
    <w:rsid w:val="001C0D65"/>
    <w:rsid w:val="001C0F8F"/>
    <w:rsid w:val="001C18AE"/>
    <w:rsid w:val="001C1E09"/>
    <w:rsid w:val="001D090D"/>
    <w:rsid w:val="001D4175"/>
    <w:rsid w:val="001D739F"/>
    <w:rsid w:val="001E1262"/>
    <w:rsid w:val="001E1439"/>
    <w:rsid w:val="001E2859"/>
    <w:rsid w:val="001E342C"/>
    <w:rsid w:val="001F161F"/>
    <w:rsid w:val="001F1ADD"/>
    <w:rsid w:val="001F1E48"/>
    <w:rsid w:val="001F5C43"/>
    <w:rsid w:val="001F71BD"/>
    <w:rsid w:val="002001B7"/>
    <w:rsid w:val="00201CD7"/>
    <w:rsid w:val="00202F24"/>
    <w:rsid w:val="00205754"/>
    <w:rsid w:val="00205D1E"/>
    <w:rsid w:val="00206593"/>
    <w:rsid w:val="00207F0D"/>
    <w:rsid w:val="0021007C"/>
    <w:rsid w:val="00210095"/>
    <w:rsid w:val="00210C57"/>
    <w:rsid w:val="00210D28"/>
    <w:rsid w:val="002150BE"/>
    <w:rsid w:val="00215183"/>
    <w:rsid w:val="0021621F"/>
    <w:rsid w:val="00220FFD"/>
    <w:rsid w:val="00221316"/>
    <w:rsid w:val="0022222E"/>
    <w:rsid w:val="00222F68"/>
    <w:rsid w:val="002231AB"/>
    <w:rsid w:val="00225B57"/>
    <w:rsid w:val="00226704"/>
    <w:rsid w:val="00226C5B"/>
    <w:rsid w:val="002277DB"/>
    <w:rsid w:val="00232527"/>
    <w:rsid w:val="00234982"/>
    <w:rsid w:val="00235587"/>
    <w:rsid w:val="00235E24"/>
    <w:rsid w:val="0023757B"/>
    <w:rsid w:val="002402C9"/>
    <w:rsid w:val="00244645"/>
    <w:rsid w:val="00245563"/>
    <w:rsid w:val="00252AF5"/>
    <w:rsid w:val="00252B5A"/>
    <w:rsid w:val="0025408D"/>
    <w:rsid w:val="00254EEA"/>
    <w:rsid w:val="00256176"/>
    <w:rsid w:val="00260D17"/>
    <w:rsid w:val="00260D61"/>
    <w:rsid w:val="00262215"/>
    <w:rsid w:val="00262571"/>
    <w:rsid w:val="0026489F"/>
    <w:rsid w:val="00265326"/>
    <w:rsid w:val="00265D1E"/>
    <w:rsid w:val="00266918"/>
    <w:rsid w:val="00266E27"/>
    <w:rsid w:val="00272F04"/>
    <w:rsid w:val="002736AE"/>
    <w:rsid w:val="00273DE0"/>
    <w:rsid w:val="0027486F"/>
    <w:rsid w:val="002767D6"/>
    <w:rsid w:val="00281007"/>
    <w:rsid w:val="00282488"/>
    <w:rsid w:val="00282797"/>
    <w:rsid w:val="002857CF"/>
    <w:rsid w:val="0028690A"/>
    <w:rsid w:val="00287895"/>
    <w:rsid w:val="002907B1"/>
    <w:rsid w:val="00290B7F"/>
    <w:rsid w:val="00291054"/>
    <w:rsid w:val="002920FF"/>
    <w:rsid w:val="002932EF"/>
    <w:rsid w:val="00296BD9"/>
    <w:rsid w:val="00297BAA"/>
    <w:rsid w:val="002A08DA"/>
    <w:rsid w:val="002A569B"/>
    <w:rsid w:val="002A569D"/>
    <w:rsid w:val="002A66D4"/>
    <w:rsid w:val="002A6858"/>
    <w:rsid w:val="002B2E9F"/>
    <w:rsid w:val="002B41E8"/>
    <w:rsid w:val="002B6284"/>
    <w:rsid w:val="002B64BF"/>
    <w:rsid w:val="002B7D21"/>
    <w:rsid w:val="002C162A"/>
    <w:rsid w:val="002C1E0B"/>
    <w:rsid w:val="002C3251"/>
    <w:rsid w:val="002C3C40"/>
    <w:rsid w:val="002C5238"/>
    <w:rsid w:val="002C7524"/>
    <w:rsid w:val="002C7556"/>
    <w:rsid w:val="002D1E4A"/>
    <w:rsid w:val="002D3941"/>
    <w:rsid w:val="002D3C6F"/>
    <w:rsid w:val="002D7CF7"/>
    <w:rsid w:val="002E1605"/>
    <w:rsid w:val="002E216A"/>
    <w:rsid w:val="002E57D3"/>
    <w:rsid w:val="002F0CEF"/>
    <w:rsid w:val="002F68DE"/>
    <w:rsid w:val="00301746"/>
    <w:rsid w:val="003032A3"/>
    <w:rsid w:val="00305378"/>
    <w:rsid w:val="00307CCC"/>
    <w:rsid w:val="00312046"/>
    <w:rsid w:val="00312406"/>
    <w:rsid w:val="00314503"/>
    <w:rsid w:val="00315098"/>
    <w:rsid w:val="00315464"/>
    <w:rsid w:val="003211DE"/>
    <w:rsid w:val="0032235C"/>
    <w:rsid w:val="003240E2"/>
    <w:rsid w:val="00325ABD"/>
    <w:rsid w:val="0033480B"/>
    <w:rsid w:val="00335DB5"/>
    <w:rsid w:val="00336DAA"/>
    <w:rsid w:val="00337032"/>
    <w:rsid w:val="0034012B"/>
    <w:rsid w:val="00340238"/>
    <w:rsid w:val="003426AF"/>
    <w:rsid w:val="0034497B"/>
    <w:rsid w:val="00347EB8"/>
    <w:rsid w:val="0035093E"/>
    <w:rsid w:val="00354DA7"/>
    <w:rsid w:val="00360026"/>
    <w:rsid w:val="003623E9"/>
    <w:rsid w:val="00362E2F"/>
    <w:rsid w:val="00372128"/>
    <w:rsid w:val="00372FB8"/>
    <w:rsid w:val="00374E29"/>
    <w:rsid w:val="003755E3"/>
    <w:rsid w:val="003759E5"/>
    <w:rsid w:val="00375AA2"/>
    <w:rsid w:val="00380854"/>
    <w:rsid w:val="00381BC5"/>
    <w:rsid w:val="0038372A"/>
    <w:rsid w:val="00383AC0"/>
    <w:rsid w:val="00392351"/>
    <w:rsid w:val="003A225E"/>
    <w:rsid w:val="003A453D"/>
    <w:rsid w:val="003A45E2"/>
    <w:rsid w:val="003A4C59"/>
    <w:rsid w:val="003A628C"/>
    <w:rsid w:val="003A665E"/>
    <w:rsid w:val="003A7E7E"/>
    <w:rsid w:val="003B14C0"/>
    <w:rsid w:val="003B35E6"/>
    <w:rsid w:val="003B3908"/>
    <w:rsid w:val="003B3FB3"/>
    <w:rsid w:val="003B5CC2"/>
    <w:rsid w:val="003B6888"/>
    <w:rsid w:val="003C09E8"/>
    <w:rsid w:val="003C120C"/>
    <w:rsid w:val="003C376A"/>
    <w:rsid w:val="003C3B15"/>
    <w:rsid w:val="003C550D"/>
    <w:rsid w:val="003D6CE3"/>
    <w:rsid w:val="003D6EA5"/>
    <w:rsid w:val="003D717B"/>
    <w:rsid w:val="003E5092"/>
    <w:rsid w:val="003E573E"/>
    <w:rsid w:val="003F25DF"/>
    <w:rsid w:val="003F2F50"/>
    <w:rsid w:val="003F4DAF"/>
    <w:rsid w:val="003F5252"/>
    <w:rsid w:val="00402AB0"/>
    <w:rsid w:val="00403165"/>
    <w:rsid w:val="004072BA"/>
    <w:rsid w:val="0041259F"/>
    <w:rsid w:val="004210A5"/>
    <w:rsid w:val="004275BD"/>
    <w:rsid w:val="0043116C"/>
    <w:rsid w:val="00436A01"/>
    <w:rsid w:val="004537EA"/>
    <w:rsid w:val="00453C3C"/>
    <w:rsid w:val="0045427B"/>
    <w:rsid w:val="00455E27"/>
    <w:rsid w:val="004612E8"/>
    <w:rsid w:val="00462233"/>
    <w:rsid w:val="00466591"/>
    <w:rsid w:val="004666BF"/>
    <w:rsid w:val="004670DA"/>
    <w:rsid w:val="0047045A"/>
    <w:rsid w:val="0047096E"/>
    <w:rsid w:val="00477268"/>
    <w:rsid w:val="00484FFF"/>
    <w:rsid w:val="00485348"/>
    <w:rsid w:val="004858EE"/>
    <w:rsid w:val="00485C8A"/>
    <w:rsid w:val="0048713F"/>
    <w:rsid w:val="00487550"/>
    <w:rsid w:val="00490971"/>
    <w:rsid w:val="00490CE5"/>
    <w:rsid w:val="00492373"/>
    <w:rsid w:val="0049298C"/>
    <w:rsid w:val="00493022"/>
    <w:rsid w:val="00493EEF"/>
    <w:rsid w:val="00495222"/>
    <w:rsid w:val="00495B6D"/>
    <w:rsid w:val="0049721D"/>
    <w:rsid w:val="004A00D9"/>
    <w:rsid w:val="004A31BC"/>
    <w:rsid w:val="004A6780"/>
    <w:rsid w:val="004A6984"/>
    <w:rsid w:val="004A7FB8"/>
    <w:rsid w:val="004B00B7"/>
    <w:rsid w:val="004B2DFA"/>
    <w:rsid w:val="004B7C7D"/>
    <w:rsid w:val="004B7D01"/>
    <w:rsid w:val="004C231A"/>
    <w:rsid w:val="004C39A6"/>
    <w:rsid w:val="004C4BDD"/>
    <w:rsid w:val="004C567E"/>
    <w:rsid w:val="004D1785"/>
    <w:rsid w:val="004E5C75"/>
    <w:rsid w:val="004F0186"/>
    <w:rsid w:val="004F06B1"/>
    <w:rsid w:val="004F6332"/>
    <w:rsid w:val="004F7BA0"/>
    <w:rsid w:val="00504DBA"/>
    <w:rsid w:val="005133DA"/>
    <w:rsid w:val="005143C3"/>
    <w:rsid w:val="005143DA"/>
    <w:rsid w:val="005172D5"/>
    <w:rsid w:val="00524704"/>
    <w:rsid w:val="00524FBA"/>
    <w:rsid w:val="005310DC"/>
    <w:rsid w:val="005313D6"/>
    <w:rsid w:val="005320C0"/>
    <w:rsid w:val="0053283E"/>
    <w:rsid w:val="00532F27"/>
    <w:rsid w:val="0053384C"/>
    <w:rsid w:val="00533ADF"/>
    <w:rsid w:val="005345D6"/>
    <w:rsid w:val="00536B02"/>
    <w:rsid w:val="005374EA"/>
    <w:rsid w:val="00542AD1"/>
    <w:rsid w:val="00543AE1"/>
    <w:rsid w:val="00545064"/>
    <w:rsid w:val="00545554"/>
    <w:rsid w:val="00546775"/>
    <w:rsid w:val="005511C8"/>
    <w:rsid w:val="00552138"/>
    <w:rsid w:val="0055425F"/>
    <w:rsid w:val="005551A4"/>
    <w:rsid w:val="005568EC"/>
    <w:rsid w:val="005606B4"/>
    <w:rsid w:val="00561FA7"/>
    <w:rsid w:val="00562D4E"/>
    <w:rsid w:val="00563B2D"/>
    <w:rsid w:val="0056462C"/>
    <w:rsid w:val="00564825"/>
    <w:rsid w:val="00565929"/>
    <w:rsid w:val="00567505"/>
    <w:rsid w:val="00570F12"/>
    <w:rsid w:val="00572EEB"/>
    <w:rsid w:val="00573003"/>
    <w:rsid w:val="00573979"/>
    <w:rsid w:val="005769FA"/>
    <w:rsid w:val="00577FC0"/>
    <w:rsid w:val="00582DF3"/>
    <w:rsid w:val="00585666"/>
    <w:rsid w:val="00585BCC"/>
    <w:rsid w:val="00585F3D"/>
    <w:rsid w:val="005862FE"/>
    <w:rsid w:val="005877BC"/>
    <w:rsid w:val="00591F3B"/>
    <w:rsid w:val="005945DF"/>
    <w:rsid w:val="00596852"/>
    <w:rsid w:val="005A0370"/>
    <w:rsid w:val="005A0759"/>
    <w:rsid w:val="005A13F2"/>
    <w:rsid w:val="005A3BDC"/>
    <w:rsid w:val="005A7529"/>
    <w:rsid w:val="005A75EE"/>
    <w:rsid w:val="005A7D87"/>
    <w:rsid w:val="005B1061"/>
    <w:rsid w:val="005B306F"/>
    <w:rsid w:val="005B363F"/>
    <w:rsid w:val="005C00A1"/>
    <w:rsid w:val="005C51C5"/>
    <w:rsid w:val="005C51C7"/>
    <w:rsid w:val="005C5D3A"/>
    <w:rsid w:val="005C631E"/>
    <w:rsid w:val="005C7ADA"/>
    <w:rsid w:val="005D0351"/>
    <w:rsid w:val="005D29EB"/>
    <w:rsid w:val="005D4D83"/>
    <w:rsid w:val="005D74B1"/>
    <w:rsid w:val="005D7742"/>
    <w:rsid w:val="005E556B"/>
    <w:rsid w:val="005E5F79"/>
    <w:rsid w:val="005E62BD"/>
    <w:rsid w:val="005E71A6"/>
    <w:rsid w:val="005E76DF"/>
    <w:rsid w:val="005F0252"/>
    <w:rsid w:val="005F1158"/>
    <w:rsid w:val="005F5364"/>
    <w:rsid w:val="005F72B9"/>
    <w:rsid w:val="005F7678"/>
    <w:rsid w:val="0060222D"/>
    <w:rsid w:val="00602C67"/>
    <w:rsid w:val="006069FC"/>
    <w:rsid w:val="0061002F"/>
    <w:rsid w:val="006117FC"/>
    <w:rsid w:val="00612163"/>
    <w:rsid w:val="00614371"/>
    <w:rsid w:val="00617657"/>
    <w:rsid w:val="006205D6"/>
    <w:rsid w:val="00624646"/>
    <w:rsid w:val="00625121"/>
    <w:rsid w:val="00625323"/>
    <w:rsid w:val="00625CF6"/>
    <w:rsid w:val="00633D54"/>
    <w:rsid w:val="00636B11"/>
    <w:rsid w:val="00642BCA"/>
    <w:rsid w:val="00646A04"/>
    <w:rsid w:val="006502D2"/>
    <w:rsid w:val="00652835"/>
    <w:rsid w:val="0065549D"/>
    <w:rsid w:val="006571BC"/>
    <w:rsid w:val="00661BDE"/>
    <w:rsid w:val="006633AB"/>
    <w:rsid w:val="006637A4"/>
    <w:rsid w:val="00664CA5"/>
    <w:rsid w:val="00675628"/>
    <w:rsid w:val="006776B0"/>
    <w:rsid w:val="00680239"/>
    <w:rsid w:val="00684121"/>
    <w:rsid w:val="00687A79"/>
    <w:rsid w:val="00690020"/>
    <w:rsid w:val="00690F66"/>
    <w:rsid w:val="0069109A"/>
    <w:rsid w:val="00696AFB"/>
    <w:rsid w:val="006A072C"/>
    <w:rsid w:val="006A294F"/>
    <w:rsid w:val="006A3CD9"/>
    <w:rsid w:val="006A5224"/>
    <w:rsid w:val="006B09FB"/>
    <w:rsid w:val="006B0EE3"/>
    <w:rsid w:val="006B0FFA"/>
    <w:rsid w:val="006B131E"/>
    <w:rsid w:val="006B260E"/>
    <w:rsid w:val="006B2A18"/>
    <w:rsid w:val="006B3786"/>
    <w:rsid w:val="006B478F"/>
    <w:rsid w:val="006B52D7"/>
    <w:rsid w:val="006B54C3"/>
    <w:rsid w:val="006B67F6"/>
    <w:rsid w:val="006B789D"/>
    <w:rsid w:val="006C0C81"/>
    <w:rsid w:val="006C1135"/>
    <w:rsid w:val="006C458D"/>
    <w:rsid w:val="006C6064"/>
    <w:rsid w:val="006C79ED"/>
    <w:rsid w:val="006D3C86"/>
    <w:rsid w:val="006D5E0D"/>
    <w:rsid w:val="006E139F"/>
    <w:rsid w:val="006E14B8"/>
    <w:rsid w:val="006E167E"/>
    <w:rsid w:val="006E1CFC"/>
    <w:rsid w:val="006E3B52"/>
    <w:rsid w:val="006E7103"/>
    <w:rsid w:val="006F330E"/>
    <w:rsid w:val="006F4260"/>
    <w:rsid w:val="006F4E03"/>
    <w:rsid w:val="00711DEA"/>
    <w:rsid w:val="0071228C"/>
    <w:rsid w:val="00712828"/>
    <w:rsid w:val="00712ADA"/>
    <w:rsid w:val="00713674"/>
    <w:rsid w:val="00714690"/>
    <w:rsid w:val="007175EB"/>
    <w:rsid w:val="00717BBC"/>
    <w:rsid w:val="00720FBD"/>
    <w:rsid w:val="00725328"/>
    <w:rsid w:val="007253FB"/>
    <w:rsid w:val="00725FD1"/>
    <w:rsid w:val="00730CD7"/>
    <w:rsid w:val="00732916"/>
    <w:rsid w:val="007329C7"/>
    <w:rsid w:val="0073688B"/>
    <w:rsid w:val="00743F1B"/>
    <w:rsid w:val="0074461C"/>
    <w:rsid w:val="00744BAE"/>
    <w:rsid w:val="00745EAD"/>
    <w:rsid w:val="007516B4"/>
    <w:rsid w:val="0075210E"/>
    <w:rsid w:val="007559B7"/>
    <w:rsid w:val="00756266"/>
    <w:rsid w:val="007575CD"/>
    <w:rsid w:val="00760BB0"/>
    <w:rsid w:val="00762140"/>
    <w:rsid w:val="00766F42"/>
    <w:rsid w:val="00767E54"/>
    <w:rsid w:val="0077056C"/>
    <w:rsid w:val="00770682"/>
    <w:rsid w:val="007712F5"/>
    <w:rsid w:val="0077209E"/>
    <w:rsid w:val="00773509"/>
    <w:rsid w:val="00773B2C"/>
    <w:rsid w:val="007750D8"/>
    <w:rsid w:val="00776F7E"/>
    <w:rsid w:val="00780841"/>
    <w:rsid w:val="00781CE4"/>
    <w:rsid w:val="0078360D"/>
    <w:rsid w:val="00793CE6"/>
    <w:rsid w:val="00794DAB"/>
    <w:rsid w:val="007A0F1C"/>
    <w:rsid w:val="007A1317"/>
    <w:rsid w:val="007A1DF6"/>
    <w:rsid w:val="007A3157"/>
    <w:rsid w:val="007A33C0"/>
    <w:rsid w:val="007A5BA9"/>
    <w:rsid w:val="007A741D"/>
    <w:rsid w:val="007B0563"/>
    <w:rsid w:val="007B0E29"/>
    <w:rsid w:val="007B1BBF"/>
    <w:rsid w:val="007B3A67"/>
    <w:rsid w:val="007B6C4F"/>
    <w:rsid w:val="007B79EC"/>
    <w:rsid w:val="007C069C"/>
    <w:rsid w:val="007D0EB4"/>
    <w:rsid w:val="007D4258"/>
    <w:rsid w:val="007D4AB1"/>
    <w:rsid w:val="007D6112"/>
    <w:rsid w:val="007E04DB"/>
    <w:rsid w:val="007E112A"/>
    <w:rsid w:val="007E1547"/>
    <w:rsid w:val="007E6606"/>
    <w:rsid w:val="007E7C42"/>
    <w:rsid w:val="007F0F4A"/>
    <w:rsid w:val="007F3208"/>
    <w:rsid w:val="007F52C3"/>
    <w:rsid w:val="007F788E"/>
    <w:rsid w:val="007F7B59"/>
    <w:rsid w:val="00802D5E"/>
    <w:rsid w:val="00804DAB"/>
    <w:rsid w:val="0081120C"/>
    <w:rsid w:val="00813369"/>
    <w:rsid w:val="00814545"/>
    <w:rsid w:val="00815C56"/>
    <w:rsid w:val="00816E6B"/>
    <w:rsid w:val="00817885"/>
    <w:rsid w:val="0082254F"/>
    <w:rsid w:val="0083059A"/>
    <w:rsid w:val="00830A88"/>
    <w:rsid w:val="008320C2"/>
    <w:rsid w:val="00837A94"/>
    <w:rsid w:val="008424A9"/>
    <w:rsid w:val="00845D09"/>
    <w:rsid w:val="00852A17"/>
    <w:rsid w:val="008530A5"/>
    <w:rsid w:val="00855D2E"/>
    <w:rsid w:val="00861470"/>
    <w:rsid w:val="00862491"/>
    <w:rsid w:val="00863101"/>
    <w:rsid w:val="00863BF8"/>
    <w:rsid w:val="00865152"/>
    <w:rsid w:val="008674A2"/>
    <w:rsid w:val="00867781"/>
    <w:rsid w:val="00867B95"/>
    <w:rsid w:val="00872E44"/>
    <w:rsid w:val="00874DFE"/>
    <w:rsid w:val="00876D5C"/>
    <w:rsid w:val="00877A93"/>
    <w:rsid w:val="008812E0"/>
    <w:rsid w:val="00882571"/>
    <w:rsid w:val="00882AFC"/>
    <w:rsid w:val="00884D51"/>
    <w:rsid w:val="00886BDD"/>
    <w:rsid w:val="00892492"/>
    <w:rsid w:val="0089291E"/>
    <w:rsid w:val="00897702"/>
    <w:rsid w:val="0089773D"/>
    <w:rsid w:val="008A2201"/>
    <w:rsid w:val="008A3D89"/>
    <w:rsid w:val="008A433F"/>
    <w:rsid w:val="008A4583"/>
    <w:rsid w:val="008A465A"/>
    <w:rsid w:val="008B1C77"/>
    <w:rsid w:val="008C13FB"/>
    <w:rsid w:val="008C1F3C"/>
    <w:rsid w:val="008C6A2F"/>
    <w:rsid w:val="008D04EF"/>
    <w:rsid w:val="008D05A6"/>
    <w:rsid w:val="008D48AC"/>
    <w:rsid w:val="008D49A3"/>
    <w:rsid w:val="008D525A"/>
    <w:rsid w:val="008D6C72"/>
    <w:rsid w:val="008D6E31"/>
    <w:rsid w:val="008D76D4"/>
    <w:rsid w:val="008E0E7F"/>
    <w:rsid w:val="008E12B7"/>
    <w:rsid w:val="008E3079"/>
    <w:rsid w:val="008E33C7"/>
    <w:rsid w:val="008E757C"/>
    <w:rsid w:val="008F3197"/>
    <w:rsid w:val="00900F54"/>
    <w:rsid w:val="00901A34"/>
    <w:rsid w:val="00901B3A"/>
    <w:rsid w:val="00905D47"/>
    <w:rsid w:val="009065E7"/>
    <w:rsid w:val="00907D8D"/>
    <w:rsid w:val="00912995"/>
    <w:rsid w:val="00913409"/>
    <w:rsid w:val="00925F92"/>
    <w:rsid w:val="00926C27"/>
    <w:rsid w:val="009275EA"/>
    <w:rsid w:val="00931207"/>
    <w:rsid w:val="0093442C"/>
    <w:rsid w:val="00935246"/>
    <w:rsid w:val="00935A78"/>
    <w:rsid w:val="00940243"/>
    <w:rsid w:val="009424D6"/>
    <w:rsid w:val="009426BD"/>
    <w:rsid w:val="00944123"/>
    <w:rsid w:val="00945027"/>
    <w:rsid w:val="00947936"/>
    <w:rsid w:val="009509D2"/>
    <w:rsid w:val="0095114D"/>
    <w:rsid w:val="009513D8"/>
    <w:rsid w:val="00956C21"/>
    <w:rsid w:val="0096058A"/>
    <w:rsid w:val="00961793"/>
    <w:rsid w:val="009639BA"/>
    <w:rsid w:val="009640BE"/>
    <w:rsid w:val="00964FAF"/>
    <w:rsid w:val="00966789"/>
    <w:rsid w:val="00967994"/>
    <w:rsid w:val="00971722"/>
    <w:rsid w:val="00971FF0"/>
    <w:rsid w:val="00977F89"/>
    <w:rsid w:val="00984249"/>
    <w:rsid w:val="00984BBD"/>
    <w:rsid w:val="00987858"/>
    <w:rsid w:val="009900BA"/>
    <w:rsid w:val="009909FC"/>
    <w:rsid w:val="00997B9E"/>
    <w:rsid w:val="009A0256"/>
    <w:rsid w:val="009A2A3D"/>
    <w:rsid w:val="009B38AB"/>
    <w:rsid w:val="009B4E40"/>
    <w:rsid w:val="009B52A8"/>
    <w:rsid w:val="009C085B"/>
    <w:rsid w:val="009C3CF7"/>
    <w:rsid w:val="009C5EF1"/>
    <w:rsid w:val="009D3B70"/>
    <w:rsid w:val="009D6C4D"/>
    <w:rsid w:val="009D71C1"/>
    <w:rsid w:val="009E149D"/>
    <w:rsid w:val="009E2B3C"/>
    <w:rsid w:val="009E44CA"/>
    <w:rsid w:val="009E45C1"/>
    <w:rsid w:val="009E46A1"/>
    <w:rsid w:val="009E5862"/>
    <w:rsid w:val="009E5F32"/>
    <w:rsid w:val="009F11B7"/>
    <w:rsid w:val="009F1F1B"/>
    <w:rsid w:val="009F3A4D"/>
    <w:rsid w:val="009F513F"/>
    <w:rsid w:val="009F7252"/>
    <w:rsid w:val="009F73F6"/>
    <w:rsid w:val="00A02C21"/>
    <w:rsid w:val="00A062FC"/>
    <w:rsid w:val="00A07674"/>
    <w:rsid w:val="00A1174C"/>
    <w:rsid w:val="00A12E12"/>
    <w:rsid w:val="00A147B1"/>
    <w:rsid w:val="00A15157"/>
    <w:rsid w:val="00A23669"/>
    <w:rsid w:val="00A24122"/>
    <w:rsid w:val="00A24143"/>
    <w:rsid w:val="00A255DA"/>
    <w:rsid w:val="00A42BA1"/>
    <w:rsid w:val="00A450E2"/>
    <w:rsid w:val="00A45257"/>
    <w:rsid w:val="00A45499"/>
    <w:rsid w:val="00A466E9"/>
    <w:rsid w:val="00A51CC5"/>
    <w:rsid w:val="00A524EE"/>
    <w:rsid w:val="00A566FD"/>
    <w:rsid w:val="00A6276E"/>
    <w:rsid w:val="00A628EF"/>
    <w:rsid w:val="00A636DC"/>
    <w:rsid w:val="00A64860"/>
    <w:rsid w:val="00A65656"/>
    <w:rsid w:val="00A752EC"/>
    <w:rsid w:val="00A76ED0"/>
    <w:rsid w:val="00A835F2"/>
    <w:rsid w:val="00A916A8"/>
    <w:rsid w:val="00A92C0A"/>
    <w:rsid w:val="00A92DEE"/>
    <w:rsid w:val="00A93721"/>
    <w:rsid w:val="00A946FA"/>
    <w:rsid w:val="00A969E2"/>
    <w:rsid w:val="00AA1517"/>
    <w:rsid w:val="00AA55C8"/>
    <w:rsid w:val="00AA77F6"/>
    <w:rsid w:val="00AB1426"/>
    <w:rsid w:val="00AB499C"/>
    <w:rsid w:val="00AC254E"/>
    <w:rsid w:val="00AC4E45"/>
    <w:rsid w:val="00AC66C5"/>
    <w:rsid w:val="00AC72AF"/>
    <w:rsid w:val="00AC7945"/>
    <w:rsid w:val="00AD180B"/>
    <w:rsid w:val="00AD27A8"/>
    <w:rsid w:val="00AD2FEF"/>
    <w:rsid w:val="00AD5B21"/>
    <w:rsid w:val="00AE1EC3"/>
    <w:rsid w:val="00AE7312"/>
    <w:rsid w:val="00AF028F"/>
    <w:rsid w:val="00AF1998"/>
    <w:rsid w:val="00AF2A9F"/>
    <w:rsid w:val="00AF4862"/>
    <w:rsid w:val="00AF6602"/>
    <w:rsid w:val="00B008B9"/>
    <w:rsid w:val="00B0156B"/>
    <w:rsid w:val="00B03115"/>
    <w:rsid w:val="00B0355B"/>
    <w:rsid w:val="00B03BFF"/>
    <w:rsid w:val="00B04A48"/>
    <w:rsid w:val="00B05AAD"/>
    <w:rsid w:val="00B06E31"/>
    <w:rsid w:val="00B07D3A"/>
    <w:rsid w:val="00B119EC"/>
    <w:rsid w:val="00B12526"/>
    <w:rsid w:val="00B12EEF"/>
    <w:rsid w:val="00B16335"/>
    <w:rsid w:val="00B172A7"/>
    <w:rsid w:val="00B17E2F"/>
    <w:rsid w:val="00B22631"/>
    <w:rsid w:val="00B23BEB"/>
    <w:rsid w:val="00B25986"/>
    <w:rsid w:val="00B27D4A"/>
    <w:rsid w:val="00B301E7"/>
    <w:rsid w:val="00B32F49"/>
    <w:rsid w:val="00B33186"/>
    <w:rsid w:val="00B40434"/>
    <w:rsid w:val="00B41987"/>
    <w:rsid w:val="00B461AB"/>
    <w:rsid w:val="00B46D8E"/>
    <w:rsid w:val="00B522DF"/>
    <w:rsid w:val="00B623D4"/>
    <w:rsid w:val="00B62B74"/>
    <w:rsid w:val="00B62CAF"/>
    <w:rsid w:val="00B651B9"/>
    <w:rsid w:val="00B65F00"/>
    <w:rsid w:val="00B67871"/>
    <w:rsid w:val="00B700D3"/>
    <w:rsid w:val="00B7684D"/>
    <w:rsid w:val="00B7688B"/>
    <w:rsid w:val="00B80F92"/>
    <w:rsid w:val="00B826D5"/>
    <w:rsid w:val="00B848D5"/>
    <w:rsid w:val="00B850C3"/>
    <w:rsid w:val="00B8582C"/>
    <w:rsid w:val="00B877E8"/>
    <w:rsid w:val="00B879AB"/>
    <w:rsid w:val="00B90333"/>
    <w:rsid w:val="00B9120E"/>
    <w:rsid w:val="00B964C0"/>
    <w:rsid w:val="00BA07B9"/>
    <w:rsid w:val="00BA092F"/>
    <w:rsid w:val="00BA13DD"/>
    <w:rsid w:val="00BA26C6"/>
    <w:rsid w:val="00BB1461"/>
    <w:rsid w:val="00BB19E8"/>
    <w:rsid w:val="00BB2932"/>
    <w:rsid w:val="00BB7A8F"/>
    <w:rsid w:val="00BB7F21"/>
    <w:rsid w:val="00BC2FF1"/>
    <w:rsid w:val="00BC3657"/>
    <w:rsid w:val="00BC3756"/>
    <w:rsid w:val="00BC55DC"/>
    <w:rsid w:val="00BC6493"/>
    <w:rsid w:val="00BC6B8A"/>
    <w:rsid w:val="00BC6E30"/>
    <w:rsid w:val="00BD157C"/>
    <w:rsid w:val="00BD64C8"/>
    <w:rsid w:val="00BD7134"/>
    <w:rsid w:val="00BD7741"/>
    <w:rsid w:val="00BD7FFB"/>
    <w:rsid w:val="00BE5B0B"/>
    <w:rsid w:val="00BE63A8"/>
    <w:rsid w:val="00BF12DD"/>
    <w:rsid w:val="00BF1D9E"/>
    <w:rsid w:val="00BF349E"/>
    <w:rsid w:val="00BF580B"/>
    <w:rsid w:val="00BF783F"/>
    <w:rsid w:val="00C01E54"/>
    <w:rsid w:val="00C02893"/>
    <w:rsid w:val="00C03125"/>
    <w:rsid w:val="00C053C7"/>
    <w:rsid w:val="00C05BE2"/>
    <w:rsid w:val="00C07C9F"/>
    <w:rsid w:val="00C10C70"/>
    <w:rsid w:val="00C12740"/>
    <w:rsid w:val="00C1292B"/>
    <w:rsid w:val="00C1439A"/>
    <w:rsid w:val="00C16817"/>
    <w:rsid w:val="00C17816"/>
    <w:rsid w:val="00C25AA8"/>
    <w:rsid w:val="00C34EC0"/>
    <w:rsid w:val="00C4033B"/>
    <w:rsid w:val="00C40B05"/>
    <w:rsid w:val="00C40D07"/>
    <w:rsid w:val="00C41CD7"/>
    <w:rsid w:val="00C43D43"/>
    <w:rsid w:val="00C45FAF"/>
    <w:rsid w:val="00C51796"/>
    <w:rsid w:val="00C529A3"/>
    <w:rsid w:val="00C5356E"/>
    <w:rsid w:val="00C557CD"/>
    <w:rsid w:val="00C55B24"/>
    <w:rsid w:val="00C572CB"/>
    <w:rsid w:val="00C61C7A"/>
    <w:rsid w:val="00C6228F"/>
    <w:rsid w:val="00C64AC7"/>
    <w:rsid w:val="00C65486"/>
    <w:rsid w:val="00C657B9"/>
    <w:rsid w:val="00C66080"/>
    <w:rsid w:val="00C667E2"/>
    <w:rsid w:val="00C67CAC"/>
    <w:rsid w:val="00C71606"/>
    <w:rsid w:val="00C72897"/>
    <w:rsid w:val="00C74A09"/>
    <w:rsid w:val="00C762C3"/>
    <w:rsid w:val="00C7704B"/>
    <w:rsid w:val="00C82384"/>
    <w:rsid w:val="00C835F5"/>
    <w:rsid w:val="00C90190"/>
    <w:rsid w:val="00C9142C"/>
    <w:rsid w:val="00C93BA1"/>
    <w:rsid w:val="00C95EA4"/>
    <w:rsid w:val="00C95FCB"/>
    <w:rsid w:val="00C96B0C"/>
    <w:rsid w:val="00CA003F"/>
    <w:rsid w:val="00CA10BB"/>
    <w:rsid w:val="00CA1D35"/>
    <w:rsid w:val="00CA5917"/>
    <w:rsid w:val="00CB1C03"/>
    <w:rsid w:val="00CB30FC"/>
    <w:rsid w:val="00CB6796"/>
    <w:rsid w:val="00CB728E"/>
    <w:rsid w:val="00CC221D"/>
    <w:rsid w:val="00CC35DC"/>
    <w:rsid w:val="00CC7C72"/>
    <w:rsid w:val="00CD2C4D"/>
    <w:rsid w:val="00CD4854"/>
    <w:rsid w:val="00CD55A5"/>
    <w:rsid w:val="00CE1A56"/>
    <w:rsid w:val="00CE1B4D"/>
    <w:rsid w:val="00CE283F"/>
    <w:rsid w:val="00CE61AF"/>
    <w:rsid w:val="00CE670C"/>
    <w:rsid w:val="00CE6ABA"/>
    <w:rsid w:val="00CE74F2"/>
    <w:rsid w:val="00CE773C"/>
    <w:rsid w:val="00CF0310"/>
    <w:rsid w:val="00CF29DA"/>
    <w:rsid w:val="00CF341A"/>
    <w:rsid w:val="00CF398F"/>
    <w:rsid w:val="00CF7058"/>
    <w:rsid w:val="00D010A7"/>
    <w:rsid w:val="00D04C70"/>
    <w:rsid w:val="00D05679"/>
    <w:rsid w:val="00D06888"/>
    <w:rsid w:val="00D11676"/>
    <w:rsid w:val="00D11ACB"/>
    <w:rsid w:val="00D24FD9"/>
    <w:rsid w:val="00D251FD"/>
    <w:rsid w:val="00D270AB"/>
    <w:rsid w:val="00D300CA"/>
    <w:rsid w:val="00D30C1C"/>
    <w:rsid w:val="00D30C40"/>
    <w:rsid w:val="00D32E9D"/>
    <w:rsid w:val="00D333F9"/>
    <w:rsid w:val="00D36370"/>
    <w:rsid w:val="00D376E0"/>
    <w:rsid w:val="00D41DFA"/>
    <w:rsid w:val="00D44517"/>
    <w:rsid w:val="00D54B9D"/>
    <w:rsid w:val="00D56F92"/>
    <w:rsid w:val="00D57793"/>
    <w:rsid w:val="00D5785F"/>
    <w:rsid w:val="00D60057"/>
    <w:rsid w:val="00D606E6"/>
    <w:rsid w:val="00D6304C"/>
    <w:rsid w:val="00D637AC"/>
    <w:rsid w:val="00D642F2"/>
    <w:rsid w:val="00D664F2"/>
    <w:rsid w:val="00D730C7"/>
    <w:rsid w:val="00D737F6"/>
    <w:rsid w:val="00D74B0D"/>
    <w:rsid w:val="00D75777"/>
    <w:rsid w:val="00D7610C"/>
    <w:rsid w:val="00D77B3D"/>
    <w:rsid w:val="00D832ED"/>
    <w:rsid w:val="00D84A9E"/>
    <w:rsid w:val="00D871E1"/>
    <w:rsid w:val="00D90130"/>
    <w:rsid w:val="00D94388"/>
    <w:rsid w:val="00D9565B"/>
    <w:rsid w:val="00D95AFA"/>
    <w:rsid w:val="00D97F37"/>
    <w:rsid w:val="00DB0693"/>
    <w:rsid w:val="00DB0B6F"/>
    <w:rsid w:val="00DB33C2"/>
    <w:rsid w:val="00DB39CC"/>
    <w:rsid w:val="00DB3F2C"/>
    <w:rsid w:val="00DB6C84"/>
    <w:rsid w:val="00DB7E2B"/>
    <w:rsid w:val="00DC04C4"/>
    <w:rsid w:val="00DC058F"/>
    <w:rsid w:val="00DC2100"/>
    <w:rsid w:val="00DC755F"/>
    <w:rsid w:val="00DD2C6B"/>
    <w:rsid w:val="00DD3960"/>
    <w:rsid w:val="00DD5D92"/>
    <w:rsid w:val="00DE1780"/>
    <w:rsid w:val="00DE1FCF"/>
    <w:rsid w:val="00DE2797"/>
    <w:rsid w:val="00DE3605"/>
    <w:rsid w:val="00DE46D9"/>
    <w:rsid w:val="00DE497C"/>
    <w:rsid w:val="00DE4B58"/>
    <w:rsid w:val="00DE6683"/>
    <w:rsid w:val="00DF04A9"/>
    <w:rsid w:val="00DF20BF"/>
    <w:rsid w:val="00DF32C8"/>
    <w:rsid w:val="00DF3FBA"/>
    <w:rsid w:val="00DF6592"/>
    <w:rsid w:val="00E01931"/>
    <w:rsid w:val="00E01F2B"/>
    <w:rsid w:val="00E10040"/>
    <w:rsid w:val="00E10BCD"/>
    <w:rsid w:val="00E11BB6"/>
    <w:rsid w:val="00E131AF"/>
    <w:rsid w:val="00E137EE"/>
    <w:rsid w:val="00E2382B"/>
    <w:rsid w:val="00E3173E"/>
    <w:rsid w:val="00E35A18"/>
    <w:rsid w:val="00E40BF1"/>
    <w:rsid w:val="00E4161C"/>
    <w:rsid w:val="00E438C4"/>
    <w:rsid w:val="00E44EEC"/>
    <w:rsid w:val="00E450DD"/>
    <w:rsid w:val="00E45346"/>
    <w:rsid w:val="00E45F6D"/>
    <w:rsid w:val="00E464F3"/>
    <w:rsid w:val="00E46B6F"/>
    <w:rsid w:val="00E530A4"/>
    <w:rsid w:val="00E53E5F"/>
    <w:rsid w:val="00E53F28"/>
    <w:rsid w:val="00E57336"/>
    <w:rsid w:val="00E6220E"/>
    <w:rsid w:val="00E65146"/>
    <w:rsid w:val="00E656A4"/>
    <w:rsid w:val="00E665E8"/>
    <w:rsid w:val="00E66E71"/>
    <w:rsid w:val="00E7019D"/>
    <w:rsid w:val="00E70A22"/>
    <w:rsid w:val="00E728F3"/>
    <w:rsid w:val="00E73145"/>
    <w:rsid w:val="00E770AC"/>
    <w:rsid w:val="00E77459"/>
    <w:rsid w:val="00E77821"/>
    <w:rsid w:val="00E779E0"/>
    <w:rsid w:val="00E850CF"/>
    <w:rsid w:val="00E8788D"/>
    <w:rsid w:val="00E9385F"/>
    <w:rsid w:val="00E955AD"/>
    <w:rsid w:val="00E95AA0"/>
    <w:rsid w:val="00E95E44"/>
    <w:rsid w:val="00E969E1"/>
    <w:rsid w:val="00E96F9F"/>
    <w:rsid w:val="00EA1C44"/>
    <w:rsid w:val="00EA1CC3"/>
    <w:rsid w:val="00EA2565"/>
    <w:rsid w:val="00EA2B1B"/>
    <w:rsid w:val="00EA36AE"/>
    <w:rsid w:val="00EA6E46"/>
    <w:rsid w:val="00EB2085"/>
    <w:rsid w:val="00EB4B57"/>
    <w:rsid w:val="00EB5B8E"/>
    <w:rsid w:val="00EB600B"/>
    <w:rsid w:val="00EC2221"/>
    <w:rsid w:val="00EC3B02"/>
    <w:rsid w:val="00ED31F1"/>
    <w:rsid w:val="00ED345E"/>
    <w:rsid w:val="00ED4E64"/>
    <w:rsid w:val="00EE0CED"/>
    <w:rsid w:val="00EE296C"/>
    <w:rsid w:val="00EE36E7"/>
    <w:rsid w:val="00EE5CF2"/>
    <w:rsid w:val="00EE685C"/>
    <w:rsid w:val="00EF2525"/>
    <w:rsid w:val="00EF63E5"/>
    <w:rsid w:val="00EF64C1"/>
    <w:rsid w:val="00F00078"/>
    <w:rsid w:val="00F0107A"/>
    <w:rsid w:val="00F116F9"/>
    <w:rsid w:val="00F13A5D"/>
    <w:rsid w:val="00F1448A"/>
    <w:rsid w:val="00F2149E"/>
    <w:rsid w:val="00F21A68"/>
    <w:rsid w:val="00F224B8"/>
    <w:rsid w:val="00F23325"/>
    <w:rsid w:val="00F24885"/>
    <w:rsid w:val="00F27AA9"/>
    <w:rsid w:val="00F30B0E"/>
    <w:rsid w:val="00F33829"/>
    <w:rsid w:val="00F34EA5"/>
    <w:rsid w:val="00F34F79"/>
    <w:rsid w:val="00F37B61"/>
    <w:rsid w:val="00F41BCD"/>
    <w:rsid w:val="00F441F7"/>
    <w:rsid w:val="00F44AB1"/>
    <w:rsid w:val="00F456A7"/>
    <w:rsid w:val="00F45FBF"/>
    <w:rsid w:val="00F47762"/>
    <w:rsid w:val="00F511C8"/>
    <w:rsid w:val="00F52A38"/>
    <w:rsid w:val="00F52C2A"/>
    <w:rsid w:val="00F5793A"/>
    <w:rsid w:val="00F614BF"/>
    <w:rsid w:val="00F62CC5"/>
    <w:rsid w:val="00F65384"/>
    <w:rsid w:val="00F7072A"/>
    <w:rsid w:val="00F70B2F"/>
    <w:rsid w:val="00F70BDC"/>
    <w:rsid w:val="00F73761"/>
    <w:rsid w:val="00F815A4"/>
    <w:rsid w:val="00F82E6D"/>
    <w:rsid w:val="00F85173"/>
    <w:rsid w:val="00F86D42"/>
    <w:rsid w:val="00F907D4"/>
    <w:rsid w:val="00F92689"/>
    <w:rsid w:val="00F92F47"/>
    <w:rsid w:val="00F94389"/>
    <w:rsid w:val="00F94464"/>
    <w:rsid w:val="00F94788"/>
    <w:rsid w:val="00F953FE"/>
    <w:rsid w:val="00F95498"/>
    <w:rsid w:val="00FA0DD0"/>
    <w:rsid w:val="00FA3396"/>
    <w:rsid w:val="00FA5BBA"/>
    <w:rsid w:val="00FB224F"/>
    <w:rsid w:val="00FB2D46"/>
    <w:rsid w:val="00FB342D"/>
    <w:rsid w:val="00FB4B01"/>
    <w:rsid w:val="00FC05AC"/>
    <w:rsid w:val="00FC12FD"/>
    <w:rsid w:val="00FC1C75"/>
    <w:rsid w:val="00FC3C22"/>
    <w:rsid w:val="00FC6F0D"/>
    <w:rsid w:val="00FC7AF6"/>
    <w:rsid w:val="00FD00AB"/>
    <w:rsid w:val="00FD3AB4"/>
    <w:rsid w:val="00FD53EF"/>
    <w:rsid w:val="00FD5D1D"/>
    <w:rsid w:val="00FD7C9C"/>
    <w:rsid w:val="00FE0AF1"/>
    <w:rsid w:val="00FE10EC"/>
    <w:rsid w:val="00FE2D5A"/>
    <w:rsid w:val="00FF0C12"/>
    <w:rsid w:val="00FF12FF"/>
    <w:rsid w:val="00FF1359"/>
    <w:rsid w:val="00FF2610"/>
    <w:rsid w:val="00FF551B"/>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E9E5"/>
  <w15:docId w15:val="{8EF4945A-5E7C-47B2-A811-61F0767B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 w:type="character" w:styleId="Strong">
    <w:name w:val="Strong"/>
    <w:basedOn w:val="DefaultParagraphFont"/>
    <w:uiPriority w:val="22"/>
    <w:qFormat/>
    <w:rsid w:val="00B12EEF"/>
    <w:rPr>
      <w:b/>
      <w:bCs/>
    </w:rPr>
  </w:style>
  <w:style w:type="character" w:styleId="Emphasis">
    <w:name w:val="Emphasis"/>
    <w:basedOn w:val="DefaultParagraphFont"/>
    <w:uiPriority w:val="20"/>
    <w:qFormat/>
    <w:rsid w:val="00B12EEF"/>
    <w:rPr>
      <w:i/>
      <w:iCs/>
    </w:rPr>
  </w:style>
  <w:style w:type="character" w:customStyle="1" w:styleId="baec5a81-e4d6-4674-97f3-e9220f0136c1">
    <w:name w:val="baec5a81-e4d6-4674-97f3-e9220f0136c1"/>
    <w:basedOn w:val="DefaultParagraphFont"/>
    <w:rsid w:val="00B1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594946524">
      <w:bodyDiv w:val="1"/>
      <w:marLeft w:val="0"/>
      <w:marRight w:val="0"/>
      <w:marTop w:val="0"/>
      <w:marBottom w:val="0"/>
      <w:divBdr>
        <w:top w:val="none" w:sz="0" w:space="0" w:color="auto"/>
        <w:left w:val="none" w:sz="0" w:space="0" w:color="auto"/>
        <w:bottom w:val="none" w:sz="0" w:space="0" w:color="auto"/>
        <w:right w:val="none" w:sz="0" w:space="0" w:color="auto"/>
      </w:divBdr>
    </w:div>
    <w:div w:id="1309624699">
      <w:bodyDiv w:val="1"/>
      <w:marLeft w:val="0"/>
      <w:marRight w:val="0"/>
      <w:marTop w:val="0"/>
      <w:marBottom w:val="0"/>
      <w:divBdr>
        <w:top w:val="none" w:sz="0" w:space="0" w:color="auto"/>
        <w:left w:val="none" w:sz="0" w:space="0" w:color="auto"/>
        <w:bottom w:val="none" w:sz="0" w:space="0" w:color="auto"/>
        <w:right w:val="none" w:sz="0" w:space="0" w:color="auto"/>
      </w:divBdr>
    </w:div>
    <w:div w:id="1616669255">
      <w:bodyDiv w:val="1"/>
      <w:marLeft w:val="0"/>
      <w:marRight w:val="0"/>
      <w:marTop w:val="0"/>
      <w:marBottom w:val="0"/>
      <w:divBdr>
        <w:top w:val="none" w:sz="0" w:space="0" w:color="auto"/>
        <w:left w:val="none" w:sz="0" w:space="0" w:color="auto"/>
        <w:bottom w:val="none" w:sz="0" w:space="0" w:color="auto"/>
        <w:right w:val="none" w:sz="0" w:space="0" w:color="auto"/>
      </w:divBdr>
    </w:div>
    <w:div w:id="1799564534">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18-Salary-Survey-Highlight-Repor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DAD3-7ECF-443A-8393-BD071C72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3245</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22166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subject/>
  <dc:creator>Cheryl Blundon</dc:creator>
  <cp:keywords/>
  <dc:description/>
  <cp:lastModifiedBy>Mason, Nikki NM</cp:lastModifiedBy>
  <cp:revision>6</cp:revision>
  <cp:lastPrinted>2016-03-29T18:24:00Z</cp:lastPrinted>
  <dcterms:created xsi:type="dcterms:W3CDTF">2022-07-13T17:40:00Z</dcterms:created>
  <dcterms:modified xsi:type="dcterms:W3CDTF">2022-07-13T17:57:00Z</dcterms:modified>
</cp:coreProperties>
</file>