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67A7" w:rsidR="00CF534E" w:rsidRDefault="00CF534E" w14:paraId="2ED14AF3" w14:textId="77777777">
      <w:r w:rsidRPr="00F367A7">
        <w:t>Supporting Statement for Paperwork Reduction Act Submissions</w:t>
      </w:r>
    </w:p>
    <w:p w:rsidR="000159FF" w:rsidP="000159FF" w:rsidRDefault="000159FF" w14:paraId="2C66DA50"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Revision of a currently approved collection</w:t>
      </w:r>
    </w:p>
    <w:p w:rsidR="000159FF" w:rsidP="000159FF" w:rsidRDefault="000159FF" w14:paraId="00D1FA72"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Cs w:val="20"/>
        </w:rPr>
      </w:pPr>
      <w:r>
        <w:t>Flash/Cancellation/Transfer Notice (I-12)</w:t>
      </w:r>
    </w:p>
    <w:p w:rsidR="00CF534E" w:rsidRDefault="00CF534E" w14:paraId="78D508EE" w14:textId="67397D68">
      <w:pPr>
        <w:rPr>
          <w:b/>
          <w:bCs/>
        </w:rPr>
      </w:pPr>
      <w:r w:rsidRPr="00F367A7">
        <w:rPr>
          <w:b/>
          <w:bCs/>
        </w:rPr>
        <w:t>OMB Control # 1110-</w:t>
      </w:r>
      <w:r w:rsidR="000159FF">
        <w:rPr>
          <w:b/>
          <w:bCs/>
        </w:rPr>
        <w:t>0069</w:t>
      </w:r>
    </w:p>
    <w:p w:rsidR="000159FF" w:rsidRDefault="000159FF" w14:paraId="238CDC72" w14:textId="6DF1B6D6">
      <w:pPr>
        <w:rPr>
          <w:b/>
          <w:bCs/>
        </w:rPr>
      </w:pPr>
    </w:p>
    <w:p w:rsidR="000159FF" w:rsidP="000159FF" w:rsidRDefault="000159FF" w14:paraId="6E5B9B42" w14:textId="1B41884A">
      <w:r>
        <w:rPr>
          <w:bCs/>
        </w:rPr>
        <w:t xml:space="preserve">The most recent version of this form is dated April 1, 2019.  </w:t>
      </w:r>
      <w:r>
        <w:t>There were changes made to the Flash/Cancellation/Transfer Notice I-12 form</w:t>
      </w:r>
      <w:r w:rsidR="00D06852">
        <w:t>.</w:t>
      </w:r>
      <w:r>
        <w:t xml:space="preserve"> </w:t>
      </w:r>
    </w:p>
    <w:p w:rsidRPr="00F367A7" w:rsidR="00094DE9" w:rsidRDefault="00094DE9" w14:paraId="1FC486AD" w14:textId="77777777"/>
    <w:p w:rsidRPr="00F367A7" w:rsidR="00CF534E" w:rsidRDefault="00CF534E" w14:paraId="516F6A32" w14:textId="77777777">
      <w:r w:rsidRPr="00F367A7">
        <w:t xml:space="preserve">Part A. </w:t>
      </w:r>
      <w:r w:rsidRPr="00F367A7" w:rsidR="00A7449B">
        <w:t xml:space="preserve"> </w:t>
      </w:r>
      <w:r w:rsidRPr="00F367A7">
        <w:t>Justification</w:t>
      </w:r>
    </w:p>
    <w:p w:rsidRPr="00F367A7" w:rsidR="00CF534E" w:rsidRDefault="00CF534E" w14:paraId="3A49E7B7" w14:textId="77777777"/>
    <w:p w:rsidR="00CF534E" w:rsidP="005E3BE7" w:rsidRDefault="00CF534E" w14:paraId="404B325E" w14:textId="77777777">
      <w:pPr>
        <w:pStyle w:val="ListParagraph"/>
        <w:numPr>
          <w:ilvl w:val="0"/>
          <w:numId w:val="1"/>
        </w:numPr>
      </w:pPr>
      <w:r w:rsidRPr="005E3BE7">
        <w:rPr>
          <w:b/>
        </w:rPr>
        <w:t>Necessity of Information</w:t>
      </w:r>
      <w:r w:rsidRPr="00F367A7">
        <w:t xml:space="preserve">: </w:t>
      </w:r>
    </w:p>
    <w:p w:rsidR="005E3BE7" w:rsidP="005E3BE7" w:rsidRDefault="005E3BE7" w14:paraId="1FD826A7" w14:textId="77777777"/>
    <w:p w:rsidR="005E0449" w:rsidP="005E0449" w:rsidRDefault="005E0449" w14:paraId="44555B83" w14:textId="77777777">
      <w:r>
        <w:t xml:space="preserve">Title 28, United States Code, Section 534, allows the FBI to acquire, collect, classify, and preserve identification, criminal identification, crime, and other records.  The FBI permits such exchange of records and information with, and for the official use of, authorized officials of the Federal Government, including the United States Sentencing Commission; the States and cities; and penal and other institutions.  It is essential the Flash/Cancellation/Transfer Notice (I-12) be utilized </w:t>
      </w:r>
      <w:proofErr w:type="gramStart"/>
      <w:r>
        <w:t>in order for</w:t>
      </w:r>
      <w:proofErr w:type="gramEnd"/>
      <w:r>
        <w:t xml:space="preserve"> the FBI, Criminal Justice Information Services (CJIS) Division, to assure identity history information is collected, stored, and disseminated in a manner to ensure accuracy, completeness, currency, integrity, and security of such information in an effort to protect individual privacy and provide maximum service to all law enforcement and governmental agencies.  All of which is imposed on the FBI, CJIS Division, by Title 28, Code of Federal Regulations (CFR), Part 20.1.</w:t>
      </w:r>
    </w:p>
    <w:p w:rsidR="005E0449" w:rsidP="005E0449" w:rsidRDefault="005E0449" w14:paraId="19A48663" w14:textId="77777777"/>
    <w:p w:rsidR="005E0449" w:rsidP="005E0449" w:rsidRDefault="005E0449" w14:paraId="57C4369E" w14:textId="0D2690F9">
      <w:r>
        <w:t xml:space="preserve">The FBI CJIS Division provides a centralized repository of all fingerprint cards and all arrest records.  Through this centralization of records, it is possible to have available a positive source of information relative </w:t>
      </w:r>
      <w:proofErr w:type="gramStart"/>
      <w:r>
        <w:t>to:</w:t>
      </w:r>
      <w:proofErr w:type="gramEnd"/>
      <w:r w:rsidR="00D06852">
        <w:t xml:space="preserve">  </w:t>
      </w:r>
      <w:r>
        <w:t xml:space="preserve">past activities of an individual in custody or an individual applying for employment, emergency cases, identification of deceased individuals, identification of missing persons or provide confirmation as to any entry for such a person to the parent, legal guardian, or next of kin, to identify fugitives, etc. </w:t>
      </w:r>
    </w:p>
    <w:p w:rsidR="005E0449" w:rsidP="005E0449" w:rsidRDefault="005E0449" w14:paraId="1D701D26" w14:textId="77777777">
      <w:pPr>
        <w:pStyle w:val="xmsonormal"/>
      </w:pPr>
      <w:r>
        <w:t xml:space="preserve">The I-12 provides a consistent format for agencies to submit the necessary information to indicate on an individual's Identity History Summary that the individual is being supervised (e.g., probation, parole).  Then, if subsequent criminal activity occurs, the supervisory agency can be notified.  The I-12 is also utilized for agencies to notify the FBI when an individual is transferred from one agency to another (for example, the individual is transferring from one </w:t>
      </w:r>
      <w:proofErr w:type="gramStart"/>
      <w:r>
        <w:t>correctional facility</w:t>
      </w:r>
      <w:proofErr w:type="gramEnd"/>
      <w:r>
        <w:t xml:space="preserve"> to another).  Since case law stipulates the CJIS Division has a responsibility to maintain accurate records, it is essential for this form to be utilized to better assist with locating individuals/notifying the proper authorities when criminal activity/transfers occur.</w:t>
      </w:r>
    </w:p>
    <w:p w:rsidRPr="00B62D10" w:rsidR="005E3BE7" w:rsidP="005E3BE7" w:rsidRDefault="005E3BE7" w14:paraId="02EFA50B" w14:textId="77777777">
      <w:pPr>
        <w:rPr>
          <w:rStyle w:val="xdtextbox1"/>
          <w:bdr w:val="none" w:color="auto" w:sz="0" w:space="0" w:frame="1"/>
        </w:rPr>
      </w:pPr>
    </w:p>
    <w:p w:rsidRPr="00C138A6" w:rsidR="00CF534E" w:rsidRDefault="00CF534E" w14:paraId="3E9B57CF" w14:textId="77777777">
      <w:pPr>
        <w:rPr>
          <w:b/>
        </w:rPr>
      </w:pPr>
      <w:r w:rsidRPr="00C138A6">
        <w:rPr>
          <w:b/>
        </w:rPr>
        <w:t xml:space="preserve">2.  Needs </w:t>
      </w:r>
      <w:r w:rsidRPr="00C138A6" w:rsidR="00C138A6">
        <w:rPr>
          <w:b/>
        </w:rPr>
        <w:t>and Uses:</w:t>
      </w:r>
    </w:p>
    <w:p w:rsidRPr="00F367A7" w:rsidR="00CF534E" w:rsidRDefault="00CF534E" w14:paraId="68847E9C" w14:textId="77777777"/>
    <w:p w:rsidR="005E0449" w:rsidP="005E0449" w:rsidRDefault="005E0449" w14:paraId="55AE626B" w14:textId="77777777">
      <w:r>
        <w:t>The CJIS Division serves the nation as a repository for fingerprints and identity history information.  The Privacy Act of 1974 requires each agency that maintains a system of records to maintain the records with such accuracy, relevance, timeliness, and completeness as is reasonably necessary to assure fairness to the individual.  Case law stipulates that the CJIS Division has a duty to take reasonable measures to maintain accurate records.  The I-12 provides a consistent format for agencies to submit the necessary information to indicate on an individual's identity history that the individual is being supervised to ensure the supervisory agency is notified of any additional criminal activity.  The I-12 is also utilized for agencies to notify the FBI when an individual is transferred from one agency to another.</w:t>
      </w:r>
    </w:p>
    <w:p w:rsidRPr="00F367A7" w:rsidR="00051326" w:rsidP="007C6C6B" w:rsidRDefault="00051326" w14:paraId="3DA1745A" w14:textId="77777777"/>
    <w:p w:rsidRPr="00F367A7" w:rsidR="00CF534E" w:rsidRDefault="00CF534E" w14:paraId="00AD76A0" w14:textId="3C52F6FF">
      <w:r w:rsidRPr="00C138A6">
        <w:rPr>
          <w:b/>
        </w:rPr>
        <w:t>3.  Use of Technology</w:t>
      </w:r>
      <w:r w:rsidRPr="00F367A7">
        <w:t>:</w:t>
      </w:r>
    </w:p>
    <w:p w:rsidR="00D06852" w:rsidP="00D06852" w:rsidRDefault="00D06852" w14:paraId="395CD2F2" w14:textId="77777777">
      <w:pPr>
        <w:pStyle w:val="xmsonormal"/>
      </w:pPr>
      <w:r>
        <w:t xml:space="preserve">The forms are received via mail, </w:t>
      </w:r>
      <w:proofErr w:type="gramStart"/>
      <w:r>
        <w:t>fax</w:t>
      </w:r>
      <w:proofErr w:type="gramEnd"/>
      <w:r>
        <w:t xml:space="preserve"> or email. Currently, there are no plans to automate the I-12 form; however, there is an electronic capability built into the NGI system that allows courts to send flash/cancellation information to the FBI CJIS directly. There will continue to be some instances when courts will not be able to submit electronically and will need a hard-copy format for sending flash/cancellation information to the FBI CJIS Division.  </w:t>
      </w:r>
    </w:p>
    <w:p w:rsidRPr="00F367A7" w:rsidR="00CF534E" w:rsidRDefault="00CF534E" w14:paraId="585C5F58" w14:textId="77777777">
      <w:pPr>
        <w:sectPr w:rsidRPr="00F367A7" w:rsidR="00CF534E" w:rsidSect="00AF13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354" w:gutter="0"/>
          <w:cols w:space="720"/>
          <w:noEndnote/>
        </w:sectPr>
      </w:pPr>
    </w:p>
    <w:p w:rsidRPr="00C138A6" w:rsidR="00CF534E" w:rsidRDefault="00CF534E" w14:paraId="6AC2A21F" w14:textId="77777777">
      <w:pPr>
        <w:rPr>
          <w:b/>
        </w:rPr>
      </w:pPr>
      <w:r w:rsidRPr="00C138A6">
        <w:rPr>
          <w:b/>
        </w:rPr>
        <w:t>4.  Efforts to Identify Duplication:</w:t>
      </w:r>
    </w:p>
    <w:p w:rsidRPr="00F367A7" w:rsidR="00CF534E" w:rsidRDefault="00CF534E" w14:paraId="47D27E0A" w14:textId="77777777"/>
    <w:p w:rsidR="005E0449" w:rsidP="005E0449" w:rsidRDefault="005E0449" w14:paraId="08234DAD" w14:textId="77777777">
      <w:r>
        <w:t>The FBI is the only federal repository for the data from this information collection.</w:t>
      </w:r>
    </w:p>
    <w:p w:rsidRPr="00E5771F" w:rsidR="009D63B1" w:rsidRDefault="006B03D5" w14:paraId="5FC4A062" w14:textId="77777777">
      <w:pPr>
        <w:rPr>
          <w:color w:val="FF0000"/>
        </w:rPr>
      </w:pPr>
      <w:r w:rsidRPr="00E5771F">
        <w:rPr>
          <w:color w:val="FF0000"/>
        </w:rPr>
        <w:t xml:space="preserve"> </w:t>
      </w:r>
    </w:p>
    <w:p w:rsidRPr="00F367A7" w:rsidR="00CF534E" w:rsidRDefault="00CF534E" w14:paraId="1549BD39" w14:textId="77777777">
      <w:r w:rsidRPr="00C138A6">
        <w:rPr>
          <w:b/>
        </w:rPr>
        <w:t>5.   Methods to Minimize Burden on Small Businesses</w:t>
      </w:r>
      <w:r w:rsidRPr="00F367A7">
        <w:t>:</w:t>
      </w:r>
    </w:p>
    <w:p w:rsidRPr="00F367A7" w:rsidR="00CF534E" w:rsidRDefault="00CF534E" w14:paraId="48ED0395" w14:textId="77777777"/>
    <w:p w:rsidR="005E0449" w:rsidP="005E0449" w:rsidRDefault="005E0449" w14:paraId="787C00B7" w14:textId="77777777">
      <w:r>
        <w:t>This information will have no significant impact on small entities.  Small businesses will not be affected by this collection.</w:t>
      </w:r>
    </w:p>
    <w:p w:rsidRPr="00F367A7" w:rsidR="00E5771F" w:rsidRDefault="00E5771F" w14:paraId="27D38857" w14:textId="77777777"/>
    <w:p w:rsidRPr="00F367A7" w:rsidR="00CF534E" w:rsidRDefault="00CF534E" w14:paraId="7922345D" w14:textId="77777777">
      <w:r w:rsidRPr="00C138A6">
        <w:rPr>
          <w:b/>
        </w:rPr>
        <w:t>6.  Consequences of Less Frequent Collection</w:t>
      </w:r>
      <w:r w:rsidRPr="00F367A7">
        <w:t>:</w:t>
      </w:r>
    </w:p>
    <w:p w:rsidRPr="00F367A7" w:rsidR="00CF534E" w:rsidP="006709C9" w:rsidRDefault="00CF534E" w14:paraId="303FCDEB" w14:textId="77777777">
      <w:pPr>
        <w:ind w:firstLine="720"/>
      </w:pPr>
    </w:p>
    <w:p w:rsidR="005E0449" w:rsidP="005E0449" w:rsidRDefault="005E0449" w14:paraId="6A8D22AF" w14:textId="77777777">
      <w:r>
        <w:t xml:space="preserve">If the collection is not conducted or conducted less frequently, the identity history summary information provided for use by all contributing agencies would be incomplete and inaccurate.  The law enforcement community has an ever-increasing need for timely and accurate data.  Obtaining the I-12 is pertinent to ensure supervisory agencies are notified if their individual conducts further criminal activity. </w:t>
      </w:r>
    </w:p>
    <w:p w:rsidRPr="00E5771F" w:rsidR="00E5771F" w:rsidRDefault="00E5771F" w14:paraId="0BF87AE7" w14:textId="77777777">
      <w:pPr>
        <w:rPr>
          <w:color w:val="FF0000"/>
        </w:rPr>
      </w:pPr>
    </w:p>
    <w:p w:rsidRPr="00F367A7" w:rsidR="00E5771F" w:rsidRDefault="00E5771F" w14:paraId="568FA6C4" w14:textId="77777777"/>
    <w:p w:rsidRPr="00346D80" w:rsidR="00CF534E" w:rsidRDefault="00CF534E" w14:paraId="5FFD858B" w14:textId="77777777">
      <w:pPr>
        <w:rPr>
          <w:b/>
        </w:rPr>
      </w:pPr>
      <w:r w:rsidRPr="00346D80">
        <w:rPr>
          <w:b/>
        </w:rPr>
        <w:t>7.  Special Circumstances Influencing Collection:</w:t>
      </w:r>
    </w:p>
    <w:p w:rsidRPr="00346D80" w:rsidR="00CF534E" w:rsidRDefault="00CF534E" w14:paraId="1BF90542" w14:textId="77777777"/>
    <w:p w:rsidRPr="00E5771F" w:rsidR="00590C24" w:rsidP="009D63B1" w:rsidRDefault="005E0449" w14:paraId="3B4B6DB3" w14:textId="1B87B865">
      <w:pPr>
        <w:rPr>
          <w:color w:val="FF0000"/>
        </w:rPr>
      </w:pPr>
      <w:r>
        <w:t>The I-12 submissions are collected and processed from participating agencies, as necessary.  All stored identity history summary information is inclusive of only that information which has been provided.</w:t>
      </w:r>
    </w:p>
    <w:p w:rsidR="00FE2EFF" w:rsidP="009D63B1" w:rsidRDefault="00FE2EFF" w14:paraId="57BC32C2" w14:textId="77777777"/>
    <w:p w:rsidR="00CF534E" w:rsidRDefault="00CF534E" w14:paraId="69F4284C" w14:textId="77777777">
      <w:pPr>
        <w:rPr>
          <w:b/>
        </w:rPr>
      </w:pPr>
      <w:r w:rsidRPr="00C138A6">
        <w:rPr>
          <w:b/>
        </w:rPr>
        <w:lastRenderedPageBreak/>
        <w:t>8.  Public Comments and Consultations:</w:t>
      </w:r>
    </w:p>
    <w:p w:rsidR="00E5771F" w:rsidP="00E5771F" w:rsidRDefault="00E5771F" w14:paraId="56BAD40F" w14:textId="77777777">
      <w:pPr>
        <w:pStyle w:val="Default"/>
      </w:pPr>
    </w:p>
    <w:p w:rsidR="005E0449" w:rsidP="005E0449" w:rsidRDefault="005E0449" w14:paraId="39A505B7" w14:textId="77777777">
      <w:r>
        <w:t>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have been published and no comments have been received.</w:t>
      </w:r>
    </w:p>
    <w:p w:rsidRPr="00F367A7" w:rsidR="00CF534E" w:rsidRDefault="00CF534E" w14:paraId="16FF0663" w14:textId="77777777"/>
    <w:p w:rsidRPr="00F367A7" w:rsidR="00CF534E" w:rsidRDefault="00CF534E" w14:paraId="50A4D38A" w14:textId="77777777">
      <w:r w:rsidRPr="00C138A6">
        <w:rPr>
          <w:b/>
        </w:rPr>
        <w:t>9.  Payment of Gift to Claimants</w:t>
      </w:r>
      <w:r w:rsidRPr="00F367A7">
        <w:t>:</w:t>
      </w:r>
    </w:p>
    <w:p w:rsidRPr="00F367A7" w:rsidR="00CF534E" w:rsidRDefault="00CF534E" w14:paraId="5E542B39" w14:textId="77777777"/>
    <w:p w:rsidR="005E0449" w:rsidP="005E0449" w:rsidRDefault="005E0449" w14:paraId="3586BD02" w14:textId="77777777">
      <w:r>
        <w:t>The FBI does not provide any payment or gift to respondents.</w:t>
      </w:r>
    </w:p>
    <w:p w:rsidR="005E0449" w:rsidRDefault="005E0449" w14:paraId="4A4E12FB" w14:textId="77777777">
      <w:pPr>
        <w:rPr>
          <w:b/>
        </w:rPr>
      </w:pPr>
    </w:p>
    <w:p w:rsidRPr="00F367A7" w:rsidR="00CF534E" w:rsidRDefault="00CF534E" w14:paraId="30D80454" w14:textId="4D622C66">
      <w:r w:rsidRPr="00C138A6">
        <w:rPr>
          <w:b/>
        </w:rPr>
        <w:t>10.  Assurance of Confidentiality</w:t>
      </w:r>
      <w:r w:rsidRPr="00F367A7">
        <w:t>:</w:t>
      </w:r>
    </w:p>
    <w:p w:rsidRPr="00F367A7" w:rsidR="00CF534E" w:rsidRDefault="00CF534E" w14:paraId="6A2AC6AE" w14:textId="77777777"/>
    <w:p w:rsidR="005E0449" w:rsidP="005E0449" w:rsidRDefault="005E0449" w14:paraId="7DA3C40C" w14:textId="77777777">
      <w:r>
        <w:t>Information requested in this collection may be considered confidential business information.  Its release is governed by law, regulations, and agency procedures.</w:t>
      </w:r>
    </w:p>
    <w:p w:rsidRPr="00F367A7" w:rsidR="00C03063" w:rsidRDefault="00C03063" w14:paraId="6E123A9E" w14:textId="77777777"/>
    <w:p w:rsidRPr="00F367A7" w:rsidR="00C03063" w:rsidRDefault="00C03063" w14:paraId="4C5FB915" w14:textId="77777777">
      <w:pPr>
        <w:sectPr w:rsidRPr="00F367A7" w:rsidR="00C03063">
          <w:type w:val="continuous"/>
          <w:pgSz w:w="12240" w:h="15840"/>
          <w:pgMar w:top="1440" w:right="1440" w:bottom="1350" w:left="1440" w:header="1440" w:footer="1350" w:gutter="0"/>
          <w:cols w:space="720"/>
          <w:noEndnote/>
        </w:sectPr>
      </w:pPr>
    </w:p>
    <w:p w:rsidRPr="00C138A6" w:rsidR="00CF534E" w:rsidRDefault="00CF534E" w14:paraId="0F4C33DF" w14:textId="77777777">
      <w:pPr>
        <w:rPr>
          <w:b/>
        </w:rPr>
      </w:pPr>
      <w:r w:rsidRPr="00C138A6">
        <w:rPr>
          <w:b/>
        </w:rPr>
        <w:t>11.  Justification for Sensitive Questions:</w:t>
      </w:r>
    </w:p>
    <w:p w:rsidRPr="00F367A7" w:rsidR="00CF534E" w:rsidRDefault="00CF534E" w14:paraId="796EB24C" w14:textId="77777777"/>
    <w:p w:rsidR="005E0449" w:rsidP="005E0449" w:rsidRDefault="005E0449" w14:paraId="40B505AE" w14:textId="77777777">
      <w:r>
        <w:t>This collection does not include questions of a sensitive nature.</w:t>
      </w:r>
    </w:p>
    <w:p w:rsidRPr="00F367A7" w:rsidR="00FD5F0A" w:rsidRDefault="00FD5F0A" w14:paraId="702D8065" w14:textId="77777777"/>
    <w:p w:rsidR="00FD5F0A" w:rsidRDefault="009D63B1" w14:paraId="1CA39196" w14:textId="77777777">
      <w:pPr>
        <w:rPr>
          <w:b/>
        </w:rPr>
      </w:pPr>
      <w:r w:rsidRPr="00C138A6">
        <w:rPr>
          <w:b/>
        </w:rPr>
        <w:t>1</w:t>
      </w:r>
      <w:r w:rsidRPr="00C138A6" w:rsidR="00B50EA9">
        <w:rPr>
          <w:b/>
        </w:rPr>
        <w:t>2.  Estimate of Hour Burden:</w:t>
      </w:r>
    </w:p>
    <w:p w:rsidR="00FD5F0A" w:rsidP="00FD5F0A" w:rsidRDefault="00FD5F0A" w14:paraId="4A14FABD" w14:textId="77777777">
      <w:pPr>
        <w:pStyle w:val="Default"/>
      </w:pPr>
    </w:p>
    <w:p w:rsidR="00D06852" w:rsidP="00D06852" w:rsidRDefault="00D06852" w14:paraId="3351C8FF" w14:textId="77777777">
      <w:r>
        <w:t>Number of respondents</w:t>
      </w:r>
      <w:r>
        <w:tab/>
        <w:t>1,057</w:t>
      </w:r>
    </w:p>
    <w:p w:rsidR="00D06852" w:rsidP="00D06852" w:rsidRDefault="00D06852" w14:paraId="6398A72A" w14:textId="77777777">
      <w:r>
        <w:t>Frequency of response</w:t>
      </w:r>
      <w:r>
        <w:tab/>
        <w:t>as needed</w:t>
      </w:r>
    </w:p>
    <w:p w:rsidR="00D06852" w:rsidP="00D06852" w:rsidRDefault="00D06852" w14:paraId="7251EFDD" w14:textId="77777777">
      <w:r>
        <w:t>Total annual responses</w:t>
      </w:r>
      <w:r>
        <w:tab/>
        <w:t>174,337</w:t>
      </w:r>
    </w:p>
    <w:p w:rsidR="00D06852" w:rsidP="00D06852" w:rsidRDefault="00D06852" w14:paraId="4C6BE9EB" w14:textId="77777777">
      <w:r>
        <w:t>Minutes per response</w:t>
      </w:r>
      <w:r>
        <w:tab/>
      </w:r>
      <w:r>
        <w:tab/>
        <w:t>8 minutes</w:t>
      </w:r>
    </w:p>
    <w:p w:rsidR="00D06852" w:rsidP="00D06852" w:rsidRDefault="00D06852" w14:paraId="62F9C74B" w14:textId="77777777">
      <w:r>
        <w:t>Annual hour burden</w:t>
      </w:r>
      <w:r>
        <w:tab/>
      </w:r>
      <w:r>
        <w:tab/>
        <w:t>23,245 hours</w:t>
      </w:r>
    </w:p>
    <w:p w:rsidR="00D06852" w:rsidP="00D06852" w:rsidRDefault="00D06852" w14:paraId="235F69CE" w14:textId="77777777"/>
    <w:p w:rsidR="00D06852" w:rsidP="00D06852" w:rsidRDefault="00D06852" w14:paraId="1E6ACA59" w14:textId="72BBAEDE">
      <w:r>
        <w:t xml:space="preserve">The total annual response is calculated by including both electronic and paper receipts.  According to the incoming tracking, the CJIS Division received 6,057 I-12 forms from January through December 2021.  There were 168,280 electronic responses from January and December 2021.  The annual hour burden was determined by dividing the total recent annual responses (174,337) by 7.5 (as 7.5 forms could be completed within 1 hour at 8 minutes per form). This total should equal 23,245 hours.  </w:t>
      </w:r>
    </w:p>
    <w:p w:rsidR="00D06852" w:rsidP="00D06852" w:rsidRDefault="00D06852" w14:paraId="01E168E4" w14:textId="77777777"/>
    <w:p w:rsidRPr="00F367A7" w:rsidR="00CF534E" w:rsidRDefault="00CF534E" w14:paraId="5918E716" w14:textId="77777777"/>
    <w:p w:rsidRPr="00C138A6" w:rsidR="00CF534E" w:rsidRDefault="00CF534E" w14:paraId="2B6609B7" w14:textId="77777777">
      <w:pPr>
        <w:rPr>
          <w:b/>
        </w:rPr>
      </w:pPr>
      <w:r w:rsidRPr="00C138A6">
        <w:rPr>
          <w:b/>
        </w:rPr>
        <w:t>13.  Estimate of Cost Burden:</w:t>
      </w:r>
    </w:p>
    <w:p w:rsidRPr="00F367A7" w:rsidR="00CF534E" w:rsidRDefault="00CF534E" w14:paraId="048F7957" w14:textId="77777777"/>
    <w:p w:rsidR="00FD5F0A" w:rsidRDefault="005E0449" w14:paraId="0E8F3480" w14:textId="4492A34E">
      <w:r>
        <w:t>Respondents will not incur any costs other than their time to respond.  Respondents will not incur any capital, start up, or system maintenance costs associated with this information collection.</w:t>
      </w:r>
    </w:p>
    <w:p w:rsidRPr="00F367A7" w:rsidR="005E0449" w:rsidRDefault="005E0449" w14:paraId="488FB915" w14:textId="77777777"/>
    <w:p w:rsidRPr="00C138A6" w:rsidR="00CF534E" w:rsidRDefault="00CF534E" w14:paraId="26DDD38A" w14:textId="77777777">
      <w:pPr>
        <w:rPr>
          <w:b/>
        </w:rPr>
      </w:pPr>
      <w:r w:rsidRPr="00C138A6">
        <w:rPr>
          <w:b/>
        </w:rPr>
        <w:lastRenderedPageBreak/>
        <w:t>14.  Estimated Annualized Costs to Federal Government:</w:t>
      </w:r>
    </w:p>
    <w:p w:rsidRPr="00F367A7" w:rsidR="00CF534E" w:rsidRDefault="00CF534E" w14:paraId="27092216" w14:textId="77777777"/>
    <w:p w:rsidR="00FD5F0A" w:rsidP="00FD5F0A" w:rsidRDefault="00FD5F0A" w14:paraId="246D6E60" w14:textId="77777777">
      <w:pPr>
        <w:pStyle w:val="Default"/>
      </w:pPr>
    </w:p>
    <w:p w:rsidR="00D06852" w:rsidP="00D06852" w:rsidRDefault="00D06852" w14:paraId="468A371C" w14:textId="746978EC">
      <w:pPr>
        <w:tabs>
          <w:tab w:val="left" w:pos="-1440"/>
        </w:tabs>
        <w:ind w:left="3600" w:hanging="3600"/>
      </w:pPr>
      <w:r>
        <w:t xml:space="preserve">Personnel Salaries:  </w:t>
      </w:r>
      <w:r>
        <w:tab/>
        <w:t>$ 963,992.32</w:t>
      </w:r>
    </w:p>
    <w:p w:rsidR="00D06852" w:rsidP="00D06852" w:rsidRDefault="00D06852" w14:paraId="3F70F554" w14:textId="77777777">
      <w:pPr>
        <w:tabs>
          <w:tab w:val="left" w:pos="-1440"/>
        </w:tabs>
        <w:ind w:left="3600" w:hanging="3600"/>
      </w:pPr>
      <w:r>
        <w:t xml:space="preserve">Analysis of incoming information:  </w:t>
      </w:r>
      <w:r>
        <w:tab/>
        <w:t>$ 0</w:t>
      </w:r>
    </w:p>
    <w:p w:rsidR="00D06852" w:rsidP="00D06852" w:rsidRDefault="00D06852" w14:paraId="6B806E48" w14:textId="77777777">
      <w:pPr>
        <w:tabs>
          <w:tab w:val="left" w:pos="-1440"/>
        </w:tabs>
        <w:ind w:left="3600" w:hanging="3600"/>
      </w:pPr>
      <w:r>
        <w:t xml:space="preserve">Conversion to electronic format:   </w:t>
      </w:r>
      <w:r>
        <w:tab/>
        <w:t>$ 0</w:t>
      </w:r>
    </w:p>
    <w:p w:rsidR="00D06852" w:rsidP="00D06852" w:rsidRDefault="00D06852" w14:paraId="3913A709" w14:textId="77777777"/>
    <w:p w:rsidR="00D06852" w:rsidP="00D06852" w:rsidRDefault="00D06852" w14:paraId="41FBC6E2" w14:textId="77777777">
      <w:pPr>
        <w:tabs>
          <w:tab w:val="left" w:pos="-1440"/>
        </w:tabs>
        <w:ind w:left="3600" w:hanging="3600"/>
      </w:pPr>
      <w:r>
        <w:t xml:space="preserve">Total Cost:  </w:t>
      </w:r>
      <w:r>
        <w:tab/>
        <w:t xml:space="preserve">$ </w:t>
      </w:r>
      <w:bookmarkStart w:name="OLE_LINK1" w:id="0"/>
      <w:r>
        <w:t>963,992.32</w:t>
      </w:r>
      <w:bookmarkEnd w:id="0"/>
    </w:p>
    <w:p w:rsidR="00D06852" w:rsidP="00D06852" w:rsidRDefault="00D06852" w14:paraId="730991EF" w14:textId="77777777"/>
    <w:p w:rsidR="00D06852" w:rsidP="00D06852" w:rsidRDefault="00D06852" w14:paraId="513062C0" w14:textId="77777777">
      <w:r>
        <w:t xml:space="preserve">The CJIS Division has cross-trained personnel who process this form, but on average,  </w:t>
      </w:r>
    </w:p>
    <w:p w:rsidR="00D06852" w:rsidP="00D06852" w:rsidRDefault="00D06852" w14:paraId="4849535D" w14:textId="77777777">
      <w:r>
        <w:t>there are twelve full-time employees at the GS-8 level and one employee at the GS-9 level.    With benefits on GS-8 step 5 Salary ($56,154) and GS-9 step 5 ($62,024)</w:t>
      </w:r>
    </w:p>
    <w:p w:rsidR="00D06852" w:rsidP="00D06852" w:rsidRDefault="00D06852" w14:paraId="400FFB0A" w14:textId="77777777">
      <w:r>
        <w:t>with 31% accounted for benefits equals $73,561.74 per GS-8 employee and $81,251.44 per GS-9 employee.  The estimated annual cost to the government for personnel salaries and for the process/analyze of the forms is $963,992.32.  There is no cost for conversion to electronic format because currently, transferring the information to electronic format requires data entry which is included in the cost of the analysis of incoming information.</w:t>
      </w:r>
    </w:p>
    <w:p w:rsidRPr="00F367A7" w:rsidR="00CF534E" w:rsidP="00D06852" w:rsidRDefault="00CF534E" w14:paraId="7202CB96" w14:textId="401E89D2">
      <w:pPr>
        <w:tabs>
          <w:tab w:val="left" w:pos="-1440"/>
        </w:tabs>
        <w:ind w:left="3600" w:hanging="3600"/>
      </w:pPr>
    </w:p>
    <w:p w:rsidRPr="00C138A6" w:rsidR="00CF534E" w:rsidRDefault="00CF534E" w14:paraId="70492383" w14:textId="77777777">
      <w:pPr>
        <w:rPr>
          <w:b/>
        </w:rPr>
      </w:pPr>
      <w:r w:rsidRPr="00C138A6">
        <w:rPr>
          <w:b/>
        </w:rPr>
        <w:t>15.  Reasons for Change in Burden:</w:t>
      </w:r>
    </w:p>
    <w:p w:rsidR="00FD5F0A" w:rsidP="00FD5F0A" w:rsidRDefault="00FD5F0A" w14:paraId="40E459B1" w14:textId="77777777">
      <w:pPr>
        <w:pStyle w:val="Default"/>
      </w:pPr>
    </w:p>
    <w:p w:rsidR="00D06852" w:rsidP="00D06852" w:rsidRDefault="00D06852" w14:paraId="2901932F" w14:textId="77777777">
      <w:r>
        <w:t>The number of receipts decreased by 19,950 flashes.  This number fluctuates based on the number of subjects put on supervision/probation.</w:t>
      </w:r>
    </w:p>
    <w:p w:rsidR="00D06852" w:rsidRDefault="00D06852" w14:paraId="76E04F2F" w14:textId="77777777">
      <w:pPr>
        <w:rPr>
          <w:b/>
        </w:rPr>
      </w:pPr>
    </w:p>
    <w:p w:rsidRPr="00C138A6" w:rsidR="00CF534E" w:rsidRDefault="00CF534E" w14:paraId="492CBBE3" w14:textId="6A45126A">
      <w:pPr>
        <w:rPr>
          <w:b/>
        </w:rPr>
      </w:pPr>
      <w:r w:rsidRPr="00C138A6">
        <w:rPr>
          <w:b/>
        </w:rPr>
        <w:t>16.  Plans for Publication:</w:t>
      </w:r>
    </w:p>
    <w:p w:rsidRPr="00FD5F0A" w:rsidR="00FD5F0A" w:rsidP="00FD5F0A" w:rsidRDefault="00FD5F0A" w14:paraId="5430E20F" w14:textId="77777777"/>
    <w:p w:rsidR="005E0449" w:rsidP="005E0449" w:rsidRDefault="005E0449" w14:paraId="4EBEC90C" w14:textId="77777777">
      <w:pPr>
        <w:rPr>
          <w:color w:val="000000" w:themeColor="text1"/>
        </w:rPr>
      </w:pPr>
      <w:r>
        <w:rPr>
          <w:color w:val="000000" w:themeColor="text1"/>
        </w:rPr>
        <w:t>There are no plans to publish the information collected.</w:t>
      </w:r>
    </w:p>
    <w:p w:rsidR="000446AC" w:rsidRDefault="000446AC" w14:paraId="7D1AE8D4" w14:textId="77777777"/>
    <w:p w:rsidRPr="008D6AB0" w:rsidR="00CF534E" w:rsidRDefault="00CF534E" w14:paraId="0C62F671" w14:textId="77777777">
      <w:r w:rsidRPr="00C138A6">
        <w:rPr>
          <w:b/>
        </w:rPr>
        <w:t>17.  Expiration Date Approval:</w:t>
      </w:r>
    </w:p>
    <w:p w:rsidRPr="00F367A7" w:rsidR="00CF534E" w:rsidRDefault="00CF534E" w14:paraId="4B951668" w14:textId="77777777"/>
    <w:p w:rsidR="005E0449" w:rsidP="005E0449" w:rsidRDefault="005E0449" w14:paraId="0E5FBD05" w14:textId="77777777">
      <w:pPr>
        <w:rPr>
          <w:color w:val="000000" w:themeColor="text1"/>
        </w:rPr>
      </w:pPr>
      <w:r>
        <w:rPr>
          <w:color w:val="000000" w:themeColor="text1"/>
        </w:rPr>
        <w:t>Due to the administrative burdens related to replacing expired forms when no information on those forms has been changed, the FBI is requesting approval to not display the expiration date for OMB approval of the information collected.</w:t>
      </w:r>
    </w:p>
    <w:p w:rsidRPr="00C138A6" w:rsidR="000446AC" w:rsidRDefault="000446AC" w14:paraId="7F3F69F1" w14:textId="77777777">
      <w:pPr>
        <w:rPr>
          <w:b/>
        </w:rPr>
      </w:pPr>
    </w:p>
    <w:p w:rsidRPr="00C138A6" w:rsidR="00CF534E" w:rsidRDefault="00CF534E" w14:paraId="3ED03172" w14:textId="77777777">
      <w:pPr>
        <w:rPr>
          <w:b/>
        </w:rPr>
      </w:pPr>
      <w:r w:rsidRPr="00C138A6">
        <w:rPr>
          <w:b/>
        </w:rPr>
        <w:t>18.  Exceptions to the Certification Statement:</w:t>
      </w:r>
    </w:p>
    <w:p w:rsidRPr="00F367A7" w:rsidR="00CF534E" w:rsidRDefault="00CF534E" w14:paraId="5405B5A9" w14:textId="77777777"/>
    <w:p w:rsidRPr="000446AC" w:rsidR="000446AC" w:rsidRDefault="005E0449" w14:paraId="7A16E6AA" w14:textId="7AA497A5">
      <w:pPr>
        <w:rPr>
          <w:color w:val="FF0000"/>
        </w:rPr>
      </w:pPr>
      <w:r>
        <w:rPr>
          <w:color w:val="000000" w:themeColor="text1"/>
        </w:rPr>
        <w:t>There are no exceptions to the certification statement.</w:t>
      </w:r>
    </w:p>
    <w:p w:rsidR="003B1780" w:rsidP="005E0449" w:rsidRDefault="003B1780" w14:paraId="06FEF64D" w14:textId="77777777">
      <w:pPr>
        <w:rPr>
          <w:color w:val="000000" w:themeColor="text1"/>
        </w:rPr>
      </w:pPr>
    </w:p>
    <w:p w:rsidR="005E0449" w:rsidP="005E0449" w:rsidRDefault="005E0449" w14:paraId="30AA35D6" w14:textId="175A8723">
      <w:pPr>
        <w:rPr>
          <w:color w:val="000000" w:themeColor="text1"/>
        </w:rPr>
      </w:pPr>
      <w:r>
        <w:rPr>
          <w:color w:val="000000" w:themeColor="text1"/>
        </w:rPr>
        <w:t>Part B.  Statistical Methods</w:t>
      </w:r>
    </w:p>
    <w:p w:rsidR="005E0449" w:rsidP="005E0449" w:rsidRDefault="005E0449" w14:paraId="0CE01A9A" w14:textId="77777777">
      <w:pPr>
        <w:rPr>
          <w:color w:val="FF0000"/>
        </w:rPr>
      </w:pPr>
    </w:p>
    <w:p w:rsidR="005E0449" w:rsidP="005E0449" w:rsidRDefault="005E0449" w14:paraId="0C6940D8" w14:textId="77777777">
      <w:r>
        <w:t xml:space="preserve">The FBI does not employ statistical methods in this information collection. </w:t>
      </w:r>
    </w:p>
    <w:p w:rsidRPr="00F367A7" w:rsidR="00F367A7" w:rsidP="005E0449" w:rsidRDefault="00F367A7" w14:paraId="57467D34" w14:textId="77777777"/>
    <w:sectPr w:rsidRPr="00F367A7" w:rsidR="00F367A7"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1435" w14:textId="77777777" w:rsidR="00941CF7" w:rsidRDefault="00941CF7" w:rsidP="00CF534E">
      <w:r>
        <w:separator/>
      </w:r>
    </w:p>
  </w:endnote>
  <w:endnote w:type="continuationSeparator" w:id="0">
    <w:p w14:paraId="211A1034" w14:textId="77777777" w:rsidR="00941CF7" w:rsidRDefault="00941CF7"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81D6" w14:textId="77777777" w:rsidR="00FB0F98" w:rsidRDefault="00FB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F8E3" w14:textId="77777777" w:rsidR="003123AE" w:rsidRDefault="003123AE">
    <w:pPr>
      <w:spacing w:line="240" w:lineRule="exact"/>
    </w:pPr>
  </w:p>
  <w:p w14:paraId="0C0607B1" w14:textId="77777777" w:rsidR="003123AE" w:rsidRDefault="00154C0F">
    <w:pPr>
      <w:framePr w:w="9361" w:wrap="notBeside" w:vAnchor="text" w:hAnchor="text" w:x="1" w:y="1"/>
      <w:jc w:val="center"/>
    </w:pPr>
    <w:r>
      <w:fldChar w:fldCharType="begin"/>
    </w:r>
    <w:r>
      <w:instrText xml:space="preserve">PAGE </w:instrText>
    </w:r>
    <w:r>
      <w:fldChar w:fldCharType="separate"/>
    </w:r>
    <w:r w:rsidR="000446AC">
      <w:rPr>
        <w:noProof/>
      </w:rPr>
      <w:t>4</w:t>
    </w:r>
    <w:r>
      <w:rPr>
        <w:noProof/>
      </w:rPr>
      <w:fldChar w:fldCharType="end"/>
    </w:r>
  </w:p>
  <w:p w14:paraId="5E61C201" w14:textId="77777777" w:rsidR="003123AE" w:rsidRDefault="00312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E5E2" w14:textId="77777777" w:rsidR="00FB0F98" w:rsidRDefault="00FB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CA3B" w14:textId="77777777" w:rsidR="00941CF7" w:rsidRDefault="00941CF7" w:rsidP="00CF534E">
      <w:r>
        <w:separator/>
      </w:r>
    </w:p>
  </w:footnote>
  <w:footnote w:type="continuationSeparator" w:id="0">
    <w:p w14:paraId="1515C96A" w14:textId="77777777" w:rsidR="00941CF7" w:rsidRDefault="00941CF7" w:rsidP="00CF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37B5" w14:textId="77777777" w:rsidR="00FB0F98" w:rsidRDefault="00FB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148A" w14:textId="77777777" w:rsidR="00FB0F98" w:rsidRDefault="00FB0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9089" w14:textId="77777777" w:rsidR="00FB0F98" w:rsidRDefault="00FB0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A7C14"/>
    <w:multiLevelType w:val="hybridMultilevel"/>
    <w:tmpl w:val="58F8A878"/>
    <w:lvl w:ilvl="0" w:tplc="B514611E">
      <w:start w:val="1"/>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F8715E"/>
    <w:multiLevelType w:val="hybridMultilevel"/>
    <w:tmpl w:val="F5C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14BE4"/>
    <w:rsid w:val="000159FF"/>
    <w:rsid w:val="000446AC"/>
    <w:rsid w:val="00051326"/>
    <w:rsid w:val="00094DE9"/>
    <w:rsid w:val="000F3A40"/>
    <w:rsid w:val="001247DB"/>
    <w:rsid w:val="00125537"/>
    <w:rsid w:val="00127BA3"/>
    <w:rsid w:val="00132F41"/>
    <w:rsid w:val="001467FE"/>
    <w:rsid w:val="00154C0F"/>
    <w:rsid w:val="00166668"/>
    <w:rsid w:val="001742ED"/>
    <w:rsid w:val="00187061"/>
    <w:rsid w:val="001941C3"/>
    <w:rsid w:val="001A39BA"/>
    <w:rsid w:val="001C1774"/>
    <w:rsid w:val="001C6E60"/>
    <w:rsid w:val="001E28AD"/>
    <w:rsid w:val="00204B3A"/>
    <w:rsid w:val="00265D4B"/>
    <w:rsid w:val="002E6717"/>
    <w:rsid w:val="003066BD"/>
    <w:rsid w:val="003123AE"/>
    <w:rsid w:val="003239D6"/>
    <w:rsid w:val="00341957"/>
    <w:rsid w:val="00346D80"/>
    <w:rsid w:val="0038414C"/>
    <w:rsid w:val="003B1780"/>
    <w:rsid w:val="0041718C"/>
    <w:rsid w:val="00430801"/>
    <w:rsid w:val="00433727"/>
    <w:rsid w:val="004522F7"/>
    <w:rsid w:val="00453E67"/>
    <w:rsid w:val="004559A7"/>
    <w:rsid w:val="004634AF"/>
    <w:rsid w:val="00472D01"/>
    <w:rsid w:val="004969B1"/>
    <w:rsid w:val="004B7FDA"/>
    <w:rsid w:val="004C0E01"/>
    <w:rsid w:val="004E4BFA"/>
    <w:rsid w:val="004E7D14"/>
    <w:rsid w:val="0051681F"/>
    <w:rsid w:val="00523BD8"/>
    <w:rsid w:val="00526E4C"/>
    <w:rsid w:val="005367FD"/>
    <w:rsid w:val="00544663"/>
    <w:rsid w:val="00556E8B"/>
    <w:rsid w:val="00565912"/>
    <w:rsid w:val="00565B81"/>
    <w:rsid w:val="00590C24"/>
    <w:rsid w:val="00594BFE"/>
    <w:rsid w:val="005B0BE3"/>
    <w:rsid w:val="005C586F"/>
    <w:rsid w:val="005E0449"/>
    <w:rsid w:val="005E3BE7"/>
    <w:rsid w:val="005F30DF"/>
    <w:rsid w:val="00603BDD"/>
    <w:rsid w:val="0066255D"/>
    <w:rsid w:val="006709C9"/>
    <w:rsid w:val="00670F9E"/>
    <w:rsid w:val="006936C2"/>
    <w:rsid w:val="006B03D5"/>
    <w:rsid w:val="006C0A78"/>
    <w:rsid w:val="006C4C9D"/>
    <w:rsid w:val="006C736D"/>
    <w:rsid w:val="006F47B7"/>
    <w:rsid w:val="006F7513"/>
    <w:rsid w:val="00715A71"/>
    <w:rsid w:val="00751FAD"/>
    <w:rsid w:val="007A5F3F"/>
    <w:rsid w:val="007B1FA1"/>
    <w:rsid w:val="007B3501"/>
    <w:rsid w:val="007C6493"/>
    <w:rsid w:val="007C6C6B"/>
    <w:rsid w:val="007D1AC8"/>
    <w:rsid w:val="007D2DFA"/>
    <w:rsid w:val="007E4298"/>
    <w:rsid w:val="007F5D22"/>
    <w:rsid w:val="007F7306"/>
    <w:rsid w:val="008055D2"/>
    <w:rsid w:val="00807E63"/>
    <w:rsid w:val="008311AE"/>
    <w:rsid w:val="00842DDB"/>
    <w:rsid w:val="00851731"/>
    <w:rsid w:val="008A76A0"/>
    <w:rsid w:val="008A7934"/>
    <w:rsid w:val="008C4A2D"/>
    <w:rsid w:val="008D6AB0"/>
    <w:rsid w:val="008F3A43"/>
    <w:rsid w:val="009021E6"/>
    <w:rsid w:val="00907209"/>
    <w:rsid w:val="009172E1"/>
    <w:rsid w:val="00941CF7"/>
    <w:rsid w:val="009B76E4"/>
    <w:rsid w:val="009D63B1"/>
    <w:rsid w:val="009E1BAD"/>
    <w:rsid w:val="009E7442"/>
    <w:rsid w:val="009F4A55"/>
    <w:rsid w:val="009F6FB6"/>
    <w:rsid w:val="00A51365"/>
    <w:rsid w:val="00A652E7"/>
    <w:rsid w:val="00A7449B"/>
    <w:rsid w:val="00A76A29"/>
    <w:rsid w:val="00A83ED0"/>
    <w:rsid w:val="00AA29C7"/>
    <w:rsid w:val="00AC33CA"/>
    <w:rsid w:val="00AD59F8"/>
    <w:rsid w:val="00AF134D"/>
    <w:rsid w:val="00B06AFE"/>
    <w:rsid w:val="00B35740"/>
    <w:rsid w:val="00B43917"/>
    <w:rsid w:val="00B50EA9"/>
    <w:rsid w:val="00B62D10"/>
    <w:rsid w:val="00B80B80"/>
    <w:rsid w:val="00B86C25"/>
    <w:rsid w:val="00B95EE1"/>
    <w:rsid w:val="00BA1DDC"/>
    <w:rsid w:val="00BC377C"/>
    <w:rsid w:val="00BC5CB3"/>
    <w:rsid w:val="00BD2B48"/>
    <w:rsid w:val="00BE2251"/>
    <w:rsid w:val="00C03063"/>
    <w:rsid w:val="00C138A6"/>
    <w:rsid w:val="00C70F3F"/>
    <w:rsid w:val="00C854CF"/>
    <w:rsid w:val="00CC66AB"/>
    <w:rsid w:val="00CC7DF4"/>
    <w:rsid w:val="00CD01D6"/>
    <w:rsid w:val="00CD5A8C"/>
    <w:rsid w:val="00CF534E"/>
    <w:rsid w:val="00CF5ACF"/>
    <w:rsid w:val="00D00FFA"/>
    <w:rsid w:val="00D06852"/>
    <w:rsid w:val="00D0797D"/>
    <w:rsid w:val="00D30D2C"/>
    <w:rsid w:val="00D40170"/>
    <w:rsid w:val="00D72430"/>
    <w:rsid w:val="00D817F8"/>
    <w:rsid w:val="00D91786"/>
    <w:rsid w:val="00D92AE6"/>
    <w:rsid w:val="00D93608"/>
    <w:rsid w:val="00D93C3A"/>
    <w:rsid w:val="00DA31A6"/>
    <w:rsid w:val="00DE580F"/>
    <w:rsid w:val="00DF1A0E"/>
    <w:rsid w:val="00DF2051"/>
    <w:rsid w:val="00E07F4D"/>
    <w:rsid w:val="00E1398C"/>
    <w:rsid w:val="00E52839"/>
    <w:rsid w:val="00E5771F"/>
    <w:rsid w:val="00E66622"/>
    <w:rsid w:val="00EA20FD"/>
    <w:rsid w:val="00ED319D"/>
    <w:rsid w:val="00ED364D"/>
    <w:rsid w:val="00ED7DD9"/>
    <w:rsid w:val="00F16DAA"/>
    <w:rsid w:val="00F367A7"/>
    <w:rsid w:val="00FA5540"/>
    <w:rsid w:val="00FB0F98"/>
    <w:rsid w:val="00FD5F0A"/>
    <w:rsid w:val="00FD6B0C"/>
    <w:rsid w:val="00FE2EFF"/>
    <w:rsid w:val="00FF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2E583"/>
  <w15:docId w15:val="{3532E8D8-DF5E-48DB-8C18-44EB5C6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 w:type="paragraph" w:customStyle="1" w:styleId="Default">
    <w:name w:val="Default"/>
    <w:rsid w:val="00E5771F"/>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5E0449"/>
    <w:pPr>
      <w:widowControl/>
      <w:autoSpaceDE/>
      <w:autoSpaceDN/>
      <w:adjustRightInd/>
      <w:spacing w:before="100" w:beforeAutospacing="1" w:after="100" w:afterAutospacing="1"/>
    </w:pPr>
    <w:rPr>
      <w:rFonts w:eastAsia="Times New Roman"/>
    </w:rPr>
  </w:style>
  <w:style w:type="paragraph" w:styleId="Header">
    <w:name w:val="header"/>
    <w:basedOn w:val="Normal"/>
    <w:link w:val="HeaderChar"/>
    <w:uiPriority w:val="99"/>
    <w:unhideWhenUsed/>
    <w:rsid w:val="00FB0F98"/>
    <w:pPr>
      <w:tabs>
        <w:tab w:val="center" w:pos="4680"/>
        <w:tab w:val="right" w:pos="9360"/>
      </w:tabs>
    </w:pPr>
  </w:style>
  <w:style w:type="character" w:customStyle="1" w:styleId="HeaderChar">
    <w:name w:val="Header Char"/>
    <w:basedOn w:val="DefaultParagraphFont"/>
    <w:link w:val="Header"/>
    <w:uiPriority w:val="99"/>
    <w:rsid w:val="00FB0F98"/>
    <w:rPr>
      <w:rFonts w:ascii="Times New Roman" w:hAnsi="Times New Roman" w:cs="Times New Roman"/>
      <w:sz w:val="24"/>
      <w:szCs w:val="24"/>
    </w:rPr>
  </w:style>
  <w:style w:type="paragraph" w:styleId="Footer">
    <w:name w:val="footer"/>
    <w:basedOn w:val="Normal"/>
    <w:link w:val="FooterChar"/>
    <w:uiPriority w:val="99"/>
    <w:unhideWhenUsed/>
    <w:rsid w:val="00FB0F98"/>
    <w:pPr>
      <w:tabs>
        <w:tab w:val="center" w:pos="4680"/>
        <w:tab w:val="right" w:pos="9360"/>
      </w:tabs>
    </w:pPr>
  </w:style>
  <w:style w:type="character" w:customStyle="1" w:styleId="FooterChar">
    <w:name w:val="Footer Char"/>
    <w:basedOn w:val="DefaultParagraphFont"/>
    <w:link w:val="Footer"/>
    <w:uiPriority w:val="99"/>
    <w:rsid w:val="00FB0F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2258">
      <w:bodyDiv w:val="1"/>
      <w:marLeft w:val="0"/>
      <w:marRight w:val="0"/>
      <w:marTop w:val="0"/>
      <w:marBottom w:val="0"/>
      <w:divBdr>
        <w:top w:val="none" w:sz="0" w:space="0" w:color="auto"/>
        <w:left w:val="none" w:sz="0" w:space="0" w:color="auto"/>
        <w:bottom w:val="none" w:sz="0" w:space="0" w:color="auto"/>
        <w:right w:val="none" w:sz="0" w:space="0" w:color="auto"/>
      </w:divBdr>
    </w:div>
    <w:div w:id="160780632">
      <w:bodyDiv w:val="1"/>
      <w:marLeft w:val="0"/>
      <w:marRight w:val="0"/>
      <w:marTop w:val="0"/>
      <w:marBottom w:val="0"/>
      <w:divBdr>
        <w:top w:val="none" w:sz="0" w:space="0" w:color="auto"/>
        <w:left w:val="none" w:sz="0" w:space="0" w:color="auto"/>
        <w:bottom w:val="none" w:sz="0" w:space="0" w:color="auto"/>
        <w:right w:val="none" w:sz="0" w:space="0" w:color="auto"/>
      </w:divBdr>
    </w:div>
    <w:div w:id="169224391">
      <w:bodyDiv w:val="1"/>
      <w:marLeft w:val="0"/>
      <w:marRight w:val="0"/>
      <w:marTop w:val="0"/>
      <w:marBottom w:val="0"/>
      <w:divBdr>
        <w:top w:val="none" w:sz="0" w:space="0" w:color="auto"/>
        <w:left w:val="none" w:sz="0" w:space="0" w:color="auto"/>
        <w:bottom w:val="none" w:sz="0" w:space="0" w:color="auto"/>
        <w:right w:val="none" w:sz="0" w:space="0" w:color="auto"/>
      </w:divBdr>
    </w:div>
    <w:div w:id="226458424">
      <w:bodyDiv w:val="1"/>
      <w:marLeft w:val="0"/>
      <w:marRight w:val="0"/>
      <w:marTop w:val="0"/>
      <w:marBottom w:val="0"/>
      <w:divBdr>
        <w:top w:val="none" w:sz="0" w:space="0" w:color="auto"/>
        <w:left w:val="none" w:sz="0" w:space="0" w:color="auto"/>
        <w:bottom w:val="none" w:sz="0" w:space="0" w:color="auto"/>
        <w:right w:val="none" w:sz="0" w:space="0" w:color="auto"/>
      </w:divBdr>
    </w:div>
    <w:div w:id="252277098">
      <w:bodyDiv w:val="1"/>
      <w:marLeft w:val="0"/>
      <w:marRight w:val="0"/>
      <w:marTop w:val="0"/>
      <w:marBottom w:val="0"/>
      <w:divBdr>
        <w:top w:val="none" w:sz="0" w:space="0" w:color="auto"/>
        <w:left w:val="none" w:sz="0" w:space="0" w:color="auto"/>
        <w:bottom w:val="none" w:sz="0" w:space="0" w:color="auto"/>
        <w:right w:val="none" w:sz="0" w:space="0" w:color="auto"/>
      </w:divBdr>
    </w:div>
    <w:div w:id="350837734">
      <w:bodyDiv w:val="1"/>
      <w:marLeft w:val="0"/>
      <w:marRight w:val="0"/>
      <w:marTop w:val="0"/>
      <w:marBottom w:val="0"/>
      <w:divBdr>
        <w:top w:val="none" w:sz="0" w:space="0" w:color="auto"/>
        <w:left w:val="none" w:sz="0" w:space="0" w:color="auto"/>
        <w:bottom w:val="none" w:sz="0" w:space="0" w:color="auto"/>
        <w:right w:val="none" w:sz="0" w:space="0" w:color="auto"/>
      </w:divBdr>
    </w:div>
    <w:div w:id="613286799">
      <w:bodyDiv w:val="1"/>
      <w:marLeft w:val="0"/>
      <w:marRight w:val="0"/>
      <w:marTop w:val="0"/>
      <w:marBottom w:val="0"/>
      <w:divBdr>
        <w:top w:val="none" w:sz="0" w:space="0" w:color="auto"/>
        <w:left w:val="none" w:sz="0" w:space="0" w:color="auto"/>
        <w:bottom w:val="none" w:sz="0" w:space="0" w:color="auto"/>
        <w:right w:val="none" w:sz="0" w:space="0" w:color="auto"/>
      </w:divBdr>
    </w:div>
    <w:div w:id="648092363">
      <w:bodyDiv w:val="1"/>
      <w:marLeft w:val="0"/>
      <w:marRight w:val="0"/>
      <w:marTop w:val="0"/>
      <w:marBottom w:val="0"/>
      <w:divBdr>
        <w:top w:val="none" w:sz="0" w:space="0" w:color="auto"/>
        <w:left w:val="none" w:sz="0" w:space="0" w:color="auto"/>
        <w:bottom w:val="none" w:sz="0" w:space="0" w:color="auto"/>
        <w:right w:val="none" w:sz="0" w:space="0" w:color="auto"/>
      </w:divBdr>
    </w:div>
    <w:div w:id="689911109">
      <w:bodyDiv w:val="1"/>
      <w:marLeft w:val="0"/>
      <w:marRight w:val="0"/>
      <w:marTop w:val="0"/>
      <w:marBottom w:val="0"/>
      <w:divBdr>
        <w:top w:val="none" w:sz="0" w:space="0" w:color="auto"/>
        <w:left w:val="none" w:sz="0" w:space="0" w:color="auto"/>
        <w:bottom w:val="none" w:sz="0" w:space="0" w:color="auto"/>
        <w:right w:val="none" w:sz="0" w:space="0" w:color="auto"/>
      </w:divBdr>
    </w:div>
    <w:div w:id="854415789">
      <w:bodyDiv w:val="1"/>
      <w:marLeft w:val="0"/>
      <w:marRight w:val="0"/>
      <w:marTop w:val="0"/>
      <w:marBottom w:val="0"/>
      <w:divBdr>
        <w:top w:val="none" w:sz="0" w:space="0" w:color="auto"/>
        <w:left w:val="none" w:sz="0" w:space="0" w:color="auto"/>
        <w:bottom w:val="none" w:sz="0" w:space="0" w:color="auto"/>
        <w:right w:val="none" w:sz="0" w:space="0" w:color="auto"/>
      </w:divBdr>
    </w:div>
    <w:div w:id="906649670">
      <w:bodyDiv w:val="1"/>
      <w:marLeft w:val="0"/>
      <w:marRight w:val="0"/>
      <w:marTop w:val="0"/>
      <w:marBottom w:val="0"/>
      <w:divBdr>
        <w:top w:val="none" w:sz="0" w:space="0" w:color="auto"/>
        <w:left w:val="none" w:sz="0" w:space="0" w:color="auto"/>
        <w:bottom w:val="none" w:sz="0" w:space="0" w:color="auto"/>
        <w:right w:val="none" w:sz="0" w:space="0" w:color="auto"/>
      </w:divBdr>
    </w:div>
    <w:div w:id="1028146841">
      <w:bodyDiv w:val="1"/>
      <w:marLeft w:val="0"/>
      <w:marRight w:val="0"/>
      <w:marTop w:val="0"/>
      <w:marBottom w:val="0"/>
      <w:divBdr>
        <w:top w:val="none" w:sz="0" w:space="0" w:color="auto"/>
        <w:left w:val="none" w:sz="0" w:space="0" w:color="auto"/>
        <w:bottom w:val="none" w:sz="0" w:space="0" w:color="auto"/>
        <w:right w:val="none" w:sz="0" w:space="0" w:color="auto"/>
      </w:divBdr>
    </w:div>
    <w:div w:id="1073508406">
      <w:bodyDiv w:val="1"/>
      <w:marLeft w:val="0"/>
      <w:marRight w:val="0"/>
      <w:marTop w:val="0"/>
      <w:marBottom w:val="0"/>
      <w:divBdr>
        <w:top w:val="none" w:sz="0" w:space="0" w:color="auto"/>
        <w:left w:val="none" w:sz="0" w:space="0" w:color="auto"/>
        <w:bottom w:val="none" w:sz="0" w:space="0" w:color="auto"/>
        <w:right w:val="none" w:sz="0" w:space="0" w:color="auto"/>
      </w:divBdr>
    </w:div>
    <w:div w:id="1110472933">
      <w:bodyDiv w:val="1"/>
      <w:marLeft w:val="0"/>
      <w:marRight w:val="0"/>
      <w:marTop w:val="0"/>
      <w:marBottom w:val="0"/>
      <w:divBdr>
        <w:top w:val="none" w:sz="0" w:space="0" w:color="auto"/>
        <w:left w:val="none" w:sz="0" w:space="0" w:color="auto"/>
        <w:bottom w:val="none" w:sz="0" w:space="0" w:color="auto"/>
        <w:right w:val="none" w:sz="0" w:space="0" w:color="auto"/>
      </w:divBdr>
    </w:div>
    <w:div w:id="1149638824">
      <w:bodyDiv w:val="1"/>
      <w:marLeft w:val="0"/>
      <w:marRight w:val="0"/>
      <w:marTop w:val="0"/>
      <w:marBottom w:val="0"/>
      <w:divBdr>
        <w:top w:val="none" w:sz="0" w:space="0" w:color="auto"/>
        <w:left w:val="none" w:sz="0" w:space="0" w:color="auto"/>
        <w:bottom w:val="none" w:sz="0" w:space="0" w:color="auto"/>
        <w:right w:val="none" w:sz="0" w:space="0" w:color="auto"/>
      </w:divBdr>
    </w:div>
    <w:div w:id="1153838637">
      <w:bodyDiv w:val="1"/>
      <w:marLeft w:val="0"/>
      <w:marRight w:val="0"/>
      <w:marTop w:val="0"/>
      <w:marBottom w:val="0"/>
      <w:divBdr>
        <w:top w:val="none" w:sz="0" w:space="0" w:color="auto"/>
        <w:left w:val="none" w:sz="0" w:space="0" w:color="auto"/>
        <w:bottom w:val="none" w:sz="0" w:space="0" w:color="auto"/>
        <w:right w:val="none" w:sz="0" w:space="0" w:color="auto"/>
      </w:divBdr>
    </w:div>
    <w:div w:id="1193492893">
      <w:bodyDiv w:val="1"/>
      <w:marLeft w:val="0"/>
      <w:marRight w:val="0"/>
      <w:marTop w:val="0"/>
      <w:marBottom w:val="0"/>
      <w:divBdr>
        <w:top w:val="none" w:sz="0" w:space="0" w:color="auto"/>
        <w:left w:val="none" w:sz="0" w:space="0" w:color="auto"/>
        <w:bottom w:val="none" w:sz="0" w:space="0" w:color="auto"/>
        <w:right w:val="none" w:sz="0" w:space="0" w:color="auto"/>
      </w:divBdr>
    </w:div>
    <w:div w:id="1280379403">
      <w:bodyDiv w:val="1"/>
      <w:marLeft w:val="0"/>
      <w:marRight w:val="0"/>
      <w:marTop w:val="0"/>
      <w:marBottom w:val="0"/>
      <w:divBdr>
        <w:top w:val="none" w:sz="0" w:space="0" w:color="auto"/>
        <w:left w:val="none" w:sz="0" w:space="0" w:color="auto"/>
        <w:bottom w:val="none" w:sz="0" w:space="0" w:color="auto"/>
        <w:right w:val="none" w:sz="0" w:space="0" w:color="auto"/>
      </w:divBdr>
    </w:div>
    <w:div w:id="1302079904">
      <w:bodyDiv w:val="1"/>
      <w:marLeft w:val="0"/>
      <w:marRight w:val="0"/>
      <w:marTop w:val="0"/>
      <w:marBottom w:val="0"/>
      <w:divBdr>
        <w:top w:val="none" w:sz="0" w:space="0" w:color="auto"/>
        <w:left w:val="none" w:sz="0" w:space="0" w:color="auto"/>
        <w:bottom w:val="none" w:sz="0" w:space="0" w:color="auto"/>
        <w:right w:val="none" w:sz="0" w:space="0" w:color="auto"/>
      </w:divBdr>
    </w:div>
    <w:div w:id="1522277297">
      <w:bodyDiv w:val="1"/>
      <w:marLeft w:val="0"/>
      <w:marRight w:val="0"/>
      <w:marTop w:val="0"/>
      <w:marBottom w:val="0"/>
      <w:divBdr>
        <w:top w:val="none" w:sz="0" w:space="0" w:color="auto"/>
        <w:left w:val="none" w:sz="0" w:space="0" w:color="auto"/>
        <w:bottom w:val="none" w:sz="0" w:space="0" w:color="auto"/>
        <w:right w:val="none" w:sz="0" w:space="0" w:color="auto"/>
      </w:divBdr>
    </w:div>
    <w:div w:id="1567490757">
      <w:bodyDiv w:val="1"/>
      <w:marLeft w:val="0"/>
      <w:marRight w:val="0"/>
      <w:marTop w:val="0"/>
      <w:marBottom w:val="0"/>
      <w:divBdr>
        <w:top w:val="none" w:sz="0" w:space="0" w:color="auto"/>
        <w:left w:val="none" w:sz="0" w:space="0" w:color="auto"/>
        <w:bottom w:val="none" w:sz="0" w:space="0" w:color="auto"/>
        <w:right w:val="none" w:sz="0" w:space="0" w:color="auto"/>
      </w:divBdr>
    </w:div>
    <w:div w:id="1918778765">
      <w:bodyDiv w:val="1"/>
      <w:marLeft w:val="0"/>
      <w:marRight w:val="0"/>
      <w:marTop w:val="0"/>
      <w:marBottom w:val="0"/>
      <w:divBdr>
        <w:top w:val="none" w:sz="0" w:space="0" w:color="auto"/>
        <w:left w:val="none" w:sz="0" w:space="0" w:color="auto"/>
        <w:bottom w:val="none" w:sz="0" w:space="0" w:color="auto"/>
        <w:right w:val="none" w:sz="0" w:space="0" w:color="auto"/>
      </w:divBdr>
    </w:div>
    <w:div w:id="2016305604">
      <w:bodyDiv w:val="1"/>
      <w:marLeft w:val="0"/>
      <w:marRight w:val="0"/>
      <w:marTop w:val="0"/>
      <w:marBottom w:val="0"/>
      <w:divBdr>
        <w:top w:val="none" w:sz="0" w:space="0" w:color="auto"/>
        <w:left w:val="none" w:sz="0" w:space="0" w:color="auto"/>
        <w:bottom w:val="none" w:sz="0" w:space="0" w:color="auto"/>
        <w:right w:val="none" w:sz="0" w:space="0" w:color="auto"/>
      </w:divBdr>
    </w:div>
    <w:div w:id="214403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8E3F3-7321-4455-9333-34C61DEA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Le, Hoang Kim (RPO) (FBI)</cp:lastModifiedBy>
  <cp:revision>3</cp:revision>
  <cp:lastPrinted>2015-02-26T20:41:00Z</cp:lastPrinted>
  <dcterms:created xsi:type="dcterms:W3CDTF">2022-06-27T13:26:00Z</dcterms:created>
  <dcterms:modified xsi:type="dcterms:W3CDTF">2022-07-14T18:51:00Z</dcterms:modified>
</cp:coreProperties>
</file>