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037E" w:rsidR="00264E3F" w:rsidRDefault="00264E3F" w14:paraId="69AA1E82" w14:textId="77777777">
      <w:pPr>
        <w:pStyle w:val="Heading1"/>
        <w:jc w:val="center"/>
        <w:rPr>
          <w:b w:val="0"/>
          <w:bCs w:val="0"/>
          <w:u w:val="single"/>
        </w:rPr>
      </w:pPr>
      <w:r w:rsidRPr="00F2037E">
        <w:rPr>
          <w:b w:val="0"/>
          <w:bCs w:val="0"/>
          <w:u w:val="single"/>
        </w:rPr>
        <w:t>Supporting Statement</w:t>
      </w:r>
    </w:p>
    <w:p w:rsidRPr="00F2037E" w:rsidR="00F2037E" w:rsidP="00F2037E" w:rsidRDefault="00F2037E" w14:paraId="3E61566A" w14:textId="77777777">
      <w:pPr>
        <w:jc w:val="center"/>
        <w:rPr>
          <w:u w:val="single"/>
        </w:rPr>
      </w:pPr>
      <w:r w:rsidRPr="00F2037E">
        <w:rPr>
          <w:u w:val="single"/>
        </w:rPr>
        <w:t>OMB Control Number 1506-0014</w:t>
      </w:r>
    </w:p>
    <w:p w:rsidRPr="00F2037E" w:rsidR="00017BCF" w:rsidP="00A866F3" w:rsidRDefault="00D41F30" w14:paraId="39DB7450" w14:textId="5CDF2ACD">
      <w:pPr>
        <w:jc w:val="center"/>
        <w:rPr>
          <w:u w:val="single"/>
        </w:rPr>
      </w:pPr>
      <w:r w:rsidRPr="00D41F30">
        <w:rPr>
          <w:bCs/>
          <w:u w:val="single"/>
        </w:rPr>
        <w:t>Report of Transportation of Currency or Monetary Instruments</w:t>
      </w:r>
    </w:p>
    <w:p w:rsidR="00264E3F" w:rsidRDefault="00264E3F" w14:paraId="330A04F1" w14:textId="77777777">
      <w:pPr>
        <w:spacing w:before="225"/>
        <w:rPr>
          <w:szCs w:val="22"/>
          <w:u w:val="single"/>
        </w:rPr>
      </w:pPr>
      <w:r>
        <w:rPr>
          <w:szCs w:val="22"/>
        </w:rPr>
        <w:t xml:space="preserve">1. </w:t>
      </w:r>
      <w:r>
        <w:rPr>
          <w:szCs w:val="22"/>
          <w:u w:val="single"/>
        </w:rPr>
        <w:t xml:space="preserve">Circumstances </w:t>
      </w:r>
      <w:r w:rsidR="00097E30">
        <w:rPr>
          <w:szCs w:val="22"/>
          <w:u w:val="single"/>
        </w:rPr>
        <w:t>necessitating collection of information</w:t>
      </w:r>
      <w:r w:rsidR="007F70D8">
        <w:rPr>
          <w:szCs w:val="22"/>
          <w:u w:val="single"/>
        </w:rPr>
        <w:t>.</w:t>
      </w:r>
    </w:p>
    <w:p w:rsidR="00264E3F" w:rsidRDefault="00264E3F" w14:paraId="226C7043" w14:textId="77777777"/>
    <w:p w:rsidRPr="0035191E" w:rsidR="00A866F3" w:rsidP="00A866F3" w:rsidRDefault="00A866F3" w14:paraId="68BD9E46" w14:textId="77777777">
      <w:pPr>
        <w:spacing w:before="2"/>
        <w:ind w:firstLine="720"/>
      </w:pPr>
      <w:r w:rsidRPr="0035191E">
        <w:t xml:space="preserve">The legislative framework generally referred to as the Bank Secrecy Act (BSA) consists of the Currency and </w:t>
      </w:r>
      <w:r>
        <w:t>Foreign</w:t>
      </w:r>
      <w:r w:rsidRPr="0035191E">
        <w:t xml:space="preserve"> Transactions Reporting Act of 1970, as amended by the Uniting and Strengthening America by Providing Appropriate Tools Required to Intercept and Obstruct Terrorism Act of 2001 (USA PATRIOT Act), Public Law 107–56 (October 26, 2001), and other legislation, including most recently the Anti-Money Laundering Act of 2020 (AML Act).</w:t>
      </w:r>
      <w:r w:rsidRPr="0035191E">
        <w:rPr>
          <w:rFonts w:eastAsia="Calibri"/>
          <w:vertAlign w:val="superscript"/>
        </w:rPr>
        <w:footnoteReference w:id="1"/>
      </w:r>
      <w:r w:rsidRPr="0035191E">
        <w:rPr>
          <w:rFonts w:eastAsia="Calibri"/>
        </w:rPr>
        <w:t xml:space="preserve">  </w:t>
      </w:r>
      <w:r w:rsidRPr="0035191E">
        <w:t xml:space="preserve">The BSA is codified at 12 U.S.C. 1829b, 12 U.S.C. 1951–1960, 31 U.S.C. 5311–5314 and 5316–5336, and includes notes thereto, with implementing regulations at 31 CFR Chapter X.  </w:t>
      </w:r>
    </w:p>
    <w:p w:rsidRPr="0035191E" w:rsidR="00A866F3" w:rsidP="00A866F3" w:rsidRDefault="00A866F3" w14:paraId="4D6DDA44" w14:textId="77777777">
      <w:pPr>
        <w:spacing w:before="2"/>
        <w:ind w:firstLine="720"/>
      </w:pPr>
    </w:p>
    <w:p w:rsidR="00A866F3" w:rsidP="00A866F3" w:rsidRDefault="00A866F3" w14:paraId="0A5B3FB1" w14:textId="77777777">
      <w:pPr>
        <w:ind w:firstLine="720"/>
      </w:pPr>
      <w:r w:rsidRPr="0035191E">
        <w:t xml:space="preserve">The BSA authorizes the Secretary of the Treasury (the “Secretary”), </w:t>
      </w:r>
      <w:r w:rsidRPr="003659E2">
        <w:rPr>
          <w:i/>
        </w:rPr>
        <w:t>inter alia</w:t>
      </w:r>
      <w:r w:rsidRPr="0035191E">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AML programs and compliance procedures.</w:t>
      </w:r>
      <w:r w:rsidRPr="0035191E">
        <w:rPr>
          <w:vertAlign w:val="superscript"/>
        </w:rPr>
        <w:footnoteReference w:id="2"/>
      </w:r>
      <w:r w:rsidRPr="0035191E">
        <w:t xml:space="preserve">  The authority of the Secretary to administer the BSA has been delegated to the Director of FinCEN.</w:t>
      </w:r>
      <w:r w:rsidRPr="0035191E">
        <w:rPr>
          <w:vertAlign w:val="superscript"/>
        </w:rPr>
        <w:footnoteReference w:id="3"/>
      </w:r>
      <w:r w:rsidRPr="0035191E">
        <w:t xml:space="preserve"> </w:t>
      </w:r>
    </w:p>
    <w:p w:rsidR="00264E3F" w:rsidRDefault="00264E3F" w14:paraId="7BBA9547" w14:textId="77777777">
      <w:r>
        <w:tab/>
      </w:r>
    </w:p>
    <w:p w:rsidR="00062266" w:rsidP="009B1535" w:rsidRDefault="00062266" w14:paraId="066D4835" w14:textId="2E05DC92">
      <w:pPr>
        <w:shd w:val="clear" w:color="auto" w:fill="FFFFFF"/>
        <w:ind w:firstLine="720"/>
      </w:pPr>
      <w:r w:rsidRPr="00167010">
        <w:t>31 U.S.C. 5316 requires, with limited exceptions, that a person, or an agent or bailee of the person, file a report when the person, agent, or bailee knowingly</w:t>
      </w:r>
      <w:r>
        <w:t>: (i) transports, is about to transport, or has transported monetary instruments</w:t>
      </w:r>
      <w:r w:rsidRPr="0062639C" w:rsidR="0062639C">
        <w:rPr>
          <w:rFonts w:eastAsiaTheme="minorHAnsi"/>
          <w:vertAlign w:val="superscript"/>
        </w:rPr>
        <w:footnoteReference w:id="4"/>
      </w:r>
      <w:r>
        <w:t xml:space="preserve"> of more than $10,000 at one time from a place in the United States to or through a place outside the United States, or to a place in the United States from or through a place outside the United States; or (ii) receives monetary instruments of more than $10,000 at one time transported into the United States from or through a place outside the United States.</w:t>
      </w:r>
      <w:r w:rsidR="00E6503B">
        <w:t xml:space="preserve">  </w:t>
      </w:r>
      <w:r w:rsidRPr="00167010" w:rsidR="00E6503B">
        <w:rPr>
          <w:shd w:val="clear" w:color="auto" w:fill="FFFFFF"/>
        </w:rPr>
        <w:t xml:space="preserve">The regulations implementing this statutory requirement </w:t>
      </w:r>
      <w:r w:rsidRPr="00167010" w:rsidR="00E6503B">
        <w:rPr>
          <w:rFonts w:eastAsia="MS Mincho"/>
          <w:bCs/>
        </w:rPr>
        <w:t xml:space="preserve">are found at 31 CFR 1010.340. </w:t>
      </w:r>
    </w:p>
    <w:p w:rsidR="00062266" w:rsidP="00062266" w:rsidRDefault="00062266" w14:paraId="355F9ADF" w14:textId="77777777">
      <w:pPr>
        <w:ind w:firstLine="720"/>
      </w:pPr>
    </w:p>
    <w:p w:rsidR="00062266" w:rsidP="00062266" w:rsidRDefault="00062266" w14:paraId="2977C8FC" w14:textId="31EB963F">
      <w:pPr>
        <w:ind w:firstLine="720"/>
      </w:pPr>
      <w:r>
        <w:t>31 CFR 1010.340(a) requires each person</w:t>
      </w:r>
      <w:r w:rsidRPr="00167010" w:rsidR="0062639C">
        <w:rPr>
          <w:rStyle w:val="FootnoteReference"/>
        </w:rPr>
        <w:footnoteReference w:id="5"/>
      </w:r>
      <w:r>
        <w:t xml:space="preserve"> who physically transports, mails, or ships, or causes to be physically transported, mailed or shipped, or attempts to cause to be physically transported, mailed or shipped, currency</w:t>
      </w:r>
      <w:r w:rsidRPr="0062639C" w:rsidR="0062639C">
        <w:rPr>
          <w:rFonts w:eastAsiaTheme="minorHAnsi"/>
          <w:vertAlign w:val="superscript"/>
        </w:rPr>
        <w:footnoteReference w:id="6"/>
      </w:r>
      <w:r>
        <w:t xml:space="preserve"> or other monetary instruments</w:t>
      </w:r>
      <w:r w:rsidRPr="0062639C" w:rsidR="0062639C">
        <w:rPr>
          <w:rFonts w:eastAsiaTheme="minorHAnsi"/>
          <w:vertAlign w:val="superscript"/>
        </w:rPr>
        <w:footnoteReference w:id="7"/>
      </w:r>
      <w:r>
        <w:t xml:space="preserve"> in an aggregate amount </w:t>
      </w:r>
      <w:r>
        <w:lastRenderedPageBreak/>
        <w:t>exceeding $10,000 at one time from the United States to any place outside the United States, or into the United States from any place outside the United States, to file a CMIR.</w:t>
      </w:r>
      <w:r w:rsidRPr="009B1535" w:rsidR="009B1535">
        <w:rPr>
          <w:rFonts w:eastAsiaTheme="minorHAnsi"/>
          <w:vertAlign w:val="superscript"/>
        </w:rPr>
        <w:t xml:space="preserve"> </w:t>
      </w:r>
      <w:r w:rsidRPr="009B1535" w:rsidR="009B1535">
        <w:rPr>
          <w:rFonts w:eastAsiaTheme="minorHAnsi"/>
          <w:vertAlign w:val="superscript"/>
        </w:rPr>
        <w:footnoteReference w:id="8"/>
      </w:r>
    </w:p>
    <w:p w:rsidR="00062266" w:rsidP="00062266" w:rsidRDefault="00062266" w14:paraId="344D86A0" w14:textId="77777777">
      <w:pPr>
        <w:ind w:firstLine="720"/>
      </w:pPr>
    </w:p>
    <w:p w:rsidR="00062266" w:rsidP="00062266" w:rsidRDefault="00062266" w14:paraId="1F8BDDEF" w14:textId="45C0633E">
      <w:pPr>
        <w:ind w:firstLine="720"/>
      </w:pPr>
      <w:r>
        <w:t xml:space="preserve">31 CFR 1010.340(b) requires each person in the United States who receives at any one time currency or other monetary instruments exceeding $10,000 in the aggregate, which have been transported, mailed, or shipped to such person from any place outside the United States, to file a CMIR if the CMIR has not already been filed pursuant to 31 CFR 1010.340(a).  The CMIR must include the amount, the date of receipt, the form of monetary instruments, and the person from whom the funds were received. </w:t>
      </w:r>
    </w:p>
    <w:p w:rsidR="003772A9" w:rsidP="00062266" w:rsidRDefault="003772A9" w14:paraId="00AC14FF" w14:textId="77777777">
      <w:pPr>
        <w:ind w:firstLine="720"/>
      </w:pPr>
    </w:p>
    <w:p w:rsidR="00264E3F" w:rsidP="00062266" w:rsidRDefault="00062266" w14:paraId="3FFDD1BC" w14:textId="7099EB91">
      <w:pPr>
        <w:ind w:firstLine="720"/>
      </w:pPr>
      <w:r w:rsidRPr="00062266">
        <w:t>31 CFR 1010.340(c) includes a list of persons that are not required to file a CMIR, even if they satisfy the conditions of 31 CFR 1010.340(a) or (b).  31 CFR 1010.340(d) clarifies that a transfer of funds through normal banking procedures, which does not involve the physical transportation of currency or monetary instruments, is not required to be reported on the CMIR.</w:t>
      </w:r>
    </w:p>
    <w:p w:rsidR="00264E3F" w:rsidRDefault="00264E3F" w14:paraId="0763E667" w14:textId="77777777">
      <w:pPr>
        <w:tabs>
          <w:tab w:val="left" w:pos="-720"/>
        </w:tabs>
        <w:suppressAutoHyphens/>
      </w:pPr>
      <w:r>
        <w:tab/>
      </w:r>
    </w:p>
    <w:p w:rsidR="00264E3F" w:rsidRDefault="00264E3F" w14:paraId="1E8AAD60" w14:textId="77777777">
      <w:pPr>
        <w:tabs>
          <w:tab w:val="left" w:pos="-720"/>
        </w:tabs>
        <w:suppressAutoHyphens/>
        <w:rPr>
          <w:szCs w:val="22"/>
          <w:u w:val="single"/>
        </w:rPr>
      </w:pPr>
      <w:r>
        <w:rPr>
          <w:szCs w:val="22"/>
        </w:rPr>
        <w:t xml:space="preserve">2. </w:t>
      </w:r>
      <w:r>
        <w:rPr>
          <w:szCs w:val="22"/>
          <w:u w:val="single"/>
        </w:rPr>
        <w:t xml:space="preserve">Method of </w:t>
      </w:r>
      <w:r w:rsidR="00097E30">
        <w:rPr>
          <w:szCs w:val="22"/>
          <w:u w:val="single"/>
        </w:rPr>
        <w:t>collection and use of data</w:t>
      </w:r>
      <w:r w:rsidR="007F70D8">
        <w:rPr>
          <w:szCs w:val="22"/>
          <w:u w:val="single"/>
        </w:rPr>
        <w:t>.</w:t>
      </w:r>
    </w:p>
    <w:p w:rsidR="00264E3F" w:rsidRDefault="00264E3F" w14:paraId="4929F8F1" w14:textId="77777777">
      <w:pPr>
        <w:tabs>
          <w:tab w:val="left" w:pos="-720"/>
        </w:tabs>
        <w:suppressAutoHyphens/>
        <w:rPr>
          <w:szCs w:val="22"/>
          <w:u w:val="single"/>
        </w:rPr>
      </w:pPr>
    </w:p>
    <w:p w:rsidR="00E371A4" w:rsidRDefault="00307020" w14:paraId="0466FDFE" w14:textId="16A68608">
      <w:pPr>
        <w:tabs>
          <w:tab w:val="left" w:pos="-720"/>
        </w:tabs>
        <w:suppressAutoHyphens/>
      </w:pPr>
      <w:r>
        <w:tab/>
      </w:r>
      <w:r w:rsidRPr="00E371A4" w:rsidR="00E371A4">
        <w:t>According to the CMIR instructions, each person who receives currency or other monetary instruments in the United States must file a CMIR within 15 days after receipt of the currency or monetary instruments with the United States Customs and Border Protection (CBP) officer in charge at any port of en</w:t>
      </w:r>
      <w:r w:rsidR="003C4FF6">
        <w:t xml:space="preserve">try or departure, or by mail.  </w:t>
      </w:r>
      <w:r w:rsidRPr="00E371A4" w:rsidR="00E371A4">
        <w:t>Travelers carrying currency or other monetary instruments with them must file the CMIR at the time they enter the United States or at the time they depart the United States with the CBP officer in charge at any port of entry or departure.</w:t>
      </w:r>
      <w:r w:rsidR="00A866F3">
        <w:tab/>
      </w:r>
    </w:p>
    <w:p w:rsidR="00E371A4" w:rsidRDefault="00E371A4" w14:paraId="39674CCB" w14:textId="77777777">
      <w:pPr>
        <w:tabs>
          <w:tab w:val="left" w:pos="-720"/>
        </w:tabs>
        <w:suppressAutoHyphens/>
      </w:pPr>
    </w:p>
    <w:p w:rsidR="00264E3F" w:rsidRDefault="008B64B2" w14:paraId="6A4010D0" w14:textId="6E03AB0D">
      <w:pPr>
        <w:tabs>
          <w:tab w:val="left" w:pos="-720"/>
        </w:tabs>
        <w:suppressAutoHyphens/>
        <w:rPr>
          <w:szCs w:val="22"/>
        </w:rPr>
      </w:pPr>
      <w:r>
        <w:tab/>
      </w:r>
      <w:r w:rsidR="00264E3F">
        <w:t>Information collected on the CMIR is made available, in accordance with strict safeguards, to appropriate criminal law enforcement and regulatory personnel in the official performance of their duties.  The information collected is of use in investigations involving international and domestic money laundering, tax evasion, fraud, and other financial crimes.</w:t>
      </w:r>
      <w:r w:rsidR="00264E3F">
        <w:rPr>
          <w:szCs w:val="22"/>
        </w:rPr>
        <w:t xml:space="preserve"> </w:t>
      </w:r>
    </w:p>
    <w:p w:rsidR="00264E3F" w:rsidRDefault="00264E3F" w14:paraId="36D1DE8B" w14:textId="77777777">
      <w:pPr>
        <w:spacing w:before="273"/>
        <w:rPr>
          <w:szCs w:val="22"/>
        </w:rPr>
      </w:pPr>
      <w:r>
        <w:rPr>
          <w:szCs w:val="22"/>
        </w:rPr>
        <w:t xml:space="preserve">3. </w:t>
      </w:r>
      <w:r>
        <w:rPr>
          <w:szCs w:val="22"/>
          <w:u w:val="single"/>
        </w:rPr>
        <w:t xml:space="preserve">Use of </w:t>
      </w:r>
      <w:r w:rsidR="002B616C">
        <w:rPr>
          <w:szCs w:val="22"/>
          <w:u w:val="single"/>
        </w:rPr>
        <w:t>improved information technology to reduce burden</w:t>
      </w:r>
      <w:r w:rsidR="007F70D8">
        <w:rPr>
          <w:szCs w:val="22"/>
          <w:u w:val="single"/>
        </w:rPr>
        <w:t>.</w:t>
      </w:r>
    </w:p>
    <w:p w:rsidR="00436D6A" w:rsidP="00066E56" w:rsidRDefault="00066E56" w14:paraId="78E33D9D" w14:textId="09EA7769">
      <w:pPr>
        <w:spacing w:before="273"/>
        <w:ind w:firstLine="720"/>
        <w:rPr>
          <w:szCs w:val="22"/>
        </w:rPr>
      </w:pPr>
      <w:r w:rsidRPr="00221B7B">
        <w:t>In early 202</w:t>
      </w:r>
      <w:r>
        <w:t>0, CBP</w:t>
      </w:r>
      <w:r w:rsidRPr="00221B7B">
        <w:t xml:space="preserve"> implemented a web-based platform for the electronic completion of CMIRs by travelers transporting their own currency or monetary instruments. </w:t>
      </w:r>
      <w:r>
        <w:t xml:space="preserve"> </w:t>
      </w:r>
      <w:r w:rsidRPr="00221B7B">
        <w:t xml:space="preserve">Travelers using this platform </w:t>
      </w:r>
      <w:r>
        <w:t xml:space="preserve">must </w:t>
      </w:r>
      <w:r w:rsidRPr="00221B7B">
        <w:t xml:space="preserve">still present the evidence of the electronic completion of the report to the </w:t>
      </w:r>
      <w:r>
        <w:t>CBP</w:t>
      </w:r>
      <w:r w:rsidRPr="00221B7B">
        <w:t xml:space="preserve"> officer in charge at any port of entry or departure.</w:t>
      </w:r>
      <w:r>
        <w:t xml:space="preserve">  </w:t>
      </w:r>
      <w:r w:rsidRPr="00E62138">
        <w:rPr>
          <w:i/>
        </w:rPr>
        <w:t>See</w:t>
      </w:r>
      <w:r>
        <w:t xml:space="preserve"> </w:t>
      </w:r>
      <w:hyperlink w:history="1" w:anchor="/" r:id="rId8">
        <w:r w:rsidRPr="00C22802">
          <w:rPr>
            <w:rStyle w:val="Hyperlink"/>
          </w:rPr>
          <w:t>https://fincen105.cbp.dhs.gov/#/</w:t>
        </w:r>
      </w:hyperlink>
      <w:r>
        <w:rPr>
          <w:rStyle w:val="Hyperlink"/>
        </w:rPr>
        <w:t>.</w:t>
      </w:r>
    </w:p>
    <w:p w:rsidR="00264E3F" w:rsidRDefault="00264E3F" w14:paraId="13899C69" w14:textId="77777777">
      <w:pPr>
        <w:spacing w:before="283"/>
        <w:rPr>
          <w:szCs w:val="22"/>
          <w:u w:val="single"/>
        </w:rPr>
      </w:pPr>
      <w:r>
        <w:rPr>
          <w:szCs w:val="22"/>
        </w:rPr>
        <w:t xml:space="preserve">4. </w:t>
      </w:r>
      <w:r>
        <w:rPr>
          <w:szCs w:val="22"/>
          <w:u w:val="single"/>
        </w:rPr>
        <w:t xml:space="preserve">Efforts </w:t>
      </w:r>
      <w:r w:rsidR="00097E30">
        <w:rPr>
          <w:szCs w:val="22"/>
          <w:u w:val="single"/>
        </w:rPr>
        <w:t>to identify duplication</w:t>
      </w:r>
      <w:r w:rsidR="007F70D8">
        <w:rPr>
          <w:szCs w:val="22"/>
          <w:u w:val="single"/>
        </w:rPr>
        <w:t>.</w:t>
      </w:r>
    </w:p>
    <w:p w:rsidR="00264E3F" w:rsidP="008F0655" w:rsidRDefault="00264E3F" w14:paraId="2142175A" w14:textId="77777777">
      <w:pPr>
        <w:spacing w:before="283"/>
        <w:ind w:firstLine="720"/>
        <w:rPr>
          <w:szCs w:val="22"/>
        </w:rPr>
      </w:pPr>
      <w:r>
        <w:rPr>
          <w:szCs w:val="22"/>
        </w:rPr>
        <w:t>There is no similar information available; thus</w:t>
      </w:r>
      <w:r w:rsidR="006F21AC">
        <w:rPr>
          <w:szCs w:val="22"/>
        </w:rPr>
        <w:t>,</w:t>
      </w:r>
      <w:r>
        <w:rPr>
          <w:szCs w:val="22"/>
        </w:rPr>
        <w:t xml:space="preserve"> there is no duplication. </w:t>
      </w:r>
    </w:p>
    <w:p w:rsidR="00264E3F" w:rsidRDefault="00264E3F" w14:paraId="7F869BCD" w14:textId="77777777">
      <w:pPr>
        <w:spacing w:before="283"/>
        <w:rPr>
          <w:szCs w:val="22"/>
        </w:rPr>
      </w:pPr>
      <w:r>
        <w:rPr>
          <w:szCs w:val="22"/>
        </w:rPr>
        <w:t xml:space="preserve">5. </w:t>
      </w:r>
      <w:r>
        <w:rPr>
          <w:szCs w:val="22"/>
          <w:u w:val="single"/>
        </w:rPr>
        <w:t xml:space="preserve">Methods </w:t>
      </w:r>
      <w:r w:rsidR="00097E30">
        <w:rPr>
          <w:szCs w:val="22"/>
          <w:u w:val="single"/>
        </w:rPr>
        <w:t>to minimize burden on small businesses or other small entities</w:t>
      </w:r>
      <w:r w:rsidR="007F70D8">
        <w:rPr>
          <w:szCs w:val="22"/>
          <w:u w:val="single"/>
        </w:rPr>
        <w:t>.</w:t>
      </w:r>
    </w:p>
    <w:p w:rsidR="00264E3F" w:rsidRDefault="00264E3F" w14:paraId="6A140BF2" w14:textId="77777777">
      <w:pPr>
        <w:widowControl w:val="0"/>
        <w:autoSpaceDE w:val="0"/>
        <w:autoSpaceDN w:val="0"/>
        <w:adjustRightInd w:val="0"/>
        <w:spacing w:line="240" w:lineRule="exact"/>
        <w:ind w:firstLine="744"/>
      </w:pPr>
    </w:p>
    <w:p w:rsidR="00264E3F" w:rsidP="008B64B2" w:rsidRDefault="006F21AC" w14:paraId="1E1B2226" w14:textId="66EB14B8">
      <w:pPr>
        <w:widowControl w:val="0"/>
        <w:autoSpaceDE w:val="0"/>
        <w:autoSpaceDN w:val="0"/>
        <w:adjustRightInd w:val="0"/>
        <w:ind w:firstLine="720"/>
      </w:pPr>
      <w:r>
        <w:t xml:space="preserve">The reporting requirements of these regulations and form should not pose any adverse impact </w:t>
      </w:r>
      <w:r w:rsidR="00291C5E">
        <w:t>on small</w:t>
      </w:r>
      <w:r w:rsidR="00264E3F">
        <w:t xml:space="preserve"> business</w:t>
      </w:r>
      <w:r w:rsidR="007C1933">
        <w:t>es</w:t>
      </w:r>
      <w:r w:rsidR="00264E3F">
        <w:t xml:space="preserve"> or other small entities.</w:t>
      </w:r>
      <w:r w:rsidR="00B30834">
        <w:t xml:space="preserve">  </w:t>
      </w:r>
      <w:r w:rsidR="00530DC4">
        <w:rPr>
          <w:szCs w:val="22"/>
        </w:rPr>
        <w:t>The reports only need to be filed when</w:t>
      </w:r>
      <w:r w:rsidR="00B30834">
        <w:rPr>
          <w:szCs w:val="22"/>
        </w:rPr>
        <w:t xml:space="preserve"> </w:t>
      </w:r>
      <w:r w:rsidRPr="00B30834" w:rsidR="00B30834">
        <w:rPr>
          <w:szCs w:val="22"/>
        </w:rPr>
        <w:t>a pers</w:t>
      </w:r>
      <w:r w:rsidR="00B30834">
        <w:rPr>
          <w:szCs w:val="22"/>
        </w:rPr>
        <w:t>on, or an agent or bailee of a</w:t>
      </w:r>
      <w:r w:rsidRPr="00B30834" w:rsidR="00B30834">
        <w:rPr>
          <w:szCs w:val="22"/>
        </w:rPr>
        <w:t xml:space="preserve"> person,</w:t>
      </w:r>
      <w:r w:rsidR="00B30834">
        <w:rPr>
          <w:szCs w:val="22"/>
        </w:rPr>
        <w:t xml:space="preserve"> </w:t>
      </w:r>
      <w:r w:rsidRPr="00B30834" w:rsidR="00B30834">
        <w:rPr>
          <w:szCs w:val="22"/>
        </w:rPr>
        <w:t>transports, is about to transport, or has t</w:t>
      </w:r>
      <w:r w:rsidR="00B30834">
        <w:rPr>
          <w:szCs w:val="22"/>
        </w:rPr>
        <w:t>ransported monetary instruments</w:t>
      </w:r>
      <w:r w:rsidRPr="00B30834" w:rsidR="00B30834">
        <w:rPr>
          <w:szCs w:val="22"/>
        </w:rPr>
        <w:t xml:space="preserve"> of more than $10,000 at one time from a place in the United States to or through a place outside the United States, or to a place in the United States from or through a place out</w:t>
      </w:r>
      <w:r w:rsidR="00B30834">
        <w:rPr>
          <w:szCs w:val="22"/>
        </w:rPr>
        <w:t xml:space="preserve">side the United States; or </w:t>
      </w:r>
      <w:r w:rsidRPr="00B30834" w:rsidR="00B30834">
        <w:rPr>
          <w:szCs w:val="22"/>
        </w:rPr>
        <w:t xml:space="preserve">receives monetary instruments of more than $10,000 at one time transported into the United States from or through a </w:t>
      </w:r>
      <w:r w:rsidR="00B30834">
        <w:rPr>
          <w:szCs w:val="22"/>
        </w:rPr>
        <w:t xml:space="preserve">place outside the United States. </w:t>
      </w:r>
      <w:r w:rsidRPr="00B30834" w:rsidR="00B30834">
        <w:rPr>
          <w:szCs w:val="22"/>
        </w:rPr>
        <w:t>The information required to be reported on the CMIR is basic identifying and transaction information which would be readily accessible to a traveler or currency transporter.  For instance, a traveler only has to report identifying information on themselves.  A currency transporter has to report identifying information on itself, as well as on the person or business on whose behalf the currency is being transported.</w:t>
      </w:r>
    </w:p>
    <w:p w:rsidR="00264E3F" w:rsidRDefault="00264E3F" w14:paraId="11F9E07A" w14:textId="77777777">
      <w:pPr>
        <w:spacing w:before="288"/>
        <w:rPr>
          <w:szCs w:val="22"/>
        </w:rPr>
      </w:pPr>
      <w:r>
        <w:rPr>
          <w:szCs w:val="22"/>
        </w:rPr>
        <w:t xml:space="preserve">6. </w:t>
      </w:r>
      <w:r w:rsidRPr="00097E30" w:rsidR="00097E30">
        <w:rPr>
          <w:szCs w:val="22"/>
          <w:u w:val="single"/>
        </w:rPr>
        <w:t>Consequences of less frequent collection on Federal</w:t>
      </w:r>
      <w:r w:rsidR="00097E30">
        <w:rPr>
          <w:szCs w:val="22"/>
          <w:u w:val="single"/>
        </w:rPr>
        <w:t xml:space="preserve"> programs or policy activities</w:t>
      </w:r>
      <w:r w:rsidR="007F70D8">
        <w:rPr>
          <w:szCs w:val="22"/>
          <w:u w:val="single"/>
        </w:rPr>
        <w:t>.</w:t>
      </w:r>
    </w:p>
    <w:p w:rsidR="00264E3F" w:rsidRDefault="00264E3F" w14:paraId="3A25658A" w14:textId="7F68064C">
      <w:pPr>
        <w:widowControl w:val="0"/>
        <w:autoSpaceDE w:val="0"/>
        <w:autoSpaceDN w:val="0"/>
        <w:adjustRightInd w:val="0"/>
        <w:spacing w:line="235" w:lineRule="exact"/>
        <w:ind w:firstLine="734"/>
      </w:pPr>
    </w:p>
    <w:p w:rsidRPr="00F46E93" w:rsidR="00B37A61" w:rsidP="0093683A" w:rsidRDefault="00B37A61" w14:paraId="54C67DE1" w14:textId="3D4B9466">
      <w:pPr>
        <w:widowControl w:val="0"/>
        <w:autoSpaceDE w:val="0"/>
        <w:autoSpaceDN w:val="0"/>
        <w:adjustRightInd w:val="0"/>
        <w:ind w:firstLine="734"/>
      </w:pPr>
      <w:r w:rsidRPr="00F46E93">
        <w:t xml:space="preserve">Because the CMIR is filed at the </w:t>
      </w:r>
      <w:r w:rsidRPr="00F46E93" w:rsidR="00805D98">
        <w:t>time currency or monetary instruments of more than $10,000 are transported into or out of the United States</w:t>
      </w:r>
      <w:r w:rsidRPr="00F46E93">
        <w:t>, a failure to collect this information could hamper law enforcement efforts to detect illegal activity while it is still ongoing and discernible. The timely reporting of this information provides law enforcement with important investigative leads in order to take appropriate action, including tracing criminal proceeds, gathering additional evidence, seizing funds, and stopping the movement of funds before criminal elements can change their schemes for disposing of the profits of illegal activity</w:t>
      </w:r>
      <w:r w:rsidRPr="00F46E93" w:rsidR="00805D98">
        <w:t>.</w:t>
      </w:r>
    </w:p>
    <w:p w:rsidR="00264E3F" w:rsidP="00097E30" w:rsidRDefault="00264E3F" w14:paraId="0AE501D6" w14:textId="33DFAA3C">
      <w:pPr>
        <w:spacing w:before="288"/>
        <w:rPr>
          <w:szCs w:val="22"/>
          <w:u w:val="single"/>
        </w:rPr>
      </w:pPr>
      <w:r>
        <w:rPr>
          <w:szCs w:val="22"/>
        </w:rPr>
        <w:t xml:space="preserve">7. </w:t>
      </w:r>
      <w:r w:rsidRPr="00097E30" w:rsidR="00097E30">
        <w:rPr>
          <w:szCs w:val="22"/>
          <w:u w:val="single"/>
        </w:rPr>
        <w:t>Special circumstances requiring data collection to be in</w:t>
      </w:r>
      <w:r w:rsidR="006F21AC">
        <w:rPr>
          <w:szCs w:val="22"/>
          <w:u w:val="single"/>
        </w:rPr>
        <w:t>con</w:t>
      </w:r>
      <w:r w:rsidRPr="00097E30" w:rsidR="00097E30">
        <w:rPr>
          <w:szCs w:val="22"/>
          <w:u w:val="single"/>
        </w:rPr>
        <w:t>sistent with gu</w:t>
      </w:r>
      <w:r w:rsidR="008F0655">
        <w:rPr>
          <w:szCs w:val="22"/>
          <w:u w:val="single"/>
        </w:rPr>
        <w:t>idelines</w:t>
      </w:r>
      <w:r w:rsidR="007F70D8">
        <w:rPr>
          <w:szCs w:val="22"/>
          <w:u w:val="single"/>
        </w:rPr>
        <w:t>.</w:t>
      </w:r>
    </w:p>
    <w:p w:rsidR="00097E30" w:rsidP="00097E30" w:rsidRDefault="00097E30" w14:paraId="0E8420F3" w14:textId="60145FC8">
      <w:pPr>
        <w:rPr>
          <w:szCs w:val="22"/>
        </w:rPr>
      </w:pPr>
    </w:p>
    <w:p w:rsidRPr="008F0655" w:rsidR="008F0655" w:rsidP="008F0655" w:rsidRDefault="008F0655" w14:paraId="08AB76EB" w14:textId="06F1D985">
      <w:pPr>
        <w:ind w:firstLine="720"/>
        <w:rPr>
          <w:sz w:val="16"/>
          <w:szCs w:val="16"/>
        </w:rPr>
      </w:pPr>
      <w:r w:rsidRPr="00CE52B1">
        <w:t xml:space="preserve">Pursuant to 31 CFR 1010.430(d), </w:t>
      </w:r>
      <w:r w:rsidRPr="00CE52B1">
        <w:rPr>
          <w:lang w:val="en"/>
        </w:rPr>
        <w:t xml:space="preserve">all records that are required to be retained by 31 CFR Chapter X must be retained for a period of five years. </w:t>
      </w:r>
      <w:r w:rsidRPr="00CE52B1">
        <w:t>Records must be kept for five years because such records may relate to substantive violations of law that are subject to statutes of limitation longer than three years.</w:t>
      </w:r>
      <w:r w:rsidRPr="00CE52B1" w:rsidDel="0061193D">
        <w:rPr>
          <w:rStyle w:val="CommentReference"/>
        </w:rPr>
        <w:t xml:space="preserve"> </w:t>
      </w:r>
    </w:p>
    <w:p w:rsidR="00264E3F" w:rsidRDefault="00264E3F" w14:paraId="15F1BAB4" w14:textId="77777777">
      <w:pPr>
        <w:rPr>
          <w:szCs w:val="22"/>
        </w:rPr>
      </w:pPr>
    </w:p>
    <w:p w:rsidR="00264E3F" w:rsidRDefault="00264E3F" w14:paraId="7594533E" w14:textId="77777777">
      <w:pPr>
        <w:rPr>
          <w:szCs w:val="22"/>
        </w:rPr>
      </w:pPr>
      <w:r>
        <w:rPr>
          <w:szCs w:val="22"/>
        </w:rPr>
        <w:t xml:space="preserve">8. </w:t>
      </w:r>
      <w:r>
        <w:rPr>
          <w:szCs w:val="22"/>
          <w:u w:val="single"/>
        </w:rPr>
        <w:t xml:space="preserve">Consultation </w:t>
      </w:r>
      <w:r w:rsidR="00097E30">
        <w:rPr>
          <w:szCs w:val="22"/>
          <w:u w:val="single"/>
        </w:rPr>
        <w:t>with individuals outside of the agency on availability of data, frequency of collection, clarity of instructions and forms, and data elements</w:t>
      </w:r>
      <w:r w:rsidR="007F70D8">
        <w:rPr>
          <w:szCs w:val="22"/>
          <w:u w:val="single"/>
        </w:rPr>
        <w:t>.</w:t>
      </w:r>
    </w:p>
    <w:p w:rsidR="00264E3F" w:rsidRDefault="00264E3F" w14:paraId="564A7925" w14:textId="77777777">
      <w:pPr>
        <w:rPr>
          <w:szCs w:val="22"/>
        </w:rPr>
      </w:pPr>
    </w:p>
    <w:p w:rsidR="00264E3F" w:rsidP="00B335AA" w:rsidRDefault="00B335AA" w14:paraId="02165198" w14:textId="06960B56">
      <w:pPr>
        <w:ind w:firstLine="720"/>
      </w:pPr>
      <w:r>
        <w:rPr>
          <w:szCs w:val="20"/>
        </w:rPr>
        <w:t>The 60-day notice was published o</w:t>
      </w:r>
      <w:r w:rsidR="00264E3F">
        <w:rPr>
          <w:szCs w:val="20"/>
        </w:rPr>
        <w:t xml:space="preserve">n </w:t>
      </w:r>
      <w:r w:rsidR="00BF4CC7">
        <w:rPr>
          <w:szCs w:val="20"/>
        </w:rPr>
        <w:t>March</w:t>
      </w:r>
      <w:r w:rsidR="00017BCF">
        <w:rPr>
          <w:szCs w:val="20"/>
        </w:rPr>
        <w:t xml:space="preserve"> </w:t>
      </w:r>
      <w:r w:rsidR="00BF4CC7">
        <w:rPr>
          <w:szCs w:val="20"/>
        </w:rPr>
        <w:t>23</w:t>
      </w:r>
      <w:r w:rsidR="00264E3F">
        <w:rPr>
          <w:szCs w:val="20"/>
        </w:rPr>
        <w:t>, 20</w:t>
      </w:r>
      <w:r w:rsidR="00BF4CC7">
        <w:rPr>
          <w:szCs w:val="20"/>
        </w:rPr>
        <w:t>22</w:t>
      </w:r>
      <w:r>
        <w:rPr>
          <w:szCs w:val="20"/>
        </w:rPr>
        <w:t>.</w:t>
      </w:r>
      <w:r>
        <w:rPr>
          <w:rStyle w:val="FootnoteReference"/>
          <w:szCs w:val="20"/>
        </w:rPr>
        <w:footnoteReference w:id="9"/>
      </w:r>
      <w:r>
        <w:rPr>
          <w:szCs w:val="20"/>
        </w:rPr>
        <w:t xml:space="preserve"> </w:t>
      </w:r>
      <w:r w:rsidR="00264E3F">
        <w:rPr>
          <w:szCs w:val="20"/>
        </w:rPr>
        <w:t xml:space="preserve"> </w:t>
      </w:r>
      <w:r w:rsidRPr="00D14C7D">
        <w:rPr>
          <w:szCs w:val="20"/>
        </w:rPr>
        <w:t xml:space="preserve">The notice requested public comments on the proposed renewal, without change, of </w:t>
      </w:r>
      <w:r>
        <w:rPr>
          <w:szCs w:val="20"/>
        </w:rPr>
        <w:t xml:space="preserve">a </w:t>
      </w:r>
      <w:r w:rsidRPr="00D14C7D">
        <w:rPr>
          <w:szCs w:val="20"/>
        </w:rPr>
        <w:t xml:space="preserve">currently </w:t>
      </w:r>
      <w:r>
        <w:rPr>
          <w:szCs w:val="20"/>
        </w:rPr>
        <w:t>approved information collection</w:t>
      </w:r>
      <w:r w:rsidRPr="00D14C7D">
        <w:rPr>
          <w:szCs w:val="20"/>
        </w:rPr>
        <w:t xml:space="preserve"> relating to </w:t>
      </w:r>
      <w:r>
        <w:rPr>
          <w:szCs w:val="20"/>
        </w:rPr>
        <w:t>regulations requiring reporting of international transportation of currency or monetary instruments</w:t>
      </w:r>
      <w:r w:rsidRPr="00D14C7D">
        <w:rPr>
          <w:szCs w:val="20"/>
        </w:rPr>
        <w:t>.</w:t>
      </w:r>
      <w:r>
        <w:rPr>
          <w:szCs w:val="20"/>
        </w:rPr>
        <w:t xml:space="preserve">  </w:t>
      </w:r>
      <w:r w:rsidR="00527291">
        <w:rPr>
          <w:szCs w:val="20"/>
        </w:rPr>
        <w:t>FinCEN did not receive any comments i</w:t>
      </w:r>
      <w:r>
        <w:rPr>
          <w:szCs w:val="20"/>
        </w:rPr>
        <w:t>n response to the no</w:t>
      </w:r>
      <w:r w:rsidR="00527291">
        <w:rPr>
          <w:szCs w:val="20"/>
        </w:rPr>
        <w:t>tice</w:t>
      </w:r>
      <w:r w:rsidR="00BF4CC7">
        <w:t>.</w:t>
      </w:r>
    </w:p>
    <w:p w:rsidR="00264E3F" w:rsidRDefault="00264E3F" w14:paraId="2D44DCD5" w14:textId="77777777">
      <w:pPr>
        <w:widowControl w:val="0"/>
        <w:autoSpaceDE w:val="0"/>
        <w:autoSpaceDN w:val="0"/>
        <w:adjustRightInd w:val="0"/>
        <w:spacing w:line="240" w:lineRule="exact"/>
        <w:ind w:right="220" w:firstLine="715"/>
        <w:jc w:val="both"/>
      </w:pPr>
    </w:p>
    <w:p w:rsidRPr="00595F30" w:rsidR="00595F30" w:rsidP="00595F30" w:rsidRDefault="00264E3F" w14:paraId="45D89C17" w14:textId="77777777">
      <w:pPr>
        <w:rPr>
          <w:szCs w:val="22"/>
          <w:u w:val="single"/>
        </w:rPr>
      </w:pPr>
      <w:r>
        <w:rPr>
          <w:szCs w:val="22"/>
        </w:rPr>
        <w:t xml:space="preserve">9. </w:t>
      </w:r>
      <w:r w:rsidRPr="00595F30" w:rsidR="00595F30">
        <w:rPr>
          <w:szCs w:val="22"/>
          <w:u w:val="single"/>
        </w:rPr>
        <w:t>Explanation of decision to provide any payment or gift to respondents</w:t>
      </w:r>
      <w:r w:rsidR="007F70D8">
        <w:rPr>
          <w:szCs w:val="22"/>
          <w:u w:val="single"/>
        </w:rPr>
        <w:t>.</w:t>
      </w:r>
      <w:r w:rsidRPr="00595F30" w:rsidR="00595F30">
        <w:rPr>
          <w:szCs w:val="22"/>
          <w:u w:val="single"/>
        </w:rPr>
        <w:t xml:space="preserve">  </w:t>
      </w:r>
    </w:p>
    <w:p w:rsidRPr="00595F30" w:rsidR="00595F30" w:rsidP="00595F30" w:rsidRDefault="00595F30" w14:paraId="21E8FE7E" w14:textId="77777777">
      <w:pPr>
        <w:rPr>
          <w:szCs w:val="22"/>
          <w:u w:val="single"/>
        </w:rPr>
      </w:pPr>
    </w:p>
    <w:p w:rsidR="00264E3F" w:rsidP="008F0655" w:rsidRDefault="00595F30" w14:paraId="0277DCFA" w14:textId="77777777">
      <w:pPr>
        <w:ind w:firstLine="720"/>
      </w:pPr>
      <w:r w:rsidRPr="00595F30">
        <w:rPr>
          <w:szCs w:val="22"/>
        </w:rPr>
        <w:t>No payments or gifts were made to respondents.</w:t>
      </w:r>
    </w:p>
    <w:p w:rsidR="00595F30" w:rsidP="00595F30" w:rsidRDefault="00595F30" w14:paraId="4B6514F2" w14:textId="77777777"/>
    <w:p w:rsidR="00595F30" w:rsidP="00F32362" w:rsidRDefault="00595F30" w14:paraId="7FE1759C" w14:textId="77777777">
      <w:pPr>
        <w:pStyle w:val="BodyText2"/>
        <w:spacing w:after="0"/>
      </w:pPr>
      <w:r w:rsidRPr="00F871E7">
        <w:t>10.</w:t>
      </w:r>
      <w:r>
        <w:t xml:space="preserve"> </w:t>
      </w:r>
      <w:r w:rsidRPr="00F871E7">
        <w:t xml:space="preserve"> </w:t>
      </w:r>
      <w:r>
        <w:rPr>
          <w:u w:val="single"/>
        </w:rPr>
        <w:t>Assurance of confidentiality of responses</w:t>
      </w:r>
      <w:r w:rsidR="007F70D8">
        <w:rPr>
          <w:u w:val="single"/>
        </w:rPr>
        <w:t>.</w:t>
      </w:r>
      <w:r>
        <w:t xml:space="preserve">  </w:t>
      </w:r>
    </w:p>
    <w:p w:rsidR="00F32362" w:rsidP="00F32362" w:rsidRDefault="00F32362" w14:paraId="5913E6E9" w14:textId="4B9EEE97">
      <w:pPr>
        <w:tabs>
          <w:tab w:val="left" w:pos="0"/>
        </w:tabs>
      </w:pPr>
      <w:r>
        <w:tab/>
      </w:r>
      <w:r w:rsidRPr="001F7618">
        <w:t xml:space="preserve">The information collected under this requirement is made available to appropriate agencies and organizations as disclosed in FinCEN's Privacy Act System of Records Notice </w:t>
      </w:r>
      <w:r>
        <w:t xml:space="preserve">(SORN) </w:t>
      </w:r>
      <w:r w:rsidRPr="001F7618">
        <w:t>relating to BSA reports.</w:t>
      </w:r>
      <w:r w:rsidRPr="001F7618">
        <w:rPr>
          <w:rStyle w:val="FootnoteReference"/>
        </w:rPr>
        <w:footnoteReference w:id="10"/>
      </w:r>
    </w:p>
    <w:p w:rsidRPr="002575CF" w:rsidR="00F32362" w:rsidP="00F32362" w:rsidRDefault="00F32362" w14:paraId="2B33FAE3" w14:textId="77777777">
      <w:pPr>
        <w:tabs>
          <w:tab w:val="left" w:pos="0"/>
        </w:tabs>
        <w:rPr>
          <w:vertAlign w:val="superscript"/>
        </w:rPr>
      </w:pPr>
    </w:p>
    <w:p w:rsidR="00F32362" w:rsidP="00F32362" w:rsidRDefault="00264E3F" w14:paraId="476D2DCA" w14:textId="5538CE5D">
      <w:pPr>
        <w:rPr>
          <w:szCs w:val="22"/>
          <w:u w:val="single"/>
        </w:rPr>
      </w:pPr>
      <w:r>
        <w:rPr>
          <w:szCs w:val="22"/>
        </w:rPr>
        <w:t xml:space="preserve">11. </w:t>
      </w:r>
      <w:r>
        <w:rPr>
          <w:szCs w:val="22"/>
          <w:u w:val="single"/>
        </w:rPr>
        <w:t xml:space="preserve">Justification </w:t>
      </w:r>
      <w:r w:rsidR="00595F30">
        <w:rPr>
          <w:szCs w:val="22"/>
          <w:u w:val="single"/>
        </w:rPr>
        <w:t>of sensitive questions</w:t>
      </w:r>
      <w:r w:rsidR="007F70D8">
        <w:rPr>
          <w:szCs w:val="22"/>
          <w:u w:val="single"/>
        </w:rPr>
        <w:t>.</w:t>
      </w:r>
    </w:p>
    <w:p w:rsidR="00484539" w:rsidP="00F32362" w:rsidRDefault="00484539" w14:paraId="7F519CA0" w14:textId="77777777">
      <w:pPr>
        <w:rPr>
          <w:szCs w:val="22"/>
          <w:u w:val="single"/>
        </w:rPr>
      </w:pPr>
    </w:p>
    <w:p w:rsidR="00F32362" w:rsidP="00F32362" w:rsidRDefault="00F32362" w14:paraId="210F7124" w14:textId="3CD12AC2">
      <w:pPr>
        <w:ind w:firstLine="720"/>
        <w:rPr>
          <w:szCs w:val="22"/>
          <w:u w:val="single"/>
        </w:rPr>
      </w:pPr>
      <w:r w:rsidRPr="004A44F3">
        <w:t xml:space="preserve">There are no questions of a sensitive nature in the collection of information. </w:t>
      </w:r>
      <w:r>
        <w:t xml:space="preserve"> Any personally identifiable information collected under the BSA is strictly controlled as outlined in FinCEN’s SORN</w:t>
      </w:r>
      <w:r>
        <w:rPr>
          <w:color w:val="1F497D"/>
        </w:rPr>
        <w:t>.</w:t>
      </w:r>
      <w:r w:rsidRPr="001F7618">
        <w:rPr>
          <w:rStyle w:val="FootnoteReference"/>
        </w:rPr>
        <w:footnoteReference w:id="11"/>
      </w:r>
    </w:p>
    <w:p w:rsidRPr="00F32362" w:rsidR="00F32362" w:rsidP="00F32362" w:rsidRDefault="00F32362" w14:paraId="3F623C41" w14:textId="77777777">
      <w:pPr>
        <w:ind w:firstLine="720"/>
        <w:rPr>
          <w:szCs w:val="22"/>
          <w:u w:val="single"/>
        </w:rPr>
      </w:pPr>
    </w:p>
    <w:p w:rsidR="007C43E3" w:rsidP="00F32362" w:rsidRDefault="001F4154" w14:paraId="5423A490" w14:textId="7C0EABC8">
      <w:pPr>
        <w:rPr>
          <w:u w:val="single"/>
        </w:rPr>
      </w:pPr>
      <w:r>
        <w:t xml:space="preserve">12.  </w:t>
      </w:r>
      <w:r>
        <w:rPr>
          <w:u w:val="single"/>
        </w:rPr>
        <w:t xml:space="preserve">Estimated </w:t>
      </w:r>
      <w:r w:rsidR="007C43E3">
        <w:rPr>
          <w:u w:val="single"/>
        </w:rPr>
        <w:t xml:space="preserve">annual hourly </w:t>
      </w:r>
      <w:r>
        <w:rPr>
          <w:u w:val="single"/>
        </w:rPr>
        <w:t>burden</w:t>
      </w:r>
    </w:p>
    <w:p w:rsidR="00930EDE" w:rsidP="00F32362" w:rsidRDefault="00930EDE" w14:paraId="279F7431" w14:textId="77777777">
      <w:pPr>
        <w:rPr>
          <w:iCs/>
        </w:rPr>
      </w:pPr>
    </w:p>
    <w:p w:rsidR="00484539" w:rsidP="00205214" w:rsidRDefault="00484539" w14:paraId="747AC929" w14:textId="217ED82D">
      <w:pPr>
        <w:numPr>
          <w:ilvl w:val="0"/>
          <w:numId w:val="1"/>
        </w:numPr>
        <w:rPr>
          <w:szCs w:val="22"/>
        </w:rPr>
      </w:pPr>
      <w:r w:rsidRPr="00484539">
        <w:rPr>
          <w:szCs w:val="22"/>
          <w:u w:val="single"/>
        </w:rPr>
        <w:t>Frequency:</w:t>
      </w:r>
      <w:r>
        <w:rPr>
          <w:szCs w:val="22"/>
        </w:rPr>
        <w:t xml:space="preserve">  As required.</w:t>
      </w:r>
    </w:p>
    <w:p w:rsidR="00484539" w:rsidP="00484539" w:rsidRDefault="00484539" w14:paraId="1A37F9DC" w14:textId="77777777">
      <w:pPr>
        <w:ind w:left="720"/>
        <w:rPr>
          <w:szCs w:val="22"/>
        </w:rPr>
      </w:pPr>
    </w:p>
    <w:p w:rsidR="00D33BF9" w:rsidP="00205214" w:rsidRDefault="00D33BF9" w14:paraId="2B39354F" w14:textId="5AF2DBFD">
      <w:pPr>
        <w:numPr>
          <w:ilvl w:val="0"/>
          <w:numId w:val="1"/>
        </w:numPr>
        <w:rPr>
          <w:szCs w:val="22"/>
        </w:rPr>
      </w:pPr>
      <w:r w:rsidRPr="009271E6">
        <w:rPr>
          <w:szCs w:val="22"/>
          <w:u w:val="single"/>
        </w:rPr>
        <w:t>Estimated Number of Respondents:</w:t>
      </w:r>
      <w:r>
        <w:rPr>
          <w:szCs w:val="22"/>
        </w:rPr>
        <w:t xml:space="preserve">  </w:t>
      </w:r>
      <w:r w:rsidR="00205214">
        <w:rPr>
          <w:szCs w:val="22"/>
        </w:rPr>
        <w:t>184,709</w:t>
      </w:r>
      <w:r>
        <w:rPr>
          <w:szCs w:val="22"/>
        </w:rPr>
        <w:t>.</w:t>
      </w:r>
      <w:r w:rsidR="003F58F0">
        <w:rPr>
          <w:rStyle w:val="FootnoteReference"/>
          <w:szCs w:val="22"/>
        </w:rPr>
        <w:footnoteReference w:id="12"/>
      </w:r>
    </w:p>
    <w:p w:rsidRPr="0002120C" w:rsidR="00D33BF9" w:rsidP="00987645" w:rsidRDefault="00D33BF9" w14:paraId="4CBEEE0E" w14:textId="77777777">
      <w:pPr>
        <w:ind w:left="720"/>
        <w:rPr>
          <w:szCs w:val="22"/>
        </w:rPr>
      </w:pPr>
    </w:p>
    <w:p w:rsidR="00D33BF9" w:rsidP="00987645" w:rsidRDefault="00D33BF9" w14:paraId="53BF62D1" w14:textId="4D282572">
      <w:pPr>
        <w:numPr>
          <w:ilvl w:val="0"/>
          <w:numId w:val="1"/>
        </w:numPr>
        <w:rPr>
          <w:szCs w:val="22"/>
        </w:rPr>
      </w:pPr>
      <w:r w:rsidRPr="009271E6">
        <w:rPr>
          <w:szCs w:val="22"/>
          <w:u w:val="single"/>
        </w:rPr>
        <w:t>Estimated Number of Responses:</w:t>
      </w:r>
      <w:r>
        <w:rPr>
          <w:szCs w:val="22"/>
        </w:rPr>
        <w:t xml:space="preserve">  </w:t>
      </w:r>
      <w:r w:rsidR="00E06880">
        <w:rPr>
          <w:szCs w:val="22"/>
        </w:rPr>
        <w:t>184,709</w:t>
      </w:r>
      <w:r w:rsidR="009271E6">
        <w:rPr>
          <w:szCs w:val="22"/>
        </w:rPr>
        <w:t xml:space="preserve"> CMIRs</w:t>
      </w:r>
      <w:r w:rsidR="00E06880">
        <w:rPr>
          <w:szCs w:val="22"/>
        </w:rPr>
        <w:t>, of which 14,296 are assumed to be filed by currency transporters and 170,413 are filed by travelers on behalf of themselves</w:t>
      </w:r>
      <w:r>
        <w:rPr>
          <w:szCs w:val="22"/>
        </w:rPr>
        <w:t>.</w:t>
      </w:r>
      <w:r w:rsidR="009271E6">
        <w:rPr>
          <w:rStyle w:val="FootnoteReference"/>
          <w:szCs w:val="22"/>
        </w:rPr>
        <w:footnoteReference w:id="13"/>
      </w:r>
    </w:p>
    <w:p w:rsidRPr="00D33BF9" w:rsidR="00D33BF9" w:rsidP="00987645" w:rsidRDefault="00D33BF9" w14:paraId="703ED845" w14:textId="77777777">
      <w:pPr>
        <w:rPr>
          <w:szCs w:val="22"/>
        </w:rPr>
      </w:pPr>
    </w:p>
    <w:p w:rsidR="00067CD1" w:rsidP="00987645" w:rsidRDefault="00067CD1" w14:paraId="096F4912" w14:textId="4C9F6EE8">
      <w:pPr>
        <w:numPr>
          <w:ilvl w:val="0"/>
          <w:numId w:val="1"/>
        </w:numPr>
        <w:rPr>
          <w:szCs w:val="22"/>
        </w:rPr>
      </w:pPr>
      <w:r w:rsidRPr="00453717">
        <w:rPr>
          <w:color w:val="000000"/>
          <w:u w:val="single"/>
        </w:rPr>
        <w:t>Estimated Burden per Respondent:</w:t>
      </w:r>
      <w:r w:rsidRPr="00167010">
        <w:rPr>
          <w:color w:val="000000"/>
        </w:rPr>
        <w:t xml:space="preserve"> 15 minutes per report filed by travelers reporting transactions involving their own currency or monetary instruments, and 30 minutes per report filed by currency transporters reporting transactions on behalf of others.</w:t>
      </w:r>
    </w:p>
    <w:p w:rsidRPr="00930EDE" w:rsidR="00D33BF9" w:rsidP="00930EDE" w:rsidRDefault="00D33BF9" w14:paraId="164BB2D6" w14:textId="77777777">
      <w:pPr>
        <w:rPr>
          <w:szCs w:val="22"/>
        </w:rPr>
      </w:pPr>
    </w:p>
    <w:p w:rsidR="00D33BF9" w:rsidP="00987645" w:rsidRDefault="00D33BF9" w14:paraId="71187A61" w14:textId="2433228E">
      <w:pPr>
        <w:numPr>
          <w:ilvl w:val="0"/>
          <w:numId w:val="1"/>
        </w:numPr>
        <w:rPr>
          <w:szCs w:val="22"/>
        </w:rPr>
      </w:pPr>
      <w:r w:rsidRPr="00852F21">
        <w:rPr>
          <w:szCs w:val="22"/>
          <w:u w:val="single"/>
        </w:rPr>
        <w:t>Estimated Total Annual Respondent Burden:</w:t>
      </w:r>
      <w:r>
        <w:rPr>
          <w:szCs w:val="22"/>
        </w:rPr>
        <w:t xml:space="preserve">  </w:t>
      </w:r>
      <w:r w:rsidR="008F1E65">
        <w:rPr>
          <w:szCs w:val="22"/>
        </w:rPr>
        <w:t xml:space="preserve">49,751 hours </w:t>
      </w:r>
      <w:r w:rsidR="00D538E0">
        <w:rPr>
          <w:szCs w:val="22"/>
        </w:rPr>
        <w:t>(</w:t>
      </w:r>
      <w:r w:rsidR="008F1E65">
        <w:rPr>
          <w:szCs w:val="22"/>
        </w:rPr>
        <w:t>14,296</w:t>
      </w:r>
      <w:r w:rsidR="00852F21">
        <w:rPr>
          <w:szCs w:val="22"/>
        </w:rPr>
        <w:t xml:space="preserve"> CMIRs multiplied by</w:t>
      </w:r>
      <w:r w:rsidR="00D538E0">
        <w:rPr>
          <w:szCs w:val="22"/>
        </w:rPr>
        <w:t xml:space="preserve"> </w:t>
      </w:r>
      <w:r w:rsidR="008F1E65">
        <w:rPr>
          <w:szCs w:val="22"/>
        </w:rPr>
        <w:t>30</w:t>
      </w:r>
      <w:r w:rsidR="00852F21">
        <w:rPr>
          <w:szCs w:val="22"/>
        </w:rPr>
        <w:t xml:space="preserve"> minutes, plus</w:t>
      </w:r>
      <w:r w:rsidR="00D538E0">
        <w:rPr>
          <w:szCs w:val="22"/>
        </w:rPr>
        <w:t xml:space="preserve"> </w:t>
      </w:r>
      <w:r w:rsidR="008F1E65">
        <w:rPr>
          <w:szCs w:val="22"/>
        </w:rPr>
        <w:t>170,413</w:t>
      </w:r>
      <w:r w:rsidR="00D538E0">
        <w:rPr>
          <w:szCs w:val="22"/>
        </w:rPr>
        <w:t xml:space="preserve"> CMIRs multiplied by </w:t>
      </w:r>
      <w:r w:rsidR="008F1E65">
        <w:rPr>
          <w:szCs w:val="22"/>
        </w:rPr>
        <w:t>15</w:t>
      </w:r>
      <w:r w:rsidR="00D538E0">
        <w:rPr>
          <w:szCs w:val="22"/>
        </w:rPr>
        <w:t xml:space="preserve"> minutes equals </w:t>
      </w:r>
      <w:r w:rsidR="008F1E65">
        <w:rPr>
          <w:szCs w:val="22"/>
        </w:rPr>
        <w:t>2,985,075</w:t>
      </w:r>
      <w:r w:rsidR="003C4FF6">
        <w:rPr>
          <w:szCs w:val="22"/>
        </w:rPr>
        <w:t xml:space="preserve"> minutes</w:t>
      </w:r>
      <w:r w:rsidR="00D538E0">
        <w:rPr>
          <w:szCs w:val="22"/>
        </w:rPr>
        <w:t xml:space="preserve">, </w:t>
      </w:r>
      <w:r w:rsidR="008F1E65">
        <w:rPr>
          <w:szCs w:val="22"/>
        </w:rPr>
        <w:t>or approximately 49,751 hours</w:t>
      </w:r>
      <w:r w:rsidR="00D538E0">
        <w:rPr>
          <w:szCs w:val="22"/>
        </w:rPr>
        <w:t>)</w:t>
      </w:r>
      <w:r w:rsidR="008F1E65">
        <w:rPr>
          <w:szCs w:val="22"/>
        </w:rPr>
        <w:t>.</w:t>
      </w:r>
    </w:p>
    <w:p w:rsidR="007C43E3" w:rsidP="00453717" w:rsidRDefault="007C43E3" w14:paraId="28323DD0" w14:textId="77777777">
      <w:pPr>
        <w:pStyle w:val="ListParagraph"/>
        <w:rPr>
          <w:szCs w:val="22"/>
        </w:rPr>
      </w:pPr>
    </w:p>
    <w:p w:rsidR="007C43E3" w:rsidP="00453717" w:rsidRDefault="007C43E3" w14:paraId="653F1428" w14:textId="435D022F">
      <w:pPr>
        <w:rPr>
          <w:szCs w:val="22"/>
        </w:rPr>
      </w:pPr>
      <w:r w:rsidRPr="006C7787">
        <w:t xml:space="preserve">13.  </w:t>
      </w:r>
      <w:r>
        <w:rPr>
          <w:u w:val="single"/>
        </w:rPr>
        <w:t>Estimated annual cost burden</w:t>
      </w:r>
      <w:r w:rsidRPr="006C7787">
        <w:rPr>
          <w:u w:val="single"/>
        </w:rPr>
        <w:t>.</w:t>
      </w:r>
    </w:p>
    <w:p w:rsidRPr="00930EDE" w:rsidR="00D33BF9" w:rsidP="00987645" w:rsidRDefault="00D33BF9" w14:paraId="531BD5BF" w14:textId="77777777">
      <w:pPr>
        <w:rPr>
          <w:szCs w:val="22"/>
        </w:rPr>
      </w:pPr>
    </w:p>
    <w:p w:rsidR="005E5279" w:rsidP="00930EDE" w:rsidRDefault="003F58F0" w14:paraId="3CA1B3B7" w14:textId="703688BC">
      <w:pPr>
        <w:numPr>
          <w:ilvl w:val="0"/>
          <w:numId w:val="1"/>
        </w:numPr>
        <w:autoSpaceDE w:val="0"/>
        <w:autoSpaceDN w:val="0"/>
        <w:adjustRightInd w:val="0"/>
        <w:rPr>
          <w:szCs w:val="18"/>
        </w:rPr>
      </w:pPr>
      <w:r w:rsidRPr="00E00BD0">
        <w:rPr>
          <w:szCs w:val="18"/>
          <w:u w:val="single"/>
        </w:rPr>
        <w:t xml:space="preserve">Estimated </w:t>
      </w:r>
      <w:r w:rsidR="00E00BD0">
        <w:rPr>
          <w:szCs w:val="18"/>
          <w:u w:val="single"/>
        </w:rPr>
        <w:t>Total Annual</w:t>
      </w:r>
      <w:r w:rsidRPr="00E00BD0">
        <w:rPr>
          <w:szCs w:val="18"/>
          <w:u w:val="single"/>
        </w:rPr>
        <w:t xml:space="preserve"> C</w:t>
      </w:r>
      <w:r w:rsidRPr="00E00BD0" w:rsidR="00D33BF9">
        <w:rPr>
          <w:szCs w:val="18"/>
          <w:u w:val="single"/>
        </w:rPr>
        <w:t>ost</w:t>
      </w:r>
      <w:r w:rsidR="0019387B">
        <w:rPr>
          <w:szCs w:val="18"/>
          <w:u w:val="single"/>
        </w:rPr>
        <w:t xml:space="preserve"> to the Public</w:t>
      </w:r>
      <w:r w:rsidRPr="00E00BD0" w:rsidR="00D33BF9">
        <w:rPr>
          <w:szCs w:val="18"/>
          <w:u w:val="single"/>
        </w:rPr>
        <w:t>:</w:t>
      </w:r>
      <w:r w:rsidRPr="00EE7F65" w:rsidR="00D33BF9">
        <w:rPr>
          <w:szCs w:val="18"/>
        </w:rPr>
        <w:t xml:space="preserve"> </w:t>
      </w:r>
      <w:r w:rsidR="00D33BF9">
        <w:rPr>
          <w:szCs w:val="18"/>
        </w:rPr>
        <w:t xml:space="preserve"> </w:t>
      </w:r>
      <w:r w:rsidRPr="00167010" w:rsidR="00B44833">
        <w:rPr>
          <w:color w:val="000000"/>
        </w:rPr>
        <w:t>$1,859,471 (</w:t>
      </w:r>
      <w:r w:rsidRPr="00167010" w:rsidR="00B44833">
        <w:t xml:space="preserve">$1,637,669 for travelers and </w:t>
      </w:r>
      <w:r w:rsidRPr="00167010" w:rsidR="00B44833">
        <w:rPr>
          <w:color w:val="000000"/>
        </w:rPr>
        <w:t>$</w:t>
      </w:r>
      <w:r w:rsidRPr="00167010" w:rsidR="00B44833">
        <w:t>221,802 for currency transporters).</w:t>
      </w:r>
    </w:p>
    <w:p w:rsidRPr="00E828FD" w:rsidR="005E5279" w:rsidP="00E00BD0" w:rsidRDefault="005E5279" w14:paraId="084A96EE" w14:textId="59C2FCB4">
      <w:pPr>
        <w:numPr>
          <w:ilvl w:val="1"/>
          <w:numId w:val="1"/>
        </w:numPr>
        <w:autoSpaceDE w:val="0"/>
        <w:autoSpaceDN w:val="0"/>
        <w:adjustRightInd w:val="0"/>
        <w:rPr>
          <w:szCs w:val="18"/>
        </w:rPr>
      </w:pPr>
      <w:r>
        <w:rPr>
          <w:szCs w:val="18"/>
        </w:rPr>
        <w:t xml:space="preserve">For travelers: </w:t>
      </w:r>
      <w:r w:rsidRPr="00167010">
        <w:t>$1,637,669 (170,413 reports multiplied by the average fully loaded wage rate of $38.44 per hour, multiplied by the ratio of 15 minutes/60 minutes, rounded up to the nearest hour and dollar)</w:t>
      </w:r>
      <w:r>
        <w:t>.</w:t>
      </w:r>
      <w:r w:rsidRPr="00EE7F65" w:rsidR="00D33BF9">
        <w:rPr>
          <w:vertAlign w:val="superscript"/>
        </w:rPr>
        <w:footnoteReference w:id="14"/>
      </w:r>
      <w:r w:rsidRPr="00EE7F65" w:rsidR="00D33BF9">
        <w:rPr>
          <w:szCs w:val="22"/>
          <w:vertAlign w:val="superscript"/>
        </w:rPr>
        <w:t xml:space="preserve"> </w:t>
      </w:r>
    </w:p>
    <w:p w:rsidR="001F4154" w:rsidP="00E00BD0" w:rsidRDefault="005E5279" w14:paraId="56EA6770" w14:textId="486E5A6A">
      <w:pPr>
        <w:numPr>
          <w:ilvl w:val="1"/>
          <w:numId w:val="1"/>
        </w:numPr>
        <w:autoSpaceDE w:val="0"/>
        <w:autoSpaceDN w:val="0"/>
        <w:adjustRightInd w:val="0"/>
      </w:pPr>
      <w:r>
        <w:t xml:space="preserve">For currency transporters: </w:t>
      </w:r>
      <w:r w:rsidRPr="005E5279">
        <w:t>$221,802 (14,296 reports multiplied by the weighted fully loaded wage rate of $31.03, multiplied by the ratio of 30 minutes/60 minutes, rounded up to the nearest hour and dollar).</w:t>
      </w:r>
      <w:r w:rsidRPr="00EE7F65">
        <w:rPr>
          <w:vertAlign w:val="superscript"/>
        </w:rPr>
        <w:footnoteReference w:id="15"/>
      </w:r>
    </w:p>
    <w:p w:rsidR="001F4154" w:rsidP="001F4154" w:rsidRDefault="001F4154" w14:paraId="68F3F26B" w14:textId="77777777"/>
    <w:p w:rsidR="001F4154" w:rsidP="00396577" w:rsidRDefault="001F4154" w14:paraId="71A7DA0B" w14:textId="63DAD188">
      <w:pPr>
        <w:ind w:firstLine="720"/>
      </w:pPr>
      <w:r>
        <w:t>There are no non-labor costs associated with this collection of information.</w:t>
      </w:r>
    </w:p>
    <w:p w:rsidR="00E00BD0" w:rsidP="00396577" w:rsidRDefault="00E00BD0" w14:paraId="5CA53DF9" w14:textId="77777777">
      <w:pPr>
        <w:ind w:firstLine="720"/>
      </w:pPr>
    </w:p>
    <w:p w:rsidR="00B44833" w:rsidP="00E00BD0" w:rsidRDefault="00264E3F" w14:paraId="71C1065B" w14:textId="00261CF4">
      <w:pPr>
        <w:rPr>
          <w:szCs w:val="22"/>
          <w:u w:val="single"/>
        </w:rPr>
      </w:pPr>
      <w:r>
        <w:rPr>
          <w:szCs w:val="22"/>
        </w:rPr>
        <w:t xml:space="preserve">14. </w:t>
      </w:r>
      <w:r w:rsidRPr="00595F30" w:rsidR="00595F30">
        <w:rPr>
          <w:szCs w:val="22"/>
          <w:u w:val="single"/>
        </w:rPr>
        <w:t>Estimated ann</w:t>
      </w:r>
      <w:r w:rsidR="0053378A">
        <w:rPr>
          <w:szCs w:val="22"/>
          <w:u w:val="single"/>
        </w:rPr>
        <w:t xml:space="preserve">ualized cost to the </w:t>
      </w:r>
      <w:r w:rsidR="00E00BD0">
        <w:rPr>
          <w:szCs w:val="22"/>
          <w:u w:val="single"/>
        </w:rPr>
        <w:t xml:space="preserve">Federal </w:t>
      </w:r>
      <w:r w:rsidR="0053378A">
        <w:rPr>
          <w:szCs w:val="22"/>
          <w:u w:val="single"/>
        </w:rPr>
        <w:t>government</w:t>
      </w:r>
      <w:r w:rsidR="007F70D8">
        <w:rPr>
          <w:szCs w:val="22"/>
          <w:u w:val="single"/>
        </w:rPr>
        <w:t>.</w:t>
      </w:r>
    </w:p>
    <w:p w:rsidR="00E00BD0" w:rsidP="00E00BD0" w:rsidRDefault="00E00BD0" w14:paraId="513164BA" w14:textId="77777777">
      <w:pPr>
        <w:rPr>
          <w:szCs w:val="22"/>
          <w:u w:val="single"/>
        </w:rPr>
      </w:pPr>
    </w:p>
    <w:p w:rsidRPr="00E00BD0" w:rsidR="00B44833" w:rsidP="00E00BD0" w:rsidRDefault="00E00BD0" w14:paraId="1463A259" w14:textId="6158CC45">
      <w:pPr>
        <w:pStyle w:val="ListParagraph"/>
        <w:numPr>
          <w:ilvl w:val="0"/>
          <w:numId w:val="4"/>
        </w:numPr>
        <w:autoSpaceDE w:val="0"/>
        <w:autoSpaceDN w:val="0"/>
        <w:adjustRightInd w:val="0"/>
        <w:rPr>
          <w:color w:val="000000"/>
        </w:rPr>
      </w:pPr>
      <w:r w:rsidRPr="00E00BD0">
        <w:rPr>
          <w:color w:val="000000"/>
          <w:u w:val="single"/>
        </w:rPr>
        <w:t>Estimated Total Annual Cost</w:t>
      </w:r>
      <w:r w:rsidR="0019387B">
        <w:rPr>
          <w:color w:val="000000"/>
          <w:u w:val="single"/>
        </w:rPr>
        <w:t xml:space="preserve"> to the Government</w:t>
      </w:r>
      <w:r w:rsidRPr="00E00BD0">
        <w:rPr>
          <w:color w:val="000000"/>
          <w:u w:val="single"/>
        </w:rPr>
        <w:t>:</w:t>
      </w:r>
      <w:r>
        <w:rPr>
          <w:color w:val="000000"/>
        </w:rPr>
        <w:t xml:space="preserve">  </w:t>
      </w:r>
      <w:r w:rsidRPr="00E00BD0" w:rsidR="00B44833">
        <w:rPr>
          <w:color w:val="000000"/>
        </w:rPr>
        <w:t>$1,434,835.29, resulting from:</w:t>
      </w:r>
    </w:p>
    <w:p w:rsidRPr="00DE71CC" w:rsidR="004F21AD" w:rsidP="00DE71CC" w:rsidRDefault="00B44833" w14:paraId="2A73DDD5" w14:textId="77777777">
      <w:pPr>
        <w:numPr>
          <w:ilvl w:val="1"/>
          <w:numId w:val="1"/>
        </w:numPr>
        <w:autoSpaceDE w:val="0"/>
        <w:autoSpaceDN w:val="0"/>
        <w:adjustRightInd w:val="0"/>
        <w:rPr>
          <w:szCs w:val="18"/>
          <w:vertAlign w:val="superscript"/>
        </w:rPr>
      </w:pPr>
      <w:r w:rsidRPr="00DE71CC">
        <w:rPr>
          <w:szCs w:val="18"/>
        </w:rPr>
        <w:t>CBP’s processing cost:  $1,416,364.39.</w:t>
      </w:r>
      <w:r w:rsidRPr="00DE71CC">
        <w:rPr>
          <w:szCs w:val="18"/>
          <w:vertAlign w:val="superscript"/>
        </w:rPr>
        <w:footnoteReference w:id="16"/>
      </w:r>
    </w:p>
    <w:p w:rsidR="003E1E10" w:rsidP="00DE71CC" w:rsidRDefault="00B44833" w14:paraId="599C555B" w14:textId="303AF0C4">
      <w:pPr>
        <w:numPr>
          <w:ilvl w:val="1"/>
          <w:numId w:val="1"/>
        </w:numPr>
        <w:autoSpaceDE w:val="0"/>
        <w:autoSpaceDN w:val="0"/>
        <w:adjustRightInd w:val="0"/>
        <w:rPr>
          <w:szCs w:val="18"/>
        </w:rPr>
      </w:pPr>
      <w:r w:rsidRPr="00DE71CC">
        <w:rPr>
          <w:szCs w:val="18"/>
        </w:rPr>
        <w:t>FinCEN’s upload and storing cost: $18,470.90 (the estimated annual cost to FinCEN is $0.10 per report, times the estimated number of annual reports (184,709 reports)).</w:t>
      </w:r>
      <w:r w:rsidRPr="00DE71CC">
        <w:rPr>
          <w:szCs w:val="18"/>
          <w:vertAlign w:val="superscript"/>
        </w:rPr>
        <w:footnoteReference w:id="17"/>
      </w:r>
      <w:r w:rsidRPr="00DE71CC">
        <w:rPr>
          <w:szCs w:val="18"/>
        </w:rPr>
        <w:t xml:space="preserve"> </w:t>
      </w:r>
    </w:p>
    <w:p w:rsidRPr="00DE71CC" w:rsidR="00DE71CC" w:rsidP="00DE71CC" w:rsidRDefault="00DE71CC" w14:paraId="60335EDA" w14:textId="77777777">
      <w:pPr>
        <w:autoSpaceDE w:val="0"/>
        <w:autoSpaceDN w:val="0"/>
        <w:adjustRightInd w:val="0"/>
        <w:ind w:left="1440"/>
        <w:rPr>
          <w:szCs w:val="18"/>
        </w:rPr>
      </w:pPr>
    </w:p>
    <w:p w:rsidR="00943C3B" w:rsidP="00943C3B" w:rsidRDefault="00264E3F" w14:paraId="72B722D8" w14:textId="20A96CEF">
      <w:pPr>
        <w:rPr>
          <w:szCs w:val="22"/>
        </w:rPr>
      </w:pPr>
      <w:r>
        <w:rPr>
          <w:szCs w:val="22"/>
        </w:rPr>
        <w:t xml:space="preserve">15. </w:t>
      </w:r>
      <w:r>
        <w:rPr>
          <w:szCs w:val="22"/>
          <w:u w:val="single"/>
        </w:rPr>
        <w:t>Reason</w:t>
      </w:r>
      <w:r w:rsidR="00595F30">
        <w:rPr>
          <w:szCs w:val="22"/>
          <w:u w:val="single"/>
        </w:rPr>
        <w:t>s</w:t>
      </w:r>
      <w:r>
        <w:rPr>
          <w:szCs w:val="22"/>
          <w:u w:val="single"/>
        </w:rPr>
        <w:t xml:space="preserve"> </w:t>
      </w:r>
      <w:r w:rsidR="00595F30">
        <w:rPr>
          <w:szCs w:val="22"/>
          <w:u w:val="single"/>
        </w:rPr>
        <w:t>for change in burden</w:t>
      </w:r>
      <w:r w:rsidR="007F70D8">
        <w:rPr>
          <w:szCs w:val="22"/>
          <w:u w:val="single"/>
        </w:rPr>
        <w:t>.</w:t>
      </w:r>
    </w:p>
    <w:p w:rsidR="00943C3B" w:rsidRDefault="00D4746F" w14:paraId="2158EFA5" w14:textId="605AC73F">
      <w:pPr>
        <w:ind w:firstLine="720"/>
        <w:rPr>
          <w:szCs w:val="22"/>
        </w:rPr>
      </w:pPr>
      <w:r w:rsidDel="00D4746F">
        <w:rPr>
          <w:szCs w:val="22"/>
        </w:rPr>
        <w:t xml:space="preserve"> </w:t>
      </w:r>
    </w:p>
    <w:p w:rsidR="00D4746F" w:rsidP="00943C3B" w:rsidRDefault="00D4746F" w14:paraId="1DB888FA" w14:textId="3F99B0AF">
      <w:pPr>
        <w:ind w:firstLine="720"/>
        <w:rPr>
          <w:szCs w:val="22"/>
        </w:rPr>
      </w:pPr>
      <w:r w:rsidRPr="00D4746F">
        <w:rPr>
          <w:szCs w:val="22"/>
        </w:rPr>
        <w:t>The estimated total annu</w:t>
      </w:r>
      <w:r>
        <w:rPr>
          <w:szCs w:val="22"/>
        </w:rPr>
        <w:t xml:space="preserve">al burden hours decreased by </w:t>
      </w:r>
      <w:r w:rsidR="004F21AD">
        <w:rPr>
          <w:szCs w:val="22"/>
        </w:rPr>
        <w:t>90,249</w:t>
      </w:r>
      <w:r w:rsidRPr="00D4746F">
        <w:rPr>
          <w:szCs w:val="22"/>
        </w:rPr>
        <w:t xml:space="preserve"> hours from 1</w:t>
      </w:r>
      <w:r>
        <w:rPr>
          <w:szCs w:val="22"/>
        </w:rPr>
        <w:t>40,000 hours in 2018</w:t>
      </w:r>
      <w:r w:rsidR="00FD77FE">
        <w:rPr>
          <w:szCs w:val="22"/>
        </w:rPr>
        <w:t>,</w:t>
      </w:r>
      <w:r>
        <w:rPr>
          <w:szCs w:val="22"/>
        </w:rPr>
        <w:t xml:space="preserve"> to 49,751 hours in 2022. </w:t>
      </w:r>
      <w:r w:rsidR="0093683A">
        <w:rPr>
          <w:szCs w:val="22"/>
        </w:rPr>
        <w:t xml:space="preserve"> </w:t>
      </w:r>
      <w:r w:rsidR="004F21AD">
        <w:rPr>
          <w:szCs w:val="22"/>
        </w:rPr>
        <w:t xml:space="preserve">The decrease is due to two factors. </w:t>
      </w:r>
      <w:r w:rsidR="00E34DBC">
        <w:rPr>
          <w:szCs w:val="22"/>
        </w:rPr>
        <w:t xml:space="preserve"> </w:t>
      </w:r>
      <w:r w:rsidR="004F21AD">
        <w:rPr>
          <w:szCs w:val="22"/>
        </w:rPr>
        <w:t>First, t</w:t>
      </w:r>
      <w:r w:rsidRPr="00D4746F">
        <w:rPr>
          <w:szCs w:val="22"/>
        </w:rPr>
        <w:t>he annual ho</w:t>
      </w:r>
      <w:r>
        <w:rPr>
          <w:szCs w:val="22"/>
        </w:rPr>
        <w:t>urly burden estimate per respondent changed</w:t>
      </w:r>
      <w:r w:rsidRPr="00D4746F">
        <w:rPr>
          <w:szCs w:val="22"/>
        </w:rPr>
        <w:t xml:space="preserve"> from </w:t>
      </w:r>
      <w:r>
        <w:rPr>
          <w:szCs w:val="22"/>
        </w:rPr>
        <w:t>30</w:t>
      </w:r>
      <w:r w:rsidRPr="00D4746F">
        <w:rPr>
          <w:szCs w:val="22"/>
        </w:rPr>
        <w:t xml:space="preserve"> </w:t>
      </w:r>
      <w:r w:rsidR="004F21AD">
        <w:rPr>
          <w:szCs w:val="22"/>
        </w:rPr>
        <w:t>minutes for all reports</w:t>
      </w:r>
      <w:r>
        <w:rPr>
          <w:szCs w:val="22"/>
        </w:rPr>
        <w:t xml:space="preserve"> in 2018</w:t>
      </w:r>
      <w:r w:rsidR="00FD77FE">
        <w:rPr>
          <w:szCs w:val="22"/>
        </w:rPr>
        <w:t>,</w:t>
      </w:r>
      <w:r w:rsidRPr="00D4746F">
        <w:rPr>
          <w:szCs w:val="22"/>
        </w:rPr>
        <w:t xml:space="preserve"> to</w:t>
      </w:r>
      <w:r w:rsidR="00FD77FE">
        <w:rPr>
          <w:szCs w:val="22"/>
        </w:rPr>
        <w:t>, in 2022,</w:t>
      </w:r>
      <w:r w:rsidRPr="00D4746F">
        <w:rPr>
          <w:szCs w:val="22"/>
        </w:rPr>
        <w:t xml:space="preserve"> </w:t>
      </w:r>
      <w:r w:rsidR="00FD77FE">
        <w:rPr>
          <w:szCs w:val="22"/>
        </w:rPr>
        <w:t xml:space="preserve">(i) </w:t>
      </w:r>
      <w:r w:rsidRPr="00167010">
        <w:rPr>
          <w:color w:val="000000"/>
        </w:rPr>
        <w:t xml:space="preserve">15 minutes per report filed by travelers reporting transactions involving their own currency or monetary instruments, and </w:t>
      </w:r>
      <w:r w:rsidR="00FD77FE">
        <w:rPr>
          <w:color w:val="000000"/>
        </w:rPr>
        <w:t xml:space="preserve">(ii) </w:t>
      </w:r>
      <w:r w:rsidRPr="00167010">
        <w:rPr>
          <w:color w:val="000000"/>
        </w:rPr>
        <w:t>30 minutes per report filed by currency transporters reporting transactions on behalf of others</w:t>
      </w:r>
      <w:r w:rsidRPr="00D4746F">
        <w:rPr>
          <w:szCs w:val="22"/>
        </w:rPr>
        <w:t xml:space="preserve">. </w:t>
      </w:r>
      <w:r w:rsidR="00E34DBC">
        <w:rPr>
          <w:szCs w:val="22"/>
        </w:rPr>
        <w:t xml:space="preserve"> </w:t>
      </w:r>
      <w:r w:rsidR="004F21AD">
        <w:rPr>
          <w:szCs w:val="22"/>
        </w:rPr>
        <w:t>Second, t</w:t>
      </w:r>
      <w:r w:rsidRPr="00D4746F">
        <w:rPr>
          <w:szCs w:val="22"/>
        </w:rPr>
        <w:t>he reduction in burden is a result of a decrease in the es</w:t>
      </w:r>
      <w:r w:rsidR="00E34DBC">
        <w:rPr>
          <w:szCs w:val="22"/>
        </w:rPr>
        <w:t>timated annual CMIRs</w:t>
      </w:r>
      <w:r>
        <w:rPr>
          <w:szCs w:val="22"/>
        </w:rPr>
        <w:t xml:space="preserve"> from 280,000 in 2018</w:t>
      </w:r>
      <w:r w:rsidR="00FD77FE">
        <w:rPr>
          <w:szCs w:val="22"/>
        </w:rPr>
        <w:t>,</w:t>
      </w:r>
      <w:r>
        <w:rPr>
          <w:szCs w:val="22"/>
        </w:rPr>
        <w:t xml:space="preserve"> to 184,709 in 2022</w:t>
      </w:r>
      <w:r w:rsidRPr="00D4746F">
        <w:rPr>
          <w:szCs w:val="22"/>
        </w:rPr>
        <w:t>.</w:t>
      </w:r>
    </w:p>
    <w:p w:rsidR="00D4746F" w:rsidP="00943C3B" w:rsidRDefault="00D4746F" w14:paraId="6571B12C" w14:textId="77777777">
      <w:pPr>
        <w:ind w:firstLine="720"/>
        <w:rPr>
          <w:szCs w:val="22"/>
        </w:rPr>
      </w:pPr>
    </w:p>
    <w:p w:rsidR="00264E3F" w:rsidP="00943C3B" w:rsidRDefault="00264E3F" w14:paraId="00DE6697" w14:textId="77777777">
      <w:pPr>
        <w:rPr>
          <w:szCs w:val="22"/>
        </w:rPr>
      </w:pPr>
      <w:r>
        <w:rPr>
          <w:szCs w:val="22"/>
        </w:rPr>
        <w:t xml:space="preserve">16. </w:t>
      </w:r>
      <w:r>
        <w:rPr>
          <w:szCs w:val="22"/>
          <w:u w:val="single"/>
        </w:rPr>
        <w:t xml:space="preserve">Plans </w:t>
      </w:r>
      <w:r w:rsidR="00595F30">
        <w:rPr>
          <w:szCs w:val="22"/>
          <w:u w:val="single"/>
        </w:rPr>
        <w:t>for tabulation, statistical analysis, and publication</w:t>
      </w:r>
      <w:r w:rsidR="007F70D8">
        <w:rPr>
          <w:szCs w:val="22"/>
          <w:u w:val="single"/>
        </w:rPr>
        <w:t>.</w:t>
      </w:r>
    </w:p>
    <w:p w:rsidR="00943C3B" w:rsidP="00943C3B" w:rsidRDefault="00943C3B" w14:paraId="312C77E3" w14:textId="77777777">
      <w:pPr>
        <w:pStyle w:val="BodyText"/>
        <w:spacing w:before="0"/>
        <w:ind w:firstLine="720"/>
        <w:rPr>
          <w:sz w:val="24"/>
          <w:szCs w:val="24"/>
        </w:rPr>
      </w:pPr>
    </w:p>
    <w:p w:rsidR="00943C3B" w:rsidP="00943C3B" w:rsidRDefault="00943C3B" w14:paraId="767D0741" w14:textId="6BEE547F">
      <w:pPr>
        <w:pStyle w:val="BodyText"/>
        <w:spacing w:before="0"/>
        <w:ind w:firstLine="720"/>
        <w:rPr>
          <w:sz w:val="24"/>
          <w:szCs w:val="24"/>
        </w:rPr>
      </w:pPr>
      <w:r w:rsidRPr="00C14283">
        <w:rPr>
          <w:sz w:val="24"/>
          <w:szCs w:val="24"/>
        </w:rPr>
        <w:t>This</w:t>
      </w:r>
      <w:r w:rsidRPr="00C14283">
        <w:rPr>
          <w:spacing w:val="-3"/>
          <w:sz w:val="24"/>
          <w:szCs w:val="24"/>
        </w:rPr>
        <w:t xml:space="preserve"> </w:t>
      </w:r>
      <w:r w:rsidRPr="00C14283">
        <w:rPr>
          <w:sz w:val="24"/>
          <w:szCs w:val="24"/>
        </w:rPr>
        <w:t>collection</w:t>
      </w:r>
      <w:r w:rsidRPr="00C14283">
        <w:rPr>
          <w:spacing w:val="16"/>
          <w:sz w:val="24"/>
          <w:szCs w:val="24"/>
        </w:rPr>
        <w:t xml:space="preserve"> </w:t>
      </w:r>
      <w:r w:rsidRPr="00C14283">
        <w:rPr>
          <w:sz w:val="24"/>
          <w:szCs w:val="24"/>
        </w:rPr>
        <w:t>of</w:t>
      </w:r>
      <w:r w:rsidRPr="00C14283">
        <w:rPr>
          <w:spacing w:val="3"/>
          <w:sz w:val="24"/>
          <w:szCs w:val="24"/>
        </w:rPr>
        <w:t xml:space="preserve"> </w:t>
      </w:r>
      <w:r w:rsidRPr="00C14283">
        <w:rPr>
          <w:sz w:val="24"/>
          <w:szCs w:val="24"/>
        </w:rPr>
        <w:t>information</w:t>
      </w:r>
      <w:r w:rsidRPr="00C14283">
        <w:rPr>
          <w:spacing w:val="13"/>
          <w:sz w:val="24"/>
          <w:szCs w:val="24"/>
        </w:rPr>
        <w:t xml:space="preserve"> </w:t>
      </w:r>
      <w:r w:rsidRPr="00C14283">
        <w:rPr>
          <w:sz w:val="24"/>
          <w:szCs w:val="24"/>
        </w:rPr>
        <w:t>will</w:t>
      </w:r>
      <w:r w:rsidRPr="00C14283">
        <w:rPr>
          <w:spacing w:val="20"/>
          <w:sz w:val="24"/>
          <w:szCs w:val="24"/>
        </w:rPr>
        <w:t xml:space="preserve"> </w:t>
      </w:r>
      <w:r w:rsidRPr="00C14283">
        <w:rPr>
          <w:sz w:val="24"/>
          <w:szCs w:val="24"/>
        </w:rPr>
        <w:t>not</w:t>
      </w:r>
      <w:r w:rsidRPr="00C14283">
        <w:rPr>
          <w:spacing w:val="16"/>
          <w:sz w:val="24"/>
          <w:szCs w:val="24"/>
        </w:rPr>
        <w:t xml:space="preserve"> </w:t>
      </w:r>
      <w:r w:rsidRPr="00C14283">
        <w:rPr>
          <w:sz w:val="24"/>
          <w:szCs w:val="24"/>
        </w:rPr>
        <w:t>be</w:t>
      </w:r>
      <w:r w:rsidRPr="00C14283">
        <w:rPr>
          <w:spacing w:val="3"/>
          <w:sz w:val="24"/>
          <w:szCs w:val="24"/>
        </w:rPr>
        <w:t xml:space="preserve"> </w:t>
      </w:r>
      <w:r w:rsidRPr="00C14283">
        <w:rPr>
          <w:sz w:val="24"/>
          <w:szCs w:val="24"/>
        </w:rPr>
        <w:t>published.</w:t>
      </w:r>
    </w:p>
    <w:p w:rsidRPr="00C14283" w:rsidR="00943C3B" w:rsidP="00943C3B" w:rsidRDefault="00943C3B" w14:paraId="5A65732F" w14:textId="77777777">
      <w:pPr>
        <w:pStyle w:val="BodyText"/>
        <w:spacing w:before="0"/>
        <w:ind w:firstLine="720"/>
        <w:rPr>
          <w:sz w:val="24"/>
          <w:szCs w:val="24"/>
        </w:rPr>
      </w:pPr>
    </w:p>
    <w:p w:rsidR="00595F30" w:rsidP="00943C3B" w:rsidRDefault="00595F30" w14:paraId="2A46B810" w14:textId="7C947CB5">
      <w:r>
        <w:t xml:space="preserve">17.  </w:t>
      </w:r>
      <w:r w:rsidR="00BF6843">
        <w:rPr>
          <w:u w:val="single"/>
        </w:rPr>
        <w:t>Request not to display the</w:t>
      </w:r>
      <w:r>
        <w:rPr>
          <w:u w:val="single"/>
        </w:rPr>
        <w:t xml:space="preserve"> expiration date</w:t>
      </w:r>
      <w:r w:rsidR="00BF6843">
        <w:rPr>
          <w:u w:val="single"/>
        </w:rPr>
        <w:t xml:space="preserve"> of the OMB control number</w:t>
      </w:r>
      <w:r w:rsidR="007F70D8">
        <w:t>.</w:t>
      </w:r>
      <w:r>
        <w:t xml:space="preserve"> </w:t>
      </w:r>
    </w:p>
    <w:p w:rsidR="00595F30" w:rsidP="00943C3B" w:rsidRDefault="00595F30" w14:paraId="76101A0C" w14:textId="77777777">
      <w:pPr>
        <w:ind w:left="450"/>
      </w:pPr>
      <w:r>
        <w:tab/>
      </w:r>
    </w:p>
    <w:p w:rsidR="00BF6843" w:rsidP="00BF6843" w:rsidRDefault="00BF6843" w14:paraId="48C64ABE" w14:textId="41F23197">
      <w:pPr>
        <w:ind w:firstLine="720"/>
      </w:pPr>
      <w:r w:rsidRPr="001F7618">
        <w:t>FinCEN requests that the expiration date of th</w:t>
      </w:r>
      <w:r>
        <w:t>e control number of the CMIR</w:t>
      </w:r>
      <w:r w:rsidRPr="001F7618">
        <w:t xml:space="preserve"> not be displayed on the report so that there is no c</w:t>
      </w:r>
      <w:r>
        <w:t>onfusion as to whether the</w:t>
      </w:r>
      <w:r w:rsidRPr="001F7618">
        <w:t xml:space="preserve"> report is still valid. This requ</w:t>
      </w:r>
      <w:r>
        <w:t>est will not affect the normal three</w:t>
      </w:r>
      <w:r w:rsidRPr="001F7618">
        <w:t>-year PRA renewal process.</w:t>
      </w:r>
    </w:p>
    <w:p w:rsidR="00595F30" w:rsidP="00BF6843" w:rsidRDefault="00595F30" w14:paraId="1B53A6A6" w14:textId="5C6674A9"/>
    <w:p w:rsidR="00595F30" w:rsidP="00595F30" w:rsidRDefault="00595F30" w14:paraId="732CF017" w14:textId="77777777">
      <w:r>
        <w:t xml:space="preserve">18.  </w:t>
      </w:r>
      <w:r>
        <w:rPr>
          <w:u w:val="single"/>
        </w:rPr>
        <w:t>Exceptions to the certification statement</w:t>
      </w:r>
      <w:r w:rsidR="007F70D8">
        <w:rPr>
          <w:u w:val="single"/>
        </w:rPr>
        <w:t>.</w:t>
      </w:r>
    </w:p>
    <w:p w:rsidR="00264E3F" w:rsidP="008A64EF" w:rsidRDefault="00595F30" w14:paraId="1E038EA1" w14:textId="77777777">
      <w:pPr>
        <w:spacing w:before="283"/>
        <w:ind w:firstLine="720"/>
      </w:pPr>
      <w:r w:rsidRPr="00B96D75">
        <w:t>There are no exceptions to the certification statement</w:t>
      </w:r>
      <w:bookmarkStart w:name="_GoBack" w:id="0"/>
      <w:bookmarkEnd w:id="0"/>
      <w:r w:rsidRPr="00B96D75">
        <w:t>.</w:t>
      </w:r>
    </w:p>
    <w:sectPr w:rsidR="00264E3F" w:rsidSect="00AF4D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48B24" w14:textId="77777777" w:rsidR="00503CB2" w:rsidRDefault="00503CB2" w:rsidP="001F4154">
      <w:r>
        <w:separator/>
      </w:r>
    </w:p>
  </w:endnote>
  <w:endnote w:type="continuationSeparator" w:id="0">
    <w:p w14:paraId="6107C1AC" w14:textId="77777777" w:rsidR="00503CB2" w:rsidRDefault="00503CB2" w:rsidP="001F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BB5A" w14:textId="77777777" w:rsidR="00FF72C3" w:rsidRDefault="00FF7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7810"/>
      <w:docPartObj>
        <w:docPartGallery w:val="Page Numbers (Bottom of Page)"/>
        <w:docPartUnique/>
      </w:docPartObj>
    </w:sdtPr>
    <w:sdtEndPr>
      <w:rPr>
        <w:noProof/>
      </w:rPr>
    </w:sdtEndPr>
    <w:sdtContent>
      <w:p w14:paraId="1D7C269E" w14:textId="528B1299" w:rsidR="00AA79F5" w:rsidRDefault="00AA79F5">
        <w:pPr>
          <w:pStyle w:val="Footer"/>
          <w:jc w:val="center"/>
        </w:pPr>
        <w:r>
          <w:fldChar w:fldCharType="begin"/>
        </w:r>
        <w:r>
          <w:instrText xml:space="preserve"> PAGE   \* MERGEFORMAT </w:instrText>
        </w:r>
        <w:r>
          <w:fldChar w:fldCharType="separate"/>
        </w:r>
        <w:r w:rsidR="00FF72C3">
          <w:rPr>
            <w:noProof/>
          </w:rPr>
          <w:t>5</w:t>
        </w:r>
        <w:r>
          <w:rPr>
            <w:noProof/>
          </w:rPr>
          <w:fldChar w:fldCharType="end"/>
        </w:r>
      </w:p>
    </w:sdtContent>
  </w:sdt>
  <w:p w14:paraId="03653B62" w14:textId="77777777" w:rsidR="00AA79F5" w:rsidRDefault="00AA7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EC28" w14:textId="77777777" w:rsidR="00FF72C3" w:rsidRDefault="00FF7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971C5" w14:textId="77777777" w:rsidR="00503CB2" w:rsidRDefault="00503CB2" w:rsidP="001F4154">
      <w:r>
        <w:separator/>
      </w:r>
    </w:p>
  </w:footnote>
  <w:footnote w:type="continuationSeparator" w:id="0">
    <w:p w14:paraId="35552F77" w14:textId="77777777" w:rsidR="00503CB2" w:rsidRDefault="00503CB2" w:rsidP="001F4154">
      <w:r>
        <w:continuationSeparator/>
      </w:r>
    </w:p>
  </w:footnote>
  <w:footnote w:id="1">
    <w:p w14:paraId="69A72CBC" w14:textId="77777777" w:rsidR="00A866F3" w:rsidRPr="00A866F3" w:rsidRDefault="00A866F3" w:rsidP="00A866F3">
      <w:pPr>
        <w:pStyle w:val="FootnoteText"/>
        <w:rPr>
          <w:rFonts w:ascii="Times New Roman" w:hAnsi="Times New Roman"/>
        </w:rPr>
      </w:pPr>
      <w:r w:rsidRPr="00A866F3">
        <w:rPr>
          <w:rStyle w:val="FootnoteReference"/>
          <w:rFonts w:ascii="Times New Roman" w:hAnsi="Times New Roman"/>
        </w:rPr>
        <w:footnoteRef/>
      </w:r>
      <w:r w:rsidRPr="00A866F3">
        <w:rPr>
          <w:rFonts w:ascii="Times New Roman" w:hAnsi="Times New Roman"/>
        </w:rPr>
        <w:t xml:space="preserve"> The AML Act was enacted as Division F, §§ 6001-6511, of the William M. (Mac) Thornberry National</w:t>
      </w:r>
    </w:p>
    <w:p w14:paraId="4D6C146B" w14:textId="77777777" w:rsidR="00A866F3" w:rsidRPr="00A866F3" w:rsidRDefault="00A866F3" w:rsidP="00A866F3">
      <w:pPr>
        <w:pStyle w:val="FootnoteText"/>
        <w:rPr>
          <w:rFonts w:ascii="Times New Roman" w:hAnsi="Times New Roman"/>
        </w:rPr>
      </w:pPr>
      <w:r w:rsidRPr="00A866F3">
        <w:rPr>
          <w:rFonts w:ascii="Times New Roman" w:hAnsi="Times New Roman"/>
        </w:rPr>
        <w:t>Defense Authorization Act for Fiscal Year 2021, Pub. L. 116-283, 134 Stat 3388 (2021).</w:t>
      </w:r>
    </w:p>
  </w:footnote>
  <w:footnote w:id="2">
    <w:p w14:paraId="46582AD5" w14:textId="77777777" w:rsidR="00A866F3" w:rsidRPr="00A866F3" w:rsidRDefault="00A866F3" w:rsidP="00A866F3">
      <w:pPr>
        <w:pStyle w:val="FootnoteText"/>
        <w:rPr>
          <w:rFonts w:ascii="Times New Roman" w:hAnsi="Times New Roman"/>
        </w:rPr>
      </w:pPr>
      <w:r w:rsidRPr="00A866F3">
        <w:rPr>
          <w:rStyle w:val="FootnoteReference"/>
          <w:rFonts w:ascii="Times New Roman" w:hAnsi="Times New Roman"/>
        </w:rPr>
        <w:footnoteRef/>
      </w:r>
      <w:r w:rsidRPr="00A866F3">
        <w:rPr>
          <w:rFonts w:ascii="Times New Roman" w:hAnsi="Times New Roman"/>
        </w:rPr>
        <w:t xml:space="preserve"> Section 358 of the USA PATRIOT Act added language expanding the scope of the BSA to intelligence or counter-intelligence activities to protect against international terrorism.  Section 6101 of the AML Act added language further expanding the scope of the BSA but did not amend these longstanding purposes.</w:t>
      </w:r>
      <w:r w:rsidRPr="00A866F3">
        <w:rPr>
          <w:rFonts w:ascii="Times New Roman" w:hAnsi="Times New Roman"/>
          <w:color w:val="1F497D"/>
        </w:rPr>
        <w:t xml:space="preserve"> </w:t>
      </w:r>
    </w:p>
  </w:footnote>
  <w:footnote w:id="3">
    <w:p w14:paraId="3F6FFEAD" w14:textId="77777777" w:rsidR="00A866F3" w:rsidRPr="00A866F3" w:rsidRDefault="00A866F3" w:rsidP="00A866F3">
      <w:pPr>
        <w:pStyle w:val="FootnoteText"/>
        <w:rPr>
          <w:rFonts w:ascii="Times New Roman" w:hAnsi="Times New Roman"/>
        </w:rPr>
      </w:pPr>
      <w:r w:rsidRPr="00A866F3">
        <w:rPr>
          <w:rStyle w:val="FootnoteReference"/>
          <w:rFonts w:ascii="Times New Roman" w:hAnsi="Times New Roman"/>
        </w:rPr>
        <w:footnoteRef/>
      </w:r>
      <w:r w:rsidRPr="00A866F3">
        <w:rPr>
          <w:rFonts w:ascii="Times New Roman" w:hAnsi="Times New Roman"/>
        </w:rPr>
        <w:t xml:space="preserve"> Treasury Order 180-01. </w:t>
      </w:r>
    </w:p>
  </w:footnote>
  <w:footnote w:id="4">
    <w:p w14:paraId="043DDBCB" w14:textId="77777777" w:rsidR="0062639C" w:rsidRPr="00FD4847" w:rsidRDefault="0062639C" w:rsidP="0062639C">
      <w:pPr>
        <w:pStyle w:val="FootnoteText"/>
        <w:rPr>
          <w:rFonts w:ascii="Times New Roman" w:hAnsi="Times New Roman"/>
        </w:rPr>
      </w:pPr>
      <w:r w:rsidRPr="00FD4847">
        <w:rPr>
          <w:rStyle w:val="FootnoteReference"/>
          <w:rFonts w:ascii="Times New Roman" w:hAnsi="Times New Roman"/>
        </w:rPr>
        <w:footnoteRef/>
      </w:r>
      <w:r w:rsidRPr="00FD4847">
        <w:rPr>
          <w:rFonts w:ascii="Times New Roman" w:hAnsi="Times New Roman"/>
        </w:rPr>
        <w:t xml:space="preserve"> For purposes of 31 U.S.C. 5316, monetary instruments </w:t>
      </w:r>
      <w:r>
        <w:rPr>
          <w:rFonts w:ascii="Times New Roman" w:hAnsi="Times New Roman"/>
        </w:rPr>
        <w:t xml:space="preserve">is defined in 31 U.S.C. 5312(a)(3) </w:t>
      </w:r>
      <w:r w:rsidRPr="00EA1B1D">
        <w:rPr>
          <w:rFonts w:ascii="Times New Roman" w:hAnsi="Times New Roman"/>
        </w:rPr>
        <w:t>as amended by section 6102(d)</w:t>
      </w:r>
      <w:r>
        <w:rPr>
          <w:rFonts w:ascii="Times New Roman" w:hAnsi="Times New Roman"/>
        </w:rPr>
        <w:t>(1)</w:t>
      </w:r>
      <w:r w:rsidRPr="00EA1B1D">
        <w:rPr>
          <w:rFonts w:ascii="Times New Roman" w:hAnsi="Times New Roman"/>
        </w:rPr>
        <w:t>(C) of the AML Act</w:t>
      </w:r>
      <w:r>
        <w:rPr>
          <w:rFonts w:ascii="Times New Roman" w:hAnsi="Times New Roman"/>
        </w:rPr>
        <w:t>.</w:t>
      </w:r>
    </w:p>
  </w:footnote>
  <w:footnote w:id="5">
    <w:p w14:paraId="74EFDC1A" w14:textId="77777777" w:rsidR="0062639C" w:rsidRPr="00EE735D" w:rsidRDefault="0062639C" w:rsidP="0062639C">
      <w:pPr>
        <w:pStyle w:val="indent-2"/>
        <w:spacing w:before="0" w:beforeAutospacing="0" w:after="0" w:afterAutospacing="0"/>
      </w:pPr>
      <w:r w:rsidRPr="00AF7A1D">
        <w:rPr>
          <w:rStyle w:val="FootnoteReference"/>
          <w:sz w:val="20"/>
          <w:szCs w:val="20"/>
        </w:rPr>
        <w:footnoteRef/>
      </w:r>
      <w:r w:rsidRPr="00AF7A1D">
        <w:rPr>
          <w:sz w:val="20"/>
          <w:szCs w:val="20"/>
        </w:rPr>
        <w:t xml:space="preserve"> </w:t>
      </w:r>
      <w:r>
        <w:rPr>
          <w:sz w:val="20"/>
          <w:szCs w:val="20"/>
        </w:rPr>
        <w:t xml:space="preserve">FinCEN regulations define a “person” as </w:t>
      </w:r>
      <w:r w:rsidRPr="00AF7A1D">
        <w:rPr>
          <w:sz w:val="20"/>
          <w:szCs w:val="20"/>
        </w:rPr>
        <w:t>an individual, a corporation, partnership, a trust or estate, a joint stock company, an association, a syndicate, joint venture or other unincorporated organization or group, an Indian Tribe (as that term is defined in the Indian Gam</w:t>
      </w:r>
      <w:r>
        <w:rPr>
          <w:sz w:val="20"/>
          <w:szCs w:val="20"/>
        </w:rPr>
        <w:t>ing</w:t>
      </w:r>
      <w:r w:rsidRPr="00AF7A1D">
        <w:rPr>
          <w:sz w:val="20"/>
          <w:szCs w:val="20"/>
        </w:rPr>
        <w:t xml:space="preserve"> Regulatory Act), and all entities cognizable as legal personalities.</w:t>
      </w:r>
      <w:r>
        <w:rPr>
          <w:sz w:val="20"/>
          <w:szCs w:val="20"/>
        </w:rPr>
        <w:t xml:space="preserve">  31 CFR 1010.100(mm).</w:t>
      </w:r>
    </w:p>
  </w:footnote>
  <w:footnote w:id="6">
    <w:p w14:paraId="13134873" w14:textId="77777777" w:rsidR="0062639C" w:rsidRPr="005A72F8" w:rsidRDefault="0062639C" w:rsidP="0062639C">
      <w:pPr>
        <w:pStyle w:val="FootnoteText"/>
        <w:rPr>
          <w:rFonts w:ascii="Times New Roman" w:hAnsi="Times New Roman"/>
        </w:rPr>
      </w:pPr>
      <w:r w:rsidRPr="004C6E81">
        <w:rPr>
          <w:rStyle w:val="FootnoteReference"/>
          <w:rFonts w:ascii="Times New Roman" w:hAnsi="Times New Roman"/>
        </w:rPr>
        <w:footnoteRef/>
      </w:r>
      <w:r w:rsidRPr="004C6E81">
        <w:rPr>
          <w:rFonts w:ascii="Times New Roman" w:hAnsi="Times New Roman"/>
        </w:rPr>
        <w:t xml:space="preserve"> </w:t>
      </w:r>
      <w:r w:rsidRPr="005A72F8">
        <w:rPr>
          <w:rFonts w:ascii="Times New Roman" w:hAnsi="Times New Roman"/>
        </w:rPr>
        <w:t xml:space="preserve">FinCEN regulations define currency </w:t>
      </w:r>
      <w:r>
        <w:rPr>
          <w:rFonts w:ascii="Times New Roman" w:hAnsi="Times New Roman"/>
        </w:rPr>
        <w:t xml:space="preserve">in </w:t>
      </w:r>
      <w:r w:rsidRPr="005A72F8">
        <w:rPr>
          <w:rFonts w:ascii="Times New Roman" w:hAnsi="Times New Roman"/>
        </w:rPr>
        <w:t>31 CFR 1010.100(m).</w:t>
      </w:r>
    </w:p>
  </w:footnote>
  <w:footnote w:id="7">
    <w:p w14:paraId="6C98921B" w14:textId="77777777" w:rsidR="0062639C" w:rsidRPr="004C6E81" w:rsidRDefault="0062639C" w:rsidP="0062639C">
      <w:pPr>
        <w:pStyle w:val="FootnoteText"/>
        <w:rPr>
          <w:rFonts w:ascii="Times New Roman" w:hAnsi="Times New Roman"/>
        </w:rPr>
      </w:pPr>
      <w:r w:rsidRPr="005A72F8">
        <w:rPr>
          <w:rStyle w:val="FootnoteReference"/>
          <w:rFonts w:ascii="Times New Roman" w:hAnsi="Times New Roman"/>
        </w:rPr>
        <w:footnoteRef/>
      </w:r>
      <w:r w:rsidRPr="005A72F8">
        <w:rPr>
          <w:rFonts w:ascii="Times New Roman" w:hAnsi="Times New Roman"/>
        </w:rPr>
        <w:t xml:space="preserve"> FinCEN regulations define monetary instruments </w:t>
      </w:r>
      <w:r>
        <w:rPr>
          <w:rFonts w:ascii="Times New Roman" w:hAnsi="Times New Roman"/>
        </w:rPr>
        <w:t xml:space="preserve">in </w:t>
      </w:r>
      <w:r w:rsidRPr="005A72F8">
        <w:rPr>
          <w:rFonts w:ascii="Times New Roman" w:hAnsi="Times New Roman"/>
        </w:rPr>
        <w:t>31 CFR 1010.100(dd).</w:t>
      </w:r>
      <w:r>
        <w:rPr>
          <w:rFonts w:ascii="Times New Roman" w:hAnsi="Times New Roman"/>
        </w:rPr>
        <w:t xml:space="preserve"> </w:t>
      </w:r>
    </w:p>
  </w:footnote>
  <w:footnote w:id="8">
    <w:p w14:paraId="794C0EE8" w14:textId="77777777" w:rsidR="009B1535" w:rsidRPr="00FD4847" w:rsidRDefault="009B1535" w:rsidP="009B1535">
      <w:pPr>
        <w:pStyle w:val="FootnoteText"/>
        <w:rPr>
          <w:rFonts w:ascii="Times New Roman" w:hAnsi="Times New Roman"/>
        </w:rPr>
      </w:pPr>
      <w:r w:rsidRPr="00FD4847">
        <w:rPr>
          <w:rStyle w:val="FootnoteReference"/>
          <w:rFonts w:ascii="Times New Roman" w:hAnsi="Times New Roman"/>
        </w:rPr>
        <w:footnoteRef/>
      </w:r>
      <w:r w:rsidRPr="00FD4847">
        <w:rPr>
          <w:rFonts w:ascii="Times New Roman" w:hAnsi="Times New Roman"/>
        </w:rPr>
        <w:t xml:space="preserve"> A person is deemed to have caused such transportation, mailing or shipping when he </w:t>
      </w:r>
      <w:r>
        <w:rPr>
          <w:rFonts w:ascii="Times New Roman" w:hAnsi="Times New Roman"/>
        </w:rPr>
        <w:t xml:space="preserve">or she </w:t>
      </w:r>
      <w:r w:rsidRPr="00FD4847">
        <w:rPr>
          <w:rFonts w:ascii="Times New Roman" w:hAnsi="Times New Roman"/>
        </w:rPr>
        <w:t>aids, abets, counsels, commands, procures, or requests it to be done by a financial institution or any other person.</w:t>
      </w:r>
      <w:r>
        <w:rPr>
          <w:rFonts w:ascii="Times New Roman" w:hAnsi="Times New Roman"/>
        </w:rPr>
        <w:t xml:space="preserve">  31 CFR 1010.340(a).</w:t>
      </w:r>
    </w:p>
  </w:footnote>
  <w:footnote w:id="9">
    <w:p w14:paraId="4FC9D9A3" w14:textId="2101FD15" w:rsidR="00B335AA" w:rsidRPr="00B335AA" w:rsidRDefault="00B335AA">
      <w:pPr>
        <w:pStyle w:val="FootnoteText"/>
        <w:rPr>
          <w:rFonts w:ascii="Times New Roman" w:hAnsi="Times New Roman"/>
        </w:rPr>
      </w:pPr>
      <w:r w:rsidRPr="00B335AA">
        <w:rPr>
          <w:rStyle w:val="FootnoteReference"/>
          <w:rFonts w:ascii="Times New Roman" w:hAnsi="Times New Roman"/>
        </w:rPr>
        <w:footnoteRef/>
      </w:r>
      <w:r w:rsidRPr="00B335AA">
        <w:rPr>
          <w:rFonts w:ascii="Times New Roman" w:hAnsi="Times New Roman"/>
        </w:rPr>
        <w:t xml:space="preserve"> Financial Crimes Enforcement Network, </w:t>
      </w:r>
      <w:r w:rsidRPr="00B335AA">
        <w:rPr>
          <w:rFonts w:ascii="Times New Roman" w:hAnsi="Times New Roman"/>
          <w:i/>
        </w:rPr>
        <w:t>Agency Information Collection Activities; Proposed Renewal; Comment Request; Renewal Without Change of</w:t>
      </w:r>
      <w:r>
        <w:rPr>
          <w:rFonts w:ascii="Times New Roman" w:hAnsi="Times New Roman"/>
          <w:i/>
        </w:rPr>
        <w:t xml:space="preserve"> the Report of International Transportation of Currency or Monetary Instruments; FinCEN Report 105</w:t>
      </w:r>
      <w:r>
        <w:rPr>
          <w:rFonts w:ascii="Times New Roman" w:hAnsi="Times New Roman"/>
        </w:rPr>
        <w:t xml:space="preserve">, 87 FR 16548, (March 23, 2022), available at </w:t>
      </w:r>
      <w:hyperlink r:id="rId1" w:history="1">
        <w:r w:rsidRPr="009B0E05">
          <w:rPr>
            <w:rStyle w:val="Hyperlink"/>
            <w:rFonts w:ascii="Times New Roman" w:hAnsi="Times New Roman"/>
          </w:rPr>
          <w:t>https://www.federalregister.gov/documents/2022/03/23/2022-06157/agency-information-collection-activities-proposed-renewal-comment-request-renewal-without-change-of</w:t>
        </w:r>
      </w:hyperlink>
      <w:r>
        <w:rPr>
          <w:rFonts w:ascii="Times New Roman" w:hAnsi="Times New Roman"/>
        </w:rPr>
        <w:t>.</w:t>
      </w:r>
    </w:p>
  </w:footnote>
  <w:footnote w:id="10">
    <w:p w14:paraId="4F7D7F85" w14:textId="77777777" w:rsidR="00F32362" w:rsidRPr="00FC51E8" w:rsidRDefault="00F32362" w:rsidP="00F32362">
      <w:pPr>
        <w:pStyle w:val="HTMLPreformatted"/>
        <w:shd w:val="clear" w:color="auto" w:fill="FFFFFF"/>
        <w:rPr>
          <w:rFonts w:ascii="Times New Roman" w:hAnsi="Times New Roman" w:cs="Times New Roman"/>
        </w:rPr>
      </w:pPr>
      <w:r w:rsidRPr="00FC51E8">
        <w:rPr>
          <w:rStyle w:val="FootnoteReference"/>
          <w:rFonts w:ascii="Times New Roman" w:hAnsi="Times New Roman" w:cs="Times New Roman"/>
        </w:rPr>
        <w:footnoteRef/>
      </w:r>
      <w:r w:rsidRPr="00FC51E8">
        <w:rPr>
          <w:rFonts w:ascii="Times New Roman" w:hAnsi="Times New Roman" w:cs="Times New Roman"/>
        </w:rPr>
        <w:t xml:space="preserve"> </w:t>
      </w:r>
      <w:r w:rsidRPr="00FC51E8">
        <w:rPr>
          <w:rFonts w:ascii="Times New Roman" w:eastAsia="Courier New" w:hAnsi="Times New Roman" w:cs="Times New Roman"/>
          <w:lang w:val="x-none" w:eastAsia="x-none"/>
        </w:rPr>
        <w:t>See</w:t>
      </w:r>
      <w:r w:rsidRPr="00FC51E8">
        <w:rPr>
          <w:rFonts w:ascii="Times New Roman" w:eastAsia="Courier New" w:hAnsi="Times New Roman" w:cs="Times New Roman"/>
          <w:lang w:eastAsia="x-none"/>
        </w:rPr>
        <w:t xml:space="preserve"> </w:t>
      </w:r>
      <w:r w:rsidRPr="00FC51E8">
        <w:rPr>
          <w:rFonts w:ascii="Times New Roman" w:eastAsia="Courier New" w:hAnsi="Times New Roman" w:cs="Times New Roman"/>
          <w:color w:val="000000"/>
          <w:lang w:val="x-none" w:eastAsia="x-none"/>
        </w:rPr>
        <w:t>FinCEN's System of Records Notice for</w:t>
      </w:r>
      <w:r w:rsidRPr="00FC51E8">
        <w:rPr>
          <w:rFonts w:ascii="Times New Roman" w:eastAsia="Courier New" w:hAnsi="Times New Roman" w:cs="Times New Roman"/>
          <w:color w:val="000000"/>
          <w:lang w:eastAsia="x-none"/>
        </w:rPr>
        <w:t xml:space="preserve"> the</w:t>
      </w:r>
      <w:r w:rsidRPr="00FC51E8">
        <w:rPr>
          <w:rFonts w:ascii="Times New Roman" w:eastAsia="Courier New" w:hAnsi="Times New Roman" w:cs="Times New Roman"/>
          <w:color w:val="000000"/>
          <w:lang w:val="x-none" w:eastAsia="x-none"/>
        </w:rPr>
        <w:t xml:space="preserve"> BSA System at </w:t>
      </w:r>
      <w:r w:rsidRPr="00FC51E8">
        <w:rPr>
          <w:rFonts w:ascii="Times New Roman" w:eastAsia="Courier New" w:hAnsi="Times New Roman" w:cs="Times New Roman"/>
          <w:lang w:eastAsia="x-none"/>
        </w:rPr>
        <w:t xml:space="preserve">79 FR 20974, April 14, 2014 </w:t>
      </w:r>
      <w:hyperlink r:id="rId2" w:history="1">
        <w:r w:rsidRPr="00FC51E8">
          <w:rPr>
            <w:rFonts w:ascii="Times New Roman" w:eastAsia="Courier New" w:hAnsi="Times New Roman" w:cs="Times New Roman"/>
            <w:color w:val="0000FF"/>
            <w:u w:val="single"/>
            <w:lang w:val="x-none" w:eastAsia="x-none"/>
          </w:rPr>
          <w:t>https://www.federalregister.gov/documents/2014/04/14/2014-08254/privacy-act-of-1974-as-amended-system-of-records-notice</w:t>
        </w:r>
      </w:hyperlink>
      <w:r w:rsidRPr="00FC51E8">
        <w:rPr>
          <w:rFonts w:ascii="Times New Roman" w:eastAsia="Courier New" w:hAnsi="Times New Roman" w:cs="Times New Roman"/>
          <w:color w:val="000000"/>
          <w:lang w:eastAsia="x-none"/>
        </w:rPr>
        <w:t xml:space="preserve">. </w:t>
      </w:r>
    </w:p>
  </w:footnote>
  <w:footnote w:id="11">
    <w:p w14:paraId="2D947FF5" w14:textId="77777777" w:rsidR="00F32362" w:rsidRPr="00FC51E8" w:rsidRDefault="00F32362" w:rsidP="00F32362">
      <w:pPr>
        <w:pStyle w:val="FootnoteText"/>
        <w:rPr>
          <w:rFonts w:ascii="Times New Roman" w:hAnsi="Times New Roman"/>
        </w:rPr>
      </w:pPr>
      <w:r w:rsidRPr="00FC51E8">
        <w:rPr>
          <w:rStyle w:val="FootnoteReference"/>
          <w:rFonts w:ascii="Times New Roman" w:hAnsi="Times New Roman"/>
        </w:rPr>
        <w:footnoteRef/>
      </w:r>
      <w:r w:rsidRPr="00FC51E8">
        <w:rPr>
          <w:rFonts w:ascii="Times New Roman" w:hAnsi="Times New Roman"/>
        </w:rPr>
        <w:t xml:space="preserve"> </w:t>
      </w:r>
      <w:r w:rsidRPr="00FC51E8">
        <w:rPr>
          <w:rFonts w:ascii="Times New Roman" w:hAnsi="Times New Roman"/>
          <w:i/>
        </w:rPr>
        <w:t>Id.</w:t>
      </w:r>
    </w:p>
  </w:footnote>
  <w:footnote w:id="12">
    <w:p w14:paraId="44DB6922" w14:textId="58B9D563" w:rsidR="003F58F0" w:rsidRPr="00FC51E8" w:rsidRDefault="003F58F0">
      <w:pPr>
        <w:pStyle w:val="FootnoteText"/>
        <w:rPr>
          <w:rFonts w:ascii="Times New Roman" w:hAnsi="Times New Roman"/>
        </w:rPr>
      </w:pPr>
      <w:r w:rsidRPr="00FC51E8">
        <w:rPr>
          <w:rStyle w:val="FootnoteReference"/>
          <w:rFonts w:ascii="Times New Roman" w:hAnsi="Times New Roman"/>
        </w:rPr>
        <w:footnoteRef/>
      </w:r>
      <w:r w:rsidRPr="00FC51E8">
        <w:rPr>
          <w:rFonts w:ascii="Times New Roman" w:hAnsi="Times New Roman"/>
        </w:rPr>
        <w:t xml:space="preserve"> </w:t>
      </w:r>
      <w:r w:rsidR="00F02A2C" w:rsidRPr="00FC51E8">
        <w:rPr>
          <w:rFonts w:ascii="Times New Roman" w:hAnsi="Times New Roman"/>
        </w:rPr>
        <w:t xml:space="preserve">Using CBP data, FinCEN identified the number of CMIRs filed over the past five years, broken down by the dollar amount reported on individual CMIRs. Because the COVID-19 pandemic severely impacted cross-border travel during 2020 and, to a lesser degree, 2021, FinCEN restricted its average annual CMIR reporting estimate to the average number of CMIRs filed between 2017-2019. </w:t>
      </w:r>
      <w:r w:rsidR="009271E6" w:rsidRPr="00FC51E8">
        <w:rPr>
          <w:rFonts w:ascii="Times New Roman" w:hAnsi="Times New Roman"/>
        </w:rPr>
        <w:t xml:space="preserve"> </w:t>
      </w:r>
      <w:r w:rsidR="009271E6" w:rsidRPr="00FC51E8">
        <w:rPr>
          <w:rFonts w:ascii="Times New Roman" w:hAnsi="Times New Roman"/>
          <w:i/>
        </w:rPr>
        <w:t>See supra</w:t>
      </w:r>
      <w:r w:rsidR="009271E6" w:rsidRPr="00FC51E8">
        <w:rPr>
          <w:rFonts w:ascii="Times New Roman" w:hAnsi="Times New Roman"/>
        </w:rPr>
        <w:t xml:space="preserve"> note 9.</w:t>
      </w:r>
    </w:p>
  </w:footnote>
  <w:footnote w:id="13">
    <w:p w14:paraId="62606F9D" w14:textId="5CDCC17C" w:rsidR="009271E6" w:rsidRPr="00FC51E8" w:rsidRDefault="009271E6">
      <w:pPr>
        <w:pStyle w:val="FootnoteText"/>
        <w:rPr>
          <w:rFonts w:ascii="Times New Roman" w:hAnsi="Times New Roman"/>
        </w:rPr>
      </w:pPr>
      <w:r w:rsidRPr="00FC51E8">
        <w:rPr>
          <w:rStyle w:val="FootnoteReference"/>
          <w:rFonts w:ascii="Times New Roman" w:hAnsi="Times New Roman"/>
        </w:rPr>
        <w:footnoteRef/>
      </w:r>
      <w:r w:rsidRPr="00FC51E8">
        <w:rPr>
          <w:rFonts w:ascii="Times New Roman" w:hAnsi="Times New Roman"/>
        </w:rPr>
        <w:t xml:space="preserve"> </w:t>
      </w:r>
      <w:r w:rsidRPr="00FC51E8">
        <w:rPr>
          <w:rFonts w:ascii="Times New Roman" w:hAnsi="Times New Roman"/>
          <w:i/>
        </w:rPr>
        <w:t>See supra</w:t>
      </w:r>
      <w:r w:rsidRPr="00FC51E8">
        <w:rPr>
          <w:rFonts w:ascii="Times New Roman" w:hAnsi="Times New Roman"/>
        </w:rPr>
        <w:t xml:space="preserve"> note 9.</w:t>
      </w:r>
    </w:p>
  </w:footnote>
  <w:footnote w:id="14">
    <w:p w14:paraId="305D1D90" w14:textId="722C7E41" w:rsidR="00D33BF9" w:rsidRPr="00FC51E8" w:rsidRDefault="00D33BF9" w:rsidP="00D33BF9">
      <w:pPr>
        <w:pStyle w:val="FootnoteText"/>
        <w:rPr>
          <w:rFonts w:ascii="Times New Roman" w:hAnsi="Times New Roman"/>
        </w:rPr>
      </w:pPr>
      <w:r w:rsidRPr="00FC51E8">
        <w:rPr>
          <w:rStyle w:val="FootnoteReference"/>
          <w:rFonts w:ascii="Times New Roman" w:hAnsi="Times New Roman"/>
        </w:rPr>
        <w:footnoteRef/>
      </w:r>
      <w:r w:rsidRPr="00FC51E8">
        <w:rPr>
          <w:rFonts w:ascii="Times New Roman" w:hAnsi="Times New Roman"/>
        </w:rPr>
        <w:t xml:space="preserve"> </w:t>
      </w:r>
      <w:r w:rsidR="00D538E0" w:rsidRPr="00FC51E8">
        <w:rPr>
          <w:rFonts w:ascii="Times New Roman" w:hAnsi="Times New Roman"/>
          <w:i/>
        </w:rPr>
        <w:t>See supra</w:t>
      </w:r>
      <w:r w:rsidR="00D538E0" w:rsidRPr="00FC51E8">
        <w:rPr>
          <w:rFonts w:ascii="Times New Roman" w:hAnsi="Times New Roman"/>
        </w:rPr>
        <w:t xml:space="preserve"> note 9.</w:t>
      </w:r>
    </w:p>
  </w:footnote>
  <w:footnote w:id="15">
    <w:p w14:paraId="50D5D737" w14:textId="3E246C86" w:rsidR="005E5279" w:rsidRPr="00987645" w:rsidRDefault="005E5279" w:rsidP="005E5279">
      <w:pPr>
        <w:pStyle w:val="FootnoteText"/>
        <w:rPr>
          <w:rFonts w:ascii="Times New Roman" w:hAnsi="Times New Roman"/>
        </w:rPr>
      </w:pPr>
      <w:r w:rsidRPr="00D538E0">
        <w:rPr>
          <w:rStyle w:val="FootnoteReference"/>
          <w:rFonts w:ascii="Times New Roman" w:hAnsi="Times New Roman"/>
        </w:rPr>
        <w:footnoteRef/>
      </w:r>
      <w:r w:rsidRPr="00D538E0">
        <w:rPr>
          <w:rFonts w:ascii="Times New Roman" w:hAnsi="Times New Roman"/>
        </w:rPr>
        <w:t xml:space="preserve"> </w:t>
      </w:r>
      <w:r w:rsidR="00067CD1" w:rsidRPr="00D538E0">
        <w:rPr>
          <w:rFonts w:ascii="Times New Roman" w:hAnsi="Times New Roman"/>
          <w:i/>
        </w:rPr>
        <w:t xml:space="preserve">See </w:t>
      </w:r>
      <w:r w:rsidR="00D538E0" w:rsidRPr="00D538E0">
        <w:rPr>
          <w:rFonts w:ascii="Times New Roman" w:hAnsi="Times New Roman"/>
          <w:i/>
        </w:rPr>
        <w:t>supra</w:t>
      </w:r>
      <w:r w:rsidR="00D538E0" w:rsidRPr="00D538E0">
        <w:rPr>
          <w:rFonts w:ascii="Times New Roman" w:hAnsi="Times New Roman"/>
        </w:rPr>
        <w:t xml:space="preserve"> note 9.</w:t>
      </w:r>
    </w:p>
  </w:footnote>
  <w:footnote w:id="16">
    <w:p w14:paraId="3FCE06A5" w14:textId="77777777" w:rsidR="00B44833" w:rsidRPr="009E6D33" w:rsidRDefault="00B44833" w:rsidP="00B44833">
      <w:pPr>
        <w:pStyle w:val="FootnoteText"/>
        <w:rPr>
          <w:rFonts w:ascii="Times New Roman" w:hAnsi="Times New Roman"/>
        </w:rPr>
      </w:pPr>
      <w:r w:rsidRPr="009E6D33">
        <w:rPr>
          <w:rStyle w:val="FootnoteReference"/>
          <w:rFonts w:ascii="Times New Roman" w:hAnsi="Times New Roman"/>
        </w:rPr>
        <w:footnoteRef/>
      </w:r>
      <w:r w:rsidRPr="009E6D33">
        <w:rPr>
          <w:rFonts w:ascii="Times New Roman" w:hAnsi="Times New Roman"/>
        </w:rPr>
        <w:t xml:space="preserve"> According to </w:t>
      </w:r>
      <w:r>
        <w:rPr>
          <w:rFonts w:ascii="Times New Roman" w:hAnsi="Times New Roman"/>
        </w:rPr>
        <w:t>CBP,</w:t>
      </w:r>
      <w:r w:rsidRPr="009E6D33">
        <w:rPr>
          <w:rFonts w:ascii="Times New Roman" w:hAnsi="Times New Roman"/>
        </w:rPr>
        <w:t xml:space="preserve"> between July 1, 2020 and June 30, 2</w:t>
      </w:r>
      <w:r>
        <w:rPr>
          <w:rFonts w:ascii="Times New Roman" w:hAnsi="Times New Roman"/>
        </w:rPr>
        <w:t>021, processing paper CMIRs</w:t>
      </w:r>
      <w:r w:rsidRPr="009E6D33">
        <w:rPr>
          <w:rFonts w:ascii="Times New Roman" w:hAnsi="Times New Roman"/>
        </w:rPr>
        <w:t xml:space="preserve"> cost $1,116,364.39.  According to </w:t>
      </w:r>
      <w:r>
        <w:rPr>
          <w:rFonts w:ascii="Times New Roman" w:hAnsi="Times New Roman"/>
        </w:rPr>
        <w:t>CBP,</w:t>
      </w:r>
      <w:r w:rsidRPr="009E6D33">
        <w:rPr>
          <w:rFonts w:ascii="Times New Roman" w:hAnsi="Times New Roman"/>
        </w:rPr>
        <w:t xml:space="preserve"> the annual </w:t>
      </w:r>
      <w:r>
        <w:rPr>
          <w:rFonts w:ascii="Times New Roman" w:hAnsi="Times New Roman"/>
        </w:rPr>
        <w:t>cost to process electronic CMIRs</w:t>
      </w:r>
      <w:r w:rsidRPr="009E6D33">
        <w:rPr>
          <w:rFonts w:ascii="Times New Roman" w:hAnsi="Times New Roman"/>
        </w:rPr>
        <w:t xml:space="preserve"> is $300,000. ($1,116,3</w:t>
      </w:r>
      <w:r>
        <w:rPr>
          <w:rFonts w:ascii="Times New Roman" w:hAnsi="Times New Roman"/>
        </w:rPr>
        <w:t>64.39 + $300,000 = $1,416,364.39</w:t>
      </w:r>
      <w:r w:rsidRPr="009E6D33">
        <w:rPr>
          <w:rFonts w:ascii="Times New Roman" w:hAnsi="Times New Roman"/>
        </w:rPr>
        <w:t>)</w:t>
      </w:r>
      <w:r>
        <w:rPr>
          <w:rFonts w:ascii="Times New Roman" w:hAnsi="Times New Roman"/>
        </w:rPr>
        <w:t>.</w:t>
      </w:r>
    </w:p>
  </w:footnote>
  <w:footnote w:id="17">
    <w:p w14:paraId="5DE1CBF8" w14:textId="77777777" w:rsidR="00B44833" w:rsidRPr="00E074D8" w:rsidRDefault="00B44833" w:rsidP="00B44833">
      <w:pPr>
        <w:pStyle w:val="FootnoteText"/>
        <w:rPr>
          <w:rFonts w:ascii="Times New Roman" w:hAnsi="Times New Roman"/>
        </w:rPr>
      </w:pPr>
      <w:r w:rsidRPr="00E074D8">
        <w:rPr>
          <w:rStyle w:val="FootnoteReference"/>
          <w:rFonts w:ascii="Times New Roman" w:hAnsi="Times New Roman"/>
        </w:rPr>
        <w:footnoteRef/>
      </w:r>
      <w:r w:rsidRPr="00E074D8">
        <w:rPr>
          <w:rFonts w:ascii="Times New Roman" w:hAnsi="Times New Roman"/>
        </w:rPr>
        <w:t xml:space="preserve"> </w:t>
      </w:r>
      <w:r w:rsidRPr="00E074D8">
        <w:rPr>
          <w:rFonts w:ascii="Times New Roman" w:hAnsi="Times New Roman"/>
          <w:iCs/>
        </w:rPr>
        <w:t xml:space="preserve">The estimated cost </w:t>
      </w:r>
      <w:r>
        <w:rPr>
          <w:rFonts w:ascii="Times New Roman" w:hAnsi="Times New Roman"/>
          <w:iCs/>
        </w:rPr>
        <w:t xml:space="preserve">to FinCEN </w:t>
      </w:r>
      <w:r w:rsidRPr="00E074D8">
        <w:rPr>
          <w:rFonts w:ascii="Times New Roman" w:hAnsi="Times New Roman"/>
          <w:iCs/>
        </w:rPr>
        <w:t xml:space="preserve">per </w:t>
      </w:r>
      <w:r>
        <w:rPr>
          <w:rFonts w:ascii="Times New Roman" w:hAnsi="Times New Roman"/>
          <w:iCs/>
        </w:rPr>
        <w:t xml:space="preserve">BSA </w:t>
      </w:r>
      <w:r w:rsidRPr="00E074D8">
        <w:rPr>
          <w:rFonts w:ascii="Times New Roman" w:hAnsi="Times New Roman"/>
          <w:iCs/>
        </w:rPr>
        <w:t>report</w:t>
      </w:r>
      <w:r>
        <w:rPr>
          <w:rFonts w:ascii="Times New Roman" w:hAnsi="Times New Roman"/>
          <w:iCs/>
        </w:rPr>
        <w:t xml:space="preserve"> submitted to FinCEN is $0.10.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02E61" w14:textId="77777777" w:rsidR="00FF72C3" w:rsidRDefault="00FF7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E378" w14:textId="14A65BAB" w:rsidR="00AA79F5" w:rsidRPr="00AA79F5" w:rsidRDefault="00AA79F5" w:rsidP="00AA79F5">
    <w:pPr>
      <w:pStyle w:val="Header"/>
    </w:pPr>
  </w:p>
  <w:p w14:paraId="6C0C293E" w14:textId="472F5C24" w:rsidR="00AA79F5" w:rsidRDefault="00AA79F5" w:rsidP="00AA79F5">
    <w:pPr>
      <w:pStyle w:val="Header"/>
      <w:tabs>
        <w:tab w:val="clear" w:pos="4680"/>
        <w:tab w:val="clear" w:pos="9360"/>
        <w:tab w:val="left" w:pos="1815"/>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F540" w14:textId="77777777" w:rsidR="00FF72C3" w:rsidRDefault="00FF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F0336"/>
    <w:multiLevelType w:val="hybridMultilevel"/>
    <w:tmpl w:val="A3A2FC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980AF5"/>
    <w:multiLevelType w:val="hybridMultilevel"/>
    <w:tmpl w:val="36BC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A0CF1"/>
    <w:multiLevelType w:val="hybridMultilevel"/>
    <w:tmpl w:val="4A645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A414F"/>
    <w:multiLevelType w:val="hybridMultilevel"/>
    <w:tmpl w:val="DBC6F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4104C"/>
    <w:multiLevelType w:val="hybridMultilevel"/>
    <w:tmpl w:val="AE240F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874DAF"/>
    <w:rsid w:val="00010023"/>
    <w:rsid w:val="00013DFC"/>
    <w:rsid w:val="00017BCF"/>
    <w:rsid w:val="00062266"/>
    <w:rsid w:val="00066E56"/>
    <w:rsid w:val="00067CD1"/>
    <w:rsid w:val="00085F49"/>
    <w:rsid w:val="000911A9"/>
    <w:rsid w:val="00097E30"/>
    <w:rsid w:val="000A053A"/>
    <w:rsid w:val="000E341A"/>
    <w:rsid w:val="0011668B"/>
    <w:rsid w:val="001814E7"/>
    <w:rsid w:val="00185750"/>
    <w:rsid w:val="0019387B"/>
    <w:rsid w:val="001B770E"/>
    <w:rsid w:val="001F4154"/>
    <w:rsid w:val="00205214"/>
    <w:rsid w:val="002329E2"/>
    <w:rsid w:val="00264E3F"/>
    <w:rsid w:val="00291C5E"/>
    <w:rsid w:val="002961A9"/>
    <w:rsid w:val="002B616C"/>
    <w:rsid w:val="002D02E9"/>
    <w:rsid w:val="002D146C"/>
    <w:rsid w:val="00307020"/>
    <w:rsid w:val="003116D2"/>
    <w:rsid w:val="003430AF"/>
    <w:rsid w:val="00344A4F"/>
    <w:rsid w:val="003761BA"/>
    <w:rsid w:val="003772A9"/>
    <w:rsid w:val="00382C35"/>
    <w:rsid w:val="00396577"/>
    <w:rsid w:val="003A1D45"/>
    <w:rsid w:val="003C4FF6"/>
    <w:rsid w:val="003D091E"/>
    <w:rsid w:val="003D6A7E"/>
    <w:rsid w:val="003E1E10"/>
    <w:rsid w:val="003E3BCC"/>
    <w:rsid w:val="003F58F0"/>
    <w:rsid w:val="00436D6A"/>
    <w:rsid w:val="00446DA8"/>
    <w:rsid w:val="00453717"/>
    <w:rsid w:val="00484539"/>
    <w:rsid w:val="00496B3D"/>
    <w:rsid w:val="004F21AD"/>
    <w:rsid w:val="004F2595"/>
    <w:rsid w:val="005003E1"/>
    <w:rsid w:val="00503CB2"/>
    <w:rsid w:val="005164A2"/>
    <w:rsid w:val="00527291"/>
    <w:rsid w:val="00530DC4"/>
    <w:rsid w:val="0053378A"/>
    <w:rsid w:val="00546D02"/>
    <w:rsid w:val="005567E2"/>
    <w:rsid w:val="00557169"/>
    <w:rsid w:val="0056761E"/>
    <w:rsid w:val="005771B2"/>
    <w:rsid w:val="00591FA5"/>
    <w:rsid w:val="00595F30"/>
    <w:rsid w:val="005A47FB"/>
    <w:rsid w:val="005C0104"/>
    <w:rsid w:val="005D4F8E"/>
    <w:rsid w:val="005E5279"/>
    <w:rsid w:val="00611C64"/>
    <w:rsid w:val="0062639C"/>
    <w:rsid w:val="006611AE"/>
    <w:rsid w:val="00662911"/>
    <w:rsid w:val="00696508"/>
    <w:rsid w:val="006C5524"/>
    <w:rsid w:val="006E54C2"/>
    <w:rsid w:val="006F21AC"/>
    <w:rsid w:val="006F4FD9"/>
    <w:rsid w:val="00703DE0"/>
    <w:rsid w:val="00717DAA"/>
    <w:rsid w:val="0072571D"/>
    <w:rsid w:val="00746BFA"/>
    <w:rsid w:val="007710FA"/>
    <w:rsid w:val="0079198A"/>
    <w:rsid w:val="007A778B"/>
    <w:rsid w:val="007C1933"/>
    <w:rsid w:val="007C43E3"/>
    <w:rsid w:val="007E1EA3"/>
    <w:rsid w:val="007E7859"/>
    <w:rsid w:val="007F70D8"/>
    <w:rsid w:val="00804BDC"/>
    <w:rsid w:val="00805D98"/>
    <w:rsid w:val="0083254D"/>
    <w:rsid w:val="00852F21"/>
    <w:rsid w:val="00874DAF"/>
    <w:rsid w:val="008976BB"/>
    <w:rsid w:val="008A0F45"/>
    <w:rsid w:val="008A5BB9"/>
    <w:rsid w:val="008A64EF"/>
    <w:rsid w:val="008B26BD"/>
    <w:rsid w:val="008B64B2"/>
    <w:rsid w:val="008C6CB0"/>
    <w:rsid w:val="008F0655"/>
    <w:rsid w:val="008F1E65"/>
    <w:rsid w:val="009271E6"/>
    <w:rsid w:val="00930EDE"/>
    <w:rsid w:val="0093683A"/>
    <w:rsid w:val="0094396B"/>
    <w:rsid w:val="00943C3B"/>
    <w:rsid w:val="00956814"/>
    <w:rsid w:val="00962C46"/>
    <w:rsid w:val="00987645"/>
    <w:rsid w:val="00994121"/>
    <w:rsid w:val="009B1535"/>
    <w:rsid w:val="009E3C6A"/>
    <w:rsid w:val="00A06FBD"/>
    <w:rsid w:val="00A4515C"/>
    <w:rsid w:val="00A7263B"/>
    <w:rsid w:val="00A81A38"/>
    <w:rsid w:val="00A866F3"/>
    <w:rsid w:val="00AA79F5"/>
    <w:rsid w:val="00AC1B52"/>
    <w:rsid w:val="00AF4D72"/>
    <w:rsid w:val="00B0305B"/>
    <w:rsid w:val="00B30834"/>
    <w:rsid w:val="00B335AA"/>
    <w:rsid w:val="00B37A61"/>
    <w:rsid w:val="00B44833"/>
    <w:rsid w:val="00B45D92"/>
    <w:rsid w:val="00BE037B"/>
    <w:rsid w:val="00BF4CC7"/>
    <w:rsid w:val="00BF6843"/>
    <w:rsid w:val="00C0330E"/>
    <w:rsid w:val="00C14023"/>
    <w:rsid w:val="00C52FD5"/>
    <w:rsid w:val="00C8230C"/>
    <w:rsid w:val="00CA0CED"/>
    <w:rsid w:val="00CA11FC"/>
    <w:rsid w:val="00CF46E4"/>
    <w:rsid w:val="00D33BF9"/>
    <w:rsid w:val="00D41F30"/>
    <w:rsid w:val="00D4746F"/>
    <w:rsid w:val="00D538E0"/>
    <w:rsid w:val="00D84F01"/>
    <w:rsid w:val="00D90C93"/>
    <w:rsid w:val="00DC2734"/>
    <w:rsid w:val="00DE67BC"/>
    <w:rsid w:val="00DE71CC"/>
    <w:rsid w:val="00E00BD0"/>
    <w:rsid w:val="00E06880"/>
    <w:rsid w:val="00E21A1D"/>
    <w:rsid w:val="00E232AC"/>
    <w:rsid w:val="00E32074"/>
    <w:rsid w:val="00E34DBC"/>
    <w:rsid w:val="00E371A4"/>
    <w:rsid w:val="00E6503B"/>
    <w:rsid w:val="00E85DAC"/>
    <w:rsid w:val="00EC1BED"/>
    <w:rsid w:val="00EC2796"/>
    <w:rsid w:val="00EC298F"/>
    <w:rsid w:val="00ED3B78"/>
    <w:rsid w:val="00F02A2C"/>
    <w:rsid w:val="00F2037E"/>
    <w:rsid w:val="00F23140"/>
    <w:rsid w:val="00F32362"/>
    <w:rsid w:val="00F46E93"/>
    <w:rsid w:val="00F83C18"/>
    <w:rsid w:val="00F850D7"/>
    <w:rsid w:val="00FC51E8"/>
    <w:rsid w:val="00FC7EDA"/>
    <w:rsid w:val="00FD77FE"/>
    <w:rsid w:val="00FF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B636CE"/>
  <w15:docId w15:val="{772CFEA0-1587-4FE8-AB20-A4E4BCBE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before="283"/>
    </w:pPr>
    <w:rPr>
      <w:sz w:val="22"/>
      <w:szCs w:val="22"/>
    </w:rPr>
  </w:style>
  <w:style w:type="character" w:styleId="Hyperlink">
    <w:name w:val="Hyperlink"/>
    <w:rsid w:val="008B26BD"/>
    <w:rPr>
      <w:color w:val="0000FF"/>
      <w:u w:val="single"/>
    </w:rPr>
  </w:style>
  <w:style w:type="character" w:styleId="FollowedHyperlink">
    <w:name w:val="FollowedHyperlink"/>
    <w:rsid w:val="008B26BD"/>
    <w:rPr>
      <w:color w:val="954F72"/>
      <w:u w:val="single"/>
    </w:rPr>
  </w:style>
  <w:style w:type="paragraph" w:styleId="BalloonText">
    <w:name w:val="Balloon Text"/>
    <w:basedOn w:val="Normal"/>
    <w:link w:val="BalloonTextChar"/>
    <w:rsid w:val="00804BDC"/>
    <w:rPr>
      <w:rFonts w:ascii="Segoe UI" w:hAnsi="Segoe UI" w:cs="Segoe UI"/>
      <w:sz w:val="18"/>
      <w:szCs w:val="18"/>
    </w:rPr>
  </w:style>
  <w:style w:type="character" w:customStyle="1" w:styleId="BalloonTextChar">
    <w:name w:val="Balloon Text Char"/>
    <w:link w:val="BalloonText"/>
    <w:rsid w:val="00804BDC"/>
    <w:rPr>
      <w:rFonts w:ascii="Segoe UI" w:hAnsi="Segoe UI" w:cs="Segoe UI"/>
      <w:sz w:val="18"/>
      <w:szCs w:val="18"/>
    </w:rPr>
  </w:style>
  <w:style w:type="character" w:styleId="FootnoteReference">
    <w:name w:val="footnote reference"/>
    <w:aliases w:val="fr,12,Style 19,Style 16,Style 35,Footnote Reference Superscript,SUPERS,BVI fnr,Footnote symbol,Footnote,(Footnote Reference),Footnote reference number,note TESI,EN Footnote Reference,Voetnootverwijzing,Times 10 Point,Exposant 3 Point"/>
    <w:qFormat/>
    <w:rsid w:val="001F4154"/>
    <w:rPr>
      <w:vertAlign w:val="superscript"/>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t,Footnote Text Char Char,fn"/>
    <w:basedOn w:val="Normal"/>
    <w:link w:val="FootnoteTextChar"/>
    <w:uiPriority w:val="99"/>
    <w:qFormat/>
    <w:rsid w:val="001F4154"/>
    <w:pPr>
      <w:widowControl w:val="0"/>
      <w:autoSpaceDE w:val="0"/>
      <w:autoSpaceDN w:val="0"/>
      <w:adjustRightInd w:val="0"/>
    </w:pPr>
    <w:rPr>
      <w:rFonts w:ascii="Courier 10cpi" w:hAnsi="Courier 10cpi"/>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1F4154"/>
    <w:rPr>
      <w:rFonts w:ascii="Courier 10cpi" w:hAnsi="Courier 10cpi"/>
      <w:lang w:eastAsia="en-US"/>
    </w:rPr>
  </w:style>
  <w:style w:type="character" w:styleId="CommentReference">
    <w:name w:val="annotation reference"/>
    <w:basedOn w:val="DefaultParagraphFont"/>
    <w:uiPriority w:val="99"/>
    <w:rsid w:val="003430AF"/>
    <w:rPr>
      <w:sz w:val="16"/>
      <w:szCs w:val="16"/>
    </w:rPr>
  </w:style>
  <w:style w:type="paragraph" w:styleId="CommentText">
    <w:name w:val="annotation text"/>
    <w:basedOn w:val="Normal"/>
    <w:link w:val="CommentTextChar"/>
    <w:rsid w:val="003430AF"/>
    <w:rPr>
      <w:sz w:val="20"/>
      <w:szCs w:val="20"/>
    </w:rPr>
  </w:style>
  <w:style w:type="character" w:customStyle="1" w:styleId="CommentTextChar">
    <w:name w:val="Comment Text Char"/>
    <w:basedOn w:val="DefaultParagraphFont"/>
    <w:link w:val="CommentText"/>
    <w:rsid w:val="003430AF"/>
    <w:rPr>
      <w:lang w:eastAsia="en-US"/>
    </w:rPr>
  </w:style>
  <w:style w:type="paragraph" w:styleId="CommentSubject">
    <w:name w:val="annotation subject"/>
    <w:basedOn w:val="CommentText"/>
    <w:next w:val="CommentText"/>
    <w:link w:val="CommentSubjectChar"/>
    <w:rsid w:val="003430AF"/>
    <w:rPr>
      <w:b/>
      <w:bCs/>
    </w:rPr>
  </w:style>
  <w:style w:type="character" w:customStyle="1" w:styleId="CommentSubjectChar">
    <w:name w:val="Comment Subject Char"/>
    <w:basedOn w:val="CommentTextChar"/>
    <w:link w:val="CommentSubject"/>
    <w:rsid w:val="003430AF"/>
    <w:rPr>
      <w:b/>
      <w:bCs/>
      <w:lang w:eastAsia="en-US"/>
    </w:rPr>
  </w:style>
  <w:style w:type="paragraph" w:styleId="BodyText2">
    <w:name w:val="Body Text 2"/>
    <w:basedOn w:val="Normal"/>
    <w:link w:val="BodyText2Char"/>
    <w:rsid w:val="00595F30"/>
    <w:pPr>
      <w:spacing w:after="120" w:line="480" w:lineRule="auto"/>
    </w:pPr>
  </w:style>
  <w:style w:type="character" w:customStyle="1" w:styleId="BodyText2Char">
    <w:name w:val="Body Text 2 Char"/>
    <w:basedOn w:val="DefaultParagraphFont"/>
    <w:link w:val="BodyText2"/>
    <w:rsid w:val="00595F30"/>
    <w:rPr>
      <w:sz w:val="24"/>
      <w:szCs w:val="24"/>
      <w:lang w:eastAsia="en-US"/>
    </w:rPr>
  </w:style>
  <w:style w:type="paragraph" w:styleId="PlainText">
    <w:name w:val="Plain Text"/>
    <w:basedOn w:val="Normal"/>
    <w:link w:val="PlainTextChar"/>
    <w:rsid w:val="00662911"/>
    <w:rPr>
      <w:rFonts w:ascii="Courier New" w:hAnsi="Courier New" w:cs="Courier New"/>
      <w:sz w:val="20"/>
      <w:szCs w:val="20"/>
    </w:rPr>
  </w:style>
  <w:style w:type="character" w:customStyle="1" w:styleId="PlainTextChar">
    <w:name w:val="Plain Text Char"/>
    <w:basedOn w:val="DefaultParagraphFont"/>
    <w:link w:val="PlainText"/>
    <w:rsid w:val="00662911"/>
    <w:rPr>
      <w:rFonts w:ascii="Courier New" w:hAnsi="Courier New" w:cs="Courier New"/>
      <w:lang w:eastAsia="en-US"/>
    </w:rPr>
  </w:style>
  <w:style w:type="character" w:customStyle="1" w:styleId="num2">
    <w:name w:val="num2"/>
    <w:basedOn w:val="DefaultParagraphFont"/>
    <w:rsid w:val="0072571D"/>
    <w:rPr>
      <w:b/>
      <w:bCs/>
    </w:rPr>
  </w:style>
  <w:style w:type="character" w:customStyle="1" w:styleId="chapeau">
    <w:name w:val="chapeau"/>
    <w:basedOn w:val="DefaultParagraphFont"/>
    <w:rsid w:val="0072571D"/>
  </w:style>
  <w:style w:type="paragraph" w:styleId="ListParagraph">
    <w:name w:val="List Paragraph"/>
    <w:basedOn w:val="Normal"/>
    <w:uiPriority w:val="34"/>
    <w:qFormat/>
    <w:rsid w:val="00D33BF9"/>
    <w:pPr>
      <w:ind w:left="720"/>
      <w:contextualSpacing/>
    </w:pPr>
  </w:style>
  <w:style w:type="paragraph" w:styleId="HTMLPreformatted">
    <w:name w:val="HTML Preformatted"/>
    <w:basedOn w:val="Normal"/>
    <w:link w:val="HTMLPreformattedChar"/>
    <w:unhideWhenUsed/>
    <w:rsid w:val="00F32362"/>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F32362"/>
    <w:rPr>
      <w:rFonts w:ascii="Consolas" w:hAnsi="Consolas" w:cs="Consolas"/>
      <w:lang w:eastAsia="en-US"/>
    </w:rPr>
  </w:style>
  <w:style w:type="paragraph" w:styleId="Header">
    <w:name w:val="header"/>
    <w:basedOn w:val="Normal"/>
    <w:link w:val="HeaderChar"/>
    <w:uiPriority w:val="99"/>
    <w:unhideWhenUsed/>
    <w:rsid w:val="00AA79F5"/>
    <w:pPr>
      <w:tabs>
        <w:tab w:val="center" w:pos="4680"/>
        <w:tab w:val="right" w:pos="9360"/>
      </w:tabs>
    </w:pPr>
  </w:style>
  <w:style w:type="character" w:customStyle="1" w:styleId="HeaderChar">
    <w:name w:val="Header Char"/>
    <w:basedOn w:val="DefaultParagraphFont"/>
    <w:link w:val="Header"/>
    <w:uiPriority w:val="99"/>
    <w:rsid w:val="00AA79F5"/>
    <w:rPr>
      <w:sz w:val="24"/>
      <w:szCs w:val="24"/>
      <w:lang w:eastAsia="en-US"/>
    </w:rPr>
  </w:style>
  <w:style w:type="paragraph" w:styleId="Footer">
    <w:name w:val="footer"/>
    <w:basedOn w:val="Normal"/>
    <w:link w:val="FooterChar"/>
    <w:uiPriority w:val="99"/>
    <w:unhideWhenUsed/>
    <w:rsid w:val="00AA79F5"/>
    <w:pPr>
      <w:tabs>
        <w:tab w:val="center" w:pos="4680"/>
        <w:tab w:val="right" w:pos="9360"/>
      </w:tabs>
    </w:pPr>
  </w:style>
  <w:style w:type="character" w:customStyle="1" w:styleId="FooterChar">
    <w:name w:val="Footer Char"/>
    <w:basedOn w:val="DefaultParagraphFont"/>
    <w:link w:val="Footer"/>
    <w:uiPriority w:val="99"/>
    <w:rsid w:val="00AA79F5"/>
    <w:rPr>
      <w:sz w:val="24"/>
      <w:szCs w:val="24"/>
      <w:lang w:eastAsia="en-US"/>
    </w:rPr>
  </w:style>
  <w:style w:type="paragraph" w:customStyle="1" w:styleId="indent-2">
    <w:name w:val="indent-2"/>
    <w:basedOn w:val="Normal"/>
    <w:rsid w:val="006263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762123">
      <w:bodyDiv w:val="1"/>
      <w:marLeft w:val="0"/>
      <w:marRight w:val="0"/>
      <w:marTop w:val="0"/>
      <w:marBottom w:val="0"/>
      <w:divBdr>
        <w:top w:val="none" w:sz="0" w:space="0" w:color="auto"/>
        <w:left w:val="none" w:sz="0" w:space="0" w:color="auto"/>
        <w:bottom w:val="none" w:sz="0" w:space="0" w:color="auto"/>
        <w:right w:val="none" w:sz="0" w:space="0" w:color="auto"/>
      </w:divBdr>
      <w:divsChild>
        <w:div w:id="1765347381">
          <w:marLeft w:val="0"/>
          <w:marRight w:val="0"/>
          <w:marTop w:val="0"/>
          <w:marBottom w:val="0"/>
          <w:divBdr>
            <w:top w:val="none" w:sz="0" w:space="0" w:color="auto"/>
            <w:left w:val="none" w:sz="0" w:space="0" w:color="auto"/>
            <w:bottom w:val="none" w:sz="0" w:space="0" w:color="auto"/>
            <w:right w:val="none" w:sz="0" w:space="0" w:color="auto"/>
          </w:divBdr>
          <w:divsChild>
            <w:div w:id="643241575">
              <w:marLeft w:val="0"/>
              <w:marRight w:val="0"/>
              <w:marTop w:val="0"/>
              <w:marBottom w:val="0"/>
              <w:divBdr>
                <w:top w:val="none" w:sz="0" w:space="0" w:color="auto"/>
                <w:left w:val="none" w:sz="0" w:space="0" w:color="auto"/>
                <w:bottom w:val="none" w:sz="0" w:space="0" w:color="auto"/>
                <w:right w:val="none" w:sz="0" w:space="0" w:color="auto"/>
              </w:divBdr>
              <w:divsChild>
                <w:div w:id="173106828">
                  <w:marLeft w:val="0"/>
                  <w:marRight w:val="0"/>
                  <w:marTop w:val="0"/>
                  <w:marBottom w:val="0"/>
                  <w:divBdr>
                    <w:top w:val="none" w:sz="0" w:space="0" w:color="auto"/>
                    <w:left w:val="none" w:sz="0" w:space="0" w:color="auto"/>
                    <w:bottom w:val="none" w:sz="0" w:space="0" w:color="auto"/>
                    <w:right w:val="none" w:sz="0" w:space="0" w:color="auto"/>
                  </w:divBdr>
                  <w:divsChild>
                    <w:div w:id="1085494101">
                      <w:marLeft w:val="0"/>
                      <w:marRight w:val="0"/>
                      <w:marTop w:val="0"/>
                      <w:marBottom w:val="0"/>
                      <w:divBdr>
                        <w:top w:val="none" w:sz="0" w:space="0" w:color="auto"/>
                        <w:left w:val="none" w:sz="0" w:space="0" w:color="auto"/>
                        <w:bottom w:val="none" w:sz="0" w:space="0" w:color="auto"/>
                        <w:right w:val="none" w:sz="0" w:space="0" w:color="auto"/>
                      </w:divBdr>
                      <w:divsChild>
                        <w:div w:id="175390272">
                          <w:marLeft w:val="0"/>
                          <w:marRight w:val="0"/>
                          <w:marTop w:val="0"/>
                          <w:marBottom w:val="0"/>
                          <w:divBdr>
                            <w:top w:val="none" w:sz="0" w:space="0" w:color="auto"/>
                            <w:left w:val="none" w:sz="0" w:space="0" w:color="auto"/>
                            <w:bottom w:val="none" w:sz="0" w:space="0" w:color="auto"/>
                            <w:right w:val="none" w:sz="0" w:space="0" w:color="auto"/>
                          </w:divBdr>
                          <w:divsChild>
                            <w:div w:id="1727945488">
                              <w:marLeft w:val="0"/>
                              <w:marRight w:val="0"/>
                              <w:marTop w:val="0"/>
                              <w:marBottom w:val="0"/>
                              <w:divBdr>
                                <w:top w:val="none" w:sz="0" w:space="0" w:color="auto"/>
                                <w:left w:val="none" w:sz="0" w:space="0" w:color="auto"/>
                                <w:bottom w:val="none" w:sz="0" w:space="0" w:color="auto"/>
                                <w:right w:val="none" w:sz="0" w:space="0" w:color="auto"/>
                              </w:divBdr>
                              <w:divsChild>
                                <w:div w:id="600920706">
                                  <w:marLeft w:val="0"/>
                                  <w:marRight w:val="0"/>
                                  <w:marTop w:val="0"/>
                                  <w:marBottom w:val="0"/>
                                  <w:divBdr>
                                    <w:top w:val="none" w:sz="0" w:space="0" w:color="auto"/>
                                    <w:left w:val="none" w:sz="0" w:space="0" w:color="auto"/>
                                    <w:bottom w:val="none" w:sz="0" w:space="0" w:color="auto"/>
                                    <w:right w:val="none" w:sz="0" w:space="0" w:color="auto"/>
                                  </w:divBdr>
                                  <w:divsChild>
                                    <w:div w:id="1923680601">
                                      <w:marLeft w:val="0"/>
                                      <w:marRight w:val="0"/>
                                      <w:marTop w:val="0"/>
                                      <w:marBottom w:val="0"/>
                                      <w:divBdr>
                                        <w:top w:val="none" w:sz="0" w:space="0" w:color="auto"/>
                                        <w:left w:val="none" w:sz="0" w:space="0" w:color="auto"/>
                                        <w:bottom w:val="none" w:sz="0" w:space="0" w:color="auto"/>
                                        <w:right w:val="none" w:sz="0" w:space="0" w:color="auto"/>
                                      </w:divBdr>
                                      <w:divsChild>
                                        <w:div w:id="970209480">
                                          <w:marLeft w:val="0"/>
                                          <w:marRight w:val="0"/>
                                          <w:marTop w:val="0"/>
                                          <w:marBottom w:val="0"/>
                                          <w:divBdr>
                                            <w:top w:val="none" w:sz="0" w:space="0" w:color="auto"/>
                                            <w:left w:val="none" w:sz="0" w:space="0" w:color="auto"/>
                                            <w:bottom w:val="none" w:sz="0" w:space="0" w:color="auto"/>
                                            <w:right w:val="none" w:sz="0" w:space="0" w:color="auto"/>
                                          </w:divBdr>
                                          <w:divsChild>
                                            <w:div w:id="439178367">
                                              <w:marLeft w:val="0"/>
                                              <w:marRight w:val="0"/>
                                              <w:marTop w:val="0"/>
                                              <w:marBottom w:val="0"/>
                                              <w:divBdr>
                                                <w:top w:val="none" w:sz="0" w:space="0" w:color="auto"/>
                                                <w:left w:val="none" w:sz="0" w:space="0" w:color="auto"/>
                                                <w:bottom w:val="none" w:sz="0" w:space="0" w:color="auto"/>
                                                <w:right w:val="none" w:sz="0" w:space="0" w:color="auto"/>
                                              </w:divBdr>
                                              <w:divsChild>
                                                <w:div w:id="2084142056">
                                                  <w:marLeft w:val="0"/>
                                                  <w:marRight w:val="0"/>
                                                  <w:marTop w:val="0"/>
                                                  <w:marBottom w:val="0"/>
                                                  <w:divBdr>
                                                    <w:top w:val="none" w:sz="0" w:space="0" w:color="auto"/>
                                                    <w:left w:val="none" w:sz="0" w:space="0" w:color="auto"/>
                                                    <w:bottom w:val="none" w:sz="0" w:space="0" w:color="auto"/>
                                                    <w:right w:val="none" w:sz="0" w:space="0" w:color="auto"/>
                                                  </w:divBdr>
                                                  <w:divsChild>
                                                    <w:div w:id="1763449581">
                                                      <w:marLeft w:val="0"/>
                                                      <w:marRight w:val="0"/>
                                                      <w:marTop w:val="240"/>
                                                      <w:marBottom w:val="60"/>
                                                      <w:divBdr>
                                                        <w:top w:val="none" w:sz="0" w:space="0" w:color="auto"/>
                                                        <w:left w:val="none" w:sz="0" w:space="0" w:color="auto"/>
                                                        <w:bottom w:val="none" w:sz="0" w:space="0" w:color="auto"/>
                                                        <w:right w:val="none" w:sz="0" w:space="0" w:color="auto"/>
                                                      </w:divBdr>
                                                      <w:divsChild>
                                                        <w:div w:id="1514537910">
                                                          <w:marLeft w:val="240"/>
                                                          <w:marRight w:val="0"/>
                                                          <w:marTop w:val="60"/>
                                                          <w:marBottom w:val="60"/>
                                                          <w:divBdr>
                                                            <w:top w:val="none" w:sz="0" w:space="0" w:color="auto"/>
                                                            <w:left w:val="none" w:sz="0" w:space="0" w:color="auto"/>
                                                            <w:bottom w:val="none" w:sz="0" w:space="0" w:color="auto"/>
                                                            <w:right w:val="none" w:sz="0" w:space="0" w:color="auto"/>
                                                          </w:divBdr>
                                                          <w:divsChild>
                                                            <w:div w:id="1881088970">
                                                              <w:marLeft w:val="240"/>
                                                              <w:marRight w:val="0"/>
                                                              <w:marTop w:val="60"/>
                                                              <w:marBottom w:val="60"/>
                                                              <w:divBdr>
                                                                <w:top w:val="none" w:sz="0" w:space="0" w:color="auto"/>
                                                                <w:left w:val="none" w:sz="0" w:space="0" w:color="auto"/>
                                                                <w:bottom w:val="none" w:sz="0" w:space="0" w:color="auto"/>
                                                                <w:right w:val="none" w:sz="0" w:space="0" w:color="auto"/>
                                                              </w:divBdr>
                                                              <w:divsChild>
                                                                <w:div w:id="1044451494">
                                                                  <w:marLeft w:val="240"/>
                                                                  <w:marRight w:val="0"/>
                                                                  <w:marTop w:val="60"/>
                                                                  <w:marBottom w:val="60"/>
                                                                  <w:divBdr>
                                                                    <w:top w:val="none" w:sz="0" w:space="0" w:color="auto"/>
                                                                    <w:left w:val="none" w:sz="0" w:space="0" w:color="auto"/>
                                                                    <w:bottom w:val="none" w:sz="0" w:space="0" w:color="auto"/>
                                                                    <w:right w:val="none" w:sz="0" w:space="0" w:color="auto"/>
                                                                  </w:divBdr>
                                                                  <w:divsChild>
                                                                    <w:div w:id="757485732">
                                                                      <w:marLeft w:val="0"/>
                                                                      <w:marRight w:val="0"/>
                                                                      <w:marTop w:val="0"/>
                                                                      <w:marBottom w:val="0"/>
                                                                      <w:divBdr>
                                                                        <w:top w:val="none" w:sz="0" w:space="0" w:color="auto"/>
                                                                        <w:left w:val="none" w:sz="0" w:space="0" w:color="auto"/>
                                                                        <w:bottom w:val="none" w:sz="0" w:space="0" w:color="auto"/>
                                                                        <w:right w:val="none" w:sz="0" w:space="0" w:color="auto"/>
                                                                      </w:divBdr>
                                                                    </w:div>
                                                                  </w:divsChild>
                                                                </w:div>
                                                                <w:div w:id="1685588258">
                                                                  <w:marLeft w:val="240"/>
                                                                  <w:marRight w:val="0"/>
                                                                  <w:marTop w:val="60"/>
                                                                  <w:marBottom w:val="60"/>
                                                                  <w:divBdr>
                                                                    <w:top w:val="none" w:sz="0" w:space="0" w:color="auto"/>
                                                                    <w:left w:val="none" w:sz="0" w:space="0" w:color="auto"/>
                                                                    <w:bottom w:val="none" w:sz="0" w:space="0" w:color="auto"/>
                                                                    <w:right w:val="none" w:sz="0" w:space="0" w:color="auto"/>
                                                                  </w:divBdr>
                                                                  <w:divsChild>
                                                                    <w:div w:id="7395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3124">
                                                              <w:marLeft w:val="240"/>
                                                              <w:marRight w:val="0"/>
                                                              <w:marTop w:val="60"/>
                                                              <w:marBottom w:val="60"/>
                                                              <w:divBdr>
                                                                <w:top w:val="none" w:sz="0" w:space="0" w:color="auto"/>
                                                                <w:left w:val="none" w:sz="0" w:space="0" w:color="auto"/>
                                                                <w:bottom w:val="none" w:sz="0" w:space="0" w:color="auto"/>
                                                                <w:right w:val="none" w:sz="0" w:space="0" w:color="auto"/>
                                                              </w:divBdr>
                                                              <w:divsChild>
                                                                <w:div w:id="25285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21">
                                                          <w:marLeft w:val="240"/>
                                                          <w:marRight w:val="0"/>
                                                          <w:marTop w:val="60"/>
                                                          <w:marBottom w:val="60"/>
                                                          <w:divBdr>
                                                            <w:top w:val="none" w:sz="0" w:space="0" w:color="auto"/>
                                                            <w:left w:val="none" w:sz="0" w:space="0" w:color="auto"/>
                                                            <w:bottom w:val="none" w:sz="0" w:space="0" w:color="auto"/>
                                                            <w:right w:val="none" w:sz="0" w:space="0" w:color="auto"/>
                                                          </w:divBdr>
                                                          <w:divsChild>
                                                            <w:div w:id="1268850231">
                                                              <w:marLeft w:val="240"/>
                                                              <w:marRight w:val="0"/>
                                                              <w:marTop w:val="60"/>
                                                              <w:marBottom w:val="60"/>
                                                              <w:divBdr>
                                                                <w:top w:val="none" w:sz="0" w:space="0" w:color="auto"/>
                                                                <w:left w:val="none" w:sz="0" w:space="0" w:color="auto"/>
                                                                <w:bottom w:val="none" w:sz="0" w:space="0" w:color="auto"/>
                                                                <w:right w:val="none" w:sz="0" w:space="0" w:color="auto"/>
                                                              </w:divBdr>
                                                              <w:divsChild>
                                                                <w:div w:id="1520005066">
                                                                  <w:marLeft w:val="0"/>
                                                                  <w:marRight w:val="0"/>
                                                                  <w:marTop w:val="0"/>
                                                                  <w:marBottom w:val="0"/>
                                                                  <w:divBdr>
                                                                    <w:top w:val="none" w:sz="0" w:space="0" w:color="auto"/>
                                                                    <w:left w:val="none" w:sz="0" w:space="0" w:color="auto"/>
                                                                    <w:bottom w:val="none" w:sz="0" w:space="0" w:color="auto"/>
                                                                    <w:right w:val="none" w:sz="0" w:space="0" w:color="auto"/>
                                                                  </w:divBdr>
                                                                </w:div>
                                                              </w:divsChild>
                                                            </w:div>
                                                            <w:div w:id="2072344157">
                                                              <w:marLeft w:val="240"/>
                                                              <w:marRight w:val="0"/>
                                                              <w:marTop w:val="60"/>
                                                              <w:marBottom w:val="60"/>
                                                              <w:divBdr>
                                                                <w:top w:val="none" w:sz="0" w:space="0" w:color="auto"/>
                                                                <w:left w:val="none" w:sz="0" w:space="0" w:color="auto"/>
                                                                <w:bottom w:val="none" w:sz="0" w:space="0" w:color="auto"/>
                                                                <w:right w:val="none" w:sz="0" w:space="0" w:color="auto"/>
                                                              </w:divBdr>
                                                              <w:divsChild>
                                                                <w:div w:id="779305054">
                                                                  <w:marLeft w:val="0"/>
                                                                  <w:marRight w:val="0"/>
                                                                  <w:marTop w:val="0"/>
                                                                  <w:marBottom w:val="0"/>
                                                                  <w:divBdr>
                                                                    <w:top w:val="none" w:sz="0" w:space="0" w:color="auto"/>
                                                                    <w:left w:val="none" w:sz="0" w:space="0" w:color="auto"/>
                                                                    <w:bottom w:val="none" w:sz="0" w:space="0" w:color="auto"/>
                                                                    <w:right w:val="none" w:sz="0" w:space="0" w:color="auto"/>
                                                                  </w:divBdr>
                                                                </w:div>
                                                              </w:divsChild>
                                                            </w:div>
                                                            <w:div w:id="1302419895">
                                                              <w:marLeft w:val="240"/>
                                                              <w:marRight w:val="0"/>
                                                              <w:marTop w:val="60"/>
                                                              <w:marBottom w:val="60"/>
                                                              <w:divBdr>
                                                                <w:top w:val="none" w:sz="0" w:space="0" w:color="auto"/>
                                                                <w:left w:val="none" w:sz="0" w:space="0" w:color="auto"/>
                                                                <w:bottom w:val="none" w:sz="0" w:space="0" w:color="auto"/>
                                                                <w:right w:val="none" w:sz="0" w:space="0" w:color="auto"/>
                                                              </w:divBdr>
                                                              <w:divsChild>
                                                                <w:div w:id="9720653">
                                                                  <w:marLeft w:val="0"/>
                                                                  <w:marRight w:val="0"/>
                                                                  <w:marTop w:val="0"/>
                                                                  <w:marBottom w:val="0"/>
                                                                  <w:divBdr>
                                                                    <w:top w:val="none" w:sz="0" w:space="0" w:color="auto"/>
                                                                    <w:left w:val="none" w:sz="0" w:space="0" w:color="auto"/>
                                                                    <w:bottom w:val="none" w:sz="0" w:space="0" w:color="auto"/>
                                                                    <w:right w:val="none" w:sz="0" w:space="0" w:color="auto"/>
                                                                  </w:divBdr>
                                                                </w:div>
                                                              </w:divsChild>
                                                            </w:div>
                                                            <w:div w:id="47339170">
                                                              <w:marLeft w:val="240"/>
                                                              <w:marRight w:val="0"/>
                                                              <w:marTop w:val="60"/>
                                                              <w:marBottom w:val="60"/>
                                                              <w:divBdr>
                                                                <w:top w:val="none" w:sz="0" w:space="0" w:color="auto"/>
                                                                <w:left w:val="none" w:sz="0" w:space="0" w:color="auto"/>
                                                                <w:bottom w:val="none" w:sz="0" w:space="0" w:color="auto"/>
                                                                <w:right w:val="none" w:sz="0" w:space="0" w:color="auto"/>
                                                              </w:divBdr>
                                                              <w:divsChild>
                                                                <w:div w:id="1697777074">
                                                                  <w:marLeft w:val="0"/>
                                                                  <w:marRight w:val="0"/>
                                                                  <w:marTop w:val="0"/>
                                                                  <w:marBottom w:val="0"/>
                                                                  <w:divBdr>
                                                                    <w:top w:val="none" w:sz="0" w:space="0" w:color="auto"/>
                                                                    <w:left w:val="none" w:sz="0" w:space="0" w:color="auto"/>
                                                                    <w:bottom w:val="none" w:sz="0" w:space="0" w:color="auto"/>
                                                                    <w:right w:val="none" w:sz="0" w:space="0" w:color="auto"/>
                                                                  </w:divBdr>
                                                                </w:div>
                                                              </w:divsChild>
                                                            </w:div>
                                                            <w:div w:id="1119908790">
                                                              <w:marLeft w:val="240"/>
                                                              <w:marRight w:val="0"/>
                                                              <w:marTop w:val="60"/>
                                                              <w:marBottom w:val="60"/>
                                                              <w:divBdr>
                                                                <w:top w:val="none" w:sz="0" w:space="0" w:color="auto"/>
                                                                <w:left w:val="none" w:sz="0" w:space="0" w:color="auto"/>
                                                                <w:bottom w:val="none" w:sz="0" w:space="0" w:color="auto"/>
                                                                <w:right w:val="none" w:sz="0" w:space="0" w:color="auto"/>
                                                              </w:divBdr>
                                                              <w:divsChild>
                                                                <w:div w:id="469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0280">
                                                          <w:marLeft w:val="240"/>
                                                          <w:marRight w:val="0"/>
                                                          <w:marTop w:val="60"/>
                                                          <w:marBottom w:val="60"/>
                                                          <w:divBdr>
                                                            <w:top w:val="none" w:sz="0" w:space="0" w:color="auto"/>
                                                            <w:left w:val="none" w:sz="0" w:space="0" w:color="auto"/>
                                                            <w:bottom w:val="none" w:sz="0" w:space="0" w:color="auto"/>
                                                            <w:right w:val="none" w:sz="0" w:space="0" w:color="auto"/>
                                                          </w:divBdr>
                                                          <w:divsChild>
                                                            <w:div w:id="2944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90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cen105.cbp.dh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14/04/14/2014-08254/privacy-act-of-1974-as-amended-system-of-records-notice" TargetMode="External"/><Relationship Id="rId1" Type="http://schemas.openxmlformats.org/officeDocument/2006/relationships/hyperlink" Target="https://www.federalregister.gov/documents/2022/03/23/2022-06157/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618A-3B2B-4CED-95D9-98636E97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1739</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11258</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StephR</dc:creator>
  <cp:keywords/>
  <dc:description/>
  <cp:lastModifiedBy>Stewart, Jaclyn</cp:lastModifiedBy>
  <cp:revision>3</cp:revision>
  <cp:lastPrinted>2015-08-21T15:18:00Z</cp:lastPrinted>
  <dcterms:created xsi:type="dcterms:W3CDTF">2022-05-24T18:53:00Z</dcterms:created>
  <dcterms:modified xsi:type="dcterms:W3CDTF">2022-05-24T18:58:00Z</dcterms:modified>
</cp:coreProperties>
</file>