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900913" w:rsidR="00900913" w:rsidP="00900913" w:rsidRDefault="00900913" w14:paraId="188A45BE" w14:textId="77777777">
      <w:pPr>
        <w:pBdr>
          <w:bottom w:val="single" w:color="4F81BD" w:sz="8" w:space="4"/>
        </w:pBdr>
        <w:spacing w:after="300"/>
        <w:contextualSpacing/>
        <w:rPr>
          <w:rFonts w:ascii="Cambria" w:hAnsi="Cambria"/>
          <w:color w:val="17365D"/>
          <w:spacing w:val="5"/>
          <w:kern w:val="28"/>
          <w:sz w:val="52"/>
          <w:szCs w:val="52"/>
        </w:rPr>
      </w:pPr>
      <w:r w:rsidRPr="00900913">
        <w:rPr>
          <w:rFonts w:ascii="Cambria" w:hAnsi="Cambria"/>
          <w:color w:val="17365D"/>
          <w:spacing w:val="5"/>
          <w:kern w:val="28"/>
          <w:sz w:val="36"/>
          <w:szCs w:val="52"/>
        </w:rPr>
        <w:t xml:space="preserve">Supporting Statement  </w:t>
      </w:r>
      <w:r w:rsidRPr="00900913">
        <w:rPr>
          <w:rFonts w:ascii="Cambria" w:hAnsi="Cambria"/>
          <w:color w:val="17365D"/>
          <w:spacing w:val="5"/>
          <w:kern w:val="28"/>
          <w:sz w:val="52"/>
          <w:szCs w:val="52"/>
        </w:rPr>
        <w:t xml:space="preserve"> </w:t>
      </w:r>
    </w:p>
    <w:p w:rsidRPr="00FC78C4" w:rsidR="00DB6F72" w:rsidP="00900913" w:rsidRDefault="00FC78C4" w14:paraId="0BA23F60" w14:textId="77777777">
      <w:pPr>
        <w:pStyle w:val="Title"/>
        <w:jc w:val="left"/>
        <w:rPr>
          <w:rStyle w:val="SubtleEmphasis"/>
          <w:b w:val="0"/>
          <w:color w:val="4F81BD" w:themeColor="accent1"/>
          <w:sz w:val="22"/>
        </w:rPr>
      </w:pPr>
      <w:r w:rsidRPr="00FC78C4">
        <w:rPr>
          <w:rStyle w:val="SubtleEmphasis"/>
          <w:b w:val="0"/>
          <w:color w:val="4F81BD" w:themeColor="accent1"/>
          <w:sz w:val="22"/>
        </w:rPr>
        <w:t>OMB Number</w:t>
      </w:r>
      <w:r w:rsidRPr="00FC78C4" w:rsidR="00953580">
        <w:rPr>
          <w:rStyle w:val="SubtleEmphasis"/>
          <w:b w:val="0"/>
          <w:color w:val="4F81BD" w:themeColor="accent1"/>
          <w:sz w:val="22"/>
        </w:rPr>
        <w:t xml:space="preserve"> 15</w:t>
      </w:r>
      <w:r w:rsidRPr="00FC78C4" w:rsidR="008277CC">
        <w:rPr>
          <w:rStyle w:val="SubtleEmphasis"/>
          <w:b w:val="0"/>
          <w:color w:val="4F81BD" w:themeColor="accent1"/>
          <w:sz w:val="22"/>
        </w:rPr>
        <w:t>30-0017</w:t>
      </w:r>
    </w:p>
    <w:p w:rsidRPr="00FC78C4" w:rsidR="00366578" w:rsidP="00900913" w:rsidRDefault="008277CC" w14:paraId="6A6605F0" w14:textId="625C0C35">
      <w:pPr>
        <w:pStyle w:val="Title"/>
        <w:jc w:val="left"/>
        <w:rPr>
          <w:rStyle w:val="SubtleEmphasis"/>
          <w:b w:val="0"/>
          <w:color w:val="4F81BD" w:themeColor="accent1"/>
          <w:sz w:val="22"/>
        </w:rPr>
      </w:pPr>
      <w:r w:rsidRPr="00FC78C4">
        <w:rPr>
          <w:rStyle w:val="SubtleEmphasis"/>
          <w:b w:val="0"/>
          <w:color w:val="4F81BD" w:themeColor="accent1"/>
          <w:sz w:val="22"/>
        </w:rPr>
        <w:t>F</w:t>
      </w:r>
      <w:r w:rsidRPr="00FC78C4" w:rsidR="009A63D5">
        <w:rPr>
          <w:rStyle w:val="SubtleEmphasis"/>
          <w:b w:val="0"/>
          <w:color w:val="4F81BD" w:themeColor="accent1"/>
          <w:sz w:val="22"/>
        </w:rPr>
        <w:t xml:space="preserve">S </w:t>
      </w:r>
      <w:r w:rsidRPr="00FC78C4" w:rsidR="006E208C">
        <w:rPr>
          <w:rStyle w:val="SubtleEmphasis"/>
          <w:b w:val="0"/>
          <w:color w:val="4F81BD" w:themeColor="accent1"/>
          <w:sz w:val="22"/>
        </w:rPr>
        <w:t xml:space="preserve">Forms 5902 and 5903: </w:t>
      </w:r>
      <w:r w:rsidRPr="00FC78C4" w:rsidR="00953580">
        <w:rPr>
          <w:rStyle w:val="SubtleEmphasis"/>
          <w:b w:val="0"/>
          <w:color w:val="4F81BD" w:themeColor="accent1"/>
          <w:sz w:val="22"/>
        </w:rPr>
        <w:t>“</w:t>
      </w:r>
      <w:r w:rsidRPr="00FC78C4" w:rsidR="0045234D">
        <w:rPr>
          <w:rStyle w:val="SubtleEmphasis"/>
          <w:b w:val="0"/>
          <w:color w:val="4F81BD" w:themeColor="accent1"/>
          <w:sz w:val="22"/>
        </w:rPr>
        <w:t xml:space="preserve">Collateral </w:t>
      </w:r>
      <w:r w:rsidR="0045234D">
        <w:rPr>
          <w:rStyle w:val="SubtleEmphasis"/>
          <w:b w:val="0"/>
          <w:color w:val="4F81BD" w:themeColor="accent1"/>
          <w:sz w:val="22"/>
        </w:rPr>
        <w:t xml:space="preserve">Security </w:t>
      </w:r>
      <w:r w:rsidRPr="00FC78C4" w:rsidR="006E208C">
        <w:rPr>
          <w:rStyle w:val="SubtleEmphasis"/>
          <w:b w:val="0"/>
          <w:color w:val="4F81BD" w:themeColor="accent1"/>
          <w:sz w:val="22"/>
        </w:rPr>
        <w:t>Resolution</w:t>
      </w:r>
      <w:r w:rsidR="0045234D">
        <w:rPr>
          <w:rStyle w:val="SubtleEmphasis"/>
          <w:b w:val="0"/>
          <w:color w:val="4F81BD" w:themeColor="accent1"/>
          <w:sz w:val="22"/>
        </w:rPr>
        <w:t>”</w:t>
      </w:r>
      <w:r w:rsidRPr="00FC78C4" w:rsidR="006E208C">
        <w:rPr>
          <w:rStyle w:val="SubtleEmphasis"/>
          <w:b w:val="0"/>
          <w:color w:val="4F81BD" w:themeColor="accent1"/>
          <w:sz w:val="22"/>
        </w:rPr>
        <w:t xml:space="preserve"> and </w:t>
      </w:r>
      <w:r w:rsidR="0045234D">
        <w:rPr>
          <w:rStyle w:val="SubtleEmphasis"/>
          <w:b w:val="0"/>
          <w:color w:val="4F81BD" w:themeColor="accent1"/>
          <w:sz w:val="22"/>
        </w:rPr>
        <w:t>“</w:t>
      </w:r>
      <w:r w:rsidRPr="00FC78C4" w:rsidR="006E208C">
        <w:rPr>
          <w:rStyle w:val="SubtleEmphasis"/>
          <w:b w:val="0"/>
          <w:color w:val="4F81BD" w:themeColor="accent1"/>
          <w:sz w:val="22"/>
        </w:rPr>
        <w:t xml:space="preserve">Collateral </w:t>
      </w:r>
      <w:r w:rsidR="0045234D">
        <w:rPr>
          <w:rStyle w:val="SubtleEmphasis"/>
          <w:b w:val="0"/>
          <w:color w:val="4F81BD" w:themeColor="accent1"/>
          <w:sz w:val="22"/>
        </w:rPr>
        <w:t xml:space="preserve">Pledge and Security </w:t>
      </w:r>
      <w:r w:rsidRPr="00FC78C4" w:rsidR="006E208C">
        <w:rPr>
          <w:rStyle w:val="SubtleEmphasis"/>
          <w:b w:val="0"/>
          <w:color w:val="4F81BD" w:themeColor="accent1"/>
          <w:sz w:val="22"/>
        </w:rPr>
        <w:t>Agreement”</w:t>
      </w:r>
    </w:p>
    <w:p w:rsidR="00BD59DE" w:rsidRDefault="00BD59DE" w14:paraId="66FEADA3" w14:textId="7E056EEF">
      <w:pPr>
        <w:rPr>
          <w:b/>
          <w:sz w:val="22"/>
          <w:szCs w:val="22"/>
        </w:rPr>
      </w:pPr>
    </w:p>
    <w:p w:rsidR="00366578" w:rsidRDefault="00366578" w14:paraId="5358442B" w14:textId="4AA850B5">
      <w:pPr>
        <w:numPr>
          <w:ilvl w:val="0"/>
          <w:numId w:val="1"/>
        </w:numPr>
        <w:rPr>
          <w:b/>
          <w:sz w:val="22"/>
          <w:szCs w:val="22"/>
          <w:u w:val="single"/>
        </w:rPr>
      </w:pPr>
      <w:r w:rsidRPr="00BD59DE">
        <w:rPr>
          <w:b/>
          <w:sz w:val="22"/>
          <w:szCs w:val="22"/>
          <w:u w:val="single"/>
        </w:rPr>
        <w:t>Justifications.</w:t>
      </w:r>
    </w:p>
    <w:p w:rsidR="00D83609" w:rsidP="00D83609" w:rsidRDefault="00D83609" w14:paraId="362D0686" w14:textId="78600331">
      <w:pPr>
        <w:rPr>
          <w:b/>
          <w:sz w:val="22"/>
          <w:szCs w:val="22"/>
          <w:u w:val="single"/>
        </w:rPr>
      </w:pPr>
    </w:p>
    <w:p w:rsidRPr="00175ED4" w:rsidR="00D83609" w:rsidP="00D83609" w:rsidRDefault="00D83609" w14:paraId="159C5342" w14:textId="77777777">
      <w:pPr>
        <w:rPr>
          <w:b/>
          <w:bCs/>
          <w:sz w:val="22"/>
          <w:szCs w:val="22"/>
        </w:rPr>
      </w:pPr>
      <w:r w:rsidRPr="00175ED4">
        <w:rPr>
          <w:b/>
          <w:bCs/>
          <w:sz w:val="22"/>
          <w:szCs w:val="22"/>
        </w:rPr>
        <w:t>Summary of Changes for renewal in 2022:</w:t>
      </w:r>
    </w:p>
    <w:p w:rsidRPr="00175ED4" w:rsidR="00D83609" w:rsidP="00D83609" w:rsidRDefault="009156C5" w14:paraId="1D08BF90" w14:textId="426C4E4D">
      <w:pPr>
        <w:rPr>
          <w:sz w:val="22"/>
          <w:szCs w:val="22"/>
        </w:rPr>
      </w:pPr>
      <w:r w:rsidRPr="00175ED4">
        <w:rPr>
          <w:sz w:val="22"/>
          <w:szCs w:val="22"/>
        </w:rPr>
        <w:t>Q</w:t>
      </w:r>
      <w:r w:rsidRPr="00175ED4" w:rsidR="00D83609">
        <w:rPr>
          <w:sz w:val="22"/>
          <w:szCs w:val="22"/>
        </w:rPr>
        <w:t>8: Current Federal Register citation was added.</w:t>
      </w:r>
    </w:p>
    <w:p w:rsidRPr="00175ED4" w:rsidR="00D83609" w:rsidP="00D83609" w:rsidRDefault="00D83609" w14:paraId="73A9B1C1" w14:textId="77777777">
      <w:pPr>
        <w:rPr>
          <w:sz w:val="22"/>
          <w:szCs w:val="22"/>
        </w:rPr>
      </w:pPr>
      <w:r w:rsidRPr="00175ED4">
        <w:rPr>
          <w:sz w:val="22"/>
          <w:szCs w:val="22"/>
        </w:rPr>
        <w:t>Q11: Reference to the new SORN for Fiscal Service was added.</w:t>
      </w:r>
    </w:p>
    <w:p w:rsidRPr="00175ED4" w:rsidR="00D83609" w:rsidP="00D83609" w:rsidRDefault="00D83609" w14:paraId="166757B4" w14:textId="659F2198">
      <w:pPr>
        <w:rPr>
          <w:sz w:val="22"/>
          <w:szCs w:val="22"/>
        </w:rPr>
      </w:pPr>
      <w:r w:rsidRPr="00175ED4">
        <w:rPr>
          <w:sz w:val="22"/>
          <w:szCs w:val="22"/>
        </w:rPr>
        <w:t>Q12: The estimated Annual Respondent Cost was omitted from previous Supporting Statements.</w:t>
      </w:r>
    </w:p>
    <w:p w:rsidRPr="00BD59DE" w:rsidR="00366578" w:rsidRDefault="00366578" w14:paraId="7C3C0C6B" w14:textId="77777777">
      <w:pPr>
        <w:rPr>
          <w:b/>
          <w:sz w:val="22"/>
          <w:szCs w:val="22"/>
          <w:u w:val="single"/>
        </w:rPr>
      </w:pPr>
    </w:p>
    <w:p w:rsidRPr="00BD59DE" w:rsidR="00C10CAA" w:rsidP="00C10CAA" w:rsidRDefault="00C10CAA" w14:paraId="26B56D2B" w14:textId="77777777">
      <w:pPr>
        <w:rPr>
          <w:sz w:val="22"/>
          <w:szCs w:val="22"/>
        </w:rPr>
      </w:pPr>
      <w:r w:rsidRPr="00BD59DE">
        <w:rPr>
          <w:b/>
          <w:sz w:val="22"/>
          <w:szCs w:val="22"/>
        </w:rPr>
        <w:t>1.  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r w:rsidRPr="00BD59DE">
        <w:rPr>
          <w:sz w:val="22"/>
          <w:szCs w:val="22"/>
        </w:rPr>
        <w:t xml:space="preserve"> </w:t>
      </w:r>
    </w:p>
    <w:p w:rsidRPr="00BD59DE" w:rsidR="00366578" w:rsidRDefault="00366578" w14:paraId="1929CDAF" w14:textId="77777777">
      <w:pPr>
        <w:ind w:left="360"/>
        <w:rPr>
          <w:b/>
          <w:sz w:val="22"/>
          <w:szCs w:val="22"/>
          <w:u w:val="single"/>
        </w:rPr>
      </w:pPr>
    </w:p>
    <w:p w:rsidRPr="00BD59DE" w:rsidR="009A63D5" w:rsidRDefault="00637E73" w14:paraId="73C47BDA" w14:textId="77777777">
      <w:pPr>
        <w:ind w:left="360"/>
        <w:rPr>
          <w:sz w:val="22"/>
          <w:szCs w:val="22"/>
        </w:rPr>
      </w:pPr>
      <w:r w:rsidRPr="00BD59DE">
        <w:rPr>
          <w:sz w:val="22"/>
          <w:szCs w:val="22"/>
        </w:rPr>
        <w:t xml:space="preserve">Financial institutions seeking designation as a Depositary, and the authority to maintain an account, are required to file these forms.  Federal Reserve Banks (FRBs) and the </w:t>
      </w:r>
      <w:r w:rsidRPr="00BD59DE" w:rsidR="00AE000E">
        <w:rPr>
          <w:sz w:val="22"/>
          <w:szCs w:val="22"/>
        </w:rPr>
        <w:t xml:space="preserve">Department of the </w:t>
      </w:r>
      <w:r w:rsidRPr="00BD59DE">
        <w:rPr>
          <w:sz w:val="22"/>
          <w:szCs w:val="22"/>
        </w:rPr>
        <w:t xml:space="preserve">Treasury </w:t>
      </w:r>
      <w:r w:rsidRPr="00BD59DE" w:rsidR="00AE000E">
        <w:rPr>
          <w:sz w:val="22"/>
          <w:szCs w:val="22"/>
        </w:rPr>
        <w:t>u</w:t>
      </w:r>
      <w:r w:rsidRPr="00BD59DE">
        <w:rPr>
          <w:sz w:val="22"/>
          <w:szCs w:val="22"/>
        </w:rPr>
        <w:t xml:space="preserve">se the information to evaluate the application and make the designation.  Financial </w:t>
      </w:r>
      <w:r w:rsidRPr="00BD59DE" w:rsidR="00AE000E">
        <w:rPr>
          <w:sz w:val="22"/>
          <w:szCs w:val="22"/>
        </w:rPr>
        <w:t>i</w:t>
      </w:r>
      <w:r w:rsidRPr="00BD59DE">
        <w:rPr>
          <w:sz w:val="22"/>
          <w:szCs w:val="22"/>
        </w:rPr>
        <w:t>nstitutions may apply until accepted.  Once accepted, financial institutions need not apply again, unless terminated from the program.</w:t>
      </w:r>
      <w:r w:rsidRPr="00BD59DE" w:rsidR="009A63D5">
        <w:rPr>
          <w:sz w:val="22"/>
          <w:szCs w:val="22"/>
        </w:rPr>
        <w:t xml:space="preserve">  </w:t>
      </w:r>
    </w:p>
    <w:p w:rsidRPr="00BD59DE" w:rsidR="009A63D5" w:rsidRDefault="009A63D5" w14:paraId="53D04CC3" w14:textId="77777777">
      <w:pPr>
        <w:ind w:left="360"/>
        <w:rPr>
          <w:sz w:val="22"/>
          <w:szCs w:val="22"/>
        </w:rPr>
      </w:pPr>
    </w:p>
    <w:p w:rsidRPr="00BD59DE" w:rsidR="009A63D5" w:rsidRDefault="009A63D5" w14:paraId="791DA456" w14:textId="77777777">
      <w:pPr>
        <w:ind w:left="360"/>
        <w:rPr>
          <w:sz w:val="22"/>
          <w:szCs w:val="22"/>
        </w:rPr>
      </w:pPr>
      <w:r w:rsidRPr="00BD59DE">
        <w:rPr>
          <w:sz w:val="22"/>
          <w:szCs w:val="22"/>
        </w:rPr>
        <w:t>As part of the application process for being designated a Depositary of the government, financial institut</w:t>
      </w:r>
      <w:r w:rsidR="008277CC">
        <w:rPr>
          <w:sz w:val="22"/>
          <w:szCs w:val="22"/>
        </w:rPr>
        <w:t>ions are required to complete F</w:t>
      </w:r>
      <w:r w:rsidRPr="00BD59DE">
        <w:rPr>
          <w:sz w:val="22"/>
          <w:szCs w:val="22"/>
        </w:rPr>
        <w:t xml:space="preserve">S Forms 5902 and 5903.  The information is required to establish authority and responsibility for actions taken under the program, including the posting of collateral.  Federal Deposit Insurance Corporation (FDIC) statutes require certain information to preserve the Treasury’s interest in the collateral </w:t>
      </w:r>
      <w:proofErr w:type="gramStart"/>
      <w:r w:rsidRPr="00BD59DE">
        <w:rPr>
          <w:sz w:val="22"/>
          <w:szCs w:val="22"/>
        </w:rPr>
        <w:t>in the event that</w:t>
      </w:r>
      <w:proofErr w:type="gramEnd"/>
      <w:r w:rsidRPr="00BD59DE">
        <w:rPr>
          <w:sz w:val="22"/>
          <w:szCs w:val="22"/>
        </w:rPr>
        <w:t xml:space="preserve"> the FDIC is appointed the receiver or conservator.  </w:t>
      </w:r>
      <w:r w:rsidRPr="00BD59DE">
        <w:rPr>
          <w:sz w:val="22"/>
          <w:szCs w:val="22"/>
          <w:u w:val="single"/>
        </w:rPr>
        <w:t>See</w:t>
      </w:r>
      <w:r w:rsidRPr="00BD59DE">
        <w:rPr>
          <w:sz w:val="22"/>
          <w:szCs w:val="22"/>
        </w:rPr>
        <w:t xml:space="preserve"> 12 U.S.C. </w:t>
      </w:r>
      <w:r w:rsidRPr="00BD59DE" w:rsidR="00AE000E">
        <w:rPr>
          <w:color w:val="000000"/>
          <w:sz w:val="22"/>
          <w:szCs w:val="22"/>
        </w:rPr>
        <w:t>§</w:t>
      </w:r>
      <w:r w:rsidRPr="00BD59DE">
        <w:rPr>
          <w:sz w:val="22"/>
          <w:szCs w:val="22"/>
        </w:rPr>
        <w:t xml:space="preserve"> 1</w:t>
      </w:r>
      <w:r w:rsidRPr="00BD59DE" w:rsidR="00AC4192">
        <w:rPr>
          <w:sz w:val="22"/>
          <w:szCs w:val="22"/>
        </w:rPr>
        <w:t>82</w:t>
      </w:r>
      <w:r w:rsidRPr="00BD59DE">
        <w:rPr>
          <w:sz w:val="22"/>
          <w:szCs w:val="22"/>
        </w:rPr>
        <w:t>3(e).</w:t>
      </w:r>
    </w:p>
    <w:p w:rsidRPr="00BD59DE" w:rsidR="009A63D5" w:rsidRDefault="009A63D5" w14:paraId="01366CBC" w14:textId="77777777">
      <w:pPr>
        <w:ind w:left="360"/>
        <w:rPr>
          <w:sz w:val="22"/>
          <w:szCs w:val="22"/>
        </w:rPr>
      </w:pPr>
    </w:p>
    <w:p w:rsidRPr="00BD59DE" w:rsidR="00637E73" w:rsidRDefault="009A63D5" w14:paraId="1FF61495" w14:textId="77777777">
      <w:pPr>
        <w:ind w:left="360"/>
        <w:rPr>
          <w:sz w:val="22"/>
          <w:szCs w:val="22"/>
        </w:rPr>
      </w:pPr>
      <w:r w:rsidRPr="00BD59DE">
        <w:rPr>
          <w:sz w:val="22"/>
          <w:szCs w:val="22"/>
        </w:rPr>
        <w:t xml:space="preserve">The collection of information specifically is authorized by 31 CFR </w:t>
      </w:r>
      <w:r w:rsidRPr="00BD59DE" w:rsidR="00AC4192">
        <w:rPr>
          <w:color w:val="000000"/>
          <w:sz w:val="22"/>
          <w:szCs w:val="22"/>
        </w:rPr>
        <w:t>§</w:t>
      </w:r>
      <w:r w:rsidRPr="00BD59DE">
        <w:rPr>
          <w:sz w:val="22"/>
          <w:szCs w:val="22"/>
        </w:rPr>
        <w:t xml:space="preserve"> 202.3(b)(2)(i) and generally authorized by 12 U.S.C. </w:t>
      </w:r>
      <w:r w:rsidRPr="00BD59DE" w:rsidR="00AE000E">
        <w:rPr>
          <w:color w:val="000000"/>
          <w:sz w:val="22"/>
          <w:szCs w:val="22"/>
        </w:rPr>
        <w:t>§</w:t>
      </w:r>
      <w:r w:rsidRPr="00BD59DE" w:rsidR="00AC4192">
        <w:rPr>
          <w:color w:val="000000"/>
          <w:sz w:val="22"/>
          <w:szCs w:val="22"/>
        </w:rPr>
        <w:t>§</w:t>
      </w:r>
      <w:r w:rsidRPr="00BD59DE">
        <w:rPr>
          <w:sz w:val="22"/>
          <w:szCs w:val="22"/>
        </w:rPr>
        <w:t xml:space="preserve"> 265, 266, 1464(k), 1725 and 1789(a), 31 U.S.C. </w:t>
      </w:r>
      <w:r w:rsidRPr="00BD59DE" w:rsidR="00AE000E">
        <w:rPr>
          <w:color w:val="000000"/>
          <w:sz w:val="22"/>
          <w:szCs w:val="22"/>
        </w:rPr>
        <w:t>§</w:t>
      </w:r>
      <w:r w:rsidRPr="00BD59DE">
        <w:rPr>
          <w:sz w:val="22"/>
          <w:szCs w:val="22"/>
        </w:rPr>
        <w:t xml:space="preserve"> 1038.</w:t>
      </w:r>
    </w:p>
    <w:p w:rsidRPr="00BD59DE" w:rsidR="00637E73" w:rsidRDefault="00637E73" w14:paraId="3E805905" w14:textId="77777777">
      <w:pPr>
        <w:ind w:left="360"/>
        <w:rPr>
          <w:sz w:val="22"/>
          <w:szCs w:val="22"/>
        </w:rPr>
      </w:pPr>
    </w:p>
    <w:p w:rsidRPr="00BD59DE" w:rsidR="00C10CAA" w:rsidP="00AC4192" w:rsidRDefault="00C10CAA" w14:paraId="5CE3DF55" w14:textId="77777777">
      <w:pPr>
        <w:rPr>
          <w:sz w:val="22"/>
          <w:szCs w:val="22"/>
        </w:rPr>
      </w:pPr>
      <w:r w:rsidRPr="00BD59DE">
        <w:rPr>
          <w:b/>
          <w:sz w:val="22"/>
          <w:szCs w:val="22"/>
        </w:rPr>
        <w:t>2.  Indicate how, by whom, and for what purpose the information is to be used.  Except for a new collection, indicate the actual use the agency has made of the information received from the current collection</w:t>
      </w:r>
      <w:r w:rsidRPr="00BD59DE">
        <w:rPr>
          <w:sz w:val="22"/>
          <w:szCs w:val="22"/>
        </w:rPr>
        <w:t xml:space="preserve">. </w:t>
      </w:r>
    </w:p>
    <w:p w:rsidRPr="00BD59DE" w:rsidR="00AC4192" w:rsidP="00AC4192" w:rsidRDefault="00AC4192" w14:paraId="2CFB9F30" w14:textId="77777777">
      <w:pPr>
        <w:rPr>
          <w:sz w:val="22"/>
          <w:szCs w:val="22"/>
        </w:rPr>
      </w:pPr>
    </w:p>
    <w:p w:rsidRPr="00BD59DE" w:rsidR="00366578" w:rsidP="0067450C" w:rsidRDefault="0067450C" w14:paraId="4C16D013" w14:textId="77777777">
      <w:pPr>
        <w:ind w:left="360"/>
        <w:rPr>
          <w:sz w:val="22"/>
          <w:szCs w:val="22"/>
        </w:rPr>
      </w:pPr>
      <w:r w:rsidRPr="00BD59DE">
        <w:rPr>
          <w:sz w:val="22"/>
          <w:szCs w:val="22"/>
        </w:rPr>
        <w:t xml:space="preserve">According to 12 U.S.C. </w:t>
      </w:r>
      <w:r w:rsidRPr="00BD59DE" w:rsidR="00AC4192">
        <w:rPr>
          <w:color w:val="000000"/>
          <w:sz w:val="22"/>
          <w:szCs w:val="22"/>
        </w:rPr>
        <w:t>§</w:t>
      </w:r>
      <w:r w:rsidRPr="00BD59DE">
        <w:rPr>
          <w:sz w:val="22"/>
          <w:szCs w:val="22"/>
        </w:rPr>
        <w:t xml:space="preserve"> 1</w:t>
      </w:r>
      <w:r w:rsidRPr="00BD59DE" w:rsidR="00AC4192">
        <w:rPr>
          <w:sz w:val="22"/>
          <w:szCs w:val="22"/>
        </w:rPr>
        <w:t>8</w:t>
      </w:r>
      <w:r w:rsidRPr="00BD59DE">
        <w:rPr>
          <w:sz w:val="22"/>
          <w:szCs w:val="22"/>
        </w:rPr>
        <w:t xml:space="preserve">23(e), a written agreement executed by the financial institution is required to preserve the Treasury’s interest in the collateral pledged </w:t>
      </w:r>
      <w:proofErr w:type="gramStart"/>
      <w:r w:rsidRPr="00BD59DE">
        <w:rPr>
          <w:sz w:val="22"/>
          <w:szCs w:val="22"/>
        </w:rPr>
        <w:t>in the event that</w:t>
      </w:r>
      <w:proofErr w:type="gramEnd"/>
      <w:r w:rsidRPr="00BD59DE">
        <w:rPr>
          <w:sz w:val="22"/>
          <w:szCs w:val="22"/>
        </w:rPr>
        <w:t xml:space="preserve"> the FDIC is appointed the receiver or conservator.</w:t>
      </w:r>
    </w:p>
    <w:p w:rsidRPr="00BD59DE" w:rsidR="0067450C" w:rsidP="0067450C" w:rsidRDefault="0067450C" w14:paraId="2239485D" w14:textId="77777777">
      <w:pPr>
        <w:ind w:left="360"/>
        <w:rPr>
          <w:sz w:val="22"/>
          <w:szCs w:val="22"/>
        </w:rPr>
      </w:pPr>
    </w:p>
    <w:p w:rsidRPr="00BD59DE" w:rsidR="0067450C" w:rsidP="0067450C" w:rsidRDefault="0067450C" w14:paraId="0A99DB00" w14:textId="77777777">
      <w:pPr>
        <w:ind w:left="360"/>
        <w:rPr>
          <w:sz w:val="22"/>
          <w:szCs w:val="22"/>
        </w:rPr>
      </w:pPr>
      <w:r w:rsidRPr="00BD59DE">
        <w:rPr>
          <w:sz w:val="22"/>
          <w:szCs w:val="22"/>
        </w:rPr>
        <w:t xml:space="preserve">Financial </w:t>
      </w:r>
      <w:r w:rsidRPr="00BD59DE" w:rsidR="00AC4192">
        <w:rPr>
          <w:sz w:val="22"/>
          <w:szCs w:val="22"/>
        </w:rPr>
        <w:t>i</w:t>
      </w:r>
      <w:r w:rsidRPr="00BD59DE">
        <w:rPr>
          <w:sz w:val="22"/>
          <w:szCs w:val="22"/>
        </w:rPr>
        <w:t>nstitutions whose applications are accepted need only apply once.  Agreements are kept on file for the duration plus six years of the financial institution’s participation in the program.  There is no similar information already collected or available.</w:t>
      </w:r>
    </w:p>
    <w:p w:rsidRPr="00BD59DE" w:rsidR="0067450C" w:rsidRDefault="0067450C" w14:paraId="4B733FDA" w14:textId="77777777">
      <w:pPr>
        <w:rPr>
          <w:sz w:val="22"/>
          <w:szCs w:val="22"/>
        </w:rPr>
      </w:pPr>
    </w:p>
    <w:p w:rsidRPr="00BD59DE" w:rsidR="00C10CAA" w:rsidP="00C10CAA" w:rsidRDefault="00C10CAA" w14:paraId="1F657885" w14:textId="77777777">
      <w:pPr>
        <w:rPr>
          <w:b/>
          <w:sz w:val="22"/>
          <w:szCs w:val="22"/>
        </w:rPr>
      </w:pPr>
      <w:r w:rsidRPr="00BD59DE">
        <w:rPr>
          <w:b/>
          <w:sz w:val="22"/>
          <w:szCs w:val="22"/>
        </w:rPr>
        <w:t xml:space="preserve">3.  Describe whether, and to what extent, the collection of information involves the use of automated, electronic, mechanical, or other technological collection techniques or other forms of information technology, e.g., permitting electronic submission of responses, and the basis for the </w:t>
      </w:r>
      <w:r w:rsidRPr="00BD59DE">
        <w:rPr>
          <w:b/>
          <w:sz w:val="22"/>
          <w:szCs w:val="22"/>
        </w:rPr>
        <w:lastRenderedPageBreak/>
        <w:t xml:space="preserve">decision for adopting this means of collection.  Also describe any consideration of using information technology to reduce burden. </w:t>
      </w:r>
    </w:p>
    <w:p w:rsidRPr="00BD59DE" w:rsidR="00C10CAA" w:rsidP="00C10CAA" w:rsidRDefault="00C10CAA" w14:paraId="12CD567E" w14:textId="77777777">
      <w:pPr>
        <w:ind w:left="360"/>
        <w:rPr>
          <w:sz w:val="22"/>
          <w:szCs w:val="22"/>
        </w:rPr>
      </w:pPr>
    </w:p>
    <w:p w:rsidRPr="00306B13" w:rsidR="00900913" w:rsidP="00900913" w:rsidRDefault="00900913" w14:paraId="6A7BE0E2" w14:textId="0566EFA6">
      <w:pPr>
        <w:widowControl w:val="0"/>
        <w:tabs>
          <w:tab w:val="left" w:pos="450"/>
        </w:tabs>
        <w:suppressAutoHyphens/>
        <w:autoSpaceDE w:val="0"/>
        <w:autoSpaceDN w:val="0"/>
        <w:adjustRightInd w:val="0"/>
        <w:spacing w:line="240" w:lineRule="atLeast"/>
        <w:ind w:left="360"/>
        <w:rPr>
          <w:sz w:val="22"/>
        </w:rPr>
      </w:pPr>
      <w:r w:rsidRPr="00306B13">
        <w:rPr>
          <w:sz w:val="22"/>
        </w:rPr>
        <w:t xml:space="preserve">The </w:t>
      </w:r>
      <w:r w:rsidR="003D571B">
        <w:rPr>
          <w:sz w:val="22"/>
        </w:rPr>
        <w:t xml:space="preserve">agreement </w:t>
      </w:r>
      <w:r w:rsidRPr="00306B13">
        <w:rPr>
          <w:sz w:val="22"/>
        </w:rPr>
        <w:t>form</w:t>
      </w:r>
      <w:r w:rsidR="003D571B">
        <w:rPr>
          <w:sz w:val="22"/>
        </w:rPr>
        <w:t>s</w:t>
      </w:r>
      <w:r w:rsidRPr="00306B13">
        <w:rPr>
          <w:sz w:val="22"/>
        </w:rPr>
        <w:t xml:space="preserve"> </w:t>
      </w:r>
      <w:r w:rsidR="003D571B">
        <w:rPr>
          <w:sz w:val="22"/>
        </w:rPr>
        <w:t>are</w:t>
      </w:r>
      <w:r w:rsidRPr="00306B13">
        <w:rPr>
          <w:sz w:val="22"/>
        </w:rPr>
        <w:t xml:space="preserve"> available from the Bureau of the Fiscal Service and on the Internet</w:t>
      </w:r>
      <w:r w:rsidRPr="00306B13" w:rsidR="00A97610">
        <w:rPr>
          <w:sz w:val="22"/>
        </w:rPr>
        <w:t xml:space="preserve"> as a fill-</w:t>
      </w:r>
      <w:r w:rsidRPr="00306B13">
        <w:rPr>
          <w:sz w:val="22"/>
        </w:rPr>
        <w:t xml:space="preserve">in PDF form.  </w:t>
      </w:r>
    </w:p>
    <w:p w:rsidRPr="00BD59DE" w:rsidR="0067450C" w:rsidRDefault="0067450C" w14:paraId="2D6F3863" w14:textId="77777777">
      <w:pPr>
        <w:rPr>
          <w:sz w:val="22"/>
          <w:szCs w:val="22"/>
        </w:rPr>
      </w:pPr>
    </w:p>
    <w:p w:rsidRPr="00BD59DE" w:rsidR="00C10CAA" w:rsidP="00C10CAA" w:rsidRDefault="00C10CAA" w14:paraId="1ED2F23A" w14:textId="0BC45DE7">
      <w:pPr>
        <w:tabs>
          <w:tab w:val="left" w:pos="-1440"/>
        </w:tabs>
        <w:rPr>
          <w:b/>
          <w:sz w:val="22"/>
          <w:szCs w:val="22"/>
        </w:rPr>
      </w:pPr>
      <w:r w:rsidRPr="00BD59DE">
        <w:rPr>
          <w:b/>
          <w:sz w:val="22"/>
          <w:szCs w:val="22"/>
        </w:rPr>
        <w:t xml:space="preserve">4.  Describe efforts to identify duplication.  Show specifically why any similar information already available cannot be used or modified for use for the purposes described in Item 2 above. </w:t>
      </w:r>
    </w:p>
    <w:p w:rsidRPr="00BD59DE" w:rsidR="00C10CAA" w:rsidRDefault="00C10CAA" w14:paraId="1DA360C2" w14:textId="77777777">
      <w:pPr>
        <w:rPr>
          <w:sz w:val="22"/>
          <w:szCs w:val="22"/>
        </w:rPr>
      </w:pPr>
      <w:r w:rsidRPr="00BD59DE">
        <w:rPr>
          <w:sz w:val="22"/>
          <w:szCs w:val="22"/>
        </w:rPr>
        <w:t xml:space="preserve"> </w:t>
      </w:r>
    </w:p>
    <w:p w:rsidRPr="00BD59DE" w:rsidR="00CB7A1C" w:rsidP="00CB7A1C" w:rsidRDefault="00CB7A1C" w14:paraId="1FC3A31B" w14:textId="77777777">
      <w:pPr>
        <w:ind w:left="360"/>
        <w:rPr>
          <w:sz w:val="22"/>
          <w:szCs w:val="22"/>
        </w:rPr>
      </w:pPr>
      <w:r w:rsidRPr="00BD59DE">
        <w:rPr>
          <w:sz w:val="22"/>
          <w:szCs w:val="22"/>
        </w:rPr>
        <w:t>This information in not collected by any other agency or any other form.</w:t>
      </w:r>
    </w:p>
    <w:p w:rsidRPr="00BD59DE" w:rsidR="00295DB1" w:rsidP="00C10CAA" w:rsidRDefault="00295DB1" w14:paraId="2F55183A" w14:textId="77777777">
      <w:pPr>
        <w:rPr>
          <w:b/>
          <w:sz w:val="22"/>
          <w:szCs w:val="22"/>
        </w:rPr>
      </w:pPr>
    </w:p>
    <w:p w:rsidRPr="00BD59DE" w:rsidR="00C10CAA" w:rsidP="00C10CAA" w:rsidRDefault="00C10CAA" w14:paraId="6E8F459B" w14:textId="77777777">
      <w:pPr>
        <w:rPr>
          <w:b/>
          <w:sz w:val="22"/>
          <w:szCs w:val="22"/>
        </w:rPr>
      </w:pPr>
      <w:r w:rsidRPr="00BD59DE">
        <w:rPr>
          <w:b/>
          <w:sz w:val="22"/>
          <w:szCs w:val="22"/>
        </w:rPr>
        <w:t>5.  If the collection of information impacts small businesses or other small entities (Item 5 o</w:t>
      </w:r>
      <w:r w:rsidRPr="00BD59DE" w:rsidR="009F0DA8">
        <w:rPr>
          <w:b/>
          <w:sz w:val="22"/>
          <w:szCs w:val="22"/>
        </w:rPr>
        <w:t>f</w:t>
      </w:r>
      <w:r w:rsidRPr="00BD59DE">
        <w:rPr>
          <w:b/>
          <w:sz w:val="22"/>
          <w:szCs w:val="22"/>
        </w:rPr>
        <w:t xml:space="preserve"> OMB Form 83-I), describe any methods used to minimize burden.</w:t>
      </w:r>
    </w:p>
    <w:p w:rsidRPr="00BD59DE" w:rsidR="009F0DA8" w:rsidP="00C10CAA" w:rsidRDefault="009F0DA8" w14:paraId="096E31AA" w14:textId="77777777">
      <w:pPr>
        <w:rPr>
          <w:sz w:val="22"/>
          <w:szCs w:val="22"/>
        </w:rPr>
      </w:pPr>
    </w:p>
    <w:p w:rsidRPr="00BD59DE" w:rsidR="00CB7A1C" w:rsidP="00CB7A1C" w:rsidRDefault="00B75902" w14:paraId="6373FF07" w14:textId="77777777">
      <w:pPr>
        <w:ind w:left="360"/>
        <w:rPr>
          <w:sz w:val="22"/>
          <w:szCs w:val="22"/>
        </w:rPr>
      </w:pPr>
      <w:r w:rsidRPr="00BD59DE">
        <w:rPr>
          <w:sz w:val="22"/>
          <w:szCs w:val="22"/>
        </w:rPr>
        <w:t>The collections will not have a significant impact on a substantial number of small entities.</w:t>
      </w:r>
    </w:p>
    <w:p w:rsidRPr="00BD59DE" w:rsidR="00CB7A1C" w:rsidP="00C10CAA" w:rsidRDefault="00CB7A1C" w14:paraId="740B9930" w14:textId="77777777">
      <w:pPr>
        <w:rPr>
          <w:b/>
          <w:sz w:val="22"/>
          <w:szCs w:val="22"/>
        </w:rPr>
      </w:pPr>
    </w:p>
    <w:p w:rsidRPr="00BD59DE" w:rsidR="00C10CAA" w:rsidP="00C10CAA" w:rsidRDefault="00C10CAA" w14:paraId="7C00CAFB" w14:textId="77777777">
      <w:pPr>
        <w:rPr>
          <w:b/>
          <w:sz w:val="22"/>
          <w:szCs w:val="22"/>
        </w:rPr>
      </w:pPr>
      <w:r w:rsidRPr="00BD59DE">
        <w:rPr>
          <w:b/>
          <w:sz w:val="22"/>
          <w:szCs w:val="22"/>
        </w:rPr>
        <w:t>6.  Describe the consequence to Federal program or policy activities if the collection is not conducted or is conducted less frequently, as well as any technical or legal obstacles to reducing burden.</w:t>
      </w:r>
    </w:p>
    <w:p w:rsidRPr="00BD59DE" w:rsidR="00C10CAA" w:rsidRDefault="00C10CAA" w14:paraId="45780BD3" w14:textId="77777777">
      <w:pPr>
        <w:rPr>
          <w:sz w:val="22"/>
          <w:szCs w:val="22"/>
        </w:rPr>
      </w:pPr>
      <w:r w:rsidRPr="00BD59DE">
        <w:rPr>
          <w:sz w:val="22"/>
          <w:szCs w:val="22"/>
        </w:rPr>
        <w:t xml:space="preserve"> </w:t>
      </w:r>
    </w:p>
    <w:p w:rsidRPr="00BD59DE" w:rsidR="00534C95" w:rsidP="00534C95" w:rsidRDefault="002D7236" w14:paraId="296A753F" w14:textId="610A3D7A">
      <w:pPr>
        <w:ind w:left="360"/>
        <w:rPr>
          <w:sz w:val="22"/>
          <w:szCs w:val="22"/>
        </w:rPr>
      </w:pPr>
      <w:r w:rsidRPr="00BD59DE">
        <w:rPr>
          <w:sz w:val="22"/>
          <w:szCs w:val="22"/>
        </w:rPr>
        <w:t>The</w:t>
      </w:r>
      <w:r w:rsidR="003D571B">
        <w:rPr>
          <w:sz w:val="22"/>
          <w:szCs w:val="22"/>
        </w:rPr>
        <w:t xml:space="preserve"> agreement</w:t>
      </w:r>
      <w:r w:rsidRPr="00BD59DE">
        <w:rPr>
          <w:sz w:val="22"/>
          <w:szCs w:val="22"/>
        </w:rPr>
        <w:t xml:space="preserve"> form</w:t>
      </w:r>
      <w:r w:rsidR="003D571B">
        <w:rPr>
          <w:sz w:val="22"/>
          <w:szCs w:val="22"/>
        </w:rPr>
        <w:t>s</w:t>
      </w:r>
      <w:r w:rsidRPr="00BD59DE">
        <w:rPr>
          <w:sz w:val="22"/>
          <w:szCs w:val="22"/>
        </w:rPr>
        <w:t xml:space="preserve"> </w:t>
      </w:r>
      <w:r w:rsidR="003D571B">
        <w:rPr>
          <w:sz w:val="22"/>
          <w:szCs w:val="22"/>
        </w:rPr>
        <w:t>are</w:t>
      </w:r>
      <w:r w:rsidRPr="00BD59DE">
        <w:rPr>
          <w:sz w:val="22"/>
          <w:szCs w:val="22"/>
        </w:rPr>
        <w:t xml:space="preserve"> necessary to designate the financial institutions as depositaries under 31 CFR Part 202.  Further, if the forms were not completed, Treasury would be unable to regulate the financial institutions’ actions under 31 CFR Part 202 and to preserve Treasury’s interest in collateral pledged by the financial institutions.  Information is collected once for each financial institution accepted into the program</w:t>
      </w:r>
      <w:r w:rsidRPr="00BD59DE" w:rsidR="001E5E2B">
        <w:rPr>
          <w:sz w:val="22"/>
          <w:szCs w:val="22"/>
        </w:rPr>
        <w:t xml:space="preserve">, and therefore </w:t>
      </w:r>
      <w:r w:rsidRPr="00BD59DE">
        <w:rPr>
          <w:sz w:val="22"/>
          <w:szCs w:val="22"/>
        </w:rPr>
        <w:t xml:space="preserve">cannot be collected less frequently.  </w:t>
      </w:r>
    </w:p>
    <w:p w:rsidRPr="00BD59DE" w:rsidR="00366578" w:rsidRDefault="00366578" w14:paraId="7420B252" w14:textId="77777777">
      <w:pPr>
        <w:rPr>
          <w:sz w:val="22"/>
          <w:szCs w:val="22"/>
        </w:rPr>
      </w:pPr>
    </w:p>
    <w:p w:rsidRPr="00BD59DE" w:rsidR="00C10CAA" w:rsidP="00C10CAA" w:rsidRDefault="00C10CAA" w14:paraId="2565FC16" w14:textId="77777777">
      <w:pPr>
        <w:rPr>
          <w:b/>
          <w:sz w:val="22"/>
          <w:szCs w:val="22"/>
        </w:rPr>
      </w:pPr>
      <w:r w:rsidRPr="00BD59DE">
        <w:rPr>
          <w:b/>
          <w:sz w:val="22"/>
          <w:szCs w:val="22"/>
        </w:rPr>
        <w:t xml:space="preserve">7.  Explain any special circumstances that would cause an information collection to be conducted in a </w:t>
      </w:r>
      <w:proofErr w:type="gramStart"/>
      <w:r w:rsidRPr="00BD59DE">
        <w:rPr>
          <w:b/>
          <w:sz w:val="22"/>
          <w:szCs w:val="22"/>
        </w:rPr>
        <w:t>manner:  *requiring respondents</w:t>
      </w:r>
      <w:proofErr w:type="gramEnd"/>
      <w:r w:rsidRPr="00BD59DE">
        <w:rPr>
          <w:b/>
          <w:sz w:val="22"/>
          <w:szCs w:val="22"/>
        </w:rPr>
        <w:t xml:space="preserve"> to report information to the agency more often than quarterly; *requiring respondents to prepare a written response to a collection of information in fewer than 30 days after receipt of it</w:t>
      </w:r>
      <w:r w:rsidRPr="00BD59DE" w:rsidR="00775D6B">
        <w:rPr>
          <w:b/>
          <w:sz w:val="22"/>
          <w:szCs w:val="22"/>
        </w:rPr>
        <w:t xml:space="preserve">; requiring respondents to submit more than an original and two copies of any document; </w:t>
      </w:r>
      <w:r w:rsidRPr="00BD59DE">
        <w:rPr>
          <w:b/>
          <w:sz w:val="22"/>
          <w:szCs w:val="22"/>
        </w:rPr>
        <w:t>etc.</w:t>
      </w:r>
    </w:p>
    <w:p w:rsidRPr="00BD59DE" w:rsidR="00C10CAA" w:rsidRDefault="00C10CAA" w14:paraId="54849B0D" w14:textId="77777777">
      <w:pPr>
        <w:rPr>
          <w:sz w:val="22"/>
          <w:szCs w:val="22"/>
        </w:rPr>
      </w:pPr>
    </w:p>
    <w:p w:rsidRPr="00BD59DE" w:rsidR="00D036ED" w:rsidP="00D036ED" w:rsidRDefault="00677D08" w14:paraId="7E3D315D" w14:textId="77777777">
      <w:pPr>
        <w:ind w:left="360"/>
        <w:rPr>
          <w:sz w:val="22"/>
          <w:szCs w:val="22"/>
        </w:rPr>
      </w:pPr>
      <w:r w:rsidRPr="00BD59DE">
        <w:rPr>
          <w:sz w:val="22"/>
          <w:szCs w:val="22"/>
        </w:rPr>
        <w:t>This collection requires financial institutions to maintain certain records for more than three years. (</w:t>
      </w:r>
      <w:proofErr w:type="gramStart"/>
      <w:r w:rsidRPr="00BD59DE">
        <w:rPr>
          <w:sz w:val="22"/>
          <w:szCs w:val="22"/>
        </w:rPr>
        <w:t>see</w:t>
      </w:r>
      <w:proofErr w:type="gramEnd"/>
      <w:r w:rsidRPr="00BD59DE">
        <w:rPr>
          <w:sz w:val="22"/>
          <w:szCs w:val="22"/>
        </w:rPr>
        <w:t xml:space="preserve"> 5 CFR 123.5(d)(2)(iv)).  The forms and the minutes of a financial institution’s meeting are to be maintained continuously as official records of the institution.  Such records are required by the terms of 12 U.S.C. 1823(e)(1):</w:t>
      </w:r>
      <w:r w:rsidRPr="00BD59DE" w:rsidR="001E5E2B">
        <w:rPr>
          <w:sz w:val="22"/>
          <w:szCs w:val="22"/>
        </w:rPr>
        <w:t xml:space="preserve"> </w:t>
      </w:r>
      <w:r w:rsidRPr="00BD59DE">
        <w:rPr>
          <w:sz w:val="22"/>
          <w:szCs w:val="22"/>
        </w:rPr>
        <w:t xml:space="preserve"> this FDIC statute requires </w:t>
      </w:r>
      <w:r w:rsidR="00C70CD0">
        <w:rPr>
          <w:sz w:val="22"/>
          <w:szCs w:val="22"/>
        </w:rPr>
        <w:t>written information to preserve</w:t>
      </w:r>
      <w:r w:rsidRPr="00BD59DE">
        <w:rPr>
          <w:sz w:val="22"/>
          <w:szCs w:val="22"/>
        </w:rPr>
        <w:t xml:space="preserve"> </w:t>
      </w:r>
      <w:r w:rsidRPr="00BD59DE" w:rsidR="006D4149">
        <w:rPr>
          <w:sz w:val="22"/>
          <w:szCs w:val="22"/>
        </w:rPr>
        <w:t xml:space="preserve">the Treasury’s interest in the collateral </w:t>
      </w:r>
      <w:proofErr w:type="gramStart"/>
      <w:r w:rsidRPr="00BD59DE" w:rsidR="006D4149">
        <w:rPr>
          <w:sz w:val="22"/>
          <w:szCs w:val="22"/>
        </w:rPr>
        <w:t>in the event that</w:t>
      </w:r>
      <w:proofErr w:type="gramEnd"/>
      <w:r w:rsidRPr="00BD59DE" w:rsidR="006D4149">
        <w:rPr>
          <w:sz w:val="22"/>
          <w:szCs w:val="22"/>
        </w:rPr>
        <w:t xml:space="preserve"> the FDIC is appointed the receiver or conservator.  Forms 5902 and 5903 are agreements establishing a depositary relationship and pledging of collateral.  To ensure the preservation of the collateral</w:t>
      </w:r>
      <w:r w:rsidRPr="00BD59DE" w:rsidR="001E5E2B">
        <w:rPr>
          <w:sz w:val="22"/>
          <w:szCs w:val="22"/>
        </w:rPr>
        <w:t>,</w:t>
      </w:r>
      <w:r w:rsidRPr="00BD59DE" w:rsidR="006D4149">
        <w:rPr>
          <w:sz w:val="22"/>
          <w:szCs w:val="22"/>
        </w:rPr>
        <w:t xml:space="preserve"> the records must be maintained for the duration of their relationship, which could be more than three years.</w:t>
      </w:r>
    </w:p>
    <w:p w:rsidRPr="00BD59DE" w:rsidR="00366578" w:rsidRDefault="00366578" w14:paraId="0C9BAF5B" w14:textId="77777777">
      <w:pPr>
        <w:rPr>
          <w:sz w:val="22"/>
          <w:szCs w:val="22"/>
        </w:rPr>
      </w:pPr>
    </w:p>
    <w:p w:rsidRPr="00BD59DE" w:rsidR="00C10CAA" w:rsidP="00C10CAA" w:rsidRDefault="00C10CAA" w14:paraId="4BA2DF32" w14:textId="77777777">
      <w:pPr>
        <w:rPr>
          <w:b/>
          <w:sz w:val="22"/>
          <w:szCs w:val="22"/>
        </w:rPr>
      </w:pPr>
      <w:r w:rsidRPr="00BD59DE">
        <w:rPr>
          <w:b/>
          <w:sz w:val="22"/>
          <w:szCs w:val="22"/>
        </w:rPr>
        <w:t xml:space="preserve">8.  If applicable, provide a copy and identify the date and page number of </w:t>
      </w:r>
      <w:proofErr w:type="gramStart"/>
      <w:r w:rsidRPr="00BD59DE">
        <w:rPr>
          <w:b/>
          <w:sz w:val="22"/>
          <w:szCs w:val="22"/>
        </w:rPr>
        <w:t>publication</w:t>
      </w:r>
      <w:proofErr w:type="gramEnd"/>
      <w:r w:rsidRPr="00BD59DE">
        <w:rPr>
          <w:b/>
          <w:sz w:val="22"/>
          <w:szCs w:val="22"/>
        </w:rPr>
        <w:t xml:space="preserve"> in the Federal Register of the agency’s notice, required by 5 CFR 1320.8(d), soliciting comments on the information collection prior to submission to OMB. </w:t>
      </w:r>
      <w:r w:rsidRPr="00BD59DE" w:rsidR="00775D6B">
        <w:rPr>
          <w:b/>
          <w:sz w:val="22"/>
          <w:szCs w:val="22"/>
        </w:rPr>
        <w:t xml:space="preserve">  Summarize public comments received in response to that notice and describe actions taken by the agency in response to these comments.  Specifically address comments received on cost and hour burden.</w:t>
      </w:r>
    </w:p>
    <w:p w:rsidRPr="00BD59DE" w:rsidR="00C10CAA" w:rsidRDefault="00C10CAA" w14:paraId="4259504A" w14:textId="77777777">
      <w:pPr>
        <w:rPr>
          <w:sz w:val="22"/>
          <w:szCs w:val="22"/>
        </w:rPr>
      </w:pPr>
      <w:r w:rsidRPr="00BD59DE">
        <w:rPr>
          <w:sz w:val="22"/>
          <w:szCs w:val="22"/>
        </w:rPr>
        <w:t xml:space="preserve"> </w:t>
      </w:r>
    </w:p>
    <w:p w:rsidR="00FC78C4" w:rsidP="00FC78C4" w:rsidRDefault="001F1352" w14:paraId="7769F987" w14:textId="60E56E73">
      <w:pPr>
        <w:ind w:left="360"/>
      </w:pPr>
      <w:r w:rsidRPr="001F1352">
        <w:rPr>
          <w:sz w:val="22"/>
        </w:rPr>
        <w:t xml:space="preserve">The Bureau’s notice was published in the Federal Register on </w:t>
      </w:r>
      <w:r>
        <w:rPr>
          <w:sz w:val="22"/>
        </w:rPr>
        <w:t>March 3</w:t>
      </w:r>
      <w:r w:rsidRPr="001F1352">
        <w:rPr>
          <w:sz w:val="22"/>
        </w:rPr>
        <w:t xml:space="preserve">, 2022, Volume 87, Page </w:t>
      </w:r>
      <w:r>
        <w:rPr>
          <w:sz w:val="22"/>
        </w:rPr>
        <w:t>12215</w:t>
      </w:r>
      <w:r w:rsidRPr="001F1352">
        <w:rPr>
          <w:sz w:val="22"/>
        </w:rPr>
        <w:t xml:space="preserve">.  </w:t>
      </w:r>
      <w:r w:rsidR="000D4E43">
        <w:rPr>
          <w:sz w:val="22"/>
        </w:rPr>
        <w:t>One c</w:t>
      </w:r>
      <w:r w:rsidRPr="008C7BAF" w:rsidR="00FC78C4">
        <w:rPr>
          <w:sz w:val="22"/>
        </w:rPr>
        <w:t xml:space="preserve">omment </w:t>
      </w:r>
      <w:r w:rsidR="000D4E43">
        <w:rPr>
          <w:sz w:val="22"/>
        </w:rPr>
        <w:t xml:space="preserve">was </w:t>
      </w:r>
      <w:r w:rsidRPr="008C7BAF" w:rsidR="00FC78C4">
        <w:rPr>
          <w:sz w:val="22"/>
        </w:rPr>
        <w:t>received</w:t>
      </w:r>
      <w:r w:rsidR="000D4E43">
        <w:t xml:space="preserve"> with suggestions that were shared with the program office.</w:t>
      </w:r>
    </w:p>
    <w:p w:rsidRPr="00BD59DE" w:rsidR="00BE5853" w:rsidRDefault="00BE5853" w14:paraId="3796974C" w14:textId="77777777">
      <w:pPr>
        <w:rPr>
          <w:sz w:val="22"/>
          <w:szCs w:val="22"/>
        </w:rPr>
      </w:pPr>
    </w:p>
    <w:p w:rsidRPr="00BD59DE" w:rsidR="00C10CAA" w:rsidP="00C10CAA" w:rsidRDefault="00C10CAA" w14:paraId="2736FDC7" w14:textId="77777777">
      <w:pPr>
        <w:rPr>
          <w:b/>
          <w:sz w:val="22"/>
          <w:szCs w:val="22"/>
        </w:rPr>
      </w:pPr>
      <w:r w:rsidRPr="00BD59DE">
        <w:rPr>
          <w:b/>
          <w:sz w:val="22"/>
          <w:szCs w:val="22"/>
        </w:rPr>
        <w:lastRenderedPageBreak/>
        <w:t xml:space="preserve">9.  Explain any decision to provide any payment or gift to respondents, other than </w:t>
      </w:r>
      <w:proofErr w:type="spellStart"/>
      <w:r w:rsidRPr="00BD59DE">
        <w:rPr>
          <w:b/>
          <w:sz w:val="22"/>
          <w:szCs w:val="22"/>
        </w:rPr>
        <w:t>reenumeration</w:t>
      </w:r>
      <w:proofErr w:type="spellEnd"/>
      <w:r w:rsidRPr="00BD59DE">
        <w:rPr>
          <w:b/>
          <w:sz w:val="22"/>
          <w:szCs w:val="22"/>
        </w:rPr>
        <w:t xml:space="preserve"> of contractors or grantees. </w:t>
      </w:r>
    </w:p>
    <w:p w:rsidRPr="00BD59DE" w:rsidR="00C10CAA" w:rsidRDefault="00C10CAA" w14:paraId="03B2737E" w14:textId="77777777">
      <w:pPr>
        <w:rPr>
          <w:sz w:val="22"/>
          <w:szCs w:val="22"/>
        </w:rPr>
      </w:pPr>
      <w:r w:rsidRPr="00BD59DE">
        <w:rPr>
          <w:sz w:val="22"/>
          <w:szCs w:val="22"/>
        </w:rPr>
        <w:t xml:space="preserve"> </w:t>
      </w:r>
    </w:p>
    <w:p w:rsidRPr="00BD59DE" w:rsidR="00366578" w:rsidP="001A6FFC" w:rsidRDefault="000D4E43" w14:paraId="70056517" w14:textId="1452C6F0">
      <w:pPr>
        <w:ind w:left="360"/>
        <w:rPr>
          <w:sz w:val="22"/>
          <w:szCs w:val="22"/>
        </w:rPr>
      </w:pPr>
      <w:r w:rsidRPr="000D4E43">
        <w:rPr>
          <w:sz w:val="22"/>
          <w:szCs w:val="22"/>
        </w:rPr>
        <w:t>There are no payments or gifts made to respondents.</w:t>
      </w:r>
    </w:p>
    <w:p w:rsidR="00C46436" w:rsidP="00C10CAA" w:rsidRDefault="00C46436" w14:paraId="1A0405AA" w14:textId="77777777">
      <w:pPr>
        <w:rPr>
          <w:sz w:val="22"/>
          <w:szCs w:val="22"/>
        </w:rPr>
      </w:pPr>
    </w:p>
    <w:p w:rsidRPr="00BD59DE" w:rsidR="00C10CAA" w:rsidP="00C10CAA" w:rsidRDefault="00C10CAA" w14:paraId="275A0A39" w14:textId="77777777">
      <w:pPr>
        <w:rPr>
          <w:b/>
          <w:sz w:val="22"/>
          <w:szCs w:val="22"/>
        </w:rPr>
      </w:pPr>
      <w:r w:rsidRPr="00BD59DE">
        <w:rPr>
          <w:b/>
          <w:sz w:val="22"/>
          <w:szCs w:val="22"/>
        </w:rPr>
        <w:t xml:space="preserve">10.  Describe any assurance of confidentiality provided to respondents and the basis for the assurance in statute, regulation, or agency policy. </w:t>
      </w:r>
    </w:p>
    <w:p w:rsidRPr="00BD59DE" w:rsidR="00C10CAA" w:rsidRDefault="00C10CAA" w14:paraId="444700C7" w14:textId="77777777">
      <w:pPr>
        <w:rPr>
          <w:sz w:val="22"/>
          <w:szCs w:val="22"/>
        </w:rPr>
      </w:pPr>
      <w:r w:rsidRPr="00BD59DE">
        <w:rPr>
          <w:sz w:val="22"/>
          <w:szCs w:val="22"/>
        </w:rPr>
        <w:t xml:space="preserve"> </w:t>
      </w:r>
    </w:p>
    <w:p w:rsidRPr="00FA3F00" w:rsidR="00FC78C4" w:rsidP="00FC78C4" w:rsidRDefault="00FC78C4" w14:paraId="72F5A47D" w14:textId="77777777">
      <w:pPr>
        <w:ind w:left="360"/>
        <w:rPr>
          <w:b/>
          <w:bCs/>
          <w:sz w:val="22"/>
        </w:rPr>
      </w:pPr>
      <w:r w:rsidRPr="00FA3F00">
        <w:rPr>
          <w:sz w:val="22"/>
        </w:rPr>
        <w:t>Aside from protections contained in the Privacy Act, there is no guarantee of confidentiality.</w:t>
      </w:r>
    </w:p>
    <w:p w:rsidRPr="00BD59DE" w:rsidR="00295DB1" w:rsidRDefault="00295DB1" w14:paraId="54B43337" w14:textId="77777777">
      <w:pPr>
        <w:rPr>
          <w:b/>
          <w:sz w:val="22"/>
          <w:szCs w:val="22"/>
        </w:rPr>
      </w:pPr>
    </w:p>
    <w:p w:rsidRPr="00BD59DE" w:rsidR="00C10CAA" w:rsidRDefault="00C10CAA" w14:paraId="201D9CB9" w14:textId="77777777">
      <w:pPr>
        <w:rPr>
          <w:sz w:val="22"/>
          <w:szCs w:val="22"/>
        </w:rPr>
      </w:pPr>
      <w:r w:rsidRPr="00BD59DE">
        <w:rPr>
          <w:b/>
          <w:sz w:val="22"/>
          <w:szCs w:val="22"/>
        </w:rPr>
        <w:t xml:space="preserve">11.  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 </w:t>
      </w:r>
    </w:p>
    <w:p w:rsidRPr="00BD59DE" w:rsidR="00C10CAA" w:rsidRDefault="00C10CAA" w14:paraId="2B123395" w14:textId="77777777">
      <w:pPr>
        <w:rPr>
          <w:sz w:val="22"/>
          <w:szCs w:val="22"/>
        </w:rPr>
      </w:pPr>
    </w:p>
    <w:p w:rsidR="00C10CAA" w:rsidP="00C10CAA" w:rsidRDefault="00AF14CF" w14:paraId="7451B4D1" w14:textId="77777777">
      <w:pPr>
        <w:ind w:left="360"/>
        <w:rPr>
          <w:sz w:val="22"/>
          <w:szCs w:val="22"/>
        </w:rPr>
      </w:pPr>
      <w:r w:rsidRPr="00BD59DE">
        <w:rPr>
          <w:sz w:val="22"/>
          <w:szCs w:val="22"/>
        </w:rPr>
        <w:t>There are no questions of a sensitive nature in the agreement.</w:t>
      </w:r>
      <w:r w:rsidR="00DE0CE3">
        <w:rPr>
          <w:sz w:val="22"/>
          <w:szCs w:val="22"/>
        </w:rPr>
        <w:t xml:space="preserve"> </w:t>
      </w:r>
    </w:p>
    <w:p w:rsidR="00464B31" w:rsidP="00C10CAA" w:rsidRDefault="00464B31" w14:paraId="7D92A005" w14:textId="77777777">
      <w:pPr>
        <w:ind w:left="360"/>
        <w:rPr>
          <w:sz w:val="22"/>
          <w:szCs w:val="22"/>
        </w:rPr>
      </w:pPr>
    </w:p>
    <w:p w:rsidR="00C70CD0" w:rsidP="00C70CD0" w:rsidRDefault="00C70CD0" w14:paraId="7D11E7CF" w14:textId="77777777">
      <w:pPr>
        <w:pStyle w:val="BodyText"/>
        <w:kinsoku w:val="0"/>
        <w:overflowPunct w:val="0"/>
        <w:spacing w:after="0" w:line="276" w:lineRule="auto"/>
        <w:ind w:left="360"/>
        <w:rPr>
          <w:sz w:val="22"/>
          <w:szCs w:val="22"/>
        </w:rPr>
      </w:pPr>
      <w:r>
        <w:rPr>
          <w:sz w:val="22"/>
          <w:szCs w:val="22"/>
        </w:rPr>
        <w:t xml:space="preserve">Applicable </w:t>
      </w:r>
      <w:r w:rsidRPr="00C70CD0" w:rsidR="00464B31">
        <w:rPr>
          <w:sz w:val="22"/>
          <w:szCs w:val="22"/>
        </w:rPr>
        <w:t>System of Records Notice</w:t>
      </w:r>
      <w:r>
        <w:rPr>
          <w:sz w:val="22"/>
          <w:szCs w:val="22"/>
        </w:rPr>
        <w:t>s:</w:t>
      </w:r>
      <w:r w:rsidRPr="00C70CD0" w:rsidR="00464B31">
        <w:rPr>
          <w:sz w:val="22"/>
          <w:szCs w:val="22"/>
        </w:rPr>
        <w:t xml:space="preserve"> </w:t>
      </w:r>
    </w:p>
    <w:p w:rsidR="00C70CD0" w:rsidP="00C70CD0" w:rsidRDefault="00C70CD0" w14:paraId="32F6E41D" w14:textId="77777777">
      <w:pPr>
        <w:pStyle w:val="BodyText"/>
        <w:kinsoku w:val="0"/>
        <w:overflowPunct w:val="0"/>
        <w:spacing w:after="0" w:line="276" w:lineRule="auto"/>
        <w:ind w:left="360"/>
        <w:rPr>
          <w:sz w:val="22"/>
          <w:szCs w:val="22"/>
        </w:rPr>
      </w:pPr>
      <w:r w:rsidRPr="00C70CD0">
        <w:rPr>
          <w:sz w:val="22"/>
          <w:szCs w:val="22"/>
        </w:rPr>
        <w:t xml:space="preserve">January </w:t>
      </w:r>
      <w:r>
        <w:rPr>
          <w:sz w:val="22"/>
          <w:szCs w:val="22"/>
        </w:rPr>
        <w:t>14, 2015:</w:t>
      </w:r>
      <w:r w:rsidRPr="00C70CD0" w:rsidR="00464B31">
        <w:rPr>
          <w:sz w:val="22"/>
          <w:szCs w:val="22"/>
        </w:rPr>
        <w:t xml:space="preserve"> System of Records Name</w:t>
      </w:r>
      <w:r w:rsidRPr="00C70CD0" w:rsidR="00F16593">
        <w:rPr>
          <w:sz w:val="22"/>
          <w:szCs w:val="22"/>
        </w:rPr>
        <w:t xml:space="preserve"> Treasury .015 - General Information Technology Access Account Records System of Records</w:t>
      </w:r>
      <w:r>
        <w:rPr>
          <w:sz w:val="22"/>
          <w:szCs w:val="22"/>
        </w:rPr>
        <w:t>,</w:t>
      </w:r>
      <w:r w:rsidRPr="00C70CD0" w:rsidR="00F16593">
        <w:rPr>
          <w:sz w:val="22"/>
          <w:szCs w:val="22"/>
        </w:rPr>
        <w:t xml:space="preserve"> and</w:t>
      </w:r>
    </w:p>
    <w:p w:rsidRPr="00C70CD0" w:rsidR="00F16593" w:rsidP="00660CDF" w:rsidRDefault="00660CDF" w14:paraId="449A0660" w14:textId="533884F0">
      <w:pPr>
        <w:pStyle w:val="BodyText"/>
        <w:kinsoku w:val="0"/>
        <w:overflowPunct w:val="0"/>
        <w:spacing w:line="276" w:lineRule="auto"/>
        <w:ind w:left="360"/>
        <w:rPr>
          <w:sz w:val="22"/>
          <w:szCs w:val="22"/>
        </w:rPr>
      </w:pPr>
      <w:r>
        <w:rPr>
          <w:sz w:val="22"/>
          <w:szCs w:val="22"/>
        </w:rPr>
        <w:t>February 27, 2020:</w:t>
      </w:r>
      <w:r w:rsidRPr="00C70CD0" w:rsidR="000804EB">
        <w:rPr>
          <w:sz w:val="22"/>
          <w:szCs w:val="22"/>
        </w:rPr>
        <w:t xml:space="preserve"> </w:t>
      </w:r>
      <w:r w:rsidRPr="00660CDF">
        <w:rPr>
          <w:sz w:val="22"/>
          <w:szCs w:val="22"/>
        </w:rPr>
        <w:t>Department of the Treasury, Bureau of</w:t>
      </w:r>
      <w:r>
        <w:rPr>
          <w:sz w:val="22"/>
          <w:szCs w:val="22"/>
        </w:rPr>
        <w:t xml:space="preserve"> </w:t>
      </w:r>
      <w:r w:rsidRPr="00660CDF">
        <w:rPr>
          <w:sz w:val="22"/>
          <w:szCs w:val="22"/>
        </w:rPr>
        <w:t>the Fiscal Service .013—Collections</w:t>
      </w:r>
      <w:r>
        <w:rPr>
          <w:sz w:val="22"/>
          <w:szCs w:val="22"/>
        </w:rPr>
        <w:t xml:space="preserve"> </w:t>
      </w:r>
      <w:r w:rsidRPr="00660CDF">
        <w:rPr>
          <w:sz w:val="22"/>
          <w:szCs w:val="22"/>
        </w:rPr>
        <w:t>Records.</w:t>
      </w:r>
    </w:p>
    <w:p w:rsidRPr="00C70CD0" w:rsidR="00464B31" w:rsidP="00C70CD0" w:rsidRDefault="00464B31" w14:paraId="63F3628C" w14:textId="77777777">
      <w:pPr>
        <w:spacing w:before="240"/>
        <w:ind w:left="360"/>
        <w:rPr>
          <w:sz w:val="22"/>
          <w:szCs w:val="22"/>
        </w:rPr>
      </w:pPr>
      <w:r w:rsidRPr="00C70CD0">
        <w:rPr>
          <w:sz w:val="22"/>
          <w:szCs w:val="22"/>
        </w:rPr>
        <w:t xml:space="preserve">The privacy impact assessment (PIA) conducted for this collection of information can be found at </w:t>
      </w:r>
    </w:p>
    <w:p w:rsidRPr="00BD59DE" w:rsidR="00DF361A" w:rsidP="00C10CAA" w:rsidRDefault="00DF361A" w14:paraId="0B186E41" w14:textId="77777777">
      <w:pPr>
        <w:ind w:left="360"/>
        <w:rPr>
          <w:sz w:val="22"/>
          <w:szCs w:val="22"/>
        </w:rPr>
      </w:pPr>
      <w:r w:rsidRPr="00DF361A">
        <w:rPr>
          <w:sz w:val="22"/>
          <w:szCs w:val="22"/>
        </w:rPr>
        <w:t>https://fiscal.treasury.gov/files/pia/TCMM-pia.pdf</w:t>
      </w:r>
    </w:p>
    <w:p w:rsidRPr="00BD59DE" w:rsidR="00F30364" w:rsidP="00C10CAA" w:rsidRDefault="00F30364" w14:paraId="434A5B7A" w14:textId="77777777">
      <w:pPr>
        <w:ind w:left="360"/>
        <w:rPr>
          <w:sz w:val="22"/>
          <w:szCs w:val="22"/>
        </w:rPr>
      </w:pPr>
    </w:p>
    <w:p w:rsidRPr="00BD59DE" w:rsidR="00C10CAA" w:rsidP="00C10CAA" w:rsidRDefault="00C10CAA" w14:paraId="16A42313" w14:textId="77777777">
      <w:pPr>
        <w:rPr>
          <w:b/>
          <w:sz w:val="22"/>
          <w:szCs w:val="22"/>
        </w:rPr>
      </w:pPr>
      <w:r w:rsidRPr="00BD59DE">
        <w:rPr>
          <w:b/>
          <w:sz w:val="22"/>
          <w:szCs w:val="22"/>
        </w:rPr>
        <w:t>12.  Provide estimates of the hour burden of the collection of information.  The statement should:  *indicate the number of respondents, frequency of response, annual hour burden; and an explanation of how the burden was estimated.</w:t>
      </w:r>
    </w:p>
    <w:p w:rsidRPr="00BD59DE" w:rsidR="00C10CAA" w:rsidRDefault="00C10CAA" w14:paraId="31E25BE1" w14:textId="77777777">
      <w:pPr>
        <w:rPr>
          <w:sz w:val="22"/>
          <w:szCs w:val="22"/>
        </w:rPr>
      </w:pPr>
    </w:p>
    <w:p w:rsidRPr="00BD59DE" w:rsidR="00AF14CF" w:rsidP="00AF14CF" w:rsidRDefault="00D45B85" w14:paraId="53EBA79F" w14:textId="77777777">
      <w:pPr>
        <w:ind w:left="360"/>
        <w:rPr>
          <w:sz w:val="22"/>
          <w:szCs w:val="22"/>
        </w:rPr>
      </w:pPr>
      <w:r w:rsidRPr="00BD59DE">
        <w:rPr>
          <w:sz w:val="22"/>
          <w:szCs w:val="22"/>
        </w:rPr>
        <w:t>Number of respondents:</w:t>
      </w:r>
      <w:r w:rsidRPr="00BD59DE">
        <w:rPr>
          <w:sz w:val="22"/>
          <w:szCs w:val="22"/>
        </w:rPr>
        <w:tab/>
      </w:r>
      <w:r w:rsidR="00BD59DE">
        <w:rPr>
          <w:sz w:val="22"/>
          <w:szCs w:val="22"/>
        </w:rPr>
        <w:tab/>
      </w:r>
      <w:r w:rsidRPr="00BD59DE">
        <w:rPr>
          <w:sz w:val="22"/>
          <w:szCs w:val="22"/>
        </w:rPr>
        <w:t>15 per year</w:t>
      </w:r>
    </w:p>
    <w:p w:rsidR="00D45B85" w:rsidP="00AF14CF" w:rsidRDefault="00D45B85" w14:paraId="128A5349" w14:textId="2246B6B0">
      <w:pPr>
        <w:ind w:left="360"/>
        <w:rPr>
          <w:sz w:val="22"/>
          <w:szCs w:val="22"/>
        </w:rPr>
      </w:pPr>
      <w:r w:rsidRPr="00BD59DE">
        <w:rPr>
          <w:sz w:val="22"/>
          <w:szCs w:val="22"/>
        </w:rPr>
        <w:t>Frequency of reports:</w:t>
      </w:r>
      <w:r w:rsidRPr="00BD59DE">
        <w:rPr>
          <w:sz w:val="22"/>
          <w:szCs w:val="22"/>
        </w:rPr>
        <w:tab/>
      </w:r>
      <w:r w:rsidRPr="00BD59DE">
        <w:rPr>
          <w:sz w:val="22"/>
          <w:szCs w:val="22"/>
        </w:rPr>
        <w:tab/>
        <w:t>once per financial institution</w:t>
      </w:r>
    </w:p>
    <w:p w:rsidRPr="00BD59DE" w:rsidR="00BC7137" w:rsidP="00AF14CF" w:rsidRDefault="00BC7137" w14:paraId="0DDB54EF" w14:textId="77777777">
      <w:pPr>
        <w:ind w:left="360"/>
        <w:rPr>
          <w:sz w:val="22"/>
          <w:szCs w:val="22"/>
        </w:rPr>
      </w:pPr>
    </w:p>
    <w:p w:rsidR="00895CD4" w:rsidP="00895CD4" w:rsidRDefault="00895CD4" w14:paraId="7234D405" w14:textId="77777777">
      <w:pPr>
        <w:pStyle w:val="ListParagraph"/>
        <w:keepNext/>
        <w:keepLines/>
        <w:widowControl w:val="0"/>
        <w:numPr>
          <w:ilvl w:val="2"/>
          <w:numId w:val="5"/>
        </w:numPr>
        <w:autoSpaceDE w:val="0"/>
        <w:autoSpaceDN w:val="0"/>
        <w:adjustRightInd w:val="0"/>
        <w:ind w:left="1170" w:hanging="630"/>
      </w:pPr>
      <w:r>
        <w:t>Estimate of Burden Hours.</w:t>
      </w:r>
    </w:p>
    <w:p w:rsidR="00895CD4" w:rsidP="00895CD4" w:rsidRDefault="00895CD4" w14:paraId="6FB6AF1C" w14:textId="77777777">
      <w:pPr>
        <w:autoSpaceDE w:val="0"/>
        <w:autoSpaceDN w:val="0"/>
        <w:adjustRightInd w:val="0"/>
        <w:ind w:left="360"/>
      </w:pPr>
    </w:p>
    <w:tbl>
      <w:tblPr>
        <w:tblW w:w="8190" w:type="dxa"/>
        <w:tblInd w:w="738" w:type="dxa"/>
        <w:tblLook w:val="04A0" w:firstRow="1" w:lastRow="0" w:firstColumn="1" w:lastColumn="0" w:noHBand="0" w:noVBand="1"/>
      </w:tblPr>
      <w:tblGrid>
        <w:gridCol w:w="997"/>
        <w:gridCol w:w="1523"/>
        <w:gridCol w:w="1843"/>
        <w:gridCol w:w="1270"/>
        <w:gridCol w:w="1370"/>
        <w:gridCol w:w="1187"/>
      </w:tblGrid>
      <w:tr w:rsidRPr="00875653" w:rsidR="00875653" w:rsidTr="00875653" w14:paraId="37AF1279" w14:textId="77777777">
        <w:trPr>
          <w:trHeight w:val="780"/>
        </w:trPr>
        <w:tc>
          <w:tcPr>
            <w:tcW w:w="997" w:type="dxa"/>
            <w:tcBorders>
              <w:top w:val="single" w:color="auto" w:sz="8" w:space="0"/>
              <w:left w:val="single" w:color="auto" w:sz="8" w:space="0"/>
              <w:bottom w:val="single" w:color="auto" w:sz="8" w:space="0"/>
              <w:right w:val="single" w:color="auto" w:sz="8" w:space="0"/>
            </w:tcBorders>
            <w:shd w:val="clear" w:color="auto" w:fill="auto"/>
            <w:vAlign w:val="center"/>
            <w:hideMark/>
          </w:tcPr>
          <w:p w:rsidRPr="00875653" w:rsidR="00895CD4" w:rsidP="00875653" w:rsidRDefault="00895CD4" w14:paraId="4E68C992" w14:textId="77777777">
            <w:pPr>
              <w:pStyle w:val="Heading1"/>
              <w:rPr>
                <w:rFonts w:ascii="Times New Roman" w:hAnsi="Times New Roman" w:cs="Times New Roman"/>
                <w:b/>
                <w:bCs/>
                <w:color w:val="auto"/>
                <w:sz w:val="24"/>
                <w:szCs w:val="24"/>
              </w:rPr>
            </w:pPr>
            <w:r w:rsidRPr="00875653">
              <w:rPr>
                <w:rFonts w:ascii="Times New Roman" w:hAnsi="Times New Roman" w:cs="Times New Roman"/>
                <w:b/>
                <w:bCs/>
                <w:color w:val="auto"/>
                <w:sz w:val="24"/>
                <w:szCs w:val="24"/>
              </w:rPr>
              <w:t>Form</w:t>
            </w:r>
          </w:p>
        </w:tc>
        <w:tc>
          <w:tcPr>
            <w:tcW w:w="1523" w:type="dxa"/>
            <w:tcBorders>
              <w:top w:val="single" w:color="auto" w:sz="8" w:space="0"/>
              <w:left w:val="nil"/>
              <w:bottom w:val="single" w:color="auto" w:sz="8" w:space="0"/>
              <w:right w:val="single" w:color="auto" w:sz="8" w:space="0"/>
            </w:tcBorders>
            <w:shd w:val="clear" w:color="auto" w:fill="auto"/>
            <w:vAlign w:val="center"/>
            <w:hideMark/>
          </w:tcPr>
          <w:p w:rsidRPr="00875653" w:rsidR="00895CD4" w:rsidP="00875653" w:rsidRDefault="00875653" w14:paraId="2509BE62" w14:textId="35E09350">
            <w:pPr>
              <w:pStyle w:val="Heading1"/>
              <w:rPr>
                <w:rFonts w:ascii="Times New Roman" w:hAnsi="Times New Roman" w:cs="Times New Roman"/>
                <w:b/>
                <w:bCs/>
                <w:color w:val="auto"/>
                <w:sz w:val="24"/>
                <w:szCs w:val="24"/>
              </w:rPr>
            </w:pPr>
            <w:r>
              <w:rPr>
                <w:rFonts w:ascii="Times New Roman" w:hAnsi="Times New Roman" w:cs="Times New Roman"/>
                <w:b/>
                <w:bCs/>
                <w:color w:val="auto"/>
                <w:sz w:val="24"/>
                <w:szCs w:val="24"/>
              </w:rPr>
              <w:t xml:space="preserve">Number of </w:t>
            </w:r>
            <w:r w:rsidRPr="00875653" w:rsidR="00895CD4">
              <w:rPr>
                <w:rFonts w:ascii="Times New Roman" w:hAnsi="Times New Roman" w:cs="Times New Roman"/>
                <w:b/>
                <w:bCs/>
                <w:color w:val="auto"/>
                <w:sz w:val="24"/>
                <w:szCs w:val="24"/>
              </w:rPr>
              <w:t>Respondents</w:t>
            </w:r>
          </w:p>
        </w:tc>
        <w:tc>
          <w:tcPr>
            <w:tcW w:w="1843" w:type="dxa"/>
            <w:tcBorders>
              <w:top w:val="single" w:color="auto" w:sz="8" w:space="0"/>
              <w:left w:val="nil"/>
              <w:bottom w:val="single" w:color="auto" w:sz="8" w:space="0"/>
              <w:right w:val="single" w:color="auto" w:sz="8" w:space="0"/>
            </w:tcBorders>
            <w:shd w:val="clear" w:color="auto" w:fill="auto"/>
            <w:vAlign w:val="center"/>
            <w:hideMark/>
          </w:tcPr>
          <w:p w:rsidRPr="00875653" w:rsidR="00895CD4" w:rsidP="00875653" w:rsidRDefault="00895CD4" w14:paraId="01D96F00" w14:textId="77777777">
            <w:pPr>
              <w:pStyle w:val="Heading1"/>
              <w:rPr>
                <w:rFonts w:ascii="Times New Roman" w:hAnsi="Times New Roman" w:cs="Times New Roman"/>
                <w:b/>
                <w:bCs/>
                <w:color w:val="auto"/>
                <w:sz w:val="24"/>
                <w:szCs w:val="24"/>
              </w:rPr>
            </w:pPr>
            <w:r w:rsidRPr="00875653">
              <w:rPr>
                <w:rFonts w:ascii="Times New Roman" w:hAnsi="Times New Roman" w:cs="Times New Roman"/>
                <w:b/>
                <w:bCs/>
                <w:color w:val="auto"/>
                <w:sz w:val="24"/>
                <w:szCs w:val="24"/>
              </w:rPr>
              <w:t>Responses per Respondent</w:t>
            </w:r>
          </w:p>
        </w:tc>
        <w:tc>
          <w:tcPr>
            <w:tcW w:w="1270" w:type="dxa"/>
            <w:tcBorders>
              <w:top w:val="single" w:color="auto" w:sz="8" w:space="0"/>
              <w:left w:val="nil"/>
              <w:bottom w:val="single" w:color="auto" w:sz="8" w:space="0"/>
              <w:right w:val="single" w:color="auto" w:sz="8" w:space="0"/>
            </w:tcBorders>
            <w:shd w:val="clear" w:color="auto" w:fill="auto"/>
            <w:vAlign w:val="center"/>
            <w:hideMark/>
          </w:tcPr>
          <w:p w:rsidRPr="00875653" w:rsidR="00895CD4" w:rsidP="00875653" w:rsidRDefault="00895CD4" w14:paraId="0D840BB9" w14:textId="77777777">
            <w:pPr>
              <w:pStyle w:val="Heading1"/>
              <w:rPr>
                <w:rFonts w:ascii="Times New Roman" w:hAnsi="Times New Roman" w:cs="Times New Roman"/>
                <w:b/>
                <w:bCs/>
                <w:color w:val="auto"/>
                <w:sz w:val="24"/>
                <w:szCs w:val="24"/>
              </w:rPr>
            </w:pPr>
            <w:r w:rsidRPr="00875653">
              <w:rPr>
                <w:rFonts w:ascii="Times New Roman" w:hAnsi="Times New Roman" w:cs="Times New Roman"/>
                <w:b/>
                <w:bCs/>
                <w:color w:val="auto"/>
                <w:sz w:val="24"/>
                <w:szCs w:val="24"/>
              </w:rPr>
              <w:t>Annual Responses</w:t>
            </w:r>
          </w:p>
        </w:tc>
        <w:tc>
          <w:tcPr>
            <w:tcW w:w="1370" w:type="dxa"/>
            <w:tcBorders>
              <w:top w:val="single" w:color="auto" w:sz="8" w:space="0"/>
              <w:left w:val="nil"/>
              <w:bottom w:val="single" w:color="auto" w:sz="8" w:space="0"/>
              <w:right w:val="single" w:color="auto" w:sz="8" w:space="0"/>
            </w:tcBorders>
            <w:shd w:val="clear" w:color="auto" w:fill="auto"/>
            <w:vAlign w:val="center"/>
            <w:hideMark/>
          </w:tcPr>
          <w:p w:rsidRPr="00875653" w:rsidR="00895CD4" w:rsidP="00875653" w:rsidRDefault="00895CD4" w14:paraId="1DC27EF2" w14:textId="77777777">
            <w:pPr>
              <w:pStyle w:val="Heading1"/>
              <w:rPr>
                <w:rFonts w:ascii="Times New Roman" w:hAnsi="Times New Roman" w:cs="Times New Roman"/>
                <w:b/>
                <w:bCs/>
                <w:color w:val="auto"/>
                <w:sz w:val="24"/>
                <w:szCs w:val="24"/>
              </w:rPr>
            </w:pPr>
            <w:r w:rsidRPr="00875653">
              <w:rPr>
                <w:rFonts w:ascii="Times New Roman" w:hAnsi="Times New Roman" w:cs="Times New Roman"/>
                <w:b/>
                <w:bCs/>
                <w:color w:val="auto"/>
                <w:sz w:val="24"/>
                <w:szCs w:val="24"/>
              </w:rPr>
              <w:t>Time per Response</w:t>
            </w:r>
          </w:p>
        </w:tc>
        <w:tc>
          <w:tcPr>
            <w:tcW w:w="1187" w:type="dxa"/>
            <w:tcBorders>
              <w:top w:val="single" w:color="auto" w:sz="8" w:space="0"/>
              <w:left w:val="nil"/>
              <w:bottom w:val="single" w:color="auto" w:sz="8" w:space="0"/>
              <w:right w:val="single" w:color="auto" w:sz="8" w:space="0"/>
            </w:tcBorders>
            <w:shd w:val="clear" w:color="auto" w:fill="auto"/>
            <w:vAlign w:val="center"/>
            <w:hideMark/>
          </w:tcPr>
          <w:p w:rsidRPr="00875653" w:rsidR="00895CD4" w:rsidP="00875653" w:rsidRDefault="00895CD4" w14:paraId="498CC003" w14:textId="0F614A2C">
            <w:pPr>
              <w:pStyle w:val="Heading1"/>
              <w:rPr>
                <w:rFonts w:ascii="Times New Roman" w:hAnsi="Times New Roman" w:cs="Times New Roman"/>
                <w:b/>
                <w:bCs/>
                <w:color w:val="auto"/>
                <w:sz w:val="24"/>
                <w:szCs w:val="24"/>
              </w:rPr>
            </w:pPr>
            <w:r w:rsidRPr="00875653">
              <w:rPr>
                <w:rFonts w:ascii="Times New Roman" w:hAnsi="Times New Roman" w:cs="Times New Roman"/>
                <w:b/>
                <w:bCs/>
                <w:color w:val="auto"/>
                <w:sz w:val="24"/>
                <w:szCs w:val="24"/>
              </w:rPr>
              <w:t>Total Burden</w:t>
            </w:r>
            <w:r w:rsidRPr="00875653" w:rsidR="00875653">
              <w:rPr>
                <w:rFonts w:ascii="Times New Roman" w:hAnsi="Times New Roman" w:cs="Times New Roman"/>
                <w:b/>
                <w:bCs/>
                <w:color w:val="auto"/>
                <w:sz w:val="24"/>
                <w:szCs w:val="24"/>
              </w:rPr>
              <w:t xml:space="preserve"> Hours</w:t>
            </w:r>
          </w:p>
        </w:tc>
      </w:tr>
      <w:tr w:rsidR="00875653" w:rsidTr="00875653" w14:paraId="2CB0B589" w14:textId="77777777">
        <w:trPr>
          <w:trHeight w:val="315"/>
        </w:trPr>
        <w:tc>
          <w:tcPr>
            <w:tcW w:w="997" w:type="dxa"/>
            <w:tcBorders>
              <w:top w:val="nil"/>
              <w:left w:val="single" w:color="auto" w:sz="8" w:space="0"/>
              <w:bottom w:val="single" w:color="auto" w:sz="4" w:space="0"/>
              <w:right w:val="single" w:color="auto" w:sz="8" w:space="0"/>
            </w:tcBorders>
            <w:shd w:val="clear" w:color="auto" w:fill="auto"/>
            <w:vAlign w:val="center"/>
            <w:hideMark/>
          </w:tcPr>
          <w:p w:rsidRPr="00932422" w:rsidR="00895CD4" w:rsidP="00D810A6" w:rsidRDefault="00895CD4" w14:paraId="52648E90" w14:textId="0348412F">
            <w:pPr>
              <w:jc w:val="right"/>
              <w:rPr>
                <w:rFonts w:ascii="Arial" w:hAnsi="Arial" w:cs="Arial"/>
              </w:rPr>
            </w:pPr>
            <w:r>
              <w:rPr>
                <w:rFonts w:ascii="Arial" w:hAnsi="Arial" w:cs="Arial"/>
              </w:rPr>
              <w:t>FS Form 5902</w:t>
            </w:r>
          </w:p>
        </w:tc>
        <w:tc>
          <w:tcPr>
            <w:tcW w:w="1523" w:type="dxa"/>
            <w:tcBorders>
              <w:top w:val="nil"/>
              <w:left w:val="nil"/>
              <w:bottom w:val="single" w:color="auto" w:sz="4" w:space="0"/>
              <w:right w:val="single" w:color="auto" w:sz="8" w:space="0"/>
            </w:tcBorders>
            <w:shd w:val="clear" w:color="auto" w:fill="auto"/>
            <w:vAlign w:val="center"/>
            <w:hideMark/>
          </w:tcPr>
          <w:p w:rsidRPr="00932422" w:rsidR="00895CD4" w:rsidP="00D810A6" w:rsidRDefault="00895CD4" w14:paraId="76BE05A6" w14:textId="0E840046">
            <w:pPr>
              <w:jc w:val="right"/>
              <w:rPr>
                <w:rFonts w:ascii="Arial" w:hAnsi="Arial" w:cs="Arial"/>
              </w:rPr>
            </w:pPr>
            <w:r>
              <w:rPr>
                <w:rFonts w:ascii="Arial" w:hAnsi="Arial" w:cs="Arial"/>
              </w:rPr>
              <w:t>15</w:t>
            </w:r>
          </w:p>
        </w:tc>
        <w:tc>
          <w:tcPr>
            <w:tcW w:w="1843" w:type="dxa"/>
            <w:tcBorders>
              <w:top w:val="nil"/>
              <w:left w:val="nil"/>
              <w:bottom w:val="single" w:color="auto" w:sz="4" w:space="0"/>
              <w:right w:val="single" w:color="auto" w:sz="8" w:space="0"/>
            </w:tcBorders>
            <w:shd w:val="clear" w:color="auto" w:fill="auto"/>
            <w:vAlign w:val="center"/>
            <w:hideMark/>
          </w:tcPr>
          <w:p w:rsidRPr="00932422" w:rsidR="00895CD4" w:rsidP="00D810A6" w:rsidRDefault="00895CD4" w14:paraId="72EB9B40" w14:textId="77777777">
            <w:pPr>
              <w:jc w:val="center"/>
              <w:rPr>
                <w:rFonts w:ascii="Arial" w:hAnsi="Arial" w:cs="Arial"/>
              </w:rPr>
            </w:pPr>
            <w:r w:rsidRPr="00932422">
              <w:rPr>
                <w:rFonts w:ascii="Arial" w:hAnsi="Arial" w:cs="Arial"/>
              </w:rPr>
              <w:t>1</w:t>
            </w:r>
          </w:p>
        </w:tc>
        <w:tc>
          <w:tcPr>
            <w:tcW w:w="1270" w:type="dxa"/>
            <w:tcBorders>
              <w:top w:val="nil"/>
              <w:left w:val="nil"/>
              <w:bottom w:val="single" w:color="auto" w:sz="4" w:space="0"/>
              <w:right w:val="single" w:color="auto" w:sz="8" w:space="0"/>
            </w:tcBorders>
            <w:shd w:val="clear" w:color="auto" w:fill="auto"/>
            <w:vAlign w:val="center"/>
            <w:hideMark/>
          </w:tcPr>
          <w:p w:rsidRPr="00932422" w:rsidR="00895CD4" w:rsidP="00D810A6" w:rsidRDefault="00895CD4" w14:paraId="53AFE075" w14:textId="3DB08255">
            <w:pPr>
              <w:jc w:val="right"/>
              <w:rPr>
                <w:rFonts w:ascii="Arial" w:hAnsi="Arial" w:cs="Arial"/>
              </w:rPr>
            </w:pPr>
            <w:r>
              <w:rPr>
                <w:rFonts w:ascii="Arial" w:hAnsi="Arial" w:cs="Arial"/>
              </w:rPr>
              <w:t>1</w:t>
            </w:r>
          </w:p>
        </w:tc>
        <w:tc>
          <w:tcPr>
            <w:tcW w:w="1370" w:type="dxa"/>
            <w:tcBorders>
              <w:top w:val="nil"/>
              <w:left w:val="nil"/>
              <w:bottom w:val="single" w:color="auto" w:sz="4" w:space="0"/>
              <w:right w:val="single" w:color="auto" w:sz="8" w:space="0"/>
            </w:tcBorders>
            <w:shd w:val="clear" w:color="auto" w:fill="auto"/>
            <w:vAlign w:val="center"/>
            <w:hideMark/>
          </w:tcPr>
          <w:p w:rsidRPr="00932422" w:rsidR="00895CD4" w:rsidP="00D810A6" w:rsidRDefault="00895CD4" w14:paraId="1D42CC3C" w14:textId="3784D01F">
            <w:pPr>
              <w:jc w:val="right"/>
              <w:rPr>
                <w:rFonts w:ascii="Arial" w:hAnsi="Arial" w:cs="Arial"/>
              </w:rPr>
            </w:pPr>
            <w:r>
              <w:rPr>
                <w:rFonts w:ascii="Arial" w:hAnsi="Arial" w:cs="Arial"/>
              </w:rPr>
              <w:t>0.25</w:t>
            </w:r>
          </w:p>
        </w:tc>
        <w:tc>
          <w:tcPr>
            <w:tcW w:w="1187" w:type="dxa"/>
            <w:tcBorders>
              <w:top w:val="nil"/>
              <w:left w:val="nil"/>
              <w:bottom w:val="single" w:color="auto" w:sz="4" w:space="0"/>
              <w:right w:val="single" w:color="auto" w:sz="8" w:space="0"/>
            </w:tcBorders>
            <w:shd w:val="clear" w:color="auto" w:fill="auto"/>
            <w:vAlign w:val="center"/>
            <w:hideMark/>
          </w:tcPr>
          <w:p w:rsidRPr="00932422" w:rsidR="00895CD4" w:rsidP="00D810A6" w:rsidRDefault="00895CD4" w14:paraId="26A1EA92" w14:textId="0CBCA1FE">
            <w:pPr>
              <w:jc w:val="right"/>
              <w:rPr>
                <w:rFonts w:ascii="Arial" w:hAnsi="Arial" w:cs="Arial"/>
              </w:rPr>
            </w:pPr>
            <w:r>
              <w:rPr>
                <w:rFonts w:ascii="Arial" w:hAnsi="Arial" w:cs="Arial"/>
              </w:rPr>
              <w:t>3.75</w:t>
            </w:r>
          </w:p>
        </w:tc>
      </w:tr>
      <w:tr w:rsidR="00875653" w:rsidTr="00875653" w14:paraId="5EA09C1C" w14:textId="77777777">
        <w:trPr>
          <w:trHeight w:val="315"/>
        </w:trPr>
        <w:tc>
          <w:tcPr>
            <w:tcW w:w="997" w:type="dxa"/>
            <w:tcBorders>
              <w:top w:val="nil"/>
              <w:left w:val="single" w:color="auto" w:sz="8" w:space="0"/>
              <w:bottom w:val="single" w:color="auto" w:sz="4" w:space="0"/>
              <w:right w:val="single" w:color="auto" w:sz="8" w:space="0"/>
            </w:tcBorders>
            <w:shd w:val="clear" w:color="auto" w:fill="auto"/>
            <w:vAlign w:val="center"/>
          </w:tcPr>
          <w:p w:rsidR="00875653" w:rsidP="00875653" w:rsidRDefault="00875653" w14:paraId="64AB6C55" w14:textId="5EF861D7">
            <w:pPr>
              <w:jc w:val="right"/>
              <w:rPr>
                <w:rFonts w:ascii="Arial" w:hAnsi="Arial" w:cs="Arial"/>
              </w:rPr>
            </w:pPr>
            <w:r>
              <w:rPr>
                <w:rFonts w:ascii="Arial" w:hAnsi="Arial" w:cs="Arial"/>
              </w:rPr>
              <w:t>FS Form 5903</w:t>
            </w:r>
          </w:p>
        </w:tc>
        <w:tc>
          <w:tcPr>
            <w:tcW w:w="1523" w:type="dxa"/>
            <w:tcBorders>
              <w:top w:val="nil"/>
              <w:left w:val="nil"/>
              <w:bottom w:val="single" w:color="auto" w:sz="4" w:space="0"/>
              <w:right w:val="single" w:color="auto" w:sz="8" w:space="0"/>
            </w:tcBorders>
            <w:shd w:val="clear" w:color="auto" w:fill="auto"/>
            <w:vAlign w:val="center"/>
          </w:tcPr>
          <w:p w:rsidR="00875653" w:rsidP="00875653" w:rsidRDefault="00875653" w14:paraId="1F67EF91" w14:textId="72E35FE8">
            <w:pPr>
              <w:jc w:val="right"/>
              <w:rPr>
                <w:rFonts w:ascii="Arial" w:hAnsi="Arial" w:cs="Arial"/>
              </w:rPr>
            </w:pPr>
            <w:r>
              <w:rPr>
                <w:rFonts w:ascii="Arial" w:hAnsi="Arial" w:cs="Arial"/>
              </w:rPr>
              <w:t>15</w:t>
            </w:r>
          </w:p>
        </w:tc>
        <w:tc>
          <w:tcPr>
            <w:tcW w:w="1843" w:type="dxa"/>
            <w:tcBorders>
              <w:top w:val="nil"/>
              <w:left w:val="nil"/>
              <w:bottom w:val="single" w:color="auto" w:sz="4" w:space="0"/>
              <w:right w:val="single" w:color="auto" w:sz="8" w:space="0"/>
            </w:tcBorders>
            <w:shd w:val="clear" w:color="auto" w:fill="auto"/>
            <w:vAlign w:val="center"/>
          </w:tcPr>
          <w:p w:rsidRPr="00932422" w:rsidR="00875653" w:rsidP="00875653" w:rsidRDefault="00875653" w14:paraId="715E5CB9" w14:textId="17E32DA3">
            <w:pPr>
              <w:jc w:val="center"/>
              <w:rPr>
                <w:rFonts w:ascii="Arial" w:hAnsi="Arial" w:cs="Arial"/>
              </w:rPr>
            </w:pPr>
            <w:r w:rsidRPr="00932422">
              <w:rPr>
                <w:rFonts w:ascii="Arial" w:hAnsi="Arial" w:cs="Arial"/>
              </w:rPr>
              <w:t>1</w:t>
            </w:r>
          </w:p>
        </w:tc>
        <w:tc>
          <w:tcPr>
            <w:tcW w:w="1270" w:type="dxa"/>
            <w:tcBorders>
              <w:top w:val="nil"/>
              <w:left w:val="nil"/>
              <w:bottom w:val="single" w:color="auto" w:sz="4" w:space="0"/>
              <w:right w:val="single" w:color="auto" w:sz="8" w:space="0"/>
            </w:tcBorders>
            <w:shd w:val="clear" w:color="auto" w:fill="auto"/>
            <w:vAlign w:val="center"/>
          </w:tcPr>
          <w:p w:rsidR="00875653" w:rsidP="00875653" w:rsidRDefault="00875653" w14:paraId="4C18173F" w14:textId="015A956B">
            <w:pPr>
              <w:jc w:val="right"/>
              <w:rPr>
                <w:rFonts w:ascii="Arial" w:hAnsi="Arial" w:cs="Arial"/>
              </w:rPr>
            </w:pPr>
            <w:r>
              <w:rPr>
                <w:rFonts w:ascii="Arial" w:hAnsi="Arial" w:cs="Arial"/>
              </w:rPr>
              <w:t>1</w:t>
            </w:r>
          </w:p>
        </w:tc>
        <w:tc>
          <w:tcPr>
            <w:tcW w:w="1370" w:type="dxa"/>
            <w:tcBorders>
              <w:top w:val="nil"/>
              <w:left w:val="nil"/>
              <w:bottom w:val="single" w:color="auto" w:sz="4" w:space="0"/>
              <w:right w:val="single" w:color="auto" w:sz="8" w:space="0"/>
            </w:tcBorders>
            <w:shd w:val="clear" w:color="auto" w:fill="auto"/>
            <w:vAlign w:val="center"/>
          </w:tcPr>
          <w:p w:rsidR="00875653" w:rsidP="00875653" w:rsidRDefault="00875653" w14:paraId="5340B768" w14:textId="0B22DD20">
            <w:pPr>
              <w:jc w:val="right"/>
              <w:rPr>
                <w:rFonts w:ascii="Arial" w:hAnsi="Arial" w:cs="Arial"/>
              </w:rPr>
            </w:pPr>
            <w:r>
              <w:rPr>
                <w:rFonts w:ascii="Arial" w:hAnsi="Arial" w:cs="Arial"/>
              </w:rPr>
              <w:t>0.25</w:t>
            </w:r>
          </w:p>
        </w:tc>
        <w:tc>
          <w:tcPr>
            <w:tcW w:w="1187" w:type="dxa"/>
            <w:tcBorders>
              <w:top w:val="nil"/>
              <w:left w:val="nil"/>
              <w:bottom w:val="single" w:color="auto" w:sz="4" w:space="0"/>
              <w:right w:val="single" w:color="auto" w:sz="8" w:space="0"/>
            </w:tcBorders>
            <w:shd w:val="clear" w:color="auto" w:fill="auto"/>
            <w:vAlign w:val="center"/>
          </w:tcPr>
          <w:p w:rsidR="00875653" w:rsidP="00875653" w:rsidRDefault="00875653" w14:paraId="74C903B8" w14:textId="5389D164">
            <w:pPr>
              <w:jc w:val="right"/>
              <w:rPr>
                <w:rFonts w:ascii="Arial" w:hAnsi="Arial" w:cs="Arial"/>
              </w:rPr>
            </w:pPr>
            <w:r>
              <w:rPr>
                <w:rFonts w:ascii="Arial" w:hAnsi="Arial" w:cs="Arial"/>
              </w:rPr>
              <w:t>3.75</w:t>
            </w:r>
          </w:p>
        </w:tc>
      </w:tr>
      <w:tr w:rsidR="00875653" w:rsidTr="00875653" w14:paraId="0E4FA8A7" w14:textId="77777777">
        <w:trPr>
          <w:trHeight w:val="315"/>
        </w:trPr>
        <w:tc>
          <w:tcPr>
            <w:tcW w:w="997" w:type="dxa"/>
            <w:tcBorders>
              <w:top w:val="single" w:color="auto" w:sz="4" w:space="0"/>
              <w:left w:val="single" w:color="auto" w:sz="4" w:space="0"/>
              <w:bottom w:val="single" w:color="auto" w:sz="4" w:space="0"/>
              <w:right w:val="single" w:color="auto" w:sz="4" w:space="0"/>
            </w:tcBorders>
            <w:shd w:val="clear" w:color="auto" w:fill="auto"/>
            <w:vAlign w:val="center"/>
          </w:tcPr>
          <w:p w:rsidR="00875653" w:rsidP="00875653" w:rsidRDefault="00875653" w14:paraId="77924B22" w14:textId="678468C0">
            <w:pPr>
              <w:jc w:val="right"/>
              <w:rPr>
                <w:rFonts w:ascii="Arial" w:hAnsi="Arial" w:cs="Arial"/>
              </w:rPr>
            </w:pPr>
            <w:r>
              <w:rPr>
                <w:rFonts w:ascii="Arial" w:hAnsi="Arial" w:cs="Arial"/>
              </w:rPr>
              <w:t>Total:</w:t>
            </w:r>
          </w:p>
        </w:tc>
        <w:tc>
          <w:tcPr>
            <w:tcW w:w="1523" w:type="dxa"/>
            <w:tcBorders>
              <w:top w:val="single" w:color="auto" w:sz="4" w:space="0"/>
              <w:left w:val="single" w:color="auto" w:sz="4" w:space="0"/>
              <w:bottom w:val="single" w:color="auto" w:sz="4" w:space="0"/>
              <w:right w:val="single" w:color="auto" w:sz="4" w:space="0"/>
            </w:tcBorders>
            <w:shd w:val="clear" w:color="auto" w:fill="auto"/>
            <w:vAlign w:val="center"/>
          </w:tcPr>
          <w:p w:rsidR="00875653" w:rsidP="00875653" w:rsidRDefault="00875653" w14:paraId="425957B4" w14:textId="66D02EF9">
            <w:pPr>
              <w:jc w:val="right"/>
              <w:rPr>
                <w:rFonts w:ascii="Arial" w:hAnsi="Arial" w:cs="Arial"/>
              </w:rPr>
            </w:pPr>
            <w:r>
              <w:rPr>
                <w:rFonts w:ascii="Arial" w:hAnsi="Arial" w:cs="Arial"/>
              </w:rPr>
              <w:t>15</w:t>
            </w:r>
          </w:p>
        </w:tc>
        <w:tc>
          <w:tcPr>
            <w:tcW w:w="1843" w:type="dxa"/>
            <w:tcBorders>
              <w:top w:val="single" w:color="auto" w:sz="4" w:space="0"/>
              <w:left w:val="single" w:color="auto" w:sz="4" w:space="0"/>
              <w:bottom w:val="single" w:color="auto" w:sz="4" w:space="0"/>
              <w:right w:val="single" w:color="auto" w:sz="4" w:space="0"/>
            </w:tcBorders>
            <w:shd w:val="clear" w:color="auto" w:fill="auto"/>
            <w:vAlign w:val="center"/>
          </w:tcPr>
          <w:p w:rsidRPr="00932422" w:rsidR="00875653" w:rsidP="00875653" w:rsidRDefault="00875653" w14:paraId="78867412" w14:textId="47DCB0AA">
            <w:pPr>
              <w:jc w:val="center"/>
              <w:rPr>
                <w:rFonts w:ascii="Arial" w:hAnsi="Arial" w:cs="Arial"/>
              </w:rPr>
            </w:pPr>
            <w:r>
              <w:rPr>
                <w:rFonts w:ascii="Arial" w:hAnsi="Arial" w:cs="Arial"/>
              </w:rPr>
              <w:t>2</w:t>
            </w:r>
          </w:p>
        </w:tc>
        <w:tc>
          <w:tcPr>
            <w:tcW w:w="1270" w:type="dxa"/>
            <w:tcBorders>
              <w:top w:val="single" w:color="auto" w:sz="4" w:space="0"/>
              <w:left w:val="single" w:color="auto" w:sz="4" w:space="0"/>
              <w:bottom w:val="single" w:color="auto" w:sz="4" w:space="0"/>
              <w:right w:val="single" w:color="auto" w:sz="4" w:space="0"/>
            </w:tcBorders>
            <w:shd w:val="clear" w:color="auto" w:fill="auto"/>
            <w:vAlign w:val="center"/>
          </w:tcPr>
          <w:p w:rsidR="00875653" w:rsidP="00875653" w:rsidRDefault="00875653" w14:paraId="591FD504" w14:textId="78723834">
            <w:pPr>
              <w:jc w:val="right"/>
              <w:rPr>
                <w:rFonts w:ascii="Arial" w:hAnsi="Arial" w:cs="Arial"/>
              </w:rPr>
            </w:pPr>
            <w:r>
              <w:rPr>
                <w:rFonts w:ascii="Arial" w:hAnsi="Arial" w:cs="Arial"/>
              </w:rPr>
              <w:t>2</w:t>
            </w:r>
          </w:p>
        </w:tc>
        <w:tc>
          <w:tcPr>
            <w:tcW w:w="1370" w:type="dxa"/>
            <w:tcBorders>
              <w:top w:val="single" w:color="auto" w:sz="4" w:space="0"/>
              <w:left w:val="single" w:color="auto" w:sz="4" w:space="0"/>
              <w:bottom w:val="single" w:color="auto" w:sz="4" w:space="0"/>
              <w:right w:val="single" w:color="auto" w:sz="4" w:space="0"/>
            </w:tcBorders>
            <w:shd w:val="clear" w:color="auto" w:fill="auto"/>
            <w:vAlign w:val="center"/>
          </w:tcPr>
          <w:p w:rsidR="00875653" w:rsidP="00875653" w:rsidRDefault="00875653" w14:paraId="353BEBAC" w14:textId="1D226EB0">
            <w:pPr>
              <w:jc w:val="right"/>
              <w:rPr>
                <w:rFonts w:ascii="Arial" w:hAnsi="Arial" w:cs="Arial"/>
              </w:rPr>
            </w:pPr>
            <w:r>
              <w:rPr>
                <w:rFonts w:ascii="Arial" w:hAnsi="Arial" w:cs="Arial"/>
              </w:rPr>
              <w:t>0.50</w:t>
            </w:r>
          </w:p>
        </w:tc>
        <w:tc>
          <w:tcPr>
            <w:tcW w:w="1187" w:type="dxa"/>
            <w:tcBorders>
              <w:top w:val="single" w:color="auto" w:sz="4" w:space="0"/>
              <w:left w:val="single" w:color="auto" w:sz="4" w:space="0"/>
              <w:bottom w:val="single" w:color="auto" w:sz="4" w:space="0"/>
              <w:right w:val="single" w:color="auto" w:sz="4" w:space="0"/>
            </w:tcBorders>
            <w:shd w:val="clear" w:color="auto" w:fill="auto"/>
            <w:vAlign w:val="center"/>
          </w:tcPr>
          <w:p w:rsidR="00875653" w:rsidP="00875653" w:rsidRDefault="00875653" w14:paraId="56CCEA91" w14:textId="5954B430">
            <w:pPr>
              <w:jc w:val="right"/>
              <w:rPr>
                <w:rFonts w:ascii="Arial" w:hAnsi="Arial" w:cs="Arial"/>
              </w:rPr>
            </w:pPr>
            <w:r>
              <w:rPr>
                <w:rFonts w:ascii="Arial" w:hAnsi="Arial" w:cs="Arial"/>
              </w:rPr>
              <w:t>7.5</w:t>
            </w:r>
          </w:p>
        </w:tc>
      </w:tr>
    </w:tbl>
    <w:p w:rsidR="00895CD4" w:rsidP="00895CD4" w:rsidRDefault="00895CD4" w14:paraId="12312216" w14:textId="77777777">
      <w:pPr>
        <w:pStyle w:val="ListParagraph"/>
        <w:keepNext/>
        <w:keepLines/>
        <w:widowControl w:val="0"/>
        <w:numPr>
          <w:ilvl w:val="2"/>
          <w:numId w:val="5"/>
        </w:numPr>
        <w:tabs>
          <w:tab w:val="num" w:pos="1440"/>
        </w:tabs>
        <w:autoSpaceDE w:val="0"/>
        <w:autoSpaceDN w:val="0"/>
        <w:adjustRightInd w:val="0"/>
        <w:ind w:hanging="7470"/>
      </w:pPr>
      <w:r>
        <w:lastRenderedPageBreak/>
        <w:t>Estimate of Annual Respondent Cost.</w:t>
      </w:r>
    </w:p>
    <w:p w:rsidR="00895CD4" w:rsidP="00895CD4" w:rsidRDefault="00895CD4" w14:paraId="01F56D41" w14:textId="77777777">
      <w:pPr>
        <w:pStyle w:val="ListParagraph"/>
        <w:keepNext/>
        <w:keepLines/>
        <w:ind w:left="360"/>
      </w:pPr>
    </w:p>
    <w:tbl>
      <w:tblPr>
        <w:tblW w:w="9327" w:type="dxa"/>
        <w:tblInd w:w="62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1E0" w:firstRow="1" w:lastRow="1" w:firstColumn="1" w:lastColumn="1" w:noHBand="0" w:noVBand="0"/>
      </w:tblPr>
      <w:tblGrid>
        <w:gridCol w:w="1013"/>
        <w:gridCol w:w="1440"/>
        <w:gridCol w:w="1455"/>
        <w:gridCol w:w="1777"/>
        <w:gridCol w:w="1155"/>
        <w:gridCol w:w="1066"/>
        <w:gridCol w:w="1421"/>
      </w:tblGrid>
      <w:tr w:rsidRPr="00EC3644" w:rsidR="00895CD4" w:rsidTr="00D810A6" w14:paraId="3042E9B0" w14:textId="77777777">
        <w:trPr>
          <w:cantSplit/>
          <w:trHeight w:val="723"/>
        </w:trPr>
        <w:tc>
          <w:tcPr>
            <w:tcW w:w="1013" w:type="dxa"/>
            <w:vAlign w:val="bottom"/>
          </w:tcPr>
          <w:p w:rsidRPr="00EC3644" w:rsidR="00895CD4" w:rsidP="00D810A6" w:rsidRDefault="00895CD4" w14:paraId="3F6D0020" w14:textId="77777777">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jc w:val="center"/>
              <w:rPr>
                <w:rFonts w:ascii="Arial" w:hAnsi="Arial" w:cs="Arial"/>
                <w:bCs/>
              </w:rPr>
            </w:pPr>
            <w:r w:rsidRPr="00EC3644">
              <w:rPr>
                <w:rFonts w:ascii="Arial" w:hAnsi="Arial" w:cs="Arial"/>
                <w:bCs/>
              </w:rPr>
              <w:t>Form</w:t>
            </w:r>
          </w:p>
        </w:tc>
        <w:tc>
          <w:tcPr>
            <w:tcW w:w="1440" w:type="dxa"/>
            <w:vAlign w:val="bottom"/>
          </w:tcPr>
          <w:p w:rsidRPr="00EC3644" w:rsidR="00895CD4" w:rsidP="00D810A6" w:rsidRDefault="00895CD4" w14:paraId="53AA973B" w14:textId="77777777">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jc w:val="center"/>
              <w:rPr>
                <w:rFonts w:ascii="Arial" w:hAnsi="Arial" w:cs="Arial"/>
                <w:bCs/>
              </w:rPr>
            </w:pPr>
            <w:r w:rsidRPr="00EC3644">
              <w:rPr>
                <w:rFonts w:ascii="Arial" w:hAnsi="Arial" w:cs="Arial"/>
                <w:bCs/>
              </w:rPr>
              <w:t>No. of Respondents</w:t>
            </w:r>
          </w:p>
        </w:tc>
        <w:tc>
          <w:tcPr>
            <w:tcW w:w="1455" w:type="dxa"/>
            <w:vAlign w:val="bottom"/>
          </w:tcPr>
          <w:p w:rsidRPr="00EC3644" w:rsidR="00895CD4" w:rsidP="00D810A6" w:rsidRDefault="00895CD4" w14:paraId="5278877A" w14:textId="77777777">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jc w:val="center"/>
              <w:rPr>
                <w:rFonts w:ascii="Arial" w:hAnsi="Arial" w:cs="Arial"/>
                <w:bCs/>
              </w:rPr>
            </w:pPr>
            <w:r w:rsidRPr="00EC3644">
              <w:rPr>
                <w:rFonts w:ascii="Arial" w:hAnsi="Arial" w:cs="Arial"/>
                <w:bCs/>
              </w:rPr>
              <w:t>Number of Responses per Respondent</w:t>
            </w:r>
          </w:p>
        </w:tc>
        <w:tc>
          <w:tcPr>
            <w:tcW w:w="1777" w:type="dxa"/>
            <w:vAlign w:val="bottom"/>
          </w:tcPr>
          <w:p w:rsidRPr="00EC3644" w:rsidR="00895CD4" w:rsidP="00D810A6" w:rsidRDefault="00895CD4" w14:paraId="74F23360" w14:textId="77777777">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jc w:val="center"/>
              <w:rPr>
                <w:rFonts w:ascii="Arial" w:hAnsi="Arial" w:cs="Arial"/>
                <w:bCs/>
              </w:rPr>
            </w:pPr>
            <w:r w:rsidRPr="00EC3644">
              <w:rPr>
                <w:rFonts w:ascii="Arial" w:hAnsi="Arial" w:cs="Arial"/>
                <w:bCs/>
              </w:rPr>
              <w:t>Average Burden per Response (in hours)</w:t>
            </w:r>
          </w:p>
        </w:tc>
        <w:tc>
          <w:tcPr>
            <w:tcW w:w="1155" w:type="dxa"/>
            <w:vAlign w:val="bottom"/>
          </w:tcPr>
          <w:p w:rsidRPr="00EC3644" w:rsidR="00895CD4" w:rsidP="00D810A6" w:rsidRDefault="00895CD4" w14:paraId="0AA9E4D6" w14:textId="77777777">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jc w:val="center"/>
              <w:rPr>
                <w:rFonts w:ascii="Arial" w:hAnsi="Arial" w:cs="Arial"/>
                <w:bCs/>
              </w:rPr>
            </w:pPr>
            <w:r w:rsidRPr="00EC3644">
              <w:rPr>
                <w:rFonts w:ascii="Arial" w:hAnsi="Arial" w:cs="Arial"/>
                <w:bCs/>
              </w:rPr>
              <w:t>Total Annual Burden (in hours)</w:t>
            </w:r>
          </w:p>
        </w:tc>
        <w:tc>
          <w:tcPr>
            <w:tcW w:w="1066" w:type="dxa"/>
            <w:vAlign w:val="bottom"/>
          </w:tcPr>
          <w:p w:rsidRPr="00EC3644" w:rsidR="00895CD4" w:rsidP="00D810A6" w:rsidRDefault="00B9621D" w14:paraId="32BC9C11" w14:textId="699D8E66">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jc w:val="center"/>
              <w:rPr>
                <w:rFonts w:ascii="Arial" w:hAnsi="Arial" w:cs="Arial"/>
                <w:bCs/>
              </w:rPr>
            </w:pPr>
            <w:r w:rsidRPr="00EC3644">
              <w:rPr>
                <w:rFonts w:ascii="Arial" w:hAnsi="Arial" w:cs="Arial"/>
                <w:bCs/>
              </w:rPr>
              <w:t>Average Hourly Wage Rate</w:t>
            </w:r>
            <w:r w:rsidRPr="00EC3644">
              <w:rPr>
                <w:rStyle w:val="FootnoteReference"/>
                <w:rFonts w:ascii="Arial" w:hAnsi="Arial" w:cs="Arial"/>
                <w:bCs/>
              </w:rPr>
              <w:footnoteReference w:id="1"/>
            </w:r>
          </w:p>
        </w:tc>
        <w:tc>
          <w:tcPr>
            <w:tcW w:w="1421" w:type="dxa"/>
            <w:vAlign w:val="bottom"/>
          </w:tcPr>
          <w:p w:rsidRPr="00EC3644" w:rsidR="00895CD4" w:rsidP="00D810A6" w:rsidRDefault="00895CD4" w14:paraId="08BC061B" w14:textId="77777777">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jc w:val="center"/>
              <w:rPr>
                <w:rFonts w:ascii="Arial" w:hAnsi="Arial" w:cs="Arial"/>
                <w:bCs/>
              </w:rPr>
            </w:pPr>
            <w:r w:rsidRPr="00EC3644">
              <w:rPr>
                <w:rFonts w:ascii="Arial" w:hAnsi="Arial" w:cs="Arial"/>
                <w:bCs/>
              </w:rPr>
              <w:t>Total Annual Respondent Cost</w:t>
            </w:r>
          </w:p>
        </w:tc>
      </w:tr>
      <w:tr w:rsidRPr="00EC3644" w:rsidR="00895CD4" w:rsidTr="00D810A6" w14:paraId="079F90FD" w14:textId="77777777">
        <w:trPr>
          <w:cantSplit/>
          <w:trHeight w:val="723"/>
        </w:trPr>
        <w:tc>
          <w:tcPr>
            <w:tcW w:w="1013" w:type="dxa"/>
            <w:vAlign w:val="center"/>
          </w:tcPr>
          <w:p w:rsidRPr="00EC3644" w:rsidR="00895CD4" w:rsidP="00D810A6" w:rsidRDefault="00B9621D" w14:paraId="120BE167" w14:textId="5DED736E">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jc w:val="center"/>
              <w:rPr>
                <w:rFonts w:ascii="Arial" w:hAnsi="Arial" w:cs="Arial"/>
                <w:bCs/>
              </w:rPr>
            </w:pPr>
            <w:r>
              <w:rPr>
                <w:rFonts w:ascii="Arial" w:hAnsi="Arial" w:cs="Arial"/>
              </w:rPr>
              <w:t>5902 and 5903</w:t>
            </w:r>
          </w:p>
        </w:tc>
        <w:tc>
          <w:tcPr>
            <w:tcW w:w="1440" w:type="dxa"/>
            <w:vAlign w:val="center"/>
          </w:tcPr>
          <w:p w:rsidRPr="00EC3644" w:rsidR="00895CD4" w:rsidP="00D810A6" w:rsidRDefault="00B9621D" w14:paraId="6CD2E570" w14:textId="60CB1E9C">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jc w:val="center"/>
              <w:rPr>
                <w:rFonts w:ascii="Arial" w:hAnsi="Arial" w:cs="Arial"/>
                <w:bCs/>
              </w:rPr>
            </w:pPr>
            <w:r>
              <w:rPr>
                <w:rFonts w:ascii="Arial" w:hAnsi="Arial" w:cs="Arial"/>
              </w:rPr>
              <w:t>15</w:t>
            </w:r>
          </w:p>
        </w:tc>
        <w:tc>
          <w:tcPr>
            <w:tcW w:w="1455" w:type="dxa"/>
            <w:vAlign w:val="center"/>
          </w:tcPr>
          <w:p w:rsidRPr="00EC3644" w:rsidR="00895CD4" w:rsidP="00D810A6" w:rsidRDefault="00B9621D" w14:paraId="71B8DC4A" w14:textId="338259D8">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jc w:val="center"/>
              <w:rPr>
                <w:rFonts w:ascii="Arial" w:hAnsi="Arial" w:cs="Arial"/>
                <w:bCs/>
              </w:rPr>
            </w:pPr>
            <w:r>
              <w:rPr>
                <w:rFonts w:ascii="Arial" w:hAnsi="Arial" w:cs="Arial"/>
                <w:bCs/>
              </w:rPr>
              <w:t>2</w:t>
            </w:r>
          </w:p>
        </w:tc>
        <w:tc>
          <w:tcPr>
            <w:tcW w:w="1777" w:type="dxa"/>
            <w:vAlign w:val="center"/>
          </w:tcPr>
          <w:p w:rsidRPr="00EC3644" w:rsidR="00895CD4" w:rsidP="00D810A6" w:rsidRDefault="00895CD4" w14:paraId="5BE80495" w14:textId="77777777">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jc w:val="center"/>
              <w:rPr>
                <w:rFonts w:ascii="Arial" w:hAnsi="Arial" w:cs="Arial"/>
                <w:bCs/>
              </w:rPr>
            </w:pPr>
            <w:r>
              <w:rPr>
                <w:rFonts w:ascii="Arial" w:hAnsi="Arial" w:cs="Arial"/>
                <w:bCs/>
              </w:rPr>
              <w:t>30</w:t>
            </w:r>
            <w:r w:rsidRPr="00EC3644">
              <w:rPr>
                <w:rFonts w:ascii="Arial" w:hAnsi="Arial" w:cs="Arial"/>
                <w:bCs/>
              </w:rPr>
              <w:t xml:space="preserve"> minutes (0.</w:t>
            </w:r>
            <w:r>
              <w:rPr>
                <w:rFonts w:ascii="Arial" w:hAnsi="Arial" w:cs="Arial"/>
                <w:bCs/>
              </w:rPr>
              <w:t>5</w:t>
            </w:r>
            <w:r w:rsidRPr="00EC3644">
              <w:rPr>
                <w:rFonts w:ascii="Arial" w:hAnsi="Arial" w:cs="Arial"/>
                <w:bCs/>
              </w:rPr>
              <w:t xml:space="preserve"> hours)</w:t>
            </w:r>
          </w:p>
        </w:tc>
        <w:tc>
          <w:tcPr>
            <w:tcW w:w="1155" w:type="dxa"/>
            <w:vAlign w:val="center"/>
          </w:tcPr>
          <w:p w:rsidRPr="00EC3644" w:rsidR="00895CD4" w:rsidP="00D810A6" w:rsidRDefault="00B9621D" w14:paraId="6F04B226" w14:textId="2077BA5A">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jc w:val="center"/>
              <w:rPr>
                <w:rFonts w:ascii="Arial" w:hAnsi="Arial" w:cs="Arial"/>
                <w:bCs/>
              </w:rPr>
            </w:pPr>
            <w:r>
              <w:rPr>
                <w:rFonts w:ascii="Arial" w:hAnsi="Arial" w:cs="Arial"/>
              </w:rPr>
              <w:t>7.5</w:t>
            </w:r>
          </w:p>
        </w:tc>
        <w:tc>
          <w:tcPr>
            <w:tcW w:w="1066" w:type="dxa"/>
            <w:vAlign w:val="center"/>
          </w:tcPr>
          <w:p w:rsidRPr="00EC3644" w:rsidR="00895CD4" w:rsidP="00D810A6" w:rsidRDefault="00895CD4" w14:paraId="22335CD5" w14:textId="103C4FD8">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jc w:val="center"/>
              <w:rPr>
                <w:rFonts w:ascii="Arial" w:hAnsi="Arial" w:cs="Arial"/>
                <w:bCs/>
              </w:rPr>
            </w:pPr>
            <w:r w:rsidRPr="00EC3644">
              <w:rPr>
                <w:rFonts w:ascii="Arial" w:hAnsi="Arial" w:cs="Arial"/>
                <w:bCs/>
              </w:rPr>
              <w:t>$</w:t>
            </w:r>
            <w:r w:rsidR="00175ED4">
              <w:rPr>
                <w:rFonts w:ascii="Arial" w:hAnsi="Arial" w:cs="Arial"/>
              </w:rPr>
              <w:t>71.32</w:t>
            </w:r>
          </w:p>
        </w:tc>
        <w:tc>
          <w:tcPr>
            <w:tcW w:w="1421" w:type="dxa"/>
            <w:vAlign w:val="center"/>
          </w:tcPr>
          <w:p w:rsidRPr="00EC3644" w:rsidR="00895CD4" w:rsidP="00D810A6" w:rsidRDefault="00895CD4" w14:paraId="277D2921" w14:textId="01835509">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jc w:val="center"/>
              <w:rPr>
                <w:rFonts w:ascii="Arial" w:hAnsi="Arial" w:cs="Arial"/>
                <w:bCs/>
              </w:rPr>
            </w:pPr>
            <w:r w:rsidRPr="00EC3644">
              <w:rPr>
                <w:rFonts w:ascii="Arial" w:hAnsi="Arial" w:cs="Arial"/>
                <w:bCs/>
              </w:rPr>
              <w:t>$</w:t>
            </w:r>
            <w:r w:rsidR="00175ED4">
              <w:rPr>
                <w:rFonts w:ascii="Arial" w:hAnsi="Arial" w:cs="Arial"/>
                <w:bCs/>
              </w:rPr>
              <w:t>534.90</w:t>
            </w:r>
          </w:p>
        </w:tc>
      </w:tr>
      <w:tr w:rsidRPr="00EC3644" w:rsidR="00895CD4" w:rsidTr="00D810A6" w14:paraId="737C2990" w14:textId="77777777">
        <w:trPr>
          <w:cantSplit/>
          <w:trHeight w:val="723"/>
        </w:trPr>
        <w:tc>
          <w:tcPr>
            <w:tcW w:w="7906" w:type="dxa"/>
            <w:gridSpan w:val="6"/>
            <w:vAlign w:val="center"/>
          </w:tcPr>
          <w:p w:rsidRPr="00EC3644" w:rsidR="00895CD4" w:rsidP="00D810A6" w:rsidRDefault="00895CD4" w14:paraId="0F89DDA7" w14:textId="77777777">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rPr>
                <w:rFonts w:ascii="Arial" w:hAnsi="Arial" w:cs="Arial"/>
                <w:bCs/>
              </w:rPr>
            </w:pPr>
            <w:r w:rsidRPr="00EC3644">
              <w:rPr>
                <w:rFonts w:ascii="Arial" w:hAnsi="Arial" w:cs="Arial"/>
                <w:bCs/>
              </w:rPr>
              <w:t>Total Respondent Cost:</w:t>
            </w:r>
          </w:p>
        </w:tc>
        <w:tc>
          <w:tcPr>
            <w:tcW w:w="1421" w:type="dxa"/>
            <w:vAlign w:val="center"/>
          </w:tcPr>
          <w:p w:rsidRPr="00EC3644" w:rsidR="00175ED4" w:rsidP="00175ED4" w:rsidRDefault="00895CD4" w14:paraId="37091BCC" w14:textId="1EDB46C6">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contextualSpacing/>
              <w:jc w:val="center"/>
              <w:rPr>
                <w:rFonts w:ascii="Arial" w:hAnsi="Arial" w:cs="Arial"/>
                <w:bCs/>
              </w:rPr>
            </w:pPr>
            <w:r w:rsidRPr="00EC3644">
              <w:rPr>
                <w:rFonts w:ascii="Arial" w:hAnsi="Arial" w:cs="Arial"/>
                <w:bCs/>
              </w:rPr>
              <w:t>$</w:t>
            </w:r>
            <w:r w:rsidR="00175ED4">
              <w:rPr>
                <w:rFonts w:ascii="Arial" w:hAnsi="Arial" w:cs="Arial"/>
                <w:bCs/>
              </w:rPr>
              <w:t>534.90</w:t>
            </w:r>
          </w:p>
        </w:tc>
      </w:tr>
    </w:tbl>
    <w:p w:rsidRPr="00A37430" w:rsidR="00895CD4" w:rsidP="00895CD4" w:rsidRDefault="00895CD4" w14:paraId="7D536BF3" w14:textId="77777777">
      <w:pPr>
        <w:autoSpaceDE w:val="0"/>
        <w:autoSpaceDN w:val="0"/>
        <w:adjustRightInd w:val="0"/>
        <w:ind w:left="360"/>
      </w:pPr>
    </w:p>
    <w:p w:rsidRPr="00BD59DE" w:rsidR="00895CD4" w:rsidP="00175ED4" w:rsidRDefault="00895CD4" w14:paraId="6A2A808B" w14:textId="77777777">
      <w:pPr>
        <w:rPr>
          <w:sz w:val="22"/>
          <w:szCs w:val="22"/>
        </w:rPr>
      </w:pPr>
    </w:p>
    <w:p w:rsidRPr="00BD59DE" w:rsidR="00E41A1A" w:rsidRDefault="00E41A1A" w14:paraId="00938453" w14:textId="77777777">
      <w:pPr>
        <w:rPr>
          <w:sz w:val="22"/>
          <w:szCs w:val="22"/>
        </w:rPr>
      </w:pPr>
    </w:p>
    <w:p w:rsidRPr="00BD59DE" w:rsidR="00953580" w:rsidRDefault="00953580" w14:paraId="36480280" w14:textId="77777777">
      <w:pPr>
        <w:rPr>
          <w:sz w:val="22"/>
          <w:szCs w:val="22"/>
        </w:rPr>
      </w:pPr>
      <w:r w:rsidRPr="00BD59DE">
        <w:rPr>
          <w:b/>
          <w:sz w:val="22"/>
          <w:szCs w:val="22"/>
        </w:rPr>
        <w:t xml:space="preserve">13.  Provide an estimate for the total annual cost burden to respondents or recordkeepers resulting from the collection of information.  (Do not include the cost of any hour burden shown in Items 12 and 14). </w:t>
      </w:r>
    </w:p>
    <w:p w:rsidRPr="00BD59DE" w:rsidR="00366578" w:rsidRDefault="00366578" w14:paraId="0394B1A3" w14:textId="77777777">
      <w:pPr>
        <w:rPr>
          <w:sz w:val="22"/>
          <w:szCs w:val="22"/>
        </w:rPr>
      </w:pPr>
      <w:r w:rsidRPr="00BD59DE">
        <w:rPr>
          <w:sz w:val="22"/>
          <w:szCs w:val="22"/>
        </w:rPr>
        <w:t xml:space="preserve">  </w:t>
      </w:r>
    </w:p>
    <w:p w:rsidRPr="00BD59DE" w:rsidR="00262DBD" w:rsidP="00C70CD0" w:rsidRDefault="009156C5" w14:paraId="7A6F5D94" w14:textId="55A4B9A8">
      <w:pPr>
        <w:ind w:left="360"/>
        <w:rPr>
          <w:sz w:val="22"/>
          <w:szCs w:val="22"/>
        </w:rPr>
      </w:pPr>
      <w:r w:rsidRPr="009156C5">
        <w:rPr>
          <w:sz w:val="22"/>
          <w:szCs w:val="22"/>
        </w:rPr>
        <w:t xml:space="preserve">There are no capital/start-up or ongoing operation/maintenance costs associated with this information collection. </w:t>
      </w:r>
      <w:r w:rsidRPr="00BD59DE">
        <w:rPr>
          <w:sz w:val="22"/>
          <w:szCs w:val="22"/>
        </w:rPr>
        <w:t>The only cost the respondent may incur would be the cost of postage to mail in the form.</w:t>
      </w:r>
    </w:p>
    <w:p w:rsidRPr="00BD59DE" w:rsidR="00366578" w:rsidRDefault="00366578" w14:paraId="1D65ECC8" w14:textId="77777777">
      <w:pPr>
        <w:rPr>
          <w:sz w:val="22"/>
          <w:szCs w:val="22"/>
        </w:rPr>
      </w:pPr>
    </w:p>
    <w:p w:rsidRPr="00BD59DE" w:rsidR="00953580" w:rsidP="00953580" w:rsidRDefault="00953580" w14:paraId="6A396B6D" w14:textId="77777777">
      <w:pPr>
        <w:rPr>
          <w:b/>
          <w:sz w:val="22"/>
          <w:szCs w:val="22"/>
        </w:rPr>
      </w:pPr>
      <w:r w:rsidRPr="00BD59DE">
        <w:rPr>
          <w:b/>
          <w:sz w:val="22"/>
          <w:szCs w:val="22"/>
        </w:rPr>
        <w:t>14.   Provide estimates of annualized costs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may also aggregate cost estimates from Items 12, 13, and 14 in a single table.</w:t>
      </w:r>
    </w:p>
    <w:p w:rsidRPr="00BD59DE" w:rsidR="00366578" w:rsidP="00767DAF" w:rsidRDefault="00366578" w14:paraId="37DB2C55" w14:textId="77777777">
      <w:pPr>
        <w:rPr>
          <w:sz w:val="22"/>
          <w:szCs w:val="22"/>
        </w:rPr>
      </w:pPr>
    </w:p>
    <w:p w:rsidRPr="00BD59DE" w:rsidR="00767DAF" w:rsidP="00767DAF" w:rsidRDefault="00E9788D" w14:paraId="6E409CC1" w14:textId="77777777">
      <w:pPr>
        <w:ind w:left="360"/>
        <w:rPr>
          <w:sz w:val="22"/>
          <w:szCs w:val="22"/>
        </w:rPr>
      </w:pPr>
      <w:r w:rsidRPr="00BD59DE">
        <w:rPr>
          <w:sz w:val="22"/>
          <w:szCs w:val="22"/>
        </w:rPr>
        <w:t xml:space="preserve">Government cost:  The two forms each will require approximately five minutes of review by a </w:t>
      </w:r>
      <w:r w:rsidRPr="00BD59DE" w:rsidR="00564BBB">
        <w:rPr>
          <w:sz w:val="22"/>
          <w:szCs w:val="22"/>
        </w:rPr>
        <w:t xml:space="preserve">FRB </w:t>
      </w:r>
      <w:r w:rsidRPr="00BD59DE">
        <w:rPr>
          <w:sz w:val="22"/>
          <w:szCs w:val="22"/>
        </w:rPr>
        <w:t>employee, at an estimated $1</w:t>
      </w:r>
      <w:r w:rsidRPr="00BD59DE" w:rsidR="00E87BD6">
        <w:rPr>
          <w:sz w:val="22"/>
          <w:szCs w:val="22"/>
        </w:rPr>
        <w:t>7</w:t>
      </w:r>
      <w:r w:rsidRPr="00BD59DE">
        <w:rPr>
          <w:sz w:val="22"/>
          <w:szCs w:val="22"/>
        </w:rPr>
        <w:t xml:space="preserve"> per hour labor cost.  Annual cost for the space required for storing the completed forms is minimal.  It is estimated that 15 new depositaries will seek authorization annually.  Annual cost </w:t>
      </w:r>
      <w:r w:rsidRPr="00BD59DE" w:rsidR="00564BBB">
        <w:rPr>
          <w:sz w:val="22"/>
          <w:szCs w:val="22"/>
        </w:rPr>
        <w:t xml:space="preserve">to the Government </w:t>
      </w:r>
      <w:r w:rsidRPr="00BD59DE">
        <w:rPr>
          <w:sz w:val="22"/>
          <w:szCs w:val="22"/>
        </w:rPr>
        <w:t>is estimated to be $</w:t>
      </w:r>
      <w:r w:rsidRPr="00BD59DE" w:rsidR="00E87BD6">
        <w:rPr>
          <w:sz w:val="22"/>
          <w:szCs w:val="22"/>
        </w:rPr>
        <w:t>43</w:t>
      </w:r>
      <w:r w:rsidRPr="00BD59DE">
        <w:rPr>
          <w:sz w:val="22"/>
          <w:szCs w:val="22"/>
        </w:rPr>
        <w:t xml:space="preserve"> for both forms.</w:t>
      </w:r>
    </w:p>
    <w:p w:rsidRPr="00BD59DE" w:rsidR="00767DAF" w:rsidP="00DB6F72" w:rsidRDefault="00767DAF" w14:paraId="3FCA9D30" w14:textId="77777777">
      <w:pPr>
        <w:rPr>
          <w:sz w:val="22"/>
          <w:szCs w:val="22"/>
        </w:rPr>
      </w:pPr>
    </w:p>
    <w:p w:rsidRPr="00BD59DE" w:rsidR="00953580" w:rsidP="00953580" w:rsidRDefault="00953580" w14:paraId="5AFD04B1" w14:textId="77777777">
      <w:pPr>
        <w:rPr>
          <w:b/>
          <w:sz w:val="22"/>
          <w:szCs w:val="22"/>
        </w:rPr>
      </w:pPr>
      <w:r w:rsidRPr="00BD59DE">
        <w:rPr>
          <w:b/>
          <w:sz w:val="22"/>
          <w:szCs w:val="22"/>
        </w:rPr>
        <w:t xml:space="preserve">15.  Explain the reasons for any program changes or adjustments reported in Items 13 or 14 of the OMB Form 83-I. </w:t>
      </w:r>
    </w:p>
    <w:p w:rsidRPr="00BD59DE" w:rsidR="00953580" w:rsidP="00C10CAA" w:rsidRDefault="00953580" w14:paraId="37A9D45E" w14:textId="77777777">
      <w:pPr>
        <w:ind w:left="360"/>
        <w:rPr>
          <w:sz w:val="22"/>
          <w:szCs w:val="22"/>
        </w:rPr>
      </w:pPr>
      <w:r w:rsidRPr="00BD59DE">
        <w:rPr>
          <w:sz w:val="22"/>
          <w:szCs w:val="22"/>
        </w:rPr>
        <w:t xml:space="preserve"> </w:t>
      </w:r>
    </w:p>
    <w:p w:rsidRPr="00FA3F00" w:rsidR="00E9788D" w:rsidP="00C46436" w:rsidRDefault="00DE0CE3" w14:paraId="0944DA5E" w14:textId="77777777">
      <w:pPr>
        <w:ind w:firstLine="360"/>
        <w:rPr>
          <w:sz w:val="22"/>
        </w:rPr>
      </w:pPr>
      <w:r w:rsidRPr="00FA3F00">
        <w:rPr>
          <w:sz w:val="22"/>
        </w:rPr>
        <w:t>No changes or adjustments are reported</w:t>
      </w:r>
    </w:p>
    <w:p w:rsidRPr="00DE0CE3" w:rsidR="00DE0CE3" w:rsidRDefault="00DE0CE3" w14:paraId="3179EED0" w14:textId="77777777">
      <w:pPr>
        <w:rPr>
          <w:sz w:val="22"/>
          <w:szCs w:val="22"/>
          <w:vertAlign w:val="subscript"/>
        </w:rPr>
      </w:pPr>
    </w:p>
    <w:p w:rsidRPr="00BD59DE" w:rsidR="00953580" w:rsidP="00953580" w:rsidRDefault="00953580" w14:paraId="2DCB70EA" w14:textId="77777777">
      <w:pPr>
        <w:rPr>
          <w:b/>
          <w:sz w:val="22"/>
          <w:szCs w:val="22"/>
        </w:rPr>
      </w:pPr>
      <w:r w:rsidRPr="00BD59DE">
        <w:rPr>
          <w:b/>
          <w:sz w:val="22"/>
          <w:szCs w:val="22"/>
        </w:rPr>
        <w:t xml:space="preserve">16.   For collections of information whose results will be published, outline plans for tabulation and publication.  Address any complex analytical techniques that will be used.  Provide the time </w:t>
      </w:r>
      <w:r w:rsidRPr="00BD59DE">
        <w:rPr>
          <w:b/>
          <w:sz w:val="22"/>
          <w:szCs w:val="22"/>
        </w:rPr>
        <w:lastRenderedPageBreak/>
        <w:t>schedule for the entire project, including beginning and ending dates of the collection of information, completion of report, publication dates, and other actions.</w:t>
      </w:r>
    </w:p>
    <w:p w:rsidRPr="00BD59DE" w:rsidR="00564BBB" w:rsidP="00953580" w:rsidRDefault="00564BBB" w14:paraId="70B78231" w14:textId="77777777">
      <w:pPr>
        <w:rPr>
          <w:b/>
          <w:sz w:val="22"/>
          <w:szCs w:val="22"/>
        </w:rPr>
      </w:pPr>
    </w:p>
    <w:p w:rsidRPr="00BD59DE" w:rsidR="00B113F5" w:rsidP="00B113F5" w:rsidRDefault="00B113F5" w14:paraId="4B0A930D" w14:textId="77777777">
      <w:pPr>
        <w:ind w:left="360"/>
        <w:rPr>
          <w:sz w:val="22"/>
          <w:szCs w:val="22"/>
        </w:rPr>
      </w:pPr>
      <w:r w:rsidRPr="00BD59DE">
        <w:rPr>
          <w:sz w:val="22"/>
          <w:szCs w:val="22"/>
        </w:rPr>
        <w:t>Results of the information are not planned for publication.</w:t>
      </w:r>
    </w:p>
    <w:p w:rsidRPr="00BD59DE" w:rsidR="00251F1B" w:rsidP="00953580" w:rsidRDefault="00251F1B" w14:paraId="6FB8404C" w14:textId="77777777">
      <w:pPr>
        <w:rPr>
          <w:b/>
          <w:sz w:val="22"/>
          <w:szCs w:val="22"/>
        </w:rPr>
      </w:pPr>
    </w:p>
    <w:p w:rsidRPr="00BD59DE" w:rsidR="00953580" w:rsidP="00953580" w:rsidRDefault="00953580" w14:paraId="0A879701" w14:textId="77777777">
      <w:pPr>
        <w:rPr>
          <w:b/>
          <w:sz w:val="22"/>
          <w:szCs w:val="22"/>
        </w:rPr>
      </w:pPr>
      <w:r w:rsidRPr="00BD59DE">
        <w:rPr>
          <w:b/>
          <w:sz w:val="22"/>
          <w:szCs w:val="22"/>
        </w:rPr>
        <w:t>17.  If seeking approval to not display the expiration date for OMB approval of the information collection, explain the reasons that display would be inappropriate.</w:t>
      </w:r>
    </w:p>
    <w:p w:rsidRPr="00BD59DE" w:rsidR="00953580" w:rsidRDefault="00953580" w14:paraId="0EB8AA5A" w14:textId="77777777">
      <w:pPr>
        <w:rPr>
          <w:sz w:val="22"/>
          <w:szCs w:val="22"/>
        </w:rPr>
      </w:pPr>
      <w:r w:rsidRPr="00BD59DE">
        <w:rPr>
          <w:sz w:val="22"/>
          <w:szCs w:val="22"/>
        </w:rPr>
        <w:t xml:space="preserve"> </w:t>
      </w:r>
    </w:p>
    <w:p w:rsidRPr="00FA3F00" w:rsidR="00DE0CE3" w:rsidP="00DE0CE3" w:rsidRDefault="00DE0CE3" w14:paraId="5D6BFFE2" w14:textId="77777777">
      <w:pPr>
        <w:widowControl w:val="0"/>
        <w:tabs>
          <w:tab w:val="left" w:pos="3780"/>
          <w:tab w:val="left" w:pos="6030"/>
        </w:tabs>
        <w:suppressAutoHyphens/>
        <w:autoSpaceDE w:val="0"/>
        <w:autoSpaceDN w:val="0"/>
        <w:adjustRightInd w:val="0"/>
        <w:spacing w:line="240" w:lineRule="atLeast"/>
        <w:ind w:left="360"/>
        <w:rPr>
          <w:sz w:val="22"/>
        </w:rPr>
      </w:pPr>
      <w:r w:rsidRPr="00FA3F00">
        <w:rPr>
          <w:sz w:val="22"/>
        </w:rPr>
        <w:t xml:space="preserve">The public interest will be better served by not displaying an expiration date on Form FS Form 5902 and 5903. The </w:t>
      </w:r>
      <w:proofErr w:type="gramStart"/>
      <w:r w:rsidRPr="00FA3F00">
        <w:rPr>
          <w:sz w:val="22"/>
        </w:rPr>
        <w:t>time period</w:t>
      </w:r>
      <w:proofErr w:type="gramEnd"/>
      <w:r w:rsidRPr="00FA3F00">
        <w:rPr>
          <w:sz w:val="22"/>
        </w:rPr>
        <w:t xml:space="preserve"> during which the current edition of the form will continue to be usable cannot be predicted.  It could easily span several cycles of review and OMB clearance renewal.  Displaying the expiration date would make it necessary to update the electronic form and website where it is accessed after each renewal.  Additionally, not displaying the expiration date on the form will avoid confusion among members of the public who may have identical forms with different expiration dates in their possession.  By not displaying the expiration date, supplies of the form could continue to be used regardless of when the OMB approval has expired.  This would reduce costs incurred through additional printing and desktop publishing.</w:t>
      </w:r>
    </w:p>
    <w:p w:rsidRPr="00BD59DE" w:rsidR="00B113F5" w:rsidRDefault="00B113F5" w14:paraId="13445BFE" w14:textId="77777777">
      <w:pPr>
        <w:rPr>
          <w:sz w:val="22"/>
          <w:szCs w:val="22"/>
        </w:rPr>
      </w:pPr>
    </w:p>
    <w:p w:rsidRPr="00BD59DE" w:rsidR="00953580" w:rsidP="00953580" w:rsidRDefault="00953580" w14:paraId="4089DF6A" w14:textId="77777777">
      <w:pPr>
        <w:rPr>
          <w:b/>
          <w:sz w:val="22"/>
          <w:szCs w:val="22"/>
        </w:rPr>
      </w:pPr>
      <w:r w:rsidRPr="00BD59DE">
        <w:rPr>
          <w:b/>
          <w:sz w:val="22"/>
          <w:szCs w:val="22"/>
        </w:rPr>
        <w:t>18.  Explain each exception to the certification statement identified in Item 19, “Certification for Paperwork Reduction Act Submissions,” of OMB Form 83-I.</w:t>
      </w:r>
    </w:p>
    <w:p w:rsidRPr="00BD59DE" w:rsidR="00B113F5" w:rsidP="00B113F5" w:rsidRDefault="00953580" w14:paraId="044CAB92" w14:textId="77777777">
      <w:pPr>
        <w:rPr>
          <w:sz w:val="22"/>
          <w:szCs w:val="22"/>
        </w:rPr>
      </w:pPr>
      <w:r w:rsidRPr="00BD59DE">
        <w:rPr>
          <w:sz w:val="22"/>
          <w:szCs w:val="22"/>
        </w:rPr>
        <w:t xml:space="preserve"> </w:t>
      </w:r>
    </w:p>
    <w:p w:rsidRPr="00FA3F00" w:rsidR="00DE0CE3" w:rsidP="00DE0CE3" w:rsidRDefault="00DE0CE3" w14:paraId="0C5EAD26" w14:textId="77777777">
      <w:pPr>
        <w:ind w:left="360"/>
        <w:rPr>
          <w:b/>
          <w:bCs/>
          <w:sz w:val="22"/>
        </w:rPr>
      </w:pPr>
      <w:r w:rsidRPr="00FA3F00">
        <w:rPr>
          <w:bCs/>
          <w:sz w:val="22"/>
        </w:rPr>
        <w:t>There are no exceptions to the certification statement.</w:t>
      </w:r>
    </w:p>
    <w:p w:rsidRPr="00BD59DE" w:rsidR="00366578" w:rsidRDefault="00366578" w14:paraId="27254B9F" w14:textId="77777777">
      <w:pPr>
        <w:rPr>
          <w:sz w:val="22"/>
          <w:szCs w:val="22"/>
        </w:rPr>
      </w:pPr>
    </w:p>
    <w:p w:rsidRPr="00BD59DE" w:rsidR="00953580" w:rsidP="00953580" w:rsidRDefault="00953580" w14:paraId="5CD2CACF" w14:textId="77777777">
      <w:pPr>
        <w:rPr>
          <w:sz w:val="22"/>
          <w:szCs w:val="22"/>
        </w:rPr>
      </w:pPr>
      <w:r w:rsidRPr="00BD59DE">
        <w:rPr>
          <w:b/>
          <w:sz w:val="22"/>
          <w:szCs w:val="22"/>
        </w:rPr>
        <w:t xml:space="preserve">B.  </w:t>
      </w:r>
      <w:r w:rsidRPr="00BD59DE">
        <w:rPr>
          <w:b/>
          <w:sz w:val="22"/>
          <w:szCs w:val="22"/>
          <w:u w:val="single"/>
        </w:rPr>
        <w:t>Collections of Information Employing Statistical Methods</w:t>
      </w:r>
      <w:r w:rsidRPr="00BD59DE">
        <w:rPr>
          <w:b/>
          <w:sz w:val="22"/>
          <w:szCs w:val="22"/>
        </w:rPr>
        <w:t xml:space="preserve"> </w:t>
      </w:r>
    </w:p>
    <w:p w:rsidRPr="00BD59DE" w:rsidR="00953580" w:rsidP="00953580" w:rsidRDefault="00953580" w14:paraId="1DBB3BF2" w14:textId="77777777">
      <w:pPr>
        <w:ind w:left="360"/>
        <w:rPr>
          <w:b/>
          <w:sz w:val="22"/>
          <w:szCs w:val="22"/>
        </w:rPr>
      </w:pPr>
    </w:p>
    <w:p w:rsidRPr="00BD59DE" w:rsidR="00366578" w:rsidP="00953580" w:rsidRDefault="00953580" w14:paraId="32F7771A" w14:textId="77777777">
      <w:pPr>
        <w:rPr>
          <w:b/>
          <w:sz w:val="22"/>
          <w:szCs w:val="22"/>
        </w:rPr>
      </w:pPr>
      <w:r w:rsidRPr="00BD59DE">
        <w:rPr>
          <w:b/>
          <w:sz w:val="22"/>
          <w:szCs w:val="22"/>
        </w:rPr>
        <w:t>The agency should be prepared to justify its decision not to use statistical methods in any case where such methods might reduce burden or improve accuracy of results.  When Item 17 on the Form OMB 83-I is checked, “Yes,” the following documentation should be included in the Supporting Statement to the extend that it applies to the methods proposed:</w:t>
      </w:r>
    </w:p>
    <w:p w:rsidRPr="00BD59DE" w:rsidR="00366578" w:rsidP="000254B0" w:rsidRDefault="00366578" w14:paraId="5AA0DF29" w14:textId="77777777">
      <w:pPr>
        <w:ind w:left="360"/>
        <w:rPr>
          <w:sz w:val="22"/>
          <w:szCs w:val="22"/>
        </w:rPr>
      </w:pPr>
    </w:p>
    <w:p w:rsidRPr="00BD59DE" w:rsidR="000254B0" w:rsidP="000254B0" w:rsidRDefault="000254B0" w14:paraId="689E0301" w14:textId="77777777">
      <w:pPr>
        <w:ind w:left="360"/>
        <w:rPr>
          <w:sz w:val="22"/>
          <w:szCs w:val="22"/>
        </w:rPr>
      </w:pPr>
      <w:r w:rsidRPr="00BD59DE">
        <w:rPr>
          <w:sz w:val="22"/>
          <w:szCs w:val="22"/>
        </w:rPr>
        <w:t>Not applicable.  Collection of information does not employ statistical methods.</w:t>
      </w:r>
    </w:p>
    <w:sectPr w:rsidRPr="00BD59DE" w:rsidR="000254B0" w:rsidSect="00BD59DE">
      <w:footerReference w:type="default" r:id="rId7"/>
      <w:pgSz w:w="12240" w:h="15840"/>
      <w:pgMar w:top="1440" w:right="1440" w:bottom="1440" w:left="1440"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97EF154" w14:textId="77777777" w:rsidR="00762A53" w:rsidRDefault="00762A53" w:rsidP="00BD59DE">
      <w:r>
        <w:separator/>
      </w:r>
    </w:p>
  </w:endnote>
  <w:endnote w:type="continuationSeparator" w:id="0">
    <w:p w14:paraId="2AC621CD" w14:textId="77777777" w:rsidR="00762A53" w:rsidRDefault="00762A53" w:rsidP="00BD59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altName w:val="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21002A87" w:usb1="00000000" w:usb2="00000000"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A60E59" w14:textId="77777777" w:rsidR="00BD59DE" w:rsidRDefault="00BD59DE">
    <w:pPr>
      <w:pStyle w:val="Footer"/>
      <w:jc w:val="right"/>
    </w:pPr>
    <w:r>
      <w:fldChar w:fldCharType="begin"/>
    </w:r>
    <w:r>
      <w:instrText xml:space="preserve"> PAGE   \* MERGEFORMAT </w:instrText>
    </w:r>
    <w:r>
      <w:fldChar w:fldCharType="separate"/>
    </w:r>
    <w:r w:rsidR="00C46436">
      <w:rPr>
        <w:noProof/>
      </w:rPr>
      <w:t>4</w:t>
    </w:r>
    <w:r>
      <w:rPr>
        <w:noProof/>
      </w:rPr>
      <w:fldChar w:fldCharType="end"/>
    </w:r>
  </w:p>
  <w:p w14:paraId="45816E68" w14:textId="77777777" w:rsidR="00BD59DE" w:rsidRDefault="00BD59D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E638C6" w14:textId="77777777" w:rsidR="00762A53" w:rsidRDefault="00762A53" w:rsidP="00BD59DE">
      <w:r>
        <w:separator/>
      </w:r>
    </w:p>
  </w:footnote>
  <w:footnote w:type="continuationSeparator" w:id="0">
    <w:p w14:paraId="48A377B8" w14:textId="77777777" w:rsidR="00762A53" w:rsidRDefault="00762A53" w:rsidP="00BD59DE">
      <w:r>
        <w:continuationSeparator/>
      </w:r>
    </w:p>
  </w:footnote>
  <w:footnote w:id="1">
    <w:p w14:paraId="5C6CC51B" w14:textId="5E917294" w:rsidR="00B9621D" w:rsidRPr="00A05174" w:rsidRDefault="00B9621D" w:rsidP="00B9621D">
      <w:pPr>
        <w:pStyle w:val="FootnoteText"/>
        <w:rPr>
          <w:sz w:val="20"/>
          <w:szCs w:val="20"/>
        </w:rPr>
      </w:pPr>
      <w:r w:rsidRPr="00A05174">
        <w:rPr>
          <w:rStyle w:val="FootnoteReference"/>
          <w:sz w:val="20"/>
          <w:szCs w:val="20"/>
        </w:rPr>
        <w:footnoteRef/>
      </w:r>
      <w:r w:rsidRPr="00A05174">
        <w:rPr>
          <w:sz w:val="20"/>
          <w:szCs w:val="20"/>
        </w:rPr>
        <w:t xml:space="preserve"> It is expected that respondents to this collection could be</w:t>
      </w:r>
      <w:r w:rsidR="008A7803">
        <w:rPr>
          <w:sz w:val="20"/>
          <w:szCs w:val="20"/>
        </w:rPr>
        <w:t xml:space="preserve"> in the field</w:t>
      </w:r>
      <w:r w:rsidRPr="00A05174">
        <w:rPr>
          <w:sz w:val="20"/>
          <w:szCs w:val="20"/>
        </w:rPr>
        <w:t xml:space="preserve"> from </w:t>
      </w:r>
      <w:r w:rsidR="008A7803">
        <w:rPr>
          <w:sz w:val="20"/>
          <w:szCs w:val="20"/>
        </w:rPr>
        <w:t>the Financial Operations</w:t>
      </w:r>
      <w:r w:rsidRPr="00A05174">
        <w:rPr>
          <w:sz w:val="20"/>
          <w:szCs w:val="20"/>
        </w:rPr>
        <w:t xml:space="preserve"> occupation.  The average wage rate for </w:t>
      </w:r>
      <w:r w:rsidR="00AC0043">
        <w:rPr>
          <w:sz w:val="20"/>
          <w:szCs w:val="20"/>
        </w:rPr>
        <w:t xml:space="preserve">a Financial and Investment Analyst </w:t>
      </w:r>
      <w:r w:rsidRPr="00A05174">
        <w:rPr>
          <w:sz w:val="20"/>
          <w:szCs w:val="20"/>
        </w:rPr>
        <w:t>is $ $</w:t>
      </w:r>
      <w:r w:rsidR="00AC0043">
        <w:rPr>
          <w:sz w:val="20"/>
          <w:szCs w:val="20"/>
        </w:rPr>
        <w:t>49.53</w:t>
      </w:r>
      <w:r w:rsidRPr="00A05174">
        <w:rPr>
          <w:sz w:val="20"/>
          <w:szCs w:val="20"/>
        </w:rPr>
        <w:t xml:space="preserve"> according to the May 202</w:t>
      </w:r>
      <w:r w:rsidR="00AC0043">
        <w:rPr>
          <w:sz w:val="20"/>
          <w:szCs w:val="20"/>
        </w:rPr>
        <w:t>1</w:t>
      </w:r>
      <w:r w:rsidRPr="00A05174">
        <w:rPr>
          <w:sz w:val="20"/>
          <w:szCs w:val="20"/>
        </w:rPr>
        <w:t xml:space="preserve"> National Occupational Employment and Wage Estimates.  </w:t>
      </w:r>
      <w:hyperlink r:id="rId1" w:history="1">
        <w:r w:rsidRPr="00A05174">
          <w:rPr>
            <w:rStyle w:val="Hyperlink"/>
            <w:sz w:val="20"/>
            <w:szCs w:val="20"/>
          </w:rPr>
          <w:t>https://www.bls.gov/oes/current/oes_nat.htm</w:t>
        </w:r>
      </w:hyperlink>
      <w:r w:rsidRPr="00A05174">
        <w:rPr>
          <w:sz w:val="20"/>
          <w:szCs w:val="20"/>
        </w:rPr>
        <w:t xml:space="preserve">   A benefit multiplier of 1.44 is used to calculate a </w:t>
      </w:r>
      <w:proofErr w:type="gramStart"/>
      <w:r w:rsidRPr="00A05174">
        <w:rPr>
          <w:sz w:val="20"/>
          <w:szCs w:val="20"/>
        </w:rPr>
        <w:t>fully-loaded</w:t>
      </w:r>
      <w:proofErr w:type="gramEnd"/>
      <w:r w:rsidRPr="00A05174">
        <w:rPr>
          <w:sz w:val="20"/>
          <w:szCs w:val="20"/>
        </w:rPr>
        <w:t xml:space="preserve"> wage rate of $</w:t>
      </w:r>
      <w:r w:rsidR="00AC0043">
        <w:rPr>
          <w:sz w:val="20"/>
          <w:szCs w:val="20"/>
        </w:rPr>
        <w:t>49.53</w:t>
      </w:r>
      <w:r w:rsidRPr="00A05174">
        <w:rPr>
          <w:sz w:val="20"/>
          <w:szCs w:val="20"/>
        </w:rPr>
        <w:t>*1.44=$</w:t>
      </w:r>
      <w:r w:rsidR="00AC0043">
        <w:rPr>
          <w:sz w:val="20"/>
          <w:szCs w:val="20"/>
        </w:rPr>
        <w:t>71.32</w:t>
      </w:r>
    </w:p>
    <w:p w14:paraId="53D285C8" w14:textId="77777777" w:rsidR="00B9621D" w:rsidRPr="00A05174" w:rsidRDefault="00B9621D" w:rsidP="00B9621D">
      <w:pPr>
        <w:pStyle w:val="FootnoteText"/>
        <w:rPr>
          <w:sz w:val="20"/>
          <w:szCs w:val="20"/>
        </w:rPr>
      </w:pPr>
    </w:p>
    <w:p w14:paraId="4E6335DA" w14:textId="77777777" w:rsidR="00B9621D" w:rsidRPr="00A05174" w:rsidRDefault="00B9621D" w:rsidP="00B9621D">
      <w:pPr>
        <w:pStyle w:val="FootnoteText"/>
        <w:rPr>
          <w:sz w:val="20"/>
          <w:szCs w:val="20"/>
        </w:rPr>
      </w:pPr>
      <w:r w:rsidRPr="00A05174">
        <w:rPr>
          <w:sz w:val="20"/>
          <w:szCs w:val="20"/>
        </w:rPr>
        <w:t xml:space="preserve">Using the BLS Employer Costs for Employee Compensation – March 2020 report </w:t>
      </w:r>
      <w:hyperlink r:id="rId2" w:history="1">
        <w:r w:rsidRPr="00A05174">
          <w:rPr>
            <w:rStyle w:val="Hyperlink"/>
            <w:sz w:val="20"/>
            <w:szCs w:val="20"/>
          </w:rPr>
          <w:t>https://www.bls.gov/news.release/pdf/ecec.pdf</w:t>
        </w:r>
      </w:hyperlink>
      <w:r w:rsidRPr="00A05174">
        <w:rPr>
          <w:sz w:val="20"/>
          <w:szCs w:val="20"/>
        </w:rPr>
        <w:t>, a benefit multiplier of 1.44 was calculated by taking the private industry worker 50</w:t>
      </w:r>
      <w:r w:rsidRPr="00A05174">
        <w:rPr>
          <w:sz w:val="20"/>
          <w:szCs w:val="20"/>
          <w:vertAlign w:val="superscript"/>
        </w:rPr>
        <w:t>th</w:t>
      </w:r>
      <w:r w:rsidRPr="00A05174">
        <w:rPr>
          <w:sz w:val="20"/>
          <w:szCs w:val="20"/>
        </w:rPr>
        <w:t xml:space="preserve"> (median) wage percentile total compensation rate divided by the wages and salaries rate.  $26/$18.05=1.44  </w:t>
      </w:r>
    </w:p>
    <w:p w14:paraId="4F15D120" w14:textId="77777777" w:rsidR="00B9621D" w:rsidRDefault="00B9621D" w:rsidP="00B9621D">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540B9C"/>
    <w:multiLevelType w:val="singleLevel"/>
    <w:tmpl w:val="04090015"/>
    <w:lvl w:ilvl="0">
      <w:start w:val="1"/>
      <w:numFmt w:val="upperLetter"/>
      <w:lvlText w:val="%1."/>
      <w:lvlJc w:val="left"/>
      <w:pPr>
        <w:tabs>
          <w:tab w:val="num" w:pos="360"/>
        </w:tabs>
        <w:ind w:left="360" w:hanging="360"/>
      </w:pPr>
      <w:rPr>
        <w:rFonts w:hint="default"/>
        <w:u w:val="none"/>
      </w:rPr>
    </w:lvl>
  </w:abstractNum>
  <w:abstractNum w:abstractNumId="1" w15:restartNumberingAfterBreak="0">
    <w:nsid w:val="075A30C4"/>
    <w:multiLevelType w:val="singleLevel"/>
    <w:tmpl w:val="F81C1700"/>
    <w:lvl w:ilvl="0">
      <w:start w:val="1"/>
      <w:numFmt w:val="decimal"/>
      <w:lvlText w:val="%1."/>
      <w:lvlJc w:val="left"/>
      <w:pPr>
        <w:tabs>
          <w:tab w:val="num" w:pos="720"/>
        </w:tabs>
        <w:ind w:left="720" w:hanging="360"/>
      </w:pPr>
      <w:rPr>
        <w:rFonts w:hint="default"/>
      </w:rPr>
    </w:lvl>
  </w:abstractNum>
  <w:abstractNum w:abstractNumId="2" w15:restartNumberingAfterBreak="0">
    <w:nsid w:val="519F0523"/>
    <w:multiLevelType w:val="singleLevel"/>
    <w:tmpl w:val="A1AA8A80"/>
    <w:lvl w:ilvl="0">
      <w:start w:val="1"/>
      <w:numFmt w:val="upperLetter"/>
      <w:lvlText w:val="%1."/>
      <w:lvlJc w:val="left"/>
      <w:pPr>
        <w:tabs>
          <w:tab w:val="num" w:pos="720"/>
        </w:tabs>
        <w:ind w:left="720" w:hanging="360"/>
      </w:pPr>
      <w:rPr>
        <w:rFonts w:hint="default"/>
        <w:b/>
      </w:rPr>
    </w:lvl>
  </w:abstractNum>
  <w:abstractNum w:abstractNumId="3" w15:restartNumberingAfterBreak="0">
    <w:nsid w:val="65011BC3"/>
    <w:multiLevelType w:val="hybridMultilevel"/>
    <w:tmpl w:val="530A1F02"/>
    <w:lvl w:ilvl="0" w:tplc="308E1326">
      <w:start w:val="1"/>
      <w:numFmt w:val="upperLetter"/>
      <w:lvlText w:val="%1."/>
      <w:lvlJc w:val="left"/>
      <w:pPr>
        <w:tabs>
          <w:tab w:val="num" w:pos="360"/>
        </w:tabs>
        <w:ind w:left="360" w:hanging="360"/>
      </w:pPr>
      <w:rPr>
        <w:rFonts w:hint="default"/>
        <w:b w:val="0"/>
        <w:bCs w:val="0"/>
      </w:rPr>
    </w:lvl>
    <w:lvl w:ilvl="1" w:tplc="0409000F">
      <w:start w:val="1"/>
      <w:numFmt w:val="decimal"/>
      <w:lvlText w:val="%2."/>
      <w:lvlJc w:val="left"/>
      <w:pPr>
        <w:tabs>
          <w:tab w:val="num" w:pos="1080"/>
        </w:tabs>
        <w:ind w:left="1080" w:hanging="360"/>
      </w:pPr>
      <w:rPr>
        <w:rFonts w:hint="default"/>
        <w:b w:val="0"/>
        <w:bCs w:val="0"/>
      </w:rPr>
    </w:lvl>
    <w:lvl w:ilvl="2" w:tplc="04090015">
      <w:start w:val="1"/>
      <w:numFmt w:val="upperLetter"/>
      <w:lvlText w:val="%3."/>
      <w:lvlJc w:val="left"/>
      <w:pPr>
        <w:tabs>
          <w:tab w:val="num" w:pos="3330"/>
        </w:tabs>
        <w:ind w:left="3330" w:hanging="360"/>
      </w:pPr>
      <w:rPr>
        <w:rFonts w:hint="default"/>
        <w:b w:val="0"/>
        <w:bCs w:val="0"/>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7A393A62"/>
    <w:multiLevelType w:val="singleLevel"/>
    <w:tmpl w:val="E8F46264"/>
    <w:lvl w:ilvl="0">
      <w:start w:val="1"/>
      <w:numFmt w:val="upperLetter"/>
      <w:lvlText w:val="(%1)"/>
      <w:lvlJc w:val="left"/>
      <w:pPr>
        <w:tabs>
          <w:tab w:val="num" w:pos="1800"/>
        </w:tabs>
        <w:ind w:left="1800" w:hanging="360"/>
      </w:pPr>
      <w:rPr>
        <w:rFonts w:hint="default"/>
      </w:rPr>
    </w:lvl>
  </w:abstractNum>
  <w:num w:numId="1">
    <w:abstractNumId w:val="0"/>
  </w:num>
  <w:num w:numId="2">
    <w:abstractNumId w:val="1"/>
  </w:num>
  <w:num w:numId="3">
    <w:abstractNumId w:val="2"/>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0724B"/>
    <w:rsid w:val="000254B0"/>
    <w:rsid w:val="000804EB"/>
    <w:rsid w:val="000D4E43"/>
    <w:rsid w:val="00106A35"/>
    <w:rsid w:val="00133590"/>
    <w:rsid w:val="00155C5C"/>
    <w:rsid w:val="001724A2"/>
    <w:rsid w:val="00175ED4"/>
    <w:rsid w:val="001A56BF"/>
    <w:rsid w:val="001A6FFC"/>
    <w:rsid w:val="001E5E2B"/>
    <w:rsid w:val="001F1352"/>
    <w:rsid w:val="00210061"/>
    <w:rsid w:val="00251F1B"/>
    <w:rsid w:val="00262DBD"/>
    <w:rsid w:val="00295DB1"/>
    <w:rsid w:val="002D7236"/>
    <w:rsid w:val="00306B13"/>
    <w:rsid w:val="0030724B"/>
    <w:rsid w:val="00360930"/>
    <w:rsid w:val="00366578"/>
    <w:rsid w:val="00371AF3"/>
    <w:rsid w:val="003A0AA2"/>
    <w:rsid w:val="003B738C"/>
    <w:rsid w:val="003D571B"/>
    <w:rsid w:val="003F37C5"/>
    <w:rsid w:val="00436206"/>
    <w:rsid w:val="0045234D"/>
    <w:rsid w:val="00464B31"/>
    <w:rsid w:val="00492C7A"/>
    <w:rsid w:val="004E107B"/>
    <w:rsid w:val="004E7A7D"/>
    <w:rsid w:val="00534C95"/>
    <w:rsid w:val="00564BBB"/>
    <w:rsid w:val="005A7684"/>
    <w:rsid w:val="005C7CE9"/>
    <w:rsid w:val="005D52AC"/>
    <w:rsid w:val="0061203B"/>
    <w:rsid w:val="0062198D"/>
    <w:rsid w:val="0062613D"/>
    <w:rsid w:val="00633247"/>
    <w:rsid w:val="00637E73"/>
    <w:rsid w:val="00643EF0"/>
    <w:rsid w:val="00660CDF"/>
    <w:rsid w:val="0067450C"/>
    <w:rsid w:val="00677D08"/>
    <w:rsid w:val="006D4149"/>
    <w:rsid w:val="006E208C"/>
    <w:rsid w:val="007469C5"/>
    <w:rsid w:val="00757246"/>
    <w:rsid w:val="00762A53"/>
    <w:rsid w:val="00767DAF"/>
    <w:rsid w:val="00775D6B"/>
    <w:rsid w:val="007E31DA"/>
    <w:rsid w:val="00810198"/>
    <w:rsid w:val="008277CC"/>
    <w:rsid w:val="00875653"/>
    <w:rsid w:val="00895CD4"/>
    <w:rsid w:val="008A7803"/>
    <w:rsid w:val="008C7BAF"/>
    <w:rsid w:val="008D1221"/>
    <w:rsid w:val="008F33DF"/>
    <w:rsid w:val="00900913"/>
    <w:rsid w:val="009156C5"/>
    <w:rsid w:val="00953580"/>
    <w:rsid w:val="009A63D5"/>
    <w:rsid w:val="009B661F"/>
    <w:rsid w:val="009F0DA8"/>
    <w:rsid w:val="009F6231"/>
    <w:rsid w:val="00A242EE"/>
    <w:rsid w:val="00A972F9"/>
    <w:rsid w:val="00A97610"/>
    <w:rsid w:val="00AC0043"/>
    <w:rsid w:val="00AC4192"/>
    <w:rsid w:val="00AD55A1"/>
    <w:rsid w:val="00AE000E"/>
    <w:rsid w:val="00AF14CF"/>
    <w:rsid w:val="00B113F5"/>
    <w:rsid w:val="00B20003"/>
    <w:rsid w:val="00B31887"/>
    <w:rsid w:val="00B75902"/>
    <w:rsid w:val="00B9621D"/>
    <w:rsid w:val="00B97132"/>
    <w:rsid w:val="00BC7137"/>
    <w:rsid w:val="00BD59DE"/>
    <w:rsid w:val="00BE5853"/>
    <w:rsid w:val="00C10CAA"/>
    <w:rsid w:val="00C16F01"/>
    <w:rsid w:val="00C46436"/>
    <w:rsid w:val="00C61E30"/>
    <w:rsid w:val="00C70CD0"/>
    <w:rsid w:val="00CB1208"/>
    <w:rsid w:val="00CB7A1C"/>
    <w:rsid w:val="00D036ED"/>
    <w:rsid w:val="00D44F2C"/>
    <w:rsid w:val="00D45B85"/>
    <w:rsid w:val="00D46AC6"/>
    <w:rsid w:val="00D53134"/>
    <w:rsid w:val="00D576C2"/>
    <w:rsid w:val="00D83609"/>
    <w:rsid w:val="00DB6F72"/>
    <w:rsid w:val="00DE0CE3"/>
    <w:rsid w:val="00DF361A"/>
    <w:rsid w:val="00DF46F6"/>
    <w:rsid w:val="00E04362"/>
    <w:rsid w:val="00E41A1A"/>
    <w:rsid w:val="00E753F4"/>
    <w:rsid w:val="00E87BD6"/>
    <w:rsid w:val="00E9788D"/>
    <w:rsid w:val="00F02590"/>
    <w:rsid w:val="00F16593"/>
    <w:rsid w:val="00F30364"/>
    <w:rsid w:val="00F46854"/>
    <w:rsid w:val="00F861C1"/>
    <w:rsid w:val="00F87157"/>
    <w:rsid w:val="00FA3F00"/>
    <w:rsid w:val="00FC78C4"/>
    <w:rsid w:val="00FD0BBF"/>
    <w:rsid w:val="00FE47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4FE11C5"/>
  <w15:docId w15:val="{B19AD63B-F84B-460D-8C78-2D61E31B59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link w:val="Heading1Char"/>
    <w:qFormat/>
    <w:rsid w:val="00875653"/>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rPr>
  </w:style>
  <w:style w:type="paragraph" w:styleId="Subtitle">
    <w:name w:val="Subtitle"/>
    <w:basedOn w:val="Normal"/>
    <w:qFormat/>
    <w:rPr>
      <w:b/>
    </w:rPr>
  </w:style>
  <w:style w:type="paragraph" w:styleId="BodyTextIndent">
    <w:name w:val="Body Text Indent"/>
    <w:basedOn w:val="Normal"/>
    <w:pPr>
      <w:ind w:left="360"/>
    </w:pPr>
  </w:style>
  <w:style w:type="paragraph" w:styleId="BalloonText">
    <w:name w:val="Balloon Text"/>
    <w:basedOn w:val="Normal"/>
    <w:semiHidden/>
    <w:rsid w:val="009B661F"/>
    <w:rPr>
      <w:rFonts w:ascii="Tahoma" w:hAnsi="Tahoma" w:cs="Tahoma"/>
      <w:sz w:val="16"/>
      <w:szCs w:val="16"/>
    </w:rPr>
  </w:style>
  <w:style w:type="paragraph" w:styleId="Header">
    <w:name w:val="header"/>
    <w:basedOn w:val="Normal"/>
    <w:link w:val="HeaderChar"/>
    <w:rsid w:val="00BD59DE"/>
    <w:pPr>
      <w:tabs>
        <w:tab w:val="center" w:pos="4680"/>
        <w:tab w:val="right" w:pos="9360"/>
      </w:tabs>
    </w:pPr>
  </w:style>
  <w:style w:type="character" w:customStyle="1" w:styleId="HeaderChar">
    <w:name w:val="Header Char"/>
    <w:basedOn w:val="DefaultParagraphFont"/>
    <w:link w:val="Header"/>
    <w:rsid w:val="00BD59DE"/>
  </w:style>
  <w:style w:type="paragraph" w:styleId="Footer">
    <w:name w:val="footer"/>
    <w:basedOn w:val="Normal"/>
    <w:link w:val="FooterChar"/>
    <w:uiPriority w:val="99"/>
    <w:rsid w:val="00BD59DE"/>
    <w:pPr>
      <w:tabs>
        <w:tab w:val="center" w:pos="4680"/>
        <w:tab w:val="right" w:pos="9360"/>
      </w:tabs>
    </w:pPr>
  </w:style>
  <w:style w:type="character" w:customStyle="1" w:styleId="FooterChar">
    <w:name w:val="Footer Char"/>
    <w:basedOn w:val="DefaultParagraphFont"/>
    <w:link w:val="Footer"/>
    <w:uiPriority w:val="99"/>
    <w:rsid w:val="00BD59DE"/>
  </w:style>
  <w:style w:type="character" w:styleId="SubtleEmphasis">
    <w:name w:val="Subtle Emphasis"/>
    <w:basedOn w:val="DefaultParagraphFont"/>
    <w:uiPriority w:val="19"/>
    <w:qFormat/>
    <w:rsid w:val="00900913"/>
    <w:rPr>
      <w:i/>
      <w:iCs/>
      <w:color w:val="808080" w:themeColor="text1" w:themeTint="7F"/>
    </w:rPr>
  </w:style>
  <w:style w:type="paragraph" w:styleId="BodyText">
    <w:name w:val="Body Text"/>
    <w:basedOn w:val="Normal"/>
    <w:link w:val="BodyTextChar"/>
    <w:semiHidden/>
    <w:unhideWhenUsed/>
    <w:rsid w:val="00F16593"/>
    <w:pPr>
      <w:spacing w:after="120"/>
    </w:pPr>
  </w:style>
  <w:style w:type="character" w:customStyle="1" w:styleId="BodyTextChar">
    <w:name w:val="Body Text Char"/>
    <w:basedOn w:val="DefaultParagraphFont"/>
    <w:link w:val="BodyText"/>
    <w:semiHidden/>
    <w:rsid w:val="00F16593"/>
  </w:style>
  <w:style w:type="paragraph" w:styleId="ListParagraph">
    <w:name w:val="List Paragraph"/>
    <w:basedOn w:val="Normal"/>
    <w:uiPriority w:val="34"/>
    <w:qFormat/>
    <w:rsid w:val="00895CD4"/>
    <w:pPr>
      <w:ind w:left="720"/>
      <w:contextualSpacing/>
    </w:pPr>
    <w:rPr>
      <w:sz w:val="24"/>
      <w:szCs w:val="24"/>
    </w:rPr>
  </w:style>
  <w:style w:type="paragraph" w:styleId="FootnoteText">
    <w:name w:val="footnote text"/>
    <w:basedOn w:val="Normal"/>
    <w:link w:val="FootnoteTextChar"/>
    <w:rsid w:val="00895CD4"/>
    <w:pPr>
      <w:widowControl w:val="0"/>
      <w:autoSpaceDE w:val="0"/>
      <w:autoSpaceDN w:val="0"/>
      <w:adjustRightInd w:val="0"/>
    </w:pPr>
    <w:rPr>
      <w:sz w:val="24"/>
      <w:szCs w:val="24"/>
    </w:rPr>
  </w:style>
  <w:style w:type="character" w:customStyle="1" w:styleId="FootnoteTextChar">
    <w:name w:val="Footnote Text Char"/>
    <w:basedOn w:val="DefaultParagraphFont"/>
    <w:link w:val="FootnoteText"/>
    <w:rsid w:val="00895CD4"/>
    <w:rPr>
      <w:sz w:val="24"/>
      <w:szCs w:val="24"/>
    </w:rPr>
  </w:style>
  <w:style w:type="character" w:styleId="FootnoteReference">
    <w:name w:val="footnote reference"/>
    <w:rsid w:val="00895CD4"/>
    <w:rPr>
      <w:vertAlign w:val="superscript"/>
    </w:rPr>
  </w:style>
  <w:style w:type="character" w:styleId="Hyperlink">
    <w:name w:val="Hyperlink"/>
    <w:uiPriority w:val="99"/>
    <w:unhideWhenUsed/>
    <w:rsid w:val="00895CD4"/>
    <w:rPr>
      <w:color w:val="0000FF"/>
      <w:u w:val="single"/>
    </w:rPr>
  </w:style>
  <w:style w:type="character" w:customStyle="1" w:styleId="Heading1Char">
    <w:name w:val="Heading 1 Char"/>
    <w:basedOn w:val="DefaultParagraphFont"/>
    <w:link w:val="Heading1"/>
    <w:rsid w:val="00875653"/>
    <w:rPr>
      <w:rFonts w:asciiTheme="majorHAnsi" w:eastAsiaTheme="majorEastAsia" w:hAnsiTheme="majorHAnsi" w:cstheme="majorBidi"/>
      <w:color w:val="365F91" w:themeColor="accent1" w:themeShade="BF"/>
      <w:sz w:val="32"/>
      <w:szCs w:val="32"/>
    </w:rPr>
  </w:style>
  <w:style w:type="character" w:styleId="FollowedHyperlink">
    <w:name w:val="FollowedHyperlink"/>
    <w:basedOn w:val="DefaultParagraphFont"/>
    <w:semiHidden/>
    <w:unhideWhenUsed/>
    <w:rsid w:val="00B9621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https://www.bls.gov/news.release/pdf/ecec.pdf" TargetMode="External"/><Relationship Id="rId1" Type="http://schemas.openxmlformats.org/officeDocument/2006/relationships/hyperlink" Target="https://www.bls.gov/oes/current/oes_nat.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497</TotalTime>
  <Pages>5</Pages>
  <Words>1778</Words>
  <Characters>10138</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SUPPORTING STATEMENT</vt:lpstr>
    </vt:vector>
  </TitlesOfParts>
  <Company>FMS</Company>
  <LinksUpToDate>false</LinksUpToDate>
  <CharactersWithSpaces>11893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cbrice</dc:creator>
  <cp:lastModifiedBy>Bruce A. Sharp</cp:lastModifiedBy>
  <cp:revision>12</cp:revision>
  <cp:lastPrinted>2006-03-15T18:50:00Z</cp:lastPrinted>
  <dcterms:created xsi:type="dcterms:W3CDTF">2022-05-10T13:13:00Z</dcterms:created>
  <dcterms:modified xsi:type="dcterms:W3CDTF">2022-05-20T19:38:00Z</dcterms:modified>
</cp:coreProperties>
</file>