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7700" w:rsidR="004726D7" w:rsidP="004726D7" w:rsidRDefault="004726D7" w14:paraId="3FBCC7F4" w14:textId="77777777">
      <w:pPr>
        <w:pStyle w:val="Heading1"/>
      </w:pPr>
    </w:p>
    <w:p w:rsidRPr="0022768C" w:rsidR="004726D7" w:rsidP="004726D7" w:rsidRDefault="004726D7" w14:paraId="484FB7BA" w14:textId="77777777">
      <w:pPr>
        <w:pStyle w:val="Title"/>
      </w:pPr>
      <w:r w:rsidRPr="0022768C">
        <w:rPr>
          <w:sz w:val="36"/>
        </w:rPr>
        <w:t xml:space="preserve">Supporting Statement  </w:t>
      </w:r>
      <w:r w:rsidRPr="0022768C">
        <w:t xml:space="preserve"> </w:t>
      </w:r>
    </w:p>
    <w:p w:rsidR="004726D7" w:rsidP="004726D7" w:rsidRDefault="004726D7" w14:paraId="35483D7A" w14:textId="057C7A03">
      <w:pPr>
        <w:pStyle w:val="Subtitle"/>
      </w:pPr>
      <w:r w:rsidRPr="0022768C">
        <w:t>OMB Number 1530-00</w:t>
      </w:r>
      <w:r>
        <w:t>69</w:t>
      </w:r>
      <w:r w:rsidRPr="0022768C">
        <w:t xml:space="preserve"> </w:t>
      </w:r>
      <w:r w:rsidRPr="0022768C">
        <w:br/>
      </w:r>
      <w:bookmarkStart w:name="_Hlk103348873" w:id="0"/>
      <w:r>
        <w:t>SF 3881</w:t>
      </w:r>
      <w:r w:rsidRPr="0022768C">
        <w:t>; “</w:t>
      </w:r>
      <w:r w:rsidRPr="004726D7">
        <w:t>ACH Vendor/Miscellaneous Payment Enrollment Form</w:t>
      </w:r>
      <w:bookmarkEnd w:id="0"/>
      <w:r w:rsidRPr="0022768C">
        <w:t xml:space="preserve">.”                                                         </w:t>
      </w:r>
      <w:r>
        <w:t xml:space="preserve">                                                                                                                                                                                                                                                                                                                                                                                                                                                                                                                                                                                                                                                                                                                                                                                                                                                                                                                                                                                                                                                                                                                                                                                                                                                                                                                                                                                                                                                                                                                                                                                                                                                                                                                                                                                                                                                                                                                                                                                                                                                                                                                                                                                                                                                                                                                                                                                                                                                                                                                                                                                                                                                                                                                                                                                                                                                                                                                                                                                                                                                                                                                                                                                                                                                                                                                                                                                                                                                                                                                                                                                                                                                                                                                                                                                                                                                                                                                                                                                                                                                                                          </w:t>
      </w:r>
    </w:p>
    <w:p w:rsidR="00664F6F" w:rsidRDefault="00664F6F" w14:paraId="28FB25B5" w14:textId="77777777">
      <w:pPr>
        <w:rPr>
          <w:sz w:val="24"/>
        </w:rPr>
      </w:pPr>
    </w:p>
    <w:p w:rsidR="00664F6F" w:rsidRDefault="00664F6F" w14:paraId="45E2522B" w14:textId="77777777">
      <w:pPr>
        <w:rPr>
          <w:sz w:val="24"/>
        </w:rPr>
      </w:pPr>
    </w:p>
    <w:p w:rsidR="00664F6F" w:rsidRDefault="00664F6F" w14:paraId="1677050E" w14:textId="1B6CBA98">
      <w:pPr>
        <w:rPr>
          <w:b/>
          <w:sz w:val="24"/>
          <w:szCs w:val="24"/>
          <w:u w:val="single"/>
        </w:rPr>
      </w:pPr>
      <w:r w:rsidRPr="00885603">
        <w:rPr>
          <w:b/>
          <w:sz w:val="24"/>
          <w:szCs w:val="24"/>
          <w:u w:val="single"/>
        </w:rPr>
        <w:t>A. JUSTIFICATION</w:t>
      </w:r>
      <w:r w:rsidR="00501900">
        <w:rPr>
          <w:b/>
          <w:sz w:val="24"/>
          <w:szCs w:val="24"/>
          <w:u w:val="single"/>
        </w:rPr>
        <w:t xml:space="preserve">: </w:t>
      </w:r>
    </w:p>
    <w:p w:rsidRPr="00885603" w:rsidR="004726D7" w:rsidRDefault="004726D7" w14:paraId="353F1E87" w14:textId="77777777">
      <w:pPr>
        <w:rPr>
          <w:b/>
          <w:sz w:val="24"/>
          <w:szCs w:val="24"/>
          <w:u w:val="single"/>
        </w:rPr>
      </w:pPr>
    </w:p>
    <w:p w:rsidRPr="004726D7" w:rsidR="004726D7" w:rsidP="004726D7" w:rsidRDefault="004726D7" w14:paraId="3128BDA9" w14:textId="77777777">
      <w:pPr>
        <w:rPr>
          <w:sz w:val="24"/>
          <w:szCs w:val="24"/>
        </w:rPr>
      </w:pPr>
      <w:r w:rsidRPr="004726D7">
        <w:rPr>
          <w:sz w:val="24"/>
          <w:szCs w:val="24"/>
        </w:rPr>
        <w:t>Q8: Current Federal Register citation was added.</w:t>
      </w:r>
    </w:p>
    <w:p w:rsidRPr="004726D7" w:rsidR="004726D7" w:rsidP="004726D7" w:rsidRDefault="004726D7" w14:paraId="0300CEAB" w14:textId="77777777">
      <w:pPr>
        <w:rPr>
          <w:sz w:val="24"/>
          <w:szCs w:val="24"/>
        </w:rPr>
      </w:pPr>
      <w:r w:rsidRPr="004726D7">
        <w:rPr>
          <w:sz w:val="24"/>
          <w:szCs w:val="24"/>
        </w:rPr>
        <w:t>Q11: Reference to the new SORN for Fiscal Service was added.</w:t>
      </w:r>
    </w:p>
    <w:p w:rsidR="00664F6F" w:rsidP="004726D7" w:rsidRDefault="004726D7" w14:paraId="6F099DDC" w14:textId="577685BC">
      <w:pPr>
        <w:rPr>
          <w:sz w:val="24"/>
          <w:szCs w:val="24"/>
        </w:rPr>
      </w:pPr>
      <w:r w:rsidRPr="004726D7">
        <w:rPr>
          <w:sz w:val="24"/>
          <w:szCs w:val="24"/>
        </w:rPr>
        <w:t xml:space="preserve">Q12: The estimated Annual Respondent Cost was </w:t>
      </w:r>
      <w:r>
        <w:rPr>
          <w:sz w:val="24"/>
          <w:szCs w:val="24"/>
        </w:rPr>
        <w:t xml:space="preserve">updated </w:t>
      </w:r>
      <w:r w:rsidR="00E418A5">
        <w:rPr>
          <w:sz w:val="24"/>
          <w:szCs w:val="24"/>
        </w:rPr>
        <w:t>using</w:t>
      </w:r>
      <w:r w:rsidRPr="004726D7">
        <w:rPr>
          <w:sz w:val="24"/>
          <w:szCs w:val="24"/>
        </w:rPr>
        <w:t xml:space="preserve"> National Occupational Employment and Wage Estimates</w:t>
      </w:r>
    </w:p>
    <w:p w:rsidRPr="004726D7" w:rsidR="0095132D" w:rsidP="004726D7" w:rsidRDefault="0095132D" w14:paraId="78F551F6" w14:textId="368A152C">
      <w:pPr>
        <w:rPr>
          <w:sz w:val="24"/>
          <w:szCs w:val="24"/>
        </w:rPr>
      </w:pPr>
      <w:r>
        <w:rPr>
          <w:sz w:val="24"/>
          <w:szCs w:val="24"/>
        </w:rPr>
        <w:t>Q14: Updated Government Cost using current mailing and wage rates</w:t>
      </w:r>
    </w:p>
    <w:p w:rsidRPr="00885603" w:rsidR="004726D7" w:rsidRDefault="004726D7" w14:paraId="1CBDDC3E" w14:textId="77777777">
      <w:pPr>
        <w:rPr>
          <w:sz w:val="24"/>
          <w:szCs w:val="24"/>
        </w:rPr>
      </w:pPr>
    </w:p>
    <w:p w:rsidRPr="00885603" w:rsidR="008A1FA7" w:rsidP="008A1FA7" w:rsidRDefault="008A1FA7" w14:paraId="5EF9EE77" w14:textId="77777777">
      <w:pPr>
        <w:rPr>
          <w:sz w:val="24"/>
          <w:szCs w:val="24"/>
        </w:rPr>
      </w:pPr>
      <w:r w:rsidRPr="00885603">
        <w:rPr>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885603">
        <w:rPr>
          <w:sz w:val="24"/>
          <w:szCs w:val="24"/>
        </w:rPr>
        <w:t xml:space="preserve"> </w:t>
      </w:r>
    </w:p>
    <w:p w:rsidRPr="00885603" w:rsidR="008A1FA7" w:rsidRDefault="008A1FA7" w14:paraId="353E3AA6" w14:textId="77777777">
      <w:pPr>
        <w:rPr>
          <w:sz w:val="24"/>
          <w:szCs w:val="24"/>
        </w:rPr>
      </w:pPr>
    </w:p>
    <w:p w:rsidRPr="00885603" w:rsidR="00664F6F" w:rsidRDefault="00664F6F" w14:paraId="2F5CCFF7" w14:textId="77777777">
      <w:pPr>
        <w:rPr>
          <w:sz w:val="24"/>
          <w:szCs w:val="24"/>
        </w:rPr>
      </w:pPr>
      <w:r w:rsidRPr="00885603">
        <w:rPr>
          <w:sz w:val="24"/>
          <w:szCs w:val="24"/>
        </w:rPr>
        <w:t>Treasury implemented several initiatives in July 1987 and continues to encourage agencies to convert their vendor and miscellaneous payment activity from checks to the Automated Clearing House (ACH) payments. The use of the Electronic Funds Transfer (EFT)/ACH network requires the gathering of pertinent financial institution information from payment recipients. The information is used to process payments through the Federal Reserve System to recipients' financial institutions. The information is collected by authority of 31 USC 3322 and 31 CFR Part 210. 31 USC 3322(g) requires recipients of Federal payments to "designate one or more financial institutions or other authorized payment agent to which such payments shall be made" and "provide the Federal agency that makes or authorizes the payment information necessary for the recipient to receive EFT payments." Section 31001(x) of the Debt Collection Improvement Act (DCIA) (Chapter 10 of the Omnibus Consolidated Recession and Appropriations At of 1996) Public Law, 104-13 4 requires Federal agencies to effect all payments via EFT to recipients who become eligible to receive such payments on or after July 26, 1996. In order to effect payments electronically, Federal Program Agencies must collect from each recipient of payments the name of the financial institution, Routing and Transit Number (RTN) and account number of the financial institution where the payment is to be sent.</w:t>
      </w:r>
    </w:p>
    <w:p w:rsidRPr="00885603" w:rsidR="008A1FA7" w:rsidRDefault="008A1FA7" w14:paraId="16A31285" w14:textId="77777777">
      <w:pPr>
        <w:rPr>
          <w:sz w:val="24"/>
          <w:szCs w:val="24"/>
        </w:rPr>
      </w:pPr>
    </w:p>
    <w:p w:rsidRPr="00885603" w:rsidR="008A1FA7" w:rsidP="008A1FA7" w:rsidRDefault="008A1FA7" w14:paraId="090A3F5A" w14:textId="77777777">
      <w:pPr>
        <w:rPr>
          <w:sz w:val="24"/>
          <w:szCs w:val="24"/>
        </w:rPr>
      </w:pPr>
      <w:r w:rsidRPr="00885603">
        <w:rPr>
          <w:b/>
          <w:sz w:val="24"/>
          <w:szCs w:val="24"/>
        </w:rPr>
        <w:t>2.  Indicate how, by whom, and for what purpose the information is to be used.  Except for a new collection, indicate the actual use the agency has made of the information received from the current collection</w:t>
      </w:r>
      <w:r w:rsidRPr="00885603">
        <w:rPr>
          <w:sz w:val="24"/>
          <w:szCs w:val="24"/>
        </w:rPr>
        <w:t xml:space="preserve">. </w:t>
      </w:r>
    </w:p>
    <w:p w:rsidRPr="00885603" w:rsidR="008A1FA7" w:rsidRDefault="008A1FA7" w14:paraId="692D1AA9" w14:textId="77777777">
      <w:pPr>
        <w:rPr>
          <w:sz w:val="24"/>
          <w:szCs w:val="24"/>
        </w:rPr>
      </w:pPr>
    </w:p>
    <w:p w:rsidRPr="00885603" w:rsidR="00664F6F" w:rsidRDefault="00664F6F" w14:paraId="0264C3BA" w14:textId="77777777">
      <w:pPr>
        <w:rPr>
          <w:sz w:val="24"/>
          <w:szCs w:val="24"/>
        </w:rPr>
      </w:pPr>
      <w:r w:rsidRPr="00885603">
        <w:rPr>
          <w:sz w:val="24"/>
          <w:szCs w:val="24"/>
        </w:rPr>
        <w:t>The SF 3881 is used by Federal Program agencies to gather essential payment data from vendors for processing payments through the ACH network to the vendor's financial institution. Treasury/</w:t>
      </w:r>
      <w:r w:rsidRPr="00885603" w:rsidR="006E438D">
        <w:rPr>
          <w:sz w:val="24"/>
          <w:szCs w:val="24"/>
        </w:rPr>
        <w:t>F</w:t>
      </w:r>
      <w:r w:rsidR="006E438D">
        <w:rPr>
          <w:sz w:val="24"/>
          <w:szCs w:val="24"/>
        </w:rPr>
        <w:t xml:space="preserve">iscal Service </w:t>
      </w:r>
      <w:r w:rsidRPr="00885603">
        <w:rPr>
          <w:sz w:val="24"/>
          <w:szCs w:val="24"/>
        </w:rPr>
        <w:t xml:space="preserve">cannot process an ACH credit transaction without the </w:t>
      </w:r>
      <w:r w:rsidRPr="00885603">
        <w:rPr>
          <w:sz w:val="24"/>
          <w:szCs w:val="24"/>
        </w:rPr>
        <w:lastRenderedPageBreak/>
        <w:t xml:space="preserve">vendor's financial institution information. The data received by using this technique enables the agency to pay vendors </w:t>
      </w:r>
      <w:r w:rsidR="007879EC">
        <w:rPr>
          <w:sz w:val="24"/>
          <w:szCs w:val="24"/>
        </w:rPr>
        <w:t xml:space="preserve">and miscellaneous recipients </w:t>
      </w:r>
      <w:r w:rsidRPr="00885603">
        <w:rPr>
          <w:sz w:val="24"/>
          <w:szCs w:val="24"/>
        </w:rPr>
        <w:t>electronically.</w:t>
      </w:r>
    </w:p>
    <w:p w:rsidRPr="00885603" w:rsidR="00664F6F" w:rsidRDefault="00664F6F" w14:paraId="6EB5737C" w14:textId="77777777">
      <w:pPr>
        <w:rPr>
          <w:sz w:val="24"/>
          <w:szCs w:val="24"/>
        </w:rPr>
      </w:pPr>
    </w:p>
    <w:p w:rsidRPr="00885603" w:rsidR="008A1FA7" w:rsidP="008A1FA7" w:rsidRDefault="008A1FA7" w14:paraId="421C4FBD" w14:textId="77777777">
      <w:pPr>
        <w:rPr>
          <w:b/>
          <w:sz w:val="24"/>
          <w:szCs w:val="24"/>
        </w:rPr>
      </w:pPr>
      <w:r w:rsidRPr="00885603">
        <w:rPr>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885603" w:rsidR="008A1FA7" w:rsidRDefault="008A1FA7" w14:paraId="532BE199" w14:textId="77777777">
      <w:pPr>
        <w:rPr>
          <w:sz w:val="24"/>
          <w:szCs w:val="24"/>
        </w:rPr>
      </w:pPr>
    </w:p>
    <w:p w:rsidRPr="00885603" w:rsidR="00664F6F" w:rsidRDefault="00B10BEA" w14:paraId="557A7F8D" w14:textId="77777777">
      <w:pPr>
        <w:rPr>
          <w:sz w:val="24"/>
          <w:szCs w:val="24"/>
        </w:rPr>
      </w:pPr>
      <w:r>
        <w:rPr>
          <w:sz w:val="24"/>
          <w:szCs w:val="24"/>
        </w:rPr>
        <w:t>The Bureau of the Fiscal Service</w:t>
      </w:r>
      <w:r w:rsidR="00601E2D">
        <w:rPr>
          <w:sz w:val="24"/>
          <w:szCs w:val="24"/>
        </w:rPr>
        <w:t xml:space="preserve"> (Fiscal Service</w:t>
      </w:r>
      <w:r w:rsidR="00153930">
        <w:rPr>
          <w:sz w:val="24"/>
          <w:szCs w:val="24"/>
        </w:rPr>
        <w:t>/FS</w:t>
      </w:r>
      <w:r w:rsidR="00601E2D">
        <w:rPr>
          <w:sz w:val="24"/>
          <w:szCs w:val="24"/>
        </w:rPr>
        <w:t>)</w:t>
      </w:r>
      <w:r>
        <w:rPr>
          <w:sz w:val="24"/>
          <w:szCs w:val="24"/>
        </w:rPr>
        <w:t xml:space="preserve"> </w:t>
      </w:r>
      <w:r w:rsidRPr="00885603" w:rsidR="00664F6F">
        <w:rPr>
          <w:sz w:val="24"/>
          <w:szCs w:val="24"/>
        </w:rPr>
        <w:t>and other agencies are making efforts to streamline the enrollment process and make it less cumbersome, especially in light of the mandatory EFT legislation. Agencies have the option of whether to use the SF 3881.</w:t>
      </w:r>
    </w:p>
    <w:p w:rsidRPr="00885603" w:rsidR="00664F6F" w:rsidRDefault="00664F6F" w14:paraId="577C1D50" w14:textId="77777777">
      <w:pPr>
        <w:rPr>
          <w:sz w:val="24"/>
          <w:szCs w:val="24"/>
        </w:rPr>
      </w:pPr>
    </w:p>
    <w:p w:rsidRPr="00885603" w:rsidR="00664F6F" w:rsidRDefault="00664F6F" w14:paraId="4F7D5EC7" w14:textId="77777777">
      <w:pPr>
        <w:rPr>
          <w:sz w:val="24"/>
          <w:szCs w:val="24"/>
        </w:rPr>
      </w:pPr>
      <w:r w:rsidRPr="00885603">
        <w:rPr>
          <w:sz w:val="24"/>
          <w:szCs w:val="24"/>
        </w:rPr>
        <w:t>A revised Federal Acquisition Regulation (FAR) clause was published in the Federal Register on March 4, 1999. The FAR/EFT final rule makes the collection of EFT payment data as a condition to any payment under a contract by the appropriate payment offices (not necessarily using the SF 3881). This requirement reduces the burden of collecting this data on an SF 3881 by every payment office within an agency. Banking information for EFT payment can be collected at the time of contract award or when the invoice is submitted by the vendor for payment. Many Federal agencies are using electronic systems to gather and manage contracting information, including EFT information. Vendors and agencies are also increasing their use of electronic invoicing. Both of these trends, coupled with the FAR EFT clause, are leading to a more automated way of collecting ACH information for vendor payments.</w:t>
      </w:r>
    </w:p>
    <w:p w:rsidRPr="00885603" w:rsidR="00664F6F" w:rsidRDefault="00664F6F" w14:paraId="17A9D488" w14:textId="77777777">
      <w:pPr>
        <w:rPr>
          <w:sz w:val="24"/>
          <w:szCs w:val="24"/>
        </w:rPr>
      </w:pPr>
    </w:p>
    <w:p w:rsidR="00664F6F" w:rsidRDefault="00A228F4" w14:paraId="694B2FE2" w14:textId="77777777">
      <w:pPr>
        <w:rPr>
          <w:sz w:val="24"/>
          <w:szCs w:val="24"/>
        </w:rPr>
      </w:pPr>
      <w:r>
        <w:rPr>
          <w:sz w:val="24"/>
          <w:szCs w:val="24"/>
        </w:rPr>
        <w:t>S</w:t>
      </w:r>
      <w:r w:rsidR="00B5219D">
        <w:rPr>
          <w:sz w:val="24"/>
          <w:szCs w:val="24"/>
        </w:rPr>
        <w:t xml:space="preserve">ystem for </w:t>
      </w:r>
      <w:r>
        <w:rPr>
          <w:sz w:val="24"/>
          <w:szCs w:val="24"/>
        </w:rPr>
        <w:t>A</w:t>
      </w:r>
      <w:r w:rsidR="00B5219D">
        <w:rPr>
          <w:sz w:val="24"/>
          <w:szCs w:val="24"/>
        </w:rPr>
        <w:t xml:space="preserve">ward </w:t>
      </w:r>
      <w:r>
        <w:rPr>
          <w:sz w:val="24"/>
          <w:szCs w:val="24"/>
        </w:rPr>
        <w:t>M</w:t>
      </w:r>
      <w:r w:rsidR="00B5219D">
        <w:rPr>
          <w:sz w:val="24"/>
          <w:szCs w:val="24"/>
        </w:rPr>
        <w:t>anagement (SAM), previously Central Contractor Registration (CCR) database,</w:t>
      </w:r>
      <w:r w:rsidRPr="00885603" w:rsidR="00664F6F">
        <w:rPr>
          <w:sz w:val="24"/>
          <w:szCs w:val="24"/>
        </w:rPr>
        <w:t xml:space="preserve"> was designed by the Department of Defense (DOD) in July 1998 to allow for one-time, government-wide enrollment for procurement and finance. Among other required data, </w:t>
      </w:r>
      <w:r w:rsidR="00601E2D">
        <w:rPr>
          <w:sz w:val="24"/>
          <w:szCs w:val="24"/>
        </w:rPr>
        <w:t>SAM</w:t>
      </w:r>
      <w:r w:rsidRPr="00885603" w:rsidR="00664F6F">
        <w:rPr>
          <w:sz w:val="24"/>
          <w:szCs w:val="24"/>
        </w:rPr>
        <w:t xml:space="preserve"> collects bank account information that is needed to generate electronic payments. This database minimizes the need to collect payment data from registered vendors using the SF 3881</w:t>
      </w:r>
      <w:r w:rsidR="00601E2D">
        <w:rPr>
          <w:sz w:val="24"/>
          <w:szCs w:val="24"/>
        </w:rPr>
        <w:t xml:space="preserve"> and significantly reduces the burden of collecting banking data on an SF 3881</w:t>
      </w:r>
      <w:r w:rsidRPr="00885603" w:rsidR="00664F6F">
        <w:rPr>
          <w:sz w:val="24"/>
          <w:szCs w:val="24"/>
        </w:rPr>
        <w:t xml:space="preserve">. Currently, it is available for use by all Federal agencies at </w:t>
      </w:r>
      <w:hyperlink w:history="1" r:id="rId8">
        <w:r w:rsidRPr="003F372E" w:rsidR="003F372E">
          <w:rPr>
            <w:rStyle w:val="Hyperlink"/>
            <w:sz w:val="24"/>
            <w:szCs w:val="24"/>
          </w:rPr>
          <w:t>www.SAM</w:t>
        </w:r>
        <w:r w:rsidRPr="0060634C" w:rsidR="003F372E">
          <w:rPr>
            <w:rStyle w:val="Hyperlink"/>
            <w:sz w:val="24"/>
            <w:szCs w:val="24"/>
          </w:rPr>
          <w:t>.gov</w:t>
        </w:r>
      </w:hyperlink>
      <w:r w:rsidRPr="00885603" w:rsidR="00664F6F">
        <w:rPr>
          <w:sz w:val="24"/>
          <w:szCs w:val="24"/>
        </w:rPr>
        <w:t xml:space="preserve">. Additionally, </w:t>
      </w:r>
      <w:r w:rsidR="0033572B">
        <w:rPr>
          <w:sz w:val="24"/>
          <w:szCs w:val="24"/>
        </w:rPr>
        <w:t xml:space="preserve">Federal agencies </w:t>
      </w:r>
      <w:r w:rsidRPr="00885603" w:rsidR="00664F6F">
        <w:rPr>
          <w:sz w:val="24"/>
          <w:szCs w:val="24"/>
        </w:rPr>
        <w:t xml:space="preserve">require contractor registration in </w:t>
      </w:r>
      <w:r w:rsidR="0033572B">
        <w:rPr>
          <w:sz w:val="24"/>
          <w:szCs w:val="24"/>
        </w:rPr>
        <w:t>SAM</w:t>
      </w:r>
      <w:r w:rsidRPr="00885603" w:rsidR="00664F6F">
        <w:rPr>
          <w:sz w:val="24"/>
          <w:szCs w:val="24"/>
        </w:rPr>
        <w:t xml:space="preserve"> prior to award of any contract, basic agreement, basic ordering agreement, or blanket purchase agreement. </w:t>
      </w:r>
    </w:p>
    <w:p w:rsidRPr="00885603" w:rsidR="0029498E" w:rsidRDefault="0029498E" w14:paraId="0478E013" w14:textId="77777777">
      <w:pPr>
        <w:rPr>
          <w:sz w:val="24"/>
          <w:szCs w:val="24"/>
        </w:rPr>
      </w:pPr>
    </w:p>
    <w:p w:rsidRPr="003E1A06" w:rsidR="00B30673" w:rsidP="00B30673" w:rsidRDefault="00B30673" w14:paraId="2C38ECC1" w14:textId="77777777">
      <w:pPr>
        <w:pStyle w:val="NormalWeb"/>
        <w:rPr>
          <w:rFonts w:ascii="Times New Roman" w:hAnsi="Times New Roman"/>
          <w:sz w:val="24"/>
          <w:szCs w:val="24"/>
        </w:rPr>
      </w:pPr>
      <w:r w:rsidRPr="003E1A06">
        <w:rPr>
          <w:rFonts w:ascii="Times New Roman" w:hAnsi="Times New Roman"/>
          <w:sz w:val="24"/>
          <w:szCs w:val="24"/>
        </w:rPr>
        <w:t xml:space="preserve">The </w:t>
      </w:r>
      <w:hyperlink w:history="1" r:id="rId9">
        <w:r w:rsidRPr="003E1A06">
          <w:rPr>
            <w:rStyle w:val="Hyperlink"/>
            <w:sz w:val="24"/>
            <w:szCs w:val="24"/>
          </w:rPr>
          <w:t>Debt Collection Improvement Act of 1996</w:t>
        </w:r>
      </w:hyperlink>
      <w:r w:rsidRPr="003E1A06">
        <w:rPr>
          <w:rFonts w:ascii="Times New Roman" w:hAnsi="Times New Roman"/>
          <w:sz w:val="24"/>
          <w:szCs w:val="24"/>
        </w:rPr>
        <w:t xml:space="preserve">, part of (P.L. 104-134 </w:t>
      </w:r>
      <w:hyperlink w:history="1" r:id="rId10">
        <w:r w:rsidRPr="003E1A06">
          <w:rPr>
            <w:rStyle w:val="Hyperlink"/>
            <w:sz w:val="24"/>
            <w:szCs w:val="24"/>
          </w:rPr>
          <w:t>Section 31001 (X)</w:t>
        </w:r>
      </w:hyperlink>
      <w:r w:rsidRPr="003E1A06">
        <w:rPr>
          <w:rFonts w:ascii="Times New Roman" w:hAnsi="Times New Roman"/>
          <w:sz w:val="24"/>
          <w:szCs w:val="24"/>
        </w:rPr>
        <w:t>, has, in addition to other requirements, mandated the use of electronic funds transfer (EFT) for federal payments. The legislation provides the stimulus for the federal government to move forward its goal of increased electronic commerce. The Vendor Express EFT/EDI Program plays a very important role in implementing mandatory EFT.</w:t>
      </w:r>
    </w:p>
    <w:p w:rsidRPr="00885603" w:rsidR="00664F6F" w:rsidRDefault="00664F6F" w14:paraId="1EDF7644" w14:textId="77777777">
      <w:pPr>
        <w:rPr>
          <w:sz w:val="24"/>
          <w:szCs w:val="24"/>
        </w:rPr>
      </w:pPr>
    </w:p>
    <w:p w:rsidRPr="00885603" w:rsidR="00664F6F" w:rsidRDefault="00664F6F" w14:paraId="7DC8D37C" w14:textId="77777777">
      <w:pPr>
        <w:rPr>
          <w:sz w:val="24"/>
          <w:szCs w:val="24"/>
        </w:rPr>
      </w:pPr>
      <w:r w:rsidRPr="00885603">
        <w:rPr>
          <w:sz w:val="24"/>
          <w:szCs w:val="24"/>
        </w:rPr>
        <w:t xml:space="preserve">The SF 3881 is available as an electronic document on the </w:t>
      </w:r>
      <w:r w:rsidR="00A228F4">
        <w:rPr>
          <w:sz w:val="24"/>
          <w:szCs w:val="24"/>
        </w:rPr>
        <w:t>Fiscal Service</w:t>
      </w:r>
      <w:r w:rsidR="00601E2D">
        <w:rPr>
          <w:sz w:val="24"/>
          <w:szCs w:val="24"/>
        </w:rPr>
        <w:t>’s</w:t>
      </w:r>
      <w:r w:rsidRPr="00885603" w:rsidR="00A228F4">
        <w:rPr>
          <w:sz w:val="24"/>
          <w:szCs w:val="24"/>
        </w:rPr>
        <w:t xml:space="preserve"> </w:t>
      </w:r>
      <w:r w:rsidR="00261341">
        <w:rPr>
          <w:sz w:val="24"/>
          <w:szCs w:val="24"/>
        </w:rPr>
        <w:t>website</w:t>
      </w:r>
      <w:r w:rsidRPr="00885603">
        <w:rPr>
          <w:sz w:val="24"/>
          <w:szCs w:val="24"/>
        </w:rPr>
        <w:t xml:space="preserve"> at: </w:t>
      </w:r>
      <w:r w:rsidRPr="001E374C" w:rsidR="001E374C">
        <w:rPr>
          <w:color w:val="0000FF"/>
          <w:sz w:val="24"/>
          <w:szCs w:val="24"/>
          <w:u w:val="single"/>
        </w:rPr>
        <w:t>https://www.fiscal.treasury.gov/files/forms/3881.pdf</w:t>
      </w:r>
    </w:p>
    <w:p w:rsidRPr="00885603" w:rsidR="00664F6F" w:rsidRDefault="00664F6F" w14:paraId="1C663283" w14:textId="77777777">
      <w:pPr>
        <w:rPr>
          <w:sz w:val="24"/>
          <w:szCs w:val="24"/>
        </w:rPr>
      </w:pPr>
      <w:r w:rsidRPr="00885603">
        <w:rPr>
          <w:sz w:val="24"/>
          <w:szCs w:val="24"/>
        </w:rPr>
        <w:lastRenderedPageBreak/>
        <w:t>Many Federal agencies are using the electronic generated copies of the SF 3881. These procedures have expedited the enrollment process, improved the accuracy of enrollment information, and reduced the burden and costs associated with the formal enrollment</w:t>
      </w:r>
      <w:r w:rsidR="001E374C">
        <w:rPr>
          <w:sz w:val="24"/>
          <w:szCs w:val="24"/>
        </w:rPr>
        <w:t xml:space="preserve"> </w:t>
      </w:r>
      <w:r w:rsidRPr="00885603">
        <w:rPr>
          <w:sz w:val="24"/>
          <w:szCs w:val="24"/>
        </w:rPr>
        <w:t>process.</w:t>
      </w:r>
    </w:p>
    <w:p w:rsidRPr="00885603" w:rsidR="00664F6F" w:rsidRDefault="00664F6F" w14:paraId="17AC85D0" w14:textId="77777777">
      <w:pPr>
        <w:rPr>
          <w:sz w:val="24"/>
          <w:szCs w:val="24"/>
        </w:rPr>
      </w:pPr>
    </w:p>
    <w:p w:rsidRPr="00885603" w:rsidR="008A1FA7" w:rsidRDefault="00664F6F" w14:paraId="50963535" w14:textId="77777777">
      <w:pPr>
        <w:rPr>
          <w:sz w:val="24"/>
          <w:szCs w:val="24"/>
        </w:rPr>
      </w:pPr>
      <w:r w:rsidRPr="00885603">
        <w:rPr>
          <w:sz w:val="24"/>
          <w:szCs w:val="24"/>
        </w:rPr>
        <w:t>The use of Value Added Networks (VANS) and the Internet will facilitate the collection and maintenance of vendor payment data electronically. Employing these capabilities will also reduce the use of the SF 3881 enrollment form.</w:t>
      </w:r>
    </w:p>
    <w:p w:rsidR="00885603" w:rsidP="008A1FA7" w:rsidRDefault="00885603" w14:paraId="2D841862" w14:textId="77777777">
      <w:pPr>
        <w:rPr>
          <w:b/>
          <w:sz w:val="24"/>
          <w:szCs w:val="24"/>
        </w:rPr>
      </w:pPr>
    </w:p>
    <w:p w:rsidRPr="00885603" w:rsidR="008A1FA7" w:rsidP="008A1FA7" w:rsidRDefault="008A1FA7" w14:paraId="3FA8312E" w14:textId="77777777">
      <w:pPr>
        <w:rPr>
          <w:b/>
          <w:sz w:val="24"/>
          <w:szCs w:val="24"/>
        </w:rPr>
      </w:pPr>
      <w:r w:rsidRPr="00885603">
        <w:rPr>
          <w:b/>
          <w:sz w:val="24"/>
          <w:szCs w:val="24"/>
        </w:rPr>
        <w:t xml:space="preserve">4.  Describe efforts to identify duplication.  Show specifically why any similar information already available cannot be used or modified for use for the purposes described in Item 2 above. </w:t>
      </w:r>
    </w:p>
    <w:p w:rsidRPr="00885603" w:rsidR="008A1FA7" w:rsidP="008A1FA7" w:rsidRDefault="008A1FA7" w14:paraId="327399CA" w14:textId="77777777">
      <w:pPr>
        <w:rPr>
          <w:sz w:val="24"/>
          <w:szCs w:val="24"/>
        </w:rPr>
      </w:pPr>
      <w:r w:rsidRPr="00885603">
        <w:rPr>
          <w:sz w:val="24"/>
          <w:szCs w:val="24"/>
        </w:rPr>
        <w:t xml:space="preserve"> </w:t>
      </w:r>
    </w:p>
    <w:p w:rsidRPr="00885603" w:rsidR="00664F6F" w:rsidRDefault="00664F6F" w14:paraId="17DF9953" w14:textId="77777777">
      <w:pPr>
        <w:rPr>
          <w:sz w:val="24"/>
          <w:szCs w:val="24"/>
        </w:rPr>
      </w:pPr>
      <w:r w:rsidRPr="00885603">
        <w:rPr>
          <w:sz w:val="24"/>
          <w:szCs w:val="24"/>
        </w:rPr>
        <w:t>The information on the SF 3881 is collected solely to effect payments electronically. There is no other similar information that can be used to effect payments electronically. Also, as described in Item 3, initiatives in use today are reducing and eliminating the burden imposed on collecting this data.</w:t>
      </w:r>
    </w:p>
    <w:p w:rsidRPr="00885603" w:rsidR="00664F6F" w:rsidRDefault="00664F6F" w14:paraId="7809CECE" w14:textId="77777777">
      <w:pPr>
        <w:rPr>
          <w:sz w:val="24"/>
          <w:szCs w:val="24"/>
        </w:rPr>
      </w:pPr>
    </w:p>
    <w:p w:rsidRPr="00885603" w:rsidR="008A1FA7" w:rsidP="008A1FA7" w:rsidRDefault="008A1FA7" w14:paraId="2B4FA3E2" w14:textId="77777777">
      <w:pPr>
        <w:rPr>
          <w:b/>
          <w:sz w:val="24"/>
          <w:szCs w:val="24"/>
        </w:rPr>
      </w:pPr>
      <w:r w:rsidRPr="00885603">
        <w:rPr>
          <w:b/>
          <w:sz w:val="24"/>
          <w:szCs w:val="24"/>
        </w:rPr>
        <w:t>5.  If the collection of information impacts small businesses or other small entities (Item 5 of OMB Form 83-I), describe any methods used to minimize burden.</w:t>
      </w:r>
    </w:p>
    <w:p w:rsidRPr="00885603" w:rsidR="008A1FA7" w:rsidRDefault="008A1FA7" w14:paraId="294ED012" w14:textId="77777777">
      <w:pPr>
        <w:rPr>
          <w:sz w:val="24"/>
          <w:szCs w:val="24"/>
        </w:rPr>
      </w:pPr>
    </w:p>
    <w:p w:rsidRPr="00885603" w:rsidR="00664F6F" w:rsidRDefault="00664F6F" w14:paraId="4F911A81" w14:textId="77777777">
      <w:pPr>
        <w:rPr>
          <w:sz w:val="24"/>
          <w:szCs w:val="24"/>
        </w:rPr>
      </w:pPr>
      <w:r w:rsidRPr="00885603">
        <w:rPr>
          <w:sz w:val="24"/>
          <w:szCs w:val="24"/>
        </w:rPr>
        <w:t>There is no correlation between the size of the business and amount of data required and or the amount of time required to complete an SF 3881 form. The instant collection of information will have no significant effect on small businesses and other small entities. Moreover, all practical steps have been taken to simplify this collection of information for small businesses (see Item 3 above).</w:t>
      </w:r>
    </w:p>
    <w:p w:rsidRPr="00885603" w:rsidR="008A1FA7" w:rsidRDefault="008A1FA7" w14:paraId="0CB2AA26" w14:textId="77777777">
      <w:pPr>
        <w:rPr>
          <w:sz w:val="24"/>
          <w:szCs w:val="24"/>
        </w:rPr>
      </w:pPr>
    </w:p>
    <w:p w:rsidRPr="00885603" w:rsidR="008A1FA7" w:rsidP="008A1FA7" w:rsidRDefault="008A1FA7" w14:paraId="3D361AC5" w14:textId="77777777">
      <w:pPr>
        <w:rPr>
          <w:b/>
          <w:sz w:val="24"/>
          <w:szCs w:val="24"/>
        </w:rPr>
      </w:pPr>
      <w:r w:rsidRPr="00885603">
        <w:rPr>
          <w:b/>
          <w:sz w:val="24"/>
          <w:szCs w:val="24"/>
        </w:rPr>
        <w:t>6.  Describe the consequence to Federal program or policy activities if the collection is not conducted or is conducted less frequently, as well as any technical or legal obstacles to reducing burden.</w:t>
      </w:r>
    </w:p>
    <w:p w:rsidRPr="00885603" w:rsidR="008A1FA7" w:rsidP="008A1FA7" w:rsidRDefault="008A1FA7" w14:paraId="5FADBC6D" w14:textId="77777777">
      <w:pPr>
        <w:rPr>
          <w:sz w:val="24"/>
          <w:szCs w:val="24"/>
        </w:rPr>
      </w:pPr>
      <w:r w:rsidRPr="00885603">
        <w:rPr>
          <w:sz w:val="24"/>
          <w:szCs w:val="24"/>
        </w:rPr>
        <w:t xml:space="preserve"> </w:t>
      </w:r>
    </w:p>
    <w:p w:rsidRPr="00885603" w:rsidR="00664F6F" w:rsidRDefault="00664F6F" w14:paraId="272278AB" w14:textId="77777777">
      <w:pPr>
        <w:rPr>
          <w:sz w:val="24"/>
          <w:szCs w:val="24"/>
        </w:rPr>
      </w:pPr>
      <w:r w:rsidRPr="00885603">
        <w:rPr>
          <w:sz w:val="24"/>
          <w:szCs w:val="24"/>
        </w:rPr>
        <w:t>The collection of this information is usually a one-time collection from each vendor and cannot be collected less frequently. If the collection is not conducted Federal agencies will be unable to comply with Public Law 104-134 (DCIA).</w:t>
      </w:r>
    </w:p>
    <w:p w:rsidRPr="00885603" w:rsidR="00664F6F" w:rsidRDefault="00664F6F" w14:paraId="707BEE24" w14:textId="77777777">
      <w:pPr>
        <w:rPr>
          <w:sz w:val="24"/>
          <w:szCs w:val="24"/>
        </w:rPr>
      </w:pPr>
    </w:p>
    <w:p w:rsidRPr="00885603" w:rsidR="008A1FA7" w:rsidP="008A1FA7" w:rsidRDefault="008A1FA7" w14:paraId="5D6BD9DB" w14:textId="77777777">
      <w:pPr>
        <w:rPr>
          <w:b/>
          <w:sz w:val="24"/>
          <w:szCs w:val="24"/>
        </w:rPr>
      </w:pPr>
      <w:r w:rsidRPr="00885603">
        <w:rPr>
          <w:b/>
          <w:sz w:val="24"/>
          <w:szCs w:val="24"/>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etc.</w:t>
      </w:r>
    </w:p>
    <w:p w:rsidRPr="00885603" w:rsidR="008A1FA7" w:rsidRDefault="008A1FA7" w14:paraId="0D918D4A" w14:textId="77777777">
      <w:pPr>
        <w:rPr>
          <w:sz w:val="24"/>
          <w:szCs w:val="24"/>
        </w:rPr>
      </w:pPr>
    </w:p>
    <w:p w:rsidR="001C1C33" w:rsidP="00AF3362" w:rsidRDefault="006C4FF7" w14:paraId="23E6047C" w14:textId="77777777">
      <w:pPr>
        <w:rPr>
          <w:noProof w:val="0"/>
          <w:sz w:val="24"/>
        </w:rPr>
      </w:pPr>
      <w:r>
        <w:rPr>
          <w:noProof w:val="0"/>
          <w:sz w:val="24"/>
        </w:rPr>
        <w:t>There are no special circumstances that would require that this information be collected in the manner described in any of the clauses of this section.</w:t>
      </w:r>
    </w:p>
    <w:p w:rsidRPr="00261341" w:rsidR="00261341" w:rsidP="00261341" w:rsidRDefault="00261341" w14:paraId="4A46D027" w14:textId="77777777">
      <w:pPr>
        <w:ind w:left="90" w:hanging="90"/>
        <w:rPr>
          <w:noProof w:val="0"/>
          <w:sz w:val="24"/>
        </w:rPr>
      </w:pPr>
    </w:p>
    <w:p w:rsidRPr="00885603" w:rsidR="00F75560" w:rsidRDefault="00F75560" w14:paraId="19AC5079" w14:textId="77777777">
      <w:pPr>
        <w:rPr>
          <w:sz w:val="24"/>
          <w:szCs w:val="24"/>
        </w:rPr>
      </w:pPr>
    </w:p>
    <w:p w:rsidRPr="00885603" w:rsidR="008A1FA7" w:rsidP="008A1FA7" w:rsidRDefault="008A1FA7" w14:paraId="0297DF71" w14:textId="77777777">
      <w:pPr>
        <w:rPr>
          <w:b/>
          <w:sz w:val="24"/>
          <w:szCs w:val="24"/>
        </w:rPr>
      </w:pPr>
      <w:r w:rsidRPr="00885603">
        <w:rPr>
          <w:b/>
          <w:sz w:val="24"/>
          <w:szCs w:val="24"/>
        </w:rPr>
        <w:lastRenderedPageBreak/>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885603" w:rsidR="008A1FA7" w:rsidRDefault="008A1FA7" w14:paraId="1763AF58" w14:textId="77777777">
      <w:pPr>
        <w:rPr>
          <w:sz w:val="24"/>
          <w:szCs w:val="24"/>
        </w:rPr>
      </w:pPr>
    </w:p>
    <w:p w:rsidRPr="00AF3362" w:rsidR="00AF3362" w:rsidP="00AF3362" w:rsidRDefault="00AF3362" w14:paraId="664A8CC6" w14:textId="410D70A6">
      <w:pPr>
        <w:rPr>
          <w:sz w:val="24"/>
          <w:szCs w:val="24"/>
        </w:rPr>
      </w:pPr>
      <w:r w:rsidRPr="00AF3362">
        <w:rPr>
          <w:sz w:val="24"/>
          <w:szCs w:val="24"/>
        </w:rPr>
        <w:t xml:space="preserve">The Bureau’s notice was published in the Federal Register </w:t>
      </w:r>
      <w:r w:rsidR="004A4D65">
        <w:rPr>
          <w:sz w:val="24"/>
          <w:szCs w:val="24"/>
        </w:rPr>
        <w:t>March 3</w:t>
      </w:r>
      <w:r w:rsidRPr="00AF3362">
        <w:rPr>
          <w:sz w:val="24"/>
          <w:szCs w:val="24"/>
        </w:rPr>
        <w:t>, 20</w:t>
      </w:r>
      <w:r w:rsidR="004A4D65">
        <w:rPr>
          <w:sz w:val="24"/>
          <w:szCs w:val="24"/>
        </w:rPr>
        <w:t>22</w:t>
      </w:r>
      <w:r w:rsidRPr="00AF3362">
        <w:rPr>
          <w:sz w:val="24"/>
          <w:szCs w:val="24"/>
        </w:rPr>
        <w:t xml:space="preserve">, page </w:t>
      </w:r>
      <w:r>
        <w:rPr>
          <w:sz w:val="24"/>
          <w:szCs w:val="24"/>
        </w:rPr>
        <w:t>1</w:t>
      </w:r>
      <w:r w:rsidR="004A4D65">
        <w:rPr>
          <w:sz w:val="24"/>
          <w:szCs w:val="24"/>
        </w:rPr>
        <w:t>2214</w:t>
      </w:r>
      <w:r w:rsidRPr="00AF3362">
        <w:rPr>
          <w:sz w:val="24"/>
          <w:szCs w:val="24"/>
        </w:rPr>
        <w:t>.</w:t>
      </w:r>
      <w:r>
        <w:rPr>
          <w:sz w:val="24"/>
          <w:szCs w:val="24"/>
        </w:rPr>
        <w:t xml:space="preserve"> </w:t>
      </w:r>
      <w:r w:rsidRPr="00AF3362">
        <w:rPr>
          <w:sz w:val="24"/>
          <w:szCs w:val="24"/>
        </w:rPr>
        <w:t>No comments were received.</w:t>
      </w:r>
    </w:p>
    <w:p w:rsidRPr="00153930" w:rsidR="00036695" w:rsidRDefault="00036695" w14:paraId="5507758C" w14:textId="77777777">
      <w:pPr>
        <w:rPr>
          <w:sz w:val="24"/>
          <w:szCs w:val="24"/>
        </w:rPr>
      </w:pPr>
    </w:p>
    <w:p w:rsidRPr="00885603" w:rsidR="008A1FA7" w:rsidP="008A1FA7" w:rsidRDefault="008A1FA7" w14:paraId="1A357219" w14:textId="77777777">
      <w:pPr>
        <w:rPr>
          <w:b/>
          <w:sz w:val="24"/>
          <w:szCs w:val="24"/>
        </w:rPr>
      </w:pPr>
      <w:r w:rsidRPr="00885603">
        <w:rPr>
          <w:b/>
          <w:sz w:val="24"/>
          <w:szCs w:val="24"/>
        </w:rPr>
        <w:t xml:space="preserve">9.  Explain any decision to provide any payment or gift to respondents, other than reenumeration of contractors or grantees. </w:t>
      </w:r>
    </w:p>
    <w:p w:rsidRPr="00885603" w:rsidR="008A1FA7" w:rsidRDefault="008A1FA7" w14:paraId="0F66F4B0" w14:textId="77777777">
      <w:pPr>
        <w:rPr>
          <w:sz w:val="24"/>
          <w:szCs w:val="24"/>
        </w:rPr>
      </w:pPr>
    </w:p>
    <w:p w:rsidRPr="00885603" w:rsidR="00664F6F" w:rsidRDefault="00106452" w14:paraId="7BC5C1FA" w14:textId="77777777">
      <w:pPr>
        <w:rPr>
          <w:sz w:val="24"/>
          <w:szCs w:val="24"/>
        </w:rPr>
      </w:pPr>
      <w:r>
        <w:rPr>
          <w:sz w:val="24"/>
          <w:szCs w:val="24"/>
        </w:rPr>
        <w:t>There are no</w:t>
      </w:r>
      <w:r w:rsidRPr="00885603" w:rsidR="00664F6F">
        <w:rPr>
          <w:sz w:val="24"/>
          <w:szCs w:val="24"/>
        </w:rPr>
        <w:t xml:space="preserve"> payment</w:t>
      </w:r>
      <w:r>
        <w:rPr>
          <w:sz w:val="24"/>
          <w:szCs w:val="24"/>
        </w:rPr>
        <w:t>s or gifts</w:t>
      </w:r>
      <w:r w:rsidRPr="00885603" w:rsidR="00664F6F">
        <w:rPr>
          <w:sz w:val="24"/>
          <w:szCs w:val="24"/>
        </w:rPr>
        <w:t xml:space="preserve"> made to </w:t>
      </w:r>
      <w:r>
        <w:rPr>
          <w:sz w:val="24"/>
          <w:szCs w:val="24"/>
        </w:rPr>
        <w:t>respondents.</w:t>
      </w:r>
    </w:p>
    <w:p w:rsidRPr="00885603" w:rsidR="00664F6F" w:rsidRDefault="00664F6F" w14:paraId="6CAF7CF1" w14:textId="77777777">
      <w:pPr>
        <w:rPr>
          <w:sz w:val="24"/>
          <w:szCs w:val="24"/>
        </w:rPr>
      </w:pPr>
    </w:p>
    <w:p w:rsidRPr="00885603" w:rsidR="00260D37" w:rsidP="00260D37" w:rsidRDefault="00260D37" w14:paraId="235923C3" w14:textId="77777777">
      <w:pPr>
        <w:rPr>
          <w:b/>
          <w:sz w:val="24"/>
          <w:szCs w:val="24"/>
        </w:rPr>
      </w:pPr>
      <w:r w:rsidRPr="00885603">
        <w:rPr>
          <w:b/>
          <w:sz w:val="24"/>
          <w:szCs w:val="24"/>
        </w:rPr>
        <w:t xml:space="preserve">10.  Describe any assurance of </w:t>
      </w:r>
      <w:r w:rsidRPr="002A2D1A">
        <w:rPr>
          <w:b/>
          <w:sz w:val="24"/>
          <w:szCs w:val="24"/>
        </w:rPr>
        <w:t>confidentiality</w:t>
      </w:r>
      <w:r w:rsidRPr="00885603">
        <w:rPr>
          <w:b/>
          <w:sz w:val="24"/>
          <w:szCs w:val="24"/>
        </w:rPr>
        <w:t xml:space="preserve"> provided to respondents and the basis for the assurance in statute, regulation, or agency policy. </w:t>
      </w:r>
    </w:p>
    <w:p w:rsidRPr="00885603" w:rsidR="00260D37" w:rsidRDefault="00260D37" w14:paraId="2DBDAD35" w14:textId="77777777">
      <w:pPr>
        <w:rPr>
          <w:sz w:val="24"/>
          <w:szCs w:val="24"/>
        </w:rPr>
      </w:pPr>
    </w:p>
    <w:p w:rsidRPr="0029498E" w:rsidR="00106452" w:rsidP="00261341" w:rsidRDefault="00106452" w14:paraId="60AA9B06" w14:textId="77777777">
      <w:pPr>
        <w:rPr>
          <w:b/>
          <w:bCs/>
          <w:sz w:val="24"/>
          <w:szCs w:val="24"/>
        </w:rPr>
      </w:pPr>
      <w:r w:rsidRPr="0029498E">
        <w:rPr>
          <w:sz w:val="24"/>
          <w:szCs w:val="24"/>
        </w:rPr>
        <w:t>Aside from protections contained in the Privacy Act, there is no guarantee of confidentiality.</w:t>
      </w:r>
    </w:p>
    <w:p w:rsidRPr="00885603" w:rsidR="00664F6F" w:rsidRDefault="00664F6F" w14:paraId="0C0A2E0B" w14:textId="77777777">
      <w:pPr>
        <w:rPr>
          <w:sz w:val="24"/>
          <w:szCs w:val="24"/>
        </w:rPr>
      </w:pPr>
    </w:p>
    <w:p w:rsidRPr="00885603" w:rsidR="00260D37" w:rsidP="00260D37" w:rsidRDefault="00260D37" w14:paraId="7D950EF2" w14:textId="77777777">
      <w:pPr>
        <w:rPr>
          <w:sz w:val="24"/>
          <w:szCs w:val="24"/>
        </w:rPr>
      </w:pPr>
      <w:r w:rsidRPr="00885603">
        <w:rPr>
          <w:b/>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885603" w:rsidR="00260D37" w:rsidP="00260D37" w:rsidRDefault="00260D37" w14:paraId="5A6B4788" w14:textId="77777777">
      <w:pPr>
        <w:rPr>
          <w:sz w:val="24"/>
          <w:szCs w:val="24"/>
        </w:rPr>
      </w:pPr>
    </w:p>
    <w:p w:rsidRPr="00BF2B24" w:rsidR="00664F6F" w:rsidRDefault="00664F6F" w14:paraId="60A422B7" w14:textId="46DD0CE9">
      <w:pPr>
        <w:rPr>
          <w:bCs/>
          <w:sz w:val="24"/>
        </w:rPr>
      </w:pPr>
      <w:r w:rsidRPr="00885603">
        <w:rPr>
          <w:sz w:val="24"/>
          <w:szCs w:val="24"/>
        </w:rPr>
        <w:t>There are no questions that are of a sensitive nature.</w:t>
      </w:r>
      <w:r w:rsidR="008975C8">
        <w:rPr>
          <w:sz w:val="24"/>
          <w:szCs w:val="24"/>
        </w:rPr>
        <w:t xml:space="preserve"> </w:t>
      </w:r>
      <w:r w:rsidRPr="0029498E" w:rsidR="008975C8">
        <w:rPr>
          <w:bCs/>
          <w:sz w:val="24"/>
          <w:szCs w:val="24"/>
        </w:rPr>
        <w:t xml:space="preserve">Personally identifiable information (PII) collected on this form such as name and </w:t>
      </w:r>
      <w:r w:rsidRPr="0029498E" w:rsidR="006C4FF7">
        <w:rPr>
          <w:bCs/>
          <w:sz w:val="24"/>
          <w:szCs w:val="24"/>
        </w:rPr>
        <w:t>financial institution</w:t>
      </w:r>
      <w:r w:rsidRPr="0029498E" w:rsidR="008975C8">
        <w:rPr>
          <w:bCs/>
          <w:sz w:val="24"/>
          <w:szCs w:val="24"/>
        </w:rPr>
        <w:t xml:space="preserve"> information is necessary </w:t>
      </w:r>
      <w:r w:rsidRPr="0029498E" w:rsidR="008975C8">
        <w:rPr>
          <w:sz w:val="24"/>
          <w:szCs w:val="24"/>
        </w:rPr>
        <w:t xml:space="preserve">to </w:t>
      </w:r>
      <w:r w:rsidRPr="0029498E" w:rsidR="00C46BD4">
        <w:rPr>
          <w:sz w:val="24"/>
          <w:szCs w:val="24"/>
        </w:rPr>
        <w:t>process ACH payments</w:t>
      </w:r>
      <w:r w:rsidRPr="0029498E" w:rsidR="008975C8">
        <w:rPr>
          <w:sz w:val="24"/>
          <w:szCs w:val="24"/>
        </w:rPr>
        <w:t>.</w:t>
      </w:r>
      <w:r w:rsidRPr="0029498E" w:rsidR="008975C8">
        <w:rPr>
          <w:bCs/>
          <w:sz w:val="24"/>
          <w:szCs w:val="24"/>
        </w:rPr>
        <w:t xml:space="preserve"> An </w:t>
      </w:r>
      <w:r w:rsidRPr="0029498E" w:rsidR="008975C8">
        <w:rPr>
          <w:sz w:val="24"/>
          <w:szCs w:val="24"/>
        </w:rPr>
        <w:t xml:space="preserve">applicable System of Records Notice for this information was published </w:t>
      </w:r>
      <w:r w:rsidR="00A9494B">
        <w:rPr>
          <w:sz w:val="24"/>
          <w:szCs w:val="24"/>
        </w:rPr>
        <w:t>February 27, 2020</w:t>
      </w:r>
      <w:r w:rsidRPr="0029498E" w:rsidR="008975C8">
        <w:rPr>
          <w:sz w:val="24"/>
          <w:szCs w:val="24"/>
        </w:rPr>
        <w:t>. System of Records Name: Treasury/</w:t>
      </w:r>
      <w:r w:rsidRPr="0029498E" w:rsidR="00C46BD4">
        <w:rPr>
          <w:sz w:val="24"/>
          <w:szCs w:val="24"/>
        </w:rPr>
        <w:t>F</w:t>
      </w:r>
      <w:r w:rsidR="00A9494B">
        <w:rPr>
          <w:sz w:val="24"/>
          <w:szCs w:val="24"/>
        </w:rPr>
        <w:t xml:space="preserve">iscal Service </w:t>
      </w:r>
      <w:r w:rsidRPr="0029498E" w:rsidR="008975C8">
        <w:rPr>
          <w:sz w:val="24"/>
          <w:szCs w:val="24"/>
        </w:rPr>
        <w:t xml:space="preserve">.002 – </w:t>
      </w:r>
      <w:r w:rsidRPr="0029498E" w:rsidR="00CE037F">
        <w:rPr>
          <w:sz w:val="24"/>
          <w:szCs w:val="24"/>
        </w:rPr>
        <w:t>Payment Records</w:t>
      </w:r>
      <w:r w:rsidRPr="0029498E" w:rsidR="008975C8">
        <w:rPr>
          <w:bCs/>
          <w:sz w:val="24"/>
          <w:szCs w:val="24"/>
        </w:rPr>
        <w:t>.</w:t>
      </w:r>
      <w:r w:rsidR="00BF2B24">
        <w:rPr>
          <w:bCs/>
          <w:sz w:val="24"/>
          <w:szCs w:val="24"/>
        </w:rPr>
        <w:t xml:space="preserve"> </w:t>
      </w:r>
      <w:r w:rsidRPr="00BF2B24" w:rsidR="00BF2B24">
        <w:rPr>
          <w:sz w:val="24"/>
        </w:rPr>
        <w:t>The privacy impact assessment (PIA) conducted for this collection of information can be found at</w:t>
      </w:r>
      <w:r w:rsidR="00BF2B24">
        <w:rPr>
          <w:sz w:val="24"/>
        </w:rPr>
        <w:t xml:space="preserve"> </w:t>
      </w:r>
      <w:r w:rsidRPr="00BF2B24" w:rsidR="00BF2B24">
        <w:rPr>
          <w:sz w:val="24"/>
        </w:rPr>
        <w:t>https://www.fiscal.treasury.gov/files/pia/PAM-pia.pdf</w:t>
      </w:r>
    </w:p>
    <w:p w:rsidRPr="00885603" w:rsidR="00260D37" w:rsidRDefault="00260D37" w14:paraId="13D4BF6B" w14:textId="77777777">
      <w:pPr>
        <w:rPr>
          <w:sz w:val="24"/>
          <w:szCs w:val="24"/>
        </w:rPr>
      </w:pPr>
    </w:p>
    <w:p w:rsidRPr="00885603" w:rsidR="00260D37" w:rsidP="00260D37" w:rsidRDefault="00260D37" w14:paraId="63C025CA" w14:textId="77777777">
      <w:pPr>
        <w:rPr>
          <w:b/>
          <w:sz w:val="24"/>
          <w:szCs w:val="24"/>
        </w:rPr>
      </w:pPr>
      <w:r w:rsidRPr="00885603">
        <w:rPr>
          <w:b/>
          <w:sz w:val="24"/>
          <w:szCs w:val="24"/>
        </w:rPr>
        <w:t>12.  Provide estimates of the hour burden of the collection of information.  The statement should:  *indicate the number of respondents, frequency of response, annual hour burden; and an explanation of how the burden was estimated.</w:t>
      </w:r>
    </w:p>
    <w:p w:rsidR="006F7345" w:rsidRDefault="006F7345" w14:paraId="79B23E64" w14:textId="46106FCC">
      <w:pPr>
        <w:rPr>
          <w:sz w:val="24"/>
          <w:szCs w:val="24"/>
        </w:rPr>
      </w:pPr>
    </w:p>
    <w:p w:rsidR="0095132D" w:rsidP="0095132D" w:rsidRDefault="006F7345" w14:paraId="6F881E51" w14:textId="1DE8D7FE">
      <w:pPr>
        <w:pStyle w:val="ListParagraph"/>
        <w:keepNext/>
        <w:keepLines/>
        <w:widowControl w:val="0"/>
        <w:numPr>
          <w:ilvl w:val="2"/>
          <w:numId w:val="1"/>
        </w:numPr>
        <w:autoSpaceDE w:val="0"/>
        <w:autoSpaceDN w:val="0"/>
        <w:adjustRightInd w:val="0"/>
        <w:ind w:left="1170" w:hanging="630"/>
      </w:pPr>
      <w:r>
        <w:t>Estimate of Burden Hours.</w:t>
      </w:r>
    </w:p>
    <w:p w:rsidR="006F7345" w:rsidP="006F7345" w:rsidRDefault="006F7345" w14:paraId="78EFF476" w14:textId="77777777">
      <w:pPr>
        <w:autoSpaceDE w:val="0"/>
        <w:autoSpaceDN w:val="0"/>
        <w:adjustRightInd w:val="0"/>
        <w:ind w:left="360"/>
      </w:pPr>
    </w:p>
    <w:tbl>
      <w:tblPr>
        <w:tblW w:w="8190" w:type="dxa"/>
        <w:tblInd w:w="738" w:type="dxa"/>
        <w:tblLook w:val="04A0" w:firstRow="1" w:lastRow="0" w:firstColumn="1" w:lastColumn="0" w:noHBand="0" w:noVBand="1"/>
      </w:tblPr>
      <w:tblGrid>
        <w:gridCol w:w="1170"/>
        <w:gridCol w:w="1260"/>
        <w:gridCol w:w="1350"/>
        <w:gridCol w:w="1530"/>
        <w:gridCol w:w="1530"/>
        <w:gridCol w:w="1350"/>
      </w:tblGrid>
      <w:tr w:rsidR="006F7345" w:rsidTr="0095132D" w14:paraId="1A1A513C" w14:textId="77777777">
        <w:trPr>
          <w:cantSplit/>
          <w:trHeight w:val="780"/>
        </w:trPr>
        <w:tc>
          <w:tcPr>
            <w:tcW w:w="117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32422" w:rsidR="006F7345" w:rsidP="00D810A6" w:rsidRDefault="006F7345" w14:paraId="2882388C" w14:textId="77777777">
            <w:pPr>
              <w:jc w:val="center"/>
              <w:rPr>
                <w:rFonts w:ascii="Arial Narrow" w:hAnsi="Arial Narrow" w:cs="Calibri"/>
              </w:rPr>
            </w:pPr>
            <w:r w:rsidRPr="00932422">
              <w:rPr>
                <w:rFonts w:ascii="Arial Narrow" w:hAnsi="Arial Narrow" w:cs="Calibri"/>
              </w:rPr>
              <w:t>Form</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932422" w:rsidR="006F7345" w:rsidP="00D810A6" w:rsidRDefault="006F7345" w14:paraId="26C01912" w14:textId="77777777">
            <w:pPr>
              <w:jc w:val="center"/>
              <w:rPr>
                <w:rFonts w:ascii="Arial Narrow" w:hAnsi="Arial Narrow" w:cs="Calibri"/>
              </w:rPr>
            </w:pPr>
            <w:r w:rsidRPr="00932422">
              <w:rPr>
                <w:rFonts w:ascii="Arial Narrow" w:hAnsi="Arial Narrow" w:cs="Calibri"/>
              </w:rPr>
              <w:t># Respondents</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932422" w:rsidR="006F7345" w:rsidP="00D810A6" w:rsidRDefault="006F7345" w14:paraId="328E8295" w14:textId="77777777">
            <w:pPr>
              <w:jc w:val="center"/>
              <w:rPr>
                <w:rFonts w:ascii="Arial Narrow" w:hAnsi="Arial Narrow" w:cs="Calibri"/>
              </w:rPr>
            </w:pPr>
            <w:r w:rsidRPr="00932422">
              <w:rPr>
                <w:rFonts w:ascii="Arial Narrow" w:hAnsi="Arial Narrow" w:cs="Calibri"/>
              </w:rPr>
              <w:t>Responses per Respondent</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932422" w:rsidR="006F7345" w:rsidP="00D810A6" w:rsidRDefault="006F7345" w14:paraId="20346D11" w14:textId="77777777">
            <w:pPr>
              <w:jc w:val="center"/>
              <w:rPr>
                <w:rFonts w:ascii="Arial Narrow" w:hAnsi="Arial Narrow" w:cs="Calibri"/>
              </w:rPr>
            </w:pPr>
            <w:r w:rsidRPr="00932422">
              <w:rPr>
                <w:rFonts w:ascii="Arial Narrow" w:hAnsi="Arial Narrow" w:cs="Calibri"/>
              </w:rPr>
              <w:t>Annual Responses</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932422" w:rsidR="006F7345" w:rsidP="00D810A6" w:rsidRDefault="006F7345" w14:paraId="1648DDF9" w14:textId="77777777">
            <w:pPr>
              <w:jc w:val="center"/>
              <w:rPr>
                <w:rFonts w:ascii="Arial Narrow" w:hAnsi="Arial Narrow" w:cs="Calibri"/>
              </w:rPr>
            </w:pPr>
            <w:r w:rsidRPr="00932422">
              <w:rPr>
                <w:rFonts w:ascii="Arial Narrow" w:hAnsi="Arial Narrow" w:cs="Calibri"/>
              </w:rPr>
              <w:t>Time per Response</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932422" w:rsidR="006F7345" w:rsidP="00D810A6" w:rsidRDefault="006F7345" w14:paraId="04786729" w14:textId="77777777">
            <w:pPr>
              <w:jc w:val="center"/>
              <w:rPr>
                <w:rFonts w:ascii="Arial Narrow" w:hAnsi="Arial Narrow" w:cs="Calibri"/>
              </w:rPr>
            </w:pPr>
            <w:r>
              <w:rPr>
                <w:rFonts w:ascii="Arial Narrow" w:hAnsi="Arial Narrow" w:cs="Calibri"/>
              </w:rPr>
              <w:t xml:space="preserve">Total </w:t>
            </w:r>
            <w:r w:rsidRPr="00932422">
              <w:rPr>
                <w:rFonts w:ascii="Arial Narrow" w:hAnsi="Arial Narrow" w:cs="Calibri"/>
              </w:rPr>
              <w:t>Burden</w:t>
            </w:r>
          </w:p>
        </w:tc>
      </w:tr>
      <w:tr w:rsidR="006F7345" w:rsidTr="0095132D" w14:paraId="4AF7AAB6" w14:textId="77777777">
        <w:trPr>
          <w:cantSplit/>
          <w:trHeight w:val="315"/>
        </w:trPr>
        <w:tc>
          <w:tcPr>
            <w:tcW w:w="1170" w:type="dxa"/>
            <w:tcBorders>
              <w:top w:val="nil"/>
              <w:left w:val="single" w:color="auto" w:sz="8" w:space="0"/>
              <w:bottom w:val="single" w:color="auto" w:sz="8" w:space="0"/>
              <w:right w:val="single" w:color="auto" w:sz="8" w:space="0"/>
            </w:tcBorders>
            <w:shd w:val="clear" w:color="auto" w:fill="auto"/>
            <w:vAlign w:val="center"/>
            <w:hideMark/>
          </w:tcPr>
          <w:p w:rsidRPr="00932422" w:rsidR="006F7345" w:rsidP="006F7345" w:rsidRDefault="006F7345" w14:paraId="7EAB2D41" w14:textId="5581D849">
            <w:pPr>
              <w:rPr>
                <w:rFonts w:ascii="Arial" w:hAnsi="Arial" w:cs="Arial"/>
              </w:rPr>
            </w:pPr>
            <w:r>
              <w:rPr>
                <w:rFonts w:ascii="Arial" w:hAnsi="Arial" w:cs="Arial"/>
              </w:rPr>
              <w:t>SF 3881</w:t>
            </w:r>
          </w:p>
        </w:tc>
        <w:tc>
          <w:tcPr>
            <w:tcW w:w="1260" w:type="dxa"/>
            <w:tcBorders>
              <w:top w:val="nil"/>
              <w:left w:val="nil"/>
              <w:bottom w:val="single" w:color="auto" w:sz="8" w:space="0"/>
              <w:right w:val="single" w:color="auto" w:sz="8" w:space="0"/>
            </w:tcBorders>
            <w:shd w:val="clear" w:color="auto" w:fill="auto"/>
            <w:vAlign w:val="center"/>
            <w:hideMark/>
          </w:tcPr>
          <w:p w:rsidRPr="00932422" w:rsidR="006F7345" w:rsidP="00D810A6" w:rsidRDefault="006F7345" w14:paraId="07F41B3D" w14:textId="4E08016A">
            <w:pPr>
              <w:jc w:val="right"/>
              <w:rPr>
                <w:rFonts w:ascii="Arial" w:hAnsi="Arial" w:cs="Arial"/>
              </w:rPr>
            </w:pPr>
            <w:r>
              <w:rPr>
                <w:rFonts w:ascii="Arial" w:hAnsi="Arial" w:cs="Arial"/>
              </w:rPr>
              <w:t>50,000</w:t>
            </w:r>
          </w:p>
        </w:tc>
        <w:tc>
          <w:tcPr>
            <w:tcW w:w="1350" w:type="dxa"/>
            <w:tcBorders>
              <w:top w:val="nil"/>
              <w:left w:val="nil"/>
              <w:bottom w:val="single" w:color="auto" w:sz="8" w:space="0"/>
              <w:right w:val="single" w:color="auto" w:sz="8" w:space="0"/>
            </w:tcBorders>
            <w:shd w:val="clear" w:color="auto" w:fill="auto"/>
            <w:vAlign w:val="center"/>
            <w:hideMark/>
          </w:tcPr>
          <w:p w:rsidRPr="00932422" w:rsidR="006F7345" w:rsidP="00D810A6" w:rsidRDefault="006F7345" w14:paraId="3AC5BA1E" w14:textId="77777777">
            <w:pPr>
              <w:jc w:val="center"/>
              <w:rPr>
                <w:rFonts w:ascii="Arial" w:hAnsi="Arial" w:cs="Arial"/>
              </w:rPr>
            </w:pPr>
            <w:r w:rsidRPr="00932422">
              <w:rPr>
                <w:rFonts w:ascii="Arial" w:hAnsi="Arial" w:cs="Arial"/>
              </w:rPr>
              <w:t>1</w:t>
            </w:r>
          </w:p>
        </w:tc>
        <w:tc>
          <w:tcPr>
            <w:tcW w:w="1530" w:type="dxa"/>
            <w:tcBorders>
              <w:top w:val="nil"/>
              <w:left w:val="nil"/>
              <w:bottom w:val="single" w:color="auto" w:sz="8" w:space="0"/>
              <w:right w:val="single" w:color="auto" w:sz="8" w:space="0"/>
            </w:tcBorders>
            <w:shd w:val="clear" w:color="auto" w:fill="auto"/>
            <w:vAlign w:val="center"/>
            <w:hideMark/>
          </w:tcPr>
          <w:p w:rsidRPr="00932422" w:rsidR="006F7345" w:rsidP="00D810A6" w:rsidRDefault="006F7345" w14:paraId="4E81EB43" w14:textId="683F0921">
            <w:pPr>
              <w:jc w:val="right"/>
              <w:rPr>
                <w:rFonts w:ascii="Arial" w:hAnsi="Arial" w:cs="Arial"/>
              </w:rPr>
            </w:pPr>
            <w:r>
              <w:rPr>
                <w:rFonts w:ascii="Arial" w:hAnsi="Arial" w:cs="Arial"/>
              </w:rPr>
              <w:t>50,000</w:t>
            </w:r>
          </w:p>
        </w:tc>
        <w:tc>
          <w:tcPr>
            <w:tcW w:w="1530" w:type="dxa"/>
            <w:tcBorders>
              <w:top w:val="nil"/>
              <w:left w:val="nil"/>
              <w:bottom w:val="single" w:color="auto" w:sz="8" w:space="0"/>
              <w:right w:val="single" w:color="auto" w:sz="8" w:space="0"/>
            </w:tcBorders>
            <w:shd w:val="clear" w:color="auto" w:fill="auto"/>
            <w:vAlign w:val="center"/>
            <w:hideMark/>
          </w:tcPr>
          <w:p w:rsidRPr="00932422" w:rsidR="006F7345" w:rsidP="00D810A6" w:rsidRDefault="006F7345" w14:paraId="692B456D" w14:textId="554E3817">
            <w:pPr>
              <w:jc w:val="right"/>
              <w:rPr>
                <w:rFonts w:ascii="Arial" w:hAnsi="Arial" w:cs="Arial"/>
              </w:rPr>
            </w:pPr>
            <w:r>
              <w:rPr>
                <w:rFonts w:ascii="Arial" w:hAnsi="Arial" w:cs="Arial"/>
              </w:rPr>
              <w:t>0.25</w:t>
            </w:r>
          </w:p>
        </w:tc>
        <w:tc>
          <w:tcPr>
            <w:tcW w:w="1350" w:type="dxa"/>
            <w:tcBorders>
              <w:top w:val="nil"/>
              <w:left w:val="nil"/>
              <w:bottom w:val="single" w:color="auto" w:sz="8" w:space="0"/>
              <w:right w:val="single" w:color="auto" w:sz="8" w:space="0"/>
            </w:tcBorders>
            <w:shd w:val="clear" w:color="auto" w:fill="auto"/>
            <w:vAlign w:val="center"/>
            <w:hideMark/>
          </w:tcPr>
          <w:p w:rsidRPr="00932422" w:rsidR="006F7345" w:rsidP="00D810A6" w:rsidRDefault="006F7345" w14:paraId="3C134981" w14:textId="0ABC3DE3">
            <w:pPr>
              <w:jc w:val="right"/>
              <w:rPr>
                <w:rFonts w:ascii="Arial" w:hAnsi="Arial" w:cs="Arial"/>
              </w:rPr>
            </w:pPr>
            <w:r>
              <w:rPr>
                <w:rFonts w:ascii="Arial" w:hAnsi="Arial" w:cs="Arial"/>
              </w:rPr>
              <w:t>12,500</w:t>
            </w:r>
          </w:p>
        </w:tc>
      </w:tr>
    </w:tbl>
    <w:p w:rsidR="003C3A9E" w:rsidP="006F7345" w:rsidRDefault="003C3A9E" w14:paraId="700ACE62" w14:textId="77777777">
      <w:pPr>
        <w:pStyle w:val="ListParagraph"/>
        <w:keepNext/>
        <w:keepLines/>
        <w:widowControl w:val="0"/>
        <w:numPr>
          <w:ilvl w:val="2"/>
          <w:numId w:val="1"/>
        </w:numPr>
        <w:tabs>
          <w:tab w:val="num" w:pos="1440"/>
        </w:tabs>
        <w:autoSpaceDE w:val="0"/>
        <w:autoSpaceDN w:val="0"/>
        <w:adjustRightInd w:val="0"/>
        <w:ind w:hanging="7470"/>
      </w:pPr>
    </w:p>
    <w:p w:rsidR="006F7345" w:rsidP="006F7345" w:rsidRDefault="006F7345" w14:paraId="1A5CE196" w14:textId="6D299A21">
      <w:pPr>
        <w:pStyle w:val="ListParagraph"/>
        <w:keepNext/>
        <w:keepLines/>
        <w:widowControl w:val="0"/>
        <w:numPr>
          <w:ilvl w:val="2"/>
          <w:numId w:val="1"/>
        </w:numPr>
        <w:tabs>
          <w:tab w:val="num" w:pos="1440"/>
        </w:tabs>
        <w:autoSpaceDE w:val="0"/>
        <w:autoSpaceDN w:val="0"/>
        <w:adjustRightInd w:val="0"/>
        <w:ind w:hanging="7470"/>
      </w:pPr>
      <w:r>
        <w:t>Estimate of Annual Respondent Cost.</w:t>
      </w:r>
    </w:p>
    <w:p w:rsidR="006F7345" w:rsidP="006F7345" w:rsidRDefault="006F7345" w14:paraId="7846E652" w14:textId="77777777">
      <w:pPr>
        <w:pStyle w:val="ListParagraph"/>
        <w:keepNext/>
        <w:keepLines/>
        <w:ind w:left="360"/>
      </w:pPr>
    </w:p>
    <w:tbl>
      <w:tblPr>
        <w:tblW w:w="9327" w:type="dxa"/>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13"/>
        <w:gridCol w:w="1440"/>
        <w:gridCol w:w="1455"/>
        <w:gridCol w:w="1777"/>
        <w:gridCol w:w="1155"/>
        <w:gridCol w:w="1066"/>
        <w:gridCol w:w="1421"/>
      </w:tblGrid>
      <w:tr w:rsidRPr="00EC3644" w:rsidR="006F7345" w:rsidTr="00D810A6" w14:paraId="3AA102E0" w14:textId="77777777">
        <w:trPr>
          <w:cantSplit/>
          <w:trHeight w:val="723"/>
        </w:trPr>
        <w:tc>
          <w:tcPr>
            <w:tcW w:w="1013" w:type="dxa"/>
            <w:vAlign w:val="bottom"/>
          </w:tcPr>
          <w:p w:rsidRPr="00EC3644" w:rsidR="006F7345" w:rsidP="00D810A6" w:rsidRDefault="006F7345" w14:paraId="52FEC5C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Form</w:t>
            </w:r>
          </w:p>
        </w:tc>
        <w:tc>
          <w:tcPr>
            <w:tcW w:w="1440" w:type="dxa"/>
            <w:vAlign w:val="bottom"/>
          </w:tcPr>
          <w:p w:rsidRPr="00EC3644" w:rsidR="006F7345" w:rsidP="00D810A6" w:rsidRDefault="006F7345" w14:paraId="12F67C6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No. of Respondents</w:t>
            </w:r>
          </w:p>
        </w:tc>
        <w:tc>
          <w:tcPr>
            <w:tcW w:w="1455" w:type="dxa"/>
            <w:vAlign w:val="bottom"/>
          </w:tcPr>
          <w:p w:rsidRPr="00EC3644" w:rsidR="006F7345" w:rsidP="00D810A6" w:rsidRDefault="006F7345" w14:paraId="150E25E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Number of Responses per Respondent</w:t>
            </w:r>
          </w:p>
        </w:tc>
        <w:tc>
          <w:tcPr>
            <w:tcW w:w="1777" w:type="dxa"/>
            <w:vAlign w:val="bottom"/>
          </w:tcPr>
          <w:p w:rsidRPr="00EC3644" w:rsidR="006F7345" w:rsidP="00D810A6" w:rsidRDefault="006F7345" w14:paraId="5ACFC24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Average Burden per Response (in hours)</w:t>
            </w:r>
          </w:p>
        </w:tc>
        <w:tc>
          <w:tcPr>
            <w:tcW w:w="1155" w:type="dxa"/>
            <w:vAlign w:val="bottom"/>
          </w:tcPr>
          <w:p w:rsidRPr="00EC3644" w:rsidR="006F7345" w:rsidP="00D810A6" w:rsidRDefault="006F7345" w14:paraId="6F5D686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Total Annual Burden (in hours)</w:t>
            </w:r>
          </w:p>
        </w:tc>
        <w:tc>
          <w:tcPr>
            <w:tcW w:w="1066" w:type="dxa"/>
            <w:vAlign w:val="bottom"/>
          </w:tcPr>
          <w:p w:rsidRPr="00EC3644" w:rsidR="006F7345" w:rsidP="00D810A6" w:rsidRDefault="006F7345" w14:paraId="6D7AF0E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Average Hourly Wage Rate</w:t>
            </w:r>
            <w:r w:rsidRPr="00EC3644">
              <w:rPr>
                <w:rStyle w:val="FootnoteReference"/>
                <w:rFonts w:ascii="Arial" w:hAnsi="Arial" w:cs="Arial"/>
                <w:bCs/>
              </w:rPr>
              <w:footnoteReference w:id="1"/>
            </w:r>
          </w:p>
        </w:tc>
        <w:tc>
          <w:tcPr>
            <w:tcW w:w="1421" w:type="dxa"/>
            <w:vAlign w:val="bottom"/>
          </w:tcPr>
          <w:p w:rsidRPr="00EC3644" w:rsidR="006F7345" w:rsidP="00D810A6" w:rsidRDefault="006F7345" w14:paraId="20781A9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Total Annual Respondent Cost</w:t>
            </w:r>
          </w:p>
        </w:tc>
      </w:tr>
      <w:tr w:rsidRPr="00EC3644" w:rsidR="006F7345" w:rsidTr="00D810A6" w14:paraId="1B8DD4BB" w14:textId="77777777">
        <w:trPr>
          <w:cantSplit/>
          <w:trHeight w:val="723"/>
        </w:trPr>
        <w:tc>
          <w:tcPr>
            <w:tcW w:w="1013" w:type="dxa"/>
            <w:vAlign w:val="center"/>
          </w:tcPr>
          <w:p w:rsidRPr="00EC3644" w:rsidR="006F7345" w:rsidP="00D810A6" w:rsidRDefault="003C3A9E" w14:paraId="4DF8140E" w14:textId="2256443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Pr>
                <w:rFonts w:ascii="Arial" w:hAnsi="Arial" w:cs="Arial"/>
              </w:rPr>
              <w:t>SF 3881</w:t>
            </w:r>
          </w:p>
        </w:tc>
        <w:tc>
          <w:tcPr>
            <w:tcW w:w="1440" w:type="dxa"/>
            <w:vAlign w:val="center"/>
          </w:tcPr>
          <w:p w:rsidRPr="00EC3644" w:rsidR="006F7345" w:rsidP="00D810A6" w:rsidRDefault="003C3A9E" w14:paraId="41263E45" w14:textId="4A15B3D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Pr>
                <w:rFonts w:ascii="Arial" w:hAnsi="Arial" w:cs="Arial"/>
              </w:rPr>
              <w:t>50,000</w:t>
            </w:r>
          </w:p>
        </w:tc>
        <w:tc>
          <w:tcPr>
            <w:tcW w:w="1455" w:type="dxa"/>
            <w:vAlign w:val="center"/>
          </w:tcPr>
          <w:p w:rsidRPr="00EC3644" w:rsidR="006F7345" w:rsidP="00D810A6" w:rsidRDefault="006F7345" w14:paraId="732FA71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1</w:t>
            </w:r>
          </w:p>
        </w:tc>
        <w:tc>
          <w:tcPr>
            <w:tcW w:w="1777" w:type="dxa"/>
            <w:vAlign w:val="center"/>
          </w:tcPr>
          <w:p w:rsidRPr="00EC3644" w:rsidR="006F7345" w:rsidP="00D810A6" w:rsidRDefault="003C3A9E" w14:paraId="062A2F3F" w14:textId="6942DC0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Pr>
                <w:rFonts w:ascii="Arial" w:hAnsi="Arial" w:cs="Arial"/>
                <w:bCs/>
              </w:rPr>
              <w:t>15</w:t>
            </w:r>
            <w:r w:rsidRPr="00EC3644" w:rsidR="006F7345">
              <w:rPr>
                <w:rFonts w:ascii="Arial" w:hAnsi="Arial" w:cs="Arial"/>
                <w:bCs/>
              </w:rPr>
              <w:t xml:space="preserve"> minutes (0.</w:t>
            </w:r>
            <w:r>
              <w:rPr>
                <w:rFonts w:ascii="Arial" w:hAnsi="Arial" w:cs="Arial"/>
                <w:bCs/>
              </w:rPr>
              <w:t>2</w:t>
            </w:r>
            <w:r w:rsidR="006F7345">
              <w:rPr>
                <w:rFonts w:ascii="Arial" w:hAnsi="Arial" w:cs="Arial"/>
                <w:bCs/>
              </w:rPr>
              <w:t>5</w:t>
            </w:r>
            <w:r w:rsidRPr="00EC3644" w:rsidR="006F7345">
              <w:rPr>
                <w:rFonts w:ascii="Arial" w:hAnsi="Arial" w:cs="Arial"/>
                <w:bCs/>
              </w:rPr>
              <w:t xml:space="preserve"> hours)</w:t>
            </w:r>
          </w:p>
        </w:tc>
        <w:tc>
          <w:tcPr>
            <w:tcW w:w="1155" w:type="dxa"/>
            <w:vAlign w:val="center"/>
          </w:tcPr>
          <w:p w:rsidRPr="00EC3644" w:rsidR="006F7345" w:rsidP="00D810A6" w:rsidRDefault="006F7345" w14:paraId="1B632A2D" w14:textId="4136696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Pr>
                <w:rFonts w:ascii="Arial" w:hAnsi="Arial" w:cs="Arial"/>
              </w:rPr>
              <w:t>12,</w:t>
            </w:r>
            <w:r w:rsidR="003C3A9E">
              <w:rPr>
                <w:rFonts w:ascii="Arial" w:hAnsi="Arial" w:cs="Arial"/>
              </w:rPr>
              <w:t>500</w:t>
            </w:r>
          </w:p>
        </w:tc>
        <w:tc>
          <w:tcPr>
            <w:tcW w:w="1066" w:type="dxa"/>
            <w:vAlign w:val="center"/>
          </w:tcPr>
          <w:p w:rsidRPr="00EC3644" w:rsidR="006F7345" w:rsidP="00D810A6" w:rsidRDefault="006F7345" w14:paraId="4655D338" w14:textId="58263AC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w:t>
            </w:r>
            <w:r w:rsidR="004726D7">
              <w:rPr>
                <w:rFonts w:ascii="Arial" w:hAnsi="Arial" w:cs="Arial"/>
              </w:rPr>
              <w:t>40.33</w:t>
            </w:r>
          </w:p>
        </w:tc>
        <w:tc>
          <w:tcPr>
            <w:tcW w:w="1421" w:type="dxa"/>
            <w:vAlign w:val="center"/>
          </w:tcPr>
          <w:p w:rsidRPr="00EC3644" w:rsidR="006F7345" w:rsidP="00D810A6" w:rsidRDefault="006F7345" w14:paraId="6594E122" w14:textId="5BB713D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w:t>
            </w:r>
            <w:r w:rsidR="004726D7">
              <w:rPr>
                <w:rFonts w:ascii="Arial" w:hAnsi="Arial" w:cs="Arial"/>
                <w:bCs/>
              </w:rPr>
              <w:t>504,125.00</w:t>
            </w:r>
          </w:p>
        </w:tc>
      </w:tr>
      <w:tr w:rsidRPr="00EC3644" w:rsidR="006F7345" w:rsidTr="00D810A6" w14:paraId="368BE525" w14:textId="77777777">
        <w:trPr>
          <w:cantSplit/>
          <w:trHeight w:val="723"/>
        </w:trPr>
        <w:tc>
          <w:tcPr>
            <w:tcW w:w="7906" w:type="dxa"/>
            <w:gridSpan w:val="6"/>
            <w:vAlign w:val="center"/>
          </w:tcPr>
          <w:p w:rsidRPr="00EC3644" w:rsidR="006F7345" w:rsidP="00D810A6" w:rsidRDefault="006F7345" w14:paraId="2B26DBA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rPr>
            </w:pPr>
            <w:r w:rsidRPr="00EC3644">
              <w:rPr>
                <w:rFonts w:ascii="Arial" w:hAnsi="Arial" w:cs="Arial"/>
                <w:bCs/>
              </w:rPr>
              <w:t>Total Respondent Cost:</w:t>
            </w:r>
          </w:p>
        </w:tc>
        <w:tc>
          <w:tcPr>
            <w:tcW w:w="1421" w:type="dxa"/>
            <w:vAlign w:val="center"/>
          </w:tcPr>
          <w:p w:rsidRPr="00EC3644" w:rsidR="006F7345" w:rsidP="00D810A6" w:rsidRDefault="004726D7" w14:paraId="0CC68292" w14:textId="64C1134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w:t>
            </w:r>
            <w:r>
              <w:rPr>
                <w:rFonts w:ascii="Arial" w:hAnsi="Arial" w:cs="Arial"/>
                <w:bCs/>
              </w:rPr>
              <w:t>504,125.00</w:t>
            </w:r>
          </w:p>
        </w:tc>
      </w:tr>
    </w:tbl>
    <w:p w:rsidRPr="00BD4C04" w:rsidR="006F7345" w:rsidRDefault="006F7345" w14:paraId="7F9DCD7B" w14:textId="77777777">
      <w:pPr>
        <w:rPr>
          <w:sz w:val="24"/>
          <w:szCs w:val="24"/>
        </w:rPr>
      </w:pPr>
    </w:p>
    <w:p w:rsidRPr="00885603" w:rsidR="00260D37" w:rsidRDefault="00260D37" w14:paraId="23C41637" w14:textId="77777777">
      <w:pPr>
        <w:rPr>
          <w:sz w:val="24"/>
          <w:szCs w:val="24"/>
        </w:rPr>
      </w:pPr>
    </w:p>
    <w:p w:rsidRPr="00885603" w:rsidR="00260D37" w:rsidP="00260D37" w:rsidRDefault="00260D37" w14:paraId="34950363" w14:textId="77777777">
      <w:pPr>
        <w:rPr>
          <w:sz w:val="24"/>
          <w:szCs w:val="24"/>
        </w:rPr>
      </w:pPr>
      <w:r w:rsidRPr="00885603">
        <w:rPr>
          <w:b/>
          <w:sz w:val="24"/>
          <w:szCs w:val="24"/>
        </w:rPr>
        <w:t xml:space="preserve">13.  Provide an estimate for the total annual cost burden to respondents or recordkeepers resulting from the collection of information.  (Do not include the cost of any hour burden shown in Items 12 and 14). </w:t>
      </w:r>
    </w:p>
    <w:p w:rsidRPr="00885603" w:rsidR="00260D37" w:rsidRDefault="00260D37" w14:paraId="53AFCAC6" w14:textId="77777777">
      <w:pPr>
        <w:rPr>
          <w:sz w:val="24"/>
          <w:szCs w:val="24"/>
        </w:rPr>
      </w:pPr>
    </w:p>
    <w:p w:rsidRPr="00885603" w:rsidR="00664F6F" w:rsidRDefault="00664F6F" w14:paraId="1A02F7A8" w14:textId="77777777">
      <w:pPr>
        <w:rPr>
          <w:sz w:val="24"/>
          <w:szCs w:val="24"/>
        </w:rPr>
      </w:pPr>
      <w:r w:rsidRPr="00885603">
        <w:rPr>
          <w:sz w:val="24"/>
          <w:szCs w:val="24"/>
        </w:rPr>
        <w:t>There is no evidence that respondents bear any additional capital or start-up costs as a result of this</w:t>
      </w:r>
      <w:r w:rsidRPr="00885603" w:rsidR="00260D37">
        <w:rPr>
          <w:sz w:val="24"/>
          <w:szCs w:val="24"/>
        </w:rPr>
        <w:t xml:space="preserve"> </w:t>
      </w:r>
      <w:r w:rsidRPr="00885603">
        <w:rPr>
          <w:sz w:val="24"/>
          <w:szCs w:val="24"/>
        </w:rPr>
        <w:t>information requirement. The information requested, name of financial institution, RTN, and account number, is information that is readily available and often requested by other non-government entities doing business with the vendors. No operational or maintenance cost is associated with the collection of this information</w:t>
      </w:r>
      <w:r w:rsidR="00261341">
        <w:rPr>
          <w:sz w:val="24"/>
          <w:szCs w:val="24"/>
        </w:rPr>
        <w:t xml:space="preserve"> There are no associated record</w:t>
      </w:r>
      <w:r w:rsidRPr="00885603">
        <w:rPr>
          <w:sz w:val="24"/>
          <w:szCs w:val="24"/>
        </w:rPr>
        <w:t>keeping costs.</w:t>
      </w:r>
    </w:p>
    <w:p w:rsidRPr="00885603" w:rsidR="00260D37" w:rsidRDefault="00260D37" w14:paraId="7EE3A6D1" w14:textId="77777777">
      <w:pPr>
        <w:rPr>
          <w:sz w:val="24"/>
          <w:szCs w:val="24"/>
        </w:rPr>
      </w:pPr>
    </w:p>
    <w:p w:rsidRPr="00885603" w:rsidR="00260D37" w:rsidP="00260D37" w:rsidRDefault="00260D37" w14:paraId="7E83A85E" w14:textId="77777777">
      <w:pPr>
        <w:rPr>
          <w:b/>
          <w:sz w:val="24"/>
          <w:szCs w:val="24"/>
        </w:rPr>
      </w:pPr>
      <w:r w:rsidRPr="00885603">
        <w:rPr>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885603" w:rsidR="00260D37" w:rsidP="00260D37" w:rsidRDefault="00260D37" w14:paraId="1BDF1583" w14:textId="77777777">
      <w:pPr>
        <w:rPr>
          <w:b/>
          <w:sz w:val="24"/>
          <w:szCs w:val="24"/>
        </w:rPr>
      </w:pPr>
    </w:p>
    <w:p w:rsidRPr="00885603" w:rsidR="00260D37" w:rsidP="00260D37" w:rsidRDefault="00260D37" w14:paraId="584903B4" w14:textId="48301FEC">
      <w:pPr>
        <w:rPr>
          <w:sz w:val="24"/>
          <w:szCs w:val="24"/>
        </w:rPr>
      </w:pPr>
      <w:r w:rsidRPr="00885603">
        <w:rPr>
          <w:sz w:val="24"/>
          <w:szCs w:val="24"/>
        </w:rPr>
        <w:t>Estimates of annualized costs to the Federal Government are:</w:t>
      </w:r>
    </w:p>
    <w:p w:rsidRPr="00885603" w:rsidR="00260D37" w:rsidP="00260D37" w:rsidRDefault="00260D37" w14:paraId="56869552" w14:textId="77777777">
      <w:pPr>
        <w:rPr>
          <w:sz w:val="24"/>
          <w:szCs w:val="24"/>
        </w:rPr>
      </w:pPr>
    </w:p>
    <w:p w:rsidR="003C0416" w:rsidP="00530FA1" w:rsidRDefault="00260D37" w14:paraId="29E48F12" w14:textId="77777777">
      <w:pPr>
        <w:keepNext/>
        <w:rPr>
          <w:sz w:val="24"/>
          <w:szCs w:val="24"/>
        </w:rPr>
      </w:pPr>
      <w:r w:rsidRPr="00885603">
        <w:rPr>
          <w:sz w:val="24"/>
          <w:szCs w:val="24"/>
        </w:rPr>
        <w:lastRenderedPageBreak/>
        <w:t>Mailing costs</w:t>
      </w:r>
    </w:p>
    <w:tbl>
      <w:tblPr>
        <w:tblStyle w:val="TableGrid"/>
        <w:tblW w:w="0" w:type="auto"/>
        <w:tblLook w:val="04A0" w:firstRow="1" w:lastRow="0" w:firstColumn="1" w:lastColumn="0" w:noHBand="0" w:noVBand="1"/>
      </w:tblPr>
      <w:tblGrid>
        <w:gridCol w:w="2952"/>
        <w:gridCol w:w="2952"/>
        <w:gridCol w:w="2952"/>
      </w:tblGrid>
      <w:tr w:rsidRPr="000345BC" w:rsidR="000345BC" w:rsidTr="000345BC" w14:paraId="5E43794F" w14:textId="77777777">
        <w:tc>
          <w:tcPr>
            <w:tcW w:w="2952" w:type="dxa"/>
          </w:tcPr>
          <w:p w:rsidRPr="000345BC" w:rsidR="000345BC" w:rsidP="00530FA1" w:rsidRDefault="000345BC" w14:paraId="344CF0FC" w14:textId="49B1B367">
            <w:pPr>
              <w:keepNext/>
              <w:rPr>
                <w:sz w:val="24"/>
                <w:szCs w:val="24"/>
              </w:rPr>
            </w:pPr>
            <w:r w:rsidRPr="000345BC">
              <w:rPr>
                <w:sz w:val="24"/>
                <w:szCs w:val="24"/>
              </w:rPr>
              <w:t xml:space="preserve">Total </w:t>
            </w:r>
            <w:r>
              <w:rPr>
                <w:sz w:val="24"/>
                <w:szCs w:val="24"/>
              </w:rPr>
              <w:t>R</w:t>
            </w:r>
            <w:r w:rsidRPr="000345BC">
              <w:rPr>
                <w:sz w:val="24"/>
                <w:szCs w:val="24"/>
              </w:rPr>
              <w:t>esponses</w:t>
            </w:r>
          </w:p>
        </w:tc>
        <w:tc>
          <w:tcPr>
            <w:tcW w:w="2952" w:type="dxa"/>
          </w:tcPr>
          <w:p w:rsidRPr="000345BC" w:rsidR="000345BC" w:rsidP="00530FA1" w:rsidRDefault="000345BC" w14:paraId="06C5B2DD" w14:textId="6626EA66">
            <w:pPr>
              <w:keepNext/>
              <w:rPr>
                <w:sz w:val="24"/>
                <w:szCs w:val="24"/>
              </w:rPr>
            </w:pPr>
            <w:r>
              <w:rPr>
                <w:sz w:val="24"/>
                <w:szCs w:val="24"/>
              </w:rPr>
              <w:t>E</w:t>
            </w:r>
            <w:r w:rsidRPr="000345BC">
              <w:rPr>
                <w:sz w:val="24"/>
                <w:szCs w:val="24"/>
              </w:rPr>
              <w:t xml:space="preserve">lectronic </w:t>
            </w:r>
            <w:r>
              <w:rPr>
                <w:sz w:val="24"/>
                <w:szCs w:val="24"/>
              </w:rPr>
              <w:t>R</w:t>
            </w:r>
            <w:r w:rsidRPr="000345BC">
              <w:rPr>
                <w:sz w:val="24"/>
                <w:szCs w:val="24"/>
              </w:rPr>
              <w:t>esponse</w:t>
            </w:r>
          </w:p>
        </w:tc>
        <w:tc>
          <w:tcPr>
            <w:tcW w:w="2952" w:type="dxa"/>
          </w:tcPr>
          <w:p w:rsidRPr="000345BC" w:rsidR="000345BC" w:rsidP="00530FA1" w:rsidRDefault="000345BC" w14:paraId="696B8E6A" w14:textId="6F8260D8">
            <w:pPr>
              <w:keepNext/>
              <w:rPr>
                <w:sz w:val="24"/>
                <w:szCs w:val="24"/>
              </w:rPr>
            </w:pPr>
            <w:r>
              <w:rPr>
                <w:sz w:val="24"/>
                <w:szCs w:val="24"/>
              </w:rPr>
              <w:t>Total Mailing</w:t>
            </w:r>
            <w:r w:rsidRPr="000345BC">
              <w:rPr>
                <w:sz w:val="24"/>
                <w:szCs w:val="24"/>
              </w:rPr>
              <w:t xml:space="preserve">  </w:t>
            </w:r>
          </w:p>
        </w:tc>
      </w:tr>
      <w:tr w:rsidRPr="000345BC" w:rsidR="000345BC" w:rsidTr="000345BC" w14:paraId="71C1D03C" w14:textId="77777777">
        <w:tc>
          <w:tcPr>
            <w:tcW w:w="2952" w:type="dxa"/>
          </w:tcPr>
          <w:p w:rsidRPr="000345BC" w:rsidR="000345BC" w:rsidP="00530FA1" w:rsidRDefault="000345BC" w14:paraId="5D91AEC1" w14:textId="77777777">
            <w:pPr>
              <w:keepNext/>
              <w:rPr>
                <w:sz w:val="24"/>
                <w:szCs w:val="24"/>
              </w:rPr>
            </w:pPr>
            <w:r w:rsidRPr="000345BC">
              <w:rPr>
                <w:sz w:val="24"/>
                <w:szCs w:val="24"/>
              </w:rPr>
              <w:t>50,000</w:t>
            </w:r>
          </w:p>
        </w:tc>
        <w:tc>
          <w:tcPr>
            <w:tcW w:w="2952" w:type="dxa"/>
          </w:tcPr>
          <w:p w:rsidRPr="000345BC" w:rsidR="000345BC" w:rsidP="00530FA1" w:rsidRDefault="000345BC" w14:paraId="38EA00E6" w14:textId="77777777">
            <w:pPr>
              <w:keepNext/>
              <w:rPr>
                <w:sz w:val="24"/>
                <w:szCs w:val="24"/>
              </w:rPr>
            </w:pPr>
            <w:r w:rsidRPr="000345BC">
              <w:rPr>
                <w:sz w:val="24"/>
                <w:szCs w:val="24"/>
              </w:rPr>
              <w:t>30,000</w:t>
            </w:r>
          </w:p>
        </w:tc>
        <w:tc>
          <w:tcPr>
            <w:tcW w:w="2952" w:type="dxa"/>
          </w:tcPr>
          <w:p w:rsidRPr="000345BC" w:rsidR="000345BC" w:rsidP="00530FA1" w:rsidRDefault="000345BC" w14:paraId="043148C8" w14:textId="77777777">
            <w:pPr>
              <w:keepNext/>
              <w:rPr>
                <w:sz w:val="24"/>
                <w:szCs w:val="24"/>
              </w:rPr>
            </w:pPr>
            <w:r w:rsidRPr="000345BC">
              <w:rPr>
                <w:sz w:val="24"/>
                <w:szCs w:val="24"/>
              </w:rPr>
              <w:t>20,000</w:t>
            </w:r>
          </w:p>
        </w:tc>
      </w:tr>
      <w:tr w:rsidRPr="000345BC" w:rsidR="000345BC" w:rsidTr="007456AC" w14:paraId="35288382" w14:textId="77777777">
        <w:tc>
          <w:tcPr>
            <w:tcW w:w="5904" w:type="dxa"/>
            <w:gridSpan w:val="2"/>
          </w:tcPr>
          <w:p w:rsidRPr="000345BC" w:rsidR="000345BC" w:rsidP="00530FA1" w:rsidRDefault="000345BC" w14:paraId="602ADA30" w14:textId="014B5377">
            <w:pPr>
              <w:keepNext/>
              <w:rPr>
                <w:sz w:val="24"/>
                <w:szCs w:val="24"/>
              </w:rPr>
            </w:pPr>
            <w:r>
              <w:rPr>
                <w:sz w:val="24"/>
                <w:szCs w:val="24"/>
              </w:rPr>
              <w:t>Mailing Cost per form ($.58) x 20,000 =</w:t>
            </w:r>
          </w:p>
        </w:tc>
        <w:tc>
          <w:tcPr>
            <w:tcW w:w="2952" w:type="dxa"/>
          </w:tcPr>
          <w:p w:rsidRPr="000345BC" w:rsidR="000345BC" w:rsidP="00530FA1" w:rsidRDefault="000345BC" w14:paraId="67013A5A" w14:textId="570E0225">
            <w:pPr>
              <w:keepNext/>
              <w:rPr>
                <w:sz w:val="24"/>
                <w:szCs w:val="24"/>
              </w:rPr>
            </w:pPr>
            <w:r>
              <w:rPr>
                <w:sz w:val="24"/>
                <w:szCs w:val="24"/>
              </w:rPr>
              <w:t>$11,600</w:t>
            </w:r>
            <w:r w:rsidR="00530FA1">
              <w:rPr>
                <w:sz w:val="24"/>
                <w:szCs w:val="24"/>
              </w:rPr>
              <w:t>.00</w:t>
            </w:r>
          </w:p>
        </w:tc>
      </w:tr>
    </w:tbl>
    <w:p w:rsidRPr="00885603" w:rsidR="005E403E" w:rsidP="00260D37" w:rsidRDefault="005E403E" w14:paraId="27DF26BC" w14:textId="77777777">
      <w:pPr>
        <w:rPr>
          <w:sz w:val="24"/>
          <w:szCs w:val="24"/>
        </w:rPr>
      </w:pPr>
    </w:p>
    <w:p w:rsidR="000345BC" w:rsidP="005E403E" w:rsidRDefault="000345BC" w14:paraId="3D685381" w14:textId="77777777">
      <w:pPr>
        <w:rPr>
          <w:sz w:val="24"/>
          <w:szCs w:val="24"/>
        </w:rPr>
      </w:pPr>
      <w:r>
        <w:rPr>
          <w:sz w:val="24"/>
          <w:szCs w:val="24"/>
        </w:rPr>
        <w:t>Labor Costs</w:t>
      </w:r>
    </w:p>
    <w:p w:rsidR="001301C0" w:rsidP="001301C0" w:rsidRDefault="001301C0" w14:paraId="022E6DD8" w14:textId="77777777"/>
    <w:tbl>
      <w:tblPr>
        <w:tblStyle w:val="TableGrid1"/>
        <w:tblW w:w="8857" w:type="dxa"/>
        <w:jc w:val="center"/>
        <w:tblInd w:w="0" w:type="dxa"/>
        <w:tblLayout w:type="fixed"/>
        <w:tblLook w:val="04A0" w:firstRow="1" w:lastRow="0" w:firstColumn="1" w:lastColumn="0" w:noHBand="0" w:noVBand="1"/>
      </w:tblPr>
      <w:tblGrid>
        <w:gridCol w:w="2575"/>
        <w:gridCol w:w="1349"/>
        <w:gridCol w:w="1529"/>
        <w:gridCol w:w="1079"/>
        <w:gridCol w:w="1190"/>
        <w:gridCol w:w="1135"/>
      </w:tblGrid>
      <w:tr w:rsidR="001301C0" w:rsidTr="0095132D" w14:paraId="43E503DF" w14:textId="77777777">
        <w:trPr>
          <w:trHeight w:val="890"/>
          <w:jc w:val="center"/>
        </w:trPr>
        <w:tc>
          <w:tcPr>
            <w:tcW w:w="2575"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001301C0" w:rsidP="00CD2391" w:rsidRDefault="001301C0" w14:paraId="4A38A7F2" w14:textId="77777777">
            <w:pPr>
              <w:keepNext/>
              <w:suppressAutoHyphens/>
              <w:jc w:val="center"/>
              <w:rPr>
                <w:rFonts w:ascii="Arial" w:hAnsi="Arial" w:cs="Arial"/>
                <w:sz w:val="20"/>
                <w:szCs w:val="20"/>
              </w:rPr>
            </w:pPr>
            <w:r>
              <w:rPr>
                <w:rFonts w:ascii="Arial" w:hAnsi="Arial" w:cs="Arial"/>
                <w:sz w:val="20"/>
                <w:szCs w:val="20"/>
              </w:rPr>
              <w:t>Labor Category</w:t>
            </w:r>
          </w:p>
        </w:tc>
        <w:tc>
          <w:tcPr>
            <w:tcW w:w="1349"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001301C0" w:rsidP="00CD2391" w:rsidRDefault="001301C0" w14:paraId="7A8FDCC2" w14:textId="7688383D">
            <w:pPr>
              <w:keepNext/>
              <w:suppressAutoHyphens/>
              <w:jc w:val="center"/>
              <w:rPr>
                <w:rFonts w:ascii="Arial" w:hAnsi="Arial" w:cs="Arial"/>
                <w:sz w:val="20"/>
                <w:szCs w:val="20"/>
              </w:rPr>
            </w:pPr>
            <w:r>
              <w:rPr>
                <w:rFonts w:ascii="Arial" w:hAnsi="Arial" w:cs="Arial"/>
                <w:sz w:val="20"/>
                <w:szCs w:val="20"/>
              </w:rPr>
              <w:t>Fully-loaded Labor Rate/Hour</w:t>
            </w:r>
            <w:r w:rsidR="00530FA1">
              <w:rPr>
                <w:rStyle w:val="FootnoteReference"/>
                <w:rFonts w:ascii="Arial" w:hAnsi="Arial" w:cs="Arial"/>
                <w:sz w:val="20"/>
                <w:szCs w:val="20"/>
              </w:rPr>
              <w:footnoteReference w:id="2"/>
            </w:r>
          </w:p>
        </w:tc>
        <w:tc>
          <w:tcPr>
            <w:tcW w:w="1529"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001301C0" w:rsidP="00CD2391" w:rsidRDefault="001301C0" w14:paraId="7C14FA41" w14:textId="77777777">
            <w:pPr>
              <w:keepNext/>
              <w:suppressAutoHyphens/>
              <w:jc w:val="center"/>
              <w:rPr>
                <w:rFonts w:ascii="Arial" w:hAnsi="Arial" w:cs="Arial"/>
                <w:sz w:val="20"/>
                <w:szCs w:val="20"/>
              </w:rPr>
            </w:pPr>
            <w:r>
              <w:rPr>
                <w:rFonts w:ascii="Arial" w:hAnsi="Arial" w:cs="Arial"/>
                <w:sz w:val="20"/>
                <w:szCs w:val="20"/>
              </w:rPr>
              <w:t>Avg. Processing Time per Response</w:t>
            </w:r>
          </w:p>
        </w:tc>
        <w:tc>
          <w:tcPr>
            <w:tcW w:w="1079"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001301C0" w:rsidP="00CD2391" w:rsidRDefault="001301C0" w14:paraId="4BD19283" w14:textId="77777777">
            <w:pPr>
              <w:keepNext/>
              <w:suppressAutoHyphens/>
              <w:jc w:val="center"/>
              <w:rPr>
                <w:rFonts w:ascii="Arial" w:hAnsi="Arial" w:cs="Arial"/>
                <w:sz w:val="20"/>
                <w:szCs w:val="20"/>
              </w:rPr>
            </w:pPr>
            <w:r>
              <w:rPr>
                <w:rFonts w:ascii="Arial" w:hAnsi="Arial" w:cs="Arial"/>
                <w:sz w:val="20"/>
                <w:szCs w:val="20"/>
              </w:rPr>
              <w:t>Labor Costs per Response</w:t>
            </w:r>
          </w:p>
        </w:tc>
        <w:tc>
          <w:tcPr>
            <w:tcW w:w="119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001301C0" w:rsidP="00CD2391" w:rsidRDefault="001301C0" w14:paraId="41EE9204" w14:textId="77777777">
            <w:pPr>
              <w:keepNext/>
              <w:suppressAutoHyphens/>
              <w:jc w:val="center"/>
              <w:rPr>
                <w:rFonts w:ascii="Arial" w:hAnsi="Arial" w:cs="Arial"/>
                <w:sz w:val="20"/>
                <w:szCs w:val="20"/>
              </w:rPr>
            </w:pPr>
            <w:r>
              <w:rPr>
                <w:rFonts w:ascii="Arial" w:hAnsi="Arial" w:cs="Arial"/>
                <w:sz w:val="20"/>
                <w:szCs w:val="20"/>
              </w:rPr>
              <w:t>Total Responses</w:t>
            </w:r>
          </w:p>
        </w:tc>
        <w:tc>
          <w:tcPr>
            <w:tcW w:w="1135"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001301C0" w:rsidP="00CD2391" w:rsidRDefault="001301C0" w14:paraId="786488E7" w14:textId="77777777">
            <w:pPr>
              <w:keepNext/>
              <w:suppressAutoHyphens/>
              <w:jc w:val="center"/>
              <w:rPr>
                <w:rFonts w:ascii="Arial" w:hAnsi="Arial" w:cs="Arial"/>
                <w:sz w:val="20"/>
                <w:szCs w:val="20"/>
              </w:rPr>
            </w:pPr>
            <w:r>
              <w:rPr>
                <w:rFonts w:ascii="Arial" w:hAnsi="Arial" w:cs="Arial"/>
                <w:sz w:val="20"/>
                <w:szCs w:val="20"/>
              </w:rPr>
              <w:t>Total Govt. Labor Costs</w:t>
            </w:r>
          </w:p>
        </w:tc>
      </w:tr>
      <w:tr w:rsidR="001301C0" w:rsidTr="0095132D" w14:paraId="36D53C26" w14:textId="77777777">
        <w:trPr>
          <w:trHeight w:val="683"/>
          <w:jc w:val="center"/>
        </w:trPr>
        <w:tc>
          <w:tcPr>
            <w:tcW w:w="2575"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001301C0" w:rsidP="00CD2391" w:rsidRDefault="001301C0" w14:paraId="43D268E3" w14:textId="755E3790">
            <w:pPr>
              <w:keepNext/>
              <w:suppressAutoHyphens/>
              <w:jc w:val="center"/>
              <w:rPr>
                <w:rFonts w:ascii="Arial" w:hAnsi="Arial" w:cs="Arial"/>
                <w:sz w:val="20"/>
                <w:szCs w:val="20"/>
              </w:rPr>
            </w:pPr>
            <w:r>
              <w:rPr>
                <w:rFonts w:ascii="Arial" w:hAnsi="Arial" w:cs="Arial"/>
                <w:sz w:val="20"/>
                <w:szCs w:val="20"/>
              </w:rPr>
              <w:t xml:space="preserve">GS–7 Step 5 for the </w:t>
            </w:r>
            <w:r w:rsidR="00530FA1">
              <w:rPr>
                <w:rFonts w:ascii="Arial" w:hAnsi="Arial" w:cs="Arial"/>
                <w:sz w:val="20"/>
                <w:szCs w:val="20"/>
              </w:rPr>
              <w:t>Base Pay Rate</w:t>
            </w:r>
          </w:p>
        </w:tc>
        <w:tc>
          <w:tcPr>
            <w:tcW w:w="1349"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001301C0" w:rsidP="00CD2391" w:rsidRDefault="001301C0" w14:paraId="7A0EB55C" w14:textId="77777777">
            <w:pPr>
              <w:keepNext/>
              <w:suppressAutoHyphens/>
              <w:jc w:val="center"/>
              <w:rPr>
                <w:rFonts w:ascii="Arial" w:hAnsi="Arial" w:cs="Arial"/>
                <w:sz w:val="20"/>
                <w:szCs w:val="20"/>
              </w:rPr>
            </w:pPr>
            <w:r>
              <w:rPr>
                <w:rFonts w:ascii="Arial" w:hAnsi="Arial" w:cs="Arial"/>
                <w:sz w:val="20"/>
                <w:szCs w:val="20"/>
              </w:rPr>
              <w:t>$34.08</w:t>
            </w:r>
          </w:p>
        </w:tc>
        <w:tc>
          <w:tcPr>
            <w:tcW w:w="1529"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001301C0" w:rsidP="00CD2391" w:rsidRDefault="001301C0" w14:paraId="21509604" w14:textId="77777777">
            <w:pPr>
              <w:keepNext/>
              <w:suppressAutoHyphens/>
              <w:jc w:val="center"/>
              <w:rPr>
                <w:rFonts w:ascii="Arial" w:hAnsi="Arial" w:cs="Arial"/>
                <w:sz w:val="20"/>
                <w:szCs w:val="20"/>
              </w:rPr>
            </w:pPr>
            <w:r>
              <w:rPr>
                <w:rFonts w:ascii="Arial" w:hAnsi="Arial" w:cs="Arial"/>
                <w:sz w:val="20"/>
                <w:szCs w:val="20"/>
              </w:rPr>
              <w:t>3 minutes</w:t>
            </w:r>
          </w:p>
          <w:p w:rsidR="001301C0" w:rsidP="00CD2391" w:rsidRDefault="001301C0" w14:paraId="2B97DA37" w14:textId="77777777">
            <w:pPr>
              <w:keepNext/>
              <w:suppressAutoHyphens/>
              <w:jc w:val="center"/>
              <w:rPr>
                <w:rFonts w:ascii="Arial" w:hAnsi="Arial" w:cs="Arial"/>
                <w:sz w:val="20"/>
                <w:szCs w:val="20"/>
              </w:rPr>
            </w:pPr>
            <w:r>
              <w:rPr>
                <w:rFonts w:ascii="Arial" w:hAnsi="Arial" w:cs="Arial"/>
                <w:sz w:val="20"/>
                <w:szCs w:val="20"/>
              </w:rPr>
              <w:t>(.05)</w:t>
            </w:r>
          </w:p>
        </w:tc>
        <w:tc>
          <w:tcPr>
            <w:tcW w:w="1079"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001301C0" w:rsidP="00CD2391" w:rsidRDefault="001301C0" w14:paraId="7B9B43BF" w14:textId="77777777">
            <w:pPr>
              <w:keepNext/>
              <w:suppressAutoHyphens/>
              <w:jc w:val="center"/>
              <w:rPr>
                <w:rFonts w:ascii="Arial" w:hAnsi="Arial" w:cs="Arial"/>
                <w:sz w:val="20"/>
                <w:szCs w:val="20"/>
              </w:rPr>
            </w:pPr>
            <w:r>
              <w:rPr>
                <w:rFonts w:ascii="Arial" w:hAnsi="Arial" w:cs="Arial"/>
                <w:sz w:val="20"/>
                <w:szCs w:val="20"/>
              </w:rPr>
              <w:t>$1.70</w:t>
            </w:r>
          </w:p>
        </w:tc>
        <w:tc>
          <w:tcPr>
            <w:tcW w:w="119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001301C0" w:rsidP="00CD2391" w:rsidRDefault="001301C0" w14:paraId="0E82F971" w14:textId="77777777">
            <w:pPr>
              <w:keepNext/>
              <w:suppressAutoHyphens/>
              <w:jc w:val="center"/>
              <w:rPr>
                <w:rFonts w:ascii="Arial" w:hAnsi="Arial" w:cs="Arial"/>
                <w:sz w:val="20"/>
                <w:szCs w:val="20"/>
              </w:rPr>
            </w:pPr>
            <w:r>
              <w:rPr>
                <w:rFonts w:ascii="Arial" w:hAnsi="Arial" w:cs="Arial"/>
                <w:sz w:val="20"/>
                <w:szCs w:val="20"/>
              </w:rPr>
              <w:t>50,000</w:t>
            </w:r>
          </w:p>
        </w:tc>
        <w:tc>
          <w:tcPr>
            <w:tcW w:w="1135"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001301C0" w:rsidP="00CD2391" w:rsidRDefault="001301C0" w14:paraId="51A80BB0" w14:textId="77777777">
            <w:pPr>
              <w:keepNext/>
              <w:suppressAutoHyphens/>
              <w:jc w:val="center"/>
              <w:rPr>
                <w:rFonts w:ascii="Arial" w:hAnsi="Arial" w:cs="Arial"/>
                <w:sz w:val="20"/>
                <w:szCs w:val="20"/>
              </w:rPr>
            </w:pPr>
            <w:r>
              <w:rPr>
                <w:rFonts w:ascii="Arial" w:hAnsi="Arial" w:cs="Arial"/>
                <w:sz w:val="20"/>
                <w:szCs w:val="20"/>
              </w:rPr>
              <w:t>$85,000.00</w:t>
            </w:r>
          </w:p>
        </w:tc>
      </w:tr>
    </w:tbl>
    <w:p w:rsidR="001301C0" w:rsidP="001301C0" w:rsidRDefault="001301C0" w14:paraId="2D715626" w14:textId="77777777">
      <w:pPr>
        <w:ind w:firstLine="180"/>
        <w:rPr>
          <w:sz w:val="24"/>
          <w:szCs w:val="24"/>
        </w:rPr>
      </w:pPr>
    </w:p>
    <w:p w:rsidR="00E56DDB" w:rsidRDefault="00530FA1" w14:paraId="5ABFF606" w14:textId="6677931F">
      <w:pPr>
        <w:rPr>
          <w:sz w:val="24"/>
          <w:szCs w:val="24"/>
        </w:rPr>
      </w:pPr>
      <w:r>
        <w:rPr>
          <w:sz w:val="24"/>
          <w:szCs w:val="24"/>
        </w:rPr>
        <w:t>Total Government cost including mailing and labor = $96,600.00</w:t>
      </w:r>
    </w:p>
    <w:p w:rsidRPr="00885603" w:rsidR="00E56DDB" w:rsidRDefault="00E56DDB" w14:paraId="6247809E" w14:textId="77777777">
      <w:pPr>
        <w:rPr>
          <w:sz w:val="24"/>
          <w:szCs w:val="24"/>
        </w:rPr>
      </w:pPr>
    </w:p>
    <w:p w:rsidRPr="00885603" w:rsidR="005E403E" w:rsidRDefault="005E403E" w14:paraId="504875DC" w14:textId="77777777">
      <w:pPr>
        <w:rPr>
          <w:sz w:val="24"/>
          <w:szCs w:val="24"/>
        </w:rPr>
      </w:pPr>
    </w:p>
    <w:p w:rsidRPr="00885603" w:rsidR="00201151" w:rsidP="00201151" w:rsidRDefault="00201151" w14:paraId="06DE46B4" w14:textId="77777777">
      <w:pPr>
        <w:rPr>
          <w:b/>
          <w:sz w:val="24"/>
          <w:szCs w:val="24"/>
        </w:rPr>
      </w:pPr>
      <w:r w:rsidRPr="00885603">
        <w:rPr>
          <w:b/>
          <w:sz w:val="24"/>
          <w:szCs w:val="24"/>
        </w:rPr>
        <w:t xml:space="preserve">15.  Explain the reasons for any program changes or adjustments reported in Items 13 or 14 of the OMB Form 83-I. </w:t>
      </w:r>
    </w:p>
    <w:p w:rsidRPr="00885603" w:rsidR="005E403E" w:rsidRDefault="005E403E" w14:paraId="184B2057" w14:textId="77777777">
      <w:pPr>
        <w:rPr>
          <w:sz w:val="24"/>
          <w:szCs w:val="24"/>
        </w:rPr>
      </w:pPr>
    </w:p>
    <w:p w:rsidR="009200CD" w:rsidRDefault="00BF2B24" w14:paraId="15245EE2" w14:textId="77777777">
      <w:pPr>
        <w:rPr>
          <w:sz w:val="24"/>
          <w:szCs w:val="24"/>
        </w:rPr>
      </w:pPr>
      <w:r>
        <w:rPr>
          <w:sz w:val="24"/>
          <w:szCs w:val="24"/>
        </w:rPr>
        <w:t xml:space="preserve">No changes or adjustments are reported. </w:t>
      </w:r>
    </w:p>
    <w:p w:rsidRPr="00885603" w:rsidR="00C6491B" w:rsidRDefault="00C6491B" w14:paraId="2F58BD33" w14:textId="77777777">
      <w:pPr>
        <w:rPr>
          <w:sz w:val="24"/>
          <w:szCs w:val="24"/>
        </w:rPr>
      </w:pPr>
    </w:p>
    <w:p w:rsidRPr="00885603" w:rsidR="009200CD" w:rsidP="009200CD" w:rsidRDefault="009200CD" w14:paraId="7A5F10BC" w14:textId="77777777">
      <w:pPr>
        <w:rPr>
          <w:b/>
          <w:sz w:val="24"/>
          <w:szCs w:val="24"/>
        </w:rPr>
      </w:pPr>
      <w:r w:rsidRPr="00885603">
        <w:rPr>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85603" w:rsidR="009200CD" w:rsidRDefault="009200CD" w14:paraId="2C11F9E1" w14:textId="77777777">
      <w:pPr>
        <w:rPr>
          <w:sz w:val="24"/>
          <w:szCs w:val="24"/>
        </w:rPr>
      </w:pPr>
    </w:p>
    <w:p w:rsidRPr="00885603" w:rsidR="00664F6F" w:rsidRDefault="00664F6F" w14:paraId="48ABF0B3" w14:textId="77777777">
      <w:pPr>
        <w:rPr>
          <w:sz w:val="24"/>
          <w:szCs w:val="24"/>
        </w:rPr>
      </w:pPr>
      <w:r w:rsidRPr="00885603">
        <w:rPr>
          <w:sz w:val="24"/>
          <w:szCs w:val="24"/>
        </w:rPr>
        <w:t>Collected information will not be published.</w:t>
      </w:r>
    </w:p>
    <w:p w:rsidRPr="00885603" w:rsidR="00664F6F" w:rsidRDefault="00664F6F" w14:paraId="073DD334" w14:textId="77777777">
      <w:pPr>
        <w:rPr>
          <w:sz w:val="24"/>
          <w:szCs w:val="24"/>
        </w:rPr>
      </w:pPr>
    </w:p>
    <w:p w:rsidRPr="00885603" w:rsidR="009200CD" w:rsidP="009200CD" w:rsidRDefault="009200CD" w14:paraId="69DC3300" w14:textId="77777777">
      <w:pPr>
        <w:rPr>
          <w:b/>
          <w:sz w:val="24"/>
          <w:szCs w:val="24"/>
        </w:rPr>
      </w:pPr>
      <w:r w:rsidRPr="00885603">
        <w:rPr>
          <w:b/>
          <w:sz w:val="24"/>
          <w:szCs w:val="24"/>
        </w:rPr>
        <w:t>17.  If seeking approval to not display the expiration date for OMB approval of the information collection, explain the reasons that display would be inappropriate.</w:t>
      </w:r>
    </w:p>
    <w:p w:rsidRPr="00885603" w:rsidR="009200CD" w:rsidRDefault="009200CD" w14:paraId="3F9D8149" w14:textId="77777777">
      <w:pPr>
        <w:rPr>
          <w:sz w:val="24"/>
          <w:szCs w:val="24"/>
        </w:rPr>
      </w:pPr>
    </w:p>
    <w:p w:rsidRPr="00885603" w:rsidR="00176412" w:rsidRDefault="00CF5843" w14:paraId="187591C8" w14:textId="77777777">
      <w:pPr>
        <w:rPr>
          <w:sz w:val="24"/>
          <w:szCs w:val="24"/>
        </w:rPr>
      </w:pPr>
      <w:r>
        <w:rPr>
          <w:sz w:val="24"/>
          <w:szCs w:val="24"/>
        </w:rPr>
        <w:t>Placing</w:t>
      </w:r>
      <w:r w:rsidRPr="00885603">
        <w:rPr>
          <w:sz w:val="24"/>
          <w:szCs w:val="24"/>
        </w:rPr>
        <w:t xml:space="preserve"> </w:t>
      </w:r>
      <w:r w:rsidRPr="00885603" w:rsidR="00176412">
        <w:rPr>
          <w:sz w:val="24"/>
          <w:szCs w:val="24"/>
        </w:rPr>
        <w:t>the expiration date o</w:t>
      </w:r>
      <w:r w:rsidR="00B47C91">
        <w:rPr>
          <w:sz w:val="24"/>
          <w:szCs w:val="24"/>
        </w:rPr>
        <w:t>n</w:t>
      </w:r>
      <w:r w:rsidRPr="00885603" w:rsidR="00176412">
        <w:rPr>
          <w:sz w:val="24"/>
          <w:szCs w:val="24"/>
        </w:rPr>
        <w:t xml:space="preserve"> the form will result in increased  </w:t>
      </w:r>
      <w:r>
        <w:rPr>
          <w:sz w:val="24"/>
          <w:szCs w:val="24"/>
        </w:rPr>
        <w:t>need for agenci</w:t>
      </w:r>
      <w:r w:rsidR="00261341">
        <w:rPr>
          <w:sz w:val="24"/>
          <w:szCs w:val="24"/>
        </w:rPr>
        <w:t>es to  update systems collect</w:t>
      </w:r>
      <w:r>
        <w:rPr>
          <w:sz w:val="24"/>
          <w:szCs w:val="24"/>
        </w:rPr>
        <w:t>ing this information</w:t>
      </w:r>
      <w:r w:rsidRPr="00885603" w:rsidR="00176412">
        <w:rPr>
          <w:sz w:val="24"/>
          <w:szCs w:val="24"/>
        </w:rPr>
        <w:t xml:space="preserve"> each time OM</w:t>
      </w:r>
      <w:r w:rsidR="00501900">
        <w:rPr>
          <w:sz w:val="24"/>
          <w:szCs w:val="24"/>
        </w:rPr>
        <w:t>B</w:t>
      </w:r>
      <w:r w:rsidRPr="00885603" w:rsidR="00176412">
        <w:rPr>
          <w:sz w:val="24"/>
          <w:szCs w:val="24"/>
        </w:rPr>
        <w:t xml:space="preserve"> approval is needed.  </w:t>
      </w:r>
    </w:p>
    <w:p w:rsidRPr="00885603" w:rsidR="00176412" w:rsidRDefault="00176412" w14:paraId="71666B56" w14:textId="77777777">
      <w:pPr>
        <w:rPr>
          <w:sz w:val="24"/>
          <w:szCs w:val="24"/>
        </w:rPr>
      </w:pPr>
      <w:r w:rsidRPr="00885603">
        <w:rPr>
          <w:sz w:val="24"/>
          <w:szCs w:val="24"/>
        </w:rPr>
        <w:t>Not printing the expiration date on the form will also avoid con</w:t>
      </w:r>
      <w:r w:rsidR="00B47C91">
        <w:rPr>
          <w:sz w:val="24"/>
          <w:szCs w:val="24"/>
        </w:rPr>
        <w:t>f</w:t>
      </w:r>
      <w:r w:rsidRPr="00885603">
        <w:rPr>
          <w:sz w:val="24"/>
          <w:szCs w:val="24"/>
        </w:rPr>
        <w:t>u</w:t>
      </w:r>
      <w:r w:rsidR="00B47C91">
        <w:rPr>
          <w:sz w:val="24"/>
          <w:szCs w:val="24"/>
        </w:rPr>
        <w:t>s</w:t>
      </w:r>
      <w:r w:rsidRPr="00885603">
        <w:rPr>
          <w:sz w:val="24"/>
          <w:szCs w:val="24"/>
        </w:rPr>
        <w:t>ion among users who may have identical forms with different expiration dates in their possession.</w:t>
      </w:r>
    </w:p>
    <w:p w:rsidRPr="00885603" w:rsidR="00664F6F" w:rsidRDefault="00664F6F" w14:paraId="0130BF9A" w14:textId="77777777">
      <w:pPr>
        <w:rPr>
          <w:sz w:val="24"/>
          <w:szCs w:val="24"/>
        </w:rPr>
      </w:pPr>
    </w:p>
    <w:p w:rsidRPr="00885603" w:rsidR="00885603" w:rsidP="00885603" w:rsidRDefault="00885603" w14:paraId="46332613" w14:textId="77777777">
      <w:pPr>
        <w:rPr>
          <w:b/>
          <w:sz w:val="24"/>
          <w:szCs w:val="24"/>
        </w:rPr>
      </w:pPr>
      <w:r w:rsidRPr="00885603">
        <w:rPr>
          <w:b/>
          <w:sz w:val="24"/>
          <w:szCs w:val="24"/>
        </w:rPr>
        <w:t>18.  Explain each exception to the certification statement identified in Item 19, “Certification for Paperwork Reduction Act Submissions,” of OMB Form 83-I.</w:t>
      </w:r>
    </w:p>
    <w:p w:rsidRPr="00885603" w:rsidR="00885603" w:rsidRDefault="00885603" w14:paraId="33488A69" w14:textId="77777777">
      <w:pPr>
        <w:rPr>
          <w:sz w:val="24"/>
          <w:szCs w:val="24"/>
        </w:rPr>
      </w:pPr>
    </w:p>
    <w:p w:rsidRPr="00885603" w:rsidR="00664F6F" w:rsidRDefault="00501900" w14:paraId="00F2A57B" w14:textId="77777777">
      <w:pPr>
        <w:rPr>
          <w:sz w:val="24"/>
          <w:szCs w:val="24"/>
        </w:rPr>
      </w:pPr>
      <w:r>
        <w:rPr>
          <w:sz w:val="24"/>
          <w:szCs w:val="24"/>
        </w:rPr>
        <w:lastRenderedPageBreak/>
        <w:t>There are no exceptions to the certification statement.</w:t>
      </w:r>
    </w:p>
    <w:p w:rsidRPr="00885603" w:rsidR="00885603" w:rsidP="00885603" w:rsidRDefault="00885603" w14:paraId="77C31029" w14:textId="77777777">
      <w:pPr>
        <w:rPr>
          <w:b/>
          <w:sz w:val="24"/>
          <w:szCs w:val="24"/>
        </w:rPr>
      </w:pPr>
    </w:p>
    <w:p w:rsidRPr="00885603" w:rsidR="00885603" w:rsidP="00885603" w:rsidRDefault="00885603" w14:paraId="114FE2BE" w14:textId="77777777">
      <w:pPr>
        <w:rPr>
          <w:b/>
          <w:sz w:val="24"/>
          <w:szCs w:val="24"/>
        </w:rPr>
      </w:pPr>
    </w:p>
    <w:p w:rsidRPr="00885603" w:rsidR="00885603" w:rsidP="00885603" w:rsidRDefault="00885603" w14:paraId="40BA5CFA" w14:textId="77777777">
      <w:pPr>
        <w:rPr>
          <w:sz w:val="24"/>
          <w:szCs w:val="24"/>
        </w:rPr>
      </w:pPr>
      <w:r w:rsidRPr="00885603">
        <w:rPr>
          <w:b/>
          <w:sz w:val="24"/>
          <w:szCs w:val="24"/>
        </w:rPr>
        <w:t xml:space="preserve">B.  </w:t>
      </w:r>
      <w:r w:rsidRPr="00885603">
        <w:rPr>
          <w:b/>
          <w:sz w:val="24"/>
          <w:szCs w:val="24"/>
          <w:u w:val="single"/>
        </w:rPr>
        <w:t>Collections of Information Employing Statistical Methods</w:t>
      </w:r>
      <w:r w:rsidRPr="00885603">
        <w:rPr>
          <w:b/>
          <w:sz w:val="24"/>
          <w:szCs w:val="24"/>
        </w:rPr>
        <w:t xml:space="preserve"> </w:t>
      </w:r>
    </w:p>
    <w:p w:rsidRPr="00885603" w:rsidR="00885603" w:rsidP="00885603" w:rsidRDefault="00885603" w14:paraId="488DC760" w14:textId="77777777">
      <w:pPr>
        <w:ind w:left="360"/>
        <w:rPr>
          <w:b/>
          <w:sz w:val="24"/>
          <w:szCs w:val="24"/>
        </w:rPr>
      </w:pPr>
    </w:p>
    <w:p w:rsidRPr="00885603" w:rsidR="00885603" w:rsidP="00885603" w:rsidRDefault="00885603" w14:paraId="02267E94" w14:textId="77777777">
      <w:pPr>
        <w:rPr>
          <w:b/>
          <w:sz w:val="24"/>
          <w:szCs w:val="24"/>
        </w:rPr>
      </w:pPr>
      <w:r w:rsidRPr="00885603">
        <w:rPr>
          <w:b/>
          <w:sz w:val="24"/>
          <w:szCs w:val="24"/>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Pr="00885603" w:rsidR="00885603" w:rsidRDefault="00885603" w14:paraId="19D298EF" w14:textId="77777777">
      <w:pPr>
        <w:rPr>
          <w:sz w:val="24"/>
          <w:szCs w:val="24"/>
        </w:rPr>
      </w:pPr>
    </w:p>
    <w:p w:rsidRPr="00885603" w:rsidR="00664F6F" w:rsidRDefault="006C4FF7" w14:paraId="3F41BFE6" w14:textId="77777777">
      <w:pPr>
        <w:rPr>
          <w:sz w:val="24"/>
          <w:szCs w:val="24"/>
        </w:rPr>
      </w:pPr>
      <w:r>
        <w:rPr>
          <w:sz w:val="24"/>
          <w:szCs w:val="24"/>
        </w:rPr>
        <w:t>This c</w:t>
      </w:r>
      <w:r w:rsidRPr="00885603" w:rsidR="00664F6F">
        <w:rPr>
          <w:sz w:val="24"/>
          <w:szCs w:val="24"/>
        </w:rPr>
        <w:t>ollection of information does not employ statistical methods.</w:t>
      </w:r>
    </w:p>
    <w:p w:rsidRPr="00885603" w:rsidR="00664F6F" w:rsidRDefault="00664F6F" w14:paraId="586BB870" w14:textId="77777777">
      <w:pPr>
        <w:rPr>
          <w:sz w:val="24"/>
          <w:szCs w:val="24"/>
        </w:rPr>
      </w:pPr>
    </w:p>
    <w:p w:rsidRPr="00885603" w:rsidR="005E403E" w:rsidRDefault="005E403E" w14:paraId="378F9161" w14:textId="77777777">
      <w:pPr>
        <w:rPr>
          <w:sz w:val="24"/>
          <w:szCs w:val="24"/>
        </w:rPr>
      </w:pPr>
    </w:p>
    <w:p w:rsidRPr="00885603" w:rsidR="009200CD" w:rsidRDefault="009200CD" w14:paraId="19C91746" w14:textId="77777777">
      <w:pPr>
        <w:rPr>
          <w:sz w:val="24"/>
          <w:szCs w:val="24"/>
        </w:rPr>
      </w:pPr>
    </w:p>
    <w:p w:rsidRPr="00885603" w:rsidR="009200CD" w:rsidRDefault="009200CD" w14:paraId="528E9485" w14:textId="77777777">
      <w:pPr>
        <w:rPr>
          <w:sz w:val="24"/>
          <w:szCs w:val="24"/>
        </w:rPr>
      </w:pPr>
    </w:p>
    <w:p w:rsidRPr="00885603" w:rsidR="00664F6F" w:rsidRDefault="00664F6F" w14:paraId="42E4A615" w14:textId="77777777">
      <w:pPr>
        <w:rPr>
          <w:sz w:val="24"/>
          <w:szCs w:val="24"/>
        </w:rPr>
      </w:pPr>
    </w:p>
    <w:sectPr w:rsidRPr="00885603" w:rsidR="00664F6F">
      <w:pgSz w:w="12240" w:h="15840"/>
      <w:pgMar w:top="1440" w:right="1800" w:bottom="1440" w:left="180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99E11" w14:textId="77777777" w:rsidR="006F7345" w:rsidRDefault="006F7345" w:rsidP="006F7345">
      <w:r>
        <w:separator/>
      </w:r>
    </w:p>
  </w:endnote>
  <w:endnote w:type="continuationSeparator" w:id="0">
    <w:p w14:paraId="4C663376" w14:textId="77777777" w:rsidR="006F7345" w:rsidRDefault="006F7345" w:rsidP="006F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8BBF0" w14:textId="77777777" w:rsidR="006F7345" w:rsidRDefault="006F7345" w:rsidP="006F7345">
      <w:r>
        <w:separator/>
      </w:r>
    </w:p>
  </w:footnote>
  <w:footnote w:type="continuationSeparator" w:id="0">
    <w:p w14:paraId="17558C7B" w14:textId="77777777" w:rsidR="006F7345" w:rsidRDefault="006F7345" w:rsidP="006F7345">
      <w:r>
        <w:continuationSeparator/>
      </w:r>
    </w:p>
  </w:footnote>
  <w:footnote w:id="1">
    <w:p w14:paraId="2FE28892" w14:textId="4C0046FF" w:rsidR="006F7345" w:rsidRPr="00A05174" w:rsidRDefault="006F7345" w:rsidP="006F7345">
      <w:pPr>
        <w:pStyle w:val="FootnoteText"/>
        <w:rPr>
          <w:sz w:val="20"/>
          <w:szCs w:val="20"/>
        </w:rPr>
      </w:pPr>
      <w:r w:rsidRPr="00A05174">
        <w:rPr>
          <w:rStyle w:val="FootnoteReference"/>
          <w:sz w:val="20"/>
          <w:szCs w:val="20"/>
        </w:rPr>
        <w:footnoteRef/>
      </w:r>
      <w:r w:rsidRPr="00A05174">
        <w:rPr>
          <w:sz w:val="20"/>
          <w:szCs w:val="20"/>
        </w:rPr>
        <w:t xml:space="preserve"> It is expected that respondents to this collection could be from any occupation.  The average wage rate for all occupations is $ $2</w:t>
      </w:r>
      <w:r w:rsidR="003C3A9E">
        <w:rPr>
          <w:sz w:val="20"/>
          <w:szCs w:val="20"/>
        </w:rPr>
        <w:t>8.01</w:t>
      </w:r>
      <w:r w:rsidRPr="00A05174">
        <w:rPr>
          <w:sz w:val="20"/>
          <w:szCs w:val="20"/>
        </w:rPr>
        <w:t xml:space="preserve"> according to the May 202</w:t>
      </w:r>
      <w:r w:rsidR="003C3A9E">
        <w:rPr>
          <w:sz w:val="20"/>
          <w:szCs w:val="20"/>
        </w:rPr>
        <w:t>1</w:t>
      </w:r>
      <w:r w:rsidRPr="00A05174">
        <w:rPr>
          <w:sz w:val="20"/>
          <w:szCs w:val="20"/>
        </w:rPr>
        <w:t xml:space="preserve"> National Occupational Employment and Wage Estimates.  </w:t>
      </w:r>
      <w:hyperlink r:id="rId1" w:history="1">
        <w:r w:rsidRPr="00A05174">
          <w:rPr>
            <w:rStyle w:val="Hyperlink"/>
            <w:szCs w:val="20"/>
          </w:rPr>
          <w:t>https://www.bls.gov/oes/current/oes_nat.htm</w:t>
        </w:r>
      </w:hyperlink>
      <w:r w:rsidRPr="00A05174">
        <w:rPr>
          <w:sz w:val="20"/>
          <w:szCs w:val="20"/>
        </w:rPr>
        <w:t xml:space="preserve">   A benefit multiplier of 1.44 is used to calculate a </w:t>
      </w:r>
      <w:proofErr w:type="gramStart"/>
      <w:r w:rsidRPr="00A05174">
        <w:rPr>
          <w:sz w:val="20"/>
          <w:szCs w:val="20"/>
        </w:rPr>
        <w:t>fully-loaded</w:t>
      </w:r>
      <w:proofErr w:type="gramEnd"/>
      <w:r w:rsidRPr="00A05174">
        <w:rPr>
          <w:sz w:val="20"/>
          <w:szCs w:val="20"/>
        </w:rPr>
        <w:t xml:space="preserve"> wage rate of $27.07*1.44=$</w:t>
      </w:r>
      <w:r w:rsidR="003C3A9E">
        <w:rPr>
          <w:sz w:val="20"/>
          <w:szCs w:val="20"/>
        </w:rPr>
        <w:t>40.33</w:t>
      </w:r>
    </w:p>
    <w:p w14:paraId="209E117F" w14:textId="77777777" w:rsidR="006F7345" w:rsidRPr="00A05174" w:rsidRDefault="006F7345" w:rsidP="006F7345">
      <w:pPr>
        <w:pStyle w:val="FootnoteText"/>
        <w:rPr>
          <w:sz w:val="20"/>
          <w:szCs w:val="20"/>
        </w:rPr>
      </w:pPr>
    </w:p>
    <w:p w14:paraId="6B120169" w14:textId="77777777" w:rsidR="006F7345" w:rsidRPr="00A05174" w:rsidRDefault="006F7345" w:rsidP="006F7345">
      <w:pPr>
        <w:pStyle w:val="FootnoteText"/>
        <w:rPr>
          <w:sz w:val="20"/>
          <w:szCs w:val="20"/>
        </w:rPr>
      </w:pPr>
      <w:r w:rsidRPr="00A05174">
        <w:rPr>
          <w:sz w:val="20"/>
          <w:szCs w:val="20"/>
        </w:rPr>
        <w:t xml:space="preserve">Using the BLS Employer Costs for Employee Compensation – March 2020 report </w:t>
      </w:r>
      <w:hyperlink r:id="rId2" w:history="1">
        <w:r w:rsidRPr="00A05174">
          <w:rPr>
            <w:rStyle w:val="Hyperlink"/>
            <w:szCs w:val="20"/>
          </w:rPr>
          <w:t>https://www.bls.gov/news.release/pdf/ecec.pdf</w:t>
        </w:r>
      </w:hyperlink>
      <w:r w:rsidRPr="00A05174">
        <w:rPr>
          <w:sz w:val="20"/>
          <w:szCs w:val="20"/>
        </w:rPr>
        <w:t>, a benefit multiplier of 1.44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$26/$18.05=1.44  </w:t>
      </w:r>
    </w:p>
    <w:p w14:paraId="2CCD15E7" w14:textId="77777777" w:rsidR="006F7345" w:rsidRDefault="006F7345" w:rsidP="006F7345">
      <w:pPr>
        <w:pStyle w:val="FootnoteText"/>
      </w:pPr>
    </w:p>
  </w:footnote>
  <w:footnote w:id="2">
    <w:p w14:paraId="655BF20E" w14:textId="77777777" w:rsidR="00530FA1" w:rsidRPr="00BD18CA" w:rsidRDefault="00530FA1" w:rsidP="00530FA1">
      <w:pPr>
        <w:ind w:left="180"/>
      </w:pPr>
      <w:r>
        <w:rPr>
          <w:rStyle w:val="FootnoteReference"/>
        </w:rPr>
        <w:footnoteRef/>
      </w:r>
      <w:r>
        <w:t xml:space="preserve"> </w:t>
      </w:r>
      <w:r>
        <w:rPr>
          <w:rFonts w:ascii="Arial" w:hAnsi="Arial" w:cs="Arial"/>
          <w:sz w:val="18"/>
          <w:szCs w:val="18"/>
        </w:rPr>
        <w:t>Federal Government Fully-loaded Labor Rate per Hour = Wage rate x a factor of 1.63 to account for benefit costs.  Per the Office of Personnel Management (OPM) base wage data, the hourly fully-loaded labor rate for a GS–7, step 5 Federal employee is $34.08 ($20.91 wages plus $13.17 in benefit costs). See the OPM website at</w:t>
      </w:r>
      <w:hyperlink w:history="1"/>
      <w:r>
        <w:rPr>
          <w:rFonts w:ascii="Arial" w:hAnsi="Arial" w:cs="Arial"/>
          <w:sz w:val="18"/>
          <w:szCs w:val="18"/>
        </w:rPr>
        <w:t xml:space="preserve"> </w:t>
      </w:r>
      <w:r w:rsidRPr="00917F03">
        <w:rPr>
          <w:rFonts w:ascii="Arial" w:hAnsi="Arial" w:cs="Arial"/>
          <w:sz w:val="18"/>
          <w:szCs w:val="18"/>
        </w:rPr>
        <w:t>https://www.opm.gov/policy-data-oversight/pay-leave/salaries-wages/salary-tables/pdf/2022/GS_h.pdf</w:t>
      </w:r>
    </w:p>
    <w:p w14:paraId="62E263A2" w14:textId="1361FB59" w:rsidR="00530FA1" w:rsidRDefault="00530FA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11BC3"/>
    <w:multiLevelType w:val="hybridMultilevel"/>
    <w:tmpl w:val="530A1F02"/>
    <w:lvl w:ilvl="0" w:tplc="308E1326">
      <w:start w:val="1"/>
      <w:numFmt w:val="upperLetter"/>
      <w:lvlText w:val="%1."/>
      <w:lvlJc w:val="left"/>
      <w:pPr>
        <w:tabs>
          <w:tab w:val="num" w:pos="360"/>
        </w:tabs>
        <w:ind w:left="360" w:hanging="360"/>
      </w:pPr>
      <w:rPr>
        <w:rFonts w:hint="default"/>
        <w:b w:val="0"/>
        <w:bCs w:val="0"/>
      </w:rPr>
    </w:lvl>
    <w:lvl w:ilvl="1" w:tplc="0409000F">
      <w:start w:val="1"/>
      <w:numFmt w:val="decimal"/>
      <w:lvlText w:val="%2."/>
      <w:lvlJc w:val="left"/>
      <w:pPr>
        <w:tabs>
          <w:tab w:val="num" w:pos="1080"/>
        </w:tabs>
        <w:ind w:left="1080" w:hanging="360"/>
      </w:pPr>
      <w:rPr>
        <w:rFonts w:hint="default"/>
        <w:b w:val="0"/>
        <w:bCs w:val="0"/>
      </w:rPr>
    </w:lvl>
    <w:lvl w:ilvl="2" w:tplc="04090015">
      <w:start w:val="1"/>
      <w:numFmt w:val="upperLetter"/>
      <w:lvlText w:val="%3."/>
      <w:lvlJc w:val="left"/>
      <w:pPr>
        <w:tabs>
          <w:tab w:val="num" w:pos="3330"/>
        </w:tabs>
        <w:ind w:left="3330" w:hanging="360"/>
      </w:pPr>
      <w:rPr>
        <w:rFonts w:hint="default"/>
        <w:b w:val="0"/>
        <w:bCs w:val="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4F6F"/>
    <w:rsid w:val="00032476"/>
    <w:rsid w:val="000345BC"/>
    <w:rsid w:val="00036695"/>
    <w:rsid w:val="00057DF5"/>
    <w:rsid w:val="00072230"/>
    <w:rsid w:val="000B0DCD"/>
    <w:rsid w:val="000C101F"/>
    <w:rsid w:val="000D5A6E"/>
    <w:rsid w:val="00106452"/>
    <w:rsid w:val="0011041F"/>
    <w:rsid w:val="001301C0"/>
    <w:rsid w:val="00153930"/>
    <w:rsid w:val="00176412"/>
    <w:rsid w:val="001A0C1E"/>
    <w:rsid w:val="001C1C33"/>
    <w:rsid w:val="001E374C"/>
    <w:rsid w:val="00201151"/>
    <w:rsid w:val="002327B1"/>
    <w:rsid w:val="00260D37"/>
    <w:rsid w:val="00261341"/>
    <w:rsid w:val="002803F3"/>
    <w:rsid w:val="0029498E"/>
    <w:rsid w:val="002A2D1A"/>
    <w:rsid w:val="002F2EE5"/>
    <w:rsid w:val="00320A7A"/>
    <w:rsid w:val="00332985"/>
    <w:rsid w:val="00333CB0"/>
    <w:rsid w:val="0033572B"/>
    <w:rsid w:val="003A30C7"/>
    <w:rsid w:val="003C0416"/>
    <w:rsid w:val="003C3A9E"/>
    <w:rsid w:val="003C49E4"/>
    <w:rsid w:val="003E1A06"/>
    <w:rsid w:val="003F372E"/>
    <w:rsid w:val="0040036E"/>
    <w:rsid w:val="004726D7"/>
    <w:rsid w:val="00487E06"/>
    <w:rsid w:val="004A4D65"/>
    <w:rsid w:val="004D58D1"/>
    <w:rsid w:val="00501900"/>
    <w:rsid w:val="00505289"/>
    <w:rsid w:val="00523E8B"/>
    <w:rsid w:val="00530FA1"/>
    <w:rsid w:val="005E403E"/>
    <w:rsid w:val="00601E2D"/>
    <w:rsid w:val="0060634C"/>
    <w:rsid w:val="00664F6F"/>
    <w:rsid w:val="006C4FF7"/>
    <w:rsid w:val="006E438D"/>
    <w:rsid w:val="006E7249"/>
    <w:rsid w:val="006F7345"/>
    <w:rsid w:val="00703075"/>
    <w:rsid w:val="007378A1"/>
    <w:rsid w:val="007879EC"/>
    <w:rsid w:val="007A0DBC"/>
    <w:rsid w:val="00837C8D"/>
    <w:rsid w:val="00885603"/>
    <w:rsid w:val="008975C8"/>
    <w:rsid w:val="008A1F50"/>
    <w:rsid w:val="008A1FA7"/>
    <w:rsid w:val="008D4354"/>
    <w:rsid w:val="008E3E39"/>
    <w:rsid w:val="00905BB6"/>
    <w:rsid w:val="00910F3A"/>
    <w:rsid w:val="009200CD"/>
    <w:rsid w:val="00925126"/>
    <w:rsid w:val="0095132D"/>
    <w:rsid w:val="009703C6"/>
    <w:rsid w:val="00A228F4"/>
    <w:rsid w:val="00A542C8"/>
    <w:rsid w:val="00A634E2"/>
    <w:rsid w:val="00A9494B"/>
    <w:rsid w:val="00AB08A1"/>
    <w:rsid w:val="00AF3362"/>
    <w:rsid w:val="00B10BEA"/>
    <w:rsid w:val="00B30673"/>
    <w:rsid w:val="00B47C91"/>
    <w:rsid w:val="00B5219D"/>
    <w:rsid w:val="00BC5FC6"/>
    <w:rsid w:val="00BD4C04"/>
    <w:rsid w:val="00BF2B24"/>
    <w:rsid w:val="00C16977"/>
    <w:rsid w:val="00C46BD4"/>
    <w:rsid w:val="00C6491B"/>
    <w:rsid w:val="00CC3A76"/>
    <w:rsid w:val="00CE037F"/>
    <w:rsid w:val="00CF5843"/>
    <w:rsid w:val="00D0220C"/>
    <w:rsid w:val="00E27AC3"/>
    <w:rsid w:val="00E337EE"/>
    <w:rsid w:val="00E418A5"/>
    <w:rsid w:val="00E56DDB"/>
    <w:rsid w:val="00E64512"/>
    <w:rsid w:val="00EB3DAF"/>
    <w:rsid w:val="00F24CFD"/>
    <w:rsid w:val="00F4594B"/>
    <w:rsid w:val="00F47A2F"/>
    <w:rsid w:val="00F63674"/>
    <w:rsid w:val="00F75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33E72"/>
  <w15:chartTrackingRefBased/>
  <w15:docId w15:val="{721C06EC-F990-4196-B3F2-5E0425AB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0D37"/>
    <w:pPr>
      <w:widowControl w:val="0"/>
    </w:pPr>
    <w:rPr>
      <w:noProof/>
      <w:color w:val="000000"/>
    </w:rPr>
  </w:style>
  <w:style w:type="paragraph" w:styleId="Heading1">
    <w:name w:val="heading 1"/>
    <w:basedOn w:val="Normal"/>
    <w:next w:val="Normal"/>
    <w:link w:val="Heading1Char"/>
    <w:qFormat/>
    <w:rsid w:val="004726D7"/>
    <w:pPr>
      <w:keepNext/>
      <w:tabs>
        <w:tab w:val="left" w:pos="-1440"/>
        <w:tab w:val="left" w:pos="-720"/>
        <w:tab w:val="left" w:pos="1800"/>
        <w:tab w:val="left" w:pos="3150"/>
      </w:tabs>
      <w:suppressAutoHyphens/>
      <w:autoSpaceDE w:val="0"/>
      <w:autoSpaceDN w:val="0"/>
      <w:adjustRightInd w:val="0"/>
      <w:spacing w:line="240" w:lineRule="atLeast"/>
      <w:outlineLvl w:val="0"/>
    </w:pPr>
    <w:rPr>
      <w:b/>
      <w:bCs/>
      <w:noProof w:val="0"/>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85603"/>
    <w:rPr>
      <w:rFonts w:ascii="Times New Roman" w:hAnsi="Times New Roman" w:hint="default"/>
      <w:strike w:val="0"/>
      <w:noProof/>
      <w:color w:val="0000FF"/>
      <w:spacing w:val="0"/>
      <w:sz w:val="20"/>
      <w:u w:val="single"/>
    </w:rPr>
  </w:style>
  <w:style w:type="paragraph" w:styleId="NormalWeb">
    <w:name w:val="Normal (Web)"/>
    <w:basedOn w:val="Normal"/>
    <w:rsid w:val="00B30673"/>
    <w:pPr>
      <w:widowControl/>
      <w:spacing w:before="100" w:beforeAutospacing="1" w:after="100" w:afterAutospacing="1"/>
    </w:pPr>
    <w:rPr>
      <w:rFonts w:ascii="Verdana" w:hAnsi="Verdana"/>
      <w:noProof w:val="0"/>
      <w:sz w:val="17"/>
      <w:szCs w:val="17"/>
    </w:rPr>
  </w:style>
  <w:style w:type="paragraph" w:styleId="BalloonText">
    <w:name w:val="Balloon Text"/>
    <w:basedOn w:val="Normal"/>
    <w:semiHidden/>
    <w:rsid w:val="00B30673"/>
    <w:rPr>
      <w:rFonts w:ascii="Tahoma" w:hAnsi="Tahoma" w:cs="Tahoma"/>
      <w:sz w:val="16"/>
      <w:szCs w:val="16"/>
    </w:rPr>
  </w:style>
  <w:style w:type="character" w:styleId="CommentReference">
    <w:name w:val="annotation reference"/>
    <w:rsid w:val="000B0DCD"/>
    <w:rPr>
      <w:rFonts w:ascii="Times New Roman" w:hAnsi="Times New Roman" w:hint="default"/>
      <w:strike w:val="0"/>
      <w:noProof/>
      <w:color w:val="000000"/>
      <w:spacing w:val="0"/>
      <w:sz w:val="16"/>
      <w:szCs w:val="16"/>
    </w:rPr>
  </w:style>
  <w:style w:type="paragraph" w:styleId="CommentText">
    <w:name w:val="annotation text"/>
    <w:basedOn w:val="Normal"/>
    <w:link w:val="CommentTextChar"/>
    <w:rsid w:val="000B0DCD"/>
  </w:style>
  <w:style w:type="character" w:customStyle="1" w:styleId="CommentTextChar">
    <w:name w:val="Comment Text Char"/>
    <w:link w:val="CommentText"/>
    <w:rsid w:val="000B0DCD"/>
    <w:rPr>
      <w:rFonts w:ascii="Times New Roman" w:hAnsi="Times New Roman" w:hint="default"/>
      <w:strike w:val="0"/>
      <w:noProof/>
      <w:color w:val="000000"/>
      <w:spacing w:val="0"/>
      <w:sz w:val="20"/>
    </w:rPr>
  </w:style>
  <w:style w:type="paragraph" w:styleId="CommentSubject">
    <w:name w:val="annotation subject"/>
    <w:basedOn w:val="CommentText"/>
    <w:next w:val="CommentText"/>
    <w:link w:val="CommentSubjectChar"/>
    <w:rsid w:val="000B0DCD"/>
    <w:rPr>
      <w:b/>
      <w:bCs/>
    </w:rPr>
  </w:style>
  <w:style w:type="character" w:customStyle="1" w:styleId="CommentSubjectChar">
    <w:name w:val="Comment Subject Char"/>
    <w:link w:val="CommentSubject"/>
    <w:rsid w:val="000B0DCD"/>
    <w:rPr>
      <w:rFonts w:ascii="Times New Roman" w:hAnsi="Times New Roman" w:hint="default"/>
      <w:b/>
      <w:bCs/>
      <w:strike w:val="0"/>
      <w:noProof/>
      <w:color w:val="000000"/>
      <w:spacing w:val="0"/>
      <w:sz w:val="20"/>
    </w:rPr>
  </w:style>
  <w:style w:type="character" w:styleId="FollowedHyperlink">
    <w:name w:val="FollowedHyperlink"/>
    <w:rsid w:val="00D0220C"/>
    <w:rPr>
      <w:rFonts w:ascii="Times New Roman" w:hAnsi="Times New Roman" w:hint="default"/>
      <w:strike w:val="0"/>
      <w:noProof/>
      <w:color w:val="800080"/>
      <w:spacing w:val="0"/>
      <w:sz w:val="20"/>
      <w:u w:val="single"/>
    </w:rPr>
  </w:style>
  <w:style w:type="paragraph" w:styleId="ListParagraph">
    <w:name w:val="List Paragraph"/>
    <w:basedOn w:val="Normal"/>
    <w:uiPriority w:val="34"/>
    <w:qFormat/>
    <w:rsid w:val="006F7345"/>
    <w:pPr>
      <w:widowControl/>
      <w:ind w:left="720"/>
      <w:contextualSpacing/>
    </w:pPr>
    <w:rPr>
      <w:noProof w:val="0"/>
      <w:color w:val="auto"/>
      <w:sz w:val="24"/>
      <w:szCs w:val="24"/>
    </w:rPr>
  </w:style>
  <w:style w:type="paragraph" w:styleId="FootnoteText">
    <w:name w:val="footnote text"/>
    <w:basedOn w:val="Normal"/>
    <w:link w:val="FootnoteTextChar"/>
    <w:rsid w:val="006F7345"/>
    <w:pPr>
      <w:autoSpaceDE w:val="0"/>
      <w:autoSpaceDN w:val="0"/>
      <w:adjustRightInd w:val="0"/>
    </w:pPr>
    <w:rPr>
      <w:noProof w:val="0"/>
      <w:color w:val="auto"/>
      <w:sz w:val="24"/>
      <w:szCs w:val="24"/>
    </w:rPr>
  </w:style>
  <w:style w:type="character" w:customStyle="1" w:styleId="FootnoteTextChar">
    <w:name w:val="Footnote Text Char"/>
    <w:basedOn w:val="DefaultParagraphFont"/>
    <w:link w:val="FootnoteText"/>
    <w:rsid w:val="006F7345"/>
    <w:rPr>
      <w:rFonts w:ascii="Times New Roman" w:hAnsi="Times New Roman" w:hint="default"/>
      <w:strike w:val="0"/>
      <w:noProof/>
      <w:color w:val="000000"/>
      <w:spacing w:val="0"/>
      <w:sz w:val="24"/>
      <w:szCs w:val="24"/>
    </w:rPr>
  </w:style>
  <w:style w:type="character" w:styleId="FootnoteReference">
    <w:name w:val="footnote reference"/>
    <w:rsid w:val="006F7345"/>
    <w:rPr>
      <w:vertAlign w:val="superscript"/>
    </w:rPr>
  </w:style>
  <w:style w:type="character" w:customStyle="1" w:styleId="Heading1Char">
    <w:name w:val="Heading 1 Char"/>
    <w:basedOn w:val="DefaultParagraphFont"/>
    <w:link w:val="Heading1"/>
    <w:rsid w:val="004726D7"/>
    <w:rPr>
      <w:rFonts w:ascii="Times New Roman" w:hAnsi="Times New Roman" w:hint="default"/>
      <w:b/>
      <w:bCs/>
      <w:strike w:val="0"/>
      <w:noProof/>
      <w:color w:val="000000"/>
      <w:spacing w:val="0"/>
      <w:sz w:val="24"/>
      <w:szCs w:val="24"/>
    </w:rPr>
  </w:style>
  <w:style w:type="paragraph" w:styleId="Title">
    <w:name w:val="Title"/>
    <w:basedOn w:val="Normal"/>
    <w:next w:val="Normal"/>
    <w:link w:val="TitleChar"/>
    <w:uiPriority w:val="10"/>
    <w:qFormat/>
    <w:rsid w:val="004726D7"/>
    <w:pPr>
      <w:widowControl/>
      <w:pBdr>
        <w:bottom w:val="single" w:sz="8" w:space="4" w:color="4F81BD"/>
      </w:pBdr>
      <w:spacing w:after="300"/>
      <w:contextualSpacing/>
    </w:pPr>
    <w:rPr>
      <w:rFonts w:ascii="Cambria" w:hAnsi="Cambria"/>
      <w:noProof w:val="0"/>
      <w:color w:val="17365D"/>
      <w:spacing w:val="5"/>
      <w:kern w:val="28"/>
      <w:sz w:val="52"/>
      <w:szCs w:val="52"/>
    </w:rPr>
  </w:style>
  <w:style w:type="character" w:customStyle="1" w:styleId="TitleChar">
    <w:name w:val="Title Char"/>
    <w:basedOn w:val="DefaultParagraphFont"/>
    <w:link w:val="Title"/>
    <w:uiPriority w:val="10"/>
    <w:rsid w:val="004726D7"/>
    <w:rPr>
      <w:rFonts w:ascii="Cambria" w:hAnsi="Cambria" w:hint="default"/>
      <w:strike w:val="0"/>
      <w:noProof/>
      <w:color w:val="17365D"/>
      <w:spacing w:val="5"/>
      <w:kern w:val="28"/>
      <w:sz w:val="52"/>
      <w:szCs w:val="52"/>
    </w:rPr>
  </w:style>
  <w:style w:type="paragraph" w:styleId="Subtitle">
    <w:name w:val="Subtitle"/>
    <w:basedOn w:val="Normal"/>
    <w:next w:val="Normal"/>
    <w:link w:val="SubtitleChar"/>
    <w:uiPriority w:val="11"/>
    <w:qFormat/>
    <w:rsid w:val="004726D7"/>
    <w:pPr>
      <w:widowControl/>
      <w:numPr>
        <w:ilvl w:val="1"/>
      </w:numPr>
    </w:pPr>
    <w:rPr>
      <w:rFonts w:ascii="Cambria" w:hAnsi="Cambria"/>
      <w:i/>
      <w:iCs/>
      <w:noProof w:val="0"/>
      <w:color w:val="4F81BD"/>
      <w:spacing w:val="15"/>
      <w:sz w:val="24"/>
      <w:szCs w:val="24"/>
    </w:rPr>
  </w:style>
  <w:style w:type="character" w:customStyle="1" w:styleId="SubtitleChar">
    <w:name w:val="Subtitle Char"/>
    <w:basedOn w:val="DefaultParagraphFont"/>
    <w:link w:val="Subtitle"/>
    <w:uiPriority w:val="11"/>
    <w:rsid w:val="004726D7"/>
    <w:rPr>
      <w:rFonts w:ascii="Cambria" w:hAnsi="Cambria" w:hint="default"/>
      <w:i/>
      <w:iCs/>
      <w:strike w:val="0"/>
      <w:noProof/>
      <w:color w:val="4F81BD"/>
      <w:spacing w:val="15"/>
      <w:sz w:val="24"/>
      <w:szCs w:val="24"/>
    </w:rPr>
  </w:style>
  <w:style w:type="table" w:customStyle="1" w:styleId="TableGrid1">
    <w:name w:val="Table Grid1"/>
    <w:basedOn w:val="TableNormal"/>
    <w:uiPriority w:val="39"/>
    <w:rsid w:val="00E56DD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3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51966">
      <w:bodyDiv w:val="1"/>
      <w:marLeft w:val="0"/>
      <w:marRight w:val="0"/>
      <w:marTop w:val="0"/>
      <w:marBottom w:val="0"/>
      <w:divBdr>
        <w:top w:val="none" w:sz="0" w:space="0" w:color="auto"/>
        <w:left w:val="none" w:sz="0" w:space="0" w:color="auto"/>
        <w:bottom w:val="none" w:sz="0" w:space="0" w:color="auto"/>
        <w:right w:val="none" w:sz="0" w:space="0" w:color="auto"/>
      </w:divBdr>
    </w:div>
    <w:div w:id="15797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iscal.treasury.gov/fsservices/gov/pmt/eft/eft_home.htm" TargetMode="External"/><Relationship Id="rId4" Type="http://schemas.openxmlformats.org/officeDocument/2006/relationships/settings" Target="settings.xml"/><Relationship Id="rId9" Type="http://schemas.openxmlformats.org/officeDocument/2006/relationships/hyperlink" Target="https://fiscal.treasury.gov/fsservices/gov/debtColl/rsrcsTools/debt_dca.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pdf/ecec.pdf"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ADA2D-1E62-4906-9942-FAD314AA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7</Pages>
  <Words>2773</Words>
  <Characters>15810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 FOR PAPERWORK</vt:lpstr>
    </vt:vector>
  </TitlesOfParts>
  <Company>FMSUser</Company>
  <LinksUpToDate>false</LinksUpToDate>
  <CharactersWithSpaces>18546</CharactersWithSpaces>
  <SharedDoc>false</SharedDoc>
  <HLinks>
    <vt:vector size="18" baseType="variant">
      <vt:variant>
        <vt:i4>6946880</vt:i4>
      </vt:variant>
      <vt:variant>
        <vt:i4>6</vt:i4>
      </vt:variant>
      <vt:variant>
        <vt:i4>0</vt:i4>
      </vt:variant>
      <vt:variant>
        <vt:i4>5</vt:i4>
      </vt:variant>
      <vt:variant>
        <vt:lpwstr>https://www.fiscal.treasury.gov/fsservices/gov/pmt/eft/eft_home.htm</vt:lpwstr>
      </vt:variant>
      <vt:variant>
        <vt:lpwstr/>
      </vt:variant>
      <vt:variant>
        <vt:i4>5636129</vt:i4>
      </vt:variant>
      <vt:variant>
        <vt:i4>3</vt:i4>
      </vt:variant>
      <vt:variant>
        <vt:i4>0</vt:i4>
      </vt:variant>
      <vt:variant>
        <vt:i4>5</vt:i4>
      </vt:variant>
      <vt:variant>
        <vt:lpwstr>https://fiscal.treasury.gov/fsservices/gov/debtColl/rsrcsTools/debt_dca.htm</vt:lpwstr>
      </vt:variant>
      <vt:variant>
        <vt:lpwstr/>
      </vt:variant>
      <vt:variant>
        <vt:i4>2359408</vt:i4>
      </vt:variant>
      <vt:variant>
        <vt:i4>0</vt:i4>
      </vt:variant>
      <vt:variant>
        <vt:i4>0</vt:i4>
      </vt:variant>
      <vt:variant>
        <vt:i4>5</vt:i4>
      </vt:variant>
      <vt:variant>
        <vt:lpwstr>http://www.sam.gov/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dc:title>
  <dc:subject/>
  <dc:creator>erickard</dc:creator>
  <cp:keywords/>
  <cp:lastModifiedBy>Bruce A. Sharp</cp:lastModifiedBy>
  <cp:revision>6</cp:revision>
  <cp:lastPrinted>2016-01-29T19:44:00Z</cp:lastPrinted>
  <dcterms:created xsi:type="dcterms:W3CDTF">2022-05-13T17:59:00Z</dcterms:created>
  <dcterms:modified xsi:type="dcterms:W3CDTF">2022-05-27T12:50:00Z</dcterms:modified>
</cp:coreProperties>
</file>