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6D94" w:rsidR="00894418" w:rsidRDefault="00894418" w14:paraId="3B27B556" w14:textId="77777777">
      <w:pPr>
        <w:tabs>
          <w:tab w:val="center" w:pos="4680"/>
        </w:tabs>
        <w:rPr>
          <w:rFonts w:ascii="Arial" w:hAnsi="Arial" w:cs="Arial"/>
          <w:b/>
          <w:bCs/>
        </w:rPr>
      </w:pPr>
      <w:r>
        <w:rPr>
          <w:rFonts w:ascii="Elephant" w:hAnsi="Elephant" w:cs="Elephant"/>
          <w:b/>
          <w:bCs/>
        </w:rPr>
        <w:tab/>
      </w:r>
      <w:r w:rsidRPr="00286D94">
        <w:rPr>
          <w:rFonts w:ascii="Arial" w:hAnsi="Arial" w:cs="Arial"/>
          <w:b/>
          <w:bCs/>
        </w:rPr>
        <w:t>SUPPORTING STATEMENT</w:t>
      </w:r>
    </w:p>
    <w:p w:rsidRPr="00286D94" w:rsidR="00894418" w:rsidRDefault="00894418" w14:paraId="7D647CCE" w14:textId="77777777">
      <w:pPr>
        <w:tabs>
          <w:tab w:val="center" w:pos="4680"/>
        </w:tabs>
        <w:rPr>
          <w:rFonts w:ascii="Arial" w:hAnsi="Arial" w:cs="Arial"/>
          <w:bCs/>
        </w:rPr>
      </w:pPr>
      <w:r w:rsidRPr="00286D94">
        <w:rPr>
          <w:rFonts w:ascii="Arial" w:hAnsi="Arial" w:cs="Arial"/>
          <w:bCs/>
        </w:rPr>
        <w:tab/>
        <w:t xml:space="preserve"> </w:t>
      </w:r>
      <w:r w:rsidRPr="00286D94" w:rsidR="00820B40">
        <w:rPr>
          <w:rFonts w:ascii="Arial" w:hAnsi="Arial" w:cs="Arial"/>
          <w:bCs/>
        </w:rPr>
        <w:t xml:space="preserve">Internal </w:t>
      </w:r>
      <w:r w:rsidRPr="00286D94" w:rsidR="00D37D90">
        <w:rPr>
          <w:rFonts w:ascii="Arial" w:hAnsi="Arial" w:cs="Arial"/>
          <w:bCs/>
        </w:rPr>
        <w:t>R</w:t>
      </w:r>
      <w:r w:rsidRPr="00286D94" w:rsidR="00820B40">
        <w:rPr>
          <w:rFonts w:ascii="Arial" w:hAnsi="Arial" w:cs="Arial"/>
          <w:bCs/>
        </w:rPr>
        <w:t xml:space="preserve">evenue Service </w:t>
      </w:r>
    </w:p>
    <w:p w:rsidRPr="00286D94" w:rsidR="007556F0" w:rsidP="007556F0" w:rsidRDefault="007556F0" w14:paraId="1314DF81" w14:textId="77777777">
      <w:pPr>
        <w:tabs>
          <w:tab w:val="center" w:pos="4680"/>
        </w:tabs>
        <w:jc w:val="center"/>
        <w:rPr>
          <w:rFonts w:ascii="Arial" w:hAnsi="Arial" w:cs="Arial"/>
          <w:color w:val="000000"/>
        </w:rPr>
      </w:pPr>
      <w:r w:rsidRPr="00286D94">
        <w:rPr>
          <w:rFonts w:ascii="Arial" w:hAnsi="Arial" w:cs="Arial"/>
          <w:color w:val="000000"/>
        </w:rPr>
        <w:t>Guidance Regarding the Transition Tax Under Section 965</w:t>
      </w:r>
    </w:p>
    <w:p w:rsidRPr="00286D94" w:rsidR="007556F0" w:rsidP="007556F0" w:rsidRDefault="007556F0" w14:paraId="22CF044C" w14:textId="77777777">
      <w:pPr>
        <w:tabs>
          <w:tab w:val="center" w:pos="4680"/>
        </w:tabs>
        <w:jc w:val="center"/>
        <w:rPr>
          <w:rFonts w:ascii="Arial" w:hAnsi="Arial" w:cs="Arial"/>
          <w:color w:val="000000"/>
        </w:rPr>
      </w:pPr>
      <w:r w:rsidRPr="00286D94">
        <w:rPr>
          <w:rFonts w:ascii="Arial" w:hAnsi="Arial" w:cs="Arial"/>
          <w:color w:val="000000"/>
        </w:rPr>
        <w:t>and Related Provisions</w:t>
      </w:r>
    </w:p>
    <w:p w:rsidRPr="00286D94" w:rsidR="00894418" w:rsidP="007556F0" w:rsidRDefault="00820B40" w14:paraId="7AE4A66E" w14:textId="77777777">
      <w:pPr>
        <w:tabs>
          <w:tab w:val="center" w:pos="4680"/>
        </w:tabs>
        <w:jc w:val="center"/>
        <w:rPr>
          <w:rFonts w:ascii="Arial" w:hAnsi="Arial" w:cs="Arial"/>
          <w:bCs/>
        </w:rPr>
      </w:pPr>
      <w:r w:rsidRPr="00286D94">
        <w:rPr>
          <w:rFonts w:ascii="Arial" w:hAnsi="Arial" w:cs="Arial"/>
          <w:color w:val="000000"/>
        </w:rPr>
        <w:t xml:space="preserve">OMB# </w:t>
      </w:r>
      <w:r w:rsidRPr="00286D94" w:rsidR="00DA6CC6">
        <w:rPr>
          <w:rFonts w:ascii="Arial" w:hAnsi="Arial" w:cs="Arial"/>
          <w:b/>
          <w:bCs/>
          <w:color w:val="000000"/>
        </w:rPr>
        <w:t>1545-</w:t>
      </w:r>
      <w:r w:rsidRPr="00286D94" w:rsidR="00D661B1">
        <w:rPr>
          <w:rFonts w:ascii="Arial" w:hAnsi="Arial" w:cs="Arial"/>
          <w:b/>
          <w:bCs/>
          <w:color w:val="000000"/>
        </w:rPr>
        <w:t>2280</w:t>
      </w:r>
      <w:r w:rsidR="00091293">
        <w:rPr>
          <w:rFonts w:ascii="Arial" w:hAnsi="Arial" w:cs="Arial"/>
          <w:b/>
          <w:bCs/>
          <w:color w:val="000000"/>
        </w:rPr>
        <w:t xml:space="preserve"> </w:t>
      </w:r>
    </w:p>
    <w:p w:rsidRPr="00286D94" w:rsidR="00894418" w:rsidRDefault="00894418" w14:paraId="30D1CD76" w14:textId="77777777">
      <w:pPr>
        <w:rPr>
          <w:rFonts w:ascii="Arial" w:hAnsi="Arial" w:cs="Arial"/>
          <w:bCs/>
        </w:rPr>
      </w:pPr>
    </w:p>
    <w:p w:rsidRPr="00286D94" w:rsidR="00894418" w:rsidRDefault="00894418" w14:paraId="7BC3F950" w14:textId="77777777">
      <w:pPr>
        <w:rPr>
          <w:rFonts w:ascii="Arial" w:hAnsi="Arial" w:cs="Arial"/>
          <w:bCs/>
        </w:rPr>
      </w:pPr>
      <w:r w:rsidRPr="00286D94">
        <w:rPr>
          <w:rFonts w:ascii="Arial" w:hAnsi="Arial" w:cs="Arial"/>
          <w:bCs/>
        </w:rPr>
        <w:t xml:space="preserve">1.  </w:t>
      </w:r>
      <w:r w:rsidRPr="00286D94" w:rsidR="00820B40">
        <w:rPr>
          <w:rFonts w:ascii="Arial" w:hAnsi="Arial" w:cs="Arial"/>
          <w:bCs/>
        </w:rPr>
        <w:tab/>
      </w:r>
      <w:r w:rsidRPr="00286D94">
        <w:rPr>
          <w:rFonts w:ascii="Arial" w:hAnsi="Arial" w:cs="Arial"/>
          <w:bCs/>
          <w:u w:val="single"/>
        </w:rPr>
        <w:t>CIRCUMSTANCES NECESSITATING COLLECTION OF INFORMATION</w:t>
      </w:r>
    </w:p>
    <w:p w:rsidRPr="00286D94" w:rsidR="00894418" w:rsidRDefault="00894418" w14:paraId="28405CE9" w14:textId="77777777">
      <w:pPr>
        <w:rPr>
          <w:rFonts w:ascii="Arial" w:hAnsi="Arial" w:cs="Arial"/>
          <w:bCs/>
        </w:rPr>
      </w:pPr>
    </w:p>
    <w:p w:rsidRPr="00286D94" w:rsidR="007556F0" w:rsidP="00DE32E4" w:rsidRDefault="007556F0" w14:paraId="48393162" w14:textId="77777777">
      <w:pPr>
        <w:ind w:left="720"/>
        <w:rPr>
          <w:rFonts w:ascii="Arial" w:hAnsi="Arial" w:cs="Arial"/>
          <w:bCs/>
        </w:rPr>
      </w:pPr>
      <w:r w:rsidRPr="00286D94">
        <w:rPr>
          <w:rFonts w:ascii="Arial" w:hAnsi="Arial" w:cs="Arial"/>
          <w:bCs/>
        </w:rPr>
        <w:t>The Tax Cuts and Jobs Act, Section 14103 (P.L. 115-97), provide for reconciliation pursuant to titles II and V of the concurrent resolution on the budget for fiscal year 2018, amended section 965 of the Internal Revenue Code.  Because of the amendment, certain taxpayers are required to include in income an amount based on the accumulated post-1986 deferred foreign income of certain corporations that they own either directly or indirectly through other entities.</w:t>
      </w:r>
    </w:p>
    <w:p w:rsidRPr="00286D94" w:rsidR="007556F0" w:rsidP="00DE32E4" w:rsidRDefault="007556F0" w14:paraId="5528552A" w14:textId="77777777">
      <w:pPr>
        <w:ind w:left="720"/>
        <w:rPr>
          <w:rFonts w:ascii="Arial" w:hAnsi="Arial" w:cs="Arial"/>
          <w:bCs/>
        </w:rPr>
      </w:pPr>
    </w:p>
    <w:p w:rsidRPr="00286D94" w:rsidR="007556F0" w:rsidP="007556F0" w:rsidRDefault="007556F0" w14:paraId="075820ED" w14:textId="77777777">
      <w:pPr>
        <w:ind w:left="720"/>
        <w:rPr>
          <w:rFonts w:ascii="Arial" w:hAnsi="Arial" w:cs="Arial"/>
          <w:bCs/>
        </w:rPr>
      </w:pPr>
      <w:r w:rsidRPr="00286D94">
        <w:rPr>
          <w:rFonts w:ascii="Arial" w:hAnsi="Arial" w:cs="Arial"/>
          <w:bCs/>
        </w:rPr>
        <w:t xml:space="preserve">In general, section 965 of the Internal Revenue Code imposes a transition tax on untaxed foreign earnings of foreign subsidiaries of U.S. companies by deeming those earnings to be repatriated. Foreign earnings held in the form of cash and cash equivalents are taxed at a 15.5 percent rate, and the remaining earnings are taxed at an 8 percent rate. The transition tax generally may be paid in installments over an eight-year period. </w:t>
      </w:r>
    </w:p>
    <w:p w:rsidRPr="00286D94" w:rsidR="007556F0" w:rsidP="007556F0" w:rsidRDefault="007556F0" w14:paraId="5AF3D074" w14:textId="77777777">
      <w:pPr>
        <w:ind w:left="720"/>
        <w:rPr>
          <w:rFonts w:ascii="Arial" w:hAnsi="Arial" w:cs="Arial"/>
          <w:bCs/>
        </w:rPr>
      </w:pPr>
    </w:p>
    <w:p w:rsidRPr="00286D94" w:rsidR="007556F0" w:rsidP="009D5F0A" w:rsidRDefault="007556F0" w14:paraId="5690E05C" w14:textId="77777777">
      <w:pPr>
        <w:ind w:left="720"/>
        <w:rPr>
          <w:rFonts w:ascii="Arial" w:hAnsi="Arial" w:cs="Arial"/>
          <w:bCs/>
        </w:rPr>
      </w:pPr>
      <w:r w:rsidRPr="00286D94">
        <w:rPr>
          <w:rFonts w:ascii="Arial" w:hAnsi="Arial" w:cs="Arial"/>
          <w:bCs/>
        </w:rPr>
        <w:t>Notice 2018-07</w:t>
      </w:r>
      <w:r w:rsidRPr="00286D94" w:rsidR="00D6454F">
        <w:rPr>
          <w:rFonts w:ascii="Arial" w:hAnsi="Arial" w:cs="Arial"/>
          <w:bCs/>
        </w:rPr>
        <w:t xml:space="preserve">, published in IRB 2018-04 on Jan. 22, 2018, </w:t>
      </w:r>
      <w:r w:rsidRPr="00286D94">
        <w:rPr>
          <w:rFonts w:ascii="Arial" w:hAnsi="Arial" w:cs="Arial"/>
          <w:bCs/>
        </w:rPr>
        <w:t>describe</w:t>
      </w:r>
      <w:r w:rsidRPr="00286D94" w:rsidR="00D6454F">
        <w:rPr>
          <w:rFonts w:ascii="Arial" w:hAnsi="Arial" w:cs="Arial"/>
          <w:bCs/>
        </w:rPr>
        <w:t>d</w:t>
      </w:r>
      <w:r w:rsidRPr="00286D94">
        <w:rPr>
          <w:rFonts w:ascii="Arial" w:hAnsi="Arial" w:cs="Arial"/>
          <w:bCs/>
        </w:rPr>
        <w:t xml:space="preserve"> regulations that the Treasur</w:t>
      </w:r>
      <w:r w:rsidRPr="00286D94" w:rsidR="00D6454F">
        <w:rPr>
          <w:rFonts w:ascii="Arial" w:hAnsi="Arial" w:cs="Arial"/>
          <w:bCs/>
        </w:rPr>
        <w:t xml:space="preserve">y Department and the IRS intended </w:t>
      </w:r>
      <w:r w:rsidRPr="00286D94">
        <w:rPr>
          <w:rFonts w:ascii="Arial" w:hAnsi="Arial" w:cs="Arial"/>
          <w:bCs/>
        </w:rPr>
        <w:t>to issue, including rules for determining the amount of cash and cash equivalents for purposes of applying the 15.5 percent rate and rules for determining the amount of foreign earnings subject</w:t>
      </w:r>
      <w:r w:rsidRPr="00286D94" w:rsidR="00D6454F">
        <w:rPr>
          <w:rFonts w:ascii="Arial" w:hAnsi="Arial" w:cs="Arial"/>
          <w:bCs/>
        </w:rPr>
        <w:t xml:space="preserve"> </w:t>
      </w:r>
      <w:r w:rsidRPr="00286D94">
        <w:rPr>
          <w:rFonts w:ascii="Arial" w:hAnsi="Arial" w:cs="Arial"/>
          <w:bCs/>
        </w:rPr>
        <w:t>to the transition tax. These rules will assist taxpayers by</w:t>
      </w:r>
      <w:r w:rsidRPr="00286D94" w:rsidR="00D6454F">
        <w:rPr>
          <w:rFonts w:ascii="Arial" w:hAnsi="Arial" w:cs="Arial"/>
          <w:bCs/>
        </w:rPr>
        <w:t xml:space="preserve"> </w:t>
      </w:r>
      <w:r w:rsidRPr="00286D94">
        <w:rPr>
          <w:rFonts w:ascii="Arial" w:hAnsi="Arial" w:cs="Arial"/>
          <w:bCs/>
        </w:rPr>
        <w:t>providing certain additional</w:t>
      </w:r>
      <w:r w:rsidRPr="00286D94" w:rsidR="00D6454F">
        <w:rPr>
          <w:rFonts w:ascii="Arial" w:hAnsi="Arial" w:cs="Arial"/>
          <w:bCs/>
        </w:rPr>
        <w:t xml:space="preserve"> </w:t>
      </w:r>
      <w:r w:rsidRPr="00286D94">
        <w:rPr>
          <w:rFonts w:ascii="Arial" w:hAnsi="Arial" w:cs="Arial"/>
          <w:bCs/>
        </w:rPr>
        <w:t>information needed for computing their transition tax.</w:t>
      </w:r>
      <w:r w:rsidRPr="00286D94" w:rsidR="00E618A7">
        <w:rPr>
          <w:rFonts w:ascii="Arial" w:hAnsi="Arial" w:cs="Arial"/>
          <w:bCs/>
        </w:rPr>
        <w:t xml:space="preserve">  </w:t>
      </w:r>
      <w:r w:rsidRPr="00286D94" w:rsidR="009D5F0A">
        <w:rPr>
          <w:rFonts w:ascii="Arial" w:hAnsi="Arial" w:cs="Arial"/>
          <w:bCs/>
        </w:rPr>
        <w:t xml:space="preserve">The IRS issued additional guidance and modifications through Notice 2018-13, Notice 2018-26, and Notice 2018-78.  </w:t>
      </w:r>
    </w:p>
    <w:p w:rsidRPr="00286D94" w:rsidR="00D6454F" w:rsidP="007556F0" w:rsidRDefault="00D6454F" w14:paraId="0EFC0AAF" w14:textId="77777777">
      <w:pPr>
        <w:ind w:left="720"/>
        <w:rPr>
          <w:rFonts w:ascii="Arial" w:hAnsi="Arial" w:cs="Arial"/>
          <w:bCs/>
        </w:rPr>
      </w:pPr>
    </w:p>
    <w:p w:rsidRPr="00286D94" w:rsidR="00D6454F" w:rsidP="007A7005" w:rsidRDefault="007A7005" w14:paraId="76328635" w14:textId="77777777">
      <w:pPr>
        <w:ind w:left="720"/>
        <w:rPr>
          <w:rFonts w:ascii="Arial" w:hAnsi="Arial" w:cs="Arial"/>
          <w:bCs/>
        </w:rPr>
      </w:pPr>
      <w:bookmarkStart w:name="_Hlk531172499" w:id="0"/>
      <w:r w:rsidRPr="00286D94">
        <w:rPr>
          <w:rFonts w:ascii="Arial" w:hAnsi="Arial" w:cs="Arial"/>
          <w:bCs/>
        </w:rPr>
        <w:t xml:space="preserve">REG-104226-18, published August 9, 2018 (83 FR 39514), contains proposed regulations implementing section 965 of the Internal Revenue Code (‘‘Code’’) as amended by the Tax Cuts and Jobs Act, which was enacted on December 22, 2017. </w:t>
      </w:r>
      <w:bookmarkEnd w:id="0"/>
      <w:r w:rsidRPr="00286D94">
        <w:rPr>
          <w:rFonts w:ascii="Arial" w:hAnsi="Arial" w:cs="Arial"/>
          <w:bCs/>
        </w:rPr>
        <w:t>The proposed regulations would affect United States persons with direct or indirect ownership interests in certain foreign corporations.</w:t>
      </w:r>
    </w:p>
    <w:p w:rsidRPr="00286D94" w:rsidR="007A7005" w:rsidP="007A7005" w:rsidRDefault="007A7005" w14:paraId="0B5386A9" w14:textId="77777777">
      <w:pPr>
        <w:ind w:left="720"/>
        <w:rPr>
          <w:rFonts w:ascii="Arial" w:hAnsi="Arial" w:cs="Arial"/>
          <w:bCs/>
        </w:rPr>
      </w:pPr>
    </w:p>
    <w:p w:rsidRPr="00286D94" w:rsidR="007556F0" w:rsidP="007A7005" w:rsidRDefault="007A7005" w14:paraId="1E61A7FC" w14:textId="77777777">
      <w:pPr>
        <w:ind w:left="720"/>
        <w:rPr>
          <w:rFonts w:ascii="Arial" w:hAnsi="Arial" w:cs="Arial"/>
          <w:bCs/>
        </w:rPr>
      </w:pPr>
      <w:r w:rsidRPr="00286D94">
        <w:rPr>
          <w:rFonts w:ascii="Arial" w:hAnsi="Arial" w:cs="Arial"/>
          <w:bCs/>
        </w:rPr>
        <w:t>RP 2018-47, published September 24, 2018 (2018-39 I.R.B. 518</w:t>
      </w:r>
      <w:r w:rsidRPr="00286D94" w:rsidR="00E618A7">
        <w:rPr>
          <w:rFonts w:ascii="Arial" w:hAnsi="Arial" w:cs="Arial"/>
          <w:bCs/>
        </w:rPr>
        <w:t>), provides</w:t>
      </w:r>
      <w:r w:rsidRPr="00286D94">
        <w:rPr>
          <w:rFonts w:ascii="Arial" w:hAnsi="Arial" w:cs="Arial"/>
          <w:bCs/>
        </w:rPr>
        <w:t xml:space="preserve"> guidance under </w:t>
      </w:r>
      <w:r w:rsidRPr="00286D94" w:rsidR="00E618A7">
        <w:rPr>
          <w:rFonts w:ascii="Arial" w:hAnsi="Arial" w:cs="Arial"/>
          <w:bCs/>
        </w:rPr>
        <w:t xml:space="preserve">section </w:t>
      </w:r>
      <w:r w:rsidRPr="00286D94">
        <w:rPr>
          <w:rFonts w:ascii="Arial" w:hAnsi="Arial" w:cs="Arial"/>
          <w:bCs/>
        </w:rPr>
        <w:t xml:space="preserve">4982 of the Internal Revenue Code (Code) for regulated investment companies (RICs) on the treatment of amounts that </w:t>
      </w:r>
      <w:r w:rsidRPr="00286D94" w:rsidR="00E618A7">
        <w:rPr>
          <w:rFonts w:ascii="Arial" w:hAnsi="Arial" w:cs="Arial"/>
          <w:bCs/>
        </w:rPr>
        <w:t>section</w:t>
      </w:r>
      <w:r w:rsidRPr="00286D94">
        <w:rPr>
          <w:rFonts w:ascii="Arial" w:hAnsi="Arial" w:cs="Arial"/>
          <w:bCs/>
        </w:rPr>
        <w:t xml:space="preserve"> 965 requires to be included in gross income under </w:t>
      </w:r>
      <w:r w:rsidRPr="00286D94" w:rsidR="00E618A7">
        <w:rPr>
          <w:rFonts w:ascii="Arial" w:hAnsi="Arial" w:cs="Arial"/>
          <w:bCs/>
        </w:rPr>
        <w:t>section</w:t>
      </w:r>
      <w:r w:rsidRPr="00286D94">
        <w:rPr>
          <w:rFonts w:ascii="Arial" w:hAnsi="Arial" w:cs="Arial"/>
          <w:bCs/>
        </w:rPr>
        <w:t xml:space="preserve"> 951(a)(1) for the excise tax year ended on December 31, 2017.</w:t>
      </w:r>
    </w:p>
    <w:p w:rsidRPr="00286D94" w:rsidR="00D76E55" w:rsidP="007A7005" w:rsidRDefault="00D76E55" w14:paraId="237636EE" w14:textId="77777777">
      <w:pPr>
        <w:ind w:left="720"/>
        <w:rPr>
          <w:rFonts w:ascii="Arial" w:hAnsi="Arial" w:cs="Arial"/>
          <w:bCs/>
        </w:rPr>
      </w:pPr>
    </w:p>
    <w:p w:rsidRPr="00286D94" w:rsidR="00D76E55" w:rsidP="007A7005" w:rsidRDefault="00D76E55" w14:paraId="09260DC6" w14:textId="77777777">
      <w:pPr>
        <w:ind w:left="720"/>
        <w:rPr>
          <w:rFonts w:ascii="Arial" w:hAnsi="Arial" w:cs="Arial"/>
          <w:bCs/>
        </w:rPr>
      </w:pPr>
      <w:r w:rsidRPr="00286D94">
        <w:rPr>
          <w:rFonts w:ascii="Arial" w:hAnsi="Arial" w:cs="Arial"/>
          <w:bCs/>
        </w:rPr>
        <w:t xml:space="preserve">TD </w:t>
      </w:r>
      <w:r w:rsidRPr="00286D94" w:rsidR="00870674">
        <w:rPr>
          <w:rFonts w:ascii="Arial" w:hAnsi="Arial" w:cs="Arial"/>
          <w:bCs/>
        </w:rPr>
        <w:t>9846</w:t>
      </w:r>
      <w:r w:rsidRPr="00286D94">
        <w:rPr>
          <w:rFonts w:ascii="Arial" w:hAnsi="Arial" w:cs="Arial"/>
          <w:bCs/>
        </w:rPr>
        <w:t xml:space="preserve">, published </w:t>
      </w:r>
      <w:r w:rsidRPr="00286D94" w:rsidR="00870674">
        <w:rPr>
          <w:rFonts w:ascii="Arial" w:hAnsi="Arial" w:cs="Arial"/>
          <w:bCs/>
        </w:rPr>
        <w:t>February 5</w:t>
      </w:r>
      <w:r w:rsidRPr="00286D94">
        <w:rPr>
          <w:rFonts w:ascii="Arial" w:hAnsi="Arial" w:cs="Arial"/>
          <w:bCs/>
        </w:rPr>
        <w:t>, 201</w:t>
      </w:r>
      <w:r w:rsidRPr="00286D94" w:rsidR="00870674">
        <w:rPr>
          <w:rFonts w:ascii="Arial" w:hAnsi="Arial" w:cs="Arial"/>
          <w:bCs/>
        </w:rPr>
        <w:t>9</w:t>
      </w:r>
      <w:r w:rsidRPr="00286D94">
        <w:rPr>
          <w:rFonts w:ascii="Arial" w:hAnsi="Arial" w:cs="Arial"/>
          <w:bCs/>
        </w:rPr>
        <w:t xml:space="preserve"> (8</w:t>
      </w:r>
      <w:r w:rsidRPr="00286D94" w:rsidR="00870674">
        <w:rPr>
          <w:rFonts w:ascii="Arial" w:hAnsi="Arial" w:cs="Arial"/>
          <w:bCs/>
        </w:rPr>
        <w:t>4</w:t>
      </w:r>
      <w:r w:rsidRPr="00286D94">
        <w:rPr>
          <w:rFonts w:ascii="Arial" w:hAnsi="Arial" w:cs="Arial"/>
          <w:bCs/>
        </w:rPr>
        <w:t xml:space="preserve"> FR </w:t>
      </w:r>
      <w:r w:rsidRPr="00286D94" w:rsidR="00870674">
        <w:rPr>
          <w:rFonts w:ascii="Arial" w:hAnsi="Arial" w:cs="Arial"/>
          <w:bCs/>
        </w:rPr>
        <w:t>1838</w:t>
      </w:r>
      <w:r w:rsidRPr="00286D94">
        <w:rPr>
          <w:rFonts w:ascii="Arial" w:hAnsi="Arial" w:cs="Arial"/>
          <w:bCs/>
        </w:rPr>
        <w:t xml:space="preserve">), contains final regulations implementing section 965 of the Internal Revenue Code (the “Code”).  Section </w:t>
      </w:r>
      <w:r w:rsidRPr="00286D94">
        <w:rPr>
          <w:rFonts w:ascii="Arial" w:hAnsi="Arial" w:cs="Arial"/>
          <w:bCs/>
        </w:rPr>
        <w:lastRenderedPageBreak/>
        <w:t>965 was amended by the Tax Cuts and Jobs Act, which was enacted on December 22, 2017.  This document finalizes the proposed regulations published on August 9, 2018.  The final regulations affect United States persons with direct or indirect ownership interests in certain foreign corporations</w:t>
      </w:r>
      <w:r w:rsidRPr="00286D94" w:rsidR="00F92058">
        <w:rPr>
          <w:rFonts w:ascii="Arial" w:hAnsi="Arial" w:cs="Arial"/>
          <w:bCs/>
        </w:rPr>
        <w:t>.</w:t>
      </w:r>
    </w:p>
    <w:p w:rsidRPr="00286D94" w:rsidR="001B66FC" w:rsidP="007A7005" w:rsidRDefault="001B66FC" w14:paraId="13EB1915" w14:textId="77777777">
      <w:pPr>
        <w:ind w:left="720"/>
        <w:rPr>
          <w:rFonts w:ascii="Arial" w:hAnsi="Arial" w:cs="Arial"/>
          <w:bCs/>
        </w:rPr>
      </w:pPr>
    </w:p>
    <w:p w:rsidRPr="00286D94" w:rsidR="001B66FC" w:rsidP="001B66FC" w:rsidRDefault="001B66FC" w14:paraId="3D2DFE4A" w14:textId="77777777">
      <w:pPr>
        <w:ind w:left="720"/>
        <w:rPr>
          <w:rFonts w:ascii="Arial" w:hAnsi="Arial" w:cs="Arial"/>
          <w:bCs/>
        </w:rPr>
      </w:pPr>
      <w:r w:rsidRPr="00286D94">
        <w:rPr>
          <w:rFonts w:ascii="Arial" w:hAnsi="Arial" w:cs="Arial"/>
          <w:bCs/>
        </w:rPr>
        <w:t>Rev. Proc 2019-40, published October 21, 2019, provides guidance to allow taxpayers to choose to use alternative information for determining a subpart F inclusion amount and</w:t>
      </w:r>
      <w:r w:rsidR="00273A33">
        <w:rPr>
          <w:rFonts w:ascii="Arial" w:hAnsi="Arial" w:cs="Arial"/>
          <w:bCs/>
        </w:rPr>
        <w:t xml:space="preserve"> </w:t>
      </w:r>
      <w:r w:rsidRPr="00286D94">
        <w:rPr>
          <w:rFonts w:ascii="Arial" w:hAnsi="Arial" w:cs="Arial"/>
          <w:bCs/>
        </w:rPr>
        <w:t>Global Intangible Low-taxed Income (“GILTI”) inclusion amount or related</w:t>
      </w:r>
      <w:r w:rsidR="00273A33">
        <w:rPr>
          <w:rFonts w:ascii="Arial" w:hAnsi="Arial" w:cs="Arial"/>
          <w:bCs/>
        </w:rPr>
        <w:t xml:space="preserve"> </w:t>
      </w:r>
      <w:r w:rsidRPr="00286D94">
        <w:rPr>
          <w:rFonts w:ascii="Arial" w:hAnsi="Arial" w:cs="Arial"/>
          <w:bCs/>
        </w:rPr>
        <w:t>recordkeeping or reporting on a Form 5471 with respect to a foreign controlled</w:t>
      </w:r>
      <w:r w:rsidR="00273A33">
        <w:rPr>
          <w:rFonts w:ascii="Arial" w:hAnsi="Arial" w:cs="Arial"/>
          <w:bCs/>
        </w:rPr>
        <w:t xml:space="preserve"> </w:t>
      </w:r>
      <w:r w:rsidRPr="00286D94">
        <w:rPr>
          <w:rFonts w:ascii="Arial" w:hAnsi="Arial" w:cs="Arial"/>
          <w:bCs/>
        </w:rPr>
        <w:t xml:space="preserve">CFC.  </w:t>
      </w:r>
    </w:p>
    <w:p w:rsidRPr="00286D94" w:rsidR="00F92058" w:rsidP="007A7005" w:rsidRDefault="00F92058" w14:paraId="2881378C" w14:textId="77777777">
      <w:pPr>
        <w:ind w:left="720"/>
        <w:rPr>
          <w:rFonts w:ascii="Arial" w:hAnsi="Arial" w:cs="Arial"/>
          <w:bCs/>
        </w:rPr>
      </w:pPr>
    </w:p>
    <w:p w:rsidR="00F92058" w:rsidP="007A7005" w:rsidRDefault="00F92058" w14:paraId="003CC776" w14:textId="77777777">
      <w:pPr>
        <w:ind w:left="720"/>
        <w:rPr>
          <w:rFonts w:ascii="Arial" w:hAnsi="Arial" w:cs="Arial"/>
          <w:bCs/>
        </w:rPr>
      </w:pPr>
      <w:r w:rsidRPr="00286D94">
        <w:rPr>
          <w:rFonts w:ascii="Arial" w:hAnsi="Arial" w:cs="Arial"/>
          <w:bCs/>
        </w:rPr>
        <w:t>The Form 965-C</w:t>
      </w:r>
      <w:r w:rsidRPr="00286D94" w:rsidR="001B66FC">
        <w:rPr>
          <w:rFonts w:ascii="Arial" w:hAnsi="Arial" w:cs="Arial"/>
          <w:bCs/>
        </w:rPr>
        <w:t xml:space="preserve"> (OMB# -1545-0123)</w:t>
      </w:r>
      <w:r w:rsidRPr="00286D94">
        <w:rPr>
          <w:rFonts w:ascii="Arial" w:hAnsi="Arial" w:cs="Arial"/>
          <w:bCs/>
        </w:rPr>
        <w:t xml:space="preserve"> </w:t>
      </w:r>
      <w:r w:rsidR="00652C27">
        <w:rPr>
          <w:rFonts w:ascii="Arial" w:hAnsi="Arial" w:cs="Arial"/>
          <w:bCs/>
        </w:rPr>
        <w:t>is</w:t>
      </w:r>
      <w:r w:rsidRPr="00286D94">
        <w:rPr>
          <w:rFonts w:ascii="Arial" w:hAnsi="Arial" w:cs="Arial"/>
          <w:bCs/>
        </w:rPr>
        <w:t xml:space="preserve"> used by taxpayers to file a transfer agreement with the IRS pursuant to section 1.965–7(b)(3)(iii)(B) and section 1.965–7(c)(3)(v)(D).  The Form </w:t>
      </w:r>
      <w:r w:rsidR="00652C27">
        <w:rPr>
          <w:rFonts w:ascii="Arial" w:hAnsi="Arial" w:cs="Arial"/>
          <w:bCs/>
        </w:rPr>
        <w:t>can</w:t>
      </w:r>
      <w:r w:rsidRPr="00286D94">
        <w:rPr>
          <w:rFonts w:ascii="Arial" w:hAnsi="Arial" w:cs="Arial"/>
          <w:bCs/>
        </w:rPr>
        <w:t xml:space="preserve"> be used in lieu of taxpayers creating their own transfer agreement.   </w:t>
      </w:r>
    </w:p>
    <w:p w:rsidR="0071093B" w:rsidP="007A7005" w:rsidRDefault="0071093B" w14:paraId="36BCA5ED" w14:textId="77777777">
      <w:pPr>
        <w:ind w:left="720"/>
        <w:rPr>
          <w:rFonts w:ascii="Arial" w:hAnsi="Arial" w:cs="Arial"/>
          <w:bCs/>
        </w:rPr>
      </w:pPr>
    </w:p>
    <w:p w:rsidRPr="00286D94" w:rsidR="0071093B" w:rsidP="007A7005" w:rsidRDefault="0071093B" w14:paraId="7E364771" w14:textId="77777777">
      <w:pPr>
        <w:ind w:left="720"/>
        <w:rPr>
          <w:rFonts w:ascii="Arial" w:hAnsi="Arial" w:cs="Arial"/>
          <w:bCs/>
        </w:rPr>
      </w:pPr>
      <w:r w:rsidRPr="0071093B">
        <w:rPr>
          <w:rFonts w:ascii="Arial" w:hAnsi="Arial" w:cs="Arial"/>
          <w:bCs/>
        </w:rPr>
        <w:t xml:space="preserve">There are no changes being made to the burden </w:t>
      </w:r>
      <w:r>
        <w:rPr>
          <w:rFonts w:ascii="Arial" w:hAnsi="Arial" w:cs="Arial"/>
          <w:bCs/>
        </w:rPr>
        <w:t>previously approved</w:t>
      </w:r>
      <w:r w:rsidRPr="0071093B">
        <w:rPr>
          <w:rFonts w:ascii="Arial" w:hAnsi="Arial" w:cs="Arial"/>
          <w:bCs/>
        </w:rPr>
        <w:t xml:space="preserve">.  IRS is making this submission for renewal purposes.  </w:t>
      </w:r>
      <w:r>
        <w:rPr>
          <w:rFonts w:ascii="Arial" w:hAnsi="Arial" w:cs="Arial"/>
          <w:bCs/>
        </w:rPr>
        <w:t xml:space="preserve"> </w:t>
      </w:r>
    </w:p>
    <w:p w:rsidRPr="00286D94" w:rsidR="00DE32E4" w:rsidP="00D76E55" w:rsidRDefault="00DE32E4" w14:paraId="035FBA2F" w14:textId="77777777">
      <w:pPr>
        <w:rPr>
          <w:rFonts w:ascii="Arial" w:hAnsi="Arial" w:cs="Arial"/>
          <w:bCs/>
        </w:rPr>
      </w:pPr>
    </w:p>
    <w:p w:rsidRPr="00286D94" w:rsidR="00894418" w:rsidRDefault="00894418" w14:paraId="0A764191" w14:textId="77777777">
      <w:pPr>
        <w:rPr>
          <w:rFonts w:ascii="Arial" w:hAnsi="Arial" w:cs="Arial"/>
          <w:bCs/>
        </w:rPr>
      </w:pPr>
      <w:r w:rsidRPr="00286D94">
        <w:rPr>
          <w:rFonts w:ascii="Arial" w:hAnsi="Arial" w:cs="Arial"/>
          <w:bCs/>
        </w:rPr>
        <w:t xml:space="preserve">2.  </w:t>
      </w:r>
      <w:r w:rsidRPr="00286D94" w:rsidR="00820B40">
        <w:rPr>
          <w:rFonts w:ascii="Arial" w:hAnsi="Arial" w:cs="Arial"/>
          <w:bCs/>
        </w:rPr>
        <w:tab/>
      </w:r>
      <w:r w:rsidRPr="00286D94">
        <w:rPr>
          <w:rFonts w:ascii="Arial" w:hAnsi="Arial" w:cs="Arial"/>
          <w:bCs/>
          <w:u w:val="single"/>
        </w:rPr>
        <w:t>USE OF DATA</w:t>
      </w:r>
    </w:p>
    <w:p w:rsidRPr="00286D94" w:rsidR="00894418" w:rsidRDefault="00894418" w14:paraId="75BE1CC2" w14:textId="77777777">
      <w:pPr>
        <w:rPr>
          <w:rFonts w:ascii="Arial" w:hAnsi="Arial" w:cs="Arial"/>
          <w:bCs/>
        </w:rPr>
      </w:pPr>
    </w:p>
    <w:p w:rsidRPr="00286D94" w:rsidR="00DE32E4" w:rsidP="00DD32F9" w:rsidRDefault="009D5F0A" w14:paraId="19622A73" w14:textId="77777777">
      <w:pPr>
        <w:ind w:left="720"/>
        <w:rPr>
          <w:rFonts w:ascii="Arial" w:hAnsi="Arial" w:cs="Arial"/>
          <w:bCs/>
        </w:rPr>
      </w:pPr>
      <w:r w:rsidRPr="00286D94">
        <w:rPr>
          <w:rFonts w:ascii="Arial" w:hAnsi="Arial" w:cs="Arial"/>
          <w:bCs/>
          <w:lang w:val="en"/>
        </w:rPr>
        <w:t xml:space="preserve">The information is required to be provided by taxpayers that make an election or rely on taxpayer-favorable rules. The information provided will be used by the IRS for tax compliance purposes.  </w:t>
      </w:r>
      <w:r w:rsidRPr="00286D94" w:rsidR="001765E8">
        <w:rPr>
          <w:rFonts w:ascii="Arial" w:hAnsi="Arial" w:cs="Arial"/>
          <w:bCs/>
          <w:lang w:val="en"/>
        </w:rPr>
        <w:t>The information will be used by IRS to verify that United States persons are properly reporting the transfer of their 965 net tax liability per 965(h)(3), to establish joint and several liability with the transferee, and for general statistics.</w:t>
      </w:r>
    </w:p>
    <w:p w:rsidRPr="00286D94" w:rsidR="00894418" w:rsidP="00DE32E4" w:rsidRDefault="00894418" w14:paraId="66034DE0" w14:textId="77777777">
      <w:pPr>
        <w:ind w:left="720"/>
        <w:rPr>
          <w:rFonts w:ascii="Arial" w:hAnsi="Arial" w:cs="Arial"/>
          <w:bCs/>
        </w:rPr>
      </w:pPr>
      <w:r w:rsidRPr="00286D94">
        <w:rPr>
          <w:rFonts w:ascii="Arial" w:hAnsi="Arial" w:cs="Arial"/>
          <w:bCs/>
        </w:rPr>
        <w:t xml:space="preserve">           </w:t>
      </w:r>
    </w:p>
    <w:p w:rsidRPr="00286D94" w:rsidR="00894418" w:rsidRDefault="00894418" w14:paraId="27CF6AE2" w14:textId="77777777">
      <w:pPr>
        <w:rPr>
          <w:rFonts w:ascii="Arial" w:hAnsi="Arial" w:cs="Arial"/>
          <w:bCs/>
        </w:rPr>
      </w:pPr>
      <w:r w:rsidRPr="00286D94">
        <w:rPr>
          <w:rFonts w:ascii="Arial" w:hAnsi="Arial" w:cs="Arial"/>
          <w:bCs/>
        </w:rPr>
        <w:t xml:space="preserve">3.  </w:t>
      </w:r>
      <w:r w:rsidRPr="00286D94" w:rsidR="00495DFF">
        <w:rPr>
          <w:rFonts w:ascii="Arial" w:hAnsi="Arial" w:cs="Arial"/>
          <w:bCs/>
        </w:rPr>
        <w:t xml:space="preserve"> </w:t>
      </w:r>
      <w:r w:rsidRPr="00286D94" w:rsidR="00820B40">
        <w:rPr>
          <w:rFonts w:ascii="Arial" w:hAnsi="Arial" w:cs="Arial"/>
          <w:bCs/>
        </w:rPr>
        <w:tab/>
      </w:r>
      <w:r w:rsidRPr="00286D94">
        <w:rPr>
          <w:rFonts w:ascii="Arial" w:hAnsi="Arial" w:cs="Arial"/>
          <w:bCs/>
          <w:u w:val="single"/>
        </w:rPr>
        <w:t>USE OF IMPROVED INFORMATION TECHNOLOGY TO REDUCE BURDEN</w:t>
      </w:r>
    </w:p>
    <w:p w:rsidRPr="00286D94" w:rsidR="00894418" w:rsidRDefault="00894418" w14:paraId="5B443824" w14:textId="77777777">
      <w:pPr>
        <w:rPr>
          <w:rFonts w:ascii="Arial" w:hAnsi="Arial" w:cs="Arial"/>
          <w:bCs/>
        </w:rPr>
      </w:pPr>
    </w:p>
    <w:p w:rsidRPr="00286D94" w:rsidR="00894418" w:rsidRDefault="0021660B" w14:paraId="632AA753" w14:textId="77777777">
      <w:pPr>
        <w:ind w:left="720"/>
        <w:rPr>
          <w:rFonts w:ascii="Arial" w:hAnsi="Arial" w:cs="Arial"/>
          <w:bCs/>
        </w:rPr>
      </w:pPr>
      <w:r w:rsidRPr="00286D94">
        <w:rPr>
          <w:rFonts w:ascii="Arial" w:hAnsi="Arial" w:cs="Arial"/>
          <w:bCs/>
        </w:rPr>
        <w:t>Many forms used to comply with these regulations can be submitted electronically</w:t>
      </w:r>
      <w:r w:rsidRPr="00286D94" w:rsidR="00894418">
        <w:rPr>
          <w:rFonts w:ascii="Arial" w:hAnsi="Arial" w:cs="Arial"/>
          <w:bCs/>
        </w:rPr>
        <w:t>.</w:t>
      </w:r>
    </w:p>
    <w:p w:rsidRPr="00286D94" w:rsidR="00894418" w:rsidRDefault="00894418" w14:paraId="76620AB8" w14:textId="77777777">
      <w:pPr>
        <w:rPr>
          <w:rFonts w:ascii="Arial" w:hAnsi="Arial" w:cs="Arial"/>
          <w:bCs/>
        </w:rPr>
      </w:pPr>
    </w:p>
    <w:p w:rsidRPr="00286D94" w:rsidR="00894418" w:rsidRDefault="00894418" w14:paraId="2A422071" w14:textId="77777777">
      <w:pPr>
        <w:rPr>
          <w:rFonts w:ascii="Arial" w:hAnsi="Arial" w:cs="Arial"/>
          <w:bCs/>
        </w:rPr>
      </w:pPr>
      <w:r w:rsidRPr="00286D94">
        <w:rPr>
          <w:rFonts w:ascii="Arial" w:hAnsi="Arial" w:cs="Arial"/>
          <w:bCs/>
        </w:rPr>
        <w:t xml:space="preserve">4.   </w:t>
      </w:r>
      <w:r w:rsidRPr="00286D94" w:rsidR="00820B40">
        <w:rPr>
          <w:rFonts w:ascii="Arial" w:hAnsi="Arial" w:cs="Arial"/>
          <w:bCs/>
        </w:rPr>
        <w:tab/>
      </w:r>
      <w:r w:rsidRPr="00286D94">
        <w:rPr>
          <w:rFonts w:ascii="Arial" w:hAnsi="Arial" w:cs="Arial"/>
          <w:bCs/>
          <w:u w:val="single"/>
        </w:rPr>
        <w:t>EFFORTS TO IDENTIFY DUPLICATION</w:t>
      </w:r>
    </w:p>
    <w:p w:rsidRPr="00286D94" w:rsidR="00894418" w:rsidRDefault="00894418" w14:paraId="45E36299" w14:textId="77777777">
      <w:pPr>
        <w:rPr>
          <w:rFonts w:ascii="Arial" w:hAnsi="Arial" w:cs="Arial"/>
          <w:bCs/>
        </w:rPr>
      </w:pPr>
    </w:p>
    <w:p w:rsidRPr="00286D94" w:rsidR="00894418" w:rsidP="008E497C" w:rsidRDefault="00894418" w14:paraId="3F4A4F5D" w14:textId="77777777">
      <w:pPr>
        <w:tabs>
          <w:tab w:val="left" w:pos="-1440"/>
        </w:tabs>
        <w:ind w:left="720" w:hanging="720"/>
        <w:rPr>
          <w:rFonts w:ascii="Arial" w:hAnsi="Arial" w:cs="Arial"/>
          <w:bCs/>
        </w:rPr>
      </w:pPr>
      <w:r w:rsidRPr="00286D94">
        <w:rPr>
          <w:rFonts w:ascii="Arial" w:hAnsi="Arial" w:cs="Arial"/>
          <w:bCs/>
        </w:rPr>
        <w:t xml:space="preserve"> </w:t>
      </w:r>
      <w:r w:rsidRPr="00286D94">
        <w:rPr>
          <w:rFonts w:ascii="Arial" w:hAnsi="Arial" w:cs="Arial"/>
          <w:bCs/>
        </w:rPr>
        <w:tab/>
      </w:r>
      <w:r w:rsidRPr="00286D94" w:rsidR="00DD32F9">
        <w:rPr>
          <w:rFonts w:ascii="Arial" w:hAnsi="Arial" w:cs="Arial"/>
          <w:bCs/>
        </w:rPr>
        <w:t xml:space="preserve">We have attempted to eliminate duplication within the agency wherever possible and we are not aware of any other information already available that could be used to </w:t>
      </w:r>
      <w:r w:rsidRPr="00286D94" w:rsidR="008E497C">
        <w:rPr>
          <w:rFonts w:ascii="Arial" w:hAnsi="Arial" w:cs="Arial"/>
          <w:bCs/>
        </w:rPr>
        <w:t xml:space="preserve">be provided by taxpayers that make an election or rely on taxpayer-favorable rules. </w:t>
      </w:r>
      <w:r w:rsidRPr="00286D94">
        <w:rPr>
          <w:rFonts w:ascii="Arial" w:hAnsi="Arial" w:cs="Arial"/>
          <w:bCs/>
        </w:rPr>
        <w:t xml:space="preserve"> </w:t>
      </w:r>
    </w:p>
    <w:p w:rsidRPr="00286D94" w:rsidR="00894418" w:rsidRDefault="00894418" w14:paraId="20D37D13" w14:textId="77777777">
      <w:pPr>
        <w:rPr>
          <w:rFonts w:ascii="Arial" w:hAnsi="Arial" w:cs="Arial"/>
          <w:b/>
          <w:bCs/>
        </w:rPr>
      </w:pPr>
    </w:p>
    <w:p w:rsidRPr="00286D94" w:rsidR="00894418" w:rsidP="00820B40" w:rsidRDefault="00894418" w14:paraId="6C721705" w14:textId="77777777">
      <w:pPr>
        <w:pStyle w:val="Level1"/>
        <w:numPr>
          <w:ilvl w:val="0"/>
          <w:numId w:val="1"/>
        </w:numPr>
        <w:tabs>
          <w:tab w:val="left" w:pos="-1440"/>
        </w:tabs>
        <w:rPr>
          <w:rFonts w:ascii="Arial" w:hAnsi="Arial" w:cs="Arial"/>
        </w:rPr>
      </w:pPr>
      <w:r w:rsidRPr="00286D94">
        <w:rPr>
          <w:rFonts w:ascii="Arial" w:hAnsi="Arial" w:cs="Arial"/>
          <w:u w:val="single"/>
        </w:rPr>
        <w:t>METHODS TO MINIMIZE BURDEN ON SMALL BUSINESSES OR OTHER</w:t>
      </w:r>
      <w:r w:rsidRPr="00286D94">
        <w:rPr>
          <w:rFonts w:ascii="Arial" w:hAnsi="Arial" w:cs="Arial"/>
        </w:rPr>
        <w:t xml:space="preserve">     </w:t>
      </w:r>
      <w:r w:rsidRPr="00286D94">
        <w:rPr>
          <w:rFonts w:ascii="Arial" w:hAnsi="Arial" w:cs="Arial"/>
          <w:u w:val="single"/>
        </w:rPr>
        <w:t>SMALL ENTITIES</w:t>
      </w:r>
    </w:p>
    <w:p w:rsidRPr="00286D94" w:rsidR="00894418" w:rsidRDefault="00894418" w14:paraId="6FEA01D7" w14:textId="77777777">
      <w:pPr>
        <w:rPr>
          <w:rFonts w:ascii="Arial" w:hAnsi="Arial" w:cs="Arial"/>
        </w:rPr>
      </w:pPr>
    </w:p>
    <w:p w:rsidR="00894418" w:rsidP="00820B40" w:rsidRDefault="00DD32F9" w14:paraId="7F558C03" w14:textId="77777777">
      <w:pPr>
        <w:ind w:left="720"/>
        <w:rPr>
          <w:rFonts w:ascii="Arial" w:hAnsi="Arial" w:cs="Arial"/>
          <w:snapToGrid w:val="0"/>
        </w:rPr>
      </w:pPr>
      <w:r w:rsidRPr="00286D94">
        <w:rPr>
          <w:rFonts w:ascii="Arial" w:hAnsi="Arial" w:cs="Arial"/>
          <w:snapToGrid w:val="0"/>
        </w:rPr>
        <w:t>This collection of information will not have a significant impact on a substantial number of small businesses or other small entities</w:t>
      </w:r>
      <w:r w:rsidRPr="00286D94" w:rsidR="00F601B7">
        <w:rPr>
          <w:rFonts w:ascii="Arial" w:hAnsi="Arial" w:cs="Arial"/>
          <w:snapToGrid w:val="0"/>
        </w:rPr>
        <w:t>.</w:t>
      </w:r>
    </w:p>
    <w:p w:rsidR="0071093B" w:rsidP="00820B40" w:rsidRDefault="0071093B" w14:paraId="0FE9597C" w14:textId="77777777">
      <w:pPr>
        <w:ind w:left="720"/>
        <w:rPr>
          <w:rFonts w:ascii="Arial" w:hAnsi="Arial" w:cs="Arial"/>
          <w:snapToGrid w:val="0"/>
        </w:rPr>
      </w:pPr>
    </w:p>
    <w:p w:rsidRPr="00286D94" w:rsidR="0071093B" w:rsidP="00820B40" w:rsidRDefault="0071093B" w14:paraId="061AB069" w14:textId="77777777">
      <w:pPr>
        <w:ind w:left="720"/>
        <w:rPr>
          <w:rFonts w:ascii="Arial" w:hAnsi="Arial" w:cs="Arial"/>
        </w:rPr>
      </w:pPr>
    </w:p>
    <w:p w:rsidRPr="00286D94" w:rsidR="00894418" w:rsidRDefault="00894418" w14:paraId="48EE4EC3" w14:textId="77777777">
      <w:pPr>
        <w:rPr>
          <w:rFonts w:ascii="Arial" w:hAnsi="Arial" w:cs="Arial"/>
        </w:rPr>
      </w:pPr>
    </w:p>
    <w:p w:rsidRPr="00286D94" w:rsidR="00894418" w:rsidRDefault="00894418" w14:paraId="79506587" w14:textId="77777777">
      <w:pPr>
        <w:pStyle w:val="Level1"/>
        <w:numPr>
          <w:ilvl w:val="0"/>
          <w:numId w:val="1"/>
        </w:numPr>
        <w:tabs>
          <w:tab w:val="left" w:pos="-1440"/>
          <w:tab w:val="num" w:pos="720"/>
        </w:tabs>
        <w:rPr>
          <w:rFonts w:ascii="Arial" w:hAnsi="Arial" w:cs="Arial"/>
        </w:rPr>
      </w:pPr>
      <w:r w:rsidRPr="00286D94">
        <w:rPr>
          <w:rFonts w:ascii="Arial" w:hAnsi="Arial" w:cs="Arial"/>
          <w:u w:val="single"/>
        </w:rPr>
        <w:t>CONSEQUENCES OF LESS FREQUENT COLLECTION ON FEDERAL PROGRAMS OR POLICY ACTIVITIES</w:t>
      </w:r>
    </w:p>
    <w:p w:rsidRPr="00286D94" w:rsidR="00894418" w:rsidRDefault="00894418" w14:paraId="1C53F251" w14:textId="77777777">
      <w:pPr>
        <w:rPr>
          <w:rFonts w:ascii="Arial" w:hAnsi="Arial" w:cs="Arial"/>
        </w:rPr>
      </w:pPr>
    </w:p>
    <w:p w:rsidRPr="00286D94" w:rsidR="005668A3" w:rsidP="008E497C" w:rsidRDefault="00DD32F9" w14:paraId="5B83D415" w14:textId="77777777">
      <w:pPr>
        <w:widowControl/>
        <w:ind w:left="720"/>
        <w:rPr>
          <w:rFonts w:ascii="Arial" w:hAnsi="Arial" w:cs="Arial"/>
          <w:bCs/>
        </w:rPr>
      </w:pPr>
      <w:r w:rsidRPr="00286D94">
        <w:rPr>
          <w:rFonts w:ascii="Arial" w:hAnsi="Arial" w:cs="Arial"/>
          <w:bCs/>
        </w:rPr>
        <w:t xml:space="preserve">Consequences of less frequent collection on federal programs or policy activities, could result in insufficient information provided by </w:t>
      </w:r>
      <w:r w:rsidRPr="00286D94" w:rsidR="008E497C">
        <w:rPr>
          <w:rFonts w:ascii="Arial" w:hAnsi="Arial" w:cs="Arial"/>
          <w:bCs/>
        </w:rPr>
        <w:t xml:space="preserve">taxpayers that make an election or rely on taxpayer-favorable rules. The information provided will be used by the IRS for tax compliance purposes.  Failure to verify information will affect proper reporting of tax.  </w:t>
      </w:r>
    </w:p>
    <w:p w:rsidRPr="00286D94" w:rsidR="00F4039D" w:rsidP="008E497C" w:rsidRDefault="00F4039D" w14:paraId="6B6C0E7B" w14:textId="77777777">
      <w:pPr>
        <w:widowControl/>
        <w:ind w:left="720"/>
        <w:rPr>
          <w:rFonts w:ascii="Arial" w:hAnsi="Arial" w:cs="Arial"/>
        </w:rPr>
      </w:pPr>
    </w:p>
    <w:p w:rsidRPr="00286D94" w:rsidR="00894418" w:rsidRDefault="00894418" w14:paraId="2B747142" w14:textId="77777777">
      <w:pPr>
        <w:pStyle w:val="Level1"/>
        <w:numPr>
          <w:ilvl w:val="0"/>
          <w:numId w:val="1"/>
        </w:numPr>
        <w:tabs>
          <w:tab w:val="left" w:pos="-1440"/>
          <w:tab w:val="num" w:pos="720"/>
        </w:tabs>
        <w:rPr>
          <w:rFonts w:ascii="Arial" w:hAnsi="Arial" w:cs="Arial"/>
        </w:rPr>
      </w:pPr>
      <w:r w:rsidRPr="00286D94">
        <w:rPr>
          <w:rFonts w:ascii="Arial" w:hAnsi="Arial" w:cs="Arial"/>
          <w:u w:val="single"/>
        </w:rPr>
        <w:t>SPECIAL CIRCUMSTANCES REQUIRING DATA COLLECTION TO BE</w:t>
      </w:r>
      <w:r w:rsidRPr="00286D94">
        <w:rPr>
          <w:rFonts w:ascii="Arial" w:hAnsi="Arial" w:cs="Arial"/>
        </w:rPr>
        <w:t xml:space="preserve"> </w:t>
      </w:r>
      <w:r w:rsidRPr="00286D94">
        <w:rPr>
          <w:rFonts w:ascii="Arial" w:hAnsi="Arial" w:cs="Arial"/>
          <w:u w:val="single"/>
        </w:rPr>
        <w:t>INCONSISTENT WITH GUIDELINES IN 5 CFR 1320.5(d)(2)</w:t>
      </w:r>
    </w:p>
    <w:p w:rsidRPr="00286D94" w:rsidR="00894418" w:rsidRDefault="00894418" w14:paraId="2D29AC19" w14:textId="77777777">
      <w:pPr>
        <w:rPr>
          <w:rFonts w:ascii="Arial" w:hAnsi="Arial" w:cs="Arial"/>
        </w:rPr>
      </w:pPr>
    </w:p>
    <w:p w:rsidRPr="00286D94" w:rsidR="00286659" w:rsidP="00033535" w:rsidRDefault="00033535" w14:paraId="32BBFA9F" w14:textId="77777777">
      <w:pPr>
        <w:autoSpaceDE/>
        <w:autoSpaceDN/>
        <w:adjustRightInd/>
        <w:ind w:left="720" w:firstLine="15"/>
        <w:rPr>
          <w:rFonts w:ascii="Arial" w:hAnsi="Arial" w:cs="Arial"/>
          <w:snapToGrid w:val="0"/>
        </w:rPr>
      </w:pPr>
      <w:r w:rsidRPr="00286D94">
        <w:rPr>
          <w:rFonts w:ascii="Arial" w:hAnsi="Arial" w:cs="Arial"/>
          <w:snapToGrid w:val="0"/>
        </w:rPr>
        <w:t xml:space="preserve">There are no special circumstances requiring data collection to be inconsistent with Guidelines in 5 CFR 1320.5(d)(2). </w:t>
      </w:r>
    </w:p>
    <w:p w:rsidRPr="00286D94" w:rsidR="00894418" w:rsidRDefault="00894418" w14:paraId="708A80CC" w14:textId="77777777">
      <w:pPr>
        <w:rPr>
          <w:rFonts w:ascii="Arial" w:hAnsi="Arial" w:cs="Arial"/>
        </w:rPr>
      </w:pPr>
    </w:p>
    <w:p w:rsidRPr="00286D94" w:rsidR="000D1446" w:rsidRDefault="000D1446" w14:paraId="0C7C068D" w14:textId="77777777">
      <w:pPr>
        <w:rPr>
          <w:rFonts w:ascii="Arial" w:hAnsi="Arial" w:cs="Arial"/>
        </w:rPr>
        <w:sectPr w:rsidRPr="00286D94" w:rsidR="000D1446">
          <w:pgSz w:w="12240" w:h="15840"/>
          <w:pgMar w:top="1440" w:right="1440" w:bottom="1440" w:left="1440" w:header="1440" w:footer="1440" w:gutter="0"/>
          <w:cols w:space="720"/>
          <w:noEndnote/>
        </w:sectPr>
      </w:pPr>
    </w:p>
    <w:p w:rsidRPr="00286D94" w:rsidR="00894418" w:rsidRDefault="00894418" w14:paraId="0D140D31" w14:textId="77777777">
      <w:pPr>
        <w:tabs>
          <w:tab w:val="left" w:pos="-1440"/>
        </w:tabs>
        <w:ind w:left="720" w:hanging="720"/>
        <w:rPr>
          <w:rFonts w:ascii="Arial" w:hAnsi="Arial" w:cs="Arial"/>
        </w:rPr>
      </w:pPr>
      <w:r w:rsidRPr="00286D94">
        <w:rPr>
          <w:rFonts w:ascii="Arial" w:hAnsi="Arial" w:cs="Arial"/>
        </w:rPr>
        <w:t>8.</w:t>
      </w:r>
      <w:r w:rsidRPr="00286D94">
        <w:rPr>
          <w:rFonts w:ascii="Arial" w:hAnsi="Arial" w:cs="Arial"/>
        </w:rPr>
        <w:tab/>
      </w:r>
      <w:r w:rsidRPr="00286D94">
        <w:rPr>
          <w:rFonts w:ascii="Arial" w:hAnsi="Arial" w:cs="Arial"/>
          <w:u w:val="single"/>
        </w:rPr>
        <w:t>CONSULTATION WITH INDIVIDUALS OUTSIDE OF THE AGENCY ON AVAILABILITY OF DATA, FREQUENCY OF COLLECTION, CLARITY OF INSTRUCTIONS AND FORMS, AND DATA ELEMENTS</w:t>
      </w:r>
    </w:p>
    <w:p w:rsidRPr="00286D94" w:rsidR="00F77CEA" w:rsidP="00286D94" w:rsidRDefault="00F77CEA" w14:paraId="554ACC98" w14:textId="77777777">
      <w:pPr>
        <w:rPr>
          <w:rFonts w:ascii="Arial" w:hAnsi="Arial" w:cs="Arial"/>
        </w:rPr>
      </w:pPr>
    </w:p>
    <w:p w:rsidRPr="00286D94" w:rsidR="00894418" w:rsidRDefault="00894418" w14:paraId="3197BB1C" w14:textId="77777777">
      <w:pPr>
        <w:ind w:left="720"/>
        <w:rPr>
          <w:rFonts w:ascii="Arial" w:hAnsi="Arial" w:cs="Arial"/>
        </w:rPr>
      </w:pPr>
      <w:r w:rsidRPr="00286D94">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w:t>
      </w:r>
      <w:r w:rsidRPr="00286D94" w:rsidR="00DD32F9">
        <w:rPr>
          <w:rFonts w:ascii="Arial" w:hAnsi="Arial" w:cs="Arial"/>
        </w:rPr>
        <w:t xml:space="preserve"> </w:t>
      </w:r>
      <w:r w:rsidRPr="00286D94" w:rsidR="00F739C3">
        <w:rPr>
          <w:rFonts w:ascii="Arial" w:hAnsi="Arial" w:cs="Arial"/>
        </w:rPr>
        <w:t>the various 965 forms related to these regulations</w:t>
      </w:r>
      <w:r w:rsidRPr="00286D94">
        <w:rPr>
          <w:rFonts w:ascii="Arial" w:hAnsi="Arial" w:cs="Arial"/>
        </w:rPr>
        <w:t>.</w:t>
      </w:r>
    </w:p>
    <w:p w:rsidRPr="00286D94" w:rsidR="00286D94" w:rsidRDefault="00286D94" w14:paraId="24F1FD7C" w14:textId="77777777">
      <w:pPr>
        <w:ind w:left="720"/>
        <w:rPr>
          <w:rFonts w:ascii="Arial" w:hAnsi="Arial" w:cs="Arial"/>
        </w:rPr>
      </w:pPr>
    </w:p>
    <w:p w:rsidRPr="00286D94" w:rsidR="00286D94" w:rsidRDefault="00286D94" w14:paraId="72964F7E" w14:textId="77777777">
      <w:pPr>
        <w:ind w:left="720"/>
        <w:rPr>
          <w:rFonts w:ascii="Arial" w:hAnsi="Arial" w:cs="Arial"/>
        </w:rPr>
      </w:pPr>
      <w:r w:rsidRPr="00286D94">
        <w:rPr>
          <w:rFonts w:ascii="Arial" w:hAnsi="Arial" w:cs="Arial"/>
        </w:rPr>
        <w:t xml:space="preserve">A Federal Register Notice (87 FR </w:t>
      </w:r>
      <w:r w:rsidR="00052C48">
        <w:rPr>
          <w:rFonts w:ascii="Arial" w:hAnsi="Arial" w:cs="Arial"/>
        </w:rPr>
        <w:t>17138</w:t>
      </w:r>
      <w:r w:rsidRPr="00286D94">
        <w:rPr>
          <w:rFonts w:ascii="Arial" w:hAnsi="Arial" w:cs="Arial"/>
        </w:rPr>
        <w:t xml:space="preserve">) was published regarding these Revenue Procedures on </w:t>
      </w:r>
      <w:r>
        <w:rPr>
          <w:rFonts w:ascii="Arial" w:hAnsi="Arial" w:cs="Arial"/>
        </w:rPr>
        <w:t xml:space="preserve">March </w:t>
      </w:r>
      <w:r w:rsidR="00052C48">
        <w:rPr>
          <w:rFonts w:ascii="Arial" w:hAnsi="Arial" w:cs="Arial"/>
        </w:rPr>
        <w:t>25</w:t>
      </w:r>
      <w:r w:rsidRPr="00286D94">
        <w:rPr>
          <w:rFonts w:ascii="Arial" w:hAnsi="Arial" w:cs="Arial"/>
        </w:rPr>
        <w:t xml:space="preserve">, 2022, inviting public comments.  No comments were received.  </w:t>
      </w:r>
    </w:p>
    <w:p w:rsidRPr="00286D94" w:rsidR="00894418" w:rsidRDefault="00894418" w14:paraId="0B747FA0" w14:textId="77777777">
      <w:pPr>
        <w:rPr>
          <w:rFonts w:ascii="Arial" w:hAnsi="Arial" w:cs="Arial"/>
        </w:rPr>
      </w:pPr>
    </w:p>
    <w:p w:rsidRPr="00286D94" w:rsidR="00894418" w:rsidRDefault="00894418" w14:paraId="0F50D181" w14:textId="77777777">
      <w:pPr>
        <w:pStyle w:val="Level1"/>
        <w:tabs>
          <w:tab w:val="left" w:pos="-1440"/>
          <w:tab w:val="num" w:pos="720"/>
        </w:tabs>
        <w:rPr>
          <w:rFonts w:ascii="Arial" w:hAnsi="Arial" w:cs="Arial"/>
        </w:rPr>
      </w:pPr>
      <w:r w:rsidRPr="00286D94">
        <w:rPr>
          <w:rFonts w:ascii="Arial" w:hAnsi="Arial" w:cs="Arial"/>
          <w:u w:val="single"/>
        </w:rPr>
        <w:t>EXPLANATION OF DECISION TO PROVIDE ANY PAYMENT OR GIFT TO</w:t>
      </w:r>
      <w:r w:rsidRPr="00286D94">
        <w:rPr>
          <w:rFonts w:ascii="Arial" w:hAnsi="Arial" w:cs="Arial"/>
        </w:rPr>
        <w:t xml:space="preserve"> </w:t>
      </w:r>
      <w:r w:rsidRPr="00286D94">
        <w:rPr>
          <w:rFonts w:ascii="Arial" w:hAnsi="Arial" w:cs="Arial"/>
          <w:u w:val="single"/>
        </w:rPr>
        <w:t>RESPONDENTS</w:t>
      </w:r>
    </w:p>
    <w:p w:rsidRPr="00286D94" w:rsidR="00894418" w:rsidRDefault="00894418" w14:paraId="2A81F411" w14:textId="77777777">
      <w:pPr>
        <w:rPr>
          <w:rFonts w:ascii="Arial" w:hAnsi="Arial" w:cs="Arial"/>
        </w:rPr>
      </w:pPr>
    </w:p>
    <w:p w:rsidRPr="00286D94" w:rsidR="00894418" w:rsidP="00033535" w:rsidRDefault="00033535" w14:paraId="567CFE7A" w14:textId="77777777">
      <w:pPr>
        <w:ind w:left="720"/>
        <w:rPr>
          <w:rFonts w:ascii="Arial" w:hAnsi="Arial" w:cs="Arial"/>
        </w:rPr>
      </w:pPr>
      <w:r w:rsidRPr="00286D94">
        <w:rPr>
          <w:rFonts w:ascii="Arial" w:hAnsi="Arial" w:eastAsia="Calibri" w:cs="Arial"/>
        </w:rPr>
        <w:t>No payment or gift has been provided to any respondents.</w:t>
      </w:r>
    </w:p>
    <w:p w:rsidRPr="00286D94" w:rsidR="00894418" w:rsidRDefault="00894418" w14:paraId="143B610B" w14:textId="77777777">
      <w:pPr>
        <w:rPr>
          <w:rFonts w:ascii="Arial" w:hAnsi="Arial" w:cs="Arial"/>
        </w:rPr>
      </w:pPr>
    </w:p>
    <w:p w:rsidRPr="00286D94" w:rsidR="00894418" w:rsidRDefault="00894418" w14:paraId="4506AADA" w14:textId="77777777">
      <w:pPr>
        <w:pStyle w:val="Level1"/>
        <w:tabs>
          <w:tab w:val="left" w:pos="-1440"/>
          <w:tab w:val="num" w:pos="720"/>
        </w:tabs>
        <w:rPr>
          <w:rFonts w:ascii="Arial" w:hAnsi="Arial" w:cs="Arial"/>
        </w:rPr>
      </w:pPr>
      <w:r w:rsidRPr="00286D94">
        <w:rPr>
          <w:rFonts w:ascii="Arial" w:hAnsi="Arial" w:cs="Arial"/>
          <w:u w:val="single"/>
        </w:rPr>
        <w:t>ASSURANCE OF CONFIDENTIALITY OF RESPONSES</w:t>
      </w:r>
    </w:p>
    <w:p w:rsidRPr="00286D94" w:rsidR="00894418" w:rsidRDefault="00894418" w14:paraId="2BD54E74" w14:textId="77777777">
      <w:pPr>
        <w:rPr>
          <w:rFonts w:ascii="Arial" w:hAnsi="Arial" w:cs="Arial"/>
        </w:rPr>
      </w:pPr>
    </w:p>
    <w:p w:rsidRPr="00286D94" w:rsidR="00894418" w:rsidRDefault="0017165A" w14:paraId="312F8924" w14:textId="77777777">
      <w:pPr>
        <w:ind w:left="720"/>
        <w:rPr>
          <w:rFonts w:ascii="Arial" w:hAnsi="Arial" w:cs="Arial"/>
        </w:rPr>
      </w:pPr>
      <w:r w:rsidRPr="00286D94">
        <w:rPr>
          <w:rFonts w:ascii="Arial" w:hAnsi="Arial" w:cs="Arial"/>
        </w:rPr>
        <w:t>Respondents will not be required to file the collection of information with the Internal Revenue Service, though may be requested to provide the information on audit.  If requested on audit, the information is confidential as required by 26 USC 6103</w:t>
      </w:r>
      <w:r w:rsidRPr="00286D94" w:rsidR="00894418">
        <w:rPr>
          <w:rFonts w:ascii="Arial" w:hAnsi="Arial" w:cs="Arial"/>
        </w:rPr>
        <w:t>.</w:t>
      </w:r>
    </w:p>
    <w:p w:rsidR="0071093B" w:rsidRDefault="0071093B" w14:paraId="07ACEB1F" w14:textId="77777777">
      <w:pPr>
        <w:rPr>
          <w:rFonts w:ascii="Arial" w:hAnsi="Arial" w:cs="Arial"/>
        </w:rPr>
      </w:pPr>
    </w:p>
    <w:p w:rsidR="00273A33" w:rsidRDefault="00273A33" w14:paraId="0FC4AADA" w14:textId="77777777">
      <w:pPr>
        <w:rPr>
          <w:rFonts w:ascii="Arial" w:hAnsi="Arial" w:cs="Arial"/>
        </w:rPr>
      </w:pPr>
    </w:p>
    <w:p w:rsidRPr="00286D94" w:rsidR="00273A33" w:rsidRDefault="00273A33" w14:paraId="06DB3594" w14:textId="77777777">
      <w:pPr>
        <w:rPr>
          <w:rFonts w:ascii="Arial" w:hAnsi="Arial" w:cs="Arial"/>
        </w:rPr>
      </w:pPr>
    </w:p>
    <w:p w:rsidRPr="00286D94" w:rsidR="00894418" w:rsidRDefault="00894418" w14:paraId="22A33414" w14:textId="77777777">
      <w:pPr>
        <w:pStyle w:val="Level1"/>
        <w:tabs>
          <w:tab w:val="left" w:pos="-1440"/>
          <w:tab w:val="num" w:pos="720"/>
        </w:tabs>
        <w:rPr>
          <w:rFonts w:ascii="Arial" w:hAnsi="Arial" w:cs="Arial"/>
          <w:u w:val="single"/>
        </w:rPr>
      </w:pPr>
      <w:r w:rsidRPr="00286D94">
        <w:rPr>
          <w:rFonts w:ascii="Arial" w:hAnsi="Arial" w:cs="Arial"/>
          <w:u w:val="single"/>
        </w:rPr>
        <w:lastRenderedPageBreak/>
        <w:t>JUSTIFICATION OF SENSITIVE QUESTIONS</w:t>
      </w:r>
    </w:p>
    <w:p w:rsidRPr="00286D94" w:rsidR="00894418" w:rsidRDefault="00894418" w14:paraId="6A11976A" w14:textId="77777777">
      <w:pPr>
        <w:rPr>
          <w:rFonts w:ascii="Arial" w:hAnsi="Arial" w:cs="Arial"/>
          <w:u w:val="single"/>
        </w:rPr>
      </w:pPr>
    </w:p>
    <w:p w:rsidRPr="00286D94" w:rsidR="00CD67D5" w:rsidP="00CD67D5" w:rsidRDefault="00CD67D5" w14:paraId="3FEAA788" w14:textId="77777777">
      <w:pPr>
        <w:widowControl/>
        <w:autoSpaceDE/>
        <w:autoSpaceDN/>
        <w:adjustRightInd/>
        <w:spacing w:after="200" w:line="276" w:lineRule="auto"/>
        <w:ind w:left="720"/>
        <w:rPr>
          <w:rFonts w:ascii="Arial" w:hAnsi="Arial" w:eastAsia="Calibri" w:cs="Arial"/>
        </w:rPr>
      </w:pPr>
      <w:r w:rsidRPr="00286D94">
        <w:rPr>
          <w:rFonts w:ascii="Arial" w:hAnsi="Arial" w:eastAsia="Calibri"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286D94" w:rsidR="00961100">
          <w:rPr>
            <w:rStyle w:val="Hyperlink"/>
            <w:rFonts w:ascii="Arial" w:hAnsi="Arial" w:eastAsia="Calibri" w:cs="Arial"/>
          </w:rPr>
          <w:t>http://www.irs.gov/uac/Privacy-Impact-Assessments-PIA</w:t>
        </w:r>
      </w:hyperlink>
      <w:r w:rsidRPr="00286D94" w:rsidR="00961100">
        <w:rPr>
          <w:rFonts w:ascii="Arial" w:hAnsi="Arial" w:eastAsia="Calibri" w:cs="Arial"/>
        </w:rPr>
        <w:t xml:space="preserve">. </w:t>
      </w:r>
      <w:r w:rsidRPr="00286D94">
        <w:rPr>
          <w:rFonts w:ascii="Arial" w:hAnsi="Arial" w:eastAsia="Calibri" w:cs="Arial"/>
        </w:rPr>
        <w:t xml:space="preserve"> </w:t>
      </w:r>
    </w:p>
    <w:p w:rsidRPr="00286D94" w:rsidR="00894418" w:rsidP="00CD67D5" w:rsidRDefault="00CD67D5" w14:paraId="2829E712" w14:textId="77777777">
      <w:pPr>
        <w:widowControl/>
        <w:autoSpaceDE/>
        <w:autoSpaceDN/>
        <w:adjustRightInd/>
        <w:spacing w:after="200" w:line="276" w:lineRule="auto"/>
        <w:ind w:left="720"/>
        <w:rPr>
          <w:rFonts w:ascii="Arial" w:hAnsi="Arial" w:cs="Arial"/>
        </w:rPr>
      </w:pPr>
      <w:r w:rsidRPr="00286D94">
        <w:rPr>
          <w:rFonts w:ascii="Arial" w:hAnsi="Arial" w:eastAsia="Calibri"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286D94" w:rsidR="00894418" w:rsidRDefault="00894418" w14:paraId="6A926F22" w14:textId="77777777">
      <w:pPr>
        <w:pStyle w:val="Level1"/>
        <w:tabs>
          <w:tab w:val="left" w:pos="-1440"/>
          <w:tab w:val="num" w:pos="720"/>
        </w:tabs>
        <w:rPr>
          <w:rFonts w:ascii="Arial" w:hAnsi="Arial" w:cs="Arial"/>
        </w:rPr>
      </w:pPr>
      <w:r w:rsidRPr="00286D94">
        <w:rPr>
          <w:rFonts w:ascii="Arial" w:hAnsi="Arial" w:cs="Arial"/>
          <w:u w:val="single"/>
        </w:rPr>
        <w:t>ESTIMATED BURDEN OF INFORMATION COLLECTION</w:t>
      </w:r>
    </w:p>
    <w:p w:rsidRPr="00286D94" w:rsidR="00894418" w:rsidRDefault="00894418" w14:paraId="0EBE6424" w14:textId="77777777">
      <w:pPr>
        <w:rPr>
          <w:rFonts w:ascii="Arial" w:hAnsi="Arial" w:cs="Arial"/>
        </w:rPr>
      </w:pPr>
    </w:p>
    <w:p w:rsidR="00286D94" w:rsidP="00286D94" w:rsidRDefault="00286D94" w14:paraId="39146510" w14:textId="77777777">
      <w:pPr>
        <w:ind w:left="720"/>
        <w:rPr>
          <w:rFonts w:ascii="Arial" w:hAnsi="Arial" w:cs="Arial"/>
        </w:rPr>
      </w:pPr>
      <w:r w:rsidRPr="00286D94">
        <w:rPr>
          <w:rFonts w:ascii="Arial" w:hAnsi="Arial" w:cs="Arial"/>
        </w:rPr>
        <w:t>The time burden estimate relates solely to the making of elections, filing of transfer agreements, and reporting of positions concerning the application of anti-abuse rules, which are the collection of information requirements imposed by the regulations.  The IRS believes that the reporting of positions concerning the application of anti-abuse rules is likely to be rare and the time burden minimal relative to that of making an election.  Moreover, the burden of filing a transfer agreement only exists if a taxpayer has made certain elections (elections under section 965(h) and (i)) and certain events have subsequently occurred and thus is expected to affect a very small subset of the taxpayers that made those elections.  In addition, the time for filing an agreement is expected to be minimal.</w:t>
      </w:r>
    </w:p>
    <w:p w:rsidR="00286D94" w:rsidP="00286D94" w:rsidRDefault="00286D94" w14:paraId="5E75E230" w14:textId="77777777">
      <w:pPr>
        <w:ind w:left="720"/>
        <w:rPr>
          <w:rFonts w:ascii="Arial" w:hAnsi="Arial" w:cs="Arial"/>
        </w:rPr>
      </w:pPr>
    </w:p>
    <w:p w:rsidR="00286D94" w:rsidP="00286D94" w:rsidRDefault="00286D94" w14:paraId="6B73414C" w14:textId="77777777">
      <w:pPr>
        <w:ind w:left="720"/>
        <w:rPr>
          <w:rFonts w:ascii="Arial" w:hAnsi="Arial" w:cs="Arial"/>
        </w:rPr>
      </w:pPr>
      <w:r w:rsidRPr="00286D94">
        <w:rPr>
          <w:rFonts w:ascii="Arial" w:hAnsi="Arial" w:cs="Arial"/>
        </w:rPr>
        <w:t xml:space="preserve">Thus, the IRS based the time burden estimate on the maximum amount of time that it expected that a taxpayer would expend on making the elections.  The time burden estimate is based on the maximum of five elections (the section 965(h) election, the section 965(i) election, the section 965(n) election, the alternative E&amp;P computation election, and the basis adjustment election) that would potentially be made by a single taxpayer, understanding that that number exceeds the number that the IRS would expect to likely be made by a taxpayer, as it would be uncommon for a taxpayer to make both a section 965(h) election and a section 965(i) election, and many taxpayers will not make a section 965(n) election.  </w:t>
      </w:r>
    </w:p>
    <w:p w:rsidR="00286D94" w:rsidP="00286D94" w:rsidRDefault="00286D94" w14:paraId="3F9CF619" w14:textId="77777777">
      <w:pPr>
        <w:ind w:left="720"/>
        <w:rPr>
          <w:rFonts w:ascii="Arial" w:hAnsi="Arial" w:cs="Arial"/>
        </w:rPr>
      </w:pPr>
    </w:p>
    <w:p w:rsidRPr="00286D94" w:rsidR="00286D94" w:rsidP="00286D94" w:rsidRDefault="00286D94" w14:paraId="0399EFBB" w14:textId="77777777">
      <w:pPr>
        <w:ind w:left="720"/>
        <w:rPr>
          <w:rFonts w:ascii="Arial" w:hAnsi="Arial" w:cs="Arial"/>
        </w:rPr>
      </w:pPr>
      <w:r w:rsidRPr="00286D94">
        <w:rPr>
          <w:rFonts w:ascii="Arial" w:hAnsi="Arial" w:cs="Arial"/>
        </w:rPr>
        <w:t xml:space="preserve">Moreover, the IRS assumed that that each election would require one hour to complete the election statement, as each election statement is no more than one page long and requires less than a half dozen unique data points.  </w:t>
      </w:r>
    </w:p>
    <w:p w:rsidR="00286D94" w:rsidP="00614262" w:rsidRDefault="00286D94" w14:paraId="438E99D2" w14:textId="77777777">
      <w:pPr>
        <w:ind w:firstLine="720"/>
        <w:rPr>
          <w:rFonts w:ascii="Arial" w:hAnsi="Arial" w:cs="Arial"/>
        </w:rPr>
      </w:pPr>
    </w:p>
    <w:p w:rsidR="00286D94" w:rsidP="00614262" w:rsidRDefault="00286D94" w14:paraId="50AFF2AB" w14:textId="77777777">
      <w:pPr>
        <w:ind w:firstLine="720"/>
        <w:rPr>
          <w:rFonts w:ascii="Arial" w:hAnsi="Arial" w:cs="Arial"/>
        </w:rPr>
      </w:pPr>
    </w:p>
    <w:p w:rsidR="0071093B" w:rsidP="00614262" w:rsidRDefault="0071093B" w14:paraId="08FD5ABF" w14:textId="77777777">
      <w:pPr>
        <w:ind w:firstLine="720"/>
        <w:rPr>
          <w:rFonts w:ascii="Arial" w:hAnsi="Arial" w:cs="Arial"/>
        </w:rPr>
      </w:pPr>
    </w:p>
    <w:p w:rsidR="00614262" w:rsidP="00AF707F" w:rsidRDefault="00AF707F" w14:paraId="7A8F15F1" w14:textId="77777777">
      <w:pPr>
        <w:ind w:left="720"/>
        <w:rPr>
          <w:rFonts w:ascii="Arial" w:hAnsi="Arial" w:cs="Arial"/>
        </w:rPr>
      </w:pPr>
      <w:r w:rsidRPr="00AF707F">
        <w:rPr>
          <w:rFonts w:ascii="Arial" w:hAnsi="Arial" w:cs="Arial"/>
        </w:rPr>
        <w:lastRenderedPageBreak/>
        <w:t>The collection of information</w:t>
      </w:r>
      <w:r>
        <w:rPr>
          <w:rFonts w:ascii="Arial" w:hAnsi="Arial" w:cs="Arial"/>
        </w:rPr>
        <w:t xml:space="preserve"> </w:t>
      </w:r>
      <w:r w:rsidRPr="00AF707F">
        <w:rPr>
          <w:rFonts w:ascii="Arial" w:hAnsi="Arial" w:cs="Arial"/>
        </w:rPr>
        <w:t>imposed directly by these regulations is</w:t>
      </w:r>
      <w:r>
        <w:rPr>
          <w:rFonts w:ascii="Arial" w:hAnsi="Arial" w:cs="Arial"/>
        </w:rPr>
        <w:t xml:space="preserve"> </w:t>
      </w:r>
      <w:r w:rsidRPr="00AF707F">
        <w:rPr>
          <w:rFonts w:ascii="Arial" w:hAnsi="Arial" w:cs="Arial"/>
        </w:rPr>
        <w:t xml:space="preserve">contained in </w:t>
      </w:r>
      <w:r>
        <w:rPr>
          <w:rFonts w:ascii="Arial" w:hAnsi="Arial" w:cs="Arial"/>
        </w:rPr>
        <w:t>sections</w:t>
      </w:r>
      <w:r w:rsidRPr="00AF707F">
        <w:rPr>
          <w:rFonts w:ascii="Arial" w:hAnsi="Arial" w:cs="Arial"/>
        </w:rPr>
        <w:t xml:space="preserve"> 1.965–2(d)(2)(ii)(B),</w:t>
      </w:r>
      <w:r>
        <w:rPr>
          <w:rFonts w:ascii="Arial" w:hAnsi="Arial" w:cs="Arial"/>
        </w:rPr>
        <w:t xml:space="preserve"> </w:t>
      </w:r>
      <w:r w:rsidRPr="00AF707F">
        <w:rPr>
          <w:rFonts w:ascii="Arial" w:hAnsi="Arial" w:cs="Arial"/>
        </w:rPr>
        <w:t>1.965–2(f)(2)(iii)(B), 1.965–3(b)(2),</w:t>
      </w:r>
      <w:r>
        <w:rPr>
          <w:rFonts w:ascii="Arial" w:hAnsi="Arial" w:cs="Arial"/>
        </w:rPr>
        <w:t xml:space="preserve"> </w:t>
      </w:r>
      <w:r w:rsidRPr="00AF707F">
        <w:rPr>
          <w:rFonts w:ascii="Arial" w:hAnsi="Arial" w:cs="Arial"/>
        </w:rPr>
        <w:t>1.965–3(c)(3), 1.965–4(b)(2)(i), 1.965–4(b)(2)(iii)(B), 1.965–7(b)(2), 1.965–7(b)(3)(iii)(B), 1.965–7(c)(2), 1.965–7(c)(3)(iv)(B), 1.965–7(c)(3)(v)(D), 1.965–7(c)(6)(i), 1.965–7(d)(3), 1.965–7(e)(2),</w:t>
      </w:r>
      <w:r>
        <w:rPr>
          <w:rFonts w:ascii="Arial" w:hAnsi="Arial" w:cs="Arial"/>
        </w:rPr>
        <w:t xml:space="preserve"> </w:t>
      </w:r>
      <w:r w:rsidRPr="00AF707F">
        <w:rPr>
          <w:rFonts w:ascii="Arial" w:hAnsi="Arial" w:cs="Arial"/>
        </w:rPr>
        <w:t>1.965–7(f)(5), and 1.965–8(c).</w:t>
      </w:r>
      <w:r>
        <w:rPr>
          <w:rFonts w:ascii="Arial" w:hAnsi="Arial" w:cs="Arial"/>
        </w:rPr>
        <w:t xml:space="preserve">  </w:t>
      </w:r>
      <w:r w:rsidRPr="00286D94" w:rsidR="00614262">
        <w:rPr>
          <w:rFonts w:ascii="Arial" w:hAnsi="Arial" w:cs="Arial"/>
        </w:rPr>
        <w:t>The burden estimate is as follows:</w:t>
      </w:r>
    </w:p>
    <w:p w:rsidRPr="00286D94" w:rsidR="00286D94" w:rsidP="00614262" w:rsidRDefault="00286D94" w14:paraId="5E49C678" w14:textId="77777777">
      <w:pPr>
        <w:ind w:firstLine="720"/>
        <w:rPr>
          <w:rFonts w:ascii="Arial" w:hAnsi="Arial"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3"/>
        <w:gridCol w:w="1537"/>
        <w:gridCol w:w="1737"/>
        <w:gridCol w:w="1603"/>
        <w:gridCol w:w="1497"/>
        <w:gridCol w:w="1364"/>
        <w:gridCol w:w="1084"/>
      </w:tblGrid>
      <w:tr w:rsidRPr="00286D94" w:rsidR="00614262" w:rsidTr="00EC3DCB" w14:paraId="06F762D4" w14:textId="77777777">
        <w:tc>
          <w:tcPr>
            <w:tcW w:w="1258" w:type="dxa"/>
            <w:shd w:val="clear" w:color="auto" w:fill="auto"/>
            <w:vAlign w:val="bottom"/>
          </w:tcPr>
          <w:p w:rsidRPr="00286D94" w:rsidR="00614262" w:rsidP="00EC3DCB" w:rsidRDefault="00614262" w14:paraId="4F4FD69D" w14:textId="77777777">
            <w:pPr>
              <w:keepNext/>
              <w:keepLines/>
              <w:numPr>
                <w:ilvl w:val="12"/>
                <w:numId w:val="0"/>
              </w:numPr>
              <w:jc w:val="center"/>
              <w:rPr>
                <w:rFonts w:ascii="Arial" w:hAnsi="Arial" w:cs="Arial"/>
                <w:b/>
              </w:rPr>
            </w:pPr>
            <w:bookmarkStart w:name="_Hlk495931810" w:id="1"/>
            <w:r w:rsidRPr="00286D94">
              <w:rPr>
                <w:rFonts w:ascii="Arial" w:hAnsi="Arial" w:cs="Arial"/>
                <w:b/>
              </w:rPr>
              <w:t>Authority</w:t>
            </w:r>
          </w:p>
        </w:tc>
        <w:tc>
          <w:tcPr>
            <w:tcW w:w="1916" w:type="dxa"/>
            <w:vAlign w:val="bottom"/>
          </w:tcPr>
          <w:p w:rsidRPr="00286D94" w:rsidR="00614262" w:rsidP="00EC3DCB" w:rsidRDefault="00614262" w14:paraId="44E929E3" w14:textId="77777777">
            <w:pPr>
              <w:keepNext/>
              <w:keepLines/>
              <w:numPr>
                <w:ilvl w:val="12"/>
                <w:numId w:val="0"/>
              </w:numPr>
              <w:jc w:val="center"/>
              <w:rPr>
                <w:rFonts w:ascii="Arial" w:hAnsi="Arial" w:cs="Arial"/>
                <w:b/>
              </w:rPr>
            </w:pPr>
            <w:r w:rsidRPr="00286D94">
              <w:rPr>
                <w:rFonts w:ascii="Arial" w:hAnsi="Arial" w:cs="Arial"/>
                <w:b/>
              </w:rPr>
              <w:t>Description</w:t>
            </w:r>
          </w:p>
        </w:tc>
        <w:tc>
          <w:tcPr>
            <w:tcW w:w="1170" w:type="dxa"/>
            <w:vAlign w:val="bottom"/>
          </w:tcPr>
          <w:p w:rsidRPr="00286D94" w:rsidR="00614262" w:rsidP="00EC3DCB" w:rsidRDefault="00614262" w14:paraId="3FF8D609" w14:textId="77777777">
            <w:pPr>
              <w:keepNext/>
              <w:keepLines/>
              <w:numPr>
                <w:ilvl w:val="12"/>
                <w:numId w:val="0"/>
              </w:numPr>
              <w:jc w:val="center"/>
              <w:rPr>
                <w:rFonts w:ascii="Arial" w:hAnsi="Arial" w:cs="Arial"/>
                <w:b/>
              </w:rPr>
            </w:pPr>
            <w:r w:rsidRPr="00286D94">
              <w:rPr>
                <w:rFonts w:ascii="Arial" w:hAnsi="Arial" w:cs="Arial"/>
                <w:b/>
              </w:rPr>
              <w:t># of Respondents</w:t>
            </w:r>
          </w:p>
        </w:tc>
        <w:tc>
          <w:tcPr>
            <w:tcW w:w="1170" w:type="dxa"/>
            <w:vAlign w:val="bottom"/>
          </w:tcPr>
          <w:p w:rsidRPr="00286D94" w:rsidR="00614262" w:rsidP="00EC3DCB" w:rsidRDefault="00614262" w14:paraId="4837F8AD" w14:textId="77777777">
            <w:pPr>
              <w:keepNext/>
              <w:keepLines/>
              <w:numPr>
                <w:ilvl w:val="12"/>
                <w:numId w:val="0"/>
              </w:numPr>
              <w:jc w:val="center"/>
              <w:rPr>
                <w:rFonts w:ascii="Arial" w:hAnsi="Arial" w:cs="Arial"/>
                <w:b/>
              </w:rPr>
            </w:pPr>
            <w:r w:rsidRPr="00286D94">
              <w:rPr>
                <w:rFonts w:ascii="Arial" w:hAnsi="Arial" w:cs="Arial"/>
                <w:b/>
              </w:rPr>
              <w:t># Responses per Respondent</w:t>
            </w:r>
          </w:p>
        </w:tc>
        <w:tc>
          <w:tcPr>
            <w:tcW w:w="1080" w:type="dxa"/>
            <w:shd w:val="clear" w:color="auto" w:fill="auto"/>
            <w:vAlign w:val="bottom"/>
          </w:tcPr>
          <w:p w:rsidRPr="00286D94" w:rsidR="00614262" w:rsidP="00EC3DCB" w:rsidRDefault="00614262" w14:paraId="264BE3C9" w14:textId="77777777">
            <w:pPr>
              <w:keepNext/>
              <w:keepLines/>
              <w:numPr>
                <w:ilvl w:val="12"/>
                <w:numId w:val="0"/>
              </w:numPr>
              <w:jc w:val="center"/>
              <w:rPr>
                <w:rFonts w:ascii="Arial" w:hAnsi="Arial" w:cs="Arial"/>
                <w:b/>
              </w:rPr>
            </w:pPr>
            <w:r w:rsidRPr="00286D94">
              <w:rPr>
                <w:rFonts w:ascii="Arial" w:hAnsi="Arial" w:cs="Arial"/>
                <w:b/>
              </w:rPr>
              <w:t>Annual Responses</w:t>
            </w:r>
          </w:p>
        </w:tc>
        <w:tc>
          <w:tcPr>
            <w:tcW w:w="1170" w:type="dxa"/>
            <w:vAlign w:val="bottom"/>
          </w:tcPr>
          <w:p w:rsidRPr="00286D94" w:rsidR="00614262" w:rsidP="00EC3DCB" w:rsidRDefault="00614262" w14:paraId="486E4ED1" w14:textId="77777777">
            <w:pPr>
              <w:keepNext/>
              <w:keepLines/>
              <w:numPr>
                <w:ilvl w:val="12"/>
                <w:numId w:val="0"/>
              </w:numPr>
              <w:jc w:val="center"/>
              <w:rPr>
                <w:rFonts w:ascii="Arial" w:hAnsi="Arial" w:cs="Arial"/>
                <w:b/>
              </w:rPr>
            </w:pPr>
            <w:r w:rsidRPr="00286D94">
              <w:rPr>
                <w:rFonts w:ascii="Arial" w:hAnsi="Arial" w:cs="Arial"/>
                <w:b/>
              </w:rPr>
              <w:t>Hours per Response</w:t>
            </w:r>
          </w:p>
        </w:tc>
        <w:tc>
          <w:tcPr>
            <w:tcW w:w="1170" w:type="dxa"/>
            <w:shd w:val="clear" w:color="auto" w:fill="auto"/>
            <w:vAlign w:val="bottom"/>
          </w:tcPr>
          <w:p w:rsidRPr="00286D94" w:rsidR="00614262" w:rsidP="00EC3DCB" w:rsidRDefault="00614262" w14:paraId="4AD275A0" w14:textId="77777777">
            <w:pPr>
              <w:keepNext/>
              <w:keepLines/>
              <w:numPr>
                <w:ilvl w:val="12"/>
                <w:numId w:val="0"/>
              </w:numPr>
              <w:jc w:val="center"/>
              <w:rPr>
                <w:rFonts w:ascii="Arial" w:hAnsi="Arial" w:cs="Arial"/>
                <w:b/>
              </w:rPr>
            </w:pPr>
            <w:r w:rsidRPr="00286D94">
              <w:rPr>
                <w:rFonts w:ascii="Arial" w:hAnsi="Arial" w:cs="Arial"/>
                <w:b/>
              </w:rPr>
              <w:t>Total Burden</w:t>
            </w:r>
          </w:p>
        </w:tc>
      </w:tr>
      <w:tr w:rsidRPr="00286D94" w:rsidR="00614262" w:rsidTr="00EC3DCB" w14:paraId="0D48AC5E" w14:textId="77777777">
        <w:tc>
          <w:tcPr>
            <w:tcW w:w="1258" w:type="dxa"/>
            <w:shd w:val="clear" w:color="auto" w:fill="auto"/>
            <w:vAlign w:val="bottom"/>
          </w:tcPr>
          <w:p w:rsidRPr="00286D94" w:rsidR="00614262" w:rsidP="00EC3DCB" w:rsidRDefault="00614262" w14:paraId="5B97217A" w14:textId="77777777">
            <w:pPr>
              <w:keepNext/>
              <w:keepLines/>
              <w:numPr>
                <w:ilvl w:val="12"/>
                <w:numId w:val="0"/>
              </w:numPr>
              <w:jc w:val="center"/>
              <w:rPr>
                <w:rFonts w:ascii="Arial" w:hAnsi="Arial" w:cs="Arial"/>
              </w:rPr>
            </w:pPr>
            <w:r w:rsidRPr="00286D94">
              <w:rPr>
                <w:rFonts w:ascii="Arial" w:hAnsi="Arial" w:cs="Arial"/>
              </w:rPr>
              <w:t>1.965-2, 1.965-3, 1.965-4, 1.965-7, 1.965-8</w:t>
            </w:r>
          </w:p>
        </w:tc>
        <w:tc>
          <w:tcPr>
            <w:tcW w:w="1916" w:type="dxa"/>
            <w:vAlign w:val="bottom"/>
          </w:tcPr>
          <w:p w:rsidRPr="00EB3836" w:rsidR="00614262" w:rsidP="00EC3DCB" w:rsidRDefault="00614262" w14:paraId="4FEC2394" w14:textId="77777777">
            <w:pPr>
              <w:keepNext/>
              <w:keepLines/>
              <w:numPr>
                <w:ilvl w:val="12"/>
                <w:numId w:val="0"/>
              </w:numPr>
              <w:jc w:val="center"/>
              <w:rPr>
                <w:rFonts w:ascii="Arial" w:hAnsi="Arial" w:cs="Arial"/>
                <w:sz w:val="18"/>
                <w:szCs w:val="18"/>
              </w:rPr>
            </w:pPr>
            <w:r w:rsidRPr="00EB3836">
              <w:rPr>
                <w:rFonts w:ascii="Arial" w:hAnsi="Arial" w:cs="Arial"/>
                <w:bCs/>
                <w:sz w:val="18"/>
                <w:szCs w:val="18"/>
              </w:rPr>
              <w:t>transition tax on untaxed foreign earnings of foreign subsidiaries of U.S. companies by deeming those earnings to be repatriated</w:t>
            </w:r>
          </w:p>
        </w:tc>
        <w:tc>
          <w:tcPr>
            <w:tcW w:w="1170" w:type="dxa"/>
            <w:vAlign w:val="bottom"/>
          </w:tcPr>
          <w:p w:rsidRPr="00286D94" w:rsidR="00614262" w:rsidP="00EC3DCB" w:rsidRDefault="00614262" w14:paraId="311DD1F0" w14:textId="77777777">
            <w:pPr>
              <w:keepNext/>
              <w:keepLines/>
              <w:numPr>
                <w:ilvl w:val="12"/>
                <w:numId w:val="0"/>
              </w:numPr>
              <w:jc w:val="center"/>
              <w:rPr>
                <w:rFonts w:ascii="Arial" w:hAnsi="Arial" w:cs="Arial"/>
              </w:rPr>
            </w:pPr>
            <w:r w:rsidRPr="00286D94">
              <w:rPr>
                <w:rFonts w:ascii="Arial" w:hAnsi="Arial" w:cs="Arial"/>
              </w:rPr>
              <w:t>100,000</w:t>
            </w:r>
          </w:p>
        </w:tc>
        <w:tc>
          <w:tcPr>
            <w:tcW w:w="1170" w:type="dxa"/>
            <w:vAlign w:val="bottom"/>
          </w:tcPr>
          <w:p w:rsidRPr="00286D94" w:rsidR="00614262" w:rsidP="00EC3DCB" w:rsidRDefault="00614262" w14:paraId="600BB09D" w14:textId="77777777">
            <w:pPr>
              <w:keepNext/>
              <w:keepLines/>
              <w:numPr>
                <w:ilvl w:val="12"/>
                <w:numId w:val="0"/>
              </w:numPr>
              <w:jc w:val="center"/>
              <w:rPr>
                <w:rFonts w:ascii="Arial" w:hAnsi="Arial" w:cs="Arial"/>
              </w:rPr>
            </w:pPr>
            <w:r w:rsidRPr="00286D94">
              <w:rPr>
                <w:rFonts w:ascii="Arial" w:hAnsi="Arial" w:cs="Arial"/>
              </w:rPr>
              <w:t>1</w:t>
            </w:r>
          </w:p>
        </w:tc>
        <w:tc>
          <w:tcPr>
            <w:tcW w:w="1080" w:type="dxa"/>
            <w:shd w:val="clear" w:color="auto" w:fill="auto"/>
            <w:vAlign w:val="bottom"/>
          </w:tcPr>
          <w:p w:rsidRPr="00286D94" w:rsidR="00614262" w:rsidP="00EC3DCB" w:rsidRDefault="00614262" w14:paraId="3B835B5D" w14:textId="77777777">
            <w:pPr>
              <w:keepNext/>
              <w:keepLines/>
              <w:numPr>
                <w:ilvl w:val="12"/>
                <w:numId w:val="0"/>
              </w:numPr>
              <w:jc w:val="center"/>
              <w:rPr>
                <w:rFonts w:ascii="Arial" w:hAnsi="Arial" w:cs="Arial"/>
              </w:rPr>
            </w:pPr>
            <w:r w:rsidRPr="00286D94">
              <w:rPr>
                <w:rFonts w:ascii="Arial" w:hAnsi="Arial" w:cs="Arial"/>
              </w:rPr>
              <w:t>100,000</w:t>
            </w:r>
          </w:p>
        </w:tc>
        <w:tc>
          <w:tcPr>
            <w:tcW w:w="1170" w:type="dxa"/>
            <w:vAlign w:val="bottom"/>
          </w:tcPr>
          <w:p w:rsidRPr="00286D94" w:rsidR="00614262" w:rsidP="00EC3DCB" w:rsidRDefault="00614262" w14:paraId="3954E0F1" w14:textId="77777777">
            <w:pPr>
              <w:keepNext/>
              <w:keepLines/>
              <w:numPr>
                <w:ilvl w:val="12"/>
                <w:numId w:val="0"/>
              </w:numPr>
              <w:jc w:val="center"/>
              <w:rPr>
                <w:rFonts w:ascii="Arial" w:hAnsi="Arial" w:cs="Arial"/>
              </w:rPr>
            </w:pPr>
            <w:r w:rsidRPr="00286D94">
              <w:rPr>
                <w:rFonts w:ascii="Arial" w:hAnsi="Arial" w:cs="Arial"/>
              </w:rPr>
              <w:t>5</w:t>
            </w:r>
          </w:p>
        </w:tc>
        <w:tc>
          <w:tcPr>
            <w:tcW w:w="1170" w:type="dxa"/>
            <w:shd w:val="clear" w:color="auto" w:fill="auto"/>
            <w:vAlign w:val="bottom"/>
          </w:tcPr>
          <w:p w:rsidRPr="00286D94" w:rsidR="00614262" w:rsidP="00EC3DCB" w:rsidRDefault="00614262" w14:paraId="08465572" w14:textId="77777777">
            <w:pPr>
              <w:keepNext/>
              <w:keepLines/>
              <w:numPr>
                <w:ilvl w:val="12"/>
                <w:numId w:val="0"/>
              </w:numPr>
              <w:jc w:val="center"/>
              <w:rPr>
                <w:rFonts w:ascii="Arial" w:hAnsi="Arial" w:cs="Arial"/>
              </w:rPr>
            </w:pPr>
            <w:r w:rsidRPr="00286D94">
              <w:rPr>
                <w:rFonts w:ascii="Arial" w:hAnsi="Arial" w:cs="Arial"/>
              </w:rPr>
              <w:t>500</w:t>
            </w:r>
            <w:r w:rsidR="0071093B">
              <w:rPr>
                <w:rFonts w:ascii="Arial" w:hAnsi="Arial" w:cs="Arial"/>
              </w:rPr>
              <w:t>,</w:t>
            </w:r>
            <w:r w:rsidRPr="00286D94">
              <w:rPr>
                <w:rFonts w:ascii="Arial" w:hAnsi="Arial" w:cs="Arial"/>
              </w:rPr>
              <w:t>000</w:t>
            </w:r>
          </w:p>
        </w:tc>
      </w:tr>
      <w:tr w:rsidRPr="00286D94" w:rsidR="00614262" w:rsidTr="00EC3DCB" w14:paraId="078AAA6E" w14:textId="77777777">
        <w:tc>
          <w:tcPr>
            <w:tcW w:w="1258" w:type="dxa"/>
            <w:shd w:val="clear" w:color="auto" w:fill="auto"/>
            <w:vAlign w:val="bottom"/>
          </w:tcPr>
          <w:p w:rsidRPr="0071093B" w:rsidR="00614262" w:rsidP="00EC3DCB" w:rsidRDefault="00614262" w14:paraId="38093D3C" w14:textId="77777777">
            <w:pPr>
              <w:keepNext/>
              <w:keepLines/>
              <w:numPr>
                <w:ilvl w:val="12"/>
                <w:numId w:val="0"/>
              </w:numPr>
              <w:jc w:val="center"/>
              <w:rPr>
                <w:rFonts w:ascii="Arial" w:hAnsi="Arial" w:cs="Arial"/>
                <w:b/>
                <w:bCs/>
              </w:rPr>
            </w:pPr>
            <w:r w:rsidRPr="0071093B">
              <w:rPr>
                <w:rFonts w:ascii="Arial" w:hAnsi="Arial" w:cs="Arial"/>
                <w:b/>
                <w:bCs/>
              </w:rPr>
              <w:t>Totals</w:t>
            </w:r>
          </w:p>
        </w:tc>
        <w:tc>
          <w:tcPr>
            <w:tcW w:w="1916" w:type="dxa"/>
            <w:vAlign w:val="bottom"/>
          </w:tcPr>
          <w:p w:rsidRPr="0071093B" w:rsidR="00614262" w:rsidP="00EC3DCB" w:rsidRDefault="00614262" w14:paraId="557EEB48" w14:textId="77777777">
            <w:pPr>
              <w:keepNext/>
              <w:keepLines/>
              <w:numPr>
                <w:ilvl w:val="12"/>
                <w:numId w:val="0"/>
              </w:numPr>
              <w:jc w:val="center"/>
              <w:rPr>
                <w:rFonts w:ascii="Arial" w:hAnsi="Arial" w:cs="Arial"/>
                <w:b/>
                <w:bCs/>
              </w:rPr>
            </w:pPr>
          </w:p>
        </w:tc>
        <w:tc>
          <w:tcPr>
            <w:tcW w:w="1170" w:type="dxa"/>
            <w:vAlign w:val="bottom"/>
          </w:tcPr>
          <w:p w:rsidRPr="0071093B" w:rsidR="00614262" w:rsidP="00EC3DCB" w:rsidRDefault="00614262" w14:paraId="011503C0" w14:textId="77777777">
            <w:pPr>
              <w:keepNext/>
              <w:keepLines/>
              <w:numPr>
                <w:ilvl w:val="12"/>
                <w:numId w:val="0"/>
              </w:numPr>
              <w:jc w:val="center"/>
              <w:rPr>
                <w:rFonts w:ascii="Arial" w:hAnsi="Arial" w:cs="Arial"/>
                <w:b/>
                <w:bCs/>
              </w:rPr>
            </w:pPr>
          </w:p>
        </w:tc>
        <w:tc>
          <w:tcPr>
            <w:tcW w:w="1170" w:type="dxa"/>
            <w:vAlign w:val="bottom"/>
          </w:tcPr>
          <w:p w:rsidRPr="0071093B" w:rsidR="00614262" w:rsidP="00EC3DCB" w:rsidRDefault="00614262" w14:paraId="1E3D8105" w14:textId="77777777">
            <w:pPr>
              <w:keepNext/>
              <w:keepLines/>
              <w:numPr>
                <w:ilvl w:val="12"/>
                <w:numId w:val="0"/>
              </w:numPr>
              <w:jc w:val="center"/>
              <w:rPr>
                <w:rFonts w:ascii="Arial" w:hAnsi="Arial" w:cs="Arial"/>
                <w:b/>
                <w:bCs/>
              </w:rPr>
            </w:pPr>
          </w:p>
        </w:tc>
        <w:tc>
          <w:tcPr>
            <w:tcW w:w="1080" w:type="dxa"/>
            <w:shd w:val="clear" w:color="auto" w:fill="auto"/>
            <w:vAlign w:val="bottom"/>
          </w:tcPr>
          <w:p w:rsidRPr="0071093B" w:rsidR="00614262" w:rsidP="00EC3DCB" w:rsidRDefault="00614262" w14:paraId="388B4CFF" w14:textId="77777777">
            <w:pPr>
              <w:keepNext/>
              <w:keepLines/>
              <w:numPr>
                <w:ilvl w:val="12"/>
                <w:numId w:val="0"/>
              </w:numPr>
              <w:jc w:val="center"/>
              <w:rPr>
                <w:rFonts w:ascii="Arial" w:hAnsi="Arial" w:cs="Arial"/>
                <w:b/>
                <w:bCs/>
              </w:rPr>
            </w:pPr>
            <w:r w:rsidRPr="0071093B">
              <w:rPr>
                <w:rFonts w:ascii="Arial" w:hAnsi="Arial" w:cs="Arial"/>
                <w:b/>
                <w:bCs/>
              </w:rPr>
              <w:t>100,000</w:t>
            </w:r>
          </w:p>
        </w:tc>
        <w:tc>
          <w:tcPr>
            <w:tcW w:w="1170" w:type="dxa"/>
            <w:vAlign w:val="bottom"/>
          </w:tcPr>
          <w:p w:rsidRPr="0071093B" w:rsidR="00614262" w:rsidP="00EC3DCB" w:rsidRDefault="00614262" w14:paraId="5315B01C" w14:textId="77777777">
            <w:pPr>
              <w:keepNext/>
              <w:keepLines/>
              <w:numPr>
                <w:ilvl w:val="12"/>
                <w:numId w:val="0"/>
              </w:numPr>
              <w:jc w:val="center"/>
              <w:rPr>
                <w:rFonts w:ascii="Arial" w:hAnsi="Arial" w:cs="Arial"/>
                <w:b/>
                <w:bCs/>
              </w:rPr>
            </w:pPr>
          </w:p>
        </w:tc>
        <w:tc>
          <w:tcPr>
            <w:tcW w:w="1170" w:type="dxa"/>
            <w:shd w:val="clear" w:color="auto" w:fill="auto"/>
            <w:vAlign w:val="bottom"/>
          </w:tcPr>
          <w:p w:rsidRPr="0071093B" w:rsidR="00614262" w:rsidP="00EC3DCB" w:rsidRDefault="00614262" w14:paraId="0211FFB0" w14:textId="77777777">
            <w:pPr>
              <w:keepNext/>
              <w:keepLines/>
              <w:numPr>
                <w:ilvl w:val="12"/>
                <w:numId w:val="0"/>
              </w:numPr>
              <w:jc w:val="center"/>
              <w:rPr>
                <w:rFonts w:ascii="Arial" w:hAnsi="Arial" w:cs="Arial"/>
                <w:b/>
                <w:bCs/>
              </w:rPr>
            </w:pPr>
            <w:r w:rsidRPr="0071093B">
              <w:rPr>
                <w:rFonts w:ascii="Arial" w:hAnsi="Arial" w:cs="Arial"/>
                <w:b/>
                <w:bCs/>
              </w:rPr>
              <w:t>5</w:t>
            </w:r>
            <w:r w:rsidRPr="0071093B" w:rsidR="0071093B">
              <w:rPr>
                <w:rFonts w:ascii="Arial" w:hAnsi="Arial" w:cs="Arial"/>
                <w:b/>
                <w:bCs/>
              </w:rPr>
              <w:t>00,</w:t>
            </w:r>
            <w:r w:rsidRPr="0071093B">
              <w:rPr>
                <w:rFonts w:ascii="Arial" w:hAnsi="Arial" w:cs="Arial"/>
                <w:b/>
                <w:bCs/>
              </w:rPr>
              <w:t>000</w:t>
            </w:r>
          </w:p>
        </w:tc>
      </w:tr>
      <w:bookmarkEnd w:id="1"/>
    </w:tbl>
    <w:p w:rsidRPr="00286D94" w:rsidR="00614262" w:rsidP="00614262" w:rsidRDefault="00614262" w14:paraId="6DB8E6DF" w14:textId="77777777">
      <w:pPr>
        <w:rPr>
          <w:rFonts w:ascii="Arial" w:hAnsi="Arial" w:cs="Arial"/>
        </w:rPr>
      </w:pPr>
    </w:p>
    <w:p w:rsidRPr="00286D94" w:rsidR="00F37B9C" w:rsidP="00F37B9C" w:rsidRDefault="00F37B9C" w14:paraId="697DF096" w14:textId="77777777">
      <w:pPr>
        <w:tabs>
          <w:tab w:val="left" w:pos="-1440"/>
        </w:tabs>
        <w:ind w:left="720"/>
        <w:rPr>
          <w:rFonts w:ascii="Arial" w:hAnsi="Arial" w:cs="Arial"/>
        </w:rPr>
      </w:pPr>
      <w:r w:rsidRPr="00286D94">
        <w:rPr>
          <w:rFonts w:ascii="Arial" w:hAnsi="Arial" w:cs="Arial"/>
        </w:rPr>
        <w:t xml:space="preserve">The Treasury Department and the IRS anticipate substantially all paperwork burdens related to the final regulations to be incurred only with respect to the inclusion year.  Any subsequent reporting (such as in connection with a transfer of a section 965(h) net tax liability or section 965(i) net tax liability) would be negligible burdens that implement elections made and payments calculated in the inclusion year.  These burden estimates capture only those burdens imposed by the final regulations and do not include burden estimates for forms associated with the statute.  </w:t>
      </w:r>
    </w:p>
    <w:p w:rsidR="00F37B9C" w:rsidP="00286D94" w:rsidRDefault="00F37B9C" w14:paraId="1F8397AA" w14:textId="77777777">
      <w:pPr>
        <w:ind w:left="720"/>
        <w:rPr>
          <w:rFonts w:ascii="Arial" w:hAnsi="Arial" w:cs="Arial"/>
        </w:rPr>
      </w:pPr>
    </w:p>
    <w:p w:rsidRPr="00286D94" w:rsidR="00894418" w:rsidP="00286D94" w:rsidRDefault="00894418" w14:paraId="165E2130" w14:textId="77777777">
      <w:pPr>
        <w:ind w:left="720"/>
        <w:rPr>
          <w:rFonts w:ascii="Arial" w:hAnsi="Arial" w:cs="Arial"/>
        </w:rPr>
      </w:pPr>
      <w:r w:rsidRPr="00286D94">
        <w:rPr>
          <w:rFonts w:ascii="Arial" w:hAnsi="Arial" w:cs="Arial"/>
        </w:rPr>
        <w:t>The following regulations impose no additional burden.  Please continue to assign OMB number 1545-</w:t>
      </w:r>
      <w:r w:rsidRPr="00286D94" w:rsidR="00D661B1">
        <w:rPr>
          <w:rFonts w:ascii="Arial" w:hAnsi="Arial" w:cs="Arial"/>
        </w:rPr>
        <w:t>2280</w:t>
      </w:r>
      <w:r w:rsidRPr="00286D94" w:rsidR="0017165A">
        <w:rPr>
          <w:rFonts w:ascii="Arial" w:hAnsi="Arial" w:cs="Arial"/>
        </w:rPr>
        <w:t xml:space="preserve"> </w:t>
      </w:r>
      <w:r w:rsidRPr="00286D94">
        <w:rPr>
          <w:rFonts w:ascii="Arial" w:hAnsi="Arial" w:cs="Arial"/>
        </w:rPr>
        <w:t>to these regulations.</w:t>
      </w:r>
    </w:p>
    <w:p w:rsidRPr="00286D94" w:rsidR="00894418" w:rsidRDefault="00894418" w14:paraId="342BEC67" w14:textId="77777777">
      <w:pPr>
        <w:rPr>
          <w:rFonts w:ascii="Arial" w:hAnsi="Arial" w:cs="Arial"/>
        </w:rPr>
      </w:pPr>
    </w:p>
    <w:p w:rsidRPr="00286D94" w:rsidR="00961100" w:rsidP="0017165A" w:rsidRDefault="00961100" w14:paraId="14190D94" w14:textId="77777777">
      <w:pPr>
        <w:ind w:left="720"/>
        <w:rPr>
          <w:rFonts w:ascii="Arial" w:hAnsi="Arial" w:cs="Arial"/>
        </w:rPr>
      </w:pPr>
      <w:r w:rsidRPr="00286D94">
        <w:rPr>
          <w:rFonts w:ascii="Arial" w:hAnsi="Arial" w:cs="Arial"/>
        </w:rPr>
        <w:t>1.965–2</w:t>
      </w:r>
      <w:r w:rsidRPr="00286D94">
        <w:rPr>
          <w:rFonts w:ascii="Arial" w:hAnsi="Arial" w:cs="Arial"/>
        </w:rPr>
        <w:tab/>
        <w:t xml:space="preserve"> </w:t>
      </w:r>
      <w:r w:rsidRPr="00286D94">
        <w:rPr>
          <w:rFonts w:ascii="Arial" w:hAnsi="Arial" w:cs="Arial"/>
        </w:rPr>
        <w:tab/>
      </w:r>
      <w:r w:rsidRPr="00286D94">
        <w:rPr>
          <w:rFonts w:ascii="Arial" w:hAnsi="Arial" w:cs="Arial"/>
        </w:rPr>
        <w:tab/>
        <w:t>1.965–3</w:t>
      </w:r>
      <w:r w:rsidRPr="00286D94">
        <w:rPr>
          <w:rFonts w:ascii="Arial" w:hAnsi="Arial" w:cs="Arial"/>
        </w:rPr>
        <w:tab/>
      </w:r>
      <w:r w:rsidRPr="00286D94">
        <w:rPr>
          <w:rFonts w:ascii="Arial" w:hAnsi="Arial" w:cs="Arial"/>
        </w:rPr>
        <w:tab/>
      </w:r>
      <w:r w:rsidRPr="00286D94">
        <w:rPr>
          <w:rFonts w:ascii="Arial" w:hAnsi="Arial" w:cs="Arial"/>
        </w:rPr>
        <w:tab/>
        <w:t>1.965–4</w:t>
      </w:r>
    </w:p>
    <w:p w:rsidR="00AF707F" w:rsidRDefault="00961100" w14:paraId="202A984C" w14:textId="77777777">
      <w:pPr>
        <w:ind w:left="720"/>
        <w:rPr>
          <w:rFonts w:ascii="Arial" w:hAnsi="Arial" w:cs="Arial"/>
        </w:rPr>
      </w:pPr>
      <w:r w:rsidRPr="00286D94">
        <w:rPr>
          <w:rFonts w:ascii="Arial" w:hAnsi="Arial" w:cs="Arial"/>
        </w:rPr>
        <w:t>1.965–7</w:t>
      </w:r>
      <w:r w:rsidRPr="00286D94">
        <w:rPr>
          <w:rFonts w:ascii="Arial" w:hAnsi="Arial" w:cs="Arial"/>
        </w:rPr>
        <w:tab/>
      </w:r>
      <w:r w:rsidRPr="00286D94">
        <w:rPr>
          <w:rFonts w:ascii="Arial" w:hAnsi="Arial" w:cs="Arial"/>
        </w:rPr>
        <w:tab/>
      </w:r>
      <w:r w:rsidRPr="00286D94">
        <w:rPr>
          <w:rFonts w:ascii="Arial" w:hAnsi="Arial" w:cs="Arial"/>
        </w:rPr>
        <w:tab/>
        <w:t>1.965–8</w:t>
      </w:r>
      <w:r w:rsidRPr="00286D94" w:rsidR="00D45A77">
        <w:rPr>
          <w:rFonts w:ascii="Arial" w:hAnsi="Arial" w:cs="Arial"/>
        </w:rPr>
        <w:tab/>
      </w:r>
      <w:r w:rsidRPr="00286D94" w:rsidR="00894418">
        <w:rPr>
          <w:rFonts w:ascii="Arial" w:hAnsi="Arial" w:cs="Arial"/>
        </w:rPr>
        <w:t xml:space="preserve">        </w:t>
      </w:r>
    </w:p>
    <w:p w:rsidRPr="00286D94" w:rsidR="00AF707F" w:rsidRDefault="00AF707F" w14:paraId="1D21518F" w14:textId="77777777">
      <w:pPr>
        <w:ind w:left="720"/>
        <w:rPr>
          <w:rFonts w:ascii="Arial" w:hAnsi="Arial" w:cs="Arial"/>
        </w:rPr>
      </w:pPr>
    </w:p>
    <w:p w:rsidRPr="00286D94" w:rsidR="00894418" w:rsidRDefault="00894418" w14:paraId="2242AC66" w14:textId="77777777">
      <w:pPr>
        <w:pStyle w:val="Level1"/>
        <w:tabs>
          <w:tab w:val="left" w:pos="-1440"/>
          <w:tab w:val="num" w:pos="720"/>
        </w:tabs>
        <w:rPr>
          <w:rFonts w:ascii="Arial" w:hAnsi="Arial" w:cs="Arial"/>
        </w:rPr>
      </w:pPr>
      <w:r w:rsidRPr="00286D94">
        <w:rPr>
          <w:rFonts w:ascii="Arial" w:hAnsi="Arial" w:cs="Arial"/>
          <w:u w:val="single"/>
        </w:rPr>
        <w:t>ESTIMATED TOTAL ANNUAL COST BURDEN TO RESPONDENTS</w:t>
      </w:r>
    </w:p>
    <w:p w:rsidRPr="00286D94" w:rsidR="005668A3" w:rsidP="005668A3" w:rsidRDefault="005668A3" w14:paraId="72DC8989" w14:textId="77777777">
      <w:pPr>
        <w:pStyle w:val="Level1"/>
        <w:numPr>
          <w:ilvl w:val="0"/>
          <w:numId w:val="0"/>
        </w:numPr>
        <w:tabs>
          <w:tab w:val="left" w:pos="-1440"/>
        </w:tabs>
        <w:ind w:left="720" w:hanging="720"/>
        <w:rPr>
          <w:rFonts w:ascii="Arial" w:hAnsi="Arial" w:cs="Arial"/>
          <w:u w:val="single"/>
        </w:rPr>
      </w:pPr>
    </w:p>
    <w:p w:rsidRPr="002F2C47" w:rsidR="0028507E" w:rsidP="00286659" w:rsidRDefault="00BD3236" w14:paraId="11954DB9" w14:textId="7C693EE1">
      <w:pPr>
        <w:pStyle w:val="Level1"/>
        <w:numPr>
          <w:ilvl w:val="0"/>
          <w:numId w:val="0"/>
        </w:numPr>
        <w:tabs>
          <w:tab w:val="left" w:pos="-1440"/>
        </w:tabs>
        <w:ind w:left="720"/>
        <w:rPr>
          <w:rFonts w:ascii="Arial" w:hAnsi="Arial" w:cs="Arial"/>
        </w:rPr>
      </w:pPr>
      <w:r w:rsidRPr="00286D94">
        <w:rPr>
          <w:rFonts w:ascii="Arial" w:hAnsi="Arial" w:cs="Arial"/>
          <w:snapToGrid w:val="0"/>
        </w:rPr>
        <w:t xml:space="preserve">A valuation of the burden hours at $95/hour (2017) times the 500,000 hours leads to a PRA-based estimate of the reporting costs to taxpayers of $47,500,000.  This is a one-time paperwork burden.  </w:t>
      </w:r>
      <w:r w:rsidRPr="002F2C47" w:rsidR="002F2C47">
        <w:rPr>
          <w:rFonts w:ascii="Arial" w:hAnsi="Arial" w:cs="Arial"/>
        </w:rPr>
        <w:t>IRS anticipate</w:t>
      </w:r>
      <w:r w:rsidR="002F2C47">
        <w:rPr>
          <w:rFonts w:ascii="Arial" w:hAnsi="Arial" w:cs="Arial"/>
        </w:rPr>
        <w:t xml:space="preserve">s this as </w:t>
      </w:r>
      <w:r w:rsidRPr="002F2C47" w:rsidR="002F2C47">
        <w:rPr>
          <w:rFonts w:ascii="Arial" w:hAnsi="Arial" w:cs="Arial"/>
        </w:rPr>
        <w:t xml:space="preserve">a one-time initial cost that most filers have already incurred.  </w:t>
      </w:r>
      <w:r w:rsidR="002F2C47">
        <w:rPr>
          <w:rFonts w:ascii="Arial" w:hAnsi="Arial" w:cs="Arial"/>
        </w:rPr>
        <w:t>IRS</w:t>
      </w:r>
      <w:r w:rsidRPr="002F2C47" w:rsidR="002F2C47">
        <w:rPr>
          <w:rFonts w:ascii="Arial" w:hAnsi="Arial" w:cs="Arial"/>
        </w:rPr>
        <w:t xml:space="preserve"> do</w:t>
      </w:r>
      <w:r w:rsidR="002F2C47">
        <w:rPr>
          <w:rFonts w:ascii="Arial" w:hAnsi="Arial" w:cs="Arial"/>
        </w:rPr>
        <w:t>es</w:t>
      </w:r>
      <w:r w:rsidRPr="002F2C47" w:rsidR="002F2C47">
        <w:rPr>
          <w:rFonts w:ascii="Arial" w:hAnsi="Arial" w:cs="Arial"/>
        </w:rPr>
        <w:t xml:space="preserve"> not anticipate any continual operating costs</w:t>
      </w:r>
      <w:r w:rsidR="002F2C47">
        <w:rPr>
          <w:rFonts w:ascii="Arial" w:hAnsi="Arial" w:cs="Arial"/>
        </w:rPr>
        <w:t>.</w:t>
      </w:r>
    </w:p>
    <w:p w:rsidRPr="00286D94" w:rsidR="00614262" w:rsidP="00286659" w:rsidRDefault="00614262" w14:paraId="27D37CEA" w14:textId="77777777">
      <w:pPr>
        <w:pStyle w:val="Level1"/>
        <w:numPr>
          <w:ilvl w:val="0"/>
          <w:numId w:val="0"/>
        </w:numPr>
        <w:tabs>
          <w:tab w:val="left" w:pos="-1440"/>
        </w:tabs>
        <w:ind w:left="720"/>
        <w:rPr>
          <w:rFonts w:ascii="Arial" w:hAnsi="Arial" w:cs="Arial"/>
        </w:rPr>
      </w:pPr>
    </w:p>
    <w:p w:rsidRPr="00286D94" w:rsidR="00614262" w:rsidP="00286659" w:rsidRDefault="00614262" w14:paraId="776BD427" w14:textId="77777777">
      <w:pPr>
        <w:pStyle w:val="Level1"/>
        <w:numPr>
          <w:ilvl w:val="0"/>
          <w:numId w:val="0"/>
        </w:numPr>
        <w:tabs>
          <w:tab w:val="left" w:pos="-1440"/>
        </w:tabs>
        <w:ind w:left="720"/>
        <w:rPr>
          <w:rFonts w:ascii="Arial" w:hAnsi="Arial" w:cs="Arial"/>
        </w:rPr>
      </w:pPr>
      <w:r w:rsidRPr="00286D94">
        <w:rPr>
          <w:rFonts w:ascii="Arial" w:hAnsi="Arial" w:cs="Arial"/>
        </w:rPr>
        <w:t xml:space="preserve">The IRS assigns individuals and entities monetization rates based on the respective individual or entity’s observed level of economic activity. The $95.02 monetization rate is the maximum rate the IRS assigns an individual or firm. This </w:t>
      </w:r>
      <w:r w:rsidRPr="00286D94">
        <w:rPr>
          <w:rFonts w:ascii="Arial" w:hAnsi="Arial" w:cs="Arial"/>
        </w:rPr>
        <w:lastRenderedPageBreak/>
        <w:t>rate represents the upper bound of the costs to employ an accountant earning wages at the 90% according to the BLS Occupational Employment Statistics. It also incorporates the cost to provide benefits from the Employer Costs for Employee Compensation Historical Listing (National Compensation Survey) as well a 10% adjustment for overhead.</w:t>
      </w:r>
    </w:p>
    <w:p w:rsidRPr="00286D94" w:rsidR="0028507E" w:rsidRDefault="0028507E" w14:paraId="7EB6D061" w14:textId="77777777">
      <w:pPr>
        <w:rPr>
          <w:rFonts w:ascii="Arial" w:hAnsi="Arial" w:cs="Arial"/>
        </w:rPr>
      </w:pPr>
    </w:p>
    <w:p w:rsidRPr="00286D94" w:rsidR="00894418" w:rsidRDefault="00894418" w14:paraId="46650EF3" w14:textId="77777777">
      <w:pPr>
        <w:tabs>
          <w:tab w:val="left" w:pos="-1440"/>
        </w:tabs>
        <w:ind w:left="720" w:hanging="720"/>
        <w:rPr>
          <w:rFonts w:ascii="Arial" w:hAnsi="Arial" w:cs="Arial"/>
        </w:rPr>
      </w:pPr>
      <w:r w:rsidRPr="00286D94">
        <w:rPr>
          <w:rFonts w:ascii="Arial" w:hAnsi="Arial" w:cs="Arial"/>
        </w:rPr>
        <w:t>14.</w:t>
      </w:r>
      <w:r w:rsidRPr="00286D94">
        <w:rPr>
          <w:rFonts w:ascii="Arial" w:hAnsi="Arial" w:cs="Arial"/>
        </w:rPr>
        <w:tab/>
      </w:r>
      <w:r w:rsidRPr="00286D94">
        <w:rPr>
          <w:rFonts w:ascii="Arial" w:hAnsi="Arial" w:cs="Arial"/>
          <w:u w:val="single"/>
        </w:rPr>
        <w:t>ESTIMATED ANNUALIZED COST TO THE FEDERAL GOVERNMENT</w:t>
      </w:r>
    </w:p>
    <w:p w:rsidRPr="00286D94" w:rsidR="00894418" w:rsidRDefault="00894418" w14:paraId="2DFB67E8" w14:textId="77777777">
      <w:pPr>
        <w:rPr>
          <w:rFonts w:ascii="Arial" w:hAnsi="Arial" w:cs="Arial"/>
        </w:rPr>
      </w:pPr>
    </w:p>
    <w:p w:rsidRPr="00D46A99" w:rsidR="00D46A99" w:rsidP="00D46A99" w:rsidRDefault="00D46A99" w14:paraId="20CDEAC7" w14:textId="77777777">
      <w:pPr>
        <w:ind w:left="720"/>
        <w:rPr>
          <w:rFonts w:ascii="Arial" w:hAnsi="Arial" w:cs="Arial"/>
        </w:rPr>
      </w:pPr>
      <w:bookmarkStart w:name="_Hlk504026967" w:id="2"/>
      <w:r w:rsidRPr="00D46A99">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D46A99" w:rsidR="00D46A99" w:rsidP="00D46A99" w:rsidRDefault="00D46A99" w14:paraId="16B49050" w14:textId="77777777">
      <w:pPr>
        <w:ind w:left="720"/>
        <w:rPr>
          <w:rFonts w:ascii="Arial" w:hAnsi="Arial" w:cs="Arial"/>
        </w:rPr>
      </w:pPr>
    </w:p>
    <w:p w:rsidRPr="00D46A99" w:rsidR="00D46A99" w:rsidP="00D46A99" w:rsidRDefault="00D46A99" w14:paraId="2811137F" w14:textId="77777777">
      <w:pPr>
        <w:ind w:left="720"/>
        <w:rPr>
          <w:rFonts w:ascii="Arial" w:hAnsi="Arial" w:cs="Arial"/>
        </w:rPr>
      </w:pPr>
      <w:r w:rsidRPr="00D46A99">
        <w:rPr>
          <w:rFonts w:ascii="Arial" w:hAnsi="Arial" w:cs="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D46A99" w:rsidR="00D46A99" w:rsidP="00D46A99" w:rsidRDefault="00D46A99" w14:paraId="3225BF16" w14:textId="77777777">
      <w:pPr>
        <w:ind w:left="720"/>
        <w:rPr>
          <w:rFonts w:ascii="Arial" w:hAnsi="Arial" w:cs="Arial"/>
        </w:rPr>
      </w:pPr>
    </w:p>
    <w:p w:rsidRPr="00D46A99" w:rsidR="00D46A99" w:rsidP="00D46A99" w:rsidRDefault="00D46A99" w14:paraId="6D208190" w14:textId="77777777">
      <w:pPr>
        <w:ind w:left="720"/>
        <w:rPr>
          <w:rFonts w:ascii="Arial" w:hAnsi="Arial" w:cs="Arial"/>
        </w:rPr>
      </w:pPr>
      <w:r w:rsidRPr="00D46A99">
        <w:rPr>
          <w:rFonts w:ascii="Arial" w:hAnsi="Arial" w:cs="Arial"/>
        </w:rPr>
        <w:t xml:space="preserve">    The government cost estimate for this collection is summarized in the table below.</w:t>
      </w:r>
    </w:p>
    <w:p w:rsidRPr="00D46A99" w:rsidR="00D46A99" w:rsidP="00D46A99" w:rsidRDefault="00D46A99" w14:paraId="13175199" w14:textId="77777777">
      <w:pPr>
        <w:ind w:left="720"/>
        <w:rPr>
          <w:rFonts w:ascii="Arial" w:hAnsi="Arial" w:cs="Arial"/>
        </w:rPr>
      </w:pPr>
    </w:p>
    <w:tbl>
      <w:tblPr>
        <w:tblW w:w="8202"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2430"/>
        <w:gridCol w:w="1620"/>
        <w:gridCol w:w="1974"/>
      </w:tblGrid>
      <w:tr w:rsidRPr="00D46A99" w:rsidR="00D46A99" w:rsidTr="00EB3836" w14:paraId="7B5249A5" w14:textId="77777777">
        <w:tc>
          <w:tcPr>
            <w:tcW w:w="2178" w:type="dxa"/>
            <w:shd w:val="clear" w:color="auto" w:fill="auto"/>
            <w:vAlign w:val="bottom"/>
          </w:tcPr>
          <w:p w:rsidRPr="00D46A99" w:rsidR="00D46A99" w:rsidP="00D46A99" w:rsidRDefault="00D46A99" w14:paraId="00A21DCC" w14:textId="77777777">
            <w:pPr>
              <w:ind w:left="-3" w:right="87"/>
              <w:jc w:val="center"/>
              <w:rPr>
                <w:rFonts w:ascii="Arial" w:hAnsi="Arial" w:cs="Arial"/>
              </w:rPr>
            </w:pPr>
            <w:r w:rsidRPr="00D46A99">
              <w:rPr>
                <w:rFonts w:ascii="Arial" w:hAnsi="Arial" w:cs="Arial"/>
              </w:rPr>
              <w:t>Product</w:t>
            </w:r>
          </w:p>
        </w:tc>
        <w:tc>
          <w:tcPr>
            <w:tcW w:w="2430" w:type="dxa"/>
            <w:shd w:val="clear" w:color="auto" w:fill="auto"/>
            <w:vAlign w:val="bottom"/>
          </w:tcPr>
          <w:p w:rsidRPr="00D46A99" w:rsidR="00D46A99" w:rsidP="00D46A99" w:rsidRDefault="00D46A99" w14:paraId="665DCBF6" w14:textId="77777777">
            <w:pPr>
              <w:ind w:left="-3" w:right="87"/>
              <w:jc w:val="center"/>
              <w:rPr>
                <w:rFonts w:ascii="Arial" w:hAnsi="Arial" w:cs="Arial"/>
              </w:rPr>
            </w:pPr>
            <w:r w:rsidRPr="00D46A99">
              <w:rPr>
                <w:rFonts w:ascii="Arial" w:hAnsi="Arial" w:cs="Arial"/>
              </w:rPr>
              <w:t>Aggregate Cost per Product (factor applied)</w:t>
            </w:r>
          </w:p>
        </w:tc>
        <w:tc>
          <w:tcPr>
            <w:tcW w:w="1620" w:type="dxa"/>
            <w:shd w:val="clear" w:color="auto" w:fill="auto"/>
            <w:vAlign w:val="bottom"/>
          </w:tcPr>
          <w:p w:rsidRPr="00D46A99" w:rsidR="00D46A99" w:rsidP="00D46A99" w:rsidRDefault="00D46A99" w14:paraId="376686B1" w14:textId="77777777">
            <w:pPr>
              <w:ind w:left="-3" w:right="87"/>
              <w:jc w:val="center"/>
              <w:rPr>
                <w:rFonts w:ascii="Arial" w:hAnsi="Arial" w:cs="Arial"/>
              </w:rPr>
            </w:pPr>
            <w:r w:rsidRPr="00D46A99">
              <w:rPr>
                <w:rFonts w:ascii="Arial" w:hAnsi="Arial" w:cs="Arial"/>
              </w:rPr>
              <w:t>Printing and Distribution</w:t>
            </w:r>
          </w:p>
        </w:tc>
        <w:tc>
          <w:tcPr>
            <w:tcW w:w="1974" w:type="dxa"/>
            <w:shd w:val="clear" w:color="auto" w:fill="auto"/>
            <w:vAlign w:val="bottom"/>
          </w:tcPr>
          <w:p w:rsidRPr="00D46A99" w:rsidR="00D46A99" w:rsidP="00D46A99" w:rsidRDefault="00D46A99" w14:paraId="734A0FEF" w14:textId="77777777">
            <w:pPr>
              <w:ind w:left="-3" w:right="87"/>
              <w:jc w:val="center"/>
              <w:rPr>
                <w:rFonts w:ascii="Arial" w:hAnsi="Arial" w:cs="Arial"/>
              </w:rPr>
            </w:pPr>
            <w:r w:rsidRPr="00D46A99">
              <w:rPr>
                <w:rFonts w:ascii="Arial" w:hAnsi="Arial" w:cs="Arial"/>
              </w:rPr>
              <w:t>Government Cost Estimate per Product</w:t>
            </w:r>
          </w:p>
        </w:tc>
      </w:tr>
      <w:tr w:rsidRPr="00D46A99" w:rsidR="00D46A99" w:rsidTr="00EB3836" w14:paraId="3955576E" w14:textId="77777777">
        <w:tc>
          <w:tcPr>
            <w:tcW w:w="2178" w:type="dxa"/>
            <w:shd w:val="clear" w:color="auto" w:fill="auto"/>
            <w:vAlign w:val="bottom"/>
          </w:tcPr>
          <w:p w:rsidRPr="00D46A99" w:rsidR="00D46A99" w:rsidP="00D46A99" w:rsidRDefault="0071093B" w14:paraId="1EE028AB" w14:textId="77777777">
            <w:pPr>
              <w:jc w:val="center"/>
              <w:rPr>
                <w:rFonts w:ascii="Arial" w:hAnsi="Arial" w:cs="Arial"/>
              </w:rPr>
            </w:pPr>
            <w:r>
              <w:rPr>
                <w:rFonts w:ascii="Arial" w:hAnsi="Arial" w:cs="Arial"/>
              </w:rPr>
              <w:t xml:space="preserve">26 CFR </w:t>
            </w:r>
            <w:r w:rsidRPr="00286D94" w:rsidR="00D46A99">
              <w:rPr>
                <w:rFonts w:ascii="Arial" w:hAnsi="Arial" w:cs="Arial"/>
              </w:rPr>
              <w:t>1.965-2, 1.965-3, 1.965-4, 1.965-7, 1.965-8</w:t>
            </w:r>
          </w:p>
        </w:tc>
        <w:tc>
          <w:tcPr>
            <w:tcW w:w="2430" w:type="dxa"/>
            <w:shd w:val="clear" w:color="auto" w:fill="auto"/>
            <w:vAlign w:val="bottom"/>
          </w:tcPr>
          <w:p w:rsidRPr="00D46A99" w:rsidR="00D46A99" w:rsidP="00D46A99" w:rsidRDefault="00D46A99" w14:paraId="1884E6FD" w14:textId="77777777">
            <w:pPr>
              <w:jc w:val="center"/>
              <w:rPr>
                <w:rFonts w:ascii="Arial" w:hAnsi="Arial" w:cs="Arial"/>
              </w:rPr>
            </w:pPr>
            <w:r>
              <w:rPr>
                <w:rFonts w:ascii="Arial" w:hAnsi="Arial" w:cs="Arial"/>
              </w:rPr>
              <w:t>$ 162,434</w:t>
            </w:r>
          </w:p>
        </w:tc>
        <w:tc>
          <w:tcPr>
            <w:tcW w:w="1620" w:type="dxa"/>
            <w:shd w:val="clear" w:color="auto" w:fill="auto"/>
          </w:tcPr>
          <w:p w:rsidR="0071093B" w:rsidP="00D46A99" w:rsidRDefault="0071093B" w14:paraId="3D9E3A99" w14:textId="77777777">
            <w:pPr>
              <w:jc w:val="center"/>
              <w:rPr>
                <w:rFonts w:ascii="Arial" w:hAnsi="Arial" w:cs="Arial"/>
              </w:rPr>
            </w:pPr>
          </w:p>
          <w:p w:rsidR="0071093B" w:rsidP="00D46A99" w:rsidRDefault="0071093B" w14:paraId="7A3ACC61" w14:textId="77777777">
            <w:pPr>
              <w:jc w:val="center"/>
              <w:rPr>
                <w:rFonts w:ascii="Arial" w:hAnsi="Arial" w:cs="Arial"/>
              </w:rPr>
            </w:pPr>
          </w:p>
          <w:p w:rsidRPr="00D46A99" w:rsidR="00D46A99" w:rsidP="00D46A99" w:rsidRDefault="00D46A99" w14:paraId="3CBFAC69" w14:textId="77777777">
            <w:pPr>
              <w:jc w:val="center"/>
              <w:rPr>
                <w:rFonts w:ascii="Arial" w:hAnsi="Arial" w:cs="Arial"/>
              </w:rPr>
            </w:pPr>
            <w:r w:rsidRPr="00D46A99">
              <w:rPr>
                <w:rFonts w:ascii="Arial" w:hAnsi="Arial" w:cs="Arial"/>
              </w:rPr>
              <w:t>0</w:t>
            </w:r>
          </w:p>
        </w:tc>
        <w:tc>
          <w:tcPr>
            <w:tcW w:w="1974" w:type="dxa"/>
            <w:shd w:val="clear" w:color="auto" w:fill="auto"/>
            <w:vAlign w:val="bottom"/>
          </w:tcPr>
          <w:p w:rsidRPr="00D46A99" w:rsidR="00D46A99" w:rsidP="00D46A99" w:rsidRDefault="00D46A99" w14:paraId="204605B3" w14:textId="77777777">
            <w:pPr>
              <w:jc w:val="center"/>
              <w:rPr>
                <w:rFonts w:ascii="Arial" w:hAnsi="Arial" w:cs="Arial"/>
              </w:rPr>
            </w:pPr>
            <w:r>
              <w:rPr>
                <w:rFonts w:ascii="Arial" w:hAnsi="Arial" w:cs="Arial"/>
              </w:rPr>
              <w:t>$ 162,434</w:t>
            </w:r>
          </w:p>
        </w:tc>
      </w:tr>
      <w:bookmarkEnd w:id="2"/>
    </w:tbl>
    <w:p w:rsidR="00EB3836" w:rsidP="00820B40" w:rsidRDefault="00EB3836" w14:paraId="1A07E1AB" w14:textId="77777777">
      <w:pPr>
        <w:ind w:left="450" w:hanging="450"/>
        <w:rPr>
          <w:rFonts w:ascii="Arial" w:hAnsi="Arial" w:cs="Arial"/>
        </w:rPr>
      </w:pPr>
    </w:p>
    <w:p w:rsidR="00EB3836" w:rsidP="00820B40" w:rsidRDefault="00EB3836" w14:paraId="3B691445" w14:textId="77777777">
      <w:pPr>
        <w:ind w:left="450" w:hanging="450"/>
        <w:rPr>
          <w:rFonts w:ascii="Arial" w:hAnsi="Arial" w:cs="Arial"/>
        </w:rPr>
      </w:pPr>
    </w:p>
    <w:p w:rsidR="00EB3836" w:rsidP="00820B40" w:rsidRDefault="00EB3836" w14:paraId="493B68EB" w14:textId="77777777">
      <w:pPr>
        <w:ind w:left="450" w:hanging="450"/>
        <w:rPr>
          <w:rFonts w:ascii="Arial" w:hAnsi="Arial" w:cs="Arial"/>
        </w:rPr>
      </w:pPr>
    </w:p>
    <w:p w:rsidR="00EB3836" w:rsidP="00820B40" w:rsidRDefault="00EB3836" w14:paraId="0734CEA6" w14:textId="77777777">
      <w:pPr>
        <w:ind w:left="450" w:hanging="450"/>
        <w:rPr>
          <w:rFonts w:ascii="Arial" w:hAnsi="Arial" w:cs="Arial"/>
        </w:rPr>
      </w:pPr>
    </w:p>
    <w:p w:rsidR="00EB3836" w:rsidP="00820B40" w:rsidRDefault="00EB3836" w14:paraId="0FE87087" w14:textId="77777777">
      <w:pPr>
        <w:ind w:left="450" w:hanging="450"/>
        <w:rPr>
          <w:rFonts w:ascii="Arial" w:hAnsi="Arial" w:cs="Arial"/>
        </w:rPr>
      </w:pPr>
    </w:p>
    <w:p w:rsidR="00EB3836" w:rsidP="00820B40" w:rsidRDefault="00EB3836" w14:paraId="6331A3B0" w14:textId="77777777">
      <w:pPr>
        <w:ind w:left="450" w:hanging="450"/>
        <w:rPr>
          <w:rFonts w:ascii="Arial" w:hAnsi="Arial" w:cs="Arial"/>
        </w:rPr>
      </w:pPr>
    </w:p>
    <w:p w:rsidR="00EB3836" w:rsidP="00820B40" w:rsidRDefault="00EB3836" w14:paraId="02617D12" w14:textId="77777777">
      <w:pPr>
        <w:ind w:left="450" w:hanging="450"/>
        <w:rPr>
          <w:rFonts w:ascii="Arial" w:hAnsi="Arial" w:cs="Arial"/>
        </w:rPr>
      </w:pPr>
    </w:p>
    <w:p w:rsidR="00EB3836" w:rsidP="00820B40" w:rsidRDefault="00EB3836" w14:paraId="7107BEC1" w14:textId="77777777">
      <w:pPr>
        <w:ind w:left="450" w:hanging="450"/>
        <w:rPr>
          <w:rFonts w:ascii="Arial" w:hAnsi="Arial" w:cs="Arial"/>
        </w:rPr>
      </w:pPr>
    </w:p>
    <w:p w:rsidR="00EB3836" w:rsidP="00820B40" w:rsidRDefault="00EB3836" w14:paraId="512DDA31" w14:textId="77777777">
      <w:pPr>
        <w:ind w:left="450" w:hanging="450"/>
        <w:rPr>
          <w:rFonts w:ascii="Arial" w:hAnsi="Arial" w:cs="Arial"/>
        </w:rPr>
      </w:pPr>
    </w:p>
    <w:p w:rsidR="00EB3836" w:rsidP="00820B40" w:rsidRDefault="00EB3836" w14:paraId="67185FBE" w14:textId="77777777">
      <w:pPr>
        <w:ind w:left="450" w:hanging="450"/>
        <w:rPr>
          <w:rFonts w:ascii="Arial" w:hAnsi="Arial" w:cs="Arial"/>
        </w:rPr>
      </w:pPr>
    </w:p>
    <w:p w:rsidR="00EB3836" w:rsidP="00820B40" w:rsidRDefault="00EB3836" w14:paraId="2D1DE2FA" w14:textId="77777777">
      <w:pPr>
        <w:ind w:left="450" w:hanging="450"/>
        <w:rPr>
          <w:rFonts w:ascii="Arial" w:hAnsi="Arial" w:cs="Arial"/>
        </w:rPr>
      </w:pPr>
    </w:p>
    <w:p w:rsidRPr="00286D94" w:rsidR="00894418" w:rsidP="00820B40" w:rsidRDefault="00894418" w14:paraId="6E995A53" w14:textId="77777777">
      <w:pPr>
        <w:ind w:left="450" w:hanging="450"/>
        <w:rPr>
          <w:rFonts w:ascii="Arial" w:hAnsi="Arial" w:cs="Arial"/>
        </w:rPr>
      </w:pPr>
      <w:r w:rsidRPr="00286D94">
        <w:rPr>
          <w:rFonts w:ascii="Arial" w:hAnsi="Arial" w:cs="Arial"/>
        </w:rPr>
        <w:t xml:space="preserve">15.  </w:t>
      </w:r>
      <w:r w:rsidRPr="00286D94" w:rsidR="00820B40">
        <w:rPr>
          <w:rFonts w:ascii="Arial" w:hAnsi="Arial" w:cs="Arial"/>
        </w:rPr>
        <w:tab/>
      </w:r>
      <w:r w:rsidRPr="00286D94">
        <w:rPr>
          <w:rFonts w:ascii="Arial" w:hAnsi="Arial" w:cs="Arial"/>
          <w:u w:val="single"/>
        </w:rPr>
        <w:t>REASONS FOR CHANGE IN BURDEN</w:t>
      </w:r>
    </w:p>
    <w:p w:rsidRPr="00752F1B" w:rsidR="0071093B" w:rsidP="0071093B" w:rsidRDefault="0071093B" w14:paraId="0C2B0343" w14:textId="77777777">
      <w:pPr>
        <w:pStyle w:val="ListParagraph"/>
        <w:tabs>
          <w:tab w:val="left" w:pos="540"/>
        </w:tabs>
        <w:ind w:left="540"/>
        <w:rPr>
          <w:rFonts w:ascii="Arial" w:hAnsi="Arial" w:cs="Arial"/>
          <w:szCs w:val="24"/>
        </w:rPr>
      </w:pPr>
    </w:p>
    <w:p w:rsidR="0071093B" w:rsidP="0071093B" w:rsidRDefault="0071093B" w14:paraId="6928E466" w14:textId="77777777">
      <w:pPr>
        <w:tabs>
          <w:tab w:val="left" w:pos="540"/>
        </w:tabs>
        <w:ind w:left="540" w:hanging="540"/>
        <w:rPr>
          <w:rFonts w:ascii="Arial" w:hAnsi="Arial" w:cs="Arial"/>
        </w:rPr>
      </w:pPr>
      <w:r w:rsidRPr="00752F1B">
        <w:rPr>
          <w:rFonts w:ascii="Arial" w:hAnsi="Arial" w:cs="Arial"/>
        </w:rPr>
        <w:tab/>
      </w:r>
      <w:bookmarkStart w:name="_Hlk98424996" w:id="3"/>
      <w:r w:rsidRPr="00017DBD">
        <w:rPr>
          <w:rFonts w:ascii="Arial" w:hAnsi="Arial" w:cs="Arial"/>
        </w:rPr>
        <w:t>There are no changes being made to th</w:t>
      </w:r>
      <w:r>
        <w:rPr>
          <w:rFonts w:ascii="Arial" w:hAnsi="Arial" w:cs="Arial"/>
        </w:rPr>
        <w:t xml:space="preserve">e burden </w:t>
      </w:r>
      <w:r w:rsidRPr="00017DBD">
        <w:rPr>
          <w:rFonts w:ascii="Arial" w:hAnsi="Arial" w:cs="Arial"/>
        </w:rPr>
        <w:t>at this time.  IRS is making this submission for renewal purposes</w:t>
      </w:r>
      <w:r w:rsidRPr="00752F1B">
        <w:rPr>
          <w:rFonts w:ascii="Arial" w:hAnsi="Arial" w:cs="Arial"/>
        </w:rPr>
        <w:t xml:space="preserve">.  </w:t>
      </w:r>
      <w:bookmarkEnd w:id="3"/>
    </w:p>
    <w:p w:rsidR="0071093B" w:rsidP="0071093B" w:rsidRDefault="0071093B" w14:paraId="60CF0CB2" w14:textId="77777777">
      <w:pPr>
        <w:tabs>
          <w:tab w:val="left" w:pos="540"/>
        </w:tabs>
        <w:ind w:left="540" w:hanging="540"/>
        <w:rPr>
          <w:rFonts w:ascii="Arial" w:hAnsi="Arial" w:cs="Arial"/>
        </w:rPr>
      </w:pPr>
    </w:p>
    <w:tbl>
      <w:tblPr>
        <w:tblW w:w="4467" w:type="pct"/>
        <w:tblInd w:w="497"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238"/>
        <w:gridCol w:w="1263"/>
        <w:gridCol w:w="1022"/>
        <w:gridCol w:w="1210"/>
        <w:gridCol w:w="1357"/>
        <w:gridCol w:w="1049"/>
        <w:gridCol w:w="1250"/>
      </w:tblGrid>
      <w:tr w:rsidRPr="008F1865" w:rsidR="0071093B" w:rsidTr="00844F13" w14:paraId="259DBFE5" w14:textId="77777777">
        <w:trPr>
          <w:trHeight w:val="1081"/>
        </w:trPr>
        <w:tc>
          <w:tcPr>
            <w:tcW w:w="7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0226FB3C" w14:textId="77777777">
            <w:pPr>
              <w:jc w:val="center"/>
              <w:rPr>
                <w:rFonts w:ascii="Arial" w:hAnsi="Arial" w:cs="Arial"/>
                <w:color w:val="000000"/>
              </w:rPr>
            </w:pPr>
            <w:r w:rsidRPr="008F1865">
              <w:rPr>
                <w:rFonts w:ascii="Arial" w:hAnsi="Arial" w:cs="Arial"/>
                <w:color w:val="000000"/>
              </w:rPr>
              <w:t> </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2C80D5DC" w14:textId="77777777">
            <w:pPr>
              <w:jc w:val="center"/>
              <w:rPr>
                <w:rFonts w:ascii="Arial" w:hAnsi="Arial" w:cs="Arial"/>
                <w:color w:val="000000"/>
              </w:rPr>
            </w:pPr>
            <w:r w:rsidRPr="008F1865">
              <w:rPr>
                <w:rFonts w:ascii="Arial" w:hAnsi="Arial" w:cs="Arial"/>
                <w:color w:val="000000"/>
              </w:rPr>
              <w:t>Requested</w:t>
            </w:r>
          </w:p>
        </w:tc>
        <w:tc>
          <w:tcPr>
            <w:tcW w:w="6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65992114" w14:textId="77777777">
            <w:pPr>
              <w:jc w:val="center"/>
              <w:rPr>
                <w:rFonts w:ascii="Arial" w:hAnsi="Arial" w:cs="Arial"/>
                <w:color w:val="000000"/>
              </w:rPr>
            </w:pPr>
            <w:r w:rsidRPr="008F1865">
              <w:rPr>
                <w:rFonts w:ascii="Arial" w:hAnsi="Arial" w:cs="Arial"/>
                <w:color w:val="000000"/>
              </w:rPr>
              <w:t>Program Change Due to New Statute</w:t>
            </w:r>
          </w:p>
        </w:tc>
        <w:tc>
          <w:tcPr>
            <w:tcW w:w="72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3E96EA09" w14:textId="77777777">
            <w:pPr>
              <w:jc w:val="center"/>
              <w:rPr>
                <w:rFonts w:ascii="Arial" w:hAnsi="Arial" w:cs="Arial"/>
                <w:color w:val="000000"/>
              </w:rPr>
            </w:pPr>
            <w:r w:rsidRPr="008F1865">
              <w:rPr>
                <w:rFonts w:ascii="Arial" w:hAnsi="Arial" w:cs="Arial"/>
                <w:color w:val="000000"/>
              </w:rPr>
              <w:t>Program Change Due to Agency Discretion</w:t>
            </w:r>
          </w:p>
        </w:tc>
        <w:tc>
          <w:tcPr>
            <w:tcW w:w="8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3E9D3915" w14:textId="77777777">
            <w:pPr>
              <w:jc w:val="center"/>
              <w:rPr>
                <w:rFonts w:ascii="Arial" w:hAnsi="Arial" w:cs="Arial"/>
                <w:color w:val="000000"/>
              </w:rPr>
            </w:pPr>
            <w:r w:rsidRPr="008F1865">
              <w:rPr>
                <w:rFonts w:ascii="Arial" w:hAnsi="Arial" w:cs="Arial"/>
                <w:color w:val="000000"/>
              </w:rPr>
              <w:t>Change Due to Adjustment in Agency Estimate</w:t>
            </w:r>
          </w:p>
        </w:tc>
        <w:tc>
          <w:tcPr>
            <w:tcW w:w="62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30A39DFE" w14:textId="77777777">
            <w:pPr>
              <w:jc w:val="center"/>
              <w:rPr>
                <w:rFonts w:ascii="Arial" w:hAnsi="Arial" w:cs="Arial"/>
                <w:color w:val="000000"/>
              </w:rPr>
            </w:pPr>
            <w:r w:rsidRPr="008F1865">
              <w:rPr>
                <w:rFonts w:ascii="Arial" w:hAnsi="Arial" w:cs="Arial"/>
                <w:color w:val="000000"/>
              </w:rPr>
              <w:t>Change Due to Potential Violation of the PRA</w:t>
            </w:r>
          </w:p>
        </w:tc>
        <w:tc>
          <w:tcPr>
            <w:tcW w:w="7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71093B" w:rsidP="00844F13" w:rsidRDefault="0071093B" w14:paraId="0FF0D811" w14:textId="77777777">
            <w:pPr>
              <w:jc w:val="center"/>
              <w:rPr>
                <w:rFonts w:ascii="Arial" w:hAnsi="Arial" w:cs="Arial"/>
                <w:color w:val="000000"/>
              </w:rPr>
            </w:pPr>
            <w:r w:rsidRPr="008F1865">
              <w:rPr>
                <w:rFonts w:ascii="Arial" w:hAnsi="Arial" w:cs="Arial"/>
                <w:color w:val="000000"/>
              </w:rPr>
              <w:t>Previously Approved</w:t>
            </w:r>
          </w:p>
        </w:tc>
      </w:tr>
      <w:tr w:rsidRPr="008F1865" w:rsidR="0071093B" w:rsidTr="00844F13" w14:paraId="406B98F3" w14:textId="77777777">
        <w:trPr>
          <w:trHeight w:val="655"/>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2FD7851E" w14:textId="77777777">
            <w:pPr>
              <w:rPr>
                <w:rFonts w:ascii="Arial" w:hAnsi="Arial" w:cs="Arial"/>
                <w:color w:val="000000"/>
              </w:rPr>
            </w:pPr>
            <w:r w:rsidRPr="008F1865">
              <w:rPr>
                <w:rFonts w:ascii="Arial" w:hAnsi="Arial" w:cs="Arial"/>
                <w:color w:val="000000"/>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7A1A89F7" w14:textId="77777777">
            <w:pPr>
              <w:rPr>
                <w:rFonts w:ascii="Arial" w:hAnsi="Arial" w:cs="Arial"/>
                <w:color w:val="000000"/>
              </w:rPr>
            </w:pPr>
            <w:r>
              <w:rPr>
                <w:rFonts w:ascii="Arial" w:hAnsi="Arial" w:cs="Arial"/>
                <w:color w:val="000000"/>
              </w:rPr>
              <w:t>100,000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672BC02A" w14:textId="77777777">
            <w:pPr>
              <w:rPr>
                <w:rFonts w:ascii="Arial" w:hAnsi="Arial" w:cs="Arial"/>
                <w:color w:val="000000"/>
              </w:rPr>
            </w:pPr>
            <w:r w:rsidRPr="008F1865">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1477F9C8" w14:textId="77777777">
            <w:pPr>
              <w:rPr>
                <w:rFonts w:ascii="Arial" w:hAnsi="Arial" w:cs="Arial"/>
                <w:color w:val="000000"/>
              </w:rPr>
            </w:pPr>
            <w:r w:rsidRPr="008F1865">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59B61E0F" w14:textId="77777777">
            <w:pPr>
              <w:rPr>
                <w:rFonts w:ascii="Arial" w:hAnsi="Arial" w:cs="Arial"/>
                <w:color w:val="000000"/>
              </w:rPr>
            </w:pPr>
            <w:r w:rsidRPr="008F1865">
              <w:rPr>
                <w:rFonts w:ascii="Arial" w:hAnsi="Arial" w:cs="Arial"/>
                <w:color w:val="000000"/>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3AAC0C54" w14:textId="77777777">
            <w:pPr>
              <w:rPr>
                <w:rFonts w:ascii="Arial" w:hAnsi="Arial" w:cs="Arial"/>
                <w:color w:val="000000"/>
              </w:rPr>
            </w:pPr>
            <w:r w:rsidRPr="008F1865">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7561B50D" w14:textId="77777777">
            <w:pPr>
              <w:rPr>
                <w:rFonts w:ascii="Arial" w:hAnsi="Arial" w:cs="Arial"/>
                <w:color w:val="000000"/>
              </w:rPr>
            </w:pPr>
            <w:r>
              <w:rPr>
                <w:rFonts w:ascii="Arial" w:hAnsi="Arial" w:cs="Arial"/>
                <w:color w:val="000000"/>
              </w:rPr>
              <w:t>100,000</w:t>
            </w:r>
          </w:p>
        </w:tc>
      </w:tr>
      <w:tr w:rsidRPr="008F1865" w:rsidR="0071093B" w:rsidTr="00844F13" w14:paraId="2013FA4B" w14:textId="77777777">
        <w:trPr>
          <w:trHeight w:val="434"/>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7AD78B66" w14:textId="77777777">
            <w:pPr>
              <w:rPr>
                <w:rFonts w:ascii="Arial" w:hAnsi="Arial" w:cs="Arial"/>
                <w:color w:val="000000"/>
              </w:rPr>
            </w:pPr>
            <w:r w:rsidRPr="008F1865">
              <w:rPr>
                <w:rFonts w:ascii="Arial" w:hAnsi="Arial" w:cs="Arial"/>
                <w:color w:val="000000"/>
              </w:rPr>
              <w:t>Annual Time Burden (Hr</w:t>
            </w:r>
            <w:r>
              <w:rPr>
                <w:rFonts w:ascii="Arial" w:hAnsi="Arial" w:cs="Arial"/>
                <w:color w:val="000000"/>
              </w:rPr>
              <w:t>.</w:t>
            </w:r>
            <w:r w:rsidRPr="008F1865">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3A0BC230" w14:textId="77777777">
            <w:pPr>
              <w:rPr>
                <w:rFonts w:ascii="Arial" w:hAnsi="Arial" w:cs="Arial"/>
                <w:color w:val="000000"/>
              </w:rPr>
            </w:pPr>
            <w:r>
              <w:rPr>
                <w:rFonts w:ascii="Arial" w:hAnsi="Arial" w:cs="Arial"/>
                <w:color w:val="000000"/>
              </w:rPr>
              <w:t>500,000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70258845" w14:textId="77777777">
            <w:pPr>
              <w:rPr>
                <w:rFonts w:ascii="Arial" w:hAnsi="Arial" w:cs="Arial"/>
                <w:color w:val="000000"/>
              </w:rPr>
            </w:pPr>
            <w:r w:rsidRPr="008F1865">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6AE9C14A" w14:textId="77777777">
            <w:pPr>
              <w:rPr>
                <w:rFonts w:ascii="Arial" w:hAnsi="Arial" w:cs="Arial"/>
                <w:color w:val="000000"/>
              </w:rPr>
            </w:pPr>
            <w:r w:rsidRPr="008F1865">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24A92866" w14:textId="77777777">
            <w:pPr>
              <w:rPr>
                <w:rFonts w:ascii="Arial" w:hAnsi="Arial" w:cs="Arial"/>
                <w:color w:val="000000"/>
              </w:rPr>
            </w:pPr>
            <w:r w:rsidRPr="008F1865">
              <w:rPr>
                <w:rFonts w:ascii="Arial" w:hAnsi="Arial" w:cs="Arial"/>
                <w:color w:val="000000"/>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087F95EB" w14:textId="77777777">
            <w:pPr>
              <w:rPr>
                <w:rFonts w:ascii="Arial" w:hAnsi="Arial" w:cs="Arial"/>
                <w:color w:val="000000"/>
              </w:rPr>
            </w:pPr>
            <w:r w:rsidRPr="008F1865">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71093B" w:rsidP="00844F13" w:rsidRDefault="0071093B" w14:paraId="21A70914" w14:textId="77777777">
            <w:pPr>
              <w:rPr>
                <w:rFonts w:ascii="Arial" w:hAnsi="Arial" w:cs="Arial"/>
                <w:color w:val="000000"/>
              </w:rPr>
            </w:pPr>
            <w:r>
              <w:rPr>
                <w:rFonts w:ascii="Arial" w:hAnsi="Arial" w:cs="Arial"/>
                <w:color w:val="000000"/>
              </w:rPr>
              <w:t>500,000</w:t>
            </w:r>
          </w:p>
        </w:tc>
      </w:tr>
    </w:tbl>
    <w:p w:rsidRPr="00286D94" w:rsidR="00894418" w:rsidRDefault="00894418" w14:paraId="3975C14D" w14:textId="77777777">
      <w:pPr>
        <w:rPr>
          <w:rFonts w:ascii="Arial" w:hAnsi="Arial" w:cs="Arial"/>
        </w:rPr>
      </w:pPr>
    </w:p>
    <w:p w:rsidRPr="00286D94" w:rsidR="00894418" w:rsidRDefault="00894418" w14:paraId="75856755" w14:textId="77777777">
      <w:pPr>
        <w:rPr>
          <w:rFonts w:ascii="Arial" w:hAnsi="Arial" w:cs="Arial"/>
        </w:rPr>
      </w:pPr>
      <w:r w:rsidRPr="00286D94">
        <w:rPr>
          <w:rFonts w:ascii="Arial" w:hAnsi="Arial" w:cs="Arial"/>
        </w:rPr>
        <w:t xml:space="preserve">16.  </w:t>
      </w:r>
      <w:r w:rsidRPr="00286D94" w:rsidR="00820B40">
        <w:rPr>
          <w:rFonts w:ascii="Arial" w:hAnsi="Arial" w:cs="Arial"/>
        </w:rPr>
        <w:tab/>
      </w:r>
      <w:r w:rsidRPr="00286D94">
        <w:rPr>
          <w:rFonts w:ascii="Arial" w:hAnsi="Arial" w:cs="Arial"/>
          <w:u w:val="single"/>
        </w:rPr>
        <w:t>PLANS FOR TABULATION, STATISTICAL ANALYSIS AND PUBLICATION</w:t>
      </w:r>
    </w:p>
    <w:p w:rsidRPr="00286D94" w:rsidR="00894418" w:rsidRDefault="00894418" w14:paraId="19DA2935" w14:textId="77777777">
      <w:pPr>
        <w:rPr>
          <w:rFonts w:ascii="Arial" w:hAnsi="Arial" w:cs="Arial"/>
        </w:rPr>
      </w:pPr>
    </w:p>
    <w:p w:rsidRPr="00286D94" w:rsidR="00F739C3" w:rsidP="00DD6D05" w:rsidRDefault="005668A3" w14:paraId="616B9D82" w14:textId="77777777">
      <w:pPr>
        <w:ind w:left="720" w:firstLine="15"/>
        <w:rPr>
          <w:rFonts w:ascii="Arial" w:hAnsi="Arial" w:cs="Arial"/>
        </w:rPr>
      </w:pPr>
      <w:r w:rsidRPr="00286D94">
        <w:rPr>
          <w:rFonts w:ascii="Arial" w:hAnsi="Arial" w:cs="Arial"/>
          <w:snapToGrid w:val="0"/>
        </w:rPr>
        <w:t>There are no plans for tabulation, statistical analysis</w:t>
      </w:r>
      <w:r w:rsidR="00C34F25">
        <w:rPr>
          <w:rFonts w:ascii="Arial" w:hAnsi="Arial" w:cs="Arial"/>
          <w:snapToGrid w:val="0"/>
        </w:rPr>
        <w:t>,</w:t>
      </w:r>
      <w:r w:rsidRPr="00286D94">
        <w:rPr>
          <w:rFonts w:ascii="Arial" w:hAnsi="Arial" w:cs="Arial"/>
          <w:snapToGrid w:val="0"/>
        </w:rPr>
        <w:t xml:space="preserve"> and publication.</w:t>
      </w:r>
    </w:p>
    <w:p w:rsidRPr="00286D94" w:rsidR="00F739C3" w:rsidRDefault="00F739C3" w14:paraId="78867A76" w14:textId="77777777">
      <w:pPr>
        <w:rPr>
          <w:rFonts w:ascii="Arial" w:hAnsi="Arial" w:cs="Arial"/>
        </w:rPr>
      </w:pPr>
    </w:p>
    <w:p w:rsidRPr="00286D94" w:rsidR="00894418" w:rsidP="00D37D90" w:rsidRDefault="00894418" w14:paraId="5A14F2D5" w14:textId="77777777">
      <w:pPr>
        <w:pStyle w:val="Level1"/>
        <w:numPr>
          <w:ilvl w:val="0"/>
          <w:numId w:val="3"/>
        </w:numPr>
        <w:tabs>
          <w:tab w:val="left" w:pos="-1440"/>
        </w:tabs>
        <w:ind w:left="720" w:hanging="720"/>
        <w:rPr>
          <w:rFonts w:ascii="Arial" w:hAnsi="Arial" w:cs="Arial"/>
        </w:rPr>
      </w:pPr>
      <w:r w:rsidRPr="00286D94">
        <w:rPr>
          <w:rFonts w:ascii="Arial" w:hAnsi="Arial" w:cs="Arial"/>
          <w:u w:val="single"/>
        </w:rPr>
        <w:t>REASONS WHY DISPLAYING THE OMB EXPIRATION DATE IS</w:t>
      </w:r>
      <w:r w:rsidRPr="00286D94">
        <w:rPr>
          <w:rFonts w:ascii="Arial" w:hAnsi="Arial" w:cs="Arial"/>
        </w:rPr>
        <w:t xml:space="preserve">     </w:t>
      </w:r>
      <w:r w:rsidRPr="00286D94">
        <w:rPr>
          <w:rFonts w:ascii="Arial" w:hAnsi="Arial" w:cs="Arial"/>
          <w:u w:val="single"/>
        </w:rPr>
        <w:t>INAPPROPRIATE</w:t>
      </w:r>
    </w:p>
    <w:p w:rsidRPr="00286D94" w:rsidR="00894418" w:rsidRDefault="00894418" w14:paraId="70B4B9DB" w14:textId="77777777">
      <w:pPr>
        <w:rPr>
          <w:rFonts w:ascii="Arial" w:hAnsi="Arial" w:cs="Arial"/>
        </w:rPr>
      </w:pPr>
    </w:p>
    <w:p w:rsidRPr="00286D94" w:rsidR="00894418" w:rsidP="005668A3" w:rsidRDefault="00D37D90" w14:paraId="604AF6A6" w14:textId="77777777">
      <w:pPr>
        <w:ind w:left="720"/>
        <w:rPr>
          <w:rFonts w:ascii="Arial" w:hAnsi="Arial" w:cs="Arial"/>
        </w:rPr>
      </w:pPr>
      <w:r w:rsidRPr="00286D94">
        <w:rPr>
          <w:rFonts w:ascii="Arial" w:hAnsi="Arial" w:cs="Arial"/>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r w:rsidRPr="00286D94" w:rsidR="005668A3">
        <w:rPr>
          <w:rFonts w:ascii="Arial" w:hAnsi="Arial" w:cs="Arial"/>
        </w:rPr>
        <w:t>.</w:t>
      </w:r>
    </w:p>
    <w:p w:rsidRPr="00286D94" w:rsidR="005668A3" w:rsidP="005668A3" w:rsidRDefault="005668A3" w14:paraId="36E53451" w14:textId="77777777">
      <w:pPr>
        <w:ind w:left="720"/>
        <w:rPr>
          <w:rFonts w:ascii="Arial" w:hAnsi="Arial" w:cs="Arial"/>
        </w:rPr>
      </w:pPr>
    </w:p>
    <w:p w:rsidRPr="00286D94" w:rsidR="00894418" w:rsidP="00D37D90" w:rsidRDefault="00894418" w14:paraId="1214E47D" w14:textId="77777777">
      <w:pPr>
        <w:pStyle w:val="Level1"/>
        <w:numPr>
          <w:ilvl w:val="0"/>
          <w:numId w:val="3"/>
        </w:numPr>
        <w:tabs>
          <w:tab w:val="left" w:pos="-1440"/>
        </w:tabs>
        <w:rPr>
          <w:rFonts w:ascii="Arial" w:hAnsi="Arial" w:cs="Arial"/>
        </w:rPr>
      </w:pPr>
      <w:r w:rsidRPr="00286D94">
        <w:rPr>
          <w:rFonts w:ascii="Arial" w:hAnsi="Arial" w:cs="Arial"/>
          <w:u w:val="single"/>
        </w:rPr>
        <w:t>EXCEPTIONS TO THE CERTIFICATION STATEMENT</w:t>
      </w:r>
    </w:p>
    <w:p w:rsidRPr="00286D94" w:rsidR="00894418" w:rsidRDefault="00894418" w14:paraId="468E59D0" w14:textId="77777777">
      <w:pPr>
        <w:rPr>
          <w:rFonts w:ascii="Arial" w:hAnsi="Arial" w:cs="Arial"/>
        </w:rPr>
      </w:pPr>
    </w:p>
    <w:p w:rsidRPr="00286D94" w:rsidR="00894418" w:rsidRDefault="005668A3" w14:paraId="5E186890" w14:textId="77777777">
      <w:pPr>
        <w:ind w:firstLine="720"/>
        <w:rPr>
          <w:rFonts w:ascii="Arial" w:hAnsi="Arial" w:cs="Arial"/>
        </w:rPr>
      </w:pPr>
      <w:r w:rsidRPr="00286D94">
        <w:rPr>
          <w:rFonts w:ascii="Arial" w:hAnsi="Arial" w:cs="Arial"/>
        </w:rPr>
        <w:t>There are no exceptions to the certification statement.</w:t>
      </w:r>
    </w:p>
    <w:p w:rsidRPr="00286D94" w:rsidR="00894418" w:rsidRDefault="00894418" w14:paraId="69703AA5" w14:textId="77777777">
      <w:pPr>
        <w:rPr>
          <w:rFonts w:ascii="Arial" w:hAnsi="Arial" w:cs="Arial"/>
        </w:rPr>
      </w:pPr>
    </w:p>
    <w:p w:rsidRPr="00AF707F" w:rsidR="00894418" w:rsidRDefault="00894418" w14:paraId="1186C015" w14:textId="77777777">
      <w:pPr>
        <w:rPr>
          <w:rFonts w:ascii="Arial" w:hAnsi="Arial" w:cs="Arial"/>
          <w:sz w:val="22"/>
          <w:szCs w:val="22"/>
        </w:rPr>
      </w:pPr>
      <w:r w:rsidRPr="00AF707F">
        <w:rPr>
          <w:rFonts w:ascii="Arial" w:hAnsi="Arial" w:cs="Arial"/>
          <w:b/>
          <w:bCs/>
          <w:sz w:val="22"/>
          <w:szCs w:val="22"/>
          <w:u w:val="single"/>
        </w:rPr>
        <w:t>Note:</w:t>
      </w:r>
      <w:r w:rsidRPr="00AF707F">
        <w:rPr>
          <w:rFonts w:ascii="Arial" w:hAnsi="Arial" w:cs="Arial"/>
          <w:sz w:val="22"/>
          <w:szCs w:val="22"/>
        </w:rPr>
        <w:t xml:space="preserve">  The following paragraph applies to all the collections of information in this submission:</w:t>
      </w:r>
    </w:p>
    <w:p w:rsidR="00894418" w:rsidRDefault="00894418" w14:paraId="7983ADEE" w14:textId="77777777">
      <w:pPr>
        <w:rPr>
          <w:rFonts w:ascii="Arial" w:hAnsi="Arial" w:cs="Arial"/>
        </w:rPr>
      </w:pPr>
    </w:p>
    <w:p w:rsidRPr="00286D94" w:rsidR="00AF707F" w:rsidRDefault="00AF707F" w14:paraId="4BB48E87" w14:textId="77777777">
      <w:pPr>
        <w:rPr>
          <w:rFonts w:ascii="Arial" w:hAnsi="Arial" w:cs="Arial"/>
        </w:rPr>
        <w:sectPr w:rsidRPr="00286D94" w:rsidR="00AF707F">
          <w:footerReference w:type="default" r:id="rId8"/>
          <w:type w:val="continuous"/>
          <w:pgSz w:w="12240" w:h="15840"/>
          <w:pgMar w:top="1440" w:right="1440" w:bottom="1440" w:left="1440" w:header="1440" w:footer="1440" w:gutter="0"/>
          <w:cols w:space="720"/>
          <w:noEndnote/>
        </w:sectPr>
      </w:pPr>
    </w:p>
    <w:p w:rsidRPr="00286D94" w:rsidR="005668A3" w:rsidP="005668A3" w:rsidRDefault="00894418" w14:paraId="68CCAFAD" w14:textId="77777777">
      <w:pPr>
        <w:rPr>
          <w:rFonts w:ascii="Arial" w:hAnsi="Arial" w:cs="Arial"/>
        </w:rPr>
      </w:pPr>
      <w:r w:rsidRPr="00286D94">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r w:rsidRPr="00286D94" w:rsidR="00C34F25">
        <w:rPr>
          <w:rFonts w:ascii="Arial" w:hAnsi="Arial" w:cs="Arial"/>
        </w:rPr>
        <w:t>if</w:t>
      </w:r>
      <w:r w:rsidRPr="00286D94">
        <w:rPr>
          <w:rFonts w:ascii="Arial" w:hAnsi="Arial" w:cs="Arial"/>
        </w:rPr>
        <w:t xml:space="preserve"> their contents may become material in the administration of any internal </w:t>
      </w:r>
      <w:r w:rsidRPr="00286D94">
        <w:rPr>
          <w:rFonts w:ascii="Arial" w:hAnsi="Arial" w:cs="Arial"/>
        </w:rPr>
        <w:lastRenderedPageBreak/>
        <w:t>revenue law.  Generally, tax returns and tax return information are confidential, as required by 26 U.S.C. 6103.</w:t>
      </w:r>
    </w:p>
    <w:sectPr w:rsidRPr="00286D94" w:rsidR="005668A3" w:rsidSect="008944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DA3E" w14:textId="77777777" w:rsidR="00C233C7" w:rsidRDefault="00C233C7">
      <w:r>
        <w:separator/>
      </w:r>
    </w:p>
  </w:endnote>
  <w:endnote w:type="continuationSeparator" w:id="0">
    <w:p w14:paraId="02612B07" w14:textId="77777777" w:rsidR="00C233C7" w:rsidRDefault="00C2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1375" w14:textId="77777777" w:rsidR="008250F5" w:rsidRDefault="008250F5">
    <w:pPr>
      <w:spacing w:line="240" w:lineRule="exact"/>
    </w:pPr>
  </w:p>
  <w:p w14:paraId="6FD03EED" w14:textId="77777777" w:rsidR="008250F5" w:rsidRDefault="008250F5">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14:paraId="230AF89E" w14:textId="77777777" w:rsidR="008250F5" w:rsidRDefault="00825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6980" w14:textId="77777777" w:rsidR="00C233C7" w:rsidRDefault="00C233C7">
      <w:r>
        <w:separator/>
      </w:r>
    </w:p>
  </w:footnote>
  <w:footnote w:type="continuationSeparator" w:id="0">
    <w:p w14:paraId="0B072EFF" w14:textId="77777777" w:rsidR="00C233C7" w:rsidRDefault="00C2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DD22418"/>
    <w:multiLevelType w:val="hybridMultilevel"/>
    <w:tmpl w:val="D60A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418"/>
    <w:rsid w:val="00005887"/>
    <w:rsid w:val="00033535"/>
    <w:rsid w:val="00052C48"/>
    <w:rsid w:val="00081D44"/>
    <w:rsid w:val="00091293"/>
    <w:rsid w:val="000C63CC"/>
    <w:rsid w:val="000D1446"/>
    <w:rsid w:val="000E796B"/>
    <w:rsid w:val="0010293A"/>
    <w:rsid w:val="0017165A"/>
    <w:rsid w:val="001765E8"/>
    <w:rsid w:val="0017783F"/>
    <w:rsid w:val="00191448"/>
    <w:rsid w:val="001A1CA2"/>
    <w:rsid w:val="001B66FC"/>
    <w:rsid w:val="001C7F45"/>
    <w:rsid w:val="0021660B"/>
    <w:rsid w:val="00244FA5"/>
    <w:rsid w:val="0025510E"/>
    <w:rsid w:val="00273A33"/>
    <w:rsid w:val="0028507E"/>
    <w:rsid w:val="00286659"/>
    <w:rsid w:val="00286D94"/>
    <w:rsid w:val="002F2C47"/>
    <w:rsid w:val="002F6C8B"/>
    <w:rsid w:val="003B0445"/>
    <w:rsid w:val="003C77C6"/>
    <w:rsid w:val="003D2FC6"/>
    <w:rsid w:val="003D3A76"/>
    <w:rsid w:val="004057A6"/>
    <w:rsid w:val="00416D5F"/>
    <w:rsid w:val="00480998"/>
    <w:rsid w:val="00484525"/>
    <w:rsid w:val="004859EE"/>
    <w:rsid w:val="00495DFF"/>
    <w:rsid w:val="004B5967"/>
    <w:rsid w:val="004C4228"/>
    <w:rsid w:val="004C526C"/>
    <w:rsid w:val="004E2379"/>
    <w:rsid w:val="004E2BB9"/>
    <w:rsid w:val="005668A3"/>
    <w:rsid w:val="00580CE0"/>
    <w:rsid w:val="005A2DF5"/>
    <w:rsid w:val="005C52B7"/>
    <w:rsid w:val="00614262"/>
    <w:rsid w:val="00615FF7"/>
    <w:rsid w:val="00616209"/>
    <w:rsid w:val="00652C27"/>
    <w:rsid w:val="00692CEC"/>
    <w:rsid w:val="006B159D"/>
    <w:rsid w:val="0071093B"/>
    <w:rsid w:val="007556F0"/>
    <w:rsid w:val="00770E3F"/>
    <w:rsid w:val="007A7005"/>
    <w:rsid w:val="007E4CDD"/>
    <w:rsid w:val="00805829"/>
    <w:rsid w:val="008107F4"/>
    <w:rsid w:val="00820B40"/>
    <w:rsid w:val="008250F5"/>
    <w:rsid w:val="0084115D"/>
    <w:rsid w:val="00844F13"/>
    <w:rsid w:val="00870674"/>
    <w:rsid w:val="008818C1"/>
    <w:rsid w:val="00894418"/>
    <w:rsid w:val="008A54C8"/>
    <w:rsid w:val="008D6DE9"/>
    <w:rsid w:val="008E497C"/>
    <w:rsid w:val="008E6687"/>
    <w:rsid w:val="009201A2"/>
    <w:rsid w:val="00934FE3"/>
    <w:rsid w:val="00935F11"/>
    <w:rsid w:val="00961100"/>
    <w:rsid w:val="00963089"/>
    <w:rsid w:val="009D5F0A"/>
    <w:rsid w:val="009E7690"/>
    <w:rsid w:val="009F38F0"/>
    <w:rsid w:val="00A302C8"/>
    <w:rsid w:val="00A353BD"/>
    <w:rsid w:val="00A64D9B"/>
    <w:rsid w:val="00AC3E41"/>
    <w:rsid w:val="00AF707F"/>
    <w:rsid w:val="00B51BA8"/>
    <w:rsid w:val="00BD3236"/>
    <w:rsid w:val="00C233C7"/>
    <w:rsid w:val="00C34F25"/>
    <w:rsid w:val="00C40317"/>
    <w:rsid w:val="00C46534"/>
    <w:rsid w:val="00C758A9"/>
    <w:rsid w:val="00C77026"/>
    <w:rsid w:val="00CD67D5"/>
    <w:rsid w:val="00D15772"/>
    <w:rsid w:val="00D1657B"/>
    <w:rsid w:val="00D37D90"/>
    <w:rsid w:val="00D45A77"/>
    <w:rsid w:val="00D46A99"/>
    <w:rsid w:val="00D6454F"/>
    <w:rsid w:val="00D661B1"/>
    <w:rsid w:val="00D74E0C"/>
    <w:rsid w:val="00D76E55"/>
    <w:rsid w:val="00DA6CC6"/>
    <w:rsid w:val="00DA7B7B"/>
    <w:rsid w:val="00DD32F9"/>
    <w:rsid w:val="00DD6D05"/>
    <w:rsid w:val="00DE32E4"/>
    <w:rsid w:val="00E16B62"/>
    <w:rsid w:val="00E20C8E"/>
    <w:rsid w:val="00E61053"/>
    <w:rsid w:val="00E618A7"/>
    <w:rsid w:val="00E63740"/>
    <w:rsid w:val="00EB3836"/>
    <w:rsid w:val="00EC3DCB"/>
    <w:rsid w:val="00EC7502"/>
    <w:rsid w:val="00EE436E"/>
    <w:rsid w:val="00F078AB"/>
    <w:rsid w:val="00F273A2"/>
    <w:rsid w:val="00F3734C"/>
    <w:rsid w:val="00F37B9C"/>
    <w:rsid w:val="00F4039D"/>
    <w:rsid w:val="00F601B7"/>
    <w:rsid w:val="00F603C2"/>
    <w:rsid w:val="00F72007"/>
    <w:rsid w:val="00F739C3"/>
    <w:rsid w:val="00F77CEA"/>
    <w:rsid w:val="00F92058"/>
    <w:rsid w:val="00FB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A8376C"/>
  <w15:chartTrackingRefBased/>
  <w15:docId w15:val="{4576CB6E-D3F3-4CF9-8A65-B564E867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paragraph" w:styleId="ListParagraph">
    <w:name w:val="List Paragraph"/>
    <w:basedOn w:val="Normal"/>
    <w:uiPriority w:val="34"/>
    <w:qFormat/>
    <w:rsid w:val="0071093B"/>
    <w:pPr>
      <w:widowControl/>
      <w:autoSpaceDE/>
      <w:autoSpaceDN/>
      <w:adjustRightInd/>
      <w:ind w:left="720"/>
      <w:contextualSpacing/>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174">
      <w:bodyDiv w:val="1"/>
      <w:marLeft w:val="0"/>
      <w:marRight w:val="0"/>
      <w:marTop w:val="0"/>
      <w:marBottom w:val="0"/>
      <w:divBdr>
        <w:top w:val="none" w:sz="0" w:space="0" w:color="auto"/>
        <w:left w:val="none" w:sz="0" w:space="0" w:color="auto"/>
        <w:bottom w:val="none" w:sz="0" w:space="0" w:color="auto"/>
        <w:right w:val="none" w:sz="0" w:space="0" w:color="auto"/>
      </w:divBdr>
    </w:div>
    <w:div w:id="87891710">
      <w:bodyDiv w:val="1"/>
      <w:marLeft w:val="0"/>
      <w:marRight w:val="0"/>
      <w:marTop w:val="0"/>
      <w:marBottom w:val="0"/>
      <w:divBdr>
        <w:top w:val="none" w:sz="0" w:space="0" w:color="auto"/>
        <w:left w:val="none" w:sz="0" w:space="0" w:color="auto"/>
        <w:bottom w:val="none" w:sz="0" w:space="0" w:color="auto"/>
        <w:right w:val="none" w:sz="0" w:space="0" w:color="auto"/>
      </w:divBdr>
    </w:div>
    <w:div w:id="160044171">
      <w:bodyDiv w:val="1"/>
      <w:marLeft w:val="0"/>
      <w:marRight w:val="0"/>
      <w:marTop w:val="0"/>
      <w:marBottom w:val="0"/>
      <w:divBdr>
        <w:top w:val="none" w:sz="0" w:space="0" w:color="auto"/>
        <w:left w:val="none" w:sz="0" w:space="0" w:color="auto"/>
        <w:bottom w:val="none" w:sz="0" w:space="0" w:color="auto"/>
        <w:right w:val="none" w:sz="0" w:space="0" w:color="auto"/>
      </w:divBdr>
    </w:div>
    <w:div w:id="298611400">
      <w:bodyDiv w:val="1"/>
      <w:marLeft w:val="0"/>
      <w:marRight w:val="0"/>
      <w:marTop w:val="0"/>
      <w:marBottom w:val="0"/>
      <w:divBdr>
        <w:top w:val="none" w:sz="0" w:space="0" w:color="auto"/>
        <w:left w:val="none" w:sz="0" w:space="0" w:color="auto"/>
        <w:bottom w:val="none" w:sz="0" w:space="0" w:color="auto"/>
        <w:right w:val="none" w:sz="0" w:space="0" w:color="auto"/>
      </w:divBdr>
    </w:div>
    <w:div w:id="384918040">
      <w:bodyDiv w:val="1"/>
      <w:marLeft w:val="0"/>
      <w:marRight w:val="0"/>
      <w:marTop w:val="0"/>
      <w:marBottom w:val="0"/>
      <w:divBdr>
        <w:top w:val="none" w:sz="0" w:space="0" w:color="auto"/>
        <w:left w:val="none" w:sz="0" w:space="0" w:color="auto"/>
        <w:bottom w:val="none" w:sz="0" w:space="0" w:color="auto"/>
        <w:right w:val="none" w:sz="0" w:space="0" w:color="auto"/>
      </w:divBdr>
      <w:divsChild>
        <w:div w:id="1868903735">
          <w:marLeft w:val="0"/>
          <w:marRight w:val="0"/>
          <w:marTop w:val="0"/>
          <w:marBottom w:val="450"/>
          <w:divBdr>
            <w:top w:val="none" w:sz="0" w:space="0" w:color="auto"/>
            <w:left w:val="none" w:sz="0" w:space="0" w:color="auto"/>
            <w:bottom w:val="none" w:sz="0" w:space="0" w:color="auto"/>
            <w:right w:val="none" w:sz="0" w:space="0" w:color="auto"/>
          </w:divBdr>
          <w:divsChild>
            <w:div w:id="256864554">
              <w:marLeft w:val="-225"/>
              <w:marRight w:val="-225"/>
              <w:marTop w:val="0"/>
              <w:marBottom w:val="0"/>
              <w:divBdr>
                <w:top w:val="none" w:sz="0" w:space="0" w:color="auto"/>
                <w:left w:val="none" w:sz="0" w:space="0" w:color="auto"/>
                <w:bottom w:val="none" w:sz="0" w:space="0" w:color="auto"/>
                <w:right w:val="none" w:sz="0" w:space="0" w:color="auto"/>
              </w:divBdr>
              <w:divsChild>
                <w:div w:id="1704672441">
                  <w:marLeft w:val="0"/>
                  <w:marRight w:val="0"/>
                  <w:marTop w:val="0"/>
                  <w:marBottom w:val="0"/>
                  <w:divBdr>
                    <w:top w:val="none" w:sz="0" w:space="0" w:color="auto"/>
                    <w:left w:val="none" w:sz="0" w:space="0" w:color="auto"/>
                    <w:bottom w:val="none" w:sz="0" w:space="0" w:color="auto"/>
                    <w:right w:val="none" w:sz="0" w:space="0" w:color="auto"/>
                  </w:divBdr>
                  <w:divsChild>
                    <w:div w:id="2134709292">
                      <w:marLeft w:val="0"/>
                      <w:marRight w:val="0"/>
                      <w:marTop w:val="0"/>
                      <w:marBottom w:val="0"/>
                      <w:divBdr>
                        <w:top w:val="none" w:sz="0" w:space="0" w:color="auto"/>
                        <w:left w:val="none" w:sz="0" w:space="0" w:color="auto"/>
                        <w:bottom w:val="none" w:sz="0" w:space="0" w:color="auto"/>
                        <w:right w:val="none" w:sz="0" w:space="0" w:color="auto"/>
                      </w:divBdr>
                      <w:divsChild>
                        <w:div w:id="1076245354">
                          <w:marLeft w:val="0"/>
                          <w:marRight w:val="0"/>
                          <w:marTop w:val="0"/>
                          <w:marBottom w:val="0"/>
                          <w:divBdr>
                            <w:top w:val="none" w:sz="0" w:space="0" w:color="auto"/>
                            <w:left w:val="none" w:sz="0" w:space="0" w:color="auto"/>
                            <w:bottom w:val="none" w:sz="0" w:space="0" w:color="auto"/>
                            <w:right w:val="none" w:sz="0" w:space="0" w:color="auto"/>
                          </w:divBdr>
                          <w:divsChild>
                            <w:div w:id="1451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59331">
      <w:bodyDiv w:val="1"/>
      <w:marLeft w:val="0"/>
      <w:marRight w:val="0"/>
      <w:marTop w:val="0"/>
      <w:marBottom w:val="0"/>
      <w:divBdr>
        <w:top w:val="none" w:sz="0" w:space="0" w:color="auto"/>
        <w:left w:val="none" w:sz="0" w:space="0" w:color="auto"/>
        <w:bottom w:val="none" w:sz="0" w:space="0" w:color="auto"/>
        <w:right w:val="none" w:sz="0" w:space="0" w:color="auto"/>
      </w:divBdr>
    </w:div>
    <w:div w:id="996376241">
      <w:bodyDiv w:val="1"/>
      <w:marLeft w:val="0"/>
      <w:marRight w:val="0"/>
      <w:marTop w:val="0"/>
      <w:marBottom w:val="0"/>
      <w:divBdr>
        <w:top w:val="none" w:sz="0" w:space="0" w:color="auto"/>
        <w:left w:val="none" w:sz="0" w:space="0" w:color="auto"/>
        <w:bottom w:val="none" w:sz="0" w:space="0" w:color="auto"/>
        <w:right w:val="none" w:sz="0" w:space="0" w:color="auto"/>
      </w:divBdr>
    </w:div>
    <w:div w:id="10356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14757</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Durbala R Joseph</cp:lastModifiedBy>
  <cp:revision>3</cp:revision>
  <cp:lastPrinted>2006-05-24T14:55:00Z</cp:lastPrinted>
  <dcterms:created xsi:type="dcterms:W3CDTF">2022-05-24T16:36:00Z</dcterms:created>
  <dcterms:modified xsi:type="dcterms:W3CDTF">2022-08-22T18:08:00Z</dcterms:modified>
</cp:coreProperties>
</file>