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00A5" w:rsidR="00223489" w:rsidP="00A100A5" w:rsidRDefault="00223489" w14:paraId="687DE07C" w14:textId="77777777">
      <w:pPr>
        <w:pStyle w:val="Title"/>
        <w:rPr>
          <w:rFonts w:ascii="Times New Roman" w:hAnsi="Times New Roman"/>
          <w:b/>
          <w:bCs/>
          <w:szCs w:val="24"/>
        </w:rPr>
      </w:pPr>
      <w:r w:rsidRPr="00A100A5">
        <w:rPr>
          <w:rFonts w:ascii="Times New Roman" w:hAnsi="Times New Roman"/>
          <w:b/>
          <w:bCs/>
          <w:szCs w:val="24"/>
        </w:rPr>
        <w:t>Supporting Statement</w:t>
      </w:r>
    </w:p>
    <w:p w:rsidRPr="00A100A5" w:rsidR="00273208" w:rsidP="00A100A5" w:rsidRDefault="008317E0" w14:paraId="4019DF12" w14:textId="77777777">
      <w:pPr>
        <w:pStyle w:val="Title"/>
        <w:rPr>
          <w:rFonts w:ascii="Times New Roman" w:hAnsi="Times New Roman"/>
          <w:b/>
          <w:bCs/>
          <w:szCs w:val="24"/>
        </w:rPr>
      </w:pPr>
      <w:r w:rsidRPr="00A100A5">
        <w:rPr>
          <w:rFonts w:ascii="Times New Roman" w:hAnsi="Times New Roman"/>
          <w:b/>
          <w:bCs/>
          <w:szCs w:val="24"/>
        </w:rPr>
        <w:t>CFPB Regulation C – Home Mortgage Disclosure</w:t>
      </w:r>
    </w:p>
    <w:p w:rsidRPr="00A100A5" w:rsidR="00223489" w:rsidP="00A100A5" w:rsidRDefault="00DE1526" w14:paraId="3B8F9034" w14:textId="15414636">
      <w:pPr>
        <w:jc w:val="center"/>
        <w:rPr>
          <w:rFonts w:ascii="Times New Roman" w:hAnsi="Times New Roman"/>
          <w:b/>
          <w:sz w:val="24"/>
          <w:szCs w:val="24"/>
        </w:rPr>
      </w:pPr>
      <w:r w:rsidRPr="00A100A5">
        <w:rPr>
          <w:rFonts w:ascii="Times New Roman" w:hAnsi="Times New Roman"/>
          <w:b/>
          <w:bCs/>
          <w:sz w:val="24"/>
          <w:szCs w:val="24"/>
        </w:rPr>
        <w:t>OMB Control No.</w:t>
      </w:r>
      <w:r w:rsidRPr="00A100A5" w:rsidR="008317E0">
        <w:rPr>
          <w:rFonts w:ascii="Times New Roman" w:hAnsi="Times New Roman"/>
          <w:b/>
          <w:bCs/>
          <w:sz w:val="24"/>
          <w:szCs w:val="24"/>
        </w:rPr>
        <w:t xml:space="preserve"> 1557-</w:t>
      </w:r>
      <w:r w:rsidRPr="00A100A5" w:rsidR="00C22E81">
        <w:rPr>
          <w:rFonts w:ascii="Times New Roman" w:hAnsi="Times New Roman"/>
          <w:b/>
          <w:bCs/>
          <w:sz w:val="24"/>
          <w:szCs w:val="24"/>
        </w:rPr>
        <w:t>0345</w:t>
      </w:r>
    </w:p>
    <w:p w:rsidRPr="00A100A5" w:rsidR="00223489" w:rsidP="00A100A5" w:rsidRDefault="00223489" w14:paraId="0D9BEC7E" w14:textId="77777777">
      <w:pPr>
        <w:rPr>
          <w:rFonts w:ascii="Times New Roman" w:hAnsi="Times New Roman"/>
          <w:b/>
          <w:sz w:val="24"/>
          <w:szCs w:val="24"/>
        </w:rPr>
      </w:pPr>
    </w:p>
    <w:p w:rsidRPr="00A100A5" w:rsidR="00A427C1" w:rsidP="00A100A5" w:rsidRDefault="00A427C1" w14:paraId="31CC49D5" w14:textId="77777777">
      <w:pPr>
        <w:rPr>
          <w:rFonts w:ascii="Times New Roman" w:hAnsi="Times New Roman"/>
          <w:b/>
          <w:sz w:val="24"/>
          <w:szCs w:val="24"/>
        </w:rPr>
      </w:pPr>
      <w:r w:rsidRPr="00A100A5">
        <w:rPr>
          <w:rFonts w:ascii="Times New Roman" w:hAnsi="Times New Roman"/>
          <w:b/>
          <w:sz w:val="24"/>
          <w:szCs w:val="24"/>
        </w:rPr>
        <w:t>A.  Justification.</w:t>
      </w:r>
      <w:r w:rsidRPr="00A100A5" w:rsidR="004102ED">
        <w:rPr>
          <w:rFonts w:ascii="Times New Roman" w:hAnsi="Times New Roman"/>
          <w:b/>
          <w:sz w:val="24"/>
          <w:szCs w:val="24"/>
        </w:rPr>
        <w:t xml:space="preserve"> </w:t>
      </w:r>
    </w:p>
    <w:p w:rsidRPr="00A100A5" w:rsidR="00A427C1" w:rsidP="00A100A5" w:rsidRDefault="00A427C1" w14:paraId="053942BB" w14:textId="77777777">
      <w:pPr>
        <w:rPr>
          <w:rFonts w:ascii="Times New Roman" w:hAnsi="Times New Roman"/>
          <w:b/>
          <w:sz w:val="24"/>
          <w:szCs w:val="24"/>
        </w:rPr>
      </w:pPr>
    </w:p>
    <w:p w:rsidRPr="00A100A5" w:rsidR="00A427C1" w:rsidP="00A100A5" w:rsidRDefault="00A427C1" w14:paraId="00C1A4F4" w14:textId="53EAE9EF">
      <w:pPr>
        <w:rPr>
          <w:rFonts w:ascii="Times New Roman" w:hAnsi="Times New Roman"/>
          <w:b/>
          <w:i/>
          <w:sz w:val="24"/>
          <w:szCs w:val="24"/>
        </w:rPr>
      </w:pPr>
      <w:r w:rsidRPr="00A100A5">
        <w:rPr>
          <w:rFonts w:ascii="Times New Roman" w:hAnsi="Times New Roman"/>
          <w:b/>
          <w:i/>
          <w:sz w:val="24"/>
          <w:szCs w:val="24"/>
        </w:rPr>
        <w:t>1.</w:t>
      </w:r>
      <w:r w:rsidRPr="00A100A5">
        <w:rPr>
          <w:rFonts w:ascii="Times New Roman" w:hAnsi="Times New Roman"/>
          <w:b/>
          <w:i/>
          <w:sz w:val="24"/>
          <w:szCs w:val="24"/>
        </w:rPr>
        <w:tab/>
        <w:t>Circumstances that make collection necessary:</w:t>
      </w:r>
      <w:r w:rsidRPr="00A100A5" w:rsidR="0030234F">
        <w:rPr>
          <w:rFonts w:ascii="Times New Roman" w:hAnsi="Times New Roman"/>
          <w:b/>
          <w:i/>
          <w:sz w:val="24"/>
          <w:szCs w:val="24"/>
        </w:rPr>
        <w:t xml:space="preserve"> </w:t>
      </w:r>
    </w:p>
    <w:p w:rsidRPr="00A100A5" w:rsidR="00A427C1" w:rsidP="00A100A5" w:rsidRDefault="00A427C1" w14:paraId="1FE1CDC7" w14:textId="77777777">
      <w:pPr>
        <w:rPr>
          <w:rFonts w:ascii="Times New Roman" w:hAnsi="Times New Roman"/>
          <w:sz w:val="24"/>
          <w:szCs w:val="24"/>
        </w:rPr>
      </w:pPr>
    </w:p>
    <w:p w:rsidR="00A100A5" w:rsidP="00A100A5" w:rsidRDefault="00A100A5" w14:paraId="0E29FB58" w14:textId="67277DF5">
      <w:pPr>
        <w:tabs>
          <w:tab w:val="center" w:pos="4680"/>
        </w:tabs>
        <w:rPr>
          <w:rFonts w:ascii="Times New Roman" w:hAnsi="Times New Roman"/>
          <w:sz w:val="24"/>
          <w:szCs w:val="24"/>
        </w:rPr>
      </w:pPr>
      <w:r>
        <w:rPr>
          <w:rFonts w:ascii="Times New Roman" w:hAnsi="Times New Roman"/>
          <w:color w:val="000000"/>
          <w:sz w:val="24"/>
          <w:szCs w:val="24"/>
        </w:rPr>
        <w:t xml:space="preserve">            </w:t>
      </w:r>
      <w:r w:rsidRPr="00A100A5">
        <w:rPr>
          <w:rFonts w:ascii="Times New Roman" w:hAnsi="Times New Roman"/>
          <w:color w:val="000000"/>
          <w:sz w:val="24"/>
          <w:szCs w:val="24"/>
        </w:rPr>
        <w:t xml:space="preserve">The Consumer Financial Protection Bureau’s (CFPB) </w:t>
      </w:r>
      <w:r w:rsidRPr="00A100A5">
        <w:rPr>
          <w:rFonts w:ascii="Times New Roman" w:hAnsi="Times New Roman"/>
          <w:sz w:val="24"/>
          <w:szCs w:val="24"/>
        </w:rPr>
        <w:t>Regulation C,</w:t>
      </w:r>
      <w:r w:rsidRPr="00A100A5">
        <w:rPr>
          <w:rStyle w:val="FootnoteReference"/>
          <w:rFonts w:ascii="Times New Roman" w:hAnsi="Times New Roman"/>
          <w:sz w:val="24"/>
          <w:szCs w:val="24"/>
        </w:rPr>
        <w:footnoteReference w:id="2"/>
      </w:r>
      <w:r w:rsidRPr="00A100A5">
        <w:rPr>
          <w:rFonts w:ascii="Times New Roman" w:hAnsi="Times New Roman"/>
          <w:sz w:val="24"/>
          <w:szCs w:val="24"/>
        </w:rPr>
        <w:t xml:space="preserve"> which implements the Home Mortgage Disclosure Act (HMDA)</w:t>
      </w:r>
      <w:r w:rsidRPr="00A100A5">
        <w:rPr>
          <w:rStyle w:val="FootnoteReference"/>
          <w:rFonts w:ascii="Times New Roman" w:hAnsi="Times New Roman"/>
          <w:sz w:val="24"/>
          <w:szCs w:val="24"/>
        </w:rPr>
        <w:footnoteReference w:id="3"/>
      </w:r>
      <w:r w:rsidRPr="00A100A5">
        <w:rPr>
          <w:rFonts w:ascii="Times New Roman" w:hAnsi="Times New Roman"/>
          <w:sz w:val="24"/>
          <w:szCs w:val="24"/>
          <w:vertAlign w:val="superscript"/>
        </w:rPr>
        <w:t xml:space="preserve"> </w:t>
      </w:r>
      <w:r w:rsidRPr="00A100A5">
        <w:rPr>
          <w:rFonts w:ascii="Times New Roman" w:hAnsi="Times New Roman"/>
          <w:sz w:val="24"/>
          <w:szCs w:val="24"/>
        </w:rPr>
        <w:t xml:space="preserve">requires certain depository and non-depository institutions (financial institutions) that make certain mortgage loans to collect, report, and disclose data about originations and purchases of mortgage loans as well as data about loan applications that do not result in originations.  HMDA requires the generation of loan data that can be used to: (1) help determine whether depository and non-depository institutions are serving the housing needs of their communities; (2) assist public officials in distributing public-sector investments </w:t>
      </w:r>
      <w:proofErr w:type="gramStart"/>
      <w:r w:rsidRPr="00A100A5">
        <w:rPr>
          <w:rFonts w:ascii="Times New Roman" w:hAnsi="Times New Roman"/>
          <w:sz w:val="24"/>
          <w:szCs w:val="24"/>
        </w:rPr>
        <w:t>so as to</w:t>
      </w:r>
      <w:proofErr w:type="gramEnd"/>
      <w:r w:rsidRPr="00A100A5">
        <w:rPr>
          <w:rFonts w:ascii="Times New Roman" w:hAnsi="Times New Roman"/>
          <w:sz w:val="24"/>
          <w:szCs w:val="24"/>
        </w:rPr>
        <w:t xml:space="preserve"> attract private investment to areas where it is needed; and (3) assist in identifying possible discriminatory lending patterns and enforcing anti-discrimination statutes. </w:t>
      </w:r>
    </w:p>
    <w:p w:rsidRPr="00A100A5" w:rsidR="00A100A5" w:rsidP="00A100A5" w:rsidRDefault="00A100A5" w14:paraId="7118102B" w14:textId="77777777">
      <w:pPr>
        <w:tabs>
          <w:tab w:val="center" w:pos="4680"/>
        </w:tabs>
        <w:rPr>
          <w:rFonts w:ascii="Times New Roman" w:hAnsi="Times New Roman"/>
          <w:sz w:val="24"/>
          <w:szCs w:val="24"/>
        </w:rPr>
      </w:pPr>
    </w:p>
    <w:p w:rsidR="00A100A5" w:rsidP="00A100A5" w:rsidRDefault="00A100A5" w14:paraId="7B9C1789" w14:textId="43313E9A">
      <w:pPr>
        <w:keepNext/>
        <w:ind w:firstLine="720"/>
        <w:rPr>
          <w:rFonts w:ascii="Times New Roman" w:hAnsi="Times New Roman"/>
          <w:sz w:val="24"/>
          <w:szCs w:val="24"/>
        </w:rPr>
      </w:pPr>
      <w:r w:rsidRPr="00A100A5">
        <w:rPr>
          <w:rFonts w:ascii="Times New Roman" w:hAnsi="Times New Roman"/>
          <w:sz w:val="24"/>
          <w:szCs w:val="24"/>
        </w:rPr>
        <w:t xml:space="preserve">Twelve CFR 1003.5 requires the disclosure and reporting of data on mortgage loans.  Section 1003.5(a)(1)(i) provides that by March 1 following the calendar year for which data are collected and recorded, a financial institution must submit its annual loan/application register in electronic format to the appropriate Federal agency at the address identified by such agency. An authorized representative of the financial institution with knowledge of the data submitted must certify to the accuracy and completeness of data submitted. The financial institution must retain a copy of its annual loan/application register for at least three years. </w:t>
      </w:r>
    </w:p>
    <w:p w:rsidRPr="00A100A5" w:rsidR="00A100A5" w:rsidP="00A100A5" w:rsidRDefault="00A100A5" w14:paraId="533B72E2" w14:textId="77777777">
      <w:pPr>
        <w:keepNext/>
        <w:ind w:firstLine="720"/>
        <w:rPr>
          <w:rFonts w:ascii="Times New Roman" w:hAnsi="Times New Roman"/>
          <w:sz w:val="24"/>
          <w:szCs w:val="24"/>
        </w:rPr>
      </w:pPr>
    </w:p>
    <w:p w:rsidR="00A100A5" w:rsidP="00A100A5" w:rsidRDefault="00A100A5" w14:paraId="2E3FE84B" w14:textId="2AB3393F">
      <w:pPr>
        <w:keepNext/>
        <w:ind w:firstLine="720"/>
        <w:rPr>
          <w:rFonts w:ascii="Times New Roman" w:hAnsi="Times New Roman"/>
          <w:sz w:val="24"/>
          <w:szCs w:val="24"/>
        </w:rPr>
      </w:pPr>
      <w:r w:rsidRPr="00A100A5">
        <w:rPr>
          <w:rFonts w:ascii="Times New Roman" w:hAnsi="Times New Roman"/>
          <w:sz w:val="24"/>
          <w:szCs w:val="24"/>
        </w:rPr>
        <w:t>Section 1003.5(a)(1)(ii) provides that within 60 calendar days after the end of each calendar quarter except the fourth quarter, a financial institution that reported for the preceding calendar year at least 60,000 covered loans and applications, combined, excluding purchased covered loans, shall submit to the appropriate Federal agency its loan/application register containing all data required to be recorded for that quarter pursuant to § 1003.4(f). The financial institution shall submit its quarterly loan/application register pursuant to § 1003.5(a)(1)(ii) in electronic format at the address identified by the appropriate Federal agency for the institution.</w:t>
      </w:r>
    </w:p>
    <w:p w:rsidRPr="00A100A5" w:rsidR="00A100A5" w:rsidP="00A100A5" w:rsidRDefault="00A100A5" w14:paraId="38A7E401" w14:textId="77777777">
      <w:pPr>
        <w:keepNext/>
        <w:ind w:firstLine="720"/>
        <w:rPr>
          <w:rFonts w:ascii="Times New Roman" w:hAnsi="Times New Roman"/>
          <w:sz w:val="24"/>
          <w:szCs w:val="24"/>
        </w:rPr>
      </w:pPr>
    </w:p>
    <w:p w:rsidR="00A100A5" w:rsidP="00A100A5" w:rsidRDefault="00A100A5" w14:paraId="64BF5318" w14:textId="1BE2C418">
      <w:pPr>
        <w:keepNext/>
        <w:ind w:firstLine="720"/>
        <w:rPr>
          <w:rFonts w:ascii="Times New Roman" w:hAnsi="Times New Roman"/>
          <w:sz w:val="24"/>
          <w:szCs w:val="24"/>
        </w:rPr>
      </w:pPr>
      <w:r w:rsidRPr="00A100A5">
        <w:rPr>
          <w:rFonts w:ascii="Times New Roman" w:hAnsi="Times New Roman"/>
          <w:sz w:val="24"/>
          <w:szCs w:val="24"/>
        </w:rPr>
        <w:t xml:space="preserve">Under section 1003.5(a)(2), a financial institution that is a subsidiary of a bank or savings association must complete a separate loan/application register. The subsidiary must submit the </w:t>
      </w:r>
      <w:r w:rsidRPr="00A100A5">
        <w:rPr>
          <w:rFonts w:ascii="Times New Roman" w:hAnsi="Times New Roman"/>
          <w:sz w:val="24"/>
          <w:szCs w:val="24"/>
        </w:rPr>
        <w:lastRenderedPageBreak/>
        <w:t xml:space="preserve">loan/application register, directly or through its parent, to the appropriate Federal agency for the subsidiary's parent at the address identified by the agency. </w:t>
      </w:r>
    </w:p>
    <w:p w:rsidRPr="00A100A5" w:rsidR="00A100A5" w:rsidP="00A100A5" w:rsidRDefault="00A100A5" w14:paraId="65899C5E" w14:textId="77777777">
      <w:pPr>
        <w:keepNext/>
        <w:ind w:firstLine="720"/>
        <w:rPr>
          <w:rFonts w:ascii="Times New Roman" w:hAnsi="Times New Roman"/>
          <w:sz w:val="24"/>
          <w:szCs w:val="24"/>
        </w:rPr>
      </w:pPr>
    </w:p>
    <w:p w:rsidR="00A100A5" w:rsidP="00A100A5" w:rsidRDefault="00A100A5" w14:paraId="1AE3B55C" w14:textId="6B409F35">
      <w:pPr>
        <w:keepNext/>
        <w:ind w:firstLine="720"/>
        <w:rPr>
          <w:rFonts w:ascii="Times New Roman" w:hAnsi="Times New Roman"/>
          <w:sz w:val="24"/>
          <w:szCs w:val="24"/>
        </w:rPr>
      </w:pPr>
      <w:r w:rsidRPr="00A100A5">
        <w:rPr>
          <w:rFonts w:ascii="Times New Roman" w:hAnsi="Times New Roman"/>
          <w:sz w:val="24"/>
          <w:szCs w:val="24"/>
        </w:rPr>
        <w:t xml:space="preserve">Section 1003.5(b)(1) provides that the Federal Financial Institutions Examination Council (FFIEC) will make available a disclosure statement based on the data each financial institution submits for the preceding calendar year. </w:t>
      </w:r>
    </w:p>
    <w:p w:rsidRPr="00A100A5" w:rsidR="00A100A5" w:rsidP="00A100A5" w:rsidRDefault="00A100A5" w14:paraId="2928A506" w14:textId="77777777">
      <w:pPr>
        <w:keepNext/>
        <w:ind w:firstLine="720"/>
        <w:rPr>
          <w:rFonts w:ascii="Times New Roman" w:hAnsi="Times New Roman"/>
          <w:sz w:val="24"/>
          <w:szCs w:val="24"/>
        </w:rPr>
      </w:pPr>
    </w:p>
    <w:p w:rsidR="00A100A5" w:rsidP="00A100A5" w:rsidRDefault="00A100A5" w14:paraId="2CB144A5" w14:textId="174F98E5">
      <w:pPr>
        <w:keepNext/>
        <w:ind w:firstLine="720"/>
        <w:rPr>
          <w:rFonts w:ascii="Times New Roman" w:hAnsi="Times New Roman"/>
          <w:sz w:val="24"/>
          <w:szCs w:val="24"/>
        </w:rPr>
      </w:pPr>
      <w:r w:rsidRPr="00A100A5">
        <w:rPr>
          <w:rFonts w:ascii="Times New Roman" w:hAnsi="Times New Roman"/>
          <w:sz w:val="24"/>
          <w:szCs w:val="24"/>
        </w:rPr>
        <w:t>Section 1003.5(b)(2) provides that no later than three business days after receiving notice from the FFIEC that a financial institution's disclosure statement is available, the financial institution must make available to the public upon request at its home office, and each branch office physically located in each Metropolitan Statistical Area (MSA) and each Metropolitan Division (MD), a written notice that clearly conveys that the institution's disclosure statement may be obtained on the CFPB's Web site.  A financial institution must make this notice available for a period of three years.</w:t>
      </w:r>
    </w:p>
    <w:p w:rsidRPr="00A100A5" w:rsidR="00A100A5" w:rsidP="00A100A5" w:rsidRDefault="00A100A5" w14:paraId="63A94821" w14:textId="77777777">
      <w:pPr>
        <w:keepNext/>
        <w:ind w:firstLine="720"/>
        <w:rPr>
          <w:rFonts w:ascii="Times New Roman" w:hAnsi="Times New Roman"/>
          <w:sz w:val="24"/>
          <w:szCs w:val="24"/>
        </w:rPr>
      </w:pPr>
    </w:p>
    <w:p w:rsidR="00A100A5" w:rsidP="00A100A5" w:rsidRDefault="00A100A5" w14:paraId="0A29B769" w14:textId="77777777">
      <w:pPr>
        <w:keepNext/>
        <w:ind w:firstLine="720"/>
        <w:rPr>
          <w:rFonts w:ascii="Times New Roman" w:hAnsi="Times New Roman"/>
          <w:sz w:val="24"/>
          <w:szCs w:val="24"/>
        </w:rPr>
      </w:pPr>
      <w:r w:rsidRPr="00A100A5">
        <w:rPr>
          <w:rFonts w:ascii="Times New Roman" w:hAnsi="Times New Roman"/>
          <w:sz w:val="24"/>
          <w:szCs w:val="24"/>
        </w:rPr>
        <w:t xml:space="preserve">Section 1003.5(c)(1) provides that a financial institution must make available to the public upon request at its home office, and each branch office physically located in each MSA and each MD, a written notice that clearly conveys that the institution's loan/application register, as modified by the CFPB to protect applicant and borrower privacy, may be obtained on the CFPB’s Web site.  A financial institution shall make available the notice following the calendar year for which the data are collected.  A financial institution must make the notice available to the public for a period of five years.      </w:t>
      </w:r>
    </w:p>
    <w:p w:rsidRPr="00A100A5" w:rsidR="00A100A5" w:rsidP="00A100A5" w:rsidRDefault="00A100A5" w14:paraId="27A32697" w14:textId="70410A01">
      <w:pPr>
        <w:keepNext/>
        <w:ind w:firstLine="720"/>
        <w:rPr>
          <w:rFonts w:ascii="Times New Roman" w:hAnsi="Times New Roman"/>
          <w:sz w:val="24"/>
          <w:szCs w:val="24"/>
        </w:rPr>
      </w:pPr>
      <w:r w:rsidRPr="00A100A5">
        <w:rPr>
          <w:rFonts w:ascii="Times New Roman" w:hAnsi="Times New Roman"/>
          <w:sz w:val="24"/>
          <w:szCs w:val="24"/>
        </w:rPr>
        <w:t xml:space="preserve">      </w:t>
      </w:r>
      <w:bookmarkStart w:name="_Hlk98410232" w:id="0"/>
    </w:p>
    <w:p w:rsidR="00A100A5" w:rsidP="00A100A5" w:rsidRDefault="00A100A5" w14:paraId="390C2E9F" w14:textId="7D6DF21C">
      <w:pPr>
        <w:keepNext/>
        <w:ind w:firstLine="720"/>
        <w:rPr>
          <w:rFonts w:ascii="Times New Roman" w:hAnsi="Times New Roman"/>
          <w:sz w:val="24"/>
          <w:szCs w:val="24"/>
        </w:rPr>
      </w:pPr>
      <w:r w:rsidRPr="00A100A5">
        <w:rPr>
          <w:rFonts w:ascii="Times New Roman" w:hAnsi="Times New Roman"/>
          <w:sz w:val="24"/>
          <w:szCs w:val="24"/>
        </w:rPr>
        <w:t xml:space="preserve">Section 1003.5(d)(2) provides that a </w:t>
      </w:r>
      <w:bookmarkEnd w:id="0"/>
      <w:r w:rsidRPr="00A100A5">
        <w:rPr>
          <w:rFonts w:ascii="Times New Roman" w:hAnsi="Times New Roman"/>
          <w:sz w:val="24"/>
          <w:szCs w:val="24"/>
        </w:rPr>
        <w:t xml:space="preserve">financial institution may make available to the public, at its discretion its disclosure statement or its loan/application register, as modified by the CFPB to protect applicant and borrower privacy. </w:t>
      </w:r>
    </w:p>
    <w:p w:rsidRPr="00A100A5" w:rsidR="00A100A5" w:rsidP="00A100A5" w:rsidRDefault="00A100A5" w14:paraId="7DEE1A7F" w14:textId="77777777">
      <w:pPr>
        <w:keepNext/>
        <w:ind w:firstLine="720"/>
        <w:rPr>
          <w:rFonts w:ascii="Times New Roman" w:hAnsi="Times New Roman"/>
          <w:sz w:val="24"/>
          <w:szCs w:val="24"/>
        </w:rPr>
      </w:pPr>
    </w:p>
    <w:p w:rsidRPr="00A100A5" w:rsidR="00A100A5" w:rsidP="00A100A5" w:rsidRDefault="00A100A5" w14:paraId="23655358" w14:textId="77777777">
      <w:pPr>
        <w:keepNext/>
        <w:ind w:firstLine="720"/>
        <w:rPr>
          <w:rFonts w:ascii="Times New Roman" w:hAnsi="Times New Roman"/>
          <w:sz w:val="24"/>
          <w:szCs w:val="24"/>
        </w:rPr>
      </w:pPr>
      <w:bookmarkStart w:name="_Hlk98410250" w:id="1"/>
      <w:r w:rsidRPr="00A100A5">
        <w:rPr>
          <w:rFonts w:ascii="Times New Roman" w:hAnsi="Times New Roman"/>
          <w:sz w:val="24"/>
          <w:szCs w:val="24"/>
        </w:rPr>
        <w:t xml:space="preserve">Section 1003.5(e) provides that a </w:t>
      </w:r>
      <w:bookmarkEnd w:id="1"/>
      <w:r w:rsidRPr="00A100A5">
        <w:rPr>
          <w:rFonts w:ascii="Times New Roman" w:hAnsi="Times New Roman"/>
          <w:sz w:val="24"/>
          <w:szCs w:val="24"/>
        </w:rPr>
        <w:t>financial institution must post a general notice about the availability of its HMDA data in the lobby of its home office and of each branch office physically located in each MSA and each MD. This notice must clearly convey that the institution's HMDA data is available on the CFPB’s Web site.</w:t>
      </w:r>
    </w:p>
    <w:p w:rsidRPr="00A100A5" w:rsidR="00A427C1" w:rsidP="00147FDE" w:rsidRDefault="00A427C1" w14:paraId="27536286" w14:textId="77777777">
      <w:pPr>
        <w:autoSpaceDE w:val="0"/>
        <w:autoSpaceDN w:val="0"/>
        <w:adjustRightInd w:val="0"/>
        <w:rPr>
          <w:rFonts w:ascii="Times New Roman" w:hAnsi="Times New Roman"/>
          <w:sz w:val="24"/>
          <w:szCs w:val="24"/>
        </w:rPr>
      </w:pPr>
    </w:p>
    <w:p w:rsidRPr="00A100A5" w:rsidR="00A427C1" w:rsidP="003B19A3" w:rsidRDefault="00A427C1" w14:paraId="44F77F74" w14:textId="77777777">
      <w:pPr>
        <w:pStyle w:val="BodyText"/>
        <w:widowControl w:val="0"/>
        <w:ind w:right="162"/>
        <w:jc w:val="both"/>
        <w:rPr>
          <w:rFonts w:ascii="Times New Roman" w:hAnsi="Times New Roman"/>
          <w:b/>
          <w:i/>
          <w:szCs w:val="24"/>
        </w:rPr>
      </w:pPr>
      <w:r w:rsidRPr="00A100A5">
        <w:rPr>
          <w:rFonts w:ascii="Times New Roman" w:hAnsi="Times New Roman"/>
          <w:b/>
          <w:i/>
          <w:szCs w:val="24"/>
        </w:rPr>
        <w:t>2.</w:t>
      </w:r>
      <w:r w:rsidRPr="00A100A5">
        <w:rPr>
          <w:rFonts w:ascii="Times New Roman" w:hAnsi="Times New Roman"/>
          <w:b/>
          <w:i/>
          <w:szCs w:val="24"/>
        </w:rPr>
        <w:tab/>
        <w:t>Use of the information:</w:t>
      </w:r>
    </w:p>
    <w:p w:rsidRPr="00A100A5" w:rsidR="00DD585B" w:rsidP="003B19A3" w:rsidRDefault="00DD585B" w14:paraId="65E157A2" w14:textId="77777777">
      <w:pPr>
        <w:shd w:val="clear" w:color="auto" w:fill="FFFFFF"/>
        <w:rPr>
          <w:rFonts w:ascii="Times New Roman" w:hAnsi="Times New Roman"/>
          <w:bCs/>
          <w:sz w:val="24"/>
          <w:szCs w:val="24"/>
        </w:rPr>
      </w:pPr>
    </w:p>
    <w:p w:rsidRPr="00A100A5" w:rsidR="00DD585B" w:rsidP="003B19A3" w:rsidRDefault="00DD585B" w14:paraId="10EBE188" w14:textId="77777777">
      <w:pPr>
        <w:shd w:val="clear" w:color="auto" w:fill="FFFFFF"/>
        <w:ind w:firstLine="720"/>
        <w:rPr>
          <w:rFonts w:ascii="Times New Roman" w:hAnsi="Times New Roman"/>
          <w:sz w:val="24"/>
          <w:szCs w:val="24"/>
        </w:rPr>
      </w:pPr>
      <w:r w:rsidRPr="00A100A5">
        <w:rPr>
          <w:rFonts w:ascii="Times New Roman" w:hAnsi="Times New Roman"/>
          <w:sz w:val="24"/>
          <w:szCs w:val="24"/>
        </w:rPr>
        <w:t xml:space="preserve">This regulation implements the requirements of </w:t>
      </w:r>
      <w:r w:rsidRPr="00A100A5" w:rsidR="00785A03">
        <w:rPr>
          <w:rFonts w:ascii="Times New Roman" w:hAnsi="Times New Roman"/>
          <w:sz w:val="24"/>
          <w:szCs w:val="24"/>
        </w:rPr>
        <w:t>HMDA</w:t>
      </w:r>
      <w:r w:rsidRPr="00A100A5">
        <w:rPr>
          <w:rFonts w:ascii="Times New Roman" w:hAnsi="Times New Roman"/>
          <w:sz w:val="24"/>
          <w:szCs w:val="24"/>
        </w:rPr>
        <w:t xml:space="preserve">.  The regulation requires certain financial institutions to report data to the appropriate </w:t>
      </w:r>
      <w:r w:rsidRPr="00A100A5" w:rsidR="00785A03">
        <w:rPr>
          <w:rFonts w:ascii="Times New Roman" w:hAnsi="Times New Roman"/>
          <w:sz w:val="24"/>
          <w:szCs w:val="24"/>
        </w:rPr>
        <w:t>f</w:t>
      </w:r>
      <w:r w:rsidRPr="00A100A5">
        <w:rPr>
          <w:rFonts w:ascii="Times New Roman" w:hAnsi="Times New Roman"/>
          <w:sz w:val="24"/>
          <w:szCs w:val="24"/>
        </w:rPr>
        <w:t xml:space="preserve">ederal agency about home purchase loans, home improvement loans, and </w:t>
      </w:r>
      <w:proofErr w:type="spellStart"/>
      <w:r w:rsidRPr="00A100A5">
        <w:rPr>
          <w:rFonts w:ascii="Times New Roman" w:hAnsi="Times New Roman"/>
          <w:sz w:val="24"/>
          <w:szCs w:val="24"/>
        </w:rPr>
        <w:t>refinancings</w:t>
      </w:r>
      <w:proofErr w:type="spellEnd"/>
      <w:r w:rsidRPr="00A100A5">
        <w:rPr>
          <w:rFonts w:ascii="Times New Roman" w:hAnsi="Times New Roman"/>
          <w:sz w:val="24"/>
          <w:szCs w:val="24"/>
        </w:rPr>
        <w:t xml:space="preserve"> that the financial institutions originate or purchase, or for which they receive certain applications and to disclose certain data to the public.</w:t>
      </w:r>
    </w:p>
    <w:p w:rsidRPr="00A100A5" w:rsidR="00DF2BFF" w:rsidP="003B19A3" w:rsidRDefault="00DF2BFF" w14:paraId="4437E5AA" w14:textId="77777777">
      <w:pPr>
        <w:rPr>
          <w:rFonts w:ascii="Times New Roman" w:hAnsi="Times New Roman"/>
          <w:sz w:val="24"/>
          <w:szCs w:val="24"/>
        </w:rPr>
      </w:pPr>
    </w:p>
    <w:p w:rsidRPr="00A100A5" w:rsidR="00A427C1" w:rsidP="003B19A3" w:rsidRDefault="00A427C1" w14:paraId="2F727AA2" w14:textId="77777777">
      <w:pPr>
        <w:rPr>
          <w:rFonts w:ascii="Times New Roman" w:hAnsi="Times New Roman"/>
          <w:b/>
          <w:i/>
          <w:sz w:val="24"/>
          <w:szCs w:val="24"/>
        </w:rPr>
      </w:pPr>
      <w:r w:rsidRPr="00A100A5">
        <w:rPr>
          <w:rFonts w:ascii="Times New Roman" w:hAnsi="Times New Roman"/>
          <w:b/>
          <w:i/>
          <w:sz w:val="24"/>
          <w:szCs w:val="24"/>
        </w:rPr>
        <w:t>3.</w:t>
      </w:r>
      <w:r w:rsidRPr="00A100A5">
        <w:rPr>
          <w:rFonts w:ascii="Times New Roman" w:hAnsi="Times New Roman"/>
          <w:b/>
          <w:i/>
          <w:sz w:val="24"/>
          <w:szCs w:val="24"/>
        </w:rPr>
        <w:tab/>
        <w:t>Consideration of the use of improved information technology:</w:t>
      </w:r>
    </w:p>
    <w:p w:rsidRPr="00A100A5" w:rsidR="00A427C1" w:rsidP="003B19A3" w:rsidRDefault="00A427C1" w14:paraId="55D76474" w14:textId="77777777">
      <w:pPr>
        <w:rPr>
          <w:rFonts w:ascii="Times New Roman" w:hAnsi="Times New Roman"/>
          <w:sz w:val="24"/>
          <w:szCs w:val="24"/>
        </w:rPr>
      </w:pPr>
    </w:p>
    <w:p w:rsidRPr="00A100A5" w:rsidR="00A427C1" w:rsidP="003B19A3" w:rsidRDefault="000B4F70" w14:paraId="43359A8B" w14:textId="77777777">
      <w:pPr>
        <w:ind w:firstLine="720"/>
        <w:rPr>
          <w:rFonts w:ascii="Times New Roman" w:hAnsi="Times New Roman"/>
          <w:sz w:val="24"/>
          <w:szCs w:val="24"/>
        </w:rPr>
      </w:pPr>
      <w:r w:rsidRPr="00A100A5">
        <w:rPr>
          <w:rFonts w:ascii="Times New Roman" w:hAnsi="Times New Roman"/>
          <w:sz w:val="24"/>
          <w:szCs w:val="24"/>
        </w:rPr>
        <w:t>Institutions</w:t>
      </w:r>
      <w:r w:rsidRPr="00A100A5" w:rsidR="00A427C1">
        <w:rPr>
          <w:rFonts w:ascii="Times New Roman" w:hAnsi="Times New Roman"/>
          <w:sz w:val="24"/>
          <w:szCs w:val="24"/>
        </w:rPr>
        <w:t xml:space="preserve"> may use any technology that is reasonable and appropriate for its circumstances.</w:t>
      </w:r>
    </w:p>
    <w:p w:rsidRPr="00A100A5" w:rsidR="0048452B" w:rsidP="003B19A3" w:rsidRDefault="0048452B" w14:paraId="7A76AF9E" w14:textId="77777777">
      <w:pPr>
        <w:rPr>
          <w:rFonts w:ascii="Times New Roman" w:hAnsi="Times New Roman"/>
          <w:i/>
          <w:sz w:val="24"/>
          <w:szCs w:val="24"/>
        </w:rPr>
      </w:pPr>
    </w:p>
    <w:p w:rsidRPr="00A100A5" w:rsidR="00A427C1" w:rsidP="003B19A3" w:rsidRDefault="00A427C1" w14:paraId="363C3A88" w14:textId="77777777">
      <w:pPr>
        <w:rPr>
          <w:rFonts w:ascii="Times New Roman" w:hAnsi="Times New Roman"/>
          <w:b/>
          <w:i/>
          <w:sz w:val="24"/>
          <w:szCs w:val="24"/>
        </w:rPr>
      </w:pPr>
      <w:r w:rsidRPr="00A100A5">
        <w:rPr>
          <w:rFonts w:ascii="Times New Roman" w:hAnsi="Times New Roman"/>
          <w:b/>
          <w:i/>
          <w:sz w:val="24"/>
          <w:szCs w:val="24"/>
        </w:rPr>
        <w:t>4.</w:t>
      </w:r>
      <w:r w:rsidRPr="00A100A5">
        <w:rPr>
          <w:rFonts w:ascii="Times New Roman" w:hAnsi="Times New Roman"/>
          <w:b/>
          <w:i/>
          <w:sz w:val="24"/>
          <w:szCs w:val="24"/>
        </w:rPr>
        <w:tab/>
        <w:t>Efforts to identify duplication:</w:t>
      </w:r>
    </w:p>
    <w:p w:rsidRPr="00A100A5" w:rsidR="00325E1C" w:rsidP="003B19A3" w:rsidRDefault="00325E1C" w14:paraId="3F9E503E" w14:textId="77777777">
      <w:pPr>
        <w:ind w:firstLine="720"/>
        <w:rPr>
          <w:rFonts w:ascii="Times New Roman" w:hAnsi="Times New Roman"/>
          <w:sz w:val="24"/>
          <w:szCs w:val="24"/>
        </w:rPr>
      </w:pPr>
    </w:p>
    <w:p w:rsidRPr="00A100A5" w:rsidR="00A427C1" w:rsidP="003B19A3" w:rsidRDefault="00325E1C" w14:paraId="37793663" w14:textId="77777777">
      <w:pPr>
        <w:ind w:firstLine="720"/>
        <w:rPr>
          <w:rFonts w:ascii="Times New Roman" w:hAnsi="Times New Roman"/>
          <w:sz w:val="24"/>
          <w:szCs w:val="24"/>
        </w:rPr>
      </w:pPr>
      <w:r w:rsidRPr="00A100A5">
        <w:rPr>
          <w:rFonts w:ascii="Times New Roman" w:hAnsi="Times New Roman"/>
          <w:sz w:val="24"/>
          <w:szCs w:val="24"/>
        </w:rPr>
        <w:lastRenderedPageBreak/>
        <w:t xml:space="preserve">These </w:t>
      </w:r>
      <w:r w:rsidRPr="00A100A5" w:rsidR="00A427C1">
        <w:rPr>
          <w:rFonts w:ascii="Times New Roman" w:hAnsi="Times New Roman"/>
          <w:sz w:val="24"/>
          <w:szCs w:val="24"/>
        </w:rPr>
        <w:t xml:space="preserve">requirements and disclosures are unique and cover </w:t>
      </w:r>
      <w:r w:rsidRPr="00A100A5" w:rsidR="00B13CBF">
        <w:rPr>
          <w:rFonts w:ascii="Times New Roman" w:hAnsi="Times New Roman"/>
          <w:sz w:val="24"/>
          <w:szCs w:val="24"/>
        </w:rPr>
        <w:t>a</w:t>
      </w:r>
      <w:r w:rsidRPr="00A100A5" w:rsidR="000B4F70">
        <w:rPr>
          <w:rFonts w:ascii="Times New Roman" w:hAnsi="Times New Roman"/>
          <w:sz w:val="24"/>
          <w:szCs w:val="24"/>
        </w:rPr>
        <w:t>n institution’s</w:t>
      </w:r>
      <w:r w:rsidRPr="00A100A5" w:rsidR="00A427C1">
        <w:rPr>
          <w:rFonts w:ascii="Times New Roman" w:hAnsi="Times New Roman"/>
          <w:sz w:val="24"/>
          <w:szCs w:val="24"/>
        </w:rPr>
        <w:t xml:space="preserve"> particular circumstances.  No duplication with other regulatory requirements exists.</w:t>
      </w:r>
    </w:p>
    <w:p w:rsidRPr="00A100A5" w:rsidR="006F0406" w:rsidP="003B19A3" w:rsidRDefault="006F0406" w14:paraId="402841F7" w14:textId="77777777">
      <w:pPr>
        <w:ind w:firstLine="720"/>
        <w:rPr>
          <w:rFonts w:ascii="Times New Roman" w:hAnsi="Times New Roman"/>
          <w:sz w:val="24"/>
          <w:szCs w:val="24"/>
        </w:rPr>
      </w:pPr>
    </w:p>
    <w:p w:rsidRPr="00A100A5" w:rsidR="00DE1526" w:rsidP="003B19A3" w:rsidRDefault="00DE1526" w14:paraId="63777DF0" w14:textId="77777777">
      <w:pPr>
        <w:pStyle w:val="BodyText"/>
        <w:widowControl w:val="0"/>
        <w:ind w:left="100" w:right="861"/>
        <w:rPr>
          <w:rFonts w:ascii="Times New Roman" w:hAnsi="Times New Roman"/>
          <w:b/>
          <w:i/>
          <w:szCs w:val="24"/>
        </w:rPr>
      </w:pPr>
      <w:r w:rsidRPr="00A100A5">
        <w:rPr>
          <w:rFonts w:ascii="Times New Roman" w:hAnsi="Times New Roman"/>
          <w:b/>
          <w:bCs/>
          <w:i/>
          <w:iCs/>
          <w:szCs w:val="24"/>
        </w:rPr>
        <w:t>5.</w:t>
      </w:r>
      <w:r w:rsidRPr="00A100A5">
        <w:rPr>
          <w:rFonts w:ascii="Times New Roman" w:hAnsi="Times New Roman"/>
          <w:b/>
          <w:bCs/>
          <w:i/>
          <w:iCs/>
          <w:szCs w:val="24"/>
        </w:rPr>
        <w:tab/>
      </w:r>
      <w:r w:rsidRPr="00A100A5">
        <w:rPr>
          <w:rFonts w:ascii="Times New Roman" w:hAnsi="Times New Roman"/>
          <w:b/>
          <w:i/>
          <w:spacing w:val="-2"/>
          <w:szCs w:val="24"/>
        </w:rPr>
        <w:t>If</w:t>
      </w:r>
      <w:r w:rsidRPr="00A100A5">
        <w:rPr>
          <w:rFonts w:ascii="Times New Roman" w:hAnsi="Times New Roman"/>
          <w:b/>
          <w:i/>
          <w:spacing w:val="-8"/>
          <w:szCs w:val="24"/>
        </w:rPr>
        <w:t xml:space="preserve"> </w:t>
      </w:r>
      <w:r w:rsidRPr="00A100A5">
        <w:rPr>
          <w:rFonts w:ascii="Times New Roman" w:hAnsi="Times New Roman"/>
          <w:b/>
          <w:i/>
          <w:szCs w:val="24"/>
        </w:rPr>
        <w:t>the</w:t>
      </w:r>
      <w:r w:rsidRPr="00A100A5">
        <w:rPr>
          <w:rFonts w:ascii="Times New Roman" w:hAnsi="Times New Roman"/>
          <w:b/>
          <w:i/>
          <w:spacing w:val="-7"/>
          <w:szCs w:val="24"/>
        </w:rPr>
        <w:t xml:space="preserve"> </w:t>
      </w:r>
      <w:r w:rsidRPr="00A100A5">
        <w:rPr>
          <w:rFonts w:ascii="Times New Roman" w:hAnsi="Times New Roman"/>
          <w:b/>
          <w:i/>
          <w:spacing w:val="-1"/>
          <w:szCs w:val="24"/>
        </w:rPr>
        <w:t>collection</w:t>
      </w:r>
      <w:r w:rsidRPr="00A100A5">
        <w:rPr>
          <w:rFonts w:ascii="Times New Roman" w:hAnsi="Times New Roman"/>
          <w:b/>
          <w:i/>
          <w:spacing w:val="-7"/>
          <w:szCs w:val="24"/>
        </w:rPr>
        <w:t xml:space="preserve"> </w:t>
      </w:r>
      <w:r w:rsidRPr="00A100A5">
        <w:rPr>
          <w:rFonts w:ascii="Times New Roman" w:hAnsi="Times New Roman"/>
          <w:b/>
          <w:i/>
          <w:szCs w:val="24"/>
        </w:rPr>
        <w:t>of</w:t>
      </w:r>
      <w:r w:rsidRPr="00A100A5">
        <w:rPr>
          <w:rFonts w:ascii="Times New Roman" w:hAnsi="Times New Roman"/>
          <w:b/>
          <w:i/>
          <w:spacing w:val="-8"/>
          <w:szCs w:val="24"/>
        </w:rPr>
        <w:t xml:space="preserve"> </w:t>
      </w:r>
      <w:r w:rsidRPr="00A100A5">
        <w:rPr>
          <w:rFonts w:ascii="Times New Roman" w:hAnsi="Times New Roman"/>
          <w:b/>
          <w:i/>
          <w:spacing w:val="-1"/>
          <w:szCs w:val="24"/>
        </w:rPr>
        <w:t>information</w:t>
      </w:r>
      <w:r w:rsidRPr="00A100A5">
        <w:rPr>
          <w:rFonts w:ascii="Times New Roman" w:hAnsi="Times New Roman"/>
          <w:b/>
          <w:i/>
          <w:spacing w:val="-7"/>
          <w:szCs w:val="24"/>
        </w:rPr>
        <w:t xml:space="preserve"> </w:t>
      </w:r>
      <w:r w:rsidRPr="00A100A5">
        <w:rPr>
          <w:rFonts w:ascii="Times New Roman" w:hAnsi="Times New Roman"/>
          <w:b/>
          <w:i/>
          <w:spacing w:val="-1"/>
          <w:szCs w:val="24"/>
        </w:rPr>
        <w:t>impacts</w:t>
      </w:r>
      <w:r w:rsidRPr="00A100A5">
        <w:rPr>
          <w:rFonts w:ascii="Times New Roman" w:hAnsi="Times New Roman"/>
          <w:b/>
          <w:i/>
          <w:spacing w:val="-6"/>
          <w:szCs w:val="24"/>
        </w:rPr>
        <w:t xml:space="preserve"> </w:t>
      </w:r>
      <w:r w:rsidRPr="00A100A5">
        <w:rPr>
          <w:rFonts w:ascii="Times New Roman" w:hAnsi="Times New Roman"/>
          <w:b/>
          <w:i/>
          <w:spacing w:val="-1"/>
          <w:szCs w:val="24"/>
        </w:rPr>
        <w:t>small</w:t>
      </w:r>
      <w:r w:rsidRPr="00A100A5">
        <w:rPr>
          <w:rFonts w:ascii="Times New Roman" w:hAnsi="Times New Roman"/>
          <w:b/>
          <w:i/>
          <w:spacing w:val="-7"/>
          <w:szCs w:val="24"/>
        </w:rPr>
        <w:t xml:space="preserve"> </w:t>
      </w:r>
      <w:r w:rsidRPr="00A100A5">
        <w:rPr>
          <w:rFonts w:ascii="Times New Roman" w:hAnsi="Times New Roman"/>
          <w:b/>
          <w:i/>
          <w:spacing w:val="-1"/>
          <w:szCs w:val="24"/>
        </w:rPr>
        <w:t>businesses</w:t>
      </w:r>
      <w:r w:rsidRPr="00A100A5">
        <w:rPr>
          <w:rFonts w:ascii="Times New Roman" w:hAnsi="Times New Roman"/>
          <w:b/>
          <w:i/>
          <w:spacing w:val="-6"/>
          <w:szCs w:val="24"/>
        </w:rPr>
        <w:t xml:space="preserve"> </w:t>
      </w:r>
      <w:r w:rsidRPr="00A100A5">
        <w:rPr>
          <w:rFonts w:ascii="Times New Roman" w:hAnsi="Times New Roman"/>
          <w:b/>
          <w:i/>
          <w:szCs w:val="24"/>
        </w:rPr>
        <w:t>or</w:t>
      </w:r>
      <w:r w:rsidRPr="00A100A5">
        <w:rPr>
          <w:rFonts w:ascii="Times New Roman" w:hAnsi="Times New Roman"/>
          <w:b/>
          <w:i/>
          <w:spacing w:val="-8"/>
          <w:szCs w:val="24"/>
        </w:rPr>
        <w:t xml:space="preserve"> </w:t>
      </w:r>
      <w:r w:rsidRPr="00A100A5">
        <w:rPr>
          <w:rFonts w:ascii="Times New Roman" w:hAnsi="Times New Roman"/>
          <w:b/>
          <w:i/>
          <w:spacing w:val="1"/>
          <w:szCs w:val="24"/>
        </w:rPr>
        <w:t>other</w:t>
      </w:r>
      <w:r w:rsidRPr="00A100A5">
        <w:rPr>
          <w:rFonts w:ascii="Times New Roman" w:hAnsi="Times New Roman"/>
          <w:b/>
          <w:i/>
          <w:spacing w:val="-7"/>
          <w:szCs w:val="24"/>
        </w:rPr>
        <w:t xml:space="preserve"> </w:t>
      </w:r>
      <w:r w:rsidRPr="00A100A5">
        <w:rPr>
          <w:rFonts w:ascii="Times New Roman" w:hAnsi="Times New Roman"/>
          <w:b/>
          <w:i/>
          <w:spacing w:val="-1"/>
          <w:szCs w:val="24"/>
        </w:rPr>
        <w:t>small</w:t>
      </w:r>
      <w:r w:rsidRPr="00A100A5">
        <w:rPr>
          <w:rFonts w:ascii="Times New Roman" w:hAnsi="Times New Roman"/>
          <w:b/>
          <w:i/>
          <w:spacing w:val="-6"/>
          <w:szCs w:val="24"/>
        </w:rPr>
        <w:t xml:space="preserve"> </w:t>
      </w:r>
      <w:r w:rsidRPr="00A100A5">
        <w:rPr>
          <w:rFonts w:ascii="Times New Roman" w:hAnsi="Times New Roman"/>
          <w:b/>
          <w:i/>
          <w:szCs w:val="24"/>
        </w:rPr>
        <w:t>entities, describe</w:t>
      </w:r>
      <w:r w:rsidRPr="00A100A5">
        <w:rPr>
          <w:rFonts w:ascii="Times New Roman" w:hAnsi="Times New Roman"/>
          <w:b/>
          <w:i/>
          <w:spacing w:val="-7"/>
          <w:szCs w:val="24"/>
        </w:rPr>
        <w:t xml:space="preserve"> </w:t>
      </w:r>
      <w:r w:rsidRPr="00A100A5">
        <w:rPr>
          <w:rFonts w:ascii="Times New Roman" w:hAnsi="Times New Roman"/>
          <w:b/>
          <w:i/>
          <w:spacing w:val="1"/>
          <w:szCs w:val="24"/>
        </w:rPr>
        <w:t>any</w:t>
      </w:r>
      <w:r w:rsidRPr="00A100A5">
        <w:rPr>
          <w:rFonts w:ascii="Times New Roman" w:hAnsi="Times New Roman"/>
          <w:b/>
          <w:i/>
          <w:spacing w:val="-11"/>
          <w:szCs w:val="24"/>
        </w:rPr>
        <w:t xml:space="preserve"> </w:t>
      </w:r>
      <w:r w:rsidRPr="00A100A5">
        <w:rPr>
          <w:rFonts w:ascii="Times New Roman" w:hAnsi="Times New Roman"/>
          <w:b/>
          <w:i/>
          <w:spacing w:val="-1"/>
          <w:szCs w:val="24"/>
        </w:rPr>
        <w:t>methods</w:t>
      </w:r>
      <w:r w:rsidRPr="00A100A5">
        <w:rPr>
          <w:rFonts w:ascii="Times New Roman" w:hAnsi="Times New Roman"/>
          <w:b/>
          <w:i/>
          <w:spacing w:val="-8"/>
          <w:szCs w:val="24"/>
        </w:rPr>
        <w:t xml:space="preserve"> </w:t>
      </w:r>
      <w:r w:rsidRPr="00A100A5">
        <w:rPr>
          <w:rFonts w:ascii="Times New Roman" w:hAnsi="Times New Roman"/>
          <w:b/>
          <w:i/>
          <w:spacing w:val="-1"/>
          <w:szCs w:val="24"/>
        </w:rPr>
        <w:t>used</w:t>
      </w:r>
      <w:r w:rsidRPr="00A100A5">
        <w:rPr>
          <w:rFonts w:ascii="Times New Roman" w:hAnsi="Times New Roman"/>
          <w:b/>
          <w:i/>
          <w:spacing w:val="-8"/>
          <w:szCs w:val="24"/>
        </w:rPr>
        <w:t xml:space="preserve"> </w:t>
      </w:r>
      <w:r w:rsidRPr="00A100A5">
        <w:rPr>
          <w:rFonts w:ascii="Times New Roman" w:hAnsi="Times New Roman"/>
          <w:b/>
          <w:i/>
          <w:szCs w:val="24"/>
        </w:rPr>
        <w:t>to</w:t>
      </w:r>
      <w:r w:rsidRPr="00A100A5">
        <w:rPr>
          <w:rFonts w:ascii="Times New Roman" w:hAnsi="Times New Roman"/>
          <w:b/>
          <w:i/>
          <w:spacing w:val="-8"/>
          <w:szCs w:val="24"/>
        </w:rPr>
        <w:t xml:space="preserve"> </w:t>
      </w:r>
      <w:r w:rsidRPr="00A100A5">
        <w:rPr>
          <w:rFonts w:ascii="Times New Roman" w:hAnsi="Times New Roman"/>
          <w:b/>
          <w:i/>
          <w:szCs w:val="24"/>
        </w:rPr>
        <w:t>minimize</w:t>
      </w:r>
      <w:r w:rsidRPr="00A100A5">
        <w:rPr>
          <w:rFonts w:ascii="Times New Roman" w:hAnsi="Times New Roman"/>
          <w:b/>
          <w:i/>
          <w:spacing w:val="-8"/>
          <w:szCs w:val="24"/>
        </w:rPr>
        <w:t xml:space="preserve"> </w:t>
      </w:r>
      <w:r w:rsidRPr="00A100A5">
        <w:rPr>
          <w:rFonts w:ascii="Times New Roman" w:hAnsi="Times New Roman"/>
          <w:b/>
          <w:i/>
          <w:spacing w:val="-1"/>
          <w:szCs w:val="24"/>
        </w:rPr>
        <w:t>burden</w:t>
      </w:r>
      <w:r w:rsidRPr="00A100A5" w:rsidR="00797BF1">
        <w:rPr>
          <w:rFonts w:ascii="Times New Roman" w:hAnsi="Times New Roman"/>
          <w:b/>
          <w:i/>
          <w:spacing w:val="-1"/>
          <w:szCs w:val="24"/>
        </w:rPr>
        <w:t>:</w:t>
      </w:r>
    </w:p>
    <w:p w:rsidRPr="00A100A5" w:rsidR="00DE1526" w:rsidP="003B19A3" w:rsidRDefault="00DE1526" w14:paraId="7A275EE3" w14:textId="77777777">
      <w:pPr>
        <w:rPr>
          <w:rFonts w:ascii="Times New Roman" w:hAnsi="Times New Roman"/>
          <w:sz w:val="24"/>
          <w:szCs w:val="24"/>
        </w:rPr>
      </w:pPr>
    </w:p>
    <w:p w:rsidRPr="00A100A5" w:rsidR="00DE1526" w:rsidP="003B19A3" w:rsidRDefault="00DE1526" w14:paraId="53703096" w14:textId="77777777">
      <w:pPr>
        <w:rPr>
          <w:rFonts w:ascii="Times New Roman" w:hAnsi="Times New Roman"/>
          <w:sz w:val="24"/>
          <w:szCs w:val="24"/>
        </w:rPr>
      </w:pPr>
      <w:r w:rsidRPr="00A100A5">
        <w:rPr>
          <w:rFonts w:ascii="Times New Roman" w:hAnsi="Times New Roman"/>
          <w:sz w:val="24"/>
          <w:szCs w:val="24"/>
        </w:rPr>
        <w:t xml:space="preserve">            There are no alternatives that would result in further lowering the burden on small institutions, while still accomplishing the purposes of the rules.</w:t>
      </w:r>
    </w:p>
    <w:p w:rsidRPr="00A100A5" w:rsidR="00A427C1" w:rsidP="003B19A3" w:rsidRDefault="00DD19B7" w14:paraId="1204C9BB" w14:textId="77777777">
      <w:pPr>
        <w:ind w:firstLine="720"/>
        <w:rPr>
          <w:rFonts w:ascii="Times New Roman" w:hAnsi="Times New Roman"/>
          <w:sz w:val="24"/>
          <w:szCs w:val="24"/>
        </w:rPr>
      </w:pPr>
      <w:r w:rsidRPr="00A100A5">
        <w:rPr>
          <w:rFonts w:ascii="Times New Roman" w:hAnsi="Times New Roman"/>
          <w:sz w:val="24"/>
          <w:szCs w:val="24"/>
        </w:rPr>
        <w:t xml:space="preserve">  </w:t>
      </w:r>
    </w:p>
    <w:p w:rsidRPr="00A100A5" w:rsidR="00A427C1" w:rsidP="003B19A3" w:rsidRDefault="00A427C1" w14:paraId="5CBBB93D" w14:textId="77777777">
      <w:pPr>
        <w:rPr>
          <w:rFonts w:ascii="Times New Roman" w:hAnsi="Times New Roman"/>
          <w:b/>
          <w:i/>
          <w:sz w:val="24"/>
          <w:szCs w:val="24"/>
        </w:rPr>
      </w:pPr>
      <w:r w:rsidRPr="00A100A5">
        <w:rPr>
          <w:rFonts w:ascii="Times New Roman" w:hAnsi="Times New Roman"/>
          <w:b/>
          <w:i/>
          <w:sz w:val="24"/>
          <w:szCs w:val="24"/>
        </w:rPr>
        <w:t>6.</w:t>
      </w:r>
      <w:r w:rsidRPr="00A100A5">
        <w:rPr>
          <w:rFonts w:ascii="Times New Roman" w:hAnsi="Times New Roman"/>
          <w:b/>
          <w:i/>
          <w:sz w:val="24"/>
          <w:szCs w:val="24"/>
        </w:rPr>
        <w:tab/>
        <w:t xml:space="preserve">Consequences to the </w:t>
      </w:r>
      <w:r w:rsidRPr="00A100A5" w:rsidR="00785A03">
        <w:rPr>
          <w:rFonts w:ascii="Times New Roman" w:hAnsi="Times New Roman"/>
          <w:b/>
          <w:i/>
          <w:sz w:val="24"/>
          <w:szCs w:val="24"/>
        </w:rPr>
        <w:t>f</w:t>
      </w:r>
      <w:r w:rsidRPr="00A100A5">
        <w:rPr>
          <w:rFonts w:ascii="Times New Roman" w:hAnsi="Times New Roman"/>
          <w:b/>
          <w:i/>
          <w:sz w:val="24"/>
          <w:szCs w:val="24"/>
        </w:rPr>
        <w:t>ederal program if the collection were conducted less frequently:</w:t>
      </w:r>
    </w:p>
    <w:p w:rsidRPr="00A100A5" w:rsidR="00A427C1" w:rsidP="003B19A3" w:rsidRDefault="00A427C1" w14:paraId="28BE3CBE" w14:textId="77777777">
      <w:pPr>
        <w:rPr>
          <w:rFonts w:ascii="Times New Roman" w:hAnsi="Times New Roman"/>
          <w:sz w:val="24"/>
          <w:szCs w:val="24"/>
        </w:rPr>
      </w:pPr>
    </w:p>
    <w:p w:rsidRPr="00A100A5" w:rsidR="00A427C1" w:rsidP="003B19A3" w:rsidRDefault="00557072" w14:paraId="252D07DD" w14:textId="77777777">
      <w:pPr>
        <w:ind w:firstLine="720"/>
        <w:rPr>
          <w:rFonts w:ascii="Times New Roman" w:hAnsi="Times New Roman"/>
          <w:bCs/>
          <w:sz w:val="24"/>
          <w:szCs w:val="24"/>
        </w:rPr>
      </w:pPr>
      <w:r w:rsidRPr="00A100A5">
        <w:rPr>
          <w:rFonts w:ascii="Times New Roman" w:hAnsi="Times New Roman"/>
          <w:bCs/>
          <w:sz w:val="24"/>
          <w:szCs w:val="24"/>
        </w:rPr>
        <w:t xml:space="preserve">The public would not be protected </w:t>
      </w:r>
      <w:proofErr w:type="gramStart"/>
      <w:r w:rsidRPr="00A100A5">
        <w:rPr>
          <w:rFonts w:ascii="Times New Roman" w:hAnsi="Times New Roman"/>
          <w:bCs/>
          <w:sz w:val="24"/>
          <w:szCs w:val="24"/>
        </w:rPr>
        <w:t>adequately</w:t>
      </w:r>
      <w:proofErr w:type="gramEnd"/>
      <w:r w:rsidRPr="00A100A5">
        <w:rPr>
          <w:rFonts w:ascii="Times New Roman" w:hAnsi="Times New Roman"/>
          <w:bCs/>
          <w:sz w:val="24"/>
          <w:szCs w:val="24"/>
        </w:rPr>
        <w:t xml:space="preserve"> and negative safety and soundness consequences could result.</w:t>
      </w:r>
    </w:p>
    <w:p w:rsidRPr="00A100A5" w:rsidR="00557072" w:rsidP="003B19A3" w:rsidRDefault="00557072" w14:paraId="4B935DA9" w14:textId="77777777">
      <w:pPr>
        <w:rPr>
          <w:rFonts w:ascii="Times New Roman" w:hAnsi="Times New Roman"/>
          <w:sz w:val="24"/>
          <w:szCs w:val="24"/>
        </w:rPr>
      </w:pPr>
    </w:p>
    <w:p w:rsidRPr="00A100A5" w:rsidR="00A427C1" w:rsidP="003B19A3" w:rsidRDefault="00A427C1" w14:paraId="6F7CF4F5" w14:textId="77777777">
      <w:pPr>
        <w:rPr>
          <w:rFonts w:ascii="Times New Roman" w:hAnsi="Times New Roman"/>
          <w:b/>
          <w:i/>
          <w:sz w:val="24"/>
          <w:szCs w:val="24"/>
        </w:rPr>
      </w:pPr>
      <w:r w:rsidRPr="00A100A5">
        <w:rPr>
          <w:rFonts w:ascii="Times New Roman" w:hAnsi="Times New Roman"/>
          <w:b/>
          <w:i/>
          <w:sz w:val="24"/>
          <w:szCs w:val="24"/>
        </w:rPr>
        <w:t>7.</w:t>
      </w:r>
      <w:r w:rsidRPr="00A100A5">
        <w:rPr>
          <w:rFonts w:ascii="Times New Roman" w:hAnsi="Times New Roman"/>
          <w:b/>
          <w:i/>
          <w:sz w:val="24"/>
          <w:szCs w:val="24"/>
        </w:rPr>
        <w:tab/>
        <w:t xml:space="preserve">Special circumstances necessitating collection inconsistent with 5 CFR </w:t>
      </w:r>
      <w:r w:rsidRPr="00A100A5" w:rsidR="00DE1526">
        <w:rPr>
          <w:rFonts w:ascii="Times New Roman" w:hAnsi="Times New Roman"/>
          <w:b/>
          <w:i/>
          <w:sz w:val="24"/>
          <w:szCs w:val="24"/>
        </w:rPr>
        <w:t>p</w:t>
      </w:r>
      <w:r w:rsidRPr="00A100A5">
        <w:rPr>
          <w:rFonts w:ascii="Times New Roman" w:hAnsi="Times New Roman"/>
          <w:b/>
          <w:i/>
          <w:sz w:val="24"/>
          <w:szCs w:val="24"/>
        </w:rPr>
        <w:t>art 1320:</w:t>
      </w:r>
    </w:p>
    <w:p w:rsidRPr="00A100A5" w:rsidR="00A427C1" w:rsidP="003B19A3" w:rsidRDefault="00A427C1" w14:paraId="27CE4FAB" w14:textId="77777777">
      <w:pPr>
        <w:rPr>
          <w:rFonts w:ascii="Times New Roman" w:hAnsi="Times New Roman"/>
          <w:sz w:val="24"/>
          <w:szCs w:val="24"/>
        </w:rPr>
      </w:pPr>
    </w:p>
    <w:p w:rsidRPr="00A100A5" w:rsidR="00A427C1" w:rsidP="003B19A3" w:rsidRDefault="00A427C1" w14:paraId="30D325EB" w14:textId="77777777">
      <w:pPr>
        <w:ind w:firstLine="720"/>
        <w:rPr>
          <w:rFonts w:ascii="Times New Roman" w:hAnsi="Times New Roman"/>
          <w:sz w:val="24"/>
          <w:szCs w:val="24"/>
        </w:rPr>
      </w:pPr>
      <w:r w:rsidRPr="00A100A5">
        <w:rPr>
          <w:rFonts w:ascii="Times New Roman" w:hAnsi="Times New Roman"/>
          <w:sz w:val="24"/>
          <w:szCs w:val="24"/>
        </w:rPr>
        <w:t>Not applicable.  The collection is conducted in accordance wit</w:t>
      </w:r>
      <w:r w:rsidRPr="00A100A5" w:rsidR="00DE1526">
        <w:rPr>
          <w:rFonts w:ascii="Times New Roman" w:hAnsi="Times New Roman"/>
          <w:sz w:val="24"/>
          <w:szCs w:val="24"/>
        </w:rPr>
        <w:t>h the guidelines in 5 CFR part 1320</w:t>
      </w:r>
      <w:r w:rsidRPr="00A100A5">
        <w:rPr>
          <w:rFonts w:ascii="Times New Roman" w:hAnsi="Times New Roman"/>
          <w:sz w:val="24"/>
          <w:szCs w:val="24"/>
        </w:rPr>
        <w:t>.</w:t>
      </w:r>
    </w:p>
    <w:p w:rsidRPr="00A100A5" w:rsidR="00A427C1" w:rsidP="003B19A3" w:rsidRDefault="00A427C1" w14:paraId="2F627732" w14:textId="77777777">
      <w:pPr>
        <w:rPr>
          <w:rFonts w:ascii="Times New Roman" w:hAnsi="Times New Roman"/>
          <w:sz w:val="24"/>
          <w:szCs w:val="24"/>
        </w:rPr>
      </w:pPr>
    </w:p>
    <w:p w:rsidRPr="00A100A5" w:rsidR="00A427C1" w:rsidP="003B19A3" w:rsidRDefault="00A427C1" w14:paraId="6F83964C" w14:textId="77777777">
      <w:pPr>
        <w:rPr>
          <w:rFonts w:ascii="Times New Roman" w:hAnsi="Times New Roman"/>
          <w:b/>
          <w:i/>
          <w:sz w:val="24"/>
          <w:szCs w:val="24"/>
        </w:rPr>
      </w:pPr>
      <w:r w:rsidRPr="00A100A5">
        <w:rPr>
          <w:rFonts w:ascii="Times New Roman" w:hAnsi="Times New Roman"/>
          <w:b/>
          <w:i/>
          <w:sz w:val="24"/>
          <w:szCs w:val="24"/>
        </w:rPr>
        <w:t>8.</w:t>
      </w:r>
      <w:r w:rsidRPr="00A100A5">
        <w:rPr>
          <w:rFonts w:ascii="Times New Roman" w:hAnsi="Times New Roman"/>
          <w:b/>
          <w:i/>
          <w:sz w:val="24"/>
          <w:szCs w:val="24"/>
        </w:rPr>
        <w:tab/>
        <w:t>Efforts to consult with persons outside the agency:</w:t>
      </w:r>
    </w:p>
    <w:p w:rsidRPr="00A100A5" w:rsidR="00A427C1" w:rsidP="003B19A3" w:rsidRDefault="00A427C1" w14:paraId="2629D959" w14:textId="77777777">
      <w:pPr>
        <w:rPr>
          <w:rFonts w:ascii="Times New Roman" w:hAnsi="Times New Roman"/>
          <w:sz w:val="24"/>
          <w:szCs w:val="24"/>
        </w:rPr>
      </w:pPr>
    </w:p>
    <w:p w:rsidRPr="00A100A5" w:rsidR="00294083" w:rsidP="00C22E81" w:rsidRDefault="00E66746" w14:paraId="2E83E900" w14:textId="07C3DCF4">
      <w:pPr>
        <w:ind w:firstLine="720"/>
        <w:rPr>
          <w:rFonts w:ascii="Times New Roman" w:hAnsi="Times New Roman"/>
          <w:sz w:val="24"/>
          <w:szCs w:val="24"/>
        </w:rPr>
      </w:pPr>
      <w:r w:rsidRPr="00A100A5">
        <w:rPr>
          <w:rFonts w:ascii="Times New Roman" w:hAnsi="Times New Roman"/>
          <w:sz w:val="24"/>
          <w:szCs w:val="24"/>
        </w:rPr>
        <w:t xml:space="preserve">The OCC issued a notice for 60 days of comment </w:t>
      </w:r>
      <w:r w:rsidRPr="00A100A5" w:rsidR="001A4FCF">
        <w:rPr>
          <w:rFonts w:ascii="Times New Roman" w:hAnsi="Times New Roman"/>
          <w:sz w:val="24"/>
          <w:szCs w:val="24"/>
        </w:rPr>
        <w:t xml:space="preserve">regarding this collection </w:t>
      </w:r>
      <w:r w:rsidRPr="00A100A5">
        <w:rPr>
          <w:rFonts w:ascii="Times New Roman" w:hAnsi="Times New Roman"/>
          <w:sz w:val="24"/>
          <w:szCs w:val="24"/>
        </w:rPr>
        <w:t>o</w:t>
      </w:r>
      <w:r w:rsidRPr="00A100A5" w:rsidR="00DE1526">
        <w:rPr>
          <w:rFonts w:ascii="Times New Roman" w:hAnsi="Times New Roman"/>
          <w:sz w:val="24"/>
          <w:szCs w:val="24"/>
        </w:rPr>
        <w:t xml:space="preserve">n </w:t>
      </w:r>
      <w:r w:rsidRPr="00A100A5" w:rsidR="0047658D">
        <w:rPr>
          <w:rFonts w:ascii="Times New Roman" w:hAnsi="Times New Roman"/>
          <w:sz w:val="24"/>
          <w:szCs w:val="24"/>
        </w:rPr>
        <w:t>April 21, 2022,</w:t>
      </w:r>
      <w:r w:rsidRPr="00A100A5" w:rsidR="00811BF4">
        <w:rPr>
          <w:rFonts w:ascii="Times New Roman" w:hAnsi="Times New Roman"/>
          <w:sz w:val="24"/>
          <w:szCs w:val="24"/>
        </w:rPr>
        <w:t xml:space="preserve"> 8</w:t>
      </w:r>
      <w:r w:rsidRPr="00A100A5" w:rsidR="00C22E81">
        <w:rPr>
          <w:rFonts w:ascii="Times New Roman" w:hAnsi="Times New Roman"/>
          <w:sz w:val="24"/>
          <w:szCs w:val="24"/>
        </w:rPr>
        <w:t>7</w:t>
      </w:r>
      <w:r w:rsidRPr="00A100A5" w:rsidR="00811BF4">
        <w:rPr>
          <w:rFonts w:ascii="Times New Roman" w:hAnsi="Times New Roman"/>
          <w:sz w:val="24"/>
          <w:szCs w:val="24"/>
        </w:rPr>
        <w:t xml:space="preserve"> FR </w:t>
      </w:r>
      <w:r w:rsidRPr="00A100A5" w:rsidR="0047658D">
        <w:rPr>
          <w:rFonts w:ascii="Times New Roman" w:hAnsi="Times New Roman"/>
          <w:sz w:val="24"/>
          <w:szCs w:val="24"/>
        </w:rPr>
        <w:t>23911</w:t>
      </w:r>
      <w:r w:rsidRPr="00A100A5" w:rsidR="00811BF4">
        <w:rPr>
          <w:rFonts w:ascii="Times New Roman" w:hAnsi="Times New Roman"/>
          <w:sz w:val="24"/>
          <w:szCs w:val="24"/>
        </w:rPr>
        <w:t xml:space="preserve">.  </w:t>
      </w:r>
      <w:r w:rsidRPr="00A100A5" w:rsidR="0047658D">
        <w:rPr>
          <w:rFonts w:ascii="Times New Roman" w:hAnsi="Times New Roman"/>
          <w:sz w:val="24"/>
          <w:szCs w:val="24"/>
        </w:rPr>
        <w:t>No comments were received.</w:t>
      </w:r>
    </w:p>
    <w:p w:rsidRPr="00A100A5" w:rsidR="00A427C1" w:rsidP="003B19A3" w:rsidRDefault="00A427C1" w14:paraId="158E6B49" w14:textId="77777777">
      <w:pPr>
        <w:rPr>
          <w:rFonts w:ascii="Times New Roman" w:hAnsi="Times New Roman"/>
          <w:sz w:val="24"/>
          <w:szCs w:val="24"/>
        </w:rPr>
      </w:pPr>
    </w:p>
    <w:p w:rsidRPr="00A100A5" w:rsidR="00A427C1" w:rsidP="003B19A3" w:rsidRDefault="00A427C1" w14:paraId="13B69189" w14:textId="77777777">
      <w:pPr>
        <w:rPr>
          <w:rFonts w:ascii="Times New Roman" w:hAnsi="Times New Roman"/>
          <w:b/>
          <w:i/>
          <w:sz w:val="24"/>
          <w:szCs w:val="24"/>
        </w:rPr>
      </w:pPr>
      <w:r w:rsidRPr="00A100A5">
        <w:rPr>
          <w:rFonts w:ascii="Times New Roman" w:hAnsi="Times New Roman"/>
          <w:b/>
          <w:i/>
          <w:sz w:val="24"/>
          <w:szCs w:val="24"/>
        </w:rPr>
        <w:t>9.</w:t>
      </w:r>
      <w:r w:rsidRPr="00A100A5">
        <w:rPr>
          <w:rFonts w:ascii="Times New Roman" w:hAnsi="Times New Roman"/>
          <w:b/>
          <w:i/>
          <w:sz w:val="24"/>
          <w:szCs w:val="24"/>
        </w:rPr>
        <w:tab/>
        <w:t>Payment to respondents:</w:t>
      </w:r>
    </w:p>
    <w:p w:rsidRPr="00A100A5" w:rsidR="00A427C1" w:rsidP="003B19A3" w:rsidRDefault="00A427C1" w14:paraId="5DF9E938" w14:textId="77777777">
      <w:pPr>
        <w:rPr>
          <w:rFonts w:ascii="Times New Roman" w:hAnsi="Times New Roman"/>
          <w:sz w:val="24"/>
          <w:szCs w:val="24"/>
        </w:rPr>
      </w:pPr>
    </w:p>
    <w:p w:rsidRPr="00A100A5" w:rsidR="00A427C1" w:rsidP="003B19A3" w:rsidRDefault="00A427C1" w14:paraId="5774E8E0" w14:textId="77777777">
      <w:pPr>
        <w:ind w:firstLine="720"/>
        <w:rPr>
          <w:rFonts w:ascii="Times New Roman" w:hAnsi="Times New Roman"/>
          <w:sz w:val="24"/>
          <w:szCs w:val="24"/>
        </w:rPr>
      </w:pPr>
      <w:r w:rsidRPr="00A100A5">
        <w:rPr>
          <w:rFonts w:ascii="Times New Roman" w:hAnsi="Times New Roman"/>
          <w:sz w:val="24"/>
          <w:szCs w:val="24"/>
        </w:rPr>
        <w:t>There is no payment to respondents.</w:t>
      </w:r>
    </w:p>
    <w:p w:rsidRPr="00A100A5" w:rsidR="0067390D" w:rsidP="003B19A3" w:rsidRDefault="0067390D" w14:paraId="3B16C9EB" w14:textId="77777777">
      <w:pPr>
        <w:rPr>
          <w:rFonts w:ascii="Times New Roman" w:hAnsi="Times New Roman"/>
          <w:sz w:val="24"/>
          <w:szCs w:val="24"/>
        </w:rPr>
      </w:pPr>
    </w:p>
    <w:p w:rsidRPr="00A100A5" w:rsidR="00A427C1" w:rsidP="003B19A3" w:rsidRDefault="00A427C1" w14:paraId="744D0F77" w14:textId="77777777">
      <w:pPr>
        <w:rPr>
          <w:rFonts w:ascii="Times New Roman" w:hAnsi="Times New Roman"/>
          <w:b/>
          <w:i/>
          <w:sz w:val="24"/>
          <w:szCs w:val="24"/>
        </w:rPr>
      </w:pPr>
      <w:r w:rsidRPr="00A100A5">
        <w:rPr>
          <w:rFonts w:ascii="Times New Roman" w:hAnsi="Times New Roman"/>
          <w:b/>
          <w:i/>
          <w:sz w:val="24"/>
          <w:szCs w:val="24"/>
        </w:rPr>
        <w:t>10.</w:t>
      </w:r>
      <w:r w:rsidRPr="00A100A5">
        <w:rPr>
          <w:rFonts w:ascii="Times New Roman" w:hAnsi="Times New Roman"/>
          <w:b/>
          <w:i/>
          <w:sz w:val="24"/>
          <w:szCs w:val="24"/>
        </w:rPr>
        <w:tab/>
        <w:t>Any assurance of confidentiality:</w:t>
      </w:r>
    </w:p>
    <w:p w:rsidRPr="00A100A5" w:rsidR="00A427C1" w:rsidP="003B19A3" w:rsidRDefault="00A427C1" w14:paraId="4B5732EE" w14:textId="77777777">
      <w:pPr>
        <w:rPr>
          <w:rFonts w:ascii="Times New Roman" w:hAnsi="Times New Roman"/>
          <w:sz w:val="24"/>
          <w:szCs w:val="24"/>
        </w:rPr>
      </w:pPr>
    </w:p>
    <w:p w:rsidRPr="00A100A5" w:rsidR="00A427C1" w:rsidP="003B19A3" w:rsidRDefault="001F026B" w14:paraId="6B49A11C" w14:textId="77777777">
      <w:pPr>
        <w:ind w:firstLine="720"/>
        <w:rPr>
          <w:rFonts w:ascii="Times New Roman" w:hAnsi="Times New Roman"/>
          <w:sz w:val="24"/>
          <w:szCs w:val="24"/>
        </w:rPr>
      </w:pPr>
      <w:r w:rsidRPr="00A100A5">
        <w:rPr>
          <w:rFonts w:ascii="Times New Roman" w:hAnsi="Times New Roman"/>
          <w:sz w:val="24"/>
          <w:szCs w:val="24"/>
        </w:rPr>
        <w:t>The information collected will be kept private to the extent permitted by law.</w:t>
      </w:r>
    </w:p>
    <w:p w:rsidRPr="00A100A5" w:rsidR="00F67C1C" w:rsidP="003B19A3" w:rsidRDefault="00F67C1C" w14:paraId="02B6A869" w14:textId="77777777">
      <w:pPr>
        <w:rPr>
          <w:rFonts w:ascii="Times New Roman" w:hAnsi="Times New Roman"/>
          <w:sz w:val="24"/>
          <w:szCs w:val="24"/>
        </w:rPr>
      </w:pPr>
    </w:p>
    <w:p w:rsidRPr="00A100A5" w:rsidR="00A427C1" w:rsidP="003B19A3" w:rsidRDefault="00A427C1" w14:paraId="346773BA" w14:textId="77777777">
      <w:pPr>
        <w:rPr>
          <w:rFonts w:ascii="Times New Roman" w:hAnsi="Times New Roman"/>
          <w:b/>
          <w:i/>
          <w:sz w:val="24"/>
          <w:szCs w:val="24"/>
        </w:rPr>
      </w:pPr>
      <w:r w:rsidRPr="00A100A5">
        <w:rPr>
          <w:rFonts w:ascii="Times New Roman" w:hAnsi="Times New Roman"/>
          <w:b/>
          <w:i/>
          <w:sz w:val="24"/>
          <w:szCs w:val="24"/>
        </w:rPr>
        <w:t>11.</w:t>
      </w:r>
      <w:r w:rsidRPr="00A100A5">
        <w:rPr>
          <w:rFonts w:ascii="Times New Roman" w:hAnsi="Times New Roman"/>
          <w:b/>
          <w:i/>
          <w:sz w:val="24"/>
          <w:szCs w:val="24"/>
        </w:rPr>
        <w:tab/>
        <w:t>Justification for questions of a sensitive nature:</w:t>
      </w:r>
    </w:p>
    <w:p w:rsidRPr="00A100A5" w:rsidR="00A427C1" w:rsidP="003B19A3" w:rsidRDefault="00A427C1" w14:paraId="7FCF6728" w14:textId="77777777">
      <w:pPr>
        <w:rPr>
          <w:rFonts w:ascii="Times New Roman" w:hAnsi="Times New Roman"/>
          <w:sz w:val="24"/>
          <w:szCs w:val="24"/>
        </w:rPr>
      </w:pPr>
    </w:p>
    <w:p w:rsidRPr="00A100A5" w:rsidR="00216394" w:rsidP="003B19A3" w:rsidRDefault="00216394" w14:paraId="52B57067" w14:textId="77777777">
      <w:pPr>
        <w:ind w:firstLine="720"/>
        <w:rPr>
          <w:rFonts w:ascii="Times New Roman" w:hAnsi="Times New Roman"/>
          <w:sz w:val="24"/>
          <w:szCs w:val="24"/>
        </w:rPr>
      </w:pPr>
      <w:r w:rsidRPr="00A100A5">
        <w:rPr>
          <w:rFonts w:ascii="Times New Roman" w:hAnsi="Times New Roman"/>
          <w:sz w:val="24"/>
          <w:szCs w:val="24"/>
        </w:rPr>
        <w:t xml:space="preserve">No personally identifiable information is collected.  However, questions of a sensitive nature are included under the monitoring information requirement.  </w:t>
      </w:r>
      <w:r w:rsidRPr="00A100A5" w:rsidR="00333DC3">
        <w:rPr>
          <w:rFonts w:ascii="Times New Roman" w:hAnsi="Times New Roman"/>
          <w:sz w:val="24"/>
          <w:szCs w:val="24"/>
        </w:rPr>
        <w:t>For example, i</w:t>
      </w:r>
      <w:r w:rsidRPr="00A100A5">
        <w:rPr>
          <w:rFonts w:ascii="Times New Roman" w:hAnsi="Times New Roman"/>
          <w:sz w:val="24"/>
          <w:szCs w:val="24"/>
        </w:rPr>
        <w:t xml:space="preserve">nstitutions must ask applicants for home loans to indicate their sex and race/national origin.  If </w:t>
      </w:r>
      <w:r w:rsidRPr="00A100A5" w:rsidR="00785A03">
        <w:rPr>
          <w:rFonts w:ascii="Times New Roman" w:hAnsi="Times New Roman"/>
          <w:sz w:val="24"/>
          <w:szCs w:val="24"/>
        </w:rPr>
        <w:t>an</w:t>
      </w:r>
      <w:r w:rsidRPr="00A100A5">
        <w:rPr>
          <w:rFonts w:ascii="Times New Roman" w:hAnsi="Times New Roman"/>
          <w:sz w:val="24"/>
          <w:szCs w:val="24"/>
        </w:rPr>
        <w:t xml:space="preserve"> applicant chooses not to furnish the information, the bank must note the applicant's race and sex based on visual observation or surname.</w:t>
      </w:r>
    </w:p>
    <w:p w:rsidRPr="00A100A5" w:rsidR="00216394" w:rsidP="003B19A3" w:rsidRDefault="00216394" w14:paraId="15A5F776" w14:textId="77777777">
      <w:pPr>
        <w:rPr>
          <w:rFonts w:ascii="Times New Roman" w:hAnsi="Times New Roman"/>
          <w:sz w:val="24"/>
          <w:szCs w:val="24"/>
        </w:rPr>
      </w:pPr>
    </w:p>
    <w:p w:rsidRPr="00A100A5" w:rsidR="00216394" w:rsidP="003B19A3" w:rsidRDefault="00216394" w14:paraId="1B132DC1" w14:textId="77777777">
      <w:pPr>
        <w:ind w:firstLine="720"/>
        <w:rPr>
          <w:rFonts w:ascii="Times New Roman" w:hAnsi="Times New Roman"/>
          <w:sz w:val="24"/>
          <w:szCs w:val="24"/>
        </w:rPr>
      </w:pPr>
      <w:r w:rsidRPr="00A100A5">
        <w:rPr>
          <w:rFonts w:ascii="Times New Roman" w:hAnsi="Times New Roman"/>
          <w:sz w:val="24"/>
          <w:szCs w:val="24"/>
        </w:rPr>
        <w:t>The regulations are designed to identify possible discriminatory practices.  Such discrimination would tend to occur on how the lender perceives the applicant, rather than how the applicant characterizes himself or herself.</w:t>
      </w:r>
    </w:p>
    <w:p w:rsidRPr="00A100A5" w:rsidR="00216394" w:rsidP="003B19A3" w:rsidRDefault="00216394" w14:paraId="49CF0E51" w14:textId="77777777">
      <w:pPr>
        <w:rPr>
          <w:rFonts w:ascii="Times New Roman" w:hAnsi="Times New Roman"/>
          <w:sz w:val="24"/>
          <w:szCs w:val="24"/>
        </w:rPr>
      </w:pPr>
    </w:p>
    <w:p w:rsidRPr="00A100A5" w:rsidR="00216394" w:rsidP="003B19A3" w:rsidRDefault="00216394" w14:paraId="27652506" w14:textId="77777777">
      <w:pPr>
        <w:ind w:firstLine="720"/>
        <w:rPr>
          <w:rFonts w:ascii="Times New Roman" w:hAnsi="Times New Roman"/>
          <w:sz w:val="24"/>
          <w:szCs w:val="24"/>
        </w:rPr>
      </w:pPr>
      <w:r w:rsidRPr="00A100A5">
        <w:rPr>
          <w:rFonts w:ascii="Times New Roman" w:hAnsi="Times New Roman"/>
          <w:sz w:val="24"/>
          <w:szCs w:val="24"/>
        </w:rPr>
        <w:t xml:space="preserve">While an applicant’s color or sex may be evident when they come </w:t>
      </w:r>
      <w:r w:rsidRPr="00A100A5" w:rsidR="00785A03">
        <w:rPr>
          <w:rFonts w:ascii="Times New Roman" w:hAnsi="Times New Roman"/>
          <w:sz w:val="24"/>
          <w:szCs w:val="24"/>
        </w:rPr>
        <w:t xml:space="preserve">in person </w:t>
      </w:r>
      <w:r w:rsidRPr="00A100A5">
        <w:rPr>
          <w:rFonts w:ascii="Times New Roman" w:hAnsi="Times New Roman"/>
          <w:sz w:val="24"/>
          <w:szCs w:val="24"/>
        </w:rPr>
        <w:t xml:space="preserve">to inquire about an application, a practice of discrimination cannot be ascertained unless the examiner has </w:t>
      </w:r>
      <w:r w:rsidRPr="00A100A5">
        <w:rPr>
          <w:rFonts w:ascii="Times New Roman" w:hAnsi="Times New Roman"/>
          <w:sz w:val="24"/>
          <w:szCs w:val="24"/>
        </w:rPr>
        <w:lastRenderedPageBreak/>
        <w:t xml:space="preserve">the information on </w:t>
      </w:r>
      <w:r w:rsidRPr="00A100A5" w:rsidR="00785A03">
        <w:rPr>
          <w:rFonts w:ascii="Times New Roman" w:hAnsi="Times New Roman"/>
          <w:sz w:val="24"/>
          <w:szCs w:val="24"/>
        </w:rPr>
        <w:t>each</w:t>
      </w:r>
      <w:r w:rsidRPr="00A100A5">
        <w:rPr>
          <w:rFonts w:ascii="Times New Roman" w:hAnsi="Times New Roman"/>
          <w:sz w:val="24"/>
          <w:szCs w:val="24"/>
        </w:rPr>
        <w:t xml:space="preserve"> applicant's race or sex.  Also, without this information in each file, corrective action for the class of persons who may have been discriminated against cannot be undertaken.</w:t>
      </w:r>
    </w:p>
    <w:p w:rsidRPr="00A100A5" w:rsidR="00216394" w:rsidP="003B19A3" w:rsidRDefault="00216394" w14:paraId="6E4A2AB9" w14:textId="77777777">
      <w:pPr>
        <w:rPr>
          <w:rFonts w:ascii="Times New Roman" w:hAnsi="Times New Roman"/>
          <w:sz w:val="24"/>
          <w:szCs w:val="24"/>
        </w:rPr>
      </w:pPr>
    </w:p>
    <w:p w:rsidRPr="00A100A5" w:rsidR="00216394" w:rsidP="003B19A3" w:rsidRDefault="00216394" w14:paraId="2E55E95A" w14:textId="77777777">
      <w:pPr>
        <w:ind w:firstLine="720"/>
        <w:rPr>
          <w:rFonts w:ascii="Times New Roman" w:hAnsi="Times New Roman"/>
          <w:sz w:val="24"/>
          <w:szCs w:val="24"/>
        </w:rPr>
      </w:pPr>
      <w:r w:rsidRPr="00A100A5">
        <w:rPr>
          <w:rFonts w:ascii="Times New Roman" w:hAnsi="Times New Roman"/>
          <w:sz w:val="24"/>
          <w:szCs w:val="24"/>
        </w:rPr>
        <w:t>The collection by the OCC of sex and race/national origin information is exempted under the supervisory agency provision of 12 U.S.C. 3413(b), which permits the examination by or disclosure to any such agency of financial records or information in the exercise of its supervisory, regulatory, or monetary functions.</w:t>
      </w:r>
    </w:p>
    <w:p w:rsidRPr="00A100A5" w:rsidR="00A427C1" w:rsidP="003B19A3" w:rsidRDefault="00A427C1" w14:paraId="30E5FC23" w14:textId="77777777">
      <w:pPr>
        <w:rPr>
          <w:rFonts w:ascii="Times New Roman" w:hAnsi="Times New Roman"/>
          <w:sz w:val="24"/>
          <w:szCs w:val="24"/>
        </w:rPr>
      </w:pPr>
    </w:p>
    <w:p w:rsidR="00A100A5" w:rsidP="003B19A3" w:rsidRDefault="00A100A5" w14:paraId="3301969D" w14:textId="77777777">
      <w:pPr>
        <w:rPr>
          <w:rFonts w:ascii="Times New Roman" w:hAnsi="Times New Roman"/>
          <w:b/>
          <w:i/>
          <w:sz w:val="24"/>
          <w:szCs w:val="24"/>
        </w:rPr>
      </w:pPr>
    </w:p>
    <w:p w:rsidR="00A100A5" w:rsidP="003B19A3" w:rsidRDefault="00A100A5" w14:paraId="7C748DA5" w14:textId="77777777">
      <w:pPr>
        <w:rPr>
          <w:rFonts w:ascii="Times New Roman" w:hAnsi="Times New Roman"/>
          <w:b/>
          <w:i/>
          <w:sz w:val="24"/>
          <w:szCs w:val="24"/>
        </w:rPr>
      </w:pPr>
    </w:p>
    <w:p w:rsidR="00A100A5" w:rsidP="003B19A3" w:rsidRDefault="00A100A5" w14:paraId="047AECBF" w14:textId="77777777">
      <w:pPr>
        <w:rPr>
          <w:rFonts w:ascii="Times New Roman" w:hAnsi="Times New Roman"/>
          <w:b/>
          <w:i/>
          <w:sz w:val="24"/>
          <w:szCs w:val="24"/>
        </w:rPr>
      </w:pPr>
    </w:p>
    <w:p w:rsidR="00A100A5" w:rsidP="003B19A3" w:rsidRDefault="00A100A5" w14:paraId="73F6A7A3" w14:textId="77777777">
      <w:pPr>
        <w:rPr>
          <w:rFonts w:ascii="Times New Roman" w:hAnsi="Times New Roman"/>
          <w:b/>
          <w:i/>
          <w:sz w:val="24"/>
          <w:szCs w:val="24"/>
        </w:rPr>
      </w:pPr>
    </w:p>
    <w:p w:rsidR="00A100A5" w:rsidP="003B19A3" w:rsidRDefault="00A100A5" w14:paraId="4150FB3A" w14:textId="77777777">
      <w:pPr>
        <w:rPr>
          <w:rFonts w:ascii="Times New Roman" w:hAnsi="Times New Roman"/>
          <w:b/>
          <w:i/>
          <w:sz w:val="24"/>
          <w:szCs w:val="24"/>
        </w:rPr>
      </w:pPr>
    </w:p>
    <w:p w:rsidR="00A100A5" w:rsidP="003B19A3" w:rsidRDefault="00A100A5" w14:paraId="7AD057E9" w14:textId="77777777">
      <w:pPr>
        <w:rPr>
          <w:rFonts w:ascii="Times New Roman" w:hAnsi="Times New Roman"/>
          <w:b/>
          <w:i/>
          <w:sz w:val="24"/>
          <w:szCs w:val="24"/>
        </w:rPr>
      </w:pPr>
    </w:p>
    <w:p w:rsidR="00A100A5" w:rsidP="003B19A3" w:rsidRDefault="00A100A5" w14:paraId="3C0FEAF6" w14:textId="77777777">
      <w:pPr>
        <w:rPr>
          <w:rFonts w:ascii="Times New Roman" w:hAnsi="Times New Roman"/>
          <w:b/>
          <w:i/>
          <w:sz w:val="24"/>
          <w:szCs w:val="24"/>
        </w:rPr>
      </w:pPr>
    </w:p>
    <w:p w:rsidR="00A100A5" w:rsidP="003B19A3" w:rsidRDefault="00A100A5" w14:paraId="59B4AD43" w14:textId="77777777">
      <w:pPr>
        <w:rPr>
          <w:rFonts w:ascii="Times New Roman" w:hAnsi="Times New Roman"/>
          <w:b/>
          <w:i/>
          <w:sz w:val="24"/>
          <w:szCs w:val="24"/>
        </w:rPr>
      </w:pPr>
    </w:p>
    <w:p w:rsidR="00A100A5" w:rsidP="003B19A3" w:rsidRDefault="00A100A5" w14:paraId="41EA902E" w14:textId="77777777">
      <w:pPr>
        <w:rPr>
          <w:rFonts w:ascii="Times New Roman" w:hAnsi="Times New Roman"/>
          <w:b/>
          <w:i/>
          <w:sz w:val="24"/>
          <w:szCs w:val="24"/>
        </w:rPr>
      </w:pPr>
    </w:p>
    <w:p w:rsidR="00A100A5" w:rsidP="003B19A3" w:rsidRDefault="00A100A5" w14:paraId="3BB83782" w14:textId="77777777">
      <w:pPr>
        <w:rPr>
          <w:rFonts w:ascii="Times New Roman" w:hAnsi="Times New Roman"/>
          <w:b/>
          <w:i/>
          <w:sz w:val="24"/>
          <w:szCs w:val="24"/>
        </w:rPr>
      </w:pPr>
    </w:p>
    <w:p w:rsidR="00A100A5" w:rsidP="003B19A3" w:rsidRDefault="00A100A5" w14:paraId="30654571" w14:textId="77777777">
      <w:pPr>
        <w:rPr>
          <w:rFonts w:ascii="Times New Roman" w:hAnsi="Times New Roman"/>
          <w:b/>
          <w:i/>
          <w:sz w:val="24"/>
          <w:szCs w:val="24"/>
        </w:rPr>
      </w:pPr>
    </w:p>
    <w:p w:rsidR="00A100A5" w:rsidP="003B19A3" w:rsidRDefault="00A100A5" w14:paraId="1F2D711D" w14:textId="77777777">
      <w:pPr>
        <w:rPr>
          <w:rFonts w:ascii="Times New Roman" w:hAnsi="Times New Roman"/>
          <w:b/>
          <w:i/>
          <w:sz w:val="24"/>
          <w:szCs w:val="24"/>
        </w:rPr>
      </w:pPr>
    </w:p>
    <w:p w:rsidR="00A100A5" w:rsidP="003B19A3" w:rsidRDefault="00A100A5" w14:paraId="51F58DA9" w14:textId="77777777">
      <w:pPr>
        <w:rPr>
          <w:rFonts w:ascii="Times New Roman" w:hAnsi="Times New Roman"/>
          <w:b/>
          <w:i/>
          <w:sz w:val="24"/>
          <w:szCs w:val="24"/>
        </w:rPr>
      </w:pPr>
    </w:p>
    <w:p w:rsidR="00A100A5" w:rsidP="003B19A3" w:rsidRDefault="00A100A5" w14:paraId="7A94E5CD" w14:textId="77777777">
      <w:pPr>
        <w:rPr>
          <w:rFonts w:ascii="Times New Roman" w:hAnsi="Times New Roman"/>
          <w:b/>
          <w:i/>
          <w:sz w:val="24"/>
          <w:szCs w:val="24"/>
        </w:rPr>
      </w:pPr>
    </w:p>
    <w:p w:rsidR="00A100A5" w:rsidP="003B19A3" w:rsidRDefault="00A100A5" w14:paraId="7A776FE0" w14:textId="77777777">
      <w:pPr>
        <w:rPr>
          <w:rFonts w:ascii="Times New Roman" w:hAnsi="Times New Roman"/>
          <w:b/>
          <w:i/>
          <w:sz w:val="24"/>
          <w:szCs w:val="24"/>
        </w:rPr>
      </w:pPr>
    </w:p>
    <w:p w:rsidR="00A100A5" w:rsidP="003B19A3" w:rsidRDefault="00A100A5" w14:paraId="09587E95" w14:textId="77777777">
      <w:pPr>
        <w:rPr>
          <w:rFonts w:ascii="Times New Roman" w:hAnsi="Times New Roman"/>
          <w:b/>
          <w:i/>
          <w:sz w:val="24"/>
          <w:szCs w:val="24"/>
        </w:rPr>
      </w:pPr>
    </w:p>
    <w:p w:rsidR="00A100A5" w:rsidP="003B19A3" w:rsidRDefault="00A100A5" w14:paraId="5A2E8509" w14:textId="77777777">
      <w:pPr>
        <w:rPr>
          <w:rFonts w:ascii="Times New Roman" w:hAnsi="Times New Roman"/>
          <w:b/>
          <w:i/>
          <w:sz w:val="24"/>
          <w:szCs w:val="24"/>
        </w:rPr>
      </w:pPr>
    </w:p>
    <w:p w:rsidR="00A100A5" w:rsidP="003B19A3" w:rsidRDefault="00A100A5" w14:paraId="6F20B9B5" w14:textId="77777777">
      <w:pPr>
        <w:rPr>
          <w:rFonts w:ascii="Times New Roman" w:hAnsi="Times New Roman"/>
          <w:b/>
          <w:i/>
          <w:sz w:val="24"/>
          <w:szCs w:val="24"/>
        </w:rPr>
      </w:pPr>
    </w:p>
    <w:p w:rsidR="00A100A5" w:rsidP="003B19A3" w:rsidRDefault="00A100A5" w14:paraId="5D68AF8A" w14:textId="77777777">
      <w:pPr>
        <w:rPr>
          <w:rFonts w:ascii="Times New Roman" w:hAnsi="Times New Roman"/>
          <w:b/>
          <w:i/>
          <w:sz w:val="24"/>
          <w:szCs w:val="24"/>
        </w:rPr>
      </w:pPr>
    </w:p>
    <w:p w:rsidR="00A100A5" w:rsidP="003B19A3" w:rsidRDefault="00A100A5" w14:paraId="254C8BE9" w14:textId="77777777">
      <w:pPr>
        <w:rPr>
          <w:rFonts w:ascii="Times New Roman" w:hAnsi="Times New Roman"/>
          <w:b/>
          <w:i/>
          <w:sz w:val="24"/>
          <w:szCs w:val="24"/>
        </w:rPr>
      </w:pPr>
    </w:p>
    <w:p w:rsidR="00A100A5" w:rsidP="003B19A3" w:rsidRDefault="00A100A5" w14:paraId="10DFB987" w14:textId="77777777">
      <w:pPr>
        <w:rPr>
          <w:rFonts w:ascii="Times New Roman" w:hAnsi="Times New Roman"/>
          <w:b/>
          <w:i/>
          <w:sz w:val="24"/>
          <w:szCs w:val="24"/>
        </w:rPr>
      </w:pPr>
    </w:p>
    <w:p w:rsidR="00A100A5" w:rsidP="003B19A3" w:rsidRDefault="00A100A5" w14:paraId="4C24116D" w14:textId="77777777">
      <w:pPr>
        <w:rPr>
          <w:rFonts w:ascii="Times New Roman" w:hAnsi="Times New Roman"/>
          <w:b/>
          <w:i/>
          <w:sz w:val="24"/>
          <w:szCs w:val="24"/>
        </w:rPr>
      </w:pPr>
    </w:p>
    <w:p w:rsidR="00A100A5" w:rsidP="003B19A3" w:rsidRDefault="00A100A5" w14:paraId="63B22DC9" w14:textId="77777777">
      <w:pPr>
        <w:rPr>
          <w:rFonts w:ascii="Times New Roman" w:hAnsi="Times New Roman"/>
          <w:b/>
          <w:i/>
          <w:sz w:val="24"/>
          <w:szCs w:val="24"/>
        </w:rPr>
      </w:pPr>
    </w:p>
    <w:p w:rsidR="00A100A5" w:rsidP="003B19A3" w:rsidRDefault="00A100A5" w14:paraId="430B1050" w14:textId="77777777">
      <w:pPr>
        <w:rPr>
          <w:rFonts w:ascii="Times New Roman" w:hAnsi="Times New Roman"/>
          <w:b/>
          <w:i/>
          <w:sz w:val="24"/>
          <w:szCs w:val="24"/>
        </w:rPr>
      </w:pPr>
    </w:p>
    <w:p w:rsidR="00A100A5" w:rsidP="003B19A3" w:rsidRDefault="00A100A5" w14:paraId="629270EA" w14:textId="77777777">
      <w:pPr>
        <w:rPr>
          <w:rFonts w:ascii="Times New Roman" w:hAnsi="Times New Roman"/>
          <w:b/>
          <w:i/>
          <w:sz w:val="24"/>
          <w:szCs w:val="24"/>
        </w:rPr>
      </w:pPr>
    </w:p>
    <w:p w:rsidR="00A100A5" w:rsidP="003B19A3" w:rsidRDefault="00A100A5" w14:paraId="2CA1A9FC" w14:textId="77777777">
      <w:pPr>
        <w:rPr>
          <w:rFonts w:ascii="Times New Roman" w:hAnsi="Times New Roman"/>
          <w:b/>
          <w:i/>
          <w:sz w:val="24"/>
          <w:szCs w:val="24"/>
        </w:rPr>
      </w:pPr>
    </w:p>
    <w:p w:rsidR="00A100A5" w:rsidP="003B19A3" w:rsidRDefault="00A100A5" w14:paraId="7968B9B0" w14:textId="77777777">
      <w:pPr>
        <w:rPr>
          <w:rFonts w:ascii="Times New Roman" w:hAnsi="Times New Roman"/>
          <w:b/>
          <w:i/>
          <w:sz w:val="24"/>
          <w:szCs w:val="24"/>
        </w:rPr>
      </w:pPr>
    </w:p>
    <w:p w:rsidR="00A100A5" w:rsidP="003B19A3" w:rsidRDefault="00A100A5" w14:paraId="7B4059E4" w14:textId="77777777">
      <w:pPr>
        <w:rPr>
          <w:rFonts w:ascii="Times New Roman" w:hAnsi="Times New Roman"/>
          <w:b/>
          <w:i/>
          <w:sz w:val="24"/>
          <w:szCs w:val="24"/>
        </w:rPr>
      </w:pPr>
    </w:p>
    <w:p w:rsidR="00A100A5" w:rsidP="003B19A3" w:rsidRDefault="00A100A5" w14:paraId="2929AC1A" w14:textId="77777777">
      <w:pPr>
        <w:rPr>
          <w:rFonts w:ascii="Times New Roman" w:hAnsi="Times New Roman"/>
          <w:b/>
          <w:i/>
          <w:sz w:val="24"/>
          <w:szCs w:val="24"/>
        </w:rPr>
      </w:pPr>
    </w:p>
    <w:p w:rsidR="00A100A5" w:rsidP="003B19A3" w:rsidRDefault="00A100A5" w14:paraId="5338D3DA" w14:textId="77777777">
      <w:pPr>
        <w:rPr>
          <w:rFonts w:ascii="Times New Roman" w:hAnsi="Times New Roman"/>
          <w:b/>
          <w:i/>
          <w:sz w:val="24"/>
          <w:szCs w:val="24"/>
        </w:rPr>
      </w:pPr>
    </w:p>
    <w:p w:rsidR="00A100A5" w:rsidP="003B19A3" w:rsidRDefault="00A100A5" w14:paraId="737275AF" w14:textId="77777777">
      <w:pPr>
        <w:rPr>
          <w:rFonts w:ascii="Times New Roman" w:hAnsi="Times New Roman"/>
          <w:b/>
          <w:i/>
          <w:sz w:val="24"/>
          <w:szCs w:val="24"/>
        </w:rPr>
      </w:pPr>
    </w:p>
    <w:p w:rsidR="00A100A5" w:rsidP="003B19A3" w:rsidRDefault="00A100A5" w14:paraId="36B868BD" w14:textId="77777777">
      <w:pPr>
        <w:rPr>
          <w:rFonts w:ascii="Times New Roman" w:hAnsi="Times New Roman"/>
          <w:b/>
          <w:i/>
          <w:sz w:val="24"/>
          <w:szCs w:val="24"/>
        </w:rPr>
      </w:pPr>
    </w:p>
    <w:p w:rsidR="00A100A5" w:rsidP="003B19A3" w:rsidRDefault="00A100A5" w14:paraId="4509F3E5" w14:textId="77777777">
      <w:pPr>
        <w:rPr>
          <w:rFonts w:ascii="Times New Roman" w:hAnsi="Times New Roman"/>
          <w:b/>
          <w:i/>
          <w:sz w:val="24"/>
          <w:szCs w:val="24"/>
        </w:rPr>
      </w:pPr>
    </w:p>
    <w:p w:rsidR="00A100A5" w:rsidP="003B19A3" w:rsidRDefault="00A100A5" w14:paraId="53A46747" w14:textId="77777777">
      <w:pPr>
        <w:rPr>
          <w:rFonts w:ascii="Times New Roman" w:hAnsi="Times New Roman"/>
          <w:b/>
          <w:i/>
          <w:sz w:val="24"/>
          <w:szCs w:val="24"/>
        </w:rPr>
      </w:pPr>
    </w:p>
    <w:p w:rsidR="00A100A5" w:rsidP="003B19A3" w:rsidRDefault="00A100A5" w14:paraId="5743DF07" w14:textId="77777777">
      <w:pPr>
        <w:rPr>
          <w:rFonts w:ascii="Times New Roman" w:hAnsi="Times New Roman"/>
          <w:b/>
          <w:i/>
          <w:sz w:val="24"/>
          <w:szCs w:val="24"/>
        </w:rPr>
      </w:pPr>
    </w:p>
    <w:p w:rsidR="00A100A5" w:rsidP="003B19A3" w:rsidRDefault="00A100A5" w14:paraId="012D7B49" w14:textId="77777777">
      <w:pPr>
        <w:rPr>
          <w:rFonts w:ascii="Times New Roman" w:hAnsi="Times New Roman"/>
          <w:b/>
          <w:i/>
          <w:sz w:val="24"/>
          <w:szCs w:val="24"/>
        </w:rPr>
      </w:pPr>
    </w:p>
    <w:p w:rsidR="00A100A5" w:rsidP="003B19A3" w:rsidRDefault="00A100A5" w14:paraId="39ADFBC0" w14:textId="77777777">
      <w:pPr>
        <w:rPr>
          <w:rFonts w:ascii="Times New Roman" w:hAnsi="Times New Roman"/>
          <w:b/>
          <w:i/>
          <w:sz w:val="24"/>
          <w:szCs w:val="24"/>
        </w:rPr>
      </w:pPr>
    </w:p>
    <w:p w:rsidR="00A100A5" w:rsidP="003B19A3" w:rsidRDefault="00A100A5" w14:paraId="2882FFFE" w14:textId="77777777">
      <w:pPr>
        <w:rPr>
          <w:rFonts w:ascii="Times New Roman" w:hAnsi="Times New Roman"/>
          <w:b/>
          <w:i/>
          <w:sz w:val="24"/>
          <w:szCs w:val="24"/>
        </w:rPr>
      </w:pPr>
    </w:p>
    <w:p w:rsidRPr="00A100A5" w:rsidR="00AD765F" w:rsidP="003B19A3" w:rsidRDefault="00A427C1" w14:paraId="02068769" w14:textId="629FD388">
      <w:pPr>
        <w:rPr>
          <w:rFonts w:ascii="Times New Roman" w:hAnsi="Times New Roman"/>
          <w:b/>
          <w:i/>
          <w:sz w:val="24"/>
          <w:szCs w:val="24"/>
        </w:rPr>
      </w:pPr>
      <w:r w:rsidRPr="00A100A5">
        <w:rPr>
          <w:rFonts w:ascii="Times New Roman" w:hAnsi="Times New Roman"/>
          <w:b/>
          <w:i/>
          <w:sz w:val="24"/>
          <w:szCs w:val="24"/>
        </w:rPr>
        <w:t>12.</w:t>
      </w:r>
      <w:r w:rsidRPr="00A100A5">
        <w:rPr>
          <w:rFonts w:ascii="Times New Roman" w:hAnsi="Times New Roman"/>
          <w:b/>
          <w:i/>
          <w:sz w:val="24"/>
          <w:szCs w:val="24"/>
        </w:rPr>
        <w:tab/>
        <w:t>Burden estimate:</w:t>
      </w:r>
    </w:p>
    <w:p w:rsidR="00A100A5" w:rsidP="00FE3620" w:rsidRDefault="00A100A5" w14:paraId="6CC23F54" w14:textId="77777777">
      <w:pPr>
        <w:rPr>
          <w:rFonts w:ascii="Times New Roman" w:hAnsi="Times New Roman"/>
          <w:b/>
          <w:i/>
          <w:sz w:val="24"/>
          <w:szCs w:val="24"/>
        </w:rPr>
      </w:pPr>
    </w:p>
    <w:p w:rsidRPr="00A100A5" w:rsidR="00FE3620" w:rsidP="00FE3620" w:rsidRDefault="00FE3620" w14:paraId="274C2A4E" w14:textId="50D3E9EE">
      <w:pPr>
        <w:rPr>
          <w:rFonts w:ascii="Times New Roman" w:hAnsi="Times New Roman"/>
          <w:b/>
          <w:bCs/>
          <w:sz w:val="24"/>
          <w:szCs w:val="24"/>
        </w:rPr>
      </w:pPr>
      <w:r w:rsidRPr="00A100A5">
        <w:rPr>
          <w:rFonts w:ascii="Times New Roman" w:hAnsi="Times New Roman"/>
          <w:b/>
          <w:bCs/>
          <w:sz w:val="24"/>
          <w:szCs w:val="24"/>
        </w:rPr>
        <w:t>OCC 2022 Burden</w:t>
      </w:r>
      <w:r w:rsidRPr="00A100A5">
        <w:rPr>
          <w:rFonts w:ascii="Times New Roman" w:hAnsi="Times New Roman"/>
          <w:b/>
          <w:bCs/>
          <w:sz w:val="24"/>
          <w:szCs w:val="24"/>
          <w:vertAlign w:val="superscript"/>
        </w:rPr>
        <w:t>1</w:t>
      </w:r>
    </w:p>
    <w:p w:rsidRPr="00A100A5" w:rsidR="00DA3358" w:rsidP="003B19A3" w:rsidRDefault="00DA3358" w14:paraId="30DFDCDF" w14:textId="77777777">
      <w:pPr>
        <w:ind w:right="-360"/>
        <w:rPr>
          <w:rFonts w:ascii="Times New Roman" w:hAnsi="Times New Roman"/>
          <w:color w:val="000000"/>
          <w:sz w:val="24"/>
          <w:szCs w:val="24"/>
          <w:u w:val="single"/>
        </w:rPr>
      </w:pPr>
    </w:p>
    <w:p w:rsidRPr="00A100A5" w:rsidR="00DA3358" w:rsidP="00DA3358" w:rsidRDefault="00DA3358" w14:paraId="510ECB21" w14:textId="77777777">
      <w:pPr>
        <w:rPr>
          <w:rFonts w:ascii="Times New Roman" w:hAnsi="Times New Roman"/>
          <w:sz w:val="24"/>
          <w:szCs w:val="24"/>
        </w:rPr>
      </w:pPr>
    </w:p>
    <w:tbl>
      <w:tblPr>
        <w:tblW w:w="10435" w:type="dxa"/>
        <w:tblInd w:w="-3" w:type="dxa"/>
        <w:tblCellMar>
          <w:left w:w="0" w:type="dxa"/>
          <w:right w:w="0" w:type="dxa"/>
        </w:tblCellMar>
        <w:tblLook w:val="04A0" w:firstRow="1" w:lastRow="0" w:firstColumn="1" w:lastColumn="0" w:noHBand="0" w:noVBand="1"/>
      </w:tblPr>
      <w:tblGrid>
        <w:gridCol w:w="2120"/>
        <w:gridCol w:w="1457"/>
        <w:gridCol w:w="2713"/>
        <w:gridCol w:w="4230"/>
      </w:tblGrid>
      <w:tr w:rsidRPr="00A100A5" w:rsidR="00DA3358" w:rsidTr="00DA3358" w14:paraId="20B5B476" w14:textId="77777777">
        <w:trPr>
          <w:trHeight w:val="1200"/>
        </w:trPr>
        <w:tc>
          <w:tcPr>
            <w:tcW w:w="212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3F9383DC"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00A5" w:rsidR="00DA3358" w:rsidRDefault="00DA3358" w14:paraId="193664B8" w14:textId="77777777">
            <w:pPr>
              <w:rPr>
                <w:rFonts w:ascii="Times New Roman" w:hAnsi="Times New Roman"/>
                <w:b/>
                <w:bCs/>
                <w:color w:val="000000"/>
                <w:sz w:val="24"/>
                <w:szCs w:val="24"/>
              </w:rPr>
            </w:pPr>
            <w:r w:rsidRPr="00A100A5">
              <w:rPr>
                <w:rFonts w:ascii="Times New Roman" w:hAnsi="Times New Roman"/>
                <w:b/>
                <w:bCs/>
                <w:color w:val="000000"/>
                <w:sz w:val="24"/>
                <w:szCs w:val="24"/>
              </w:rPr>
              <w:t>Estimate number respondents</w:t>
            </w:r>
          </w:p>
        </w:tc>
        <w:tc>
          <w:tcPr>
            <w:tcW w:w="27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00A5" w:rsidR="00DA3358" w:rsidRDefault="00DA3358" w14:paraId="56C2997F" w14:textId="77777777">
            <w:pPr>
              <w:rPr>
                <w:rFonts w:ascii="Times New Roman" w:hAnsi="Times New Roman"/>
                <w:b/>
                <w:bCs/>
                <w:color w:val="000000"/>
                <w:sz w:val="24"/>
                <w:szCs w:val="24"/>
              </w:rPr>
            </w:pPr>
            <w:r w:rsidRPr="00A100A5">
              <w:rPr>
                <w:rFonts w:ascii="Times New Roman" w:hAnsi="Times New Roman"/>
                <w:b/>
                <w:bCs/>
                <w:color w:val="000000"/>
                <w:sz w:val="24"/>
                <w:szCs w:val="24"/>
              </w:rPr>
              <w:t>Estimated average hours per response</w:t>
            </w:r>
          </w:p>
        </w:tc>
        <w:tc>
          <w:tcPr>
            <w:tcW w:w="42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A100A5" w:rsidR="00DA3358" w:rsidRDefault="00DA3358" w14:paraId="02876EE3" w14:textId="77777777">
            <w:pPr>
              <w:rPr>
                <w:rFonts w:ascii="Times New Roman" w:hAnsi="Times New Roman"/>
                <w:b/>
                <w:bCs/>
                <w:color w:val="000000"/>
                <w:sz w:val="24"/>
                <w:szCs w:val="24"/>
              </w:rPr>
            </w:pPr>
            <w:r w:rsidRPr="00A100A5">
              <w:rPr>
                <w:rFonts w:ascii="Times New Roman" w:hAnsi="Times New Roman"/>
                <w:b/>
                <w:bCs/>
                <w:color w:val="000000"/>
                <w:sz w:val="24"/>
                <w:szCs w:val="24"/>
              </w:rPr>
              <w:t>Estimate annual burden hours</w:t>
            </w:r>
          </w:p>
        </w:tc>
      </w:tr>
      <w:tr w:rsidRPr="00A100A5" w:rsidR="00DA3358" w:rsidTr="00DA3358" w14:paraId="79A44E1D"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75D8DCF8"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BA21F97"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35A2A352"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3B6054DC" w14:textId="77777777">
            <w:pPr>
              <w:rPr>
                <w:rFonts w:ascii="Times New Roman" w:hAnsi="Times New Roman"/>
                <w:color w:val="000000"/>
                <w:sz w:val="24"/>
                <w:szCs w:val="24"/>
              </w:rPr>
            </w:pPr>
            <w:r w:rsidRPr="00A100A5">
              <w:rPr>
                <w:rFonts w:ascii="Times New Roman" w:hAnsi="Times New Roman"/>
                <w:color w:val="000000"/>
                <w:sz w:val="24"/>
                <w:szCs w:val="24"/>
              </w:rPr>
              <w:t> </w:t>
            </w:r>
          </w:p>
        </w:tc>
      </w:tr>
      <w:tr w:rsidRPr="00A100A5" w:rsidR="00DA3358" w:rsidTr="00DA3358" w14:paraId="1E45E614"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2F55B8B4" w14:textId="77777777">
            <w:pPr>
              <w:rPr>
                <w:rFonts w:ascii="Times New Roman" w:hAnsi="Times New Roman"/>
                <w:b/>
                <w:bCs/>
                <w:color w:val="000000"/>
                <w:sz w:val="24"/>
                <w:szCs w:val="24"/>
              </w:rPr>
            </w:pPr>
            <w:r w:rsidRPr="00A100A5">
              <w:rPr>
                <w:rFonts w:ascii="Times New Roman" w:hAnsi="Times New Roman"/>
                <w:b/>
                <w:bCs/>
                <w:color w:val="000000"/>
                <w:sz w:val="24"/>
                <w:szCs w:val="24"/>
              </w:rPr>
              <w:t xml:space="preserve">Reporting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69BA923"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CB44BBB"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BC9F842" w14:textId="77777777">
            <w:pPr>
              <w:rPr>
                <w:rFonts w:ascii="Times New Roman" w:hAnsi="Times New Roman"/>
                <w:color w:val="000000"/>
                <w:sz w:val="24"/>
                <w:szCs w:val="24"/>
              </w:rPr>
            </w:pPr>
            <w:r w:rsidRPr="00A100A5">
              <w:rPr>
                <w:rFonts w:ascii="Times New Roman" w:hAnsi="Times New Roman"/>
                <w:color w:val="000000"/>
                <w:sz w:val="24"/>
                <w:szCs w:val="24"/>
              </w:rPr>
              <w:t> </w:t>
            </w:r>
          </w:p>
        </w:tc>
      </w:tr>
      <w:tr w:rsidRPr="00A100A5" w:rsidR="00DA3358" w:rsidTr="00DA3358" w14:paraId="4D51EDF9"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7A984888" w14:textId="77777777">
            <w:pPr>
              <w:rPr>
                <w:rFonts w:ascii="Times New Roman" w:hAnsi="Times New Roman"/>
                <w:color w:val="000000"/>
                <w:sz w:val="24"/>
                <w:szCs w:val="24"/>
              </w:rPr>
            </w:pPr>
            <w:r w:rsidRPr="00A100A5">
              <w:rPr>
                <w:rFonts w:ascii="Times New Roman" w:hAnsi="Times New Roman"/>
                <w:color w:val="000000"/>
                <w:sz w:val="24"/>
                <w:szCs w:val="24"/>
              </w:rPr>
              <w:t xml:space="preserve">Tier 1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00A5" w:rsidR="00DA3358" w:rsidRDefault="00DA3358" w14:paraId="3F237D3F" w14:textId="77777777">
            <w:pPr>
              <w:jc w:val="center"/>
              <w:rPr>
                <w:rFonts w:ascii="Times New Roman" w:hAnsi="Times New Roman"/>
                <w:color w:val="000000"/>
                <w:sz w:val="24"/>
                <w:szCs w:val="24"/>
              </w:rPr>
            </w:pPr>
            <w:r w:rsidRPr="00A100A5">
              <w:rPr>
                <w:rFonts w:ascii="Times New Roman" w:hAnsi="Times New Roman"/>
                <w:color w:val="000000"/>
                <w:sz w:val="24"/>
                <w:szCs w:val="24"/>
              </w:rPr>
              <w:t>13</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F88ACD5" w14:textId="77777777">
            <w:pPr>
              <w:jc w:val="center"/>
              <w:rPr>
                <w:rFonts w:ascii="Times New Roman" w:hAnsi="Times New Roman"/>
                <w:color w:val="000000"/>
                <w:sz w:val="24"/>
                <w:szCs w:val="24"/>
              </w:rPr>
            </w:pPr>
            <w:r w:rsidRPr="00A100A5">
              <w:rPr>
                <w:rFonts w:ascii="Times New Roman" w:hAnsi="Times New Roman"/>
                <w:color w:val="000000"/>
                <w:sz w:val="24"/>
                <w:szCs w:val="24"/>
              </w:rPr>
              <w:t>5,969</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95B4424" w14:textId="77777777">
            <w:pPr>
              <w:jc w:val="center"/>
              <w:rPr>
                <w:rFonts w:ascii="Times New Roman" w:hAnsi="Times New Roman"/>
                <w:color w:val="000000"/>
                <w:sz w:val="24"/>
                <w:szCs w:val="24"/>
              </w:rPr>
            </w:pPr>
            <w:r w:rsidRPr="00A100A5">
              <w:rPr>
                <w:rFonts w:ascii="Times New Roman" w:hAnsi="Times New Roman"/>
                <w:color w:val="000000"/>
                <w:sz w:val="24"/>
                <w:szCs w:val="24"/>
              </w:rPr>
              <w:t>77,597</w:t>
            </w:r>
          </w:p>
        </w:tc>
      </w:tr>
      <w:tr w:rsidRPr="00A100A5" w:rsidR="00DA3358" w:rsidTr="00DA3358" w14:paraId="3D00EC7B"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B233B94" w14:textId="77777777">
            <w:pPr>
              <w:rPr>
                <w:rFonts w:ascii="Times New Roman" w:hAnsi="Times New Roman"/>
                <w:color w:val="000000"/>
                <w:sz w:val="24"/>
                <w:szCs w:val="24"/>
              </w:rPr>
            </w:pPr>
            <w:r w:rsidRPr="00A100A5">
              <w:rPr>
                <w:rFonts w:ascii="Times New Roman" w:hAnsi="Times New Roman"/>
                <w:color w:val="000000"/>
                <w:sz w:val="24"/>
                <w:szCs w:val="24"/>
              </w:rPr>
              <w:t>Tier 2 Full Reporters</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00A5" w:rsidR="00DA3358" w:rsidRDefault="00DA3358" w14:paraId="71B17999" w14:textId="77777777">
            <w:pPr>
              <w:jc w:val="center"/>
              <w:rPr>
                <w:rFonts w:ascii="Times New Roman" w:hAnsi="Times New Roman"/>
                <w:color w:val="000000"/>
                <w:sz w:val="24"/>
                <w:szCs w:val="24"/>
              </w:rPr>
            </w:pPr>
            <w:r w:rsidRPr="00A100A5">
              <w:rPr>
                <w:rFonts w:ascii="Times New Roman" w:hAnsi="Times New Roman"/>
                <w:sz w:val="24"/>
                <w:szCs w:val="24"/>
              </w:rPr>
              <w:t>191</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092E4CF" w14:textId="77777777">
            <w:pPr>
              <w:jc w:val="center"/>
              <w:rPr>
                <w:rFonts w:ascii="Times New Roman" w:hAnsi="Times New Roman"/>
                <w:color w:val="000000"/>
                <w:sz w:val="24"/>
                <w:szCs w:val="24"/>
              </w:rPr>
            </w:pPr>
            <w:r w:rsidRPr="00A100A5">
              <w:rPr>
                <w:rFonts w:ascii="Times New Roman" w:hAnsi="Times New Roman"/>
                <w:color w:val="000000"/>
                <w:sz w:val="24"/>
                <w:szCs w:val="24"/>
              </w:rPr>
              <w:t>1,232</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E60A759" w14:textId="77777777">
            <w:pPr>
              <w:jc w:val="center"/>
              <w:rPr>
                <w:rFonts w:ascii="Times New Roman" w:hAnsi="Times New Roman"/>
                <w:color w:val="000000"/>
                <w:sz w:val="24"/>
                <w:szCs w:val="24"/>
              </w:rPr>
            </w:pPr>
            <w:r w:rsidRPr="00A100A5">
              <w:rPr>
                <w:rFonts w:ascii="Times New Roman" w:hAnsi="Times New Roman"/>
                <w:sz w:val="24"/>
                <w:szCs w:val="24"/>
              </w:rPr>
              <w:t>235,312</w:t>
            </w:r>
          </w:p>
        </w:tc>
      </w:tr>
      <w:tr w:rsidRPr="00A100A5" w:rsidR="00DA3358" w:rsidTr="00DA3358" w14:paraId="70498C20"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77CFAC8" w14:textId="77777777">
            <w:pPr>
              <w:rPr>
                <w:rFonts w:ascii="Times New Roman" w:hAnsi="Times New Roman"/>
                <w:color w:val="000000"/>
                <w:sz w:val="24"/>
                <w:szCs w:val="24"/>
              </w:rPr>
            </w:pPr>
            <w:r w:rsidRPr="00A100A5">
              <w:rPr>
                <w:rFonts w:ascii="Times New Roman" w:hAnsi="Times New Roman"/>
                <w:color w:val="000000"/>
                <w:sz w:val="24"/>
                <w:szCs w:val="24"/>
              </w:rPr>
              <w:t>Tier 2 Partial Reporters</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00A5" w:rsidR="00DA3358" w:rsidRDefault="00DA3358" w14:paraId="40ADAB2A" w14:textId="77777777">
            <w:pPr>
              <w:jc w:val="center"/>
              <w:rPr>
                <w:rFonts w:ascii="Times New Roman" w:hAnsi="Times New Roman"/>
                <w:color w:val="000000"/>
                <w:sz w:val="24"/>
                <w:szCs w:val="24"/>
              </w:rPr>
            </w:pPr>
            <w:r w:rsidRPr="00A100A5">
              <w:rPr>
                <w:rFonts w:ascii="Times New Roman" w:hAnsi="Times New Roman"/>
                <w:sz w:val="24"/>
                <w:szCs w:val="24"/>
              </w:rPr>
              <w:t>210</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18C424C" w14:textId="77777777">
            <w:pPr>
              <w:jc w:val="center"/>
              <w:rPr>
                <w:rFonts w:ascii="Times New Roman" w:hAnsi="Times New Roman"/>
                <w:color w:val="000000"/>
                <w:sz w:val="24"/>
                <w:szCs w:val="24"/>
              </w:rPr>
            </w:pPr>
            <w:r w:rsidRPr="00A100A5">
              <w:rPr>
                <w:rFonts w:ascii="Times New Roman" w:hAnsi="Times New Roman"/>
                <w:color w:val="000000"/>
                <w:sz w:val="24"/>
                <w:szCs w:val="24"/>
              </w:rPr>
              <w:t>986</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CD847DB" w14:textId="307A279A">
            <w:pPr>
              <w:jc w:val="center"/>
              <w:rPr>
                <w:rFonts w:ascii="Times New Roman" w:hAnsi="Times New Roman"/>
                <w:color w:val="000000"/>
                <w:sz w:val="24"/>
                <w:szCs w:val="24"/>
              </w:rPr>
            </w:pPr>
            <w:r w:rsidRPr="00A100A5">
              <w:rPr>
                <w:rFonts w:ascii="Times New Roman" w:hAnsi="Times New Roman"/>
                <w:color w:val="000000"/>
                <w:sz w:val="24"/>
                <w:szCs w:val="24"/>
              </w:rPr>
              <w:t>2</w:t>
            </w:r>
            <w:r w:rsidRPr="00A100A5">
              <w:rPr>
                <w:rFonts w:ascii="Times New Roman" w:hAnsi="Times New Roman"/>
                <w:sz w:val="24"/>
                <w:szCs w:val="24"/>
              </w:rPr>
              <w:t>07</w:t>
            </w:r>
            <w:r w:rsidRPr="00A100A5" w:rsidR="00204117">
              <w:rPr>
                <w:rFonts w:ascii="Times New Roman" w:hAnsi="Times New Roman"/>
                <w:sz w:val="24"/>
                <w:szCs w:val="24"/>
              </w:rPr>
              <w:t>,</w:t>
            </w:r>
            <w:r w:rsidRPr="00A100A5">
              <w:rPr>
                <w:rFonts w:ascii="Times New Roman" w:hAnsi="Times New Roman"/>
                <w:sz w:val="24"/>
                <w:szCs w:val="24"/>
              </w:rPr>
              <w:t>0</w:t>
            </w:r>
            <w:r w:rsidRPr="00A100A5" w:rsidR="00614387">
              <w:rPr>
                <w:rFonts w:ascii="Times New Roman" w:hAnsi="Times New Roman"/>
                <w:sz w:val="24"/>
                <w:szCs w:val="24"/>
              </w:rPr>
              <w:t>6</w:t>
            </w:r>
            <w:r w:rsidRPr="00A100A5">
              <w:rPr>
                <w:rFonts w:ascii="Times New Roman" w:hAnsi="Times New Roman"/>
                <w:sz w:val="24"/>
                <w:szCs w:val="24"/>
              </w:rPr>
              <w:t>0</w:t>
            </w:r>
          </w:p>
        </w:tc>
      </w:tr>
      <w:tr w:rsidRPr="00A100A5" w:rsidR="00DA3358" w:rsidTr="00DA3358" w14:paraId="2783040C"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0919339" w14:textId="77777777">
            <w:pPr>
              <w:rPr>
                <w:rFonts w:ascii="Times New Roman" w:hAnsi="Times New Roman"/>
                <w:color w:val="000000"/>
                <w:sz w:val="24"/>
                <w:szCs w:val="24"/>
              </w:rPr>
            </w:pPr>
            <w:r w:rsidRPr="00A100A5">
              <w:rPr>
                <w:rFonts w:ascii="Times New Roman" w:hAnsi="Times New Roman"/>
                <w:color w:val="000000"/>
                <w:sz w:val="24"/>
                <w:szCs w:val="24"/>
              </w:rPr>
              <w:t>Tier 3 Partial Reporters</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A100A5" w:rsidR="00DA3358" w:rsidRDefault="00DA3358" w14:paraId="7BC9C540" w14:textId="77777777">
            <w:pPr>
              <w:jc w:val="center"/>
              <w:rPr>
                <w:rFonts w:ascii="Times New Roman" w:hAnsi="Times New Roman"/>
                <w:color w:val="000000"/>
                <w:sz w:val="24"/>
                <w:szCs w:val="24"/>
              </w:rPr>
            </w:pPr>
            <w:r w:rsidRPr="00A100A5">
              <w:rPr>
                <w:rFonts w:ascii="Times New Roman" w:hAnsi="Times New Roman"/>
                <w:sz w:val="24"/>
                <w:szCs w:val="24"/>
              </w:rPr>
              <w:t>23</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6A11666" w14:textId="77777777">
            <w:pPr>
              <w:jc w:val="center"/>
              <w:rPr>
                <w:rFonts w:ascii="Times New Roman" w:hAnsi="Times New Roman"/>
                <w:color w:val="000000"/>
                <w:sz w:val="24"/>
                <w:szCs w:val="24"/>
              </w:rPr>
            </w:pPr>
            <w:r w:rsidRPr="00A100A5">
              <w:rPr>
                <w:rFonts w:ascii="Times New Roman" w:hAnsi="Times New Roman"/>
                <w:color w:val="000000"/>
                <w:sz w:val="24"/>
                <w:szCs w:val="24"/>
              </w:rPr>
              <w:t>64</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CE4FB21" w14:textId="77777777">
            <w:pPr>
              <w:jc w:val="center"/>
              <w:rPr>
                <w:rFonts w:ascii="Times New Roman" w:hAnsi="Times New Roman"/>
                <w:color w:val="000000"/>
                <w:sz w:val="24"/>
                <w:szCs w:val="24"/>
              </w:rPr>
            </w:pPr>
            <w:r w:rsidRPr="00A100A5">
              <w:rPr>
                <w:rFonts w:ascii="Times New Roman" w:hAnsi="Times New Roman"/>
                <w:color w:val="000000"/>
                <w:sz w:val="24"/>
                <w:szCs w:val="24"/>
              </w:rPr>
              <w:t>1,</w:t>
            </w:r>
            <w:r w:rsidRPr="00A100A5">
              <w:rPr>
                <w:rFonts w:ascii="Times New Roman" w:hAnsi="Times New Roman"/>
                <w:sz w:val="24"/>
                <w:szCs w:val="24"/>
              </w:rPr>
              <w:t>472</w:t>
            </w:r>
          </w:p>
        </w:tc>
      </w:tr>
      <w:tr w:rsidRPr="00A100A5" w:rsidR="00DA3358" w:rsidTr="00DA3358" w14:paraId="484DAF80"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83EF8EE"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2E0A19E" w14:textId="77777777">
            <w:pPr>
              <w:rPr>
                <w:rFonts w:ascii="Times New Roman" w:hAnsi="Times New Roman"/>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EA51E77"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F8E7C91" w14:textId="77777777">
            <w:pPr>
              <w:rPr>
                <w:rFonts w:ascii="Times New Roman" w:hAnsi="Times New Roman"/>
                <w:sz w:val="24"/>
                <w:szCs w:val="24"/>
              </w:rPr>
            </w:pPr>
          </w:p>
        </w:tc>
      </w:tr>
      <w:tr w:rsidRPr="00A100A5" w:rsidR="00DA3358" w:rsidTr="00DA3358" w14:paraId="03579BDE"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7529FD5" w14:textId="77777777">
            <w:pPr>
              <w:rPr>
                <w:rFonts w:ascii="Times New Roman" w:hAnsi="Times New Roman" w:eastAsiaTheme="minorHAnsi"/>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7CAA284" w14:textId="77777777">
            <w:pPr>
              <w:rPr>
                <w:rFonts w:ascii="Times New Roman" w:hAnsi="Times New Roman"/>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3C9909F"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6BE0877" w14:textId="77777777">
            <w:pPr>
              <w:rPr>
                <w:rFonts w:ascii="Times New Roman" w:hAnsi="Times New Roman"/>
                <w:sz w:val="24"/>
                <w:szCs w:val="24"/>
              </w:rPr>
            </w:pPr>
          </w:p>
        </w:tc>
      </w:tr>
      <w:tr w:rsidRPr="00A100A5" w:rsidR="00DA3358" w:rsidTr="00DA3358" w14:paraId="2230C2AF"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30356EF" w14:textId="77777777">
            <w:pPr>
              <w:rPr>
                <w:rFonts w:ascii="Times New Roman" w:hAnsi="Times New Roman" w:eastAsiaTheme="minorHAnsi"/>
                <w:b/>
                <w:bCs/>
                <w:color w:val="000000"/>
                <w:sz w:val="24"/>
                <w:szCs w:val="24"/>
              </w:rPr>
            </w:pPr>
            <w:r w:rsidRPr="00A100A5">
              <w:rPr>
                <w:rFonts w:ascii="Times New Roman" w:hAnsi="Times New Roman"/>
                <w:b/>
                <w:bCs/>
                <w:color w:val="000000"/>
                <w:sz w:val="24"/>
                <w:szCs w:val="24"/>
              </w:rPr>
              <w:t xml:space="preserve">Recordkeeping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22AED02" w14:textId="77777777">
            <w:pPr>
              <w:rPr>
                <w:rFonts w:ascii="Times New Roman" w:hAnsi="Times New Roman"/>
                <w:b/>
                <w:bCs/>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3D34BEF"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C14BA02" w14:textId="77777777">
            <w:pPr>
              <w:rPr>
                <w:rFonts w:ascii="Times New Roman" w:hAnsi="Times New Roman"/>
                <w:sz w:val="24"/>
                <w:szCs w:val="24"/>
              </w:rPr>
            </w:pPr>
          </w:p>
        </w:tc>
      </w:tr>
      <w:tr w:rsidRPr="00A100A5" w:rsidR="00DA3358" w:rsidTr="00DA3358" w14:paraId="3D7C979D"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3A972E4" w14:textId="77777777">
            <w:pPr>
              <w:rPr>
                <w:rFonts w:ascii="Times New Roman" w:hAnsi="Times New Roman" w:eastAsiaTheme="minorHAnsi"/>
                <w:color w:val="000000"/>
                <w:sz w:val="24"/>
                <w:szCs w:val="24"/>
              </w:rPr>
            </w:pPr>
            <w:r w:rsidRPr="00A100A5">
              <w:rPr>
                <w:rFonts w:ascii="Times New Roman" w:hAnsi="Times New Roman"/>
                <w:color w:val="000000"/>
                <w:sz w:val="24"/>
                <w:szCs w:val="24"/>
              </w:rPr>
              <w:t xml:space="preserve">Tier 1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6A95AF6" w14:textId="77777777">
            <w:pPr>
              <w:jc w:val="center"/>
              <w:rPr>
                <w:rFonts w:ascii="Times New Roman" w:hAnsi="Times New Roman"/>
                <w:color w:val="000000"/>
                <w:sz w:val="24"/>
                <w:szCs w:val="24"/>
              </w:rPr>
            </w:pPr>
            <w:r w:rsidRPr="00A100A5">
              <w:rPr>
                <w:rFonts w:ascii="Times New Roman" w:hAnsi="Times New Roman"/>
                <w:color w:val="000000"/>
                <w:sz w:val="24"/>
                <w:szCs w:val="24"/>
              </w:rPr>
              <w:t>13</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3A1369CE" w14:textId="77777777">
            <w:pPr>
              <w:jc w:val="center"/>
              <w:rPr>
                <w:rFonts w:ascii="Times New Roman" w:hAnsi="Times New Roman"/>
                <w:color w:val="000000"/>
                <w:sz w:val="24"/>
                <w:szCs w:val="24"/>
              </w:rPr>
            </w:pPr>
            <w:r w:rsidRPr="00A100A5">
              <w:rPr>
                <w:rFonts w:ascii="Times New Roman" w:hAnsi="Times New Roman"/>
                <w:color w:val="000000"/>
                <w:sz w:val="24"/>
                <w:szCs w:val="24"/>
              </w:rPr>
              <w:t>4,130</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5CEE6E5" w14:textId="77777777">
            <w:pPr>
              <w:jc w:val="center"/>
              <w:rPr>
                <w:rFonts w:ascii="Times New Roman" w:hAnsi="Times New Roman"/>
                <w:color w:val="000000"/>
                <w:sz w:val="24"/>
                <w:szCs w:val="24"/>
              </w:rPr>
            </w:pPr>
            <w:r w:rsidRPr="00A100A5">
              <w:rPr>
                <w:rFonts w:ascii="Times New Roman" w:hAnsi="Times New Roman"/>
                <w:color w:val="000000"/>
                <w:sz w:val="24"/>
                <w:szCs w:val="24"/>
              </w:rPr>
              <w:t>53,690</w:t>
            </w:r>
          </w:p>
        </w:tc>
      </w:tr>
      <w:tr w:rsidRPr="00A100A5" w:rsidR="00DA3358" w:rsidTr="00DA3358" w14:paraId="7942FB07"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FD13341" w14:textId="77777777">
            <w:pPr>
              <w:rPr>
                <w:rFonts w:ascii="Times New Roman" w:hAnsi="Times New Roman"/>
                <w:color w:val="000000"/>
                <w:sz w:val="24"/>
                <w:szCs w:val="24"/>
              </w:rPr>
            </w:pPr>
            <w:r w:rsidRPr="00A100A5">
              <w:rPr>
                <w:rFonts w:ascii="Times New Roman" w:hAnsi="Times New Roman"/>
                <w:color w:val="000000"/>
                <w:sz w:val="24"/>
                <w:szCs w:val="24"/>
              </w:rPr>
              <w:t xml:space="preserve">Tier 2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7A840EB" w14:textId="77777777">
            <w:pPr>
              <w:jc w:val="center"/>
              <w:rPr>
                <w:rFonts w:ascii="Times New Roman" w:hAnsi="Times New Roman"/>
                <w:color w:val="000000"/>
                <w:sz w:val="24"/>
                <w:szCs w:val="24"/>
              </w:rPr>
            </w:pPr>
            <w:r w:rsidRPr="00A100A5">
              <w:rPr>
                <w:rFonts w:ascii="Times New Roman" w:hAnsi="Times New Roman"/>
                <w:sz w:val="24"/>
                <w:szCs w:val="24"/>
              </w:rPr>
              <w:t>401</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CCF5E66" w14:textId="77777777">
            <w:pPr>
              <w:jc w:val="center"/>
              <w:rPr>
                <w:rFonts w:ascii="Times New Roman" w:hAnsi="Times New Roman"/>
                <w:color w:val="000000"/>
                <w:sz w:val="24"/>
                <w:szCs w:val="24"/>
              </w:rPr>
            </w:pPr>
            <w:r w:rsidRPr="00A100A5">
              <w:rPr>
                <w:rFonts w:ascii="Times New Roman" w:hAnsi="Times New Roman"/>
                <w:color w:val="000000"/>
                <w:sz w:val="24"/>
                <w:szCs w:val="24"/>
              </w:rPr>
              <w:t>83</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A653F87" w14:textId="77777777">
            <w:pPr>
              <w:jc w:val="center"/>
              <w:rPr>
                <w:rFonts w:ascii="Times New Roman" w:hAnsi="Times New Roman"/>
                <w:color w:val="000000"/>
                <w:sz w:val="24"/>
                <w:szCs w:val="24"/>
              </w:rPr>
            </w:pPr>
            <w:r w:rsidRPr="00A100A5">
              <w:rPr>
                <w:rFonts w:ascii="Times New Roman" w:hAnsi="Times New Roman"/>
                <w:color w:val="000000"/>
                <w:sz w:val="24"/>
                <w:szCs w:val="24"/>
              </w:rPr>
              <w:t>3</w:t>
            </w:r>
            <w:r w:rsidRPr="00A100A5">
              <w:rPr>
                <w:rFonts w:ascii="Times New Roman" w:hAnsi="Times New Roman"/>
                <w:sz w:val="24"/>
                <w:szCs w:val="24"/>
              </w:rPr>
              <w:t>3</w:t>
            </w:r>
            <w:r w:rsidRPr="00A100A5">
              <w:rPr>
                <w:rFonts w:ascii="Times New Roman" w:hAnsi="Times New Roman"/>
                <w:color w:val="000000"/>
                <w:sz w:val="24"/>
                <w:szCs w:val="24"/>
              </w:rPr>
              <w:t>,</w:t>
            </w:r>
            <w:r w:rsidRPr="00A100A5">
              <w:rPr>
                <w:rFonts w:ascii="Times New Roman" w:hAnsi="Times New Roman"/>
                <w:sz w:val="24"/>
                <w:szCs w:val="24"/>
              </w:rPr>
              <w:t>283</w:t>
            </w:r>
          </w:p>
        </w:tc>
      </w:tr>
      <w:tr w:rsidRPr="00A100A5" w:rsidR="00DA3358" w:rsidTr="00DA3358" w14:paraId="0CCE231F"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9A52558" w14:textId="77777777">
            <w:pPr>
              <w:rPr>
                <w:rFonts w:ascii="Times New Roman" w:hAnsi="Times New Roman"/>
                <w:color w:val="000000"/>
                <w:sz w:val="24"/>
                <w:szCs w:val="24"/>
              </w:rPr>
            </w:pPr>
            <w:r w:rsidRPr="00A100A5">
              <w:rPr>
                <w:rFonts w:ascii="Times New Roman" w:hAnsi="Times New Roman"/>
                <w:color w:val="000000"/>
                <w:sz w:val="24"/>
                <w:szCs w:val="24"/>
              </w:rPr>
              <w:t xml:space="preserve">Tier 3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F9666B9" w14:textId="77777777">
            <w:pPr>
              <w:jc w:val="center"/>
              <w:rPr>
                <w:rFonts w:ascii="Times New Roman" w:hAnsi="Times New Roman"/>
                <w:color w:val="000000"/>
                <w:sz w:val="24"/>
                <w:szCs w:val="24"/>
              </w:rPr>
            </w:pPr>
            <w:r w:rsidRPr="00A100A5">
              <w:rPr>
                <w:rFonts w:ascii="Times New Roman" w:hAnsi="Times New Roman"/>
                <w:sz w:val="24"/>
                <w:szCs w:val="24"/>
              </w:rPr>
              <w:t>23</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77EFCB87" w14:textId="77777777">
            <w:pPr>
              <w:jc w:val="center"/>
              <w:rPr>
                <w:rFonts w:ascii="Times New Roman" w:hAnsi="Times New Roman"/>
                <w:color w:val="000000"/>
                <w:sz w:val="24"/>
                <w:szCs w:val="24"/>
              </w:rPr>
            </w:pPr>
            <w:r w:rsidRPr="00A100A5">
              <w:rPr>
                <w:rFonts w:ascii="Times New Roman" w:hAnsi="Times New Roman"/>
                <w:color w:val="000000"/>
                <w:sz w:val="24"/>
                <w:szCs w:val="24"/>
              </w:rPr>
              <w:t>27</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55FF1DA" w14:textId="77777777">
            <w:pPr>
              <w:jc w:val="center"/>
              <w:rPr>
                <w:rFonts w:ascii="Times New Roman" w:hAnsi="Times New Roman"/>
                <w:color w:val="000000"/>
                <w:sz w:val="24"/>
                <w:szCs w:val="24"/>
              </w:rPr>
            </w:pPr>
            <w:r w:rsidRPr="00A100A5">
              <w:rPr>
                <w:rFonts w:ascii="Times New Roman" w:hAnsi="Times New Roman"/>
                <w:sz w:val="24"/>
                <w:szCs w:val="24"/>
              </w:rPr>
              <w:t>621</w:t>
            </w:r>
          </w:p>
        </w:tc>
      </w:tr>
      <w:tr w:rsidRPr="00A100A5" w:rsidR="00DA3358" w:rsidTr="00DA3358" w14:paraId="1392DA02"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B261774"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F5EAA03" w14:textId="77777777">
            <w:pPr>
              <w:rPr>
                <w:rFonts w:ascii="Times New Roman" w:hAnsi="Times New Roman"/>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DAD0C02"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2B2772E" w14:textId="77777777">
            <w:pPr>
              <w:rPr>
                <w:rFonts w:ascii="Times New Roman" w:hAnsi="Times New Roman"/>
                <w:sz w:val="24"/>
                <w:szCs w:val="24"/>
              </w:rPr>
            </w:pPr>
          </w:p>
        </w:tc>
      </w:tr>
      <w:tr w:rsidRPr="00A100A5" w:rsidR="00DA3358" w:rsidTr="00DA3358" w14:paraId="3ADEAF41"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3C23E59" w14:textId="77777777">
            <w:pPr>
              <w:rPr>
                <w:rFonts w:ascii="Times New Roman" w:hAnsi="Times New Roman" w:eastAsiaTheme="minorHAnsi"/>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DDE889D" w14:textId="77777777">
            <w:pPr>
              <w:rPr>
                <w:rFonts w:ascii="Times New Roman" w:hAnsi="Times New Roman"/>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D2BD649"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5C893E6" w14:textId="77777777">
            <w:pPr>
              <w:rPr>
                <w:rFonts w:ascii="Times New Roman" w:hAnsi="Times New Roman"/>
                <w:sz w:val="24"/>
                <w:szCs w:val="24"/>
              </w:rPr>
            </w:pPr>
          </w:p>
        </w:tc>
      </w:tr>
      <w:tr w:rsidRPr="00A100A5" w:rsidR="00DA3358" w:rsidTr="00DA3358" w14:paraId="65E6B3AA"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BF61C25" w14:textId="77777777">
            <w:pPr>
              <w:rPr>
                <w:rFonts w:ascii="Times New Roman" w:hAnsi="Times New Roman" w:eastAsiaTheme="minorHAnsi"/>
                <w:b/>
                <w:bCs/>
                <w:color w:val="000000"/>
                <w:sz w:val="24"/>
                <w:szCs w:val="24"/>
              </w:rPr>
            </w:pPr>
            <w:r w:rsidRPr="00A100A5">
              <w:rPr>
                <w:rFonts w:ascii="Times New Roman" w:hAnsi="Times New Roman"/>
                <w:b/>
                <w:bCs/>
                <w:color w:val="000000"/>
                <w:sz w:val="24"/>
                <w:szCs w:val="24"/>
              </w:rPr>
              <w:t>Disclosure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7BA26E83" w14:textId="77777777">
            <w:pPr>
              <w:rPr>
                <w:rFonts w:ascii="Times New Roman" w:hAnsi="Times New Roman"/>
                <w:b/>
                <w:bCs/>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217684D6"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AD2D949" w14:textId="77777777">
            <w:pPr>
              <w:rPr>
                <w:rFonts w:ascii="Times New Roman" w:hAnsi="Times New Roman"/>
                <w:sz w:val="24"/>
                <w:szCs w:val="24"/>
              </w:rPr>
            </w:pPr>
          </w:p>
        </w:tc>
      </w:tr>
      <w:tr w:rsidRPr="00A100A5" w:rsidR="00DA3358" w:rsidTr="00DA3358" w14:paraId="61ADE0D2"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E875B0B" w14:textId="77777777">
            <w:pPr>
              <w:rPr>
                <w:rFonts w:ascii="Times New Roman" w:hAnsi="Times New Roman" w:eastAsiaTheme="minorHAnsi"/>
                <w:color w:val="000000"/>
                <w:sz w:val="24"/>
                <w:szCs w:val="24"/>
              </w:rPr>
            </w:pPr>
            <w:r w:rsidRPr="00A100A5">
              <w:rPr>
                <w:rFonts w:ascii="Times New Roman" w:hAnsi="Times New Roman"/>
                <w:color w:val="000000"/>
                <w:sz w:val="24"/>
                <w:szCs w:val="24"/>
              </w:rPr>
              <w:t>Tier 1</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09BCB07B" w14:textId="77777777">
            <w:pPr>
              <w:jc w:val="center"/>
              <w:rPr>
                <w:rFonts w:ascii="Times New Roman" w:hAnsi="Times New Roman"/>
                <w:color w:val="000000"/>
                <w:sz w:val="24"/>
                <w:szCs w:val="24"/>
              </w:rPr>
            </w:pPr>
            <w:r w:rsidRPr="00A100A5">
              <w:rPr>
                <w:rFonts w:ascii="Times New Roman" w:hAnsi="Times New Roman"/>
                <w:color w:val="000000"/>
                <w:sz w:val="24"/>
                <w:szCs w:val="24"/>
              </w:rPr>
              <w:t>13</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26CB1F59" w14:textId="77777777">
            <w:pPr>
              <w:jc w:val="center"/>
              <w:rPr>
                <w:rFonts w:ascii="Times New Roman" w:hAnsi="Times New Roman"/>
                <w:color w:val="000000"/>
                <w:sz w:val="24"/>
                <w:szCs w:val="24"/>
              </w:rPr>
            </w:pPr>
            <w:r w:rsidRPr="00A100A5">
              <w:rPr>
                <w:rFonts w:ascii="Times New Roman" w:hAnsi="Times New Roman"/>
                <w:color w:val="000000"/>
                <w:sz w:val="24"/>
                <w:szCs w:val="24"/>
              </w:rPr>
              <w:t>5</w:t>
            </w: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97E69CE" w14:textId="77777777">
            <w:pPr>
              <w:jc w:val="center"/>
              <w:rPr>
                <w:rFonts w:ascii="Times New Roman" w:hAnsi="Times New Roman"/>
                <w:color w:val="000000"/>
                <w:sz w:val="24"/>
                <w:szCs w:val="24"/>
              </w:rPr>
            </w:pPr>
            <w:r w:rsidRPr="00A100A5">
              <w:rPr>
                <w:rFonts w:ascii="Times New Roman" w:hAnsi="Times New Roman"/>
                <w:color w:val="000000"/>
                <w:sz w:val="24"/>
                <w:szCs w:val="24"/>
              </w:rPr>
              <w:t>65</w:t>
            </w:r>
          </w:p>
        </w:tc>
      </w:tr>
      <w:tr w:rsidRPr="00A100A5" w:rsidR="00DA3358" w:rsidTr="00DA3358" w14:paraId="737A344F"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696C216" w14:textId="77777777">
            <w:pPr>
              <w:rPr>
                <w:rFonts w:ascii="Times New Roman" w:hAnsi="Times New Roman"/>
                <w:color w:val="000000"/>
                <w:sz w:val="24"/>
                <w:szCs w:val="24"/>
              </w:rPr>
            </w:pPr>
            <w:r w:rsidRPr="00A100A5">
              <w:rPr>
                <w:rFonts w:ascii="Times New Roman" w:hAnsi="Times New Roman"/>
                <w:color w:val="000000"/>
                <w:sz w:val="24"/>
                <w:szCs w:val="24"/>
              </w:rPr>
              <w:t> </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0A0B21D" w14:textId="77777777">
            <w:pPr>
              <w:rPr>
                <w:rFonts w:ascii="Times New Roman" w:hAnsi="Times New Roman"/>
                <w:color w:val="000000"/>
                <w:sz w:val="24"/>
                <w:szCs w:val="24"/>
              </w:rPr>
            </w:pP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6FDDE07E" w14:textId="77777777">
            <w:pPr>
              <w:rPr>
                <w:rFonts w:ascii="Times New Roman" w:hAnsi="Times New Roman"/>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2DFA396F" w14:textId="77777777">
            <w:pPr>
              <w:rPr>
                <w:rFonts w:ascii="Times New Roman" w:hAnsi="Times New Roman"/>
                <w:sz w:val="24"/>
                <w:szCs w:val="24"/>
              </w:rPr>
            </w:pPr>
          </w:p>
        </w:tc>
      </w:tr>
      <w:tr w:rsidRPr="00A100A5" w:rsidR="00DA3358" w:rsidTr="00DA3358" w14:paraId="76E94AF4" w14:textId="77777777">
        <w:trPr>
          <w:trHeight w:val="300"/>
        </w:trPr>
        <w:tc>
          <w:tcPr>
            <w:tcW w:w="21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3235A480" w14:textId="77777777">
            <w:pPr>
              <w:rPr>
                <w:rFonts w:ascii="Times New Roman" w:hAnsi="Times New Roman" w:eastAsiaTheme="minorHAnsi"/>
                <w:color w:val="000000"/>
                <w:sz w:val="24"/>
                <w:szCs w:val="24"/>
              </w:rPr>
            </w:pPr>
            <w:r w:rsidRPr="00A100A5">
              <w:rPr>
                <w:rFonts w:ascii="Times New Roman" w:hAnsi="Times New Roman"/>
                <w:color w:val="000000"/>
                <w:sz w:val="24"/>
                <w:szCs w:val="24"/>
              </w:rPr>
              <w:t>Totals</w:t>
            </w:r>
          </w:p>
        </w:tc>
        <w:tc>
          <w:tcPr>
            <w:tcW w:w="1372"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4EF48842" w14:textId="77777777">
            <w:pPr>
              <w:jc w:val="center"/>
              <w:rPr>
                <w:rFonts w:ascii="Times New Roman" w:hAnsi="Times New Roman"/>
                <w:color w:val="000000"/>
                <w:sz w:val="24"/>
                <w:szCs w:val="24"/>
              </w:rPr>
            </w:pPr>
            <w:r w:rsidRPr="00A100A5">
              <w:rPr>
                <w:rFonts w:ascii="Times New Roman" w:hAnsi="Times New Roman"/>
                <w:color w:val="000000"/>
                <w:sz w:val="24"/>
                <w:szCs w:val="24"/>
              </w:rPr>
              <w:t>437</w:t>
            </w:r>
          </w:p>
        </w:tc>
        <w:tc>
          <w:tcPr>
            <w:tcW w:w="271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161C29F1" w14:textId="77777777">
            <w:pPr>
              <w:rPr>
                <w:rFonts w:ascii="Times New Roman" w:hAnsi="Times New Roman"/>
                <w:color w:val="000000"/>
                <w:sz w:val="24"/>
                <w:szCs w:val="24"/>
              </w:rPr>
            </w:pPr>
          </w:p>
        </w:tc>
        <w:tc>
          <w:tcPr>
            <w:tcW w:w="4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A100A5" w:rsidR="00DA3358" w:rsidRDefault="00DA3358" w14:paraId="5181AD7C" w14:textId="77777777">
            <w:pPr>
              <w:jc w:val="center"/>
              <w:rPr>
                <w:rFonts w:ascii="Times New Roman" w:hAnsi="Times New Roman" w:eastAsiaTheme="minorHAnsi"/>
                <w:color w:val="000000"/>
                <w:sz w:val="24"/>
                <w:szCs w:val="24"/>
              </w:rPr>
            </w:pPr>
            <w:r w:rsidRPr="00A100A5">
              <w:rPr>
                <w:rFonts w:ascii="Times New Roman" w:hAnsi="Times New Roman"/>
                <w:sz w:val="24"/>
                <w:szCs w:val="24"/>
              </w:rPr>
              <w:t>609,100</w:t>
            </w:r>
          </w:p>
        </w:tc>
      </w:tr>
    </w:tbl>
    <w:p w:rsidRPr="00A100A5" w:rsidR="00DA3358" w:rsidP="00DA3358" w:rsidRDefault="00DA3358" w14:paraId="6EED7BD5" w14:textId="77777777">
      <w:pPr>
        <w:rPr>
          <w:rFonts w:ascii="Times New Roman" w:hAnsi="Times New Roman" w:eastAsiaTheme="minorHAnsi"/>
          <w:sz w:val="24"/>
          <w:szCs w:val="24"/>
        </w:rPr>
      </w:pPr>
    </w:p>
    <w:p w:rsidRPr="00A100A5" w:rsidR="00DA3358" w:rsidP="00DA3358" w:rsidRDefault="00DA3358" w14:paraId="2AAD8EF7" w14:textId="77777777">
      <w:pPr>
        <w:pStyle w:val="ListParagraph"/>
        <w:spacing w:after="0" w:line="240" w:lineRule="auto"/>
        <w:ind w:left="0"/>
        <w:contextualSpacing w:val="0"/>
        <w:rPr>
          <w:rFonts w:ascii="Times New Roman" w:hAnsi="Times New Roman" w:eastAsia="Times New Roman"/>
          <w:sz w:val="24"/>
          <w:szCs w:val="24"/>
        </w:rPr>
      </w:pPr>
      <w:r w:rsidRPr="00A100A5">
        <w:rPr>
          <w:rFonts w:ascii="Times New Roman" w:hAnsi="Times New Roman" w:eastAsia="Times New Roman"/>
          <w:sz w:val="24"/>
          <w:szCs w:val="24"/>
          <w:vertAlign w:val="superscript"/>
        </w:rPr>
        <w:t>1</w:t>
      </w:r>
      <w:r w:rsidRPr="00A100A5">
        <w:rPr>
          <w:rFonts w:ascii="Times New Roman" w:hAnsi="Times New Roman" w:eastAsia="Times New Roman"/>
          <w:sz w:val="24"/>
          <w:szCs w:val="24"/>
        </w:rPr>
        <w:t>In 2020, all OCC reporters were annual reporters only; none had more than 60,000 LAR lines per year. Tiers and burden hours reflect the methodology used by the CFPB (</w:t>
      </w:r>
      <w:hyperlink w:history="1" r:id="rId8">
        <w:r w:rsidRPr="00A100A5">
          <w:rPr>
            <w:rStyle w:val="Hyperlink"/>
            <w:rFonts w:ascii="Times New Roman" w:hAnsi="Times New Roman" w:eastAsia="Times New Roman"/>
            <w:sz w:val="24"/>
            <w:szCs w:val="24"/>
          </w:rPr>
          <w:t>link</w:t>
        </w:r>
      </w:hyperlink>
      <w:r w:rsidRPr="00A100A5">
        <w:rPr>
          <w:rFonts w:ascii="Times New Roman" w:hAnsi="Times New Roman" w:eastAsia="Times New Roman"/>
          <w:sz w:val="24"/>
          <w:szCs w:val="24"/>
        </w:rPr>
        <w:t>) and the FRB (</w:t>
      </w:r>
      <w:hyperlink w:history="1" r:id="rId9">
        <w:r w:rsidRPr="00A100A5">
          <w:rPr>
            <w:rStyle w:val="Hyperlink"/>
            <w:rFonts w:ascii="Times New Roman" w:hAnsi="Times New Roman" w:eastAsia="Times New Roman"/>
            <w:sz w:val="24"/>
            <w:szCs w:val="24"/>
          </w:rPr>
          <w:t>link</w:t>
        </w:r>
      </w:hyperlink>
      <w:r w:rsidRPr="00A100A5">
        <w:rPr>
          <w:rFonts w:ascii="Times New Roman" w:hAnsi="Times New Roman" w:eastAsia="Times New Roman"/>
          <w:sz w:val="24"/>
          <w:szCs w:val="24"/>
        </w:rPr>
        <w:t xml:space="preserve">).  </w:t>
      </w:r>
    </w:p>
    <w:p w:rsidRPr="00A100A5" w:rsidR="00DA3358" w:rsidP="00E57AE6" w:rsidRDefault="00DA3358" w14:paraId="5439B34B" w14:textId="78D23D96">
      <w:pPr>
        <w:pStyle w:val="ListParagraph"/>
        <w:spacing w:after="0" w:line="240" w:lineRule="auto"/>
        <w:ind w:left="0"/>
        <w:contextualSpacing w:val="0"/>
        <w:rPr>
          <w:rFonts w:ascii="Times New Roman" w:hAnsi="Times New Roman" w:eastAsia="Times New Roman"/>
          <w:sz w:val="24"/>
          <w:szCs w:val="24"/>
        </w:rPr>
      </w:pPr>
      <w:r w:rsidRPr="00A100A5">
        <w:rPr>
          <w:rFonts w:ascii="Times New Roman" w:hAnsi="Times New Roman" w:eastAsia="Times New Roman"/>
          <w:sz w:val="24"/>
          <w:szCs w:val="24"/>
          <w:vertAlign w:val="superscript"/>
        </w:rPr>
        <w:t xml:space="preserve">2 </w:t>
      </w:r>
      <w:r w:rsidRPr="00A100A5">
        <w:rPr>
          <w:rFonts w:ascii="Times New Roman" w:hAnsi="Times New Roman"/>
          <w:sz w:val="24"/>
          <w:szCs w:val="24"/>
        </w:rPr>
        <w:t xml:space="preserve">For disclosure, we estimate that the disclosure burden for Tiers 2 and Tier 3 banks is negligible. </w:t>
      </w:r>
    </w:p>
    <w:p w:rsidRPr="00A100A5" w:rsidR="00604C53" w:rsidP="003B19A3" w:rsidRDefault="00604C53" w14:paraId="3B7791CA" w14:textId="77777777">
      <w:pPr>
        <w:ind w:right="-360" w:firstLine="720"/>
        <w:rPr>
          <w:rFonts w:ascii="Times New Roman" w:hAnsi="Times New Roman"/>
          <w:sz w:val="24"/>
          <w:szCs w:val="24"/>
        </w:rPr>
      </w:pPr>
    </w:p>
    <w:p w:rsidRPr="00A100A5" w:rsidR="00FA0BD3" w:rsidP="003B19A3" w:rsidRDefault="00375A5C" w14:paraId="7520BC56" w14:textId="0C615F43">
      <w:pPr>
        <w:ind w:right="-360"/>
        <w:rPr>
          <w:rFonts w:ascii="Times New Roman" w:hAnsi="Times New Roman"/>
          <w:sz w:val="24"/>
          <w:szCs w:val="24"/>
        </w:rPr>
      </w:pPr>
      <w:r w:rsidRPr="00A100A5">
        <w:rPr>
          <w:rFonts w:ascii="Times New Roman" w:hAnsi="Times New Roman"/>
          <w:sz w:val="24"/>
          <w:szCs w:val="24"/>
        </w:rPr>
        <w:t xml:space="preserve">Estimated Number of Respondents:  </w:t>
      </w:r>
      <w:r w:rsidRPr="00A100A5" w:rsidR="00204117">
        <w:rPr>
          <w:rFonts w:ascii="Times New Roman" w:hAnsi="Times New Roman"/>
          <w:sz w:val="24"/>
          <w:szCs w:val="24"/>
        </w:rPr>
        <w:t>437</w:t>
      </w:r>
      <w:r w:rsidRPr="00A100A5" w:rsidR="0030234F">
        <w:rPr>
          <w:rFonts w:ascii="Times New Roman" w:hAnsi="Times New Roman"/>
          <w:sz w:val="24"/>
          <w:szCs w:val="24"/>
        </w:rPr>
        <w:t>.</w:t>
      </w:r>
    </w:p>
    <w:p w:rsidRPr="00A100A5" w:rsidR="00375A5C" w:rsidP="003B19A3" w:rsidRDefault="00375A5C" w14:paraId="03E613CD" w14:textId="54D910A8">
      <w:pPr>
        <w:ind w:right="-360"/>
        <w:rPr>
          <w:rFonts w:ascii="Times New Roman" w:hAnsi="Times New Roman"/>
          <w:sz w:val="24"/>
          <w:szCs w:val="24"/>
        </w:rPr>
      </w:pPr>
      <w:r w:rsidRPr="00A100A5">
        <w:rPr>
          <w:rFonts w:ascii="Times New Roman" w:hAnsi="Times New Roman"/>
          <w:sz w:val="24"/>
          <w:szCs w:val="24"/>
        </w:rPr>
        <w:t>Estimated Annual Burden</w:t>
      </w:r>
      <w:r w:rsidRPr="00A100A5" w:rsidR="00857DA4">
        <w:rPr>
          <w:rFonts w:ascii="Times New Roman" w:hAnsi="Times New Roman"/>
          <w:sz w:val="24"/>
          <w:szCs w:val="24"/>
        </w:rPr>
        <w:t xml:space="preserve">:  </w:t>
      </w:r>
      <w:r w:rsidRPr="00A100A5" w:rsidR="00204117">
        <w:rPr>
          <w:rFonts w:ascii="Times New Roman" w:hAnsi="Times New Roman"/>
          <w:sz w:val="24"/>
          <w:szCs w:val="24"/>
        </w:rPr>
        <w:t xml:space="preserve">609,100 </w:t>
      </w:r>
      <w:r w:rsidRPr="00A100A5">
        <w:rPr>
          <w:rFonts w:ascii="Times New Roman" w:hAnsi="Times New Roman"/>
          <w:sz w:val="24"/>
          <w:szCs w:val="24"/>
        </w:rPr>
        <w:t xml:space="preserve">hours. </w:t>
      </w:r>
    </w:p>
    <w:p w:rsidRPr="00A100A5" w:rsidR="00DC0F24" w:rsidP="003B19A3" w:rsidRDefault="00DC0F24" w14:paraId="2C9249F5" w14:textId="77777777">
      <w:pPr>
        <w:ind w:right="-360"/>
        <w:rPr>
          <w:rFonts w:ascii="Times New Roman" w:hAnsi="Times New Roman"/>
          <w:sz w:val="24"/>
          <w:szCs w:val="24"/>
        </w:rPr>
      </w:pPr>
    </w:p>
    <w:p w:rsidRPr="00A100A5" w:rsidR="00DC0F24" w:rsidP="003B19A3" w:rsidRDefault="00DC0F24" w14:paraId="4D4071C9" w14:textId="57A93947">
      <w:pPr>
        <w:ind w:right="-360"/>
        <w:rPr>
          <w:rFonts w:ascii="Times New Roman" w:hAnsi="Times New Roman"/>
          <w:sz w:val="24"/>
          <w:szCs w:val="24"/>
        </w:rPr>
      </w:pPr>
      <w:r w:rsidRPr="00A100A5">
        <w:rPr>
          <w:rFonts w:ascii="Times New Roman" w:hAnsi="Times New Roman"/>
          <w:sz w:val="24"/>
          <w:szCs w:val="24"/>
        </w:rPr>
        <w:t xml:space="preserve">Cost of Hour Burden:  </w:t>
      </w:r>
      <w:r w:rsidRPr="00A100A5" w:rsidR="00E57AE6">
        <w:rPr>
          <w:rFonts w:ascii="Times New Roman" w:hAnsi="Times New Roman"/>
          <w:sz w:val="24"/>
          <w:szCs w:val="24"/>
        </w:rPr>
        <w:t>609,100</w:t>
      </w:r>
      <w:r w:rsidRPr="00A100A5">
        <w:rPr>
          <w:rFonts w:ascii="Times New Roman" w:hAnsi="Times New Roman"/>
          <w:sz w:val="24"/>
          <w:szCs w:val="24"/>
        </w:rPr>
        <w:t xml:space="preserve"> x $11</w:t>
      </w:r>
      <w:r w:rsidR="00BA174A">
        <w:rPr>
          <w:rFonts w:ascii="Times New Roman" w:hAnsi="Times New Roman"/>
          <w:sz w:val="24"/>
          <w:szCs w:val="24"/>
        </w:rPr>
        <w:t>9.63</w:t>
      </w:r>
      <w:r w:rsidRPr="00A100A5">
        <w:rPr>
          <w:rFonts w:ascii="Times New Roman" w:hAnsi="Times New Roman"/>
          <w:sz w:val="24"/>
          <w:szCs w:val="24"/>
        </w:rPr>
        <w:t xml:space="preserve"> = $ </w:t>
      </w:r>
      <w:r w:rsidR="00BA174A">
        <w:rPr>
          <w:rFonts w:ascii="Times New Roman" w:hAnsi="Times New Roman"/>
          <w:sz w:val="24"/>
          <w:szCs w:val="24"/>
        </w:rPr>
        <w:t>72,866,633</w:t>
      </w:r>
    </w:p>
    <w:p w:rsidRPr="00A100A5" w:rsidR="00E57AE6" w:rsidP="003B19A3" w:rsidRDefault="00E57AE6" w14:paraId="530412E4" w14:textId="77777777">
      <w:pPr>
        <w:ind w:right="-360"/>
        <w:rPr>
          <w:rFonts w:ascii="Times New Roman" w:hAnsi="Times New Roman"/>
          <w:sz w:val="24"/>
          <w:szCs w:val="24"/>
        </w:rPr>
      </w:pPr>
    </w:p>
    <w:p w:rsidRPr="00BA174A" w:rsidR="00DC0F24" w:rsidP="00BA174A" w:rsidRDefault="00BA174A" w14:paraId="67A4EECE" w14:textId="261B4C14">
      <w:pPr>
        <w:rPr>
          <w:rFonts w:ascii="Times New Roman" w:hAnsi="Times New Roman"/>
          <w:color w:val="000000"/>
          <w:sz w:val="24"/>
          <w:szCs w:val="24"/>
        </w:rPr>
      </w:pPr>
      <w:r>
        <w:rPr>
          <w:rFonts w:ascii="Times New Roman" w:hAnsi="Times New Roman"/>
          <w:color w:val="000000"/>
          <w:sz w:val="24"/>
          <w:szCs w:val="24"/>
        </w:rPr>
        <w:lastRenderedPageBreak/>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A100A5" w:rsidR="00A427C1" w:rsidP="003B19A3" w:rsidRDefault="00A427C1" w14:paraId="3D6A4F7E" w14:textId="77777777">
      <w:pPr>
        <w:ind w:firstLine="7920"/>
        <w:rPr>
          <w:rFonts w:ascii="Times New Roman" w:hAnsi="Times New Roman"/>
          <w:sz w:val="24"/>
          <w:szCs w:val="24"/>
        </w:rPr>
      </w:pPr>
    </w:p>
    <w:p w:rsidRPr="00A100A5" w:rsidR="00A427C1" w:rsidP="003B19A3" w:rsidRDefault="00A427C1" w14:paraId="32787BE0" w14:textId="77777777">
      <w:pPr>
        <w:rPr>
          <w:rFonts w:ascii="Times New Roman" w:hAnsi="Times New Roman"/>
          <w:b/>
          <w:i/>
          <w:sz w:val="24"/>
          <w:szCs w:val="24"/>
        </w:rPr>
      </w:pPr>
      <w:r w:rsidRPr="00A100A5">
        <w:rPr>
          <w:rFonts w:ascii="Times New Roman" w:hAnsi="Times New Roman"/>
          <w:b/>
          <w:i/>
          <w:sz w:val="24"/>
          <w:szCs w:val="24"/>
        </w:rPr>
        <w:t>13.</w:t>
      </w:r>
      <w:r w:rsidRPr="00A100A5">
        <w:rPr>
          <w:rFonts w:ascii="Times New Roman" w:hAnsi="Times New Roman"/>
          <w:b/>
          <w:i/>
          <w:sz w:val="24"/>
          <w:szCs w:val="24"/>
        </w:rPr>
        <w:tab/>
        <w:t>Estimate of annualized cost to respondents</w:t>
      </w:r>
      <w:r w:rsidRPr="00A100A5" w:rsidR="00D65372">
        <w:rPr>
          <w:rFonts w:ascii="Times New Roman" w:hAnsi="Times New Roman"/>
          <w:b/>
          <w:i/>
          <w:sz w:val="24"/>
          <w:szCs w:val="24"/>
        </w:rPr>
        <w:t>:</w:t>
      </w:r>
    </w:p>
    <w:p w:rsidRPr="00A100A5" w:rsidR="00A427C1" w:rsidP="003B19A3" w:rsidRDefault="00A427C1" w14:paraId="533517D1" w14:textId="77777777">
      <w:pPr>
        <w:rPr>
          <w:rFonts w:ascii="Times New Roman" w:hAnsi="Times New Roman"/>
          <w:sz w:val="24"/>
          <w:szCs w:val="24"/>
        </w:rPr>
      </w:pPr>
    </w:p>
    <w:p w:rsidRPr="00A100A5" w:rsidR="00D65372" w:rsidP="003B19A3" w:rsidRDefault="00D65372" w14:paraId="36DF85CB" w14:textId="77777777">
      <w:pPr>
        <w:ind w:firstLine="720"/>
        <w:rPr>
          <w:rFonts w:ascii="Times New Roman" w:hAnsi="Times New Roman"/>
          <w:sz w:val="24"/>
          <w:szCs w:val="24"/>
        </w:rPr>
      </w:pPr>
      <w:r w:rsidRPr="00A100A5">
        <w:rPr>
          <w:rFonts w:ascii="Times New Roman" w:hAnsi="Times New Roman"/>
          <w:sz w:val="24"/>
          <w:szCs w:val="24"/>
        </w:rPr>
        <w:t>Not applicable.</w:t>
      </w:r>
    </w:p>
    <w:p w:rsidRPr="00A100A5" w:rsidR="0067390D" w:rsidP="003B19A3" w:rsidRDefault="0067390D" w14:paraId="381C808F" w14:textId="77777777">
      <w:pPr>
        <w:rPr>
          <w:rFonts w:ascii="Times New Roman" w:hAnsi="Times New Roman"/>
          <w:sz w:val="24"/>
          <w:szCs w:val="24"/>
        </w:rPr>
      </w:pPr>
    </w:p>
    <w:p w:rsidRPr="00A100A5" w:rsidR="00A427C1" w:rsidP="003B19A3" w:rsidRDefault="00A427C1" w14:paraId="387CB030" w14:textId="3AEB23F4">
      <w:pPr>
        <w:rPr>
          <w:rFonts w:ascii="Times New Roman" w:hAnsi="Times New Roman"/>
          <w:b/>
          <w:i/>
          <w:sz w:val="24"/>
          <w:szCs w:val="24"/>
        </w:rPr>
      </w:pPr>
      <w:r w:rsidRPr="00A100A5">
        <w:rPr>
          <w:rFonts w:ascii="Times New Roman" w:hAnsi="Times New Roman"/>
          <w:b/>
          <w:i/>
          <w:sz w:val="24"/>
          <w:szCs w:val="24"/>
        </w:rPr>
        <w:t>14.</w:t>
      </w:r>
      <w:r w:rsidRPr="00A100A5">
        <w:rPr>
          <w:rFonts w:ascii="Times New Roman" w:hAnsi="Times New Roman"/>
          <w:b/>
          <w:i/>
          <w:sz w:val="24"/>
          <w:szCs w:val="24"/>
        </w:rPr>
        <w:tab/>
        <w:t xml:space="preserve">Estimate of annualized costs to the </w:t>
      </w:r>
      <w:r w:rsidRPr="00A100A5" w:rsidR="0030234F">
        <w:rPr>
          <w:rFonts w:ascii="Times New Roman" w:hAnsi="Times New Roman"/>
          <w:b/>
          <w:i/>
          <w:sz w:val="24"/>
          <w:szCs w:val="24"/>
        </w:rPr>
        <w:t>Federal G</w:t>
      </w:r>
      <w:r w:rsidRPr="00A100A5">
        <w:rPr>
          <w:rFonts w:ascii="Times New Roman" w:hAnsi="Times New Roman"/>
          <w:b/>
          <w:i/>
          <w:sz w:val="24"/>
          <w:szCs w:val="24"/>
        </w:rPr>
        <w:t>overnment:</w:t>
      </w:r>
    </w:p>
    <w:p w:rsidRPr="00A100A5" w:rsidR="00A427C1" w:rsidP="003B19A3" w:rsidRDefault="00A427C1" w14:paraId="227FEACB" w14:textId="77777777">
      <w:pPr>
        <w:rPr>
          <w:rFonts w:ascii="Times New Roman" w:hAnsi="Times New Roman"/>
          <w:sz w:val="24"/>
          <w:szCs w:val="24"/>
        </w:rPr>
      </w:pPr>
    </w:p>
    <w:p w:rsidRPr="00A100A5" w:rsidR="00A427C1" w:rsidP="003B19A3" w:rsidRDefault="00D65372" w14:paraId="205F40EB" w14:textId="77777777">
      <w:pPr>
        <w:ind w:firstLine="720"/>
        <w:rPr>
          <w:rFonts w:ascii="Times New Roman" w:hAnsi="Times New Roman"/>
          <w:sz w:val="24"/>
          <w:szCs w:val="24"/>
        </w:rPr>
      </w:pPr>
      <w:bookmarkStart w:name="OLE_LINK1" w:id="2"/>
      <w:bookmarkStart w:name="OLE_LINK2" w:id="3"/>
      <w:r w:rsidRPr="00A100A5">
        <w:rPr>
          <w:rFonts w:ascii="Times New Roman" w:hAnsi="Times New Roman"/>
          <w:sz w:val="24"/>
          <w:szCs w:val="24"/>
        </w:rPr>
        <w:t>Not applicable.</w:t>
      </w:r>
    </w:p>
    <w:bookmarkEnd w:id="2"/>
    <w:bookmarkEnd w:id="3"/>
    <w:p w:rsidRPr="00A100A5" w:rsidR="00857DA4" w:rsidP="003B19A3" w:rsidRDefault="00857DA4" w14:paraId="014A42AE" w14:textId="77777777">
      <w:pPr>
        <w:rPr>
          <w:rFonts w:ascii="Times New Roman" w:hAnsi="Times New Roman"/>
          <w:i/>
          <w:sz w:val="24"/>
          <w:szCs w:val="24"/>
        </w:rPr>
      </w:pPr>
    </w:p>
    <w:p w:rsidRPr="00A100A5" w:rsidR="00A427C1" w:rsidP="003B19A3" w:rsidRDefault="00A427C1" w14:paraId="18ECAF62" w14:textId="77777777">
      <w:pPr>
        <w:rPr>
          <w:rFonts w:ascii="Times New Roman" w:hAnsi="Times New Roman"/>
          <w:b/>
          <w:i/>
          <w:sz w:val="24"/>
          <w:szCs w:val="24"/>
        </w:rPr>
      </w:pPr>
      <w:r w:rsidRPr="00A100A5">
        <w:rPr>
          <w:rFonts w:ascii="Times New Roman" w:hAnsi="Times New Roman"/>
          <w:b/>
          <w:i/>
          <w:sz w:val="24"/>
          <w:szCs w:val="24"/>
        </w:rPr>
        <w:t>15.</w:t>
      </w:r>
      <w:r w:rsidRPr="00A100A5">
        <w:rPr>
          <w:rFonts w:ascii="Times New Roman" w:hAnsi="Times New Roman"/>
          <w:b/>
          <w:i/>
          <w:sz w:val="24"/>
          <w:szCs w:val="24"/>
        </w:rPr>
        <w:tab/>
        <w:t>Change in burden:</w:t>
      </w:r>
    </w:p>
    <w:p w:rsidRPr="00A100A5" w:rsidR="00857DA4" w:rsidP="003B19A3" w:rsidRDefault="00857DA4" w14:paraId="4B10EF7C" w14:textId="77777777">
      <w:pPr>
        <w:ind w:firstLine="720"/>
        <w:rPr>
          <w:rFonts w:ascii="Times New Roman" w:hAnsi="Times New Roman"/>
          <w:sz w:val="24"/>
          <w:szCs w:val="24"/>
        </w:rPr>
      </w:pPr>
    </w:p>
    <w:p w:rsidRPr="00A100A5" w:rsidR="00857DA4" w:rsidP="003B19A3" w:rsidRDefault="00857DA4" w14:paraId="63C045D1" w14:textId="2C6DE186">
      <w:pPr>
        <w:ind w:right="-360" w:firstLine="720"/>
        <w:rPr>
          <w:rFonts w:ascii="Times New Roman" w:hAnsi="Times New Roman"/>
          <w:sz w:val="24"/>
          <w:szCs w:val="24"/>
        </w:rPr>
      </w:pPr>
      <w:r w:rsidRPr="00A100A5">
        <w:rPr>
          <w:rFonts w:ascii="Times New Roman" w:hAnsi="Times New Roman"/>
          <w:sz w:val="24"/>
          <w:szCs w:val="24"/>
        </w:rPr>
        <w:t xml:space="preserve">Former Burden:  </w:t>
      </w:r>
      <w:r w:rsidRPr="00A100A5" w:rsidR="00C22E81">
        <w:rPr>
          <w:rFonts w:ascii="Times New Roman" w:hAnsi="Times New Roman"/>
          <w:sz w:val="24"/>
          <w:szCs w:val="24"/>
        </w:rPr>
        <w:t>635,938 hours.</w:t>
      </w:r>
    </w:p>
    <w:p w:rsidRPr="00A100A5" w:rsidR="00857DA4" w:rsidP="003B19A3" w:rsidRDefault="00857DA4" w14:paraId="62435C4F" w14:textId="33BC986D">
      <w:pPr>
        <w:ind w:firstLine="720"/>
        <w:rPr>
          <w:rFonts w:ascii="Times New Roman" w:hAnsi="Times New Roman"/>
          <w:sz w:val="24"/>
          <w:szCs w:val="24"/>
        </w:rPr>
      </w:pPr>
      <w:r w:rsidRPr="00A100A5">
        <w:rPr>
          <w:rFonts w:ascii="Times New Roman" w:hAnsi="Times New Roman"/>
          <w:sz w:val="24"/>
          <w:szCs w:val="24"/>
        </w:rPr>
        <w:t xml:space="preserve">Current Burden:  </w:t>
      </w:r>
      <w:r w:rsidRPr="00A100A5" w:rsidR="008F056B">
        <w:rPr>
          <w:rFonts w:ascii="Times New Roman" w:hAnsi="Times New Roman"/>
          <w:sz w:val="24"/>
          <w:szCs w:val="24"/>
        </w:rPr>
        <w:t>609,100 hours.</w:t>
      </w:r>
    </w:p>
    <w:p w:rsidRPr="00A100A5" w:rsidR="00857DA4" w:rsidP="003B19A3" w:rsidRDefault="00857DA4" w14:paraId="4D39266E" w14:textId="42309E5B">
      <w:pPr>
        <w:ind w:firstLine="720"/>
        <w:rPr>
          <w:rFonts w:ascii="Times New Roman" w:hAnsi="Times New Roman"/>
          <w:sz w:val="24"/>
          <w:szCs w:val="24"/>
        </w:rPr>
      </w:pPr>
      <w:r w:rsidRPr="00A100A5">
        <w:rPr>
          <w:rFonts w:ascii="Times New Roman" w:hAnsi="Times New Roman"/>
          <w:sz w:val="24"/>
          <w:szCs w:val="24"/>
        </w:rPr>
        <w:t xml:space="preserve">Difference:  </w:t>
      </w:r>
      <w:r w:rsidRPr="00A100A5" w:rsidR="008F056B">
        <w:rPr>
          <w:rFonts w:ascii="Times New Roman" w:hAnsi="Times New Roman"/>
          <w:sz w:val="24"/>
          <w:szCs w:val="24"/>
        </w:rPr>
        <w:t>- 26,838 hours.</w:t>
      </w:r>
    </w:p>
    <w:p w:rsidRPr="00A100A5" w:rsidR="009D0C12" w:rsidP="003B19A3" w:rsidRDefault="009D0C12" w14:paraId="24841ABC" w14:textId="56B54067">
      <w:pPr>
        <w:ind w:firstLine="720"/>
        <w:rPr>
          <w:rFonts w:ascii="Times New Roman" w:hAnsi="Times New Roman"/>
          <w:sz w:val="24"/>
          <w:szCs w:val="24"/>
        </w:rPr>
      </w:pPr>
    </w:p>
    <w:p w:rsidRPr="00A100A5" w:rsidR="009D0C12" w:rsidP="003B19A3" w:rsidRDefault="009D0C12" w14:paraId="7B0270CA" w14:textId="574D20FC">
      <w:pPr>
        <w:ind w:firstLine="720"/>
        <w:rPr>
          <w:rFonts w:ascii="Times New Roman" w:hAnsi="Times New Roman"/>
          <w:sz w:val="24"/>
          <w:szCs w:val="24"/>
        </w:rPr>
      </w:pPr>
      <w:r w:rsidRPr="00A100A5">
        <w:rPr>
          <w:rFonts w:ascii="Times New Roman" w:hAnsi="Times New Roman"/>
          <w:sz w:val="24"/>
          <w:szCs w:val="24"/>
        </w:rPr>
        <w:t xml:space="preserve">The decrease in burden is due to </w:t>
      </w:r>
      <w:r w:rsidRPr="00A100A5" w:rsidR="00FE3620">
        <w:rPr>
          <w:rFonts w:ascii="Times New Roman" w:hAnsi="Times New Roman"/>
          <w:sz w:val="24"/>
          <w:szCs w:val="24"/>
        </w:rPr>
        <w:t>reduction in the number of responde</w:t>
      </w:r>
      <w:r w:rsidRPr="00A100A5" w:rsidR="008F056B">
        <w:rPr>
          <w:rFonts w:ascii="Times New Roman" w:hAnsi="Times New Roman"/>
          <w:sz w:val="24"/>
          <w:szCs w:val="24"/>
        </w:rPr>
        <w:t>nts.</w:t>
      </w:r>
    </w:p>
    <w:p w:rsidRPr="00A100A5" w:rsidR="006824AC" w:rsidP="003B19A3" w:rsidRDefault="006824AC" w14:paraId="27ADF510" w14:textId="77777777">
      <w:pPr>
        <w:ind w:firstLine="720"/>
        <w:rPr>
          <w:rFonts w:ascii="Times New Roman" w:hAnsi="Times New Roman"/>
          <w:sz w:val="24"/>
          <w:szCs w:val="24"/>
        </w:rPr>
      </w:pPr>
    </w:p>
    <w:p w:rsidRPr="00A100A5" w:rsidR="00A427C1" w:rsidP="003B19A3" w:rsidRDefault="00A427C1" w14:paraId="579F2E11" w14:textId="77777777">
      <w:pPr>
        <w:rPr>
          <w:rFonts w:ascii="Times New Roman" w:hAnsi="Times New Roman"/>
          <w:b/>
          <w:i/>
          <w:sz w:val="24"/>
          <w:szCs w:val="24"/>
        </w:rPr>
      </w:pPr>
      <w:r w:rsidRPr="00A100A5">
        <w:rPr>
          <w:rFonts w:ascii="Times New Roman" w:hAnsi="Times New Roman"/>
          <w:b/>
          <w:i/>
          <w:sz w:val="24"/>
          <w:szCs w:val="24"/>
        </w:rPr>
        <w:t>16.</w:t>
      </w:r>
      <w:r w:rsidRPr="00A100A5">
        <w:rPr>
          <w:rFonts w:ascii="Times New Roman" w:hAnsi="Times New Roman"/>
          <w:b/>
          <w:i/>
          <w:sz w:val="24"/>
          <w:szCs w:val="24"/>
        </w:rPr>
        <w:tab/>
        <w:t>Information regarding collections whose results are planned to be published for statistical use:</w:t>
      </w:r>
    </w:p>
    <w:p w:rsidRPr="00A100A5" w:rsidR="00A427C1" w:rsidP="003B19A3" w:rsidRDefault="00A427C1" w14:paraId="10B7386A" w14:textId="77777777">
      <w:pPr>
        <w:rPr>
          <w:rFonts w:ascii="Times New Roman" w:hAnsi="Times New Roman"/>
          <w:sz w:val="24"/>
          <w:szCs w:val="24"/>
        </w:rPr>
      </w:pPr>
    </w:p>
    <w:p w:rsidRPr="00A100A5" w:rsidR="00A427C1" w:rsidP="003B19A3" w:rsidRDefault="00A427C1" w14:paraId="5FFC061C" w14:textId="77777777">
      <w:pPr>
        <w:ind w:firstLine="720"/>
        <w:rPr>
          <w:rFonts w:ascii="Times New Roman" w:hAnsi="Times New Roman"/>
          <w:sz w:val="24"/>
          <w:szCs w:val="24"/>
        </w:rPr>
      </w:pPr>
      <w:r w:rsidRPr="00A100A5">
        <w:rPr>
          <w:rFonts w:ascii="Times New Roman" w:hAnsi="Times New Roman"/>
          <w:sz w:val="24"/>
          <w:szCs w:val="24"/>
        </w:rPr>
        <w:t>The OCC has no plans to publish the information for statistical use.</w:t>
      </w:r>
    </w:p>
    <w:p w:rsidRPr="00A100A5" w:rsidR="00A427C1" w:rsidP="003B19A3" w:rsidRDefault="00A427C1" w14:paraId="62834493" w14:textId="77777777">
      <w:pPr>
        <w:rPr>
          <w:rFonts w:ascii="Times New Roman" w:hAnsi="Times New Roman"/>
          <w:sz w:val="24"/>
          <w:szCs w:val="24"/>
        </w:rPr>
      </w:pPr>
    </w:p>
    <w:p w:rsidRPr="00A100A5" w:rsidR="0023461D" w:rsidP="003B19A3" w:rsidRDefault="00A427C1" w14:paraId="60EAA486" w14:textId="77777777">
      <w:pPr>
        <w:rPr>
          <w:rFonts w:ascii="Times New Roman" w:hAnsi="Times New Roman"/>
          <w:b/>
          <w:i/>
          <w:sz w:val="24"/>
          <w:szCs w:val="24"/>
        </w:rPr>
      </w:pPr>
      <w:r w:rsidRPr="00A100A5">
        <w:rPr>
          <w:rFonts w:ascii="Times New Roman" w:hAnsi="Times New Roman"/>
          <w:b/>
          <w:i/>
          <w:sz w:val="24"/>
          <w:szCs w:val="24"/>
        </w:rPr>
        <w:t>17.</w:t>
      </w:r>
      <w:r w:rsidRPr="00A100A5">
        <w:rPr>
          <w:rFonts w:ascii="Times New Roman" w:hAnsi="Times New Roman"/>
          <w:b/>
          <w:i/>
          <w:sz w:val="24"/>
          <w:szCs w:val="24"/>
        </w:rPr>
        <w:tab/>
        <w:t>Exceptions to certification statement</w:t>
      </w:r>
      <w:r w:rsidRPr="00A100A5" w:rsidR="0048452B">
        <w:rPr>
          <w:rFonts w:ascii="Times New Roman" w:hAnsi="Times New Roman"/>
          <w:b/>
          <w:i/>
          <w:sz w:val="24"/>
          <w:szCs w:val="24"/>
        </w:rPr>
        <w:t>:</w:t>
      </w:r>
    </w:p>
    <w:p w:rsidRPr="00A100A5" w:rsidR="0023461D" w:rsidP="003B19A3" w:rsidRDefault="0023461D" w14:paraId="24B6A2D1" w14:textId="77777777">
      <w:pPr>
        <w:rPr>
          <w:rFonts w:ascii="Times New Roman" w:hAnsi="Times New Roman"/>
          <w:sz w:val="24"/>
          <w:szCs w:val="24"/>
        </w:rPr>
      </w:pPr>
    </w:p>
    <w:p w:rsidRPr="00A100A5" w:rsidR="00A427C1" w:rsidP="003B19A3" w:rsidRDefault="00A427C1" w14:paraId="0D90E241" w14:textId="77777777">
      <w:pPr>
        <w:ind w:firstLine="720"/>
        <w:rPr>
          <w:rFonts w:ascii="Times New Roman" w:hAnsi="Times New Roman"/>
          <w:sz w:val="24"/>
          <w:szCs w:val="24"/>
        </w:rPr>
      </w:pPr>
      <w:r w:rsidRPr="00A100A5">
        <w:rPr>
          <w:rFonts w:ascii="Times New Roman" w:hAnsi="Times New Roman"/>
          <w:sz w:val="24"/>
          <w:szCs w:val="24"/>
        </w:rPr>
        <w:t>None.</w:t>
      </w:r>
    </w:p>
    <w:p w:rsidRPr="00A100A5" w:rsidR="004970BB" w:rsidP="003B19A3" w:rsidRDefault="004970BB" w14:paraId="0A447F2E" w14:textId="77777777">
      <w:pPr>
        <w:rPr>
          <w:rFonts w:ascii="Times New Roman" w:hAnsi="Times New Roman"/>
          <w:sz w:val="24"/>
          <w:szCs w:val="24"/>
        </w:rPr>
      </w:pPr>
    </w:p>
    <w:p w:rsidRPr="00A100A5" w:rsidR="00A427C1" w:rsidP="003B19A3" w:rsidRDefault="00A427C1" w14:paraId="00CFB798" w14:textId="77777777">
      <w:pPr>
        <w:rPr>
          <w:rFonts w:ascii="Times New Roman" w:hAnsi="Times New Roman"/>
          <w:b/>
          <w:sz w:val="24"/>
          <w:szCs w:val="24"/>
        </w:rPr>
      </w:pPr>
      <w:r w:rsidRPr="00A100A5">
        <w:rPr>
          <w:rFonts w:ascii="Times New Roman" w:hAnsi="Times New Roman"/>
          <w:b/>
          <w:sz w:val="24"/>
          <w:szCs w:val="24"/>
        </w:rPr>
        <w:t>B.</w:t>
      </w:r>
      <w:r w:rsidRPr="00A100A5" w:rsidR="008C48FE">
        <w:rPr>
          <w:rFonts w:ascii="Times New Roman" w:hAnsi="Times New Roman"/>
          <w:b/>
          <w:sz w:val="24"/>
          <w:szCs w:val="24"/>
        </w:rPr>
        <w:t xml:space="preserve">  </w:t>
      </w:r>
      <w:r w:rsidRPr="00A100A5">
        <w:rPr>
          <w:rFonts w:ascii="Times New Roman" w:hAnsi="Times New Roman"/>
          <w:b/>
          <w:sz w:val="24"/>
          <w:szCs w:val="24"/>
        </w:rPr>
        <w:t>Collections of information employing statistical methods.</w:t>
      </w:r>
    </w:p>
    <w:p w:rsidRPr="00A100A5" w:rsidR="00A427C1" w:rsidP="003B19A3" w:rsidRDefault="00A427C1" w14:paraId="3BC2F851" w14:textId="77777777">
      <w:pPr>
        <w:rPr>
          <w:rFonts w:ascii="Times New Roman" w:hAnsi="Times New Roman"/>
          <w:sz w:val="24"/>
          <w:szCs w:val="24"/>
        </w:rPr>
      </w:pPr>
    </w:p>
    <w:p w:rsidRPr="00A100A5" w:rsidR="00223489" w:rsidP="003B19A3" w:rsidRDefault="00A427C1" w14:paraId="41BD1AD0" w14:textId="77777777">
      <w:pPr>
        <w:ind w:firstLine="720"/>
        <w:rPr>
          <w:rFonts w:ascii="Times New Roman" w:hAnsi="Times New Roman"/>
          <w:sz w:val="24"/>
          <w:szCs w:val="24"/>
        </w:rPr>
      </w:pPr>
      <w:r w:rsidRPr="00A100A5">
        <w:rPr>
          <w:rFonts w:ascii="Times New Roman" w:hAnsi="Times New Roman"/>
          <w:sz w:val="24"/>
          <w:szCs w:val="24"/>
        </w:rPr>
        <w:t>Not applicable.</w:t>
      </w:r>
    </w:p>
    <w:sectPr w:rsidRPr="00A100A5" w:rsidR="00223489" w:rsidSect="00720D2E">
      <w:headerReference w:type="default" r:id="rId10"/>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DA0B" w14:textId="77777777" w:rsidR="002242B0" w:rsidRDefault="002242B0">
      <w:r>
        <w:separator/>
      </w:r>
    </w:p>
  </w:endnote>
  <w:endnote w:type="continuationSeparator" w:id="0">
    <w:p w14:paraId="0EAC04DA" w14:textId="77777777" w:rsidR="002242B0" w:rsidRDefault="002242B0">
      <w:r>
        <w:continuationSeparator/>
      </w:r>
    </w:p>
  </w:endnote>
  <w:endnote w:type="continuationNotice" w:id="1">
    <w:p w14:paraId="365F64BE" w14:textId="77777777" w:rsidR="002242B0" w:rsidRDefault="00224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D954" w14:textId="77777777" w:rsidR="00BF786A" w:rsidRDefault="00BF786A" w:rsidP="0018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6564A" w14:textId="77777777" w:rsidR="00BF786A" w:rsidRDefault="00BF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8B7D" w14:textId="77777777" w:rsidR="00BF786A" w:rsidRDefault="00BF786A" w:rsidP="0018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556E">
      <w:rPr>
        <w:rStyle w:val="PageNumber"/>
        <w:noProof/>
      </w:rPr>
      <w:t>2</w:t>
    </w:r>
    <w:r>
      <w:rPr>
        <w:rStyle w:val="PageNumber"/>
      </w:rPr>
      <w:fldChar w:fldCharType="end"/>
    </w:r>
  </w:p>
  <w:p w14:paraId="28F1E618" w14:textId="77777777" w:rsidR="00BF786A" w:rsidRDefault="00BF786A">
    <w:pPr>
      <w:spacing w:line="240" w:lineRule="exact"/>
    </w:pPr>
  </w:p>
  <w:p w14:paraId="6314FC96" w14:textId="77777777" w:rsidR="00BF786A" w:rsidRDefault="00BF7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93DB" w14:textId="77777777" w:rsidR="002242B0" w:rsidRDefault="002242B0">
      <w:r>
        <w:separator/>
      </w:r>
    </w:p>
  </w:footnote>
  <w:footnote w:type="continuationSeparator" w:id="0">
    <w:p w14:paraId="63CD309F" w14:textId="77777777" w:rsidR="002242B0" w:rsidRDefault="002242B0">
      <w:r>
        <w:continuationSeparator/>
      </w:r>
    </w:p>
  </w:footnote>
  <w:footnote w:type="continuationNotice" w:id="1">
    <w:p w14:paraId="16B174F1" w14:textId="77777777" w:rsidR="002242B0" w:rsidRDefault="002242B0"/>
  </w:footnote>
  <w:footnote w:id="2">
    <w:p w14:paraId="013B18AF" w14:textId="77777777" w:rsidR="00A100A5" w:rsidRPr="00D90FC6" w:rsidRDefault="00A100A5" w:rsidP="00A100A5">
      <w:pPr>
        <w:pStyle w:val="FootnoteText"/>
      </w:pPr>
      <w:r w:rsidRPr="00D90FC6">
        <w:rPr>
          <w:rStyle w:val="FootnoteReference"/>
        </w:rPr>
        <w:footnoteRef/>
      </w:r>
      <w:r w:rsidRPr="00D90FC6">
        <w:t xml:space="preserve"> 12 CFR part 1003.</w:t>
      </w:r>
    </w:p>
  </w:footnote>
  <w:footnote w:id="3">
    <w:p w14:paraId="532EB083" w14:textId="77777777" w:rsidR="00A100A5" w:rsidRPr="00D90FC6" w:rsidRDefault="00A100A5" w:rsidP="00A100A5">
      <w:pPr>
        <w:pStyle w:val="FootnoteText"/>
      </w:pPr>
      <w:r w:rsidRPr="00D90FC6">
        <w:rPr>
          <w:rStyle w:val="FootnoteReference"/>
        </w:rPr>
        <w:footnoteRef/>
      </w:r>
      <w:r w:rsidRPr="00D90FC6">
        <w:t xml:space="preserve"> 12 U.S.C. 2801-2811.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EF15" w14:textId="77777777" w:rsidR="00AD765F" w:rsidRDefault="00AD7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507"/>
    <w:multiLevelType w:val="hybridMultilevel"/>
    <w:tmpl w:val="56B4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D687210"/>
    <w:multiLevelType w:val="hybridMultilevel"/>
    <w:tmpl w:val="43D8227C"/>
    <w:lvl w:ilvl="0" w:tplc="8BE8BFA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45685AA1"/>
    <w:multiLevelType w:val="hybridMultilevel"/>
    <w:tmpl w:val="5D2269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3512B"/>
    <w:multiLevelType w:val="hybridMultilevel"/>
    <w:tmpl w:val="55D2D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0223B1"/>
    <w:multiLevelType w:val="hybridMultilevel"/>
    <w:tmpl w:val="AB8CB4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A267934"/>
    <w:multiLevelType w:val="hybridMultilevel"/>
    <w:tmpl w:val="3E5A9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85CA7"/>
    <w:multiLevelType w:val="hybridMultilevel"/>
    <w:tmpl w:val="4D760F9C"/>
    <w:lvl w:ilvl="0" w:tplc="BC64BBDA">
      <w:start w:val="8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7330A0"/>
    <w:multiLevelType w:val="hybridMultilevel"/>
    <w:tmpl w:val="40628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1"/>
  </w:num>
  <w:num w:numId="3">
    <w:abstractNumId w:val="4"/>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4"/>
  </w:num>
  <w:num w:numId="14">
    <w:abstractNumId w:val="4"/>
  </w:num>
  <w:num w:numId="15">
    <w:abstractNumId w:val="4"/>
  </w:num>
  <w:num w:numId="16">
    <w:abstractNumId w:val="4"/>
  </w:num>
  <w:num w:numId="17">
    <w:abstractNumId w:val="9"/>
  </w:num>
  <w:num w:numId="18">
    <w:abstractNumId w:val="6"/>
  </w:num>
  <w:num w:numId="19">
    <w:abstractNumId w:val="5"/>
  </w:num>
  <w:num w:numId="20">
    <w:abstractNumId w:val="10"/>
  </w:num>
  <w:num w:numId="21">
    <w:abstractNumId w:val="7"/>
  </w:num>
  <w:num w:numId="22">
    <w:abstractNumId w:val="5"/>
  </w:num>
  <w:num w:numId="23">
    <w:abstractNumId w:val="8"/>
  </w:num>
  <w:num w:numId="24">
    <w:abstractNumId w:val="0"/>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45"/>
    <w:rsid w:val="00005D34"/>
    <w:rsid w:val="00010BAF"/>
    <w:rsid w:val="00012B99"/>
    <w:rsid w:val="00031C77"/>
    <w:rsid w:val="00046066"/>
    <w:rsid w:val="00046E39"/>
    <w:rsid w:val="00050D76"/>
    <w:rsid w:val="000623A4"/>
    <w:rsid w:val="00064FF3"/>
    <w:rsid w:val="00071939"/>
    <w:rsid w:val="00071D9A"/>
    <w:rsid w:val="000A30F0"/>
    <w:rsid w:val="000A642E"/>
    <w:rsid w:val="000B4F70"/>
    <w:rsid w:val="000E0B48"/>
    <w:rsid w:val="000E2B8B"/>
    <w:rsid w:val="000E2E63"/>
    <w:rsid w:val="000E67F7"/>
    <w:rsid w:val="000F2A82"/>
    <w:rsid w:val="00101DCF"/>
    <w:rsid w:val="00114016"/>
    <w:rsid w:val="00117F1D"/>
    <w:rsid w:val="00120177"/>
    <w:rsid w:val="001212B2"/>
    <w:rsid w:val="00137F27"/>
    <w:rsid w:val="00142B41"/>
    <w:rsid w:val="001474CB"/>
    <w:rsid w:val="00147FDE"/>
    <w:rsid w:val="00153EAB"/>
    <w:rsid w:val="00163DF0"/>
    <w:rsid w:val="001807C2"/>
    <w:rsid w:val="00182ED0"/>
    <w:rsid w:val="00186DA4"/>
    <w:rsid w:val="0019482C"/>
    <w:rsid w:val="001A1256"/>
    <w:rsid w:val="001A4FCF"/>
    <w:rsid w:val="001A50C1"/>
    <w:rsid w:val="001B3029"/>
    <w:rsid w:val="001C09E5"/>
    <w:rsid w:val="001C2651"/>
    <w:rsid w:val="001D170C"/>
    <w:rsid w:val="001D19E3"/>
    <w:rsid w:val="001D4D29"/>
    <w:rsid w:val="001E31B6"/>
    <w:rsid w:val="001F026B"/>
    <w:rsid w:val="001F2286"/>
    <w:rsid w:val="001F2DC6"/>
    <w:rsid w:val="00201675"/>
    <w:rsid w:val="00204117"/>
    <w:rsid w:val="00205E27"/>
    <w:rsid w:val="00216394"/>
    <w:rsid w:val="0021709B"/>
    <w:rsid w:val="002204D5"/>
    <w:rsid w:val="00223489"/>
    <w:rsid w:val="002242B0"/>
    <w:rsid w:val="002263A9"/>
    <w:rsid w:val="00227D98"/>
    <w:rsid w:val="0023461D"/>
    <w:rsid w:val="00235161"/>
    <w:rsid w:val="00237B5E"/>
    <w:rsid w:val="0024531F"/>
    <w:rsid w:val="00246C59"/>
    <w:rsid w:val="00257D01"/>
    <w:rsid w:val="00272E39"/>
    <w:rsid w:val="00273208"/>
    <w:rsid w:val="00293772"/>
    <w:rsid w:val="00294083"/>
    <w:rsid w:val="00297885"/>
    <w:rsid w:val="002C2ACF"/>
    <w:rsid w:val="002C46EF"/>
    <w:rsid w:val="002C7070"/>
    <w:rsid w:val="002F18A3"/>
    <w:rsid w:val="0030234F"/>
    <w:rsid w:val="00304FC2"/>
    <w:rsid w:val="00312B7A"/>
    <w:rsid w:val="00312FB8"/>
    <w:rsid w:val="00322858"/>
    <w:rsid w:val="00325E1C"/>
    <w:rsid w:val="00326C39"/>
    <w:rsid w:val="00333DC3"/>
    <w:rsid w:val="003364BC"/>
    <w:rsid w:val="00337345"/>
    <w:rsid w:val="003442B1"/>
    <w:rsid w:val="00346841"/>
    <w:rsid w:val="0035176D"/>
    <w:rsid w:val="003578DD"/>
    <w:rsid w:val="00363CEB"/>
    <w:rsid w:val="0037000D"/>
    <w:rsid w:val="00375A5C"/>
    <w:rsid w:val="003762C8"/>
    <w:rsid w:val="00376FC3"/>
    <w:rsid w:val="00390469"/>
    <w:rsid w:val="00392B01"/>
    <w:rsid w:val="00392E1F"/>
    <w:rsid w:val="00395411"/>
    <w:rsid w:val="003B15A2"/>
    <w:rsid w:val="003B19A3"/>
    <w:rsid w:val="003B5250"/>
    <w:rsid w:val="003B53D5"/>
    <w:rsid w:val="003B7919"/>
    <w:rsid w:val="003C73E4"/>
    <w:rsid w:val="003D0917"/>
    <w:rsid w:val="003E0AC5"/>
    <w:rsid w:val="003E5643"/>
    <w:rsid w:val="003F02A9"/>
    <w:rsid w:val="00410263"/>
    <w:rsid w:val="004102ED"/>
    <w:rsid w:val="00410792"/>
    <w:rsid w:val="004134BA"/>
    <w:rsid w:val="00430E6E"/>
    <w:rsid w:val="00442BC5"/>
    <w:rsid w:val="00445156"/>
    <w:rsid w:val="0045516F"/>
    <w:rsid w:val="0046214D"/>
    <w:rsid w:val="0046284E"/>
    <w:rsid w:val="004728DC"/>
    <w:rsid w:val="00474C37"/>
    <w:rsid w:val="0047658D"/>
    <w:rsid w:val="0048452B"/>
    <w:rsid w:val="00485AAB"/>
    <w:rsid w:val="00496202"/>
    <w:rsid w:val="004970BB"/>
    <w:rsid w:val="004A2AA0"/>
    <w:rsid w:val="004A2CBE"/>
    <w:rsid w:val="004A35A7"/>
    <w:rsid w:val="004A77EA"/>
    <w:rsid w:val="004A7B9D"/>
    <w:rsid w:val="004B01A0"/>
    <w:rsid w:val="004C0DC8"/>
    <w:rsid w:val="004D5832"/>
    <w:rsid w:val="004E4BB5"/>
    <w:rsid w:val="004F1C19"/>
    <w:rsid w:val="004F7929"/>
    <w:rsid w:val="00507B45"/>
    <w:rsid w:val="00507F92"/>
    <w:rsid w:val="0051067C"/>
    <w:rsid w:val="005144E1"/>
    <w:rsid w:val="00516730"/>
    <w:rsid w:val="00523B4C"/>
    <w:rsid w:val="0052685F"/>
    <w:rsid w:val="005331A0"/>
    <w:rsid w:val="00535270"/>
    <w:rsid w:val="00557072"/>
    <w:rsid w:val="00565BCB"/>
    <w:rsid w:val="00573D60"/>
    <w:rsid w:val="0057719D"/>
    <w:rsid w:val="00580649"/>
    <w:rsid w:val="00587720"/>
    <w:rsid w:val="00596B96"/>
    <w:rsid w:val="005A6E12"/>
    <w:rsid w:val="005A7B65"/>
    <w:rsid w:val="005B5A65"/>
    <w:rsid w:val="005B6B6E"/>
    <w:rsid w:val="005C57C0"/>
    <w:rsid w:val="005E1DAD"/>
    <w:rsid w:val="005F2E86"/>
    <w:rsid w:val="0060042D"/>
    <w:rsid w:val="00604C53"/>
    <w:rsid w:val="006102F5"/>
    <w:rsid w:val="00614387"/>
    <w:rsid w:val="00650B00"/>
    <w:rsid w:val="00667E2A"/>
    <w:rsid w:val="0067390D"/>
    <w:rsid w:val="00681736"/>
    <w:rsid w:val="006824AC"/>
    <w:rsid w:val="00696617"/>
    <w:rsid w:val="006A0D06"/>
    <w:rsid w:val="006A1F35"/>
    <w:rsid w:val="006A7F59"/>
    <w:rsid w:val="006B4CCF"/>
    <w:rsid w:val="006B549A"/>
    <w:rsid w:val="006C7C00"/>
    <w:rsid w:val="006E19D3"/>
    <w:rsid w:val="006F0406"/>
    <w:rsid w:val="006F061E"/>
    <w:rsid w:val="006F5CF9"/>
    <w:rsid w:val="00702266"/>
    <w:rsid w:val="00704E4F"/>
    <w:rsid w:val="00710990"/>
    <w:rsid w:val="00710DF5"/>
    <w:rsid w:val="00716A78"/>
    <w:rsid w:val="00720D2E"/>
    <w:rsid w:val="007330C3"/>
    <w:rsid w:val="007445A7"/>
    <w:rsid w:val="00752A78"/>
    <w:rsid w:val="007754A7"/>
    <w:rsid w:val="0077634F"/>
    <w:rsid w:val="00776D5C"/>
    <w:rsid w:val="007775F9"/>
    <w:rsid w:val="007800B5"/>
    <w:rsid w:val="00785A03"/>
    <w:rsid w:val="00797BF1"/>
    <w:rsid w:val="007A590D"/>
    <w:rsid w:val="007A718A"/>
    <w:rsid w:val="007B5150"/>
    <w:rsid w:val="007C0642"/>
    <w:rsid w:val="007C1D41"/>
    <w:rsid w:val="007C2EA2"/>
    <w:rsid w:val="007C6171"/>
    <w:rsid w:val="007C7942"/>
    <w:rsid w:val="007E5D39"/>
    <w:rsid w:val="007E7B23"/>
    <w:rsid w:val="007F3DAB"/>
    <w:rsid w:val="007F5445"/>
    <w:rsid w:val="007F6E48"/>
    <w:rsid w:val="007F7AD2"/>
    <w:rsid w:val="00801375"/>
    <w:rsid w:val="00801F45"/>
    <w:rsid w:val="00811BF4"/>
    <w:rsid w:val="00815470"/>
    <w:rsid w:val="0083142F"/>
    <w:rsid w:val="008317E0"/>
    <w:rsid w:val="00843DA9"/>
    <w:rsid w:val="00857DA4"/>
    <w:rsid w:val="00872059"/>
    <w:rsid w:val="008737C4"/>
    <w:rsid w:val="00876B45"/>
    <w:rsid w:val="0089556E"/>
    <w:rsid w:val="008A500A"/>
    <w:rsid w:val="008A6160"/>
    <w:rsid w:val="008C4386"/>
    <w:rsid w:val="008C48FE"/>
    <w:rsid w:val="008D214A"/>
    <w:rsid w:val="008E6B2E"/>
    <w:rsid w:val="008F056B"/>
    <w:rsid w:val="00902796"/>
    <w:rsid w:val="009263FC"/>
    <w:rsid w:val="00936B1C"/>
    <w:rsid w:val="00945A48"/>
    <w:rsid w:val="00952BA9"/>
    <w:rsid w:val="009602BE"/>
    <w:rsid w:val="00963424"/>
    <w:rsid w:val="00964DDF"/>
    <w:rsid w:val="009675DB"/>
    <w:rsid w:val="00971453"/>
    <w:rsid w:val="00974A11"/>
    <w:rsid w:val="009823DB"/>
    <w:rsid w:val="009A17B4"/>
    <w:rsid w:val="009A391E"/>
    <w:rsid w:val="009B49DE"/>
    <w:rsid w:val="009D0C12"/>
    <w:rsid w:val="009D180B"/>
    <w:rsid w:val="009D2A4D"/>
    <w:rsid w:val="009D3E19"/>
    <w:rsid w:val="009D3F30"/>
    <w:rsid w:val="009D6CE9"/>
    <w:rsid w:val="009E519B"/>
    <w:rsid w:val="00A100A5"/>
    <w:rsid w:val="00A20216"/>
    <w:rsid w:val="00A26475"/>
    <w:rsid w:val="00A33463"/>
    <w:rsid w:val="00A37033"/>
    <w:rsid w:val="00A41064"/>
    <w:rsid w:val="00A427C1"/>
    <w:rsid w:val="00A47EDB"/>
    <w:rsid w:val="00A513AA"/>
    <w:rsid w:val="00A630C6"/>
    <w:rsid w:val="00A67DCD"/>
    <w:rsid w:val="00A74E1E"/>
    <w:rsid w:val="00A90555"/>
    <w:rsid w:val="00A92C8F"/>
    <w:rsid w:val="00A974A8"/>
    <w:rsid w:val="00AB41DE"/>
    <w:rsid w:val="00AC11B2"/>
    <w:rsid w:val="00AC20E2"/>
    <w:rsid w:val="00AC2C52"/>
    <w:rsid w:val="00AD0479"/>
    <w:rsid w:val="00AD765F"/>
    <w:rsid w:val="00AE5995"/>
    <w:rsid w:val="00AF30CF"/>
    <w:rsid w:val="00B029E6"/>
    <w:rsid w:val="00B037CA"/>
    <w:rsid w:val="00B0740D"/>
    <w:rsid w:val="00B13CBF"/>
    <w:rsid w:val="00B14E4B"/>
    <w:rsid w:val="00B16C9D"/>
    <w:rsid w:val="00B23A0E"/>
    <w:rsid w:val="00B4364E"/>
    <w:rsid w:val="00B436D1"/>
    <w:rsid w:val="00B53829"/>
    <w:rsid w:val="00B650E7"/>
    <w:rsid w:val="00B76EAF"/>
    <w:rsid w:val="00B80ED8"/>
    <w:rsid w:val="00B826F2"/>
    <w:rsid w:val="00B90B99"/>
    <w:rsid w:val="00B943F0"/>
    <w:rsid w:val="00B97102"/>
    <w:rsid w:val="00BA174A"/>
    <w:rsid w:val="00BA7F73"/>
    <w:rsid w:val="00BC6108"/>
    <w:rsid w:val="00BC6E9A"/>
    <w:rsid w:val="00BD48BA"/>
    <w:rsid w:val="00BD7AD1"/>
    <w:rsid w:val="00BE42FB"/>
    <w:rsid w:val="00BF4456"/>
    <w:rsid w:val="00BF5CB4"/>
    <w:rsid w:val="00BF786A"/>
    <w:rsid w:val="00C0575B"/>
    <w:rsid w:val="00C11425"/>
    <w:rsid w:val="00C118C1"/>
    <w:rsid w:val="00C14793"/>
    <w:rsid w:val="00C15DAB"/>
    <w:rsid w:val="00C1675B"/>
    <w:rsid w:val="00C22E81"/>
    <w:rsid w:val="00C30049"/>
    <w:rsid w:val="00C535C8"/>
    <w:rsid w:val="00C54D85"/>
    <w:rsid w:val="00C751C3"/>
    <w:rsid w:val="00C91BBF"/>
    <w:rsid w:val="00C923F1"/>
    <w:rsid w:val="00C93FCA"/>
    <w:rsid w:val="00CA1352"/>
    <w:rsid w:val="00CA256F"/>
    <w:rsid w:val="00CB050C"/>
    <w:rsid w:val="00CC2EC3"/>
    <w:rsid w:val="00CD0CCD"/>
    <w:rsid w:val="00CE0FFE"/>
    <w:rsid w:val="00CE4A1B"/>
    <w:rsid w:val="00CE6C92"/>
    <w:rsid w:val="00D0391A"/>
    <w:rsid w:val="00D04E59"/>
    <w:rsid w:val="00D052F3"/>
    <w:rsid w:val="00D11F1F"/>
    <w:rsid w:val="00D16F92"/>
    <w:rsid w:val="00D2133E"/>
    <w:rsid w:val="00D272B4"/>
    <w:rsid w:val="00D530A6"/>
    <w:rsid w:val="00D55F64"/>
    <w:rsid w:val="00D65372"/>
    <w:rsid w:val="00D708BB"/>
    <w:rsid w:val="00D856AE"/>
    <w:rsid w:val="00D90FC6"/>
    <w:rsid w:val="00D97E34"/>
    <w:rsid w:val="00DA06DF"/>
    <w:rsid w:val="00DA0930"/>
    <w:rsid w:val="00DA3358"/>
    <w:rsid w:val="00DB12A9"/>
    <w:rsid w:val="00DC0F24"/>
    <w:rsid w:val="00DC220C"/>
    <w:rsid w:val="00DC275D"/>
    <w:rsid w:val="00DC5490"/>
    <w:rsid w:val="00DC6B7A"/>
    <w:rsid w:val="00DD1673"/>
    <w:rsid w:val="00DD19B7"/>
    <w:rsid w:val="00DD2788"/>
    <w:rsid w:val="00DD585B"/>
    <w:rsid w:val="00DE08C2"/>
    <w:rsid w:val="00DE1526"/>
    <w:rsid w:val="00DE5E39"/>
    <w:rsid w:val="00DF2BFF"/>
    <w:rsid w:val="00DF2CCB"/>
    <w:rsid w:val="00DF42E3"/>
    <w:rsid w:val="00E026E2"/>
    <w:rsid w:val="00E04028"/>
    <w:rsid w:val="00E07205"/>
    <w:rsid w:val="00E245F1"/>
    <w:rsid w:val="00E3333F"/>
    <w:rsid w:val="00E465A8"/>
    <w:rsid w:val="00E57AE6"/>
    <w:rsid w:val="00E66746"/>
    <w:rsid w:val="00E81C56"/>
    <w:rsid w:val="00E84E6C"/>
    <w:rsid w:val="00EA2792"/>
    <w:rsid w:val="00EB3511"/>
    <w:rsid w:val="00EB59AC"/>
    <w:rsid w:val="00EB7649"/>
    <w:rsid w:val="00EC3092"/>
    <w:rsid w:val="00EC3FD9"/>
    <w:rsid w:val="00ED0FE9"/>
    <w:rsid w:val="00ED2BC5"/>
    <w:rsid w:val="00ED33E0"/>
    <w:rsid w:val="00EE55A6"/>
    <w:rsid w:val="00EF01F1"/>
    <w:rsid w:val="00EF7760"/>
    <w:rsid w:val="00F143CF"/>
    <w:rsid w:val="00F205AD"/>
    <w:rsid w:val="00F209B0"/>
    <w:rsid w:val="00F23260"/>
    <w:rsid w:val="00F26B4F"/>
    <w:rsid w:val="00F30AD5"/>
    <w:rsid w:val="00F31CDA"/>
    <w:rsid w:val="00F343C3"/>
    <w:rsid w:val="00F4427F"/>
    <w:rsid w:val="00F549E3"/>
    <w:rsid w:val="00F67118"/>
    <w:rsid w:val="00F67C1C"/>
    <w:rsid w:val="00FA0BD3"/>
    <w:rsid w:val="00FA4ADA"/>
    <w:rsid w:val="00FD1C11"/>
    <w:rsid w:val="00FE3620"/>
    <w:rsid w:val="00FE685F"/>
    <w:rsid w:val="00FE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68D37"/>
  <w15:chartTrackingRefBased/>
  <w15:docId w15:val="{C2EA6EB1-FDC9-4D9D-A4B0-7244F32E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vertAlign w:val="superscript"/>
    </w:rPr>
  </w:style>
  <w:style w:type="paragraph" w:styleId="FootnoteText">
    <w:name w:val="footnote text"/>
    <w:aliases w:val="ft"/>
    <w:basedOn w:val="Normal"/>
    <w:link w:val="FootnoteTextChar"/>
    <w:uiPriority w:val="99"/>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sz w:val="24"/>
    </w:rPr>
  </w:style>
  <w:style w:type="paragraph" w:styleId="BodyText">
    <w:name w:val="Body Text"/>
    <w:basedOn w:val="Normal"/>
    <w:rPr>
      <w:sz w:val="24"/>
    </w:rPr>
  </w:style>
  <w:style w:type="character" w:customStyle="1" w:styleId="cfr1">
    <w:name w:val="cfr1"/>
    <w:rsid w:val="00223489"/>
    <w:rPr>
      <w:rFonts w:ascii="Arial" w:hAnsi="Arial" w:cs="Arial" w:hint="default"/>
      <w:b w:val="0"/>
      <w:bCs w:val="0"/>
      <w:color w:val="666666"/>
      <w:sz w:val="17"/>
      <w:szCs w:val="17"/>
    </w:rPr>
  </w:style>
  <w:style w:type="paragraph" w:styleId="BalloonText">
    <w:name w:val="Balloon Text"/>
    <w:basedOn w:val="Normal"/>
    <w:semiHidden/>
    <w:rsid w:val="00B53829"/>
    <w:rPr>
      <w:rFonts w:ascii="Tahoma" w:hAnsi="Tahoma" w:cs="Tahoma"/>
      <w:sz w:val="16"/>
      <w:szCs w:val="16"/>
    </w:rPr>
  </w:style>
  <w:style w:type="paragraph" w:styleId="Header">
    <w:name w:val="header"/>
    <w:basedOn w:val="Normal"/>
    <w:rsid w:val="00312B7A"/>
    <w:pPr>
      <w:tabs>
        <w:tab w:val="center" w:pos="4320"/>
        <w:tab w:val="right" w:pos="8640"/>
      </w:tabs>
    </w:pPr>
  </w:style>
  <w:style w:type="paragraph" w:styleId="Footer">
    <w:name w:val="footer"/>
    <w:basedOn w:val="Normal"/>
    <w:rsid w:val="00312B7A"/>
    <w:pPr>
      <w:tabs>
        <w:tab w:val="center" w:pos="4320"/>
        <w:tab w:val="right" w:pos="8640"/>
      </w:tabs>
    </w:pPr>
  </w:style>
  <w:style w:type="character" w:styleId="PageNumber">
    <w:name w:val="page number"/>
    <w:basedOn w:val="DefaultParagraphFont"/>
    <w:rsid w:val="00720D2E"/>
  </w:style>
  <w:style w:type="character" w:styleId="CommentReference">
    <w:name w:val="annotation reference"/>
    <w:rsid w:val="00DD19B7"/>
    <w:rPr>
      <w:sz w:val="16"/>
      <w:szCs w:val="16"/>
    </w:rPr>
  </w:style>
  <w:style w:type="paragraph" w:styleId="CommentText">
    <w:name w:val="annotation text"/>
    <w:basedOn w:val="Normal"/>
    <w:link w:val="CommentTextChar"/>
    <w:rsid w:val="00DD19B7"/>
  </w:style>
  <w:style w:type="character" w:customStyle="1" w:styleId="CommentTextChar">
    <w:name w:val="Comment Text Char"/>
    <w:link w:val="CommentText"/>
    <w:rsid w:val="00DD19B7"/>
    <w:rPr>
      <w:rFonts w:ascii="Arial Narrow" w:hAnsi="Arial Narrow"/>
    </w:rPr>
  </w:style>
  <w:style w:type="paragraph" w:styleId="CommentSubject">
    <w:name w:val="annotation subject"/>
    <w:basedOn w:val="CommentText"/>
    <w:next w:val="CommentText"/>
    <w:link w:val="CommentSubjectChar"/>
    <w:rsid w:val="00DD19B7"/>
    <w:rPr>
      <w:b/>
      <w:bCs/>
    </w:rPr>
  </w:style>
  <w:style w:type="character" w:customStyle="1" w:styleId="CommentSubjectChar">
    <w:name w:val="Comment Subject Char"/>
    <w:link w:val="CommentSubject"/>
    <w:rsid w:val="00DD19B7"/>
    <w:rPr>
      <w:rFonts w:ascii="Arial Narrow" w:hAnsi="Arial Narrow"/>
      <w:b/>
      <w:bCs/>
    </w:rPr>
  </w:style>
  <w:style w:type="paragraph" w:styleId="ListParagraph">
    <w:name w:val="List Paragraph"/>
    <w:basedOn w:val="Normal"/>
    <w:uiPriority w:val="34"/>
    <w:qFormat/>
    <w:rsid w:val="00BF5CB4"/>
    <w:pPr>
      <w:spacing w:after="160" w:line="256" w:lineRule="auto"/>
      <w:ind w:left="720"/>
      <w:contextualSpacing/>
    </w:pPr>
    <w:rPr>
      <w:rFonts w:ascii="Calibri" w:eastAsia="Calibri" w:hAnsi="Calibri"/>
      <w:sz w:val="22"/>
      <w:szCs w:val="22"/>
    </w:rPr>
  </w:style>
  <w:style w:type="table" w:styleId="TableGrid">
    <w:name w:val="Table Grid"/>
    <w:basedOn w:val="TableNormal"/>
    <w:uiPriority w:val="39"/>
    <w:rsid w:val="00BF5CB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75A5C"/>
    <w:rPr>
      <w:color w:val="0000FF"/>
      <w:u w:val="single"/>
    </w:rPr>
  </w:style>
  <w:style w:type="character" w:customStyle="1" w:styleId="documentbody1">
    <w:name w:val="documentbody1"/>
    <w:rsid w:val="00375A5C"/>
    <w:rPr>
      <w:rFonts w:ascii="Verdana" w:hAnsi="Verdana" w:hint="default"/>
      <w:sz w:val="19"/>
      <w:szCs w:val="19"/>
    </w:rPr>
  </w:style>
  <w:style w:type="paragraph" w:styleId="BodyTextIndent3">
    <w:name w:val="Body Text Indent 3"/>
    <w:basedOn w:val="Normal"/>
    <w:link w:val="BodyTextIndent3Char"/>
    <w:rsid w:val="00375A5C"/>
    <w:pPr>
      <w:spacing w:after="120"/>
      <w:ind w:left="360"/>
    </w:pPr>
    <w:rPr>
      <w:rFonts w:ascii="Times New Roman" w:hAnsi="Times New Roman"/>
      <w:sz w:val="16"/>
      <w:szCs w:val="16"/>
    </w:rPr>
  </w:style>
  <w:style w:type="character" w:customStyle="1" w:styleId="BodyTextIndent3Char">
    <w:name w:val="Body Text Indent 3 Char"/>
    <w:link w:val="BodyTextIndent3"/>
    <w:rsid w:val="00375A5C"/>
    <w:rPr>
      <w:sz w:val="16"/>
      <w:szCs w:val="16"/>
    </w:rPr>
  </w:style>
  <w:style w:type="character" w:customStyle="1" w:styleId="FootnoteTextChar">
    <w:name w:val="Footnote Text Char"/>
    <w:aliases w:val="ft Char"/>
    <w:link w:val="FootnoteText"/>
    <w:uiPriority w:val="99"/>
    <w:locked/>
    <w:rsid w:val="00375A5C"/>
    <w:rPr>
      <w:rFonts w:ascii="Arial Narrow" w:hAnsi="Arial Narrow"/>
    </w:rPr>
  </w:style>
  <w:style w:type="paragraph" w:customStyle="1" w:styleId="indent-3">
    <w:name w:val="indent-3"/>
    <w:basedOn w:val="Normal"/>
    <w:rsid w:val="00050D76"/>
    <w:pPr>
      <w:spacing w:before="100" w:beforeAutospacing="1" w:after="100" w:afterAutospacing="1"/>
    </w:pPr>
    <w:rPr>
      <w:rFonts w:ascii="Times New Roman" w:hAnsi="Times New Roman"/>
      <w:sz w:val="24"/>
      <w:szCs w:val="24"/>
    </w:rPr>
  </w:style>
  <w:style w:type="character" w:styleId="Emphasis">
    <w:name w:val="Emphasis"/>
    <w:uiPriority w:val="20"/>
    <w:qFormat/>
    <w:rsid w:val="00050D76"/>
    <w:rPr>
      <w:i/>
      <w:iCs/>
    </w:rPr>
  </w:style>
  <w:style w:type="character" w:customStyle="1" w:styleId="paragraph-hierarchy">
    <w:name w:val="paragraph-hierarchy"/>
    <w:rsid w:val="00050D76"/>
  </w:style>
  <w:style w:type="character" w:customStyle="1" w:styleId="paren">
    <w:name w:val="paren"/>
    <w:rsid w:val="00050D76"/>
  </w:style>
  <w:style w:type="paragraph" w:customStyle="1" w:styleId="indent-2">
    <w:name w:val="indent-2"/>
    <w:basedOn w:val="Normal"/>
    <w:rsid w:val="00050D76"/>
    <w:pPr>
      <w:spacing w:before="100" w:beforeAutospacing="1" w:after="100" w:afterAutospacing="1"/>
    </w:pPr>
    <w:rPr>
      <w:rFonts w:ascii="Times New Roman" w:hAnsi="Times New Roman"/>
      <w:sz w:val="24"/>
      <w:szCs w:val="24"/>
    </w:rPr>
  </w:style>
  <w:style w:type="paragraph" w:customStyle="1" w:styleId="indent-1">
    <w:name w:val="indent-1"/>
    <w:basedOn w:val="Normal"/>
    <w:rsid w:val="00050D7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E362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114">
      <w:bodyDiv w:val="1"/>
      <w:marLeft w:val="0"/>
      <w:marRight w:val="0"/>
      <w:marTop w:val="0"/>
      <w:marBottom w:val="0"/>
      <w:divBdr>
        <w:top w:val="none" w:sz="0" w:space="0" w:color="auto"/>
        <w:left w:val="none" w:sz="0" w:space="0" w:color="auto"/>
        <w:bottom w:val="none" w:sz="0" w:space="0" w:color="auto"/>
        <w:right w:val="none" w:sz="0" w:space="0" w:color="auto"/>
      </w:divBdr>
    </w:div>
    <w:div w:id="232470566">
      <w:bodyDiv w:val="1"/>
      <w:marLeft w:val="0"/>
      <w:marRight w:val="0"/>
      <w:marTop w:val="0"/>
      <w:marBottom w:val="0"/>
      <w:divBdr>
        <w:top w:val="none" w:sz="0" w:space="0" w:color="auto"/>
        <w:left w:val="none" w:sz="0" w:space="0" w:color="auto"/>
        <w:bottom w:val="none" w:sz="0" w:space="0" w:color="auto"/>
        <w:right w:val="none" w:sz="0" w:space="0" w:color="auto"/>
      </w:divBdr>
    </w:div>
    <w:div w:id="437145932">
      <w:bodyDiv w:val="1"/>
      <w:marLeft w:val="0"/>
      <w:marRight w:val="0"/>
      <w:marTop w:val="0"/>
      <w:marBottom w:val="0"/>
      <w:divBdr>
        <w:top w:val="none" w:sz="0" w:space="0" w:color="auto"/>
        <w:left w:val="none" w:sz="0" w:space="0" w:color="auto"/>
        <w:bottom w:val="none" w:sz="0" w:space="0" w:color="auto"/>
        <w:right w:val="none" w:sz="0" w:space="0" w:color="auto"/>
      </w:divBdr>
    </w:div>
    <w:div w:id="463811205">
      <w:bodyDiv w:val="1"/>
      <w:marLeft w:val="0"/>
      <w:marRight w:val="0"/>
      <w:marTop w:val="0"/>
      <w:marBottom w:val="0"/>
      <w:divBdr>
        <w:top w:val="none" w:sz="0" w:space="0" w:color="auto"/>
        <w:left w:val="none" w:sz="0" w:space="0" w:color="auto"/>
        <w:bottom w:val="none" w:sz="0" w:space="0" w:color="auto"/>
        <w:right w:val="none" w:sz="0" w:space="0" w:color="auto"/>
      </w:divBdr>
    </w:div>
    <w:div w:id="844248376">
      <w:bodyDiv w:val="1"/>
      <w:marLeft w:val="0"/>
      <w:marRight w:val="0"/>
      <w:marTop w:val="0"/>
      <w:marBottom w:val="0"/>
      <w:divBdr>
        <w:top w:val="none" w:sz="0" w:space="0" w:color="auto"/>
        <w:left w:val="none" w:sz="0" w:space="0" w:color="auto"/>
        <w:bottom w:val="none" w:sz="0" w:space="0" w:color="auto"/>
        <w:right w:val="none" w:sz="0" w:space="0" w:color="auto"/>
      </w:divBdr>
    </w:div>
    <w:div w:id="1020157714">
      <w:bodyDiv w:val="1"/>
      <w:marLeft w:val="0"/>
      <w:marRight w:val="0"/>
      <w:marTop w:val="0"/>
      <w:marBottom w:val="0"/>
      <w:divBdr>
        <w:top w:val="none" w:sz="0" w:space="0" w:color="auto"/>
        <w:left w:val="none" w:sz="0" w:space="0" w:color="auto"/>
        <w:bottom w:val="none" w:sz="0" w:space="0" w:color="auto"/>
        <w:right w:val="none" w:sz="0" w:space="0" w:color="auto"/>
      </w:divBdr>
    </w:div>
    <w:div w:id="1070007079">
      <w:bodyDiv w:val="1"/>
      <w:marLeft w:val="0"/>
      <w:marRight w:val="0"/>
      <w:marTop w:val="0"/>
      <w:marBottom w:val="0"/>
      <w:divBdr>
        <w:top w:val="none" w:sz="0" w:space="0" w:color="auto"/>
        <w:left w:val="none" w:sz="0" w:space="0" w:color="auto"/>
        <w:bottom w:val="none" w:sz="0" w:space="0" w:color="auto"/>
        <w:right w:val="none" w:sz="0" w:space="0" w:color="auto"/>
      </w:divBdr>
      <w:divsChild>
        <w:div w:id="805854273">
          <w:marLeft w:val="0"/>
          <w:marRight w:val="0"/>
          <w:marTop w:val="240"/>
          <w:marBottom w:val="120"/>
          <w:divBdr>
            <w:top w:val="none" w:sz="0" w:space="0" w:color="auto"/>
            <w:left w:val="none" w:sz="0" w:space="0" w:color="auto"/>
            <w:bottom w:val="none" w:sz="0" w:space="0" w:color="auto"/>
            <w:right w:val="none" w:sz="0" w:space="0" w:color="auto"/>
          </w:divBdr>
        </w:div>
        <w:div w:id="1585262962">
          <w:marLeft w:val="240"/>
          <w:marRight w:val="0"/>
          <w:marTop w:val="60"/>
          <w:marBottom w:val="0"/>
          <w:divBdr>
            <w:top w:val="none" w:sz="0" w:space="0" w:color="auto"/>
            <w:left w:val="none" w:sz="0" w:space="0" w:color="auto"/>
            <w:bottom w:val="none" w:sz="0" w:space="0" w:color="auto"/>
            <w:right w:val="none" w:sz="0" w:space="0" w:color="auto"/>
          </w:divBdr>
        </w:div>
        <w:div w:id="2136409627">
          <w:marLeft w:val="240"/>
          <w:marRight w:val="0"/>
          <w:marTop w:val="0"/>
          <w:marBottom w:val="0"/>
          <w:divBdr>
            <w:top w:val="none" w:sz="0" w:space="0" w:color="auto"/>
            <w:left w:val="none" w:sz="0" w:space="0" w:color="auto"/>
            <w:bottom w:val="none" w:sz="0" w:space="0" w:color="auto"/>
            <w:right w:val="none" w:sz="0" w:space="0" w:color="auto"/>
          </w:divBdr>
        </w:div>
      </w:divsChild>
    </w:div>
    <w:div w:id="1217162222">
      <w:bodyDiv w:val="1"/>
      <w:marLeft w:val="0"/>
      <w:marRight w:val="0"/>
      <w:marTop w:val="0"/>
      <w:marBottom w:val="0"/>
      <w:divBdr>
        <w:top w:val="none" w:sz="0" w:space="0" w:color="auto"/>
        <w:left w:val="none" w:sz="0" w:space="0" w:color="auto"/>
        <w:bottom w:val="none" w:sz="0" w:space="0" w:color="auto"/>
        <w:right w:val="none" w:sz="0" w:space="0" w:color="auto"/>
      </w:divBdr>
      <w:divsChild>
        <w:div w:id="426921247">
          <w:marLeft w:val="0"/>
          <w:marRight w:val="0"/>
          <w:marTop w:val="240"/>
          <w:marBottom w:val="120"/>
          <w:divBdr>
            <w:top w:val="none" w:sz="0" w:space="0" w:color="auto"/>
            <w:left w:val="none" w:sz="0" w:space="0" w:color="auto"/>
            <w:bottom w:val="none" w:sz="0" w:space="0" w:color="auto"/>
            <w:right w:val="none" w:sz="0" w:space="0" w:color="auto"/>
          </w:divBdr>
        </w:div>
        <w:div w:id="1033189041">
          <w:marLeft w:val="240"/>
          <w:marRight w:val="0"/>
          <w:marTop w:val="0"/>
          <w:marBottom w:val="0"/>
          <w:divBdr>
            <w:top w:val="none" w:sz="0" w:space="0" w:color="auto"/>
            <w:left w:val="none" w:sz="0" w:space="0" w:color="auto"/>
            <w:bottom w:val="none" w:sz="0" w:space="0" w:color="auto"/>
            <w:right w:val="none" w:sz="0" w:space="0" w:color="auto"/>
          </w:divBdr>
        </w:div>
        <w:div w:id="1205603894">
          <w:marLeft w:val="240"/>
          <w:marRight w:val="0"/>
          <w:marTop w:val="60"/>
          <w:marBottom w:val="0"/>
          <w:divBdr>
            <w:top w:val="none" w:sz="0" w:space="0" w:color="auto"/>
            <w:left w:val="none" w:sz="0" w:space="0" w:color="auto"/>
            <w:bottom w:val="none" w:sz="0" w:space="0" w:color="auto"/>
            <w:right w:val="none" w:sz="0" w:space="0" w:color="auto"/>
          </w:divBdr>
        </w:div>
      </w:divsChild>
    </w:div>
    <w:div w:id="1224100104">
      <w:bodyDiv w:val="1"/>
      <w:marLeft w:val="0"/>
      <w:marRight w:val="0"/>
      <w:marTop w:val="0"/>
      <w:marBottom w:val="0"/>
      <w:divBdr>
        <w:top w:val="none" w:sz="0" w:space="0" w:color="auto"/>
        <w:left w:val="none" w:sz="0" w:space="0" w:color="auto"/>
        <w:bottom w:val="none" w:sz="0" w:space="0" w:color="auto"/>
        <w:right w:val="none" w:sz="0" w:space="0" w:color="auto"/>
      </w:divBdr>
      <w:divsChild>
        <w:div w:id="1125543328">
          <w:marLeft w:val="0"/>
          <w:marRight w:val="0"/>
          <w:marTop w:val="0"/>
          <w:marBottom w:val="0"/>
          <w:divBdr>
            <w:top w:val="none" w:sz="0" w:space="0" w:color="auto"/>
            <w:left w:val="none" w:sz="0" w:space="0" w:color="auto"/>
            <w:bottom w:val="none" w:sz="0" w:space="0" w:color="auto"/>
            <w:right w:val="none" w:sz="0" w:space="0" w:color="auto"/>
          </w:divBdr>
          <w:divsChild>
            <w:div w:id="1145124896">
              <w:marLeft w:val="0"/>
              <w:marRight w:val="0"/>
              <w:marTop w:val="0"/>
              <w:marBottom w:val="0"/>
              <w:divBdr>
                <w:top w:val="single" w:sz="6" w:space="11" w:color="FCFCFC"/>
                <w:left w:val="single" w:sz="6" w:space="11" w:color="ECECEC"/>
                <w:bottom w:val="single" w:sz="6" w:space="4" w:color="ECECEC"/>
                <w:right w:val="single" w:sz="6" w:space="11" w:color="ECECEC"/>
              </w:divBdr>
              <w:divsChild>
                <w:div w:id="3395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4125">
      <w:bodyDiv w:val="1"/>
      <w:marLeft w:val="0"/>
      <w:marRight w:val="0"/>
      <w:marTop w:val="0"/>
      <w:marBottom w:val="0"/>
      <w:divBdr>
        <w:top w:val="none" w:sz="0" w:space="0" w:color="auto"/>
        <w:left w:val="none" w:sz="0" w:space="0" w:color="auto"/>
        <w:bottom w:val="none" w:sz="0" w:space="0" w:color="auto"/>
        <w:right w:val="none" w:sz="0" w:space="0" w:color="auto"/>
      </w:divBdr>
      <w:divsChild>
        <w:div w:id="765805409">
          <w:marLeft w:val="240"/>
          <w:marRight w:val="0"/>
          <w:marTop w:val="60"/>
          <w:marBottom w:val="0"/>
          <w:divBdr>
            <w:top w:val="none" w:sz="0" w:space="0" w:color="auto"/>
            <w:left w:val="none" w:sz="0" w:space="0" w:color="auto"/>
            <w:bottom w:val="none" w:sz="0" w:space="0" w:color="auto"/>
            <w:right w:val="none" w:sz="0" w:space="0" w:color="auto"/>
          </w:divBdr>
        </w:div>
        <w:div w:id="823668213">
          <w:marLeft w:val="0"/>
          <w:marRight w:val="0"/>
          <w:marTop w:val="240"/>
          <w:marBottom w:val="120"/>
          <w:divBdr>
            <w:top w:val="none" w:sz="0" w:space="0" w:color="auto"/>
            <w:left w:val="none" w:sz="0" w:space="0" w:color="auto"/>
            <w:bottom w:val="none" w:sz="0" w:space="0" w:color="auto"/>
            <w:right w:val="none" w:sz="0" w:space="0" w:color="auto"/>
          </w:divBdr>
        </w:div>
        <w:div w:id="1949848227">
          <w:marLeft w:val="240"/>
          <w:marRight w:val="0"/>
          <w:marTop w:val="0"/>
          <w:marBottom w:val="0"/>
          <w:divBdr>
            <w:top w:val="none" w:sz="0" w:space="0" w:color="auto"/>
            <w:left w:val="none" w:sz="0" w:space="0" w:color="auto"/>
            <w:bottom w:val="none" w:sz="0" w:space="0" w:color="auto"/>
            <w:right w:val="none" w:sz="0" w:space="0" w:color="auto"/>
          </w:divBdr>
        </w:div>
      </w:divsChild>
    </w:div>
    <w:div w:id="1293050698">
      <w:bodyDiv w:val="1"/>
      <w:marLeft w:val="0"/>
      <w:marRight w:val="0"/>
      <w:marTop w:val="0"/>
      <w:marBottom w:val="0"/>
      <w:divBdr>
        <w:top w:val="none" w:sz="0" w:space="0" w:color="auto"/>
        <w:left w:val="none" w:sz="0" w:space="0" w:color="auto"/>
        <w:bottom w:val="none" w:sz="0" w:space="0" w:color="auto"/>
        <w:right w:val="none" w:sz="0" w:space="0" w:color="auto"/>
      </w:divBdr>
    </w:div>
    <w:div w:id="1303001836">
      <w:bodyDiv w:val="1"/>
      <w:marLeft w:val="0"/>
      <w:marRight w:val="0"/>
      <w:marTop w:val="0"/>
      <w:marBottom w:val="0"/>
      <w:divBdr>
        <w:top w:val="none" w:sz="0" w:space="0" w:color="auto"/>
        <w:left w:val="none" w:sz="0" w:space="0" w:color="auto"/>
        <w:bottom w:val="none" w:sz="0" w:space="0" w:color="auto"/>
        <w:right w:val="none" w:sz="0" w:space="0" w:color="auto"/>
      </w:divBdr>
      <w:divsChild>
        <w:div w:id="13577242">
          <w:marLeft w:val="0"/>
          <w:marRight w:val="0"/>
          <w:marTop w:val="240"/>
          <w:marBottom w:val="120"/>
          <w:divBdr>
            <w:top w:val="none" w:sz="0" w:space="0" w:color="auto"/>
            <w:left w:val="none" w:sz="0" w:space="0" w:color="auto"/>
            <w:bottom w:val="none" w:sz="0" w:space="0" w:color="auto"/>
            <w:right w:val="none" w:sz="0" w:space="0" w:color="auto"/>
          </w:divBdr>
        </w:div>
        <w:div w:id="767970892">
          <w:marLeft w:val="240"/>
          <w:marRight w:val="0"/>
          <w:marTop w:val="0"/>
          <w:marBottom w:val="0"/>
          <w:divBdr>
            <w:top w:val="none" w:sz="0" w:space="0" w:color="auto"/>
            <w:left w:val="none" w:sz="0" w:space="0" w:color="auto"/>
            <w:bottom w:val="none" w:sz="0" w:space="0" w:color="auto"/>
            <w:right w:val="none" w:sz="0" w:space="0" w:color="auto"/>
          </w:divBdr>
        </w:div>
        <w:div w:id="1998609792">
          <w:marLeft w:val="240"/>
          <w:marRight w:val="0"/>
          <w:marTop w:val="60"/>
          <w:marBottom w:val="0"/>
          <w:divBdr>
            <w:top w:val="none" w:sz="0" w:space="0" w:color="auto"/>
            <w:left w:val="none" w:sz="0" w:space="0" w:color="auto"/>
            <w:bottom w:val="none" w:sz="0" w:space="0" w:color="auto"/>
            <w:right w:val="none" w:sz="0" w:space="0" w:color="auto"/>
          </w:divBdr>
        </w:div>
      </w:divsChild>
    </w:div>
    <w:div w:id="1402754602">
      <w:bodyDiv w:val="1"/>
      <w:marLeft w:val="0"/>
      <w:marRight w:val="0"/>
      <w:marTop w:val="0"/>
      <w:marBottom w:val="0"/>
      <w:divBdr>
        <w:top w:val="none" w:sz="0" w:space="0" w:color="auto"/>
        <w:left w:val="none" w:sz="0" w:space="0" w:color="auto"/>
        <w:bottom w:val="none" w:sz="0" w:space="0" w:color="auto"/>
        <w:right w:val="none" w:sz="0" w:space="0" w:color="auto"/>
      </w:divBdr>
      <w:divsChild>
        <w:div w:id="534999423">
          <w:marLeft w:val="240"/>
          <w:marRight w:val="0"/>
          <w:marTop w:val="60"/>
          <w:marBottom w:val="0"/>
          <w:divBdr>
            <w:top w:val="none" w:sz="0" w:space="0" w:color="auto"/>
            <w:left w:val="none" w:sz="0" w:space="0" w:color="auto"/>
            <w:bottom w:val="none" w:sz="0" w:space="0" w:color="auto"/>
            <w:right w:val="none" w:sz="0" w:space="0" w:color="auto"/>
          </w:divBdr>
        </w:div>
        <w:div w:id="864059095">
          <w:marLeft w:val="0"/>
          <w:marRight w:val="0"/>
          <w:marTop w:val="240"/>
          <w:marBottom w:val="120"/>
          <w:divBdr>
            <w:top w:val="none" w:sz="0" w:space="0" w:color="auto"/>
            <w:left w:val="none" w:sz="0" w:space="0" w:color="auto"/>
            <w:bottom w:val="none" w:sz="0" w:space="0" w:color="auto"/>
            <w:right w:val="none" w:sz="0" w:space="0" w:color="auto"/>
          </w:divBdr>
        </w:div>
        <w:div w:id="1001004266">
          <w:marLeft w:val="240"/>
          <w:marRight w:val="0"/>
          <w:marTop w:val="0"/>
          <w:marBottom w:val="0"/>
          <w:divBdr>
            <w:top w:val="none" w:sz="0" w:space="0" w:color="auto"/>
            <w:left w:val="none" w:sz="0" w:space="0" w:color="auto"/>
            <w:bottom w:val="none" w:sz="0" w:space="0" w:color="auto"/>
            <w:right w:val="none" w:sz="0" w:space="0" w:color="auto"/>
          </w:divBdr>
        </w:div>
      </w:divsChild>
    </w:div>
    <w:div w:id="1546257251">
      <w:bodyDiv w:val="1"/>
      <w:marLeft w:val="0"/>
      <w:marRight w:val="0"/>
      <w:marTop w:val="0"/>
      <w:marBottom w:val="0"/>
      <w:divBdr>
        <w:top w:val="none" w:sz="0" w:space="0" w:color="auto"/>
        <w:left w:val="none" w:sz="0" w:space="0" w:color="auto"/>
        <w:bottom w:val="none" w:sz="0" w:space="0" w:color="auto"/>
        <w:right w:val="none" w:sz="0" w:space="0" w:color="auto"/>
      </w:divBdr>
      <w:divsChild>
        <w:div w:id="11809179">
          <w:marLeft w:val="0"/>
          <w:marRight w:val="0"/>
          <w:marTop w:val="0"/>
          <w:marBottom w:val="0"/>
          <w:divBdr>
            <w:top w:val="none" w:sz="0" w:space="0" w:color="auto"/>
            <w:left w:val="none" w:sz="0" w:space="0" w:color="auto"/>
            <w:bottom w:val="none" w:sz="0" w:space="0" w:color="auto"/>
            <w:right w:val="none" w:sz="0" w:space="0" w:color="auto"/>
          </w:divBdr>
          <w:divsChild>
            <w:div w:id="1057126016">
              <w:marLeft w:val="0"/>
              <w:marRight w:val="0"/>
              <w:marTop w:val="0"/>
              <w:marBottom w:val="0"/>
              <w:divBdr>
                <w:top w:val="none" w:sz="0" w:space="0" w:color="auto"/>
                <w:left w:val="none" w:sz="0" w:space="0" w:color="auto"/>
                <w:bottom w:val="none" w:sz="0" w:space="0" w:color="auto"/>
                <w:right w:val="none" w:sz="0" w:space="0" w:color="auto"/>
              </w:divBdr>
            </w:div>
            <w:div w:id="1157646274">
              <w:marLeft w:val="0"/>
              <w:marRight w:val="0"/>
              <w:marTop w:val="0"/>
              <w:marBottom w:val="0"/>
              <w:divBdr>
                <w:top w:val="none" w:sz="0" w:space="0" w:color="auto"/>
                <w:left w:val="none" w:sz="0" w:space="0" w:color="auto"/>
                <w:bottom w:val="none" w:sz="0" w:space="0" w:color="auto"/>
                <w:right w:val="none" w:sz="0" w:space="0" w:color="auto"/>
              </w:divBdr>
            </w:div>
          </w:divsChild>
        </w:div>
        <w:div w:id="201603636">
          <w:marLeft w:val="0"/>
          <w:marRight w:val="0"/>
          <w:marTop w:val="0"/>
          <w:marBottom w:val="0"/>
          <w:divBdr>
            <w:top w:val="none" w:sz="0" w:space="0" w:color="auto"/>
            <w:left w:val="none" w:sz="0" w:space="0" w:color="auto"/>
            <w:bottom w:val="none" w:sz="0" w:space="0" w:color="auto"/>
            <w:right w:val="none" w:sz="0" w:space="0" w:color="auto"/>
          </w:divBdr>
        </w:div>
        <w:div w:id="230312679">
          <w:marLeft w:val="0"/>
          <w:marRight w:val="0"/>
          <w:marTop w:val="0"/>
          <w:marBottom w:val="0"/>
          <w:divBdr>
            <w:top w:val="none" w:sz="0" w:space="0" w:color="auto"/>
            <w:left w:val="none" w:sz="0" w:space="0" w:color="auto"/>
            <w:bottom w:val="none" w:sz="0" w:space="0" w:color="auto"/>
            <w:right w:val="none" w:sz="0" w:space="0" w:color="auto"/>
          </w:divBdr>
          <w:divsChild>
            <w:div w:id="1380351719">
              <w:marLeft w:val="0"/>
              <w:marRight w:val="0"/>
              <w:marTop w:val="0"/>
              <w:marBottom w:val="0"/>
              <w:divBdr>
                <w:top w:val="none" w:sz="0" w:space="0" w:color="auto"/>
                <w:left w:val="none" w:sz="0" w:space="0" w:color="auto"/>
                <w:bottom w:val="none" w:sz="0" w:space="0" w:color="auto"/>
                <w:right w:val="none" w:sz="0" w:space="0" w:color="auto"/>
              </w:divBdr>
            </w:div>
            <w:div w:id="1721516339">
              <w:marLeft w:val="0"/>
              <w:marRight w:val="0"/>
              <w:marTop w:val="0"/>
              <w:marBottom w:val="0"/>
              <w:divBdr>
                <w:top w:val="none" w:sz="0" w:space="0" w:color="auto"/>
                <w:left w:val="none" w:sz="0" w:space="0" w:color="auto"/>
                <w:bottom w:val="none" w:sz="0" w:space="0" w:color="auto"/>
                <w:right w:val="none" w:sz="0" w:space="0" w:color="auto"/>
              </w:divBdr>
            </w:div>
          </w:divsChild>
        </w:div>
        <w:div w:id="745037392">
          <w:marLeft w:val="0"/>
          <w:marRight w:val="0"/>
          <w:marTop w:val="0"/>
          <w:marBottom w:val="0"/>
          <w:divBdr>
            <w:top w:val="none" w:sz="0" w:space="0" w:color="auto"/>
            <w:left w:val="none" w:sz="0" w:space="0" w:color="auto"/>
            <w:bottom w:val="none" w:sz="0" w:space="0" w:color="auto"/>
            <w:right w:val="none" w:sz="0" w:space="0" w:color="auto"/>
          </w:divBdr>
          <w:divsChild>
            <w:div w:id="697127065">
              <w:marLeft w:val="0"/>
              <w:marRight w:val="0"/>
              <w:marTop w:val="0"/>
              <w:marBottom w:val="0"/>
              <w:divBdr>
                <w:top w:val="none" w:sz="0" w:space="0" w:color="auto"/>
                <w:left w:val="none" w:sz="0" w:space="0" w:color="auto"/>
                <w:bottom w:val="none" w:sz="0" w:space="0" w:color="auto"/>
                <w:right w:val="none" w:sz="0" w:space="0" w:color="auto"/>
              </w:divBdr>
            </w:div>
            <w:div w:id="697464111">
              <w:marLeft w:val="0"/>
              <w:marRight w:val="0"/>
              <w:marTop w:val="0"/>
              <w:marBottom w:val="0"/>
              <w:divBdr>
                <w:top w:val="none" w:sz="0" w:space="0" w:color="auto"/>
                <w:left w:val="none" w:sz="0" w:space="0" w:color="auto"/>
                <w:bottom w:val="none" w:sz="0" w:space="0" w:color="auto"/>
                <w:right w:val="none" w:sz="0" w:space="0" w:color="auto"/>
              </w:divBdr>
            </w:div>
          </w:divsChild>
        </w:div>
        <w:div w:id="1542859264">
          <w:marLeft w:val="0"/>
          <w:marRight w:val="0"/>
          <w:marTop w:val="0"/>
          <w:marBottom w:val="0"/>
          <w:divBdr>
            <w:top w:val="none" w:sz="0" w:space="0" w:color="auto"/>
            <w:left w:val="none" w:sz="0" w:space="0" w:color="auto"/>
            <w:bottom w:val="none" w:sz="0" w:space="0" w:color="auto"/>
            <w:right w:val="none" w:sz="0" w:space="0" w:color="auto"/>
          </w:divBdr>
          <w:divsChild>
            <w:div w:id="592713180">
              <w:marLeft w:val="0"/>
              <w:marRight w:val="0"/>
              <w:marTop w:val="0"/>
              <w:marBottom w:val="0"/>
              <w:divBdr>
                <w:top w:val="none" w:sz="0" w:space="0" w:color="auto"/>
                <w:left w:val="none" w:sz="0" w:space="0" w:color="auto"/>
                <w:bottom w:val="none" w:sz="0" w:space="0" w:color="auto"/>
                <w:right w:val="none" w:sz="0" w:space="0" w:color="auto"/>
              </w:divBdr>
              <w:divsChild>
                <w:div w:id="777914860">
                  <w:marLeft w:val="0"/>
                  <w:marRight w:val="0"/>
                  <w:marTop w:val="0"/>
                  <w:marBottom w:val="0"/>
                  <w:divBdr>
                    <w:top w:val="none" w:sz="0" w:space="0" w:color="auto"/>
                    <w:left w:val="none" w:sz="0" w:space="0" w:color="auto"/>
                    <w:bottom w:val="none" w:sz="0" w:space="0" w:color="auto"/>
                    <w:right w:val="none" w:sz="0" w:space="0" w:color="auto"/>
                  </w:divBdr>
                </w:div>
                <w:div w:id="1365516339">
                  <w:marLeft w:val="0"/>
                  <w:marRight w:val="0"/>
                  <w:marTop w:val="0"/>
                  <w:marBottom w:val="0"/>
                  <w:divBdr>
                    <w:top w:val="none" w:sz="0" w:space="0" w:color="auto"/>
                    <w:left w:val="none" w:sz="0" w:space="0" w:color="auto"/>
                    <w:bottom w:val="none" w:sz="0" w:space="0" w:color="auto"/>
                    <w:right w:val="none" w:sz="0" w:space="0" w:color="auto"/>
                  </w:divBdr>
                </w:div>
                <w:div w:id="1613438579">
                  <w:marLeft w:val="0"/>
                  <w:marRight w:val="0"/>
                  <w:marTop w:val="0"/>
                  <w:marBottom w:val="0"/>
                  <w:divBdr>
                    <w:top w:val="none" w:sz="0" w:space="0" w:color="auto"/>
                    <w:left w:val="none" w:sz="0" w:space="0" w:color="auto"/>
                    <w:bottom w:val="none" w:sz="0" w:space="0" w:color="auto"/>
                    <w:right w:val="none" w:sz="0" w:space="0" w:color="auto"/>
                  </w:divBdr>
                </w:div>
              </w:divsChild>
            </w:div>
            <w:div w:id="946813849">
              <w:marLeft w:val="0"/>
              <w:marRight w:val="0"/>
              <w:marTop w:val="0"/>
              <w:marBottom w:val="0"/>
              <w:divBdr>
                <w:top w:val="none" w:sz="0" w:space="0" w:color="auto"/>
                <w:left w:val="none" w:sz="0" w:space="0" w:color="auto"/>
                <w:bottom w:val="none" w:sz="0" w:space="0" w:color="auto"/>
                <w:right w:val="none" w:sz="0" w:space="0" w:color="auto"/>
              </w:divBdr>
            </w:div>
            <w:div w:id="1164395881">
              <w:marLeft w:val="0"/>
              <w:marRight w:val="0"/>
              <w:marTop w:val="0"/>
              <w:marBottom w:val="0"/>
              <w:divBdr>
                <w:top w:val="none" w:sz="0" w:space="0" w:color="auto"/>
                <w:left w:val="none" w:sz="0" w:space="0" w:color="auto"/>
                <w:bottom w:val="none" w:sz="0" w:space="0" w:color="auto"/>
                <w:right w:val="none" w:sz="0" w:space="0" w:color="auto"/>
              </w:divBdr>
            </w:div>
            <w:div w:id="1416396621">
              <w:marLeft w:val="0"/>
              <w:marRight w:val="0"/>
              <w:marTop w:val="0"/>
              <w:marBottom w:val="0"/>
              <w:divBdr>
                <w:top w:val="none" w:sz="0" w:space="0" w:color="auto"/>
                <w:left w:val="none" w:sz="0" w:space="0" w:color="auto"/>
                <w:bottom w:val="none" w:sz="0" w:space="0" w:color="auto"/>
                <w:right w:val="none" w:sz="0" w:space="0" w:color="auto"/>
              </w:divBdr>
              <w:divsChild>
                <w:div w:id="502936318">
                  <w:marLeft w:val="0"/>
                  <w:marRight w:val="0"/>
                  <w:marTop w:val="0"/>
                  <w:marBottom w:val="0"/>
                  <w:divBdr>
                    <w:top w:val="none" w:sz="0" w:space="0" w:color="auto"/>
                    <w:left w:val="none" w:sz="0" w:space="0" w:color="auto"/>
                    <w:bottom w:val="none" w:sz="0" w:space="0" w:color="auto"/>
                    <w:right w:val="none" w:sz="0" w:space="0" w:color="auto"/>
                  </w:divBdr>
                </w:div>
                <w:div w:id="1032147235">
                  <w:marLeft w:val="0"/>
                  <w:marRight w:val="0"/>
                  <w:marTop w:val="0"/>
                  <w:marBottom w:val="0"/>
                  <w:divBdr>
                    <w:top w:val="none" w:sz="0" w:space="0" w:color="auto"/>
                    <w:left w:val="none" w:sz="0" w:space="0" w:color="auto"/>
                    <w:bottom w:val="none" w:sz="0" w:space="0" w:color="auto"/>
                    <w:right w:val="none" w:sz="0" w:space="0" w:color="auto"/>
                  </w:divBdr>
                </w:div>
                <w:div w:id="1342707886">
                  <w:marLeft w:val="0"/>
                  <w:marRight w:val="0"/>
                  <w:marTop w:val="0"/>
                  <w:marBottom w:val="0"/>
                  <w:divBdr>
                    <w:top w:val="none" w:sz="0" w:space="0" w:color="auto"/>
                    <w:left w:val="none" w:sz="0" w:space="0" w:color="auto"/>
                    <w:bottom w:val="none" w:sz="0" w:space="0" w:color="auto"/>
                    <w:right w:val="none" w:sz="0" w:space="0" w:color="auto"/>
                  </w:divBdr>
                </w:div>
                <w:div w:id="1535460826">
                  <w:marLeft w:val="0"/>
                  <w:marRight w:val="0"/>
                  <w:marTop w:val="0"/>
                  <w:marBottom w:val="0"/>
                  <w:divBdr>
                    <w:top w:val="none" w:sz="0" w:space="0" w:color="auto"/>
                    <w:left w:val="none" w:sz="0" w:space="0" w:color="auto"/>
                    <w:bottom w:val="none" w:sz="0" w:space="0" w:color="auto"/>
                    <w:right w:val="none" w:sz="0" w:space="0" w:color="auto"/>
                  </w:divBdr>
                </w:div>
                <w:div w:id="1558665594">
                  <w:marLeft w:val="0"/>
                  <w:marRight w:val="0"/>
                  <w:marTop w:val="0"/>
                  <w:marBottom w:val="0"/>
                  <w:divBdr>
                    <w:top w:val="none" w:sz="0" w:space="0" w:color="auto"/>
                    <w:left w:val="none" w:sz="0" w:space="0" w:color="auto"/>
                    <w:bottom w:val="none" w:sz="0" w:space="0" w:color="auto"/>
                    <w:right w:val="none" w:sz="0" w:space="0" w:color="auto"/>
                  </w:divBdr>
                </w:div>
                <w:div w:id="1648390925">
                  <w:marLeft w:val="0"/>
                  <w:marRight w:val="0"/>
                  <w:marTop w:val="0"/>
                  <w:marBottom w:val="0"/>
                  <w:divBdr>
                    <w:top w:val="none" w:sz="0" w:space="0" w:color="auto"/>
                    <w:left w:val="none" w:sz="0" w:space="0" w:color="auto"/>
                    <w:bottom w:val="none" w:sz="0" w:space="0" w:color="auto"/>
                    <w:right w:val="none" w:sz="0" w:space="0" w:color="auto"/>
                  </w:divBdr>
                </w:div>
                <w:div w:id="1963027778">
                  <w:marLeft w:val="0"/>
                  <w:marRight w:val="0"/>
                  <w:marTop w:val="0"/>
                  <w:marBottom w:val="0"/>
                  <w:divBdr>
                    <w:top w:val="none" w:sz="0" w:space="0" w:color="auto"/>
                    <w:left w:val="none" w:sz="0" w:space="0" w:color="auto"/>
                    <w:bottom w:val="none" w:sz="0" w:space="0" w:color="auto"/>
                    <w:right w:val="none" w:sz="0" w:space="0" w:color="auto"/>
                  </w:divBdr>
                </w:div>
              </w:divsChild>
            </w:div>
            <w:div w:id="1467746700">
              <w:marLeft w:val="0"/>
              <w:marRight w:val="0"/>
              <w:marTop w:val="0"/>
              <w:marBottom w:val="0"/>
              <w:divBdr>
                <w:top w:val="none" w:sz="0" w:space="0" w:color="auto"/>
                <w:left w:val="none" w:sz="0" w:space="0" w:color="auto"/>
                <w:bottom w:val="none" w:sz="0" w:space="0" w:color="auto"/>
                <w:right w:val="none" w:sz="0" w:space="0" w:color="auto"/>
              </w:divBdr>
            </w:div>
          </w:divsChild>
        </w:div>
        <w:div w:id="1915628129">
          <w:marLeft w:val="0"/>
          <w:marRight w:val="0"/>
          <w:marTop w:val="0"/>
          <w:marBottom w:val="0"/>
          <w:divBdr>
            <w:top w:val="none" w:sz="0" w:space="0" w:color="auto"/>
            <w:left w:val="none" w:sz="0" w:space="0" w:color="auto"/>
            <w:bottom w:val="none" w:sz="0" w:space="0" w:color="auto"/>
            <w:right w:val="none" w:sz="0" w:space="0" w:color="auto"/>
          </w:divBdr>
        </w:div>
      </w:divsChild>
    </w:div>
    <w:div w:id="1556355355">
      <w:bodyDiv w:val="1"/>
      <w:marLeft w:val="0"/>
      <w:marRight w:val="0"/>
      <w:marTop w:val="0"/>
      <w:marBottom w:val="0"/>
      <w:divBdr>
        <w:top w:val="none" w:sz="0" w:space="0" w:color="auto"/>
        <w:left w:val="none" w:sz="0" w:space="0" w:color="auto"/>
        <w:bottom w:val="none" w:sz="0" w:space="0" w:color="auto"/>
        <w:right w:val="none" w:sz="0" w:space="0" w:color="auto"/>
      </w:divBdr>
      <w:divsChild>
        <w:div w:id="314801540">
          <w:marLeft w:val="240"/>
          <w:marRight w:val="0"/>
          <w:marTop w:val="0"/>
          <w:marBottom w:val="0"/>
          <w:divBdr>
            <w:top w:val="none" w:sz="0" w:space="0" w:color="auto"/>
            <w:left w:val="none" w:sz="0" w:space="0" w:color="auto"/>
            <w:bottom w:val="none" w:sz="0" w:space="0" w:color="auto"/>
            <w:right w:val="none" w:sz="0" w:space="0" w:color="auto"/>
          </w:divBdr>
        </w:div>
        <w:div w:id="1033724070">
          <w:marLeft w:val="0"/>
          <w:marRight w:val="0"/>
          <w:marTop w:val="240"/>
          <w:marBottom w:val="120"/>
          <w:divBdr>
            <w:top w:val="none" w:sz="0" w:space="0" w:color="auto"/>
            <w:left w:val="none" w:sz="0" w:space="0" w:color="auto"/>
            <w:bottom w:val="none" w:sz="0" w:space="0" w:color="auto"/>
            <w:right w:val="none" w:sz="0" w:space="0" w:color="auto"/>
          </w:divBdr>
        </w:div>
        <w:div w:id="1936281482">
          <w:marLeft w:val="240"/>
          <w:marRight w:val="0"/>
          <w:marTop w:val="60"/>
          <w:marBottom w:val="0"/>
          <w:divBdr>
            <w:top w:val="none" w:sz="0" w:space="0" w:color="auto"/>
            <w:left w:val="none" w:sz="0" w:space="0" w:color="auto"/>
            <w:bottom w:val="none" w:sz="0" w:space="0" w:color="auto"/>
            <w:right w:val="none" w:sz="0" w:space="0" w:color="auto"/>
          </w:divBdr>
        </w:div>
      </w:divsChild>
    </w:div>
    <w:div w:id="1629975202">
      <w:bodyDiv w:val="1"/>
      <w:marLeft w:val="0"/>
      <w:marRight w:val="0"/>
      <w:marTop w:val="0"/>
      <w:marBottom w:val="0"/>
      <w:divBdr>
        <w:top w:val="none" w:sz="0" w:space="0" w:color="auto"/>
        <w:left w:val="none" w:sz="0" w:space="0" w:color="auto"/>
        <w:bottom w:val="none" w:sz="0" w:space="0" w:color="auto"/>
        <w:right w:val="none" w:sz="0" w:space="0" w:color="auto"/>
      </w:divBdr>
      <w:divsChild>
        <w:div w:id="980771529">
          <w:marLeft w:val="0"/>
          <w:marRight w:val="0"/>
          <w:marTop w:val="240"/>
          <w:marBottom w:val="120"/>
          <w:divBdr>
            <w:top w:val="none" w:sz="0" w:space="0" w:color="auto"/>
            <w:left w:val="none" w:sz="0" w:space="0" w:color="auto"/>
            <w:bottom w:val="none" w:sz="0" w:space="0" w:color="auto"/>
            <w:right w:val="none" w:sz="0" w:space="0" w:color="auto"/>
          </w:divBdr>
        </w:div>
        <w:div w:id="1283347431">
          <w:marLeft w:val="240"/>
          <w:marRight w:val="0"/>
          <w:marTop w:val="0"/>
          <w:marBottom w:val="0"/>
          <w:divBdr>
            <w:top w:val="none" w:sz="0" w:space="0" w:color="auto"/>
            <w:left w:val="none" w:sz="0" w:space="0" w:color="auto"/>
            <w:bottom w:val="none" w:sz="0" w:space="0" w:color="auto"/>
            <w:right w:val="none" w:sz="0" w:space="0" w:color="auto"/>
          </w:divBdr>
        </w:div>
        <w:div w:id="1850102261">
          <w:marLeft w:val="240"/>
          <w:marRight w:val="0"/>
          <w:marTop w:val="60"/>
          <w:marBottom w:val="0"/>
          <w:divBdr>
            <w:top w:val="none" w:sz="0" w:space="0" w:color="auto"/>
            <w:left w:val="none" w:sz="0" w:space="0" w:color="auto"/>
            <w:bottom w:val="none" w:sz="0" w:space="0" w:color="auto"/>
            <w:right w:val="none" w:sz="0" w:space="0" w:color="auto"/>
          </w:divBdr>
        </w:div>
      </w:divsChild>
    </w:div>
    <w:div w:id="1902447778">
      <w:bodyDiv w:val="1"/>
      <w:marLeft w:val="0"/>
      <w:marRight w:val="0"/>
      <w:marTop w:val="0"/>
      <w:marBottom w:val="0"/>
      <w:divBdr>
        <w:top w:val="none" w:sz="0" w:space="0" w:color="auto"/>
        <w:left w:val="none" w:sz="0" w:space="0" w:color="auto"/>
        <w:bottom w:val="none" w:sz="0" w:space="0" w:color="auto"/>
        <w:right w:val="none" w:sz="0" w:space="0" w:color="auto"/>
      </w:divBdr>
    </w:div>
    <w:div w:id="1941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Document?objectID=614071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nfo.gov/public/do/DownloadDocument?objectID=116260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37AD2-2B70-46BD-B8B3-FA7F753B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2019-04-19T18:19:00Z</cp:lastPrinted>
  <dcterms:created xsi:type="dcterms:W3CDTF">2022-06-14T13:36:00Z</dcterms:created>
  <dcterms:modified xsi:type="dcterms:W3CDTF">2022-06-14T13:36:00Z</dcterms:modified>
</cp:coreProperties>
</file>