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58CE2522" w14:textId="00B22A5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413490">
        <w:rPr>
          <w:rFonts w:ascii="Times New Roman" w:hAnsi="Times New Roman"/>
          <w:szCs w:val="24"/>
        </w:rPr>
        <w:t>1810-0698</w:t>
      </w:r>
    </w:p>
    <w:p w:rsidRPr="00AD381B" w:rsidR="00EA1767" w:rsidP="006B4172" w:rsidRDefault="00EA1767" w14:paraId="58CE2523" w14:textId="0F81160E">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50422F60">
      <w:pPr>
        <w:pStyle w:val="ListParagraph"/>
        <w:suppressAutoHyphens/>
        <w:spacing w:line="240" w:lineRule="exact"/>
        <w:rPr>
          <w:rFonts w:ascii="Times New Roman" w:hAnsi="Times New Roman"/>
          <w:szCs w:val="24"/>
        </w:rPr>
      </w:pPr>
    </w:p>
    <w:p w:rsidRPr="00754AD7" w:rsidR="00754AD7" w:rsidP="00754AD7" w:rsidRDefault="0010428B" w14:paraId="5A037BB6" w14:textId="695446BD">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 xml:space="preserve">The Indian Education Professional Development (IEPD) Grants program provides grants to prepare and train Indians (i.e., American Indians/Alaska Natives) to serve as teachers and administrators.  The specific goals of the IEPD program are to: 1) increase the number of qualified individuals in professions that serve American Indians/Alaska Natives; 2) provide training to qualified American Indians/Alaska Natives to become teachers, administrators, teacher aides, social workers, and ancillary education personnel; and 3) improve the skills of those qualified American Indians/Alaska Natives who already serve in these capacities.  Individuals trained under this program must perform work related to their training and that benefits American Indian/Alaska Native people or repay all or a prorated portion of the assistance received under the program.  </w:t>
      </w:r>
    </w:p>
    <w:p w:rsidRPr="00754AD7" w:rsidR="00754AD7" w:rsidP="00754AD7" w:rsidRDefault="00A64BD4" w14:paraId="52ADE9EE" w14:textId="3D1524EA">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The Office of Indian Education (OIE) is submitting this application to request extension approval to:</w:t>
      </w:r>
    </w:p>
    <w:p w:rsidRPr="00754AD7" w:rsidR="00754AD7" w:rsidP="00754AD7" w:rsidRDefault="00754AD7" w14:paraId="74F4301E"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 xml:space="preserve">Ensure all IEPD participants understand the program regulations and that in exchange for receiving funds through the program they agree to the service/cash payback </w:t>
      </w:r>
      <w:proofErr w:type="gramStart"/>
      <w:r w:rsidRPr="00754AD7">
        <w:rPr>
          <w:rFonts w:ascii="Times New Roman" w:hAnsi="Times New Roman"/>
          <w:szCs w:val="24"/>
        </w:rPr>
        <w:t>requirements;</w:t>
      </w:r>
      <w:proofErr w:type="gramEnd"/>
    </w:p>
    <w:p w:rsidRPr="00754AD7" w:rsidR="00754AD7" w:rsidP="00754AD7" w:rsidRDefault="00754AD7" w14:paraId="56E6D4E0"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 xml:space="preserve">Collect contact and training information for all IEPD participants from IEPD </w:t>
      </w:r>
      <w:proofErr w:type="gramStart"/>
      <w:r w:rsidRPr="00754AD7">
        <w:rPr>
          <w:rFonts w:ascii="Times New Roman" w:hAnsi="Times New Roman"/>
          <w:szCs w:val="24"/>
        </w:rPr>
        <w:t>grantees;</w:t>
      </w:r>
      <w:proofErr w:type="gramEnd"/>
      <w:r w:rsidRPr="00754AD7">
        <w:rPr>
          <w:rFonts w:ascii="Times New Roman" w:hAnsi="Times New Roman"/>
          <w:szCs w:val="24"/>
        </w:rPr>
        <w:t xml:space="preserve"> </w:t>
      </w:r>
    </w:p>
    <w:p w:rsidRPr="00754AD7" w:rsidR="00754AD7" w:rsidP="00754AD7" w:rsidRDefault="00754AD7" w14:paraId="70817774"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Collect employment information from IEPD participants who are not in an approved and active deferment once they have exited the program; and</w:t>
      </w:r>
    </w:p>
    <w:p w:rsidR="00754AD7" w:rsidP="00754AD7" w:rsidRDefault="00754AD7" w14:paraId="31D0946D" w14:textId="4876C07C">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Verify employment information with employers for all participants who are in service payback.</w:t>
      </w:r>
    </w:p>
    <w:p w:rsidRPr="00754AD7" w:rsidR="0010428B" w:rsidP="00754AD7" w:rsidRDefault="0010428B" w14:paraId="0EC328F8" w14:textId="77777777">
      <w:pPr>
        <w:pStyle w:val="ListParagraph"/>
        <w:suppressAutoHyphens/>
        <w:spacing w:line="240" w:lineRule="exact"/>
        <w:rPr>
          <w:rFonts w:ascii="Times New Roman" w:hAnsi="Times New Roman"/>
          <w:szCs w:val="24"/>
        </w:rPr>
      </w:pPr>
    </w:p>
    <w:p w:rsidRPr="00754AD7" w:rsidR="00754AD7" w:rsidP="00754AD7" w:rsidRDefault="0010428B" w14:paraId="29DAFA08" w14:textId="7007765A">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 xml:space="preserve">The forms and protocols contained in this package include the Service Payback Agreement, Grantee Reporting Form, the Participant Training Information and Employment Reporting Form, and the Employment Verification Form.  </w:t>
      </w:r>
    </w:p>
    <w:p w:rsidR="00754AD7" w:rsidP="00754AD7" w:rsidRDefault="00754AD7" w14:paraId="50B6D5FA" w14:textId="01A82F6C">
      <w:pPr>
        <w:pStyle w:val="ListParagraph"/>
        <w:suppressAutoHyphens/>
        <w:spacing w:line="240" w:lineRule="exact"/>
        <w:rPr>
          <w:rFonts w:ascii="Times New Roman" w:hAnsi="Times New Roman"/>
          <w:szCs w:val="24"/>
        </w:rPr>
      </w:pPr>
      <w:r w:rsidRPr="00754AD7">
        <w:rPr>
          <w:rFonts w:ascii="Times New Roman" w:hAnsi="Times New Roman"/>
          <w:szCs w:val="24"/>
        </w:rPr>
        <w:t xml:space="preserve">Information in the Service Payback Agreement, Grantee Reporting Form, the Participant Training Information and Employment Reporting Form, and the Employment Verification Form is being collected under the authority of section 7122 of the Elementary and Secondary Education Act of 1965, as amended; 20 U.S.C. 7442, and the implementing regulations at 34 CFR Part 263, Subpart A, as well as with the Government Performance and Results Act of 1993 (GPRA), Section 4. </w:t>
      </w:r>
    </w:p>
    <w:p w:rsidRPr="00754AD7" w:rsidR="0010428B" w:rsidP="00754AD7" w:rsidRDefault="0010428B" w14:paraId="2C300346" w14:textId="77777777">
      <w:pPr>
        <w:pStyle w:val="ListParagraph"/>
        <w:suppressAutoHyphens/>
        <w:spacing w:line="240" w:lineRule="exact"/>
        <w:rPr>
          <w:rFonts w:ascii="Times New Roman" w:hAnsi="Times New Roman"/>
          <w:szCs w:val="24"/>
        </w:rPr>
      </w:pPr>
    </w:p>
    <w:p w:rsidRPr="00754AD7" w:rsidR="00754AD7" w:rsidP="00754AD7" w:rsidRDefault="0010428B" w14:paraId="113BC631" w14:textId="48FA6162">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This data collection serves three purposes:  First, data from three sources (grantees, project participants, and employers) are necessary to assess the performance of the IEPD program on its GPRA measures. Second, data from all three sources are necessary to determine if IEPD participants are fulfilling the terms of their service/cash payback requirements.  Finally, budget and project-specific performance data are collected from IEPD grantees for project-monitoring and compliance information.</w:t>
      </w:r>
    </w:p>
    <w:p w:rsidRPr="00754AD7" w:rsidR="00754AD7" w:rsidP="00754AD7" w:rsidRDefault="00754AD7" w14:paraId="3D2F0EA2"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The first use of the data is to allow OIE to calculate the following IEPD GPRA measures:</w:t>
      </w:r>
    </w:p>
    <w:p w:rsidRPr="00754AD7" w:rsidR="00754AD7" w:rsidP="00754AD7" w:rsidRDefault="00754AD7" w14:paraId="5151259B" w14:textId="77777777">
      <w:pPr>
        <w:pStyle w:val="ListParagraph"/>
        <w:suppressAutoHyphens/>
        <w:spacing w:line="240" w:lineRule="exact"/>
        <w:rPr>
          <w:rFonts w:ascii="Times New Roman" w:hAnsi="Times New Roman"/>
          <w:szCs w:val="24"/>
        </w:rPr>
      </w:pPr>
    </w:p>
    <w:p w:rsidRPr="00754AD7" w:rsidR="00754AD7" w:rsidP="00754AD7" w:rsidRDefault="00754AD7" w14:paraId="311C9376"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 xml:space="preserve">Measure 1 of 6: The percentage of participants in administrator preparation projects who become principals, vice principals, or school administrators in local educational agencies (LEAs) that serve a high proportion of Indian students. </w:t>
      </w:r>
    </w:p>
    <w:p w:rsidRPr="00754AD7" w:rsidR="00754AD7" w:rsidP="00754AD7" w:rsidRDefault="00754AD7" w14:paraId="3051DBC7"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Measure 2 of 6: The percentage of participants in teacher preparation projects who become teachers in LEAs that serve a high proportion of Indian students.</w:t>
      </w:r>
    </w:p>
    <w:p w:rsidRPr="00754AD7" w:rsidR="00754AD7" w:rsidP="00754AD7" w:rsidRDefault="00754AD7" w14:paraId="4F6926D3"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Measure 3 of 6: The percentage of program participants who meet Sate licensure requirements.</w:t>
      </w:r>
    </w:p>
    <w:p w:rsidRPr="00754AD7" w:rsidR="00754AD7" w:rsidP="00754AD7" w:rsidRDefault="00754AD7" w14:paraId="10035C13"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Measure 4 of 6: The percentage of program participants who complete their service requirement on schedule.</w:t>
      </w:r>
    </w:p>
    <w:p w:rsidRPr="00754AD7" w:rsidR="00754AD7" w:rsidP="00754AD7" w:rsidRDefault="00754AD7" w14:paraId="6BEFFC32"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Measure 5 of 6: The cost per individual who successfully completes an administrator preparation program, takes a position in an LEA that serves a high proportion of Indian students, and completes the service requirement in such a school district.</w:t>
      </w:r>
    </w:p>
    <w:p w:rsidRPr="00754AD7" w:rsidR="00754AD7" w:rsidP="00754AD7" w:rsidRDefault="00754AD7" w14:paraId="70AB0C50"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w:t>
      </w:r>
      <w:r w:rsidRPr="00754AD7">
        <w:rPr>
          <w:rFonts w:ascii="Times New Roman" w:hAnsi="Times New Roman"/>
          <w:szCs w:val="24"/>
        </w:rPr>
        <w:tab/>
        <w:t>Measure 6 of 6: The cost per individual who successfully completes a teacher preparation program, takes a position in an LEA that serves a high proportion of Indian students, and completes the service requirement in such a school district.</w:t>
      </w:r>
    </w:p>
    <w:p w:rsidRPr="00754AD7" w:rsidR="00754AD7" w:rsidP="00754AD7" w:rsidRDefault="00754AD7" w14:paraId="6D044688" w14:textId="77777777">
      <w:pPr>
        <w:pStyle w:val="ListParagraph"/>
        <w:suppressAutoHyphens/>
        <w:spacing w:line="240" w:lineRule="exact"/>
        <w:rPr>
          <w:rFonts w:ascii="Times New Roman" w:hAnsi="Times New Roman"/>
          <w:szCs w:val="24"/>
        </w:rPr>
      </w:pPr>
    </w:p>
    <w:p w:rsidRPr="00754AD7" w:rsidR="00754AD7" w:rsidP="00754AD7" w:rsidRDefault="00754AD7" w14:paraId="5812B7C8"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The second use of the data is to ensure participants complete a payback requirement that equals the number of months in training (for service payback</w:t>
      </w:r>
      <w:proofErr w:type="gramStart"/>
      <w:r w:rsidRPr="00754AD7">
        <w:rPr>
          <w:rFonts w:ascii="Times New Roman" w:hAnsi="Times New Roman"/>
          <w:szCs w:val="24"/>
        </w:rPr>
        <w:t>)</w:t>
      </w:r>
      <w:proofErr w:type="gramEnd"/>
      <w:r w:rsidRPr="00754AD7">
        <w:rPr>
          <w:rFonts w:ascii="Times New Roman" w:hAnsi="Times New Roman"/>
          <w:szCs w:val="24"/>
        </w:rPr>
        <w:t xml:space="preserve"> or the amount of allowable training costs incurred (for cash payback).  To fulfill service payback, participants are required to:</w:t>
      </w:r>
    </w:p>
    <w:p w:rsidRPr="00754AD7" w:rsidR="00754AD7" w:rsidP="00754AD7" w:rsidRDefault="00754AD7" w14:paraId="61214E8B"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a)</w:t>
      </w:r>
      <w:r w:rsidRPr="00754AD7">
        <w:rPr>
          <w:rFonts w:ascii="Times New Roman" w:hAnsi="Times New Roman"/>
          <w:szCs w:val="24"/>
        </w:rPr>
        <w:tab/>
        <w:t xml:space="preserve">Sign an agreement (i.e., the Service Payback Agreement), at the time of selection for training, to meet the provisions of the payback </w:t>
      </w:r>
      <w:proofErr w:type="gramStart"/>
      <w:r w:rsidRPr="00754AD7">
        <w:rPr>
          <w:rFonts w:ascii="Times New Roman" w:hAnsi="Times New Roman"/>
          <w:szCs w:val="24"/>
        </w:rPr>
        <w:t>requirement;</w:t>
      </w:r>
      <w:proofErr w:type="gramEnd"/>
    </w:p>
    <w:p w:rsidRPr="00754AD7" w:rsidR="00754AD7" w:rsidP="00754AD7" w:rsidRDefault="00754AD7" w14:paraId="55CF10FF" w14:textId="77777777">
      <w:pPr>
        <w:pStyle w:val="ListParagraph"/>
        <w:suppressAutoHyphens/>
        <w:spacing w:line="240" w:lineRule="exact"/>
        <w:rPr>
          <w:rFonts w:ascii="Times New Roman" w:hAnsi="Times New Roman"/>
          <w:szCs w:val="24"/>
        </w:rPr>
      </w:pPr>
      <w:r w:rsidRPr="00754AD7">
        <w:rPr>
          <w:rFonts w:ascii="Times New Roman" w:hAnsi="Times New Roman"/>
          <w:szCs w:val="24"/>
        </w:rPr>
        <w:t>b)</w:t>
      </w:r>
      <w:r w:rsidRPr="00754AD7">
        <w:rPr>
          <w:rFonts w:ascii="Times New Roman" w:hAnsi="Times New Roman"/>
          <w:szCs w:val="24"/>
        </w:rPr>
        <w:tab/>
        <w:t>Perform work related to the training received and that benefits Indian people; or</w:t>
      </w:r>
    </w:p>
    <w:p w:rsidR="00754AD7" w:rsidP="00754AD7" w:rsidRDefault="00754AD7" w14:paraId="03CBF310" w14:textId="6F35F0E8">
      <w:pPr>
        <w:pStyle w:val="ListParagraph"/>
        <w:suppressAutoHyphens/>
        <w:spacing w:line="240" w:lineRule="exact"/>
        <w:rPr>
          <w:rFonts w:ascii="Times New Roman" w:hAnsi="Times New Roman"/>
          <w:szCs w:val="24"/>
        </w:rPr>
      </w:pPr>
      <w:r w:rsidRPr="00754AD7">
        <w:rPr>
          <w:rFonts w:ascii="Times New Roman" w:hAnsi="Times New Roman"/>
          <w:szCs w:val="24"/>
        </w:rPr>
        <w:t>c)</w:t>
      </w:r>
      <w:r w:rsidRPr="00754AD7">
        <w:rPr>
          <w:rFonts w:ascii="Times New Roman" w:hAnsi="Times New Roman"/>
          <w:szCs w:val="24"/>
        </w:rPr>
        <w:tab/>
        <w:t>Repay all or a prorated part of the assistance received.</w:t>
      </w:r>
    </w:p>
    <w:p w:rsidRPr="00754AD7" w:rsidR="00A64BD4" w:rsidP="00754AD7" w:rsidRDefault="00A64BD4" w14:paraId="0367F490" w14:textId="77777777">
      <w:pPr>
        <w:pStyle w:val="ListParagraph"/>
        <w:suppressAutoHyphens/>
        <w:spacing w:line="240" w:lineRule="exact"/>
        <w:rPr>
          <w:rFonts w:ascii="Times New Roman" w:hAnsi="Times New Roman"/>
          <w:szCs w:val="24"/>
        </w:rPr>
      </w:pPr>
    </w:p>
    <w:p w:rsidR="00754AD7" w:rsidP="00754AD7" w:rsidRDefault="00A64BD4" w14:paraId="423859EB" w14:textId="04BD7821">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 xml:space="preserve">The IEPD statute and regulations (ESEA 7122, 34 CFR 263.8) require that if a participant fails to complete the service payback requirement, the participant is required to repay all or a prorated portion of their training costs.  For service payback, the </w:t>
      </w:r>
      <w:proofErr w:type="gramStart"/>
      <w:r w:rsidRPr="00754AD7" w:rsidR="00754AD7">
        <w:rPr>
          <w:rFonts w:ascii="Times New Roman" w:hAnsi="Times New Roman"/>
          <w:szCs w:val="24"/>
        </w:rPr>
        <w:t>period of time</w:t>
      </w:r>
      <w:proofErr w:type="gramEnd"/>
      <w:r w:rsidRPr="00754AD7" w:rsidR="00754AD7">
        <w:rPr>
          <w:rFonts w:ascii="Times New Roman" w:hAnsi="Times New Roman"/>
          <w:szCs w:val="24"/>
        </w:rPr>
        <w:t xml:space="preserve"> required for a work-related payback is equivalent to the total period of time for which training was actually received under the professional development program on a month-for-month basis.  For cash payback, the cash payback required shall be equivalent to the total amount of funds received and expended for training received under the PD program and may be prorated based on any approved work-related service the participant performs.</w:t>
      </w:r>
    </w:p>
    <w:p w:rsidRPr="00754AD7" w:rsidR="00A64BD4" w:rsidP="00754AD7" w:rsidRDefault="00A64BD4" w14:paraId="73B63239" w14:textId="77777777">
      <w:pPr>
        <w:pStyle w:val="ListParagraph"/>
        <w:suppressAutoHyphens/>
        <w:spacing w:line="240" w:lineRule="exact"/>
        <w:rPr>
          <w:rFonts w:ascii="Times New Roman" w:hAnsi="Times New Roman"/>
          <w:szCs w:val="24"/>
        </w:rPr>
      </w:pPr>
    </w:p>
    <w:p w:rsidR="00754AD7" w:rsidP="00754AD7" w:rsidRDefault="00A64BD4" w14:paraId="06DE738D" w14:textId="4CD29EB5">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To ensure participants complete their payback requirement, the program office must collect information from the grantee that allows follow up with the participant and documents the length of time participants are in training and the total allowable training costs incurred such as tuition, books, fees, stipend, dependent allowance, supplies, technology, and required program travel.  These data cannot be collected from other sources.  An online system, the Professional Development Program’s Data Collection System (PDPDCS) reduces the amount of time and effort required to collect this information.</w:t>
      </w:r>
    </w:p>
    <w:p w:rsidRPr="00754AD7" w:rsidR="00A64BD4" w:rsidP="00754AD7" w:rsidRDefault="00A64BD4" w14:paraId="471F6882" w14:textId="77777777">
      <w:pPr>
        <w:pStyle w:val="ListParagraph"/>
        <w:suppressAutoHyphens/>
        <w:spacing w:line="240" w:lineRule="exact"/>
        <w:rPr>
          <w:rFonts w:ascii="Times New Roman" w:hAnsi="Times New Roman"/>
          <w:szCs w:val="24"/>
        </w:rPr>
      </w:pPr>
    </w:p>
    <w:p w:rsidR="00754AD7" w:rsidP="00754AD7" w:rsidRDefault="00A64BD4" w14:paraId="1F03A045" w14:textId="642D0C34">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 xml:space="preserve">OIE must also collect employment information from the participant to ensure employment is related to the training received, benefits Native people, and is equivalent in length of time to the training received.  Employment information is provided by the participant and then reviewed and verified by the employer to ensure its accuracy.  Participants enter their employment information into the </w:t>
      </w:r>
      <w:proofErr w:type="gramStart"/>
      <w:r w:rsidRPr="00754AD7" w:rsidR="00754AD7">
        <w:rPr>
          <w:rFonts w:ascii="Times New Roman" w:hAnsi="Times New Roman"/>
          <w:szCs w:val="24"/>
        </w:rPr>
        <w:t>PDPDCS</w:t>
      </w:r>
      <w:proofErr w:type="gramEnd"/>
      <w:r w:rsidRPr="00754AD7" w:rsidR="00754AD7">
        <w:rPr>
          <w:rFonts w:ascii="Times New Roman" w:hAnsi="Times New Roman"/>
          <w:szCs w:val="24"/>
        </w:rPr>
        <w:t xml:space="preserve"> and the system sends an email to the employer using contact information entered by the participant requesting employment verification using the Employment Verification Form.  The employer then reviews the information and either approves the information or provides revised information that is then reviewed and approved by the participant.  The online system reduces the burden on employers.  This information is necessary for the IEPD program to ascertain whether participants are fulfilling their work payback requirements.</w:t>
      </w:r>
    </w:p>
    <w:p w:rsidRPr="00754AD7" w:rsidR="00A64BD4" w:rsidP="00754AD7" w:rsidRDefault="00A64BD4" w14:paraId="2F3A21B3" w14:textId="77777777">
      <w:pPr>
        <w:pStyle w:val="ListParagraph"/>
        <w:suppressAutoHyphens/>
        <w:spacing w:line="240" w:lineRule="exact"/>
        <w:rPr>
          <w:rFonts w:ascii="Times New Roman" w:hAnsi="Times New Roman"/>
          <w:szCs w:val="24"/>
        </w:rPr>
      </w:pPr>
    </w:p>
    <w:p w:rsidR="00754AD7" w:rsidP="00754AD7" w:rsidRDefault="00A64BD4" w14:paraId="1620654C" w14:textId="642B9EB3">
      <w:pPr>
        <w:pStyle w:val="ListParagraph"/>
        <w:suppressAutoHyphens/>
        <w:spacing w:line="240" w:lineRule="exact"/>
        <w:rPr>
          <w:rFonts w:ascii="Times New Roman" w:hAnsi="Times New Roman"/>
          <w:szCs w:val="24"/>
        </w:rPr>
      </w:pPr>
      <w:r>
        <w:rPr>
          <w:rFonts w:ascii="Times New Roman" w:hAnsi="Times New Roman"/>
          <w:szCs w:val="24"/>
        </w:rPr>
        <w:tab/>
      </w:r>
      <w:r w:rsidRPr="00754AD7" w:rsidR="00754AD7">
        <w:rPr>
          <w:rFonts w:ascii="Times New Roman" w:hAnsi="Times New Roman"/>
          <w:szCs w:val="24"/>
        </w:rPr>
        <w:t>The third use of the data is for grant monitoring and project and program performance reporting.  The data collection system will be used to collect budget and project-specific performance data from grantees.  Reports generated from this information collection will be used by OIE to document information on the characteristics of participants supported in these training programs and the outcomes of the programs (program completion, certification, employment in the area supported by training, etc.).  Collection of these data is critical in assessing project and program performance and compliance with applicable laws and regulations.</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FB1DC3" w:rsidR="00AD381B" w:rsidP="00AD381B" w:rsidRDefault="00043C32" w14:paraId="58CE252A" w14:textId="7175DB74">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B1DC3" w:rsidP="00FB1DC3" w:rsidRDefault="00FB1DC3" w14:paraId="5170E49B" w14:textId="3798916D">
      <w:pPr>
        <w:pStyle w:val="ListParagraph"/>
        <w:suppressAutoHyphens/>
        <w:spacing w:line="240" w:lineRule="exact"/>
        <w:contextualSpacing w:val="0"/>
        <w:rPr>
          <w:rFonts w:ascii="Times New Roman" w:hAnsi="Times New Roman"/>
          <w:b/>
          <w:szCs w:val="24"/>
        </w:rPr>
      </w:pPr>
    </w:p>
    <w:p w:rsidRPr="0036601E" w:rsidR="0036601E" w:rsidP="0036601E" w:rsidRDefault="00A64BD4" w14:paraId="7F0C2F9F" w14:textId="78742E96">
      <w:pPr>
        <w:pStyle w:val="ListParagraph"/>
        <w:suppressAutoHyphens/>
        <w:spacing w:line="240" w:lineRule="exact"/>
        <w:rPr>
          <w:rFonts w:ascii="Times New Roman" w:hAnsi="Times New Roman"/>
          <w:szCs w:val="24"/>
        </w:rPr>
      </w:pPr>
      <w:r>
        <w:rPr>
          <w:rFonts w:ascii="Times New Roman" w:hAnsi="Times New Roman"/>
          <w:bCs/>
          <w:szCs w:val="24"/>
        </w:rPr>
        <w:tab/>
      </w:r>
      <w:r w:rsidRPr="0036601E" w:rsidR="0036601E">
        <w:rPr>
          <w:rFonts w:ascii="Times New Roman" w:hAnsi="Times New Roman"/>
          <w:bCs/>
          <w:szCs w:val="24"/>
        </w:rPr>
        <w:t xml:space="preserve">There are three primary purposes for the data that are being collected.  The first use is to fulfill GPRA reporting requirements.  </w:t>
      </w:r>
      <w:r w:rsidRPr="0036601E" w:rsidR="0036601E">
        <w:rPr>
          <w:rFonts w:ascii="Times New Roman" w:hAnsi="Times New Roman"/>
          <w:szCs w:val="24"/>
        </w:rPr>
        <w:t>In 1993, GPRA was passed, requiring federally funded agencies to develop and implement an accountability system based on performance measurement.  Grantees are required to report on their progress toward meeting the objectives and goals established for each U.S. Department of Education (ED) grant program.  However, in addition to grantee data,</w:t>
      </w:r>
      <w:r w:rsidRPr="0036601E" w:rsidDel="00BF6054" w:rsidR="0036601E">
        <w:rPr>
          <w:rFonts w:ascii="Times New Roman" w:hAnsi="Times New Roman"/>
          <w:szCs w:val="24"/>
        </w:rPr>
        <w:t xml:space="preserve"> </w:t>
      </w:r>
      <w:r w:rsidRPr="0036601E" w:rsidR="0036601E">
        <w:rPr>
          <w:rFonts w:ascii="Times New Roman" w:hAnsi="Times New Roman"/>
          <w:szCs w:val="24"/>
        </w:rPr>
        <w:t xml:space="preserve">IEPD needs data directly from participants and their employers for GPRA reporting.  </w:t>
      </w:r>
    </w:p>
    <w:p w:rsidRPr="0036601E" w:rsidR="0036601E" w:rsidP="0036601E" w:rsidRDefault="00A64BD4" w14:paraId="118BECA9" w14:textId="1C2C3079">
      <w:pPr>
        <w:pStyle w:val="ListParagraph"/>
        <w:suppressAutoHyphens/>
        <w:spacing w:line="240" w:lineRule="exact"/>
        <w:rPr>
          <w:rFonts w:ascii="Times New Roman" w:hAnsi="Times New Roman"/>
          <w:szCs w:val="24"/>
        </w:rPr>
      </w:pPr>
      <w:r>
        <w:rPr>
          <w:rFonts w:ascii="Times New Roman" w:hAnsi="Times New Roman"/>
          <w:bCs/>
          <w:szCs w:val="24"/>
        </w:rPr>
        <w:tab/>
      </w:r>
      <w:r w:rsidRPr="0036601E" w:rsidR="0036601E">
        <w:rPr>
          <w:rFonts w:ascii="Times New Roman" w:hAnsi="Times New Roman"/>
          <w:bCs/>
          <w:szCs w:val="24"/>
        </w:rPr>
        <w:t>The second use of the data is to ensure participants complete a payback requirement that equals the number of months in training (for service payback</w:t>
      </w:r>
      <w:proofErr w:type="gramStart"/>
      <w:r w:rsidRPr="0036601E" w:rsidR="0036601E">
        <w:rPr>
          <w:rFonts w:ascii="Times New Roman" w:hAnsi="Times New Roman"/>
          <w:bCs/>
          <w:szCs w:val="24"/>
        </w:rPr>
        <w:t>)</w:t>
      </w:r>
      <w:proofErr w:type="gramEnd"/>
      <w:r w:rsidRPr="0036601E" w:rsidR="0036601E">
        <w:rPr>
          <w:rFonts w:ascii="Times New Roman" w:hAnsi="Times New Roman"/>
          <w:bCs/>
          <w:szCs w:val="24"/>
        </w:rPr>
        <w:t xml:space="preserve"> or the amount of training costs incurred (for cash payback).  </w:t>
      </w:r>
      <w:r w:rsidRPr="0036601E" w:rsidR="0036601E">
        <w:rPr>
          <w:rFonts w:ascii="Times New Roman" w:hAnsi="Times New Roman"/>
          <w:szCs w:val="24"/>
        </w:rPr>
        <w:t>To fulfill service payback, participants are required to:</w:t>
      </w:r>
    </w:p>
    <w:p w:rsidRPr="0036601E" w:rsidR="0036601E" w:rsidP="0036601E" w:rsidRDefault="0036601E" w14:paraId="4002D9A6" w14:textId="39A37906">
      <w:pPr>
        <w:pStyle w:val="ListParagraph"/>
        <w:numPr>
          <w:ilvl w:val="0"/>
          <w:numId w:val="6"/>
        </w:numPr>
        <w:suppressAutoHyphens/>
        <w:spacing w:line="240" w:lineRule="exact"/>
        <w:ind w:left="810" w:firstLine="0"/>
        <w:rPr>
          <w:rFonts w:ascii="Times New Roman" w:hAnsi="Times New Roman"/>
          <w:szCs w:val="24"/>
        </w:rPr>
      </w:pPr>
      <w:r w:rsidRPr="0036601E">
        <w:rPr>
          <w:rFonts w:ascii="Times New Roman" w:hAnsi="Times New Roman"/>
          <w:szCs w:val="24"/>
        </w:rPr>
        <w:t xml:space="preserve">Sign an agreement, at the time of selection for training, to meet the provisions of the payback </w:t>
      </w:r>
      <w:proofErr w:type="gramStart"/>
      <w:r w:rsidRPr="0036601E">
        <w:rPr>
          <w:rFonts w:ascii="Times New Roman" w:hAnsi="Times New Roman"/>
          <w:szCs w:val="24"/>
        </w:rPr>
        <w:t>requirement;</w:t>
      </w:r>
      <w:proofErr w:type="gramEnd"/>
    </w:p>
    <w:p w:rsidRPr="0036601E" w:rsidR="0036601E" w:rsidP="0036601E" w:rsidRDefault="0036601E" w14:paraId="48648F5E" w14:textId="77777777">
      <w:pPr>
        <w:pStyle w:val="ListParagraph"/>
        <w:numPr>
          <w:ilvl w:val="0"/>
          <w:numId w:val="6"/>
        </w:numPr>
        <w:suppressAutoHyphens/>
        <w:spacing w:line="240" w:lineRule="exact"/>
        <w:ind w:left="810" w:firstLine="0"/>
        <w:rPr>
          <w:rFonts w:ascii="Times New Roman" w:hAnsi="Times New Roman"/>
          <w:szCs w:val="24"/>
        </w:rPr>
      </w:pPr>
      <w:r w:rsidRPr="0036601E">
        <w:rPr>
          <w:rFonts w:ascii="Times New Roman" w:hAnsi="Times New Roman"/>
          <w:szCs w:val="24"/>
        </w:rPr>
        <w:t>Perform work related to the training received and that benefits Indian people; or</w:t>
      </w:r>
    </w:p>
    <w:p w:rsidRPr="0036601E" w:rsidR="0036601E" w:rsidP="0036601E" w:rsidRDefault="0036601E" w14:paraId="54DCEFB9" w14:textId="77777777">
      <w:pPr>
        <w:pStyle w:val="ListParagraph"/>
        <w:numPr>
          <w:ilvl w:val="0"/>
          <w:numId w:val="6"/>
        </w:numPr>
        <w:suppressAutoHyphens/>
        <w:spacing w:line="240" w:lineRule="exact"/>
        <w:ind w:firstLine="90"/>
        <w:rPr>
          <w:rFonts w:ascii="Times New Roman" w:hAnsi="Times New Roman"/>
          <w:szCs w:val="24"/>
        </w:rPr>
      </w:pPr>
      <w:r w:rsidRPr="0036601E">
        <w:rPr>
          <w:rFonts w:ascii="Times New Roman" w:hAnsi="Times New Roman"/>
          <w:szCs w:val="24"/>
        </w:rPr>
        <w:t>Repay all or a prorated part of the assistance received.</w:t>
      </w:r>
    </w:p>
    <w:p w:rsidRPr="0036601E" w:rsidR="0036601E" w:rsidP="0036601E" w:rsidRDefault="00A64BD4" w14:paraId="3AE57F99" w14:textId="664C4EB9">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 xml:space="preserve">The program office must receive information from the grantee that allows follow up with the participant.  The program office also must receive information from the participant’s employer </w:t>
      </w:r>
      <w:proofErr w:type="gramStart"/>
      <w:r w:rsidRPr="0036601E" w:rsidR="0036601E">
        <w:rPr>
          <w:rFonts w:ascii="Times New Roman" w:hAnsi="Times New Roman"/>
          <w:szCs w:val="24"/>
        </w:rPr>
        <w:t>with regard to</w:t>
      </w:r>
      <w:proofErr w:type="gramEnd"/>
      <w:r w:rsidRPr="0036601E" w:rsidR="0036601E">
        <w:rPr>
          <w:rFonts w:ascii="Times New Roman" w:hAnsi="Times New Roman"/>
          <w:szCs w:val="24"/>
        </w:rPr>
        <w:t xml:space="preserve"> placement, position, state licensure status for those teaching, and post-project employment duration. If the participant fails to complete the IEPD training or fails to complete the service payback requirement, the participant is required to pay back all or a portion of their training costs.  Training costs are the total dollar amount the participant received in tuition, fees, books, childcare, or other expenses.  Participants may defer their payback requirements if they are enrolled as full-time students in an approved education program at an accredited institution of higher education or if they are called to active-duty in connection with a war, military operation, or national emergency  For an education deferment, the participant must submit a written request for deferment to the program office that includes the name of the institution, a copy of the admission letter, the degree being sought, and projected date of completion.  For a military deferment, the participant must submit a written statement from the commanding or personnel officer certifying that the participant is on active duty in the Armed Forces of the United States; the date on which the participant’s service began; and the date on which the participant’s service is expected to end; or a true certified copy of the participant’s official military orders and a copy of the participant’s military identification. After deferment has been granted, the participant must provide proof of ongoing full-time student status.  </w:t>
      </w:r>
    </w:p>
    <w:p w:rsidR="0036601E" w:rsidP="0036601E" w:rsidRDefault="00A64BD4" w14:paraId="115CDFEF" w14:textId="59E64E78">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 xml:space="preserve">The third use of the data is to collect contact, </w:t>
      </w:r>
      <w:proofErr w:type="gramStart"/>
      <w:r w:rsidRPr="0036601E" w:rsidR="0036601E">
        <w:rPr>
          <w:rFonts w:ascii="Times New Roman" w:hAnsi="Times New Roman"/>
          <w:szCs w:val="24"/>
        </w:rPr>
        <w:t>budget</w:t>
      </w:r>
      <w:proofErr w:type="gramEnd"/>
      <w:r w:rsidRPr="0036601E" w:rsidR="0036601E">
        <w:rPr>
          <w:rFonts w:ascii="Times New Roman" w:hAnsi="Times New Roman"/>
          <w:szCs w:val="24"/>
        </w:rPr>
        <w:t xml:space="preserve"> and project-specific performance information from grantees for project monitoring.  As multi-year award recipients, IEPD grantees must provide the most current performance and financial expenditure information to ED as directed by the Secretary under 34 </w:t>
      </w:r>
      <w:smartTag w:uri="urn:schemas-microsoft-com:office:smarttags" w:element="stockticker">
        <w:r w:rsidR="0036601E" w:rsidRPr="0036601E">
          <w:rPr>
            <w:rFonts w:ascii="Times New Roman" w:hAnsi="Times New Roman"/>
            <w:szCs w:val="24"/>
          </w:rPr>
          <w:t>CFR</w:t>
        </w:r>
      </w:smartTag>
      <w:r w:rsidRPr="0036601E" w:rsidR="0036601E">
        <w:rPr>
          <w:rFonts w:ascii="Times New Roman" w:hAnsi="Times New Roman"/>
          <w:szCs w:val="24"/>
        </w:rPr>
        <w:t xml:space="preserve"> 75.118 for continued funding.</w:t>
      </w:r>
    </w:p>
    <w:p w:rsidRPr="0036601E" w:rsidR="00A64BD4" w:rsidP="0036601E" w:rsidRDefault="00A64BD4" w14:paraId="735D27E9" w14:textId="77777777">
      <w:pPr>
        <w:pStyle w:val="ListParagraph"/>
        <w:suppressAutoHyphens/>
        <w:spacing w:line="240" w:lineRule="exact"/>
        <w:rPr>
          <w:rFonts w:ascii="Times New Roman" w:hAnsi="Times New Roman"/>
          <w:szCs w:val="24"/>
        </w:rPr>
      </w:pPr>
    </w:p>
    <w:p w:rsidRPr="0036601E" w:rsidR="0036601E" w:rsidP="0036601E" w:rsidRDefault="0036601E" w14:paraId="33079503" w14:textId="77777777">
      <w:pPr>
        <w:pStyle w:val="ListParagraph"/>
        <w:suppressAutoHyphens/>
        <w:spacing w:line="240" w:lineRule="exact"/>
        <w:rPr>
          <w:rFonts w:ascii="Times New Roman" w:hAnsi="Times New Roman"/>
          <w:b/>
          <w:bCs/>
          <w:i/>
          <w:szCs w:val="24"/>
        </w:rPr>
      </w:pPr>
      <w:r w:rsidRPr="0036601E">
        <w:rPr>
          <w:rFonts w:ascii="Times New Roman" w:hAnsi="Times New Roman"/>
          <w:b/>
          <w:bCs/>
          <w:i/>
          <w:szCs w:val="24"/>
        </w:rPr>
        <w:t xml:space="preserve">Data Collection </w:t>
      </w:r>
    </w:p>
    <w:p w:rsidRPr="0036601E" w:rsidR="0036601E" w:rsidP="0036601E" w:rsidRDefault="00A64BD4" w14:paraId="44EC6EFA" w14:textId="57D0F913">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 xml:space="preserve">To fulfill </w:t>
      </w:r>
      <w:proofErr w:type="gramStart"/>
      <w:r w:rsidRPr="0036601E" w:rsidR="0036601E">
        <w:rPr>
          <w:rFonts w:ascii="Times New Roman" w:hAnsi="Times New Roman"/>
          <w:szCs w:val="24"/>
        </w:rPr>
        <w:t>all of</w:t>
      </w:r>
      <w:proofErr w:type="gramEnd"/>
      <w:r w:rsidRPr="0036601E" w:rsidR="0036601E">
        <w:rPr>
          <w:rFonts w:ascii="Times New Roman" w:hAnsi="Times New Roman"/>
          <w:szCs w:val="24"/>
        </w:rPr>
        <w:t xml:space="preserve"> these purposes, the data collection involves grantee, participant, and employer representative components.  The information is being collected on a mandatory basis from all grantees (the Grantee Reporting Form) and participants (the Participant Training Information and Employment Reporting Form) and on a voluntary basis from employers (the Employment Verification Form). Both grantees and participants complete, one time only, the Service Payback Agreement to ensure participants understand the IEPD service/cash payback requirements before accepting any grant funds. </w:t>
      </w:r>
    </w:p>
    <w:p w:rsidR="0036601E" w:rsidP="0036601E" w:rsidRDefault="00A64BD4" w14:paraId="3D6A5353" w14:textId="06F0293E">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The PDPDCS collects data, on a semi-annual basis, directly from grantees, participants, and employers.  The online system is easy to use and contains user training modules and system checks that will ensure data integrity.  In addition, employment information provided by the participants is linked with data from the Common Core of Data (CCD) during analysis to capture employer demographics for GPRA reporting which will eliminate the need for employers to provide this information.  Eligible employment for service payback is any employment that is in the participant’s field of study and benefits Indian people (ESEA 7122, 34 CFR 263.8(b)).</w:t>
      </w:r>
    </w:p>
    <w:p w:rsidRPr="0036601E" w:rsidR="0036601E" w:rsidP="0036601E" w:rsidRDefault="0036601E" w14:paraId="7FDB44F9" w14:textId="77777777">
      <w:pPr>
        <w:pStyle w:val="ListParagraph"/>
        <w:suppressAutoHyphens/>
        <w:spacing w:line="240" w:lineRule="exact"/>
        <w:rPr>
          <w:rFonts w:ascii="Times New Roman" w:hAnsi="Times New Roman"/>
          <w:b/>
          <w:bCs/>
          <w:i/>
          <w:szCs w:val="24"/>
        </w:rPr>
      </w:pPr>
    </w:p>
    <w:p w:rsidRPr="0036601E" w:rsidR="0036601E" w:rsidP="0036601E" w:rsidRDefault="0036601E" w14:paraId="330B5D36" w14:textId="77777777">
      <w:pPr>
        <w:pStyle w:val="ListParagraph"/>
        <w:suppressAutoHyphens/>
        <w:spacing w:line="240" w:lineRule="exact"/>
        <w:rPr>
          <w:rFonts w:ascii="Times New Roman" w:hAnsi="Times New Roman"/>
          <w:b/>
          <w:bCs/>
          <w:i/>
          <w:szCs w:val="24"/>
        </w:rPr>
      </w:pPr>
      <w:r w:rsidRPr="0036601E">
        <w:rPr>
          <w:rFonts w:ascii="Times New Roman" w:hAnsi="Times New Roman"/>
          <w:b/>
          <w:bCs/>
          <w:i/>
          <w:szCs w:val="24"/>
        </w:rPr>
        <w:t>Grantee Data Collection</w:t>
      </w:r>
    </w:p>
    <w:p w:rsidRPr="0036601E" w:rsidR="0036601E" w:rsidP="0036601E" w:rsidRDefault="00A64BD4" w14:paraId="5603B416" w14:textId="466AF31C">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In the grantee component, all IEPD grantees submit contact and training information for all participants using the Grantee Reporting Form.  For the first submission, grantees will provide information on all participants enrolled in the project since the start of the grant and will upload a copy of each participant’s payback agreement.  Grantees will review and update information on participants and add entries and upload payback agreements for new participants as needed.  All changes in participant status (e.g., recruitment, leave of absence, military deployment, training completion, exiting without completion) must be entered in the PDPDCS within 7 business days of the change in status or by the end of the month in which the change occurred, whichever is later.</w:t>
      </w:r>
    </w:p>
    <w:p w:rsidRPr="0036601E" w:rsidR="0036601E" w:rsidP="0036601E" w:rsidRDefault="00A64BD4" w14:paraId="6720972B" w14:textId="0FFD4CDF">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Grantees must also enter the cumulative total number of months the participant has been in the IEPD training program along with the cumulative total allowable training costs incurred at the end of each semester.  Final totals must be entered when the participant leaves the program.  Semester and final training information must be entered into the PDPDCS within 7 business days after the semester ends.  This information will be visible to the participant so he/she can see their payback obligation amounts as they are incurred.  Grantees will report this information on all participants for the length of the grant award.</w:t>
      </w:r>
    </w:p>
    <w:p w:rsidRPr="0036601E" w:rsidR="0036601E" w:rsidP="0036601E" w:rsidRDefault="0036601E" w14:paraId="68542B07" w14:textId="037AB65F">
      <w:pPr>
        <w:pStyle w:val="ListParagraph"/>
        <w:suppressAutoHyphens/>
        <w:spacing w:line="240" w:lineRule="exact"/>
        <w:rPr>
          <w:rFonts w:ascii="Times New Roman" w:hAnsi="Times New Roman"/>
          <w:b/>
          <w:i/>
          <w:szCs w:val="24"/>
        </w:rPr>
      </w:pPr>
    </w:p>
    <w:p w:rsidRPr="0036601E" w:rsidR="0036601E" w:rsidP="0036601E" w:rsidRDefault="0036601E" w14:paraId="0003A6A8" w14:textId="77777777">
      <w:pPr>
        <w:pStyle w:val="ListParagraph"/>
        <w:suppressAutoHyphens/>
        <w:spacing w:line="240" w:lineRule="exact"/>
        <w:rPr>
          <w:rFonts w:ascii="Times New Roman" w:hAnsi="Times New Roman"/>
          <w:b/>
          <w:i/>
          <w:szCs w:val="24"/>
        </w:rPr>
      </w:pPr>
      <w:r w:rsidRPr="0036601E">
        <w:rPr>
          <w:rFonts w:ascii="Times New Roman" w:hAnsi="Times New Roman"/>
          <w:b/>
          <w:i/>
          <w:szCs w:val="24"/>
        </w:rPr>
        <w:t>Participant Data Collection</w:t>
      </w:r>
    </w:p>
    <w:p w:rsidRPr="0036601E" w:rsidR="0036601E" w:rsidP="0036601E" w:rsidRDefault="00A64BD4" w14:paraId="271D18DB" w14:textId="15B30633">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In the participant component, participants have access to the participant section of the system as soon as the grantee creates an account by entering in the participant’s information into the system and uploading a payback agreement.  Participants are encouraged via email to log into the PDPDCS at the end of each semester to review the training and cost information reported by the grantee and to update their contact information if it has changed.  This access benefits participants by allowing them to log into the system and see the total amount of funding received and the payback obligation as it is incurred.  This permits participants to make informed decisions regarding the amount of financial burden they want to assume while in the IEPD program.  It also helps prevent participants from amassing large payback obligations without their knowledge.</w:t>
      </w:r>
    </w:p>
    <w:p w:rsidRPr="0036601E" w:rsidR="0036601E" w:rsidP="0036601E" w:rsidRDefault="00A64BD4" w14:paraId="224F4847" w14:textId="10018209">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IEPD participants are required to log into the online system within 1 month of exiting the IEPD program to complete a notice of intent to complete service or cash payback and update their system profile. Thereafter, participants must log in again every 6 months for the length of their service payback obligation period to report their employment and continuing education information using the Participant Training Information and Employment Reporting Form.  All participants must report their employment status to IEPD as part of their service payback requirement.  For service payback, eligible employment is any employment in the participant’s field of study and that benefits Native people.  IEPD contacts participants if they fail to report employment information every 6 months.  Participants who select a cash payback or who fail to provide employment verification within the required timeframe are referred to the Department’s Office of the Chief Financial Officer’s Accounts Receivable and Banking Management Division (ARBMD) for cash repayment.  Participants are also able to review and contest information entered about their funding and training entered by their grantees.</w:t>
      </w:r>
    </w:p>
    <w:p w:rsidRPr="0036601E" w:rsidR="0036601E" w:rsidP="0036601E" w:rsidRDefault="0036601E" w14:paraId="56948E5E" w14:textId="77777777">
      <w:pPr>
        <w:pStyle w:val="ListParagraph"/>
        <w:suppressAutoHyphens/>
        <w:spacing w:line="240" w:lineRule="exact"/>
        <w:rPr>
          <w:rFonts w:ascii="Times New Roman" w:hAnsi="Times New Roman"/>
          <w:b/>
          <w:i/>
          <w:szCs w:val="24"/>
        </w:rPr>
      </w:pPr>
      <w:r w:rsidRPr="0036601E">
        <w:rPr>
          <w:rFonts w:ascii="Times New Roman" w:hAnsi="Times New Roman"/>
          <w:b/>
          <w:i/>
          <w:szCs w:val="24"/>
        </w:rPr>
        <w:t>Employer Data Collection</w:t>
      </w:r>
    </w:p>
    <w:p w:rsidRPr="0036601E" w:rsidR="0036601E" w:rsidP="0036601E" w:rsidRDefault="00A64BD4" w14:paraId="1C2681AE" w14:textId="24E64CE4">
      <w:pPr>
        <w:pStyle w:val="ListParagraph"/>
        <w:suppressAutoHyphens/>
        <w:spacing w:line="240" w:lineRule="exact"/>
        <w:rPr>
          <w:rFonts w:ascii="Times New Roman" w:hAnsi="Times New Roman"/>
          <w:bCs/>
          <w:szCs w:val="24"/>
        </w:rPr>
      </w:pPr>
      <w:r>
        <w:rPr>
          <w:rFonts w:ascii="Times New Roman" w:hAnsi="Times New Roman"/>
          <w:szCs w:val="24"/>
        </w:rPr>
        <w:tab/>
      </w:r>
      <w:r w:rsidRPr="0036601E" w:rsidR="0036601E">
        <w:rPr>
          <w:rFonts w:ascii="Times New Roman" w:hAnsi="Times New Roman"/>
          <w:szCs w:val="24"/>
        </w:rPr>
        <w:t xml:space="preserve">In the employer component, employers are asked to review and verify the information entered by the participant documenting their service payback and licensure status.  Through the Employment Verification Form, the employer </w:t>
      </w:r>
      <w:proofErr w:type="gramStart"/>
      <w:r w:rsidRPr="0036601E" w:rsidR="0036601E">
        <w:rPr>
          <w:rFonts w:ascii="Times New Roman" w:hAnsi="Times New Roman"/>
          <w:szCs w:val="24"/>
        </w:rPr>
        <w:t>review</w:t>
      </w:r>
      <w:proofErr w:type="gramEnd"/>
      <w:r w:rsidRPr="0036601E" w:rsidR="0036601E">
        <w:rPr>
          <w:rFonts w:ascii="Times New Roman" w:hAnsi="Times New Roman"/>
          <w:szCs w:val="24"/>
        </w:rPr>
        <w:t xml:space="preserve"> the employment information and either submit confirmation of its accuracy or provide revisions.  </w:t>
      </w:r>
    </w:p>
    <w:p w:rsidRPr="0036601E" w:rsidR="0036601E" w:rsidP="0036601E" w:rsidRDefault="0036601E" w14:paraId="0C49C3FC" w14:textId="77777777">
      <w:pPr>
        <w:pStyle w:val="ListParagraph"/>
        <w:suppressAutoHyphens/>
        <w:spacing w:line="240" w:lineRule="exact"/>
        <w:rPr>
          <w:rFonts w:ascii="Times New Roman" w:hAnsi="Times New Roman"/>
          <w:b/>
          <w:szCs w:val="24"/>
        </w:rPr>
      </w:pPr>
      <w:r w:rsidRPr="0036601E">
        <w:rPr>
          <w:rFonts w:ascii="Times New Roman" w:hAnsi="Times New Roman"/>
          <w:b/>
          <w:szCs w:val="24"/>
        </w:rPr>
        <w:t xml:space="preserve">Uses of the data </w:t>
      </w:r>
    </w:p>
    <w:p w:rsidRPr="0036601E" w:rsidR="0036601E" w:rsidP="0036601E" w:rsidRDefault="00A64BD4" w14:paraId="04F050E0" w14:textId="32209474">
      <w:pPr>
        <w:pStyle w:val="ListParagraph"/>
        <w:suppressAutoHyphens/>
        <w:spacing w:line="240" w:lineRule="exact"/>
        <w:rPr>
          <w:rFonts w:ascii="Times New Roman" w:hAnsi="Times New Roman"/>
          <w:szCs w:val="24"/>
        </w:rPr>
      </w:pPr>
      <w:r>
        <w:rPr>
          <w:rFonts w:ascii="Times New Roman" w:hAnsi="Times New Roman"/>
          <w:szCs w:val="24"/>
        </w:rPr>
        <w:tab/>
      </w:r>
      <w:r w:rsidRPr="0036601E" w:rsidR="0036601E">
        <w:rPr>
          <w:rFonts w:ascii="Times New Roman" w:hAnsi="Times New Roman"/>
          <w:szCs w:val="24"/>
        </w:rPr>
        <w:t xml:space="preserve">The IEPD program office staff use this database to report on the program’s GPRA measures to ED’s Budget Service.  The aggregated performance data will also be included in ED’s Annual Program Performance Report. </w:t>
      </w:r>
    </w:p>
    <w:p w:rsidR="00FB1DC3" w:rsidP="0036601E" w:rsidRDefault="00A64BD4" w14:paraId="730FD9BD" w14:textId="26EC06E0">
      <w:pPr>
        <w:pStyle w:val="ListParagraph"/>
        <w:suppressAutoHyphens/>
        <w:spacing w:line="240" w:lineRule="exact"/>
        <w:contextualSpacing w:val="0"/>
        <w:rPr>
          <w:rFonts w:ascii="Times New Roman" w:hAnsi="Times New Roman"/>
          <w:szCs w:val="24"/>
        </w:rPr>
      </w:pPr>
      <w:r>
        <w:rPr>
          <w:rFonts w:ascii="Times New Roman" w:hAnsi="Times New Roman"/>
          <w:szCs w:val="24"/>
        </w:rPr>
        <w:tab/>
      </w:r>
      <w:r w:rsidRPr="0036601E" w:rsidR="0036601E">
        <w:rPr>
          <w:rFonts w:ascii="Times New Roman" w:hAnsi="Times New Roman"/>
          <w:szCs w:val="24"/>
        </w:rPr>
        <w:t>IEPD program office staff also use the database to determine whether participants fulfill their service payback requirements.  If a participant does not fulfill his/her service payback requirement, the collected data helps IEPD staff determine the cash amount an individual must pay back.  These are essential aspects of project oversight, such that the program office can ensure that project participants are fulfilling requirements stipulated in program application materials.  Projects bear the responsibility of informing participants of their responsibilities and providing participants with adequate information such that participants can voluntarily contact the program office upon exiting project services.  Without participant follow up, the program office can only determine if participants are fulfilling their service requirement if the participants voluntarily maintain contact with the program office.</w:t>
      </w:r>
    </w:p>
    <w:p w:rsidR="00AD381B" w:rsidP="00AD381B" w:rsidRDefault="00AD381B" w14:paraId="58CE252B"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58CE252E" w14:textId="028CA4B0">
      <w:pPr>
        <w:pStyle w:val="ListParagraph"/>
        <w:tabs>
          <w:tab w:val="left" w:pos="-720"/>
        </w:tabs>
        <w:suppressAutoHyphens/>
        <w:contextualSpacing w:val="0"/>
        <w:rPr>
          <w:rFonts w:ascii="Times New Roman" w:hAnsi="Times New Roman"/>
          <w:szCs w:val="24"/>
        </w:rPr>
      </w:pPr>
    </w:p>
    <w:p w:rsidRPr="00FA13EB" w:rsidR="00FA13EB" w:rsidP="00FA13EB" w:rsidRDefault="00FA13EB" w14:paraId="52BE01A1" w14:textId="77777777">
      <w:pPr>
        <w:pStyle w:val="ListParagraph"/>
        <w:tabs>
          <w:tab w:val="left" w:pos="-720"/>
        </w:tabs>
        <w:suppressAutoHyphens/>
        <w:rPr>
          <w:rFonts w:ascii="Times New Roman" w:hAnsi="Times New Roman"/>
          <w:szCs w:val="24"/>
        </w:rPr>
      </w:pPr>
      <w:r w:rsidRPr="00FA13EB">
        <w:rPr>
          <w:rFonts w:ascii="Times New Roman" w:hAnsi="Times New Roman"/>
          <w:szCs w:val="24"/>
        </w:rPr>
        <w:t xml:space="preserve">All data are collected online and maintained on a secured server.  The PDPDCS uses automated and electronic technology to reduce the cost and burden of information collection and eliminate the need to maintain paper files.  Grantees, </w:t>
      </w:r>
      <w:proofErr w:type="gramStart"/>
      <w:r w:rsidRPr="00FA13EB">
        <w:rPr>
          <w:rFonts w:ascii="Times New Roman" w:hAnsi="Times New Roman"/>
          <w:szCs w:val="24"/>
        </w:rPr>
        <w:t>participants</w:t>
      </w:r>
      <w:proofErr w:type="gramEnd"/>
      <w:r w:rsidRPr="00FA13EB">
        <w:rPr>
          <w:rFonts w:ascii="Times New Roman" w:hAnsi="Times New Roman"/>
          <w:szCs w:val="24"/>
        </w:rPr>
        <w:t xml:space="preserve"> and employers receive emails and phone calls prompting them to log into the online system and report data.  The data collection </w:t>
      </w:r>
      <w:proofErr w:type="gramStart"/>
      <w:r w:rsidRPr="00FA13EB">
        <w:rPr>
          <w:rFonts w:ascii="Times New Roman" w:hAnsi="Times New Roman"/>
          <w:szCs w:val="24"/>
        </w:rPr>
        <w:t>instruments</w:t>
      </w:r>
      <w:proofErr w:type="gramEnd"/>
      <w:r w:rsidRPr="00FA13EB">
        <w:rPr>
          <w:rFonts w:ascii="Times New Roman" w:hAnsi="Times New Roman"/>
          <w:szCs w:val="24"/>
        </w:rPr>
        <w:t xml:space="preserve"> and frequently asked questions are available online to respondents.</w:t>
      </w: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744D2E78">
      <w:pPr>
        <w:pStyle w:val="ListParagraph"/>
        <w:tabs>
          <w:tab w:val="left" w:pos="-720"/>
        </w:tabs>
        <w:suppressAutoHyphens/>
        <w:contextualSpacing w:val="0"/>
        <w:rPr>
          <w:rFonts w:ascii="Times New Roman" w:hAnsi="Times New Roman"/>
          <w:b/>
          <w:szCs w:val="24"/>
        </w:rPr>
      </w:pPr>
    </w:p>
    <w:p w:rsidRPr="00246FE9" w:rsidR="00874594" w:rsidP="00246FE9" w:rsidRDefault="00874594" w14:paraId="4FFCB77D" w14:textId="59AAC275">
      <w:pPr>
        <w:pStyle w:val="ListParagraph"/>
        <w:tabs>
          <w:tab w:val="left" w:pos="-720"/>
        </w:tabs>
        <w:suppressAutoHyphens/>
        <w:rPr>
          <w:rFonts w:ascii="Times New Roman" w:hAnsi="Times New Roman"/>
          <w:b/>
          <w:szCs w:val="24"/>
        </w:rPr>
      </w:pPr>
      <w:r w:rsidRPr="00874594">
        <w:rPr>
          <w:rFonts w:ascii="Times New Roman" w:hAnsi="Times New Roman"/>
          <w:bCs/>
          <w:szCs w:val="24"/>
        </w:rPr>
        <w:t>There will be no duplication of reporting efforts.  The information requested for this reporting is not collected or reported elsewhere.  Data to determine American Indian/Alaska Native enrollment in LEAs where participants are employed, which is necessary for compliance with the requirement that the work benefits Indian people, is not collected from any respondents and reduces respondent burden.  This Indian enrollment data is gathered from ED’s Common Core of Data by OIE’s contractor.</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241D22E7">
      <w:pPr>
        <w:pStyle w:val="ListParagraph"/>
        <w:contextualSpacing w:val="0"/>
        <w:rPr>
          <w:rFonts w:ascii="Times New Roman" w:hAnsi="Times New Roman"/>
          <w:szCs w:val="24"/>
        </w:rPr>
      </w:pPr>
    </w:p>
    <w:p w:rsidR="002C16FE" w:rsidP="00AD381B" w:rsidRDefault="002C16FE" w14:paraId="0CD0B98F" w14:textId="3E6B5AEC">
      <w:pPr>
        <w:pStyle w:val="ListParagraph"/>
        <w:contextualSpacing w:val="0"/>
        <w:rPr>
          <w:rFonts w:ascii="Times New Roman" w:hAnsi="Times New Roman"/>
          <w:szCs w:val="24"/>
        </w:rPr>
      </w:pPr>
      <w:r w:rsidRPr="00E175F4">
        <w:rPr>
          <w:rFonts w:ascii="Times New Roman" w:hAnsi="Times New Roman"/>
          <w:szCs w:val="24"/>
        </w:rPr>
        <w:t>The forms were designed to solicit only the information necessary to respond to program and GPRA requirements.  Thus, the burden of reporting is minimized to only those elements necessary to meet federal requirements for budget and program activity data.</w:t>
      </w:r>
    </w:p>
    <w:p w:rsidR="00AD381B" w:rsidP="00AD381B" w:rsidRDefault="00AD381B" w14:paraId="58CE2534" w14:textId="77777777">
      <w:pPr>
        <w:pStyle w:val="ListParagraph"/>
        <w:contextualSpacing w:val="0"/>
        <w:rPr>
          <w:rFonts w:ascii="Times New Roman" w:hAnsi="Times New Roman"/>
          <w:szCs w:val="24"/>
        </w:rPr>
      </w:pPr>
    </w:p>
    <w:p w:rsidR="00043C32" w:rsidP="00AD381B" w:rsidRDefault="00043C32" w14:paraId="58CE2535" w14:textId="13CEE62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C16FE" w:rsidP="002C16FE" w:rsidRDefault="002C16FE" w14:paraId="035F9912" w14:textId="3E8C07E0">
      <w:pPr>
        <w:pStyle w:val="ListParagraph"/>
        <w:tabs>
          <w:tab w:val="left" w:pos="-720"/>
        </w:tabs>
        <w:suppressAutoHyphens/>
        <w:contextualSpacing w:val="0"/>
        <w:rPr>
          <w:rFonts w:ascii="Times New Roman" w:hAnsi="Times New Roman"/>
          <w:b/>
          <w:szCs w:val="24"/>
        </w:rPr>
      </w:pPr>
    </w:p>
    <w:p w:rsidRPr="00691B89" w:rsidR="00691B89" w:rsidP="00691B89" w:rsidRDefault="00691B89" w14:paraId="581FE26F" w14:textId="77777777">
      <w:pPr>
        <w:pStyle w:val="ListParagraph"/>
        <w:tabs>
          <w:tab w:val="left" w:pos="-720"/>
        </w:tabs>
        <w:suppressAutoHyphens/>
        <w:rPr>
          <w:rFonts w:ascii="Times New Roman" w:hAnsi="Times New Roman"/>
          <w:bCs/>
          <w:szCs w:val="24"/>
        </w:rPr>
      </w:pPr>
      <w:r w:rsidRPr="00691B89">
        <w:rPr>
          <w:rFonts w:ascii="Times New Roman" w:hAnsi="Times New Roman"/>
          <w:bCs/>
          <w:szCs w:val="24"/>
        </w:rPr>
        <w:t xml:space="preserve">Participant follow-up is necessary for the program office to monitor service payback requirements.  The only way that the program office can monitor completion of service requirements equal in value to that of the months in training is through systematic and ongoing follow up with participants and their employers (i.e., the principal or </w:t>
      </w:r>
      <w:smartTag w:uri="urn:schemas-microsoft-com:office:smarttags" w:element="stockticker">
        <w:r w:rsidRPr="00691B89">
          <w:rPr>
            <w:rFonts w:ascii="Times New Roman" w:hAnsi="Times New Roman"/>
            <w:bCs/>
            <w:szCs w:val="24"/>
          </w:rPr>
          <w:t>LEA</w:t>
        </w:r>
      </w:smartTag>
      <w:r w:rsidRPr="00691B89">
        <w:rPr>
          <w:rFonts w:ascii="Times New Roman" w:hAnsi="Times New Roman"/>
          <w:bCs/>
          <w:szCs w:val="24"/>
        </w:rPr>
        <w:t xml:space="preserve"> representative).  As noted in the Office of the Inspector General (OIG) 2010 Audit (ED-OIG/A19I0002), previous paper-based systems were insufficient in assisting OIE in meeting its program requirements and ensuring all participants are compliant with the statute and regulations.</w:t>
      </w:r>
    </w:p>
    <w:p w:rsidRPr="00AD381B" w:rsidR="002C16FE" w:rsidP="002C16FE" w:rsidRDefault="002C16FE" w14:paraId="1A54B40D"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8CE2547" w14:textId="3297BD40">
      <w:pPr>
        <w:pStyle w:val="ListParagraph"/>
        <w:rPr>
          <w:rFonts w:ascii="Times New Roman" w:hAnsi="Times New Roman"/>
          <w:b/>
          <w:szCs w:val="24"/>
        </w:rPr>
      </w:pPr>
    </w:p>
    <w:p w:rsidRPr="00E175F4" w:rsidR="008E4067" w:rsidP="008E4067" w:rsidRDefault="008E4067" w14:paraId="396542C9" w14:textId="77777777">
      <w:pPr>
        <w:ind w:left="810"/>
        <w:rPr>
          <w:rFonts w:ascii="Times New Roman" w:hAnsi="Times New Roman"/>
          <w:szCs w:val="24"/>
        </w:rPr>
      </w:pPr>
      <w:r>
        <w:rPr>
          <w:rFonts w:ascii="Times New Roman" w:hAnsi="Times New Roman"/>
          <w:szCs w:val="24"/>
        </w:rPr>
        <w:t>Grantees must report a</w:t>
      </w:r>
      <w:r w:rsidRPr="00E175F4">
        <w:rPr>
          <w:rFonts w:ascii="Times New Roman" w:hAnsi="Times New Roman"/>
          <w:szCs w:val="24"/>
        </w:rPr>
        <w:t xml:space="preserve">ll changes in participant status (e.g., recruitment, leave of absence, military deployment, training completion, exiting without completion) </w:t>
      </w:r>
      <w:r>
        <w:rPr>
          <w:rFonts w:ascii="Times New Roman" w:hAnsi="Times New Roman"/>
          <w:szCs w:val="24"/>
        </w:rPr>
        <w:t>by entering the information</w:t>
      </w:r>
      <w:r w:rsidRPr="00E175F4">
        <w:rPr>
          <w:rFonts w:ascii="Times New Roman" w:hAnsi="Times New Roman"/>
          <w:szCs w:val="24"/>
        </w:rPr>
        <w:t xml:space="preserve"> in the </w:t>
      </w:r>
      <w:r>
        <w:rPr>
          <w:rFonts w:ascii="Times New Roman" w:hAnsi="Times New Roman"/>
          <w:szCs w:val="24"/>
        </w:rPr>
        <w:t>PDPDCS</w:t>
      </w:r>
      <w:r w:rsidRPr="00E175F4">
        <w:rPr>
          <w:rFonts w:ascii="Times New Roman" w:hAnsi="Times New Roman"/>
          <w:szCs w:val="24"/>
        </w:rPr>
        <w:t xml:space="preserve"> within 7 business days of the change in status or by the end of the month in which the change occurred</w:t>
      </w:r>
      <w:r>
        <w:rPr>
          <w:rFonts w:ascii="Times New Roman" w:hAnsi="Times New Roman"/>
          <w:szCs w:val="24"/>
        </w:rPr>
        <w:t>, whichever is later</w:t>
      </w:r>
      <w:r w:rsidRPr="00E175F4">
        <w:rPr>
          <w:rFonts w:ascii="Times New Roman" w:hAnsi="Times New Roman"/>
          <w:szCs w:val="24"/>
        </w:rPr>
        <w:t>.</w:t>
      </w:r>
      <w:r>
        <w:rPr>
          <w:rFonts w:ascii="Times New Roman" w:hAnsi="Times New Roman"/>
          <w:szCs w:val="24"/>
        </w:rPr>
        <w:t xml:space="preserve">  Thus, if a grantee were to experience a special circumstance in which participant statuses changed more often than quarterly, the grantee would report more than quarterly. However, most training programs are divided into semesters, making this special circumstance unlikely.</w:t>
      </w:r>
    </w:p>
    <w:p w:rsidR="00691B89" w:rsidP="00AD381B" w:rsidRDefault="00691B89" w14:paraId="0244185F" w14:textId="524197B1">
      <w:pPr>
        <w:pStyle w:val="ListParagraph"/>
        <w:rPr>
          <w:rFonts w:ascii="Times New Roman" w:hAnsi="Times New Roman"/>
          <w:b/>
          <w:szCs w:val="24"/>
        </w:rPr>
      </w:pP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34FB321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E4067" w:rsidP="00AD381B" w:rsidRDefault="008E4067" w14:paraId="23BE224F" w14:textId="5036E4C6">
      <w:pPr>
        <w:tabs>
          <w:tab w:val="left" w:pos="-720"/>
        </w:tabs>
        <w:suppressAutoHyphens/>
        <w:ind w:left="720"/>
        <w:rPr>
          <w:rStyle w:val="a"/>
          <w:rFonts w:ascii="Times New Roman" w:hAnsi="Times New Roman"/>
          <w:b/>
          <w:szCs w:val="24"/>
        </w:rPr>
      </w:pPr>
    </w:p>
    <w:p w:rsidR="00AD381B" w:rsidP="00AD381B" w:rsidRDefault="00EF2D8B" w14:paraId="58CE2551" w14:textId="2656C0A6">
      <w:pPr>
        <w:tabs>
          <w:tab w:val="left" w:pos="-720"/>
        </w:tabs>
        <w:suppressAutoHyphens/>
        <w:ind w:left="720"/>
        <w:rPr>
          <w:rFonts w:ascii="Times New Roman" w:hAnsi="Times New Roman"/>
          <w:b/>
          <w:szCs w:val="24"/>
        </w:rPr>
      </w:pPr>
      <w:r w:rsidRPr="00662194">
        <w:rPr>
          <w:rFonts w:ascii="Times New Roman" w:hAnsi="Times New Roman" w:eastAsia="Arial Unicode MS"/>
        </w:rPr>
        <w:t xml:space="preserve">On </w:t>
      </w:r>
      <w:r w:rsidR="00AD4FD6">
        <w:rPr>
          <w:rFonts w:ascii="Times New Roman" w:hAnsi="Times New Roman" w:eastAsia="Arial Unicode MS"/>
        </w:rPr>
        <w:t>May</w:t>
      </w:r>
      <w:r>
        <w:rPr>
          <w:rFonts w:ascii="Times New Roman" w:hAnsi="Times New Roman" w:eastAsia="Arial Unicode MS"/>
        </w:rPr>
        <w:t xml:space="preserve"> 2</w:t>
      </w:r>
      <w:r w:rsidR="00AD4FD6">
        <w:rPr>
          <w:rFonts w:ascii="Times New Roman" w:hAnsi="Times New Roman" w:eastAsia="Arial Unicode MS"/>
        </w:rPr>
        <w:t>4</w:t>
      </w:r>
      <w:r w:rsidRPr="00662194">
        <w:rPr>
          <w:rFonts w:ascii="Times New Roman" w:hAnsi="Times New Roman" w:eastAsia="Arial Unicode MS"/>
        </w:rPr>
        <w:t>, 202</w:t>
      </w:r>
      <w:r w:rsidR="00AD4FD6">
        <w:rPr>
          <w:rFonts w:ascii="Times New Roman" w:hAnsi="Times New Roman" w:eastAsia="Arial Unicode MS"/>
        </w:rPr>
        <w:t>2</w:t>
      </w:r>
      <w:r w:rsidRPr="00662194">
        <w:rPr>
          <w:rFonts w:ascii="Times New Roman" w:hAnsi="Times New Roman" w:eastAsia="Arial Unicode MS"/>
        </w:rPr>
        <w:t xml:space="preserve">, a Federal Register Notice requesting public comment was published (Vol. </w:t>
      </w:r>
      <w:r w:rsidR="00A40759">
        <w:rPr>
          <w:rFonts w:ascii="Times New Roman" w:hAnsi="Times New Roman" w:eastAsia="Arial Unicode MS"/>
        </w:rPr>
        <w:t>87</w:t>
      </w:r>
      <w:r w:rsidRPr="00662194">
        <w:rPr>
          <w:rFonts w:ascii="Times New Roman" w:hAnsi="Times New Roman" w:eastAsia="Arial Unicode MS"/>
        </w:rPr>
        <w:t xml:space="preserve">, No. </w:t>
      </w:r>
      <w:r w:rsidR="00107FAF">
        <w:rPr>
          <w:rFonts w:ascii="Times New Roman" w:hAnsi="Times New Roman" w:eastAsia="Arial Unicode MS"/>
        </w:rPr>
        <w:t>100</w:t>
      </w:r>
      <w:r w:rsidRPr="00662194">
        <w:rPr>
          <w:rFonts w:ascii="Times New Roman" w:hAnsi="Times New Roman" w:eastAsia="Arial Unicode MS"/>
        </w:rPr>
        <w:t xml:space="preserve">, page </w:t>
      </w:r>
      <w:r w:rsidR="00107FAF">
        <w:rPr>
          <w:rFonts w:ascii="Times New Roman" w:hAnsi="Times New Roman" w:eastAsia="Arial Unicode MS"/>
        </w:rPr>
        <w:t>31543</w:t>
      </w:r>
      <w:r w:rsidRPr="00662194">
        <w:rPr>
          <w:rFonts w:ascii="Times New Roman" w:hAnsi="Times New Roman" w:eastAsia="Arial Unicode MS"/>
        </w:rPr>
        <w:t>). No comments were received during the 60-day comment period. The Department is publishing the applicable 30-day Federal Register notice to request public comment.</w:t>
      </w: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66FD59DE">
      <w:pPr>
        <w:pStyle w:val="ListParagraph"/>
        <w:tabs>
          <w:tab w:val="left" w:pos="-720"/>
        </w:tabs>
        <w:suppressAutoHyphens/>
        <w:contextualSpacing w:val="0"/>
        <w:rPr>
          <w:rFonts w:ascii="Times New Roman" w:hAnsi="Times New Roman"/>
          <w:b/>
          <w:szCs w:val="24"/>
        </w:rPr>
      </w:pPr>
    </w:p>
    <w:p w:rsidRPr="009F48EB" w:rsidR="009F48EB" w:rsidP="009F48EB" w:rsidRDefault="009F48EB" w14:paraId="411F869F" w14:textId="77777777">
      <w:pPr>
        <w:pStyle w:val="ListParagraph"/>
        <w:tabs>
          <w:tab w:val="left" w:pos="-720"/>
        </w:tabs>
        <w:suppressAutoHyphens/>
        <w:rPr>
          <w:rFonts w:ascii="Times New Roman" w:hAnsi="Times New Roman"/>
          <w:bCs/>
          <w:szCs w:val="24"/>
        </w:rPr>
      </w:pPr>
      <w:r w:rsidRPr="009F48EB">
        <w:rPr>
          <w:rFonts w:ascii="Times New Roman" w:hAnsi="Times New Roman"/>
          <w:bCs/>
          <w:szCs w:val="24"/>
        </w:rPr>
        <w:t>There are no payments or gifts to grantees in support of the data collection.</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F48EB" w:rsidRDefault="00920F63" w14:paraId="58CE2557" w14:textId="46048517">
      <w:pPr>
        <w:tabs>
          <w:tab w:val="left" w:pos="-720"/>
        </w:tabs>
        <w:suppressAutoHyphens/>
        <w:ind w:firstLine="720"/>
        <w:rPr>
          <w:rFonts w:ascii="Times New Roman" w:hAnsi="Times New Roman"/>
          <w:b/>
          <w:szCs w:val="24"/>
        </w:rPr>
      </w:pPr>
    </w:p>
    <w:p w:rsidRPr="007D4763" w:rsidR="007D4763" w:rsidP="007D4763" w:rsidRDefault="007D4763" w14:paraId="00B99361" w14:textId="77777777">
      <w:pPr>
        <w:spacing w:after="200" w:line="276" w:lineRule="auto"/>
        <w:ind w:left="810"/>
        <w:rPr>
          <w:rFonts w:ascii="Times New Roman" w:hAnsi="Times New Roman" w:eastAsia="Calibri"/>
          <w:szCs w:val="24"/>
        </w:rPr>
      </w:pPr>
      <w:r w:rsidRPr="007D4763">
        <w:rPr>
          <w:rFonts w:ascii="Times New Roman" w:hAnsi="Times New Roman" w:eastAsia="Calibri"/>
          <w:szCs w:val="24"/>
        </w:rPr>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7D4763">
          <w:rPr>
            <w:rFonts w:ascii="Times New Roman" w:eastAsia="Calibri" w:hAnsi="Times New Roman"/>
            <w:szCs w:val="24"/>
          </w:rPr>
          <w:t>USC</w:t>
        </w:r>
      </w:smartTag>
      <w:r w:rsidRPr="007D4763">
        <w:rPr>
          <w:rFonts w:ascii="Times New Roman" w:hAnsi="Times New Roman" w:eastAsia="Calibri"/>
          <w:szCs w:val="24"/>
        </w:rPr>
        <w:t xml:space="preserve"> 552 a; the “Buckley Amendment,” Family Educational and Privacy Act of 1974, 20 </w:t>
      </w:r>
      <w:smartTag w:uri="urn:schemas-microsoft-com:office:smarttags" w:element="stockticker">
        <w:r w:rsidRPr="007D4763">
          <w:rPr>
            <w:rFonts w:ascii="Times New Roman" w:eastAsia="Calibri" w:hAnsi="Times New Roman"/>
            <w:szCs w:val="24"/>
          </w:rPr>
          <w:t>USC</w:t>
        </w:r>
      </w:smartTag>
      <w:r w:rsidRPr="007D4763">
        <w:rPr>
          <w:rFonts w:ascii="Times New Roman" w:hAnsi="Times New Roman" w:eastAsia="Calibri"/>
          <w:szCs w:val="24"/>
        </w:rPr>
        <w:t xml:space="preserve"> 1232 g; and related regulations, including but not limited to: 41 </w:t>
      </w:r>
      <w:smartTag w:uri="urn:schemas-microsoft-com:office:smarttags" w:element="stockticker">
        <w:r w:rsidRPr="007D4763">
          <w:rPr>
            <w:rFonts w:ascii="Times New Roman" w:eastAsia="Calibri" w:hAnsi="Times New Roman"/>
            <w:szCs w:val="24"/>
          </w:rPr>
          <w:t>CFR</w:t>
        </w:r>
      </w:smartTag>
      <w:r w:rsidRPr="007D4763">
        <w:rPr>
          <w:rFonts w:ascii="Times New Roman" w:hAnsi="Times New Roman" w:eastAsia="Calibri"/>
          <w:szCs w:val="24"/>
        </w:rPr>
        <w:t xml:space="preserve"> Part 1-1 and 45 </w:t>
      </w:r>
      <w:smartTag w:uri="urn:schemas-microsoft-com:office:smarttags" w:element="stockticker">
        <w:r w:rsidRPr="007D4763">
          <w:rPr>
            <w:rFonts w:ascii="Times New Roman" w:eastAsia="Calibri" w:hAnsi="Times New Roman"/>
            <w:szCs w:val="24"/>
          </w:rPr>
          <w:t>CFR</w:t>
        </w:r>
      </w:smartTag>
      <w:r w:rsidRPr="007D4763">
        <w:rPr>
          <w:rFonts w:ascii="Times New Roman" w:hAnsi="Times New Roman" w:eastAsia="Calibri"/>
          <w:szCs w:val="24"/>
        </w:rPr>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w:t>
      </w:r>
    </w:p>
    <w:p w:rsidRPr="007D4763" w:rsidR="007D4763" w:rsidP="007D4763" w:rsidRDefault="007D4763" w14:paraId="6A57AA9C" w14:textId="77777777">
      <w:pPr>
        <w:spacing w:after="200" w:line="276" w:lineRule="auto"/>
        <w:ind w:left="810"/>
        <w:rPr>
          <w:rFonts w:ascii="Times New Roman" w:hAnsi="Times New Roman" w:eastAsia="Calibri"/>
          <w:szCs w:val="24"/>
        </w:rPr>
      </w:pPr>
      <w:r w:rsidRPr="007D4763">
        <w:rPr>
          <w:rFonts w:ascii="Times New Roman" w:hAnsi="Times New Roman" w:eastAsia="Calibri"/>
          <w:szCs w:val="24"/>
        </w:rPr>
        <w:t>Project staff and contractors will adhere to the regulations and laws regarding the confidentiality of personally identifiable information (PII).  In addition, the PDPDCS was reviewed by ED’s Office of the Chief Information Officer for compliance with the Federal Information Security Management Act, Office of Management and Budget Circulars, and the National Institute of Standards and Technology standards and guidance.  The system was granted an Ongoing Authority to Operate on February 8, 2022.</w:t>
      </w:r>
    </w:p>
    <w:p w:rsidRPr="007D4763" w:rsidR="007D4763" w:rsidP="007D4763" w:rsidRDefault="007D4763" w14:paraId="40390040" w14:textId="77777777">
      <w:pPr>
        <w:spacing w:after="200" w:line="276" w:lineRule="auto"/>
        <w:ind w:left="810"/>
        <w:rPr>
          <w:rFonts w:ascii="Times New Roman" w:hAnsi="Times New Roman" w:eastAsia="Calibri"/>
          <w:szCs w:val="24"/>
        </w:rPr>
      </w:pPr>
      <w:r w:rsidRPr="007D4763">
        <w:rPr>
          <w:rFonts w:ascii="Times New Roman" w:hAnsi="Times New Roman" w:eastAsia="Calibri"/>
          <w:szCs w:val="24"/>
        </w:rPr>
        <w:t xml:space="preserve">Grantees and participants are provided the Privacy Act Notice which explains the need to collect the participant’s social security number (SSN) and other PII to ensure that recipients of scholarships provided with funds section 7122 of the Elementary and Secondary Education Act of 1965, as amended, meet specific statutory and regulatory requirements, including service obligation fulfillment or repayment of financial obligation. We request the participant’s information pertinent to the IEPD grant received whether provided by the participant, grantee, or other entity, including Social Security Number and other PII, under this authority </w:t>
      </w:r>
      <w:proofErr w:type="gramStart"/>
      <w:r w:rsidRPr="007D4763">
        <w:rPr>
          <w:rFonts w:ascii="Times New Roman" w:hAnsi="Times New Roman" w:eastAsia="Calibri"/>
          <w:szCs w:val="24"/>
        </w:rPr>
        <w:t>in order to</w:t>
      </w:r>
      <w:proofErr w:type="gramEnd"/>
      <w:r w:rsidRPr="007D4763">
        <w:rPr>
          <w:rFonts w:ascii="Times New Roman" w:hAnsi="Times New Roman" w:eastAsia="Calibri"/>
          <w:szCs w:val="24"/>
        </w:rPr>
        <w:t xml:space="preserve"> accurately track the participant’s records and to differentiate the participant’s financial obligation from other participants who may have the same name. The participant’s participation in the IEPD is voluntary, but they must provide the requested information, including the participant’s PII, </w:t>
      </w:r>
      <w:proofErr w:type="gramStart"/>
      <w:r w:rsidRPr="007D4763">
        <w:rPr>
          <w:rFonts w:ascii="Times New Roman" w:hAnsi="Times New Roman" w:eastAsia="Calibri"/>
          <w:szCs w:val="24"/>
        </w:rPr>
        <w:t>in order for</w:t>
      </w:r>
      <w:proofErr w:type="gramEnd"/>
      <w:r w:rsidRPr="007D4763">
        <w:rPr>
          <w:rFonts w:ascii="Times New Roman" w:hAnsi="Times New Roman" w:eastAsia="Calibri"/>
          <w:szCs w:val="24"/>
        </w:rPr>
        <w:t xml:space="preserve"> the participant to participate in the IEPD.</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0BF1AA04">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52B1" w:rsidP="00C852B1" w:rsidRDefault="00C852B1" w14:paraId="51141CDD" w14:textId="77777777">
      <w:pPr>
        <w:pStyle w:val="ListParagraph"/>
        <w:tabs>
          <w:tab w:val="left" w:pos="-720"/>
        </w:tabs>
        <w:suppressAutoHyphens/>
        <w:contextualSpacing w:val="0"/>
        <w:rPr>
          <w:rFonts w:ascii="Times New Roman" w:hAnsi="Times New Roman"/>
          <w:b/>
          <w:szCs w:val="24"/>
        </w:rPr>
      </w:pPr>
    </w:p>
    <w:p w:rsidR="006F43A1" w:rsidP="006F43A1" w:rsidRDefault="006F43A1" w14:paraId="3B7D7F1D" w14:textId="58825A2C">
      <w:pPr>
        <w:pStyle w:val="ListParagraph"/>
        <w:tabs>
          <w:tab w:val="left" w:pos="-720"/>
        </w:tabs>
        <w:suppressAutoHyphens/>
        <w:contextualSpacing w:val="0"/>
        <w:rPr>
          <w:rFonts w:ascii="Times New Roman" w:hAnsi="Times New Roman"/>
          <w:b/>
          <w:szCs w:val="24"/>
        </w:rPr>
      </w:pPr>
      <w:r>
        <w:rPr>
          <w:rFonts w:ascii="Times New Roman" w:hAnsi="Times New Roman"/>
          <w:szCs w:val="24"/>
        </w:rPr>
        <w:t xml:space="preserve">This information collection does not contain any questions of a sensitive nature such as those described above.  </w:t>
      </w:r>
      <w:r w:rsidRPr="00E175F4">
        <w:rPr>
          <w:rFonts w:ascii="Times New Roman" w:hAnsi="Times New Roman"/>
          <w:szCs w:val="24"/>
        </w:rPr>
        <w:t xml:space="preserve">Questions regarding SSN, employment </w:t>
      </w:r>
      <w:r>
        <w:rPr>
          <w:rFonts w:ascii="Times New Roman" w:hAnsi="Times New Roman"/>
          <w:szCs w:val="24"/>
        </w:rPr>
        <w:t>information</w:t>
      </w:r>
      <w:r w:rsidRPr="00E175F4">
        <w:rPr>
          <w:rFonts w:ascii="Times New Roman" w:hAnsi="Times New Roman"/>
          <w:szCs w:val="24"/>
        </w:rPr>
        <w:t xml:space="preserve">, and </w:t>
      </w:r>
      <w:r>
        <w:rPr>
          <w:rFonts w:ascii="Times New Roman" w:hAnsi="Times New Roman"/>
          <w:szCs w:val="24"/>
        </w:rPr>
        <w:t>contact information</w:t>
      </w:r>
      <w:r w:rsidRPr="00E175F4">
        <w:rPr>
          <w:rFonts w:ascii="Times New Roman" w:hAnsi="Times New Roman"/>
          <w:szCs w:val="24"/>
        </w:rPr>
        <w:t xml:space="preserve"> </w:t>
      </w:r>
      <w:r>
        <w:rPr>
          <w:rFonts w:ascii="Times New Roman" w:hAnsi="Times New Roman"/>
          <w:szCs w:val="24"/>
        </w:rPr>
        <w:t>are</w:t>
      </w:r>
      <w:r w:rsidRPr="00E175F4">
        <w:rPr>
          <w:rFonts w:ascii="Times New Roman" w:hAnsi="Times New Roman"/>
          <w:szCs w:val="24"/>
        </w:rPr>
        <w:t xml:space="preserve"> considered </w:t>
      </w:r>
      <w:r>
        <w:rPr>
          <w:rFonts w:ascii="Times New Roman" w:hAnsi="Times New Roman"/>
          <w:szCs w:val="24"/>
        </w:rPr>
        <w:t>PII</w:t>
      </w:r>
      <w:r w:rsidRPr="00E175F4">
        <w:rPr>
          <w:rFonts w:ascii="Times New Roman" w:hAnsi="Times New Roman"/>
          <w:szCs w:val="24"/>
        </w:rPr>
        <w:t xml:space="preserve">.  However, </w:t>
      </w:r>
      <w:r>
        <w:rPr>
          <w:rFonts w:ascii="Times New Roman" w:hAnsi="Times New Roman"/>
          <w:szCs w:val="24"/>
        </w:rPr>
        <w:t xml:space="preserve">this information is </w:t>
      </w:r>
      <w:r w:rsidRPr="00E175F4">
        <w:rPr>
          <w:rFonts w:ascii="Times New Roman" w:hAnsi="Times New Roman"/>
          <w:szCs w:val="24"/>
        </w:rPr>
        <w:t xml:space="preserve">needed to track individuals who fail to keep in contact with the </w:t>
      </w:r>
      <w:r>
        <w:rPr>
          <w:rFonts w:ascii="Times New Roman" w:hAnsi="Times New Roman"/>
          <w:szCs w:val="24"/>
        </w:rPr>
        <w:t>IEPD</w:t>
      </w:r>
      <w:r w:rsidRPr="00E175F4">
        <w:rPr>
          <w:rFonts w:ascii="Times New Roman" w:hAnsi="Times New Roman"/>
          <w:szCs w:val="24"/>
        </w:rPr>
        <w:t xml:space="preserve"> program office and are turned over to </w:t>
      </w:r>
      <w:r>
        <w:rPr>
          <w:rFonts w:ascii="Times New Roman" w:hAnsi="Times New Roman"/>
          <w:szCs w:val="24"/>
        </w:rPr>
        <w:t>ARBMD</w:t>
      </w:r>
      <w:r w:rsidRPr="00E175F4">
        <w:rPr>
          <w:rFonts w:ascii="Times New Roman" w:hAnsi="Times New Roman"/>
          <w:szCs w:val="24"/>
        </w:rPr>
        <w:t xml:space="preserve">.  The </w:t>
      </w:r>
      <w:r>
        <w:rPr>
          <w:rFonts w:ascii="Times New Roman" w:hAnsi="Times New Roman"/>
          <w:szCs w:val="24"/>
        </w:rPr>
        <w:t>ARBMD</w:t>
      </w:r>
      <w:r w:rsidRPr="00E175F4">
        <w:rPr>
          <w:rFonts w:ascii="Times New Roman" w:hAnsi="Times New Roman"/>
          <w:szCs w:val="24"/>
        </w:rPr>
        <w:t xml:space="preserve"> needs </w:t>
      </w:r>
      <w:smartTag w:uri="urn:schemas-microsoft-com:office:smarttags" w:element="stockticker">
        <w:r w:rsidRPr="00E175F4">
          <w:rPr>
            <w:rFonts w:ascii="Times New Roman" w:hAnsi="Times New Roman"/>
            <w:szCs w:val="24"/>
          </w:rPr>
          <w:t>SSN</w:t>
        </w:r>
        <w:r>
          <w:rPr>
            <w:rFonts w:ascii="Times New Roman" w:hAnsi="Times New Roman"/>
            <w:szCs w:val="24"/>
          </w:rPr>
          <w:t>s</w:t>
        </w:r>
      </w:smartTag>
      <w:r w:rsidRPr="00E175F4">
        <w:rPr>
          <w:rFonts w:ascii="Times New Roman" w:hAnsi="Times New Roman"/>
          <w:szCs w:val="24"/>
        </w:rPr>
        <w:t xml:space="preserve"> to try to locate participants in other databases including Internal Revenue Service databases.</w:t>
      </w:r>
    </w:p>
    <w:p w:rsidR="00920F63" w:rsidP="00920F63" w:rsidRDefault="00920F63" w14:paraId="58CE255A" w14:textId="77777777">
      <w:pPr>
        <w:tabs>
          <w:tab w:val="left" w:pos="-720"/>
        </w:tabs>
        <w:suppressAutoHyphens/>
        <w:rPr>
          <w:rFonts w:ascii="Times New Roman" w:hAnsi="Times New Roman"/>
          <w:b/>
          <w:szCs w:val="24"/>
        </w:rPr>
      </w:pP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468BECB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633E1" w:rsidP="00946126" w:rsidRDefault="004633E1" w14:paraId="01048F9C" w14:textId="2705FB76">
      <w:pPr>
        <w:pStyle w:val="ListParagraph"/>
        <w:tabs>
          <w:tab w:val="left" w:pos="-720"/>
        </w:tabs>
        <w:suppressAutoHyphens/>
        <w:contextualSpacing w:val="0"/>
        <w:rPr>
          <w:rFonts w:ascii="Times New Roman" w:hAnsi="Times New Roman"/>
          <w:b/>
          <w:sz w:val="26"/>
          <w:szCs w:val="26"/>
        </w:rPr>
      </w:pPr>
    </w:p>
    <w:p w:rsidRPr="00E175F4" w:rsidR="004633E1" w:rsidP="004633E1" w:rsidRDefault="00C852B1" w14:paraId="4D48BC44" w14:textId="3654EB68">
      <w:pPr>
        <w:ind w:left="720"/>
        <w:rPr>
          <w:rFonts w:ascii="Times New Roman" w:hAnsi="Times New Roman"/>
          <w:szCs w:val="24"/>
        </w:rPr>
      </w:pPr>
      <w:r>
        <w:rPr>
          <w:rFonts w:ascii="Times New Roman" w:hAnsi="Times New Roman"/>
          <w:szCs w:val="24"/>
        </w:rPr>
        <w:tab/>
      </w:r>
      <w:r w:rsidR="004633E1">
        <w:rPr>
          <w:rFonts w:ascii="Times New Roman" w:hAnsi="Times New Roman"/>
          <w:szCs w:val="24"/>
        </w:rPr>
        <w:t>The table below</w:t>
      </w:r>
      <w:r w:rsidRPr="00E175F4" w:rsidR="004633E1">
        <w:rPr>
          <w:rFonts w:ascii="Times New Roman" w:hAnsi="Times New Roman"/>
          <w:szCs w:val="24"/>
        </w:rPr>
        <w:t xml:space="preserve"> presents the maximum annual burden estimates for grantees, participants, and employers.  The program office estimates that 46 active grantees, </w:t>
      </w:r>
      <w:r w:rsidR="004633E1">
        <w:rPr>
          <w:rFonts w:ascii="Times New Roman" w:hAnsi="Times New Roman"/>
          <w:szCs w:val="24"/>
        </w:rPr>
        <w:t>920</w:t>
      </w:r>
      <w:r w:rsidRPr="00E175F4" w:rsidR="004633E1">
        <w:rPr>
          <w:rFonts w:ascii="Times New Roman" w:hAnsi="Times New Roman"/>
          <w:szCs w:val="24"/>
        </w:rPr>
        <w:t xml:space="preserve"> participants, and </w:t>
      </w:r>
      <w:r w:rsidR="004633E1">
        <w:rPr>
          <w:rFonts w:ascii="Times New Roman" w:hAnsi="Times New Roman"/>
          <w:szCs w:val="24"/>
        </w:rPr>
        <w:t>920</w:t>
      </w:r>
      <w:r w:rsidRPr="00E175F4" w:rsidR="004633E1">
        <w:rPr>
          <w:rFonts w:ascii="Times New Roman" w:hAnsi="Times New Roman"/>
          <w:szCs w:val="24"/>
        </w:rPr>
        <w:t xml:space="preserve"> employers will respond to this collection.  Given that participants and employers are only required to respond once a participant has completed or exited a grant training program, it is possible that not all participants/employers in the counts above will respond in any given year; however, for the purposes of estimating burden, we present the maximum burden estimate by assuming that all of the estimated </w:t>
      </w:r>
      <w:r w:rsidR="004633E1">
        <w:rPr>
          <w:rFonts w:ascii="Times New Roman" w:hAnsi="Times New Roman"/>
          <w:szCs w:val="24"/>
        </w:rPr>
        <w:t>920</w:t>
      </w:r>
      <w:r w:rsidRPr="00E175F4" w:rsidR="004633E1">
        <w:rPr>
          <w:rFonts w:ascii="Times New Roman" w:hAnsi="Times New Roman"/>
          <w:szCs w:val="24"/>
        </w:rPr>
        <w:t xml:space="preserve"> participants will enter employment data twice per year, and all participants will be employed.  The actual number of grantees, participants and employers may vary due to the availability of federal appropriations, number of grant awards made, and the number of participants recruited by each project.  This is our best estimate taking these variables into consideration.</w:t>
      </w:r>
    </w:p>
    <w:p w:rsidR="004633E1" w:rsidP="004633E1" w:rsidRDefault="00C852B1" w14:paraId="7A6B6BDB" w14:textId="0BA43A15">
      <w:pPr>
        <w:ind w:left="720"/>
        <w:rPr>
          <w:rFonts w:ascii="Times New Roman" w:hAnsi="Times New Roman"/>
          <w:bCs/>
          <w:szCs w:val="24"/>
        </w:rPr>
      </w:pPr>
      <w:r>
        <w:rPr>
          <w:rFonts w:ascii="Times New Roman" w:hAnsi="Times New Roman"/>
          <w:bCs/>
          <w:szCs w:val="24"/>
        </w:rPr>
        <w:tab/>
      </w:r>
      <w:r w:rsidRPr="00E175F4" w:rsidR="004633E1">
        <w:rPr>
          <w:rFonts w:ascii="Times New Roman" w:hAnsi="Times New Roman"/>
          <w:bCs/>
          <w:szCs w:val="24"/>
        </w:rPr>
        <w:t xml:space="preserve">The burden for grantees of completing the Grantee Reporting </w:t>
      </w:r>
      <w:r w:rsidR="004633E1">
        <w:rPr>
          <w:rFonts w:ascii="Times New Roman" w:hAnsi="Times New Roman"/>
          <w:bCs/>
          <w:szCs w:val="24"/>
        </w:rPr>
        <w:t>F</w:t>
      </w:r>
      <w:r w:rsidRPr="00E175F4" w:rsidR="004633E1">
        <w:rPr>
          <w:rFonts w:ascii="Times New Roman" w:hAnsi="Times New Roman"/>
          <w:bCs/>
          <w:szCs w:val="24"/>
        </w:rPr>
        <w:t xml:space="preserve">orm is estimated at </w:t>
      </w:r>
      <w:r w:rsidR="004633E1">
        <w:rPr>
          <w:rFonts w:ascii="Times New Roman" w:hAnsi="Times New Roman"/>
          <w:bCs/>
          <w:szCs w:val="24"/>
        </w:rPr>
        <w:t xml:space="preserve">2 </w:t>
      </w:r>
      <w:r w:rsidRPr="00E175F4" w:rsidR="004633E1">
        <w:rPr>
          <w:rFonts w:ascii="Times New Roman" w:hAnsi="Times New Roman"/>
          <w:bCs/>
          <w:szCs w:val="24"/>
        </w:rPr>
        <w:t>hour</w:t>
      </w:r>
      <w:r w:rsidR="004633E1">
        <w:rPr>
          <w:rFonts w:ascii="Times New Roman" w:hAnsi="Times New Roman"/>
          <w:bCs/>
          <w:szCs w:val="24"/>
        </w:rPr>
        <w:t>s</w:t>
      </w:r>
      <w:r w:rsidRPr="00E175F4" w:rsidR="004633E1">
        <w:rPr>
          <w:rFonts w:ascii="Times New Roman" w:hAnsi="Times New Roman"/>
          <w:bCs/>
          <w:szCs w:val="24"/>
        </w:rPr>
        <w:t xml:space="preserve"> per participant per year</w:t>
      </w:r>
      <w:r w:rsidR="004633E1">
        <w:rPr>
          <w:rFonts w:ascii="Times New Roman" w:hAnsi="Times New Roman"/>
          <w:bCs/>
          <w:szCs w:val="24"/>
        </w:rPr>
        <w:t>; on average, each grantee has 20 participants</w:t>
      </w:r>
      <w:r w:rsidRPr="00E175F4" w:rsidR="004633E1">
        <w:rPr>
          <w:rFonts w:ascii="Times New Roman" w:hAnsi="Times New Roman"/>
          <w:bCs/>
          <w:szCs w:val="24"/>
        </w:rPr>
        <w:t>. We expect most of the time to be used updating the cumulative total number of months of training the participants received and the cumulative total allowable training cost for participants.  However, it should be noted the actual burden to the grantee will be much less because these costs are usually funded by the federal grant award as administrative wages.</w:t>
      </w:r>
    </w:p>
    <w:p w:rsidRPr="00CA2636" w:rsidR="004633E1" w:rsidP="004633E1" w:rsidRDefault="00C852B1" w14:paraId="0615AF57" w14:textId="72D7BBF6">
      <w:pPr>
        <w:ind w:left="720"/>
        <w:rPr>
          <w:rFonts w:ascii="Times New Roman" w:hAnsi="Times New Roman"/>
          <w:bCs/>
          <w:szCs w:val="24"/>
        </w:rPr>
      </w:pPr>
      <w:r>
        <w:rPr>
          <w:rFonts w:ascii="Times New Roman" w:hAnsi="Times New Roman"/>
          <w:bCs/>
          <w:szCs w:val="24"/>
        </w:rPr>
        <w:tab/>
      </w:r>
      <w:r w:rsidRPr="00CA2636" w:rsidR="004633E1">
        <w:rPr>
          <w:rFonts w:ascii="Times New Roman" w:hAnsi="Times New Roman"/>
          <w:bCs/>
          <w:szCs w:val="24"/>
        </w:rPr>
        <w:t xml:space="preserve">The </w:t>
      </w:r>
      <w:r w:rsidR="004633E1">
        <w:rPr>
          <w:rFonts w:ascii="Times New Roman" w:hAnsi="Times New Roman"/>
          <w:bCs/>
          <w:szCs w:val="24"/>
        </w:rPr>
        <w:t>Service Payback</w:t>
      </w:r>
      <w:r w:rsidRPr="00CA2636" w:rsidR="004633E1">
        <w:rPr>
          <w:rFonts w:ascii="Times New Roman" w:hAnsi="Times New Roman"/>
          <w:bCs/>
          <w:szCs w:val="24"/>
        </w:rPr>
        <w:t xml:space="preserve"> Agreement is completed only once per </w:t>
      </w:r>
      <w:r w:rsidR="004633E1">
        <w:rPr>
          <w:rFonts w:ascii="Times New Roman" w:hAnsi="Times New Roman"/>
          <w:bCs/>
          <w:szCs w:val="24"/>
        </w:rPr>
        <w:t>participant</w:t>
      </w:r>
      <w:r w:rsidRPr="00CA2636" w:rsidR="004633E1">
        <w:rPr>
          <w:rFonts w:ascii="Times New Roman" w:hAnsi="Times New Roman"/>
          <w:bCs/>
          <w:szCs w:val="24"/>
        </w:rPr>
        <w:t xml:space="preserve"> per grant. These agreements are completed and signed at the time the </w:t>
      </w:r>
      <w:r w:rsidR="004633E1">
        <w:rPr>
          <w:rFonts w:ascii="Times New Roman" w:hAnsi="Times New Roman"/>
          <w:bCs/>
          <w:szCs w:val="24"/>
        </w:rPr>
        <w:t>participant</w:t>
      </w:r>
      <w:r w:rsidRPr="00CA2636" w:rsidR="004633E1">
        <w:rPr>
          <w:rFonts w:ascii="Times New Roman" w:hAnsi="Times New Roman"/>
          <w:bCs/>
          <w:szCs w:val="24"/>
        </w:rPr>
        <w:t xml:space="preserve"> enrolls in the grant-supported training. Grant project directors usually present information about their programs and explain the agreement during their program orientations</w:t>
      </w:r>
      <w:r w:rsidR="004633E1">
        <w:rPr>
          <w:rFonts w:ascii="Times New Roman" w:hAnsi="Times New Roman"/>
          <w:bCs/>
          <w:szCs w:val="24"/>
        </w:rPr>
        <w:t xml:space="preserve">. Therefore, project directors </w:t>
      </w:r>
      <w:r w:rsidRPr="00CA2636" w:rsidR="004633E1">
        <w:rPr>
          <w:rFonts w:ascii="Times New Roman" w:hAnsi="Times New Roman"/>
          <w:bCs/>
          <w:szCs w:val="24"/>
        </w:rPr>
        <w:t>conduct these sessions in groups rather than individually</w:t>
      </w:r>
      <w:r w:rsidR="004633E1">
        <w:rPr>
          <w:rFonts w:ascii="Times New Roman" w:hAnsi="Times New Roman"/>
          <w:bCs/>
          <w:szCs w:val="24"/>
        </w:rPr>
        <w:t xml:space="preserve"> and ensure participants are well i</w:t>
      </w:r>
      <w:r w:rsidRPr="00CA2636" w:rsidR="004633E1">
        <w:rPr>
          <w:rFonts w:ascii="Times New Roman" w:hAnsi="Times New Roman"/>
          <w:bCs/>
          <w:szCs w:val="24"/>
        </w:rPr>
        <w:t xml:space="preserve">nformed about the nature of the agreement. </w:t>
      </w:r>
      <w:r w:rsidR="004633E1">
        <w:rPr>
          <w:rFonts w:ascii="Times New Roman" w:hAnsi="Times New Roman"/>
          <w:bCs/>
          <w:szCs w:val="24"/>
        </w:rPr>
        <w:t xml:space="preserve">We estimate that the review of the agreement and signatures should take 30 minutes. The PDPDCS is implementing an online version of the agreement that will prevent data entry errors and allow information from the Service Payback Agreement to be imported into the Grantee Reporting Form, reducing effort for the latter form. </w:t>
      </w:r>
    </w:p>
    <w:p w:rsidRPr="00E175F4" w:rsidR="004633E1" w:rsidP="004633E1" w:rsidRDefault="00C852B1" w14:paraId="08F45CF9" w14:textId="5952BBA2">
      <w:pPr>
        <w:ind w:left="720"/>
        <w:rPr>
          <w:rFonts w:ascii="Times New Roman" w:hAnsi="Times New Roman"/>
          <w:bCs/>
          <w:szCs w:val="24"/>
        </w:rPr>
      </w:pPr>
      <w:r>
        <w:rPr>
          <w:rFonts w:ascii="Times New Roman" w:hAnsi="Times New Roman"/>
          <w:bCs/>
          <w:szCs w:val="24"/>
        </w:rPr>
        <w:tab/>
      </w:r>
      <w:r w:rsidRPr="00CA2636" w:rsidR="004633E1">
        <w:rPr>
          <w:rFonts w:ascii="Times New Roman" w:hAnsi="Times New Roman"/>
          <w:bCs/>
          <w:szCs w:val="24"/>
        </w:rPr>
        <w:t xml:space="preserve">Because the agreement is only completed prior to the start of training, grantees primarily conduct this activity in the first and second years of their grant. We estimate that </w:t>
      </w:r>
      <w:r w:rsidR="004633E1">
        <w:rPr>
          <w:rFonts w:ascii="Times New Roman" w:hAnsi="Times New Roman"/>
          <w:bCs/>
          <w:szCs w:val="24"/>
        </w:rPr>
        <w:t>40</w:t>
      </w:r>
      <w:r w:rsidRPr="00CA2636" w:rsidR="004633E1">
        <w:rPr>
          <w:rFonts w:ascii="Times New Roman" w:hAnsi="Times New Roman"/>
          <w:bCs/>
          <w:szCs w:val="24"/>
        </w:rPr>
        <w:t xml:space="preserve"> grants need to conduct this activity annually with an average of </w:t>
      </w:r>
      <w:r w:rsidR="004633E1">
        <w:rPr>
          <w:rFonts w:ascii="Times New Roman" w:hAnsi="Times New Roman"/>
          <w:bCs/>
          <w:szCs w:val="24"/>
        </w:rPr>
        <w:t>10</w:t>
      </w:r>
      <w:r w:rsidRPr="00CA2636" w:rsidR="004633E1">
        <w:rPr>
          <w:rFonts w:ascii="Times New Roman" w:hAnsi="Times New Roman"/>
          <w:bCs/>
          <w:szCs w:val="24"/>
        </w:rPr>
        <w:t xml:space="preserve"> </w:t>
      </w:r>
      <w:r w:rsidR="004633E1">
        <w:rPr>
          <w:rFonts w:ascii="Times New Roman" w:hAnsi="Times New Roman"/>
          <w:bCs/>
          <w:szCs w:val="24"/>
        </w:rPr>
        <w:t>participants</w:t>
      </w:r>
      <w:r w:rsidRPr="00CA2636" w:rsidR="004633E1">
        <w:rPr>
          <w:rFonts w:ascii="Times New Roman" w:hAnsi="Times New Roman"/>
          <w:bCs/>
          <w:szCs w:val="24"/>
        </w:rPr>
        <w:t xml:space="preserve"> per grant. Our estimate is based on roughly </w:t>
      </w:r>
      <w:r w:rsidR="004633E1">
        <w:rPr>
          <w:rFonts w:ascii="Times New Roman" w:hAnsi="Times New Roman"/>
          <w:bCs/>
          <w:szCs w:val="24"/>
        </w:rPr>
        <w:t>20</w:t>
      </w:r>
      <w:r w:rsidRPr="00CA2636" w:rsidR="004633E1">
        <w:rPr>
          <w:rFonts w:ascii="Times New Roman" w:hAnsi="Times New Roman"/>
          <w:bCs/>
          <w:szCs w:val="24"/>
        </w:rPr>
        <w:t xml:space="preserve"> grant awards being made in each fiscal year and an average of </w:t>
      </w:r>
      <w:r w:rsidR="004633E1">
        <w:rPr>
          <w:rFonts w:ascii="Times New Roman" w:hAnsi="Times New Roman"/>
          <w:bCs/>
          <w:szCs w:val="24"/>
        </w:rPr>
        <w:t>20</w:t>
      </w:r>
      <w:r w:rsidRPr="00CA2636" w:rsidR="004633E1">
        <w:rPr>
          <w:rFonts w:ascii="Times New Roman" w:hAnsi="Times New Roman"/>
          <w:bCs/>
          <w:szCs w:val="24"/>
        </w:rPr>
        <w:t xml:space="preserve"> total </w:t>
      </w:r>
      <w:r w:rsidR="004633E1">
        <w:rPr>
          <w:rFonts w:ascii="Times New Roman" w:hAnsi="Times New Roman"/>
          <w:bCs/>
          <w:szCs w:val="24"/>
        </w:rPr>
        <w:t>participants</w:t>
      </w:r>
      <w:r w:rsidRPr="00CA2636" w:rsidR="004633E1">
        <w:rPr>
          <w:rFonts w:ascii="Times New Roman" w:hAnsi="Times New Roman"/>
          <w:bCs/>
          <w:szCs w:val="24"/>
        </w:rPr>
        <w:t xml:space="preserve"> enrolled in each grant over the course of the first two years of the grant.</w:t>
      </w:r>
    </w:p>
    <w:p w:rsidRPr="00CA2636" w:rsidR="004633E1" w:rsidP="004633E1" w:rsidRDefault="00C852B1" w14:paraId="219F710F" w14:textId="55F52C03">
      <w:pPr>
        <w:ind w:left="720"/>
        <w:rPr>
          <w:rFonts w:ascii="Times New Roman" w:hAnsi="Times New Roman"/>
          <w:bCs/>
          <w:szCs w:val="24"/>
        </w:rPr>
      </w:pPr>
      <w:r>
        <w:rPr>
          <w:rFonts w:ascii="Times New Roman" w:hAnsi="Times New Roman"/>
          <w:bCs/>
          <w:szCs w:val="24"/>
        </w:rPr>
        <w:tab/>
      </w:r>
      <w:r w:rsidRPr="00CA2636" w:rsidR="004633E1">
        <w:rPr>
          <w:rFonts w:ascii="Times New Roman" w:hAnsi="Times New Roman"/>
          <w:bCs/>
          <w:szCs w:val="24"/>
        </w:rPr>
        <w:t xml:space="preserve">Each </w:t>
      </w:r>
      <w:r w:rsidR="004633E1">
        <w:rPr>
          <w:rFonts w:ascii="Times New Roman" w:hAnsi="Times New Roman"/>
          <w:bCs/>
          <w:szCs w:val="24"/>
        </w:rPr>
        <w:t>participant also completes the Service Payback Agreement</w:t>
      </w:r>
      <w:r w:rsidRPr="00CA2636" w:rsidR="004633E1">
        <w:rPr>
          <w:rFonts w:ascii="Times New Roman" w:hAnsi="Times New Roman"/>
          <w:bCs/>
          <w:szCs w:val="24"/>
        </w:rPr>
        <w:t xml:space="preserve"> </w:t>
      </w:r>
      <w:r w:rsidR="004633E1">
        <w:rPr>
          <w:rFonts w:ascii="Times New Roman" w:hAnsi="Times New Roman"/>
          <w:bCs/>
          <w:szCs w:val="24"/>
        </w:rPr>
        <w:t>and attend</w:t>
      </w:r>
      <w:r w:rsidRPr="00CA2636" w:rsidR="004633E1">
        <w:rPr>
          <w:rFonts w:ascii="Times New Roman" w:hAnsi="Times New Roman"/>
          <w:bCs/>
          <w:szCs w:val="24"/>
        </w:rPr>
        <w:t xml:space="preserve"> in an information session with his/her project director to discuss, complete and sign the agreement. We estimate that these sessions will last roughly 30 minutes. These agreements are completed when the </w:t>
      </w:r>
      <w:r w:rsidR="004633E1">
        <w:rPr>
          <w:rFonts w:ascii="Times New Roman" w:hAnsi="Times New Roman"/>
          <w:bCs/>
          <w:szCs w:val="24"/>
        </w:rPr>
        <w:t>participants</w:t>
      </w:r>
      <w:r w:rsidRPr="00CA2636" w:rsidR="004633E1">
        <w:rPr>
          <w:rFonts w:ascii="Times New Roman" w:hAnsi="Times New Roman"/>
          <w:bCs/>
          <w:szCs w:val="24"/>
        </w:rPr>
        <w:t xml:space="preserve"> begin their programs.  We estimate that roughly </w:t>
      </w:r>
      <w:r w:rsidR="004633E1">
        <w:rPr>
          <w:rFonts w:ascii="Times New Roman" w:hAnsi="Times New Roman"/>
          <w:bCs/>
          <w:szCs w:val="24"/>
        </w:rPr>
        <w:t>10</w:t>
      </w:r>
      <w:r w:rsidRPr="00CA2636" w:rsidR="004633E1">
        <w:rPr>
          <w:rFonts w:ascii="Times New Roman" w:hAnsi="Times New Roman"/>
          <w:bCs/>
          <w:szCs w:val="24"/>
        </w:rPr>
        <w:t xml:space="preserve"> scholars in </w:t>
      </w:r>
      <w:r w:rsidR="004633E1">
        <w:rPr>
          <w:rFonts w:ascii="Times New Roman" w:hAnsi="Times New Roman"/>
          <w:bCs/>
          <w:szCs w:val="24"/>
        </w:rPr>
        <w:t>40</w:t>
      </w:r>
      <w:r w:rsidRPr="00CA2636" w:rsidR="004633E1">
        <w:rPr>
          <w:rFonts w:ascii="Times New Roman" w:hAnsi="Times New Roman"/>
          <w:bCs/>
          <w:szCs w:val="24"/>
        </w:rPr>
        <w:t xml:space="preserve"> grants will conduct this activity annually.   Our estimate is based on </w:t>
      </w:r>
      <w:r w:rsidR="004633E1">
        <w:rPr>
          <w:rFonts w:ascii="Times New Roman" w:hAnsi="Times New Roman"/>
          <w:bCs/>
          <w:szCs w:val="24"/>
        </w:rPr>
        <w:t>20</w:t>
      </w:r>
      <w:r w:rsidRPr="00CA2636" w:rsidR="004633E1">
        <w:rPr>
          <w:rFonts w:ascii="Times New Roman" w:hAnsi="Times New Roman"/>
          <w:bCs/>
          <w:szCs w:val="24"/>
        </w:rPr>
        <w:t xml:space="preserve"> grant awards being made in each fiscal year and an average of </w:t>
      </w:r>
      <w:r w:rsidR="004633E1">
        <w:rPr>
          <w:rFonts w:ascii="Times New Roman" w:hAnsi="Times New Roman"/>
          <w:bCs/>
          <w:szCs w:val="24"/>
        </w:rPr>
        <w:t>10</w:t>
      </w:r>
      <w:r w:rsidRPr="00CA2636" w:rsidR="004633E1">
        <w:rPr>
          <w:rFonts w:ascii="Times New Roman" w:hAnsi="Times New Roman"/>
          <w:bCs/>
          <w:szCs w:val="24"/>
        </w:rPr>
        <w:t xml:space="preserve"> new </w:t>
      </w:r>
      <w:r w:rsidR="004633E1">
        <w:rPr>
          <w:rFonts w:ascii="Times New Roman" w:hAnsi="Times New Roman"/>
          <w:bCs/>
          <w:szCs w:val="24"/>
        </w:rPr>
        <w:t>participants</w:t>
      </w:r>
      <w:r w:rsidRPr="00CA2636" w:rsidR="004633E1">
        <w:rPr>
          <w:rFonts w:ascii="Times New Roman" w:hAnsi="Times New Roman"/>
          <w:bCs/>
          <w:szCs w:val="24"/>
        </w:rPr>
        <w:t xml:space="preserve"> enrolled in each grant over the course of the first two years of the grant.</w:t>
      </w:r>
    </w:p>
    <w:p w:rsidRPr="00E175F4" w:rsidR="004633E1" w:rsidP="004633E1" w:rsidRDefault="004633E1" w14:paraId="7CC1138E" w14:textId="77777777">
      <w:pPr>
        <w:ind w:left="720"/>
        <w:rPr>
          <w:rFonts w:ascii="Times New Roman" w:hAnsi="Times New Roman"/>
          <w:bCs/>
          <w:szCs w:val="24"/>
        </w:rPr>
      </w:pPr>
      <w:r w:rsidRPr="00E175F4">
        <w:rPr>
          <w:rFonts w:ascii="Times New Roman" w:hAnsi="Times New Roman"/>
          <w:bCs/>
          <w:szCs w:val="24"/>
        </w:rPr>
        <w:t>For participants,</w:t>
      </w:r>
      <w:r>
        <w:rPr>
          <w:rFonts w:ascii="Times New Roman" w:hAnsi="Times New Roman"/>
          <w:bCs/>
          <w:szCs w:val="24"/>
        </w:rPr>
        <w:t xml:space="preserve"> biannual</w:t>
      </w:r>
      <w:r w:rsidRPr="00E175F4">
        <w:rPr>
          <w:rFonts w:ascii="Times New Roman" w:hAnsi="Times New Roman"/>
          <w:bCs/>
          <w:szCs w:val="24"/>
        </w:rPr>
        <w:t xml:space="preserve"> reporting </w:t>
      </w:r>
      <w:r>
        <w:rPr>
          <w:rFonts w:ascii="Times New Roman" w:hAnsi="Times New Roman"/>
          <w:bCs/>
          <w:szCs w:val="24"/>
        </w:rPr>
        <w:t xml:space="preserve">in </w:t>
      </w:r>
      <w:r w:rsidRPr="00E175F4">
        <w:rPr>
          <w:rFonts w:ascii="Times New Roman" w:hAnsi="Times New Roman"/>
          <w:bCs/>
          <w:szCs w:val="24"/>
        </w:rPr>
        <w:t xml:space="preserve">begins within 1 month of completing or exiting project services when they select the type of payback they will complete.  </w:t>
      </w:r>
      <w:r>
        <w:rPr>
          <w:rFonts w:ascii="Times New Roman" w:hAnsi="Times New Roman"/>
          <w:bCs/>
          <w:szCs w:val="24"/>
        </w:rPr>
        <w:t xml:space="preserve">Across all projects, as many as 920 participants may be required to report their service status in a year.  </w:t>
      </w:r>
      <w:r w:rsidRPr="00E175F4">
        <w:rPr>
          <w:rFonts w:ascii="Times New Roman" w:hAnsi="Times New Roman"/>
          <w:bCs/>
          <w:szCs w:val="24"/>
        </w:rPr>
        <w:t xml:space="preserve">We anticipate that </w:t>
      </w:r>
      <w:r>
        <w:rPr>
          <w:rFonts w:ascii="Times New Roman" w:hAnsi="Times New Roman"/>
          <w:bCs/>
          <w:szCs w:val="24"/>
        </w:rPr>
        <w:t xml:space="preserve">the </w:t>
      </w:r>
      <w:r w:rsidRPr="00E175F4">
        <w:rPr>
          <w:rFonts w:ascii="Times New Roman" w:hAnsi="Times New Roman"/>
          <w:bCs/>
          <w:szCs w:val="24"/>
        </w:rPr>
        <w:t xml:space="preserve">participant </w:t>
      </w:r>
      <w:r>
        <w:rPr>
          <w:rFonts w:ascii="Times New Roman" w:hAnsi="Times New Roman"/>
          <w:bCs/>
          <w:szCs w:val="24"/>
        </w:rPr>
        <w:t xml:space="preserve">reporting </w:t>
      </w:r>
      <w:r w:rsidRPr="00E175F4">
        <w:rPr>
          <w:rFonts w:ascii="Times New Roman" w:hAnsi="Times New Roman"/>
          <w:bCs/>
          <w:szCs w:val="24"/>
        </w:rPr>
        <w:t>burden will be 15 minutes every 6 months.</w:t>
      </w:r>
    </w:p>
    <w:p w:rsidRPr="004633E1" w:rsidR="004633E1" w:rsidP="004633E1" w:rsidRDefault="00C852B1" w14:paraId="2B8CA2A7" w14:textId="39A65A17">
      <w:pPr>
        <w:pStyle w:val="ListParagraph"/>
        <w:tabs>
          <w:tab w:val="left" w:pos="-720"/>
        </w:tabs>
        <w:suppressAutoHyphens/>
        <w:contextualSpacing w:val="0"/>
        <w:rPr>
          <w:rFonts w:ascii="Times New Roman" w:hAnsi="Times New Roman"/>
          <w:bCs/>
          <w:sz w:val="26"/>
          <w:szCs w:val="26"/>
        </w:rPr>
      </w:pPr>
      <w:r>
        <w:rPr>
          <w:rFonts w:ascii="Times New Roman" w:hAnsi="Times New Roman"/>
          <w:bCs/>
          <w:szCs w:val="24"/>
        </w:rPr>
        <w:tab/>
      </w:r>
      <w:r w:rsidRPr="00E175F4" w:rsidR="004633E1">
        <w:rPr>
          <w:rFonts w:ascii="Times New Roman" w:hAnsi="Times New Roman"/>
          <w:bCs/>
          <w:szCs w:val="24"/>
        </w:rPr>
        <w:t xml:space="preserve">For employers, the participant will initiate employment verification within 6 months of a participant’s completion of project services.  </w:t>
      </w:r>
      <w:r w:rsidRPr="00E175F4" w:rsidR="004633E1">
        <w:rPr>
          <w:rFonts w:ascii="Times New Roman" w:hAnsi="Times New Roman"/>
          <w:szCs w:val="24"/>
        </w:rPr>
        <w:t xml:space="preserve">Some participants either do not stay employed or enter deferment due to approved full-time education.  </w:t>
      </w:r>
      <w:proofErr w:type="gramStart"/>
      <w:r w:rsidRPr="00E175F4" w:rsidR="004633E1">
        <w:rPr>
          <w:rFonts w:ascii="Times New Roman" w:hAnsi="Times New Roman"/>
          <w:szCs w:val="24"/>
        </w:rPr>
        <w:t>Therefore</w:t>
      </w:r>
      <w:proofErr w:type="gramEnd"/>
      <w:r w:rsidRPr="00E175F4" w:rsidR="004633E1">
        <w:rPr>
          <w:rFonts w:ascii="Times New Roman" w:hAnsi="Times New Roman"/>
          <w:szCs w:val="24"/>
        </w:rPr>
        <w:t xml:space="preserve"> the number of employer representatives asked to provide verification may be lower than the number of participants that exited the </w:t>
      </w:r>
      <w:r w:rsidR="004633E1">
        <w:rPr>
          <w:rFonts w:ascii="Times New Roman" w:hAnsi="Times New Roman"/>
          <w:szCs w:val="24"/>
        </w:rPr>
        <w:t>IEPD</w:t>
      </w:r>
      <w:r w:rsidRPr="00E175F4" w:rsidR="004633E1">
        <w:rPr>
          <w:rFonts w:ascii="Times New Roman" w:hAnsi="Times New Roman"/>
          <w:szCs w:val="24"/>
        </w:rPr>
        <w:t xml:space="preserve"> training.  </w:t>
      </w:r>
      <w:r w:rsidRPr="00E175F4" w:rsidR="004633E1">
        <w:rPr>
          <w:rFonts w:ascii="Times New Roman" w:hAnsi="Times New Roman"/>
          <w:bCs/>
          <w:szCs w:val="24"/>
        </w:rPr>
        <w:t>We anticipate the employer representative burden to be 10 minutes per participant every 6 months</w:t>
      </w:r>
    </w:p>
    <w:p w:rsidR="00920F63" w:rsidP="004633E1" w:rsidRDefault="00920F63" w14:paraId="58CE2565" w14:textId="3DDAE685">
      <w:pPr>
        <w:pStyle w:val="ListParagraph"/>
        <w:tabs>
          <w:tab w:val="left" w:pos="-720"/>
        </w:tabs>
        <w:suppressAutoHyphens/>
        <w:rPr>
          <w:rStyle w:val="a"/>
          <w:rFonts w:ascii="Times New Roman" w:hAnsi="Times New Roman"/>
          <w:szCs w:val="24"/>
        </w:rPr>
      </w:pPr>
    </w:p>
    <w:p w:rsidR="00C852B1" w:rsidP="004633E1" w:rsidRDefault="00C852B1" w14:paraId="11CA3EB5" w14:textId="16D456AF">
      <w:pPr>
        <w:pStyle w:val="ListParagraph"/>
        <w:tabs>
          <w:tab w:val="left" w:pos="-720"/>
        </w:tabs>
        <w:suppressAutoHyphens/>
        <w:rPr>
          <w:rStyle w:val="a"/>
          <w:rFonts w:ascii="Times New Roman" w:hAnsi="Times New Roman"/>
          <w:szCs w:val="24"/>
        </w:rPr>
      </w:pPr>
    </w:p>
    <w:p w:rsidR="00C852B1" w:rsidP="004633E1" w:rsidRDefault="00C852B1" w14:paraId="6B0E4280" w14:textId="1D1A1AEB">
      <w:pPr>
        <w:pStyle w:val="ListParagraph"/>
        <w:tabs>
          <w:tab w:val="left" w:pos="-720"/>
        </w:tabs>
        <w:suppressAutoHyphens/>
        <w:rPr>
          <w:rStyle w:val="a"/>
          <w:rFonts w:ascii="Times New Roman" w:hAnsi="Times New Roman"/>
          <w:szCs w:val="24"/>
        </w:rPr>
      </w:pPr>
    </w:p>
    <w:p w:rsidR="00C852B1" w:rsidP="004633E1" w:rsidRDefault="00C852B1" w14:paraId="0D876AF0" w14:textId="1F1E2A31">
      <w:pPr>
        <w:pStyle w:val="ListParagraph"/>
        <w:tabs>
          <w:tab w:val="left" w:pos="-720"/>
        </w:tabs>
        <w:suppressAutoHyphens/>
        <w:rPr>
          <w:rStyle w:val="a"/>
          <w:rFonts w:ascii="Times New Roman" w:hAnsi="Times New Roman"/>
          <w:szCs w:val="24"/>
        </w:rPr>
      </w:pPr>
    </w:p>
    <w:p w:rsidR="00C852B1" w:rsidP="004633E1" w:rsidRDefault="00C852B1" w14:paraId="63456BB2" w14:textId="794179F5">
      <w:pPr>
        <w:pStyle w:val="ListParagraph"/>
        <w:tabs>
          <w:tab w:val="left" w:pos="-720"/>
        </w:tabs>
        <w:suppressAutoHyphens/>
        <w:rPr>
          <w:rStyle w:val="a"/>
          <w:rFonts w:ascii="Times New Roman" w:hAnsi="Times New Roman"/>
          <w:szCs w:val="24"/>
        </w:rPr>
      </w:pPr>
    </w:p>
    <w:p w:rsidR="00C852B1" w:rsidP="004633E1" w:rsidRDefault="00C852B1" w14:paraId="5FF0943A" w14:textId="2B736863">
      <w:pPr>
        <w:pStyle w:val="ListParagraph"/>
        <w:tabs>
          <w:tab w:val="left" w:pos="-720"/>
        </w:tabs>
        <w:suppressAutoHyphens/>
        <w:rPr>
          <w:rStyle w:val="a"/>
          <w:rFonts w:ascii="Times New Roman" w:hAnsi="Times New Roman"/>
          <w:szCs w:val="24"/>
        </w:rPr>
      </w:pPr>
    </w:p>
    <w:p w:rsidR="00C852B1" w:rsidP="004633E1" w:rsidRDefault="00C852B1" w14:paraId="05786659" w14:textId="76FB29A3">
      <w:pPr>
        <w:pStyle w:val="ListParagraph"/>
        <w:tabs>
          <w:tab w:val="left" w:pos="-720"/>
        </w:tabs>
        <w:suppressAutoHyphens/>
        <w:rPr>
          <w:rStyle w:val="a"/>
          <w:rFonts w:ascii="Times New Roman" w:hAnsi="Times New Roman"/>
          <w:szCs w:val="24"/>
        </w:rPr>
      </w:pPr>
    </w:p>
    <w:p w:rsidR="00C852B1" w:rsidP="004633E1" w:rsidRDefault="00C852B1" w14:paraId="1C795318"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975"/>
        <w:gridCol w:w="990"/>
        <w:gridCol w:w="900"/>
        <w:gridCol w:w="1275"/>
        <w:gridCol w:w="1080"/>
        <w:gridCol w:w="1335"/>
        <w:gridCol w:w="900"/>
        <w:gridCol w:w="1530"/>
        <w:gridCol w:w="1350"/>
      </w:tblGrid>
      <w:tr w:rsidRPr="00442E07" w:rsidR="00C86713" w:rsidTr="002238FE" w14:paraId="58CE257E" w14:textId="77777777">
        <w:trPr>
          <w:tblHeader/>
        </w:trPr>
        <w:tc>
          <w:tcPr>
            <w:tcW w:w="197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990"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900"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D41AF" w:rsidTr="00930FA6" w14:paraId="58CE2588" w14:textId="77777777">
        <w:tc>
          <w:tcPr>
            <w:tcW w:w="1975" w:type="dxa"/>
            <w:vAlign w:val="center"/>
          </w:tcPr>
          <w:p w:rsidR="006D41AF" w:rsidP="00930FA6" w:rsidRDefault="006D41AF" w14:paraId="083AFF69" w14:textId="77777777">
            <w:pPr>
              <w:jc w:val="center"/>
              <w:rPr>
                <w:rFonts w:ascii="Times New Roman" w:hAnsi="Times New Roman"/>
                <w:sz w:val="20"/>
              </w:rPr>
            </w:pPr>
            <w:r w:rsidRPr="00930FA6">
              <w:rPr>
                <w:rFonts w:ascii="Times New Roman" w:hAnsi="Times New Roman"/>
                <w:sz w:val="20"/>
              </w:rPr>
              <w:t>Grantees: Participant Record Form</w:t>
            </w:r>
          </w:p>
          <w:p w:rsidRPr="00930FA6" w:rsidR="00A731C4" w:rsidP="00930FA6" w:rsidRDefault="006E1E3A" w14:paraId="58CE257F" w14:textId="2DCEF537">
            <w:pPr>
              <w:jc w:val="center"/>
              <w:rPr>
                <w:rFonts w:ascii="Times New Roman" w:hAnsi="Times New Roman"/>
                <w:sz w:val="20"/>
              </w:rPr>
            </w:pPr>
            <w:r>
              <w:rPr>
                <w:rFonts w:ascii="Times New Roman" w:hAnsi="Times New Roman"/>
                <w:sz w:val="20"/>
              </w:rPr>
              <w:t>(</w:t>
            </w:r>
            <w:r w:rsidR="00BF2383">
              <w:rPr>
                <w:rFonts w:ascii="Times New Roman" w:hAnsi="Times New Roman"/>
                <w:sz w:val="20"/>
              </w:rPr>
              <w:t>State, Local, or Tribal Government</w:t>
            </w:r>
            <w:r>
              <w:rPr>
                <w:rFonts w:ascii="Times New Roman" w:hAnsi="Times New Roman"/>
                <w:sz w:val="20"/>
              </w:rPr>
              <w:t>)</w:t>
            </w:r>
          </w:p>
        </w:tc>
        <w:tc>
          <w:tcPr>
            <w:tcW w:w="990" w:type="dxa"/>
            <w:vAlign w:val="center"/>
          </w:tcPr>
          <w:p w:rsidRPr="00930FA6" w:rsidR="006D41AF" w:rsidP="00930FA6" w:rsidRDefault="006D41AF" w14:paraId="58CE2580" w14:textId="77777777">
            <w:pPr>
              <w:jc w:val="center"/>
              <w:rPr>
                <w:rFonts w:ascii="Times New Roman" w:hAnsi="Times New Roman"/>
                <w:sz w:val="20"/>
              </w:rPr>
            </w:pPr>
          </w:p>
        </w:tc>
        <w:tc>
          <w:tcPr>
            <w:tcW w:w="900" w:type="dxa"/>
            <w:vAlign w:val="center"/>
          </w:tcPr>
          <w:p w:rsidRPr="00930FA6" w:rsidR="006D41AF" w:rsidP="00930FA6" w:rsidRDefault="006D41AF" w14:paraId="58CE2581" w14:textId="77777777">
            <w:pPr>
              <w:jc w:val="center"/>
              <w:rPr>
                <w:rFonts w:ascii="Times New Roman" w:hAnsi="Times New Roman"/>
                <w:sz w:val="20"/>
              </w:rPr>
            </w:pPr>
          </w:p>
        </w:tc>
        <w:tc>
          <w:tcPr>
            <w:tcW w:w="1275" w:type="dxa"/>
            <w:vAlign w:val="center"/>
          </w:tcPr>
          <w:p w:rsidRPr="00930FA6" w:rsidR="006D41AF" w:rsidP="00930FA6" w:rsidRDefault="006D41AF" w14:paraId="58CE2582" w14:textId="5EF43D73">
            <w:pPr>
              <w:jc w:val="center"/>
              <w:rPr>
                <w:rFonts w:ascii="Times New Roman" w:hAnsi="Times New Roman"/>
                <w:sz w:val="20"/>
              </w:rPr>
            </w:pPr>
            <w:r w:rsidRPr="00930FA6">
              <w:rPr>
                <w:rFonts w:ascii="Times New Roman" w:hAnsi="Times New Roman"/>
                <w:sz w:val="20"/>
              </w:rPr>
              <w:t>46 grantees</w:t>
            </w:r>
          </w:p>
        </w:tc>
        <w:tc>
          <w:tcPr>
            <w:tcW w:w="1080" w:type="dxa"/>
            <w:vAlign w:val="center"/>
          </w:tcPr>
          <w:p w:rsidRPr="00930FA6" w:rsidR="006D41AF" w:rsidP="00930FA6" w:rsidRDefault="00BD080A" w14:paraId="58CE2583" w14:textId="4EF3F690">
            <w:pPr>
              <w:jc w:val="center"/>
              <w:rPr>
                <w:rFonts w:ascii="Times New Roman" w:hAnsi="Times New Roman"/>
                <w:sz w:val="20"/>
              </w:rPr>
            </w:pPr>
            <w:r>
              <w:rPr>
                <w:rFonts w:ascii="Times New Roman" w:hAnsi="Times New Roman"/>
                <w:sz w:val="20"/>
              </w:rPr>
              <w:t>46</w:t>
            </w:r>
          </w:p>
        </w:tc>
        <w:tc>
          <w:tcPr>
            <w:tcW w:w="1335" w:type="dxa"/>
            <w:vAlign w:val="center"/>
          </w:tcPr>
          <w:p w:rsidRPr="00930FA6" w:rsidR="006D41AF" w:rsidP="00930FA6" w:rsidRDefault="006D41AF" w14:paraId="58CE2584" w14:textId="2A944C4E">
            <w:pPr>
              <w:jc w:val="center"/>
              <w:rPr>
                <w:rFonts w:ascii="Times New Roman" w:hAnsi="Times New Roman"/>
                <w:sz w:val="20"/>
              </w:rPr>
            </w:pPr>
            <w:r w:rsidRPr="00930FA6">
              <w:rPr>
                <w:rFonts w:ascii="Times New Roman" w:hAnsi="Times New Roman"/>
                <w:sz w:val="20"/>
              </w:rPr>
              <w:t>40.00</w:t>
            </w:r>
          </w:p>
        </w:tc>
        <w:tc>
          <w:tcPr>
            <w:tcW w:w="900" w:type="dxa"/>
            <w:vAlign w:val="center"/>
          </w:tcPr>
          <w:p w:rsidRPr="00930FA6" w:rsidR="006D41AF" w:rsidP="00930FA6" w:rsidRDefault="006D41AF" w14:paraId="58CE2585" w14:textId="11001282">
            <w:pPr>
              <w:jc w:val="center"/>
              <w:rPr>
                <w:rFonts w:ascii="Times New Roman" w:hAnsi="Times New Roman"/>
                <w:sz w:val="20"/>
              </w:rPr>
            </w:pPr>
            <w:r w:rsidRPr="00930FA6">
              <w:rPr>
                <w:rFonts w:ascii="Times New Roman" w:hAnsi="Times New Roman"/>
                <w:sz w:val="20"/>
              </w:rPr>
              <w:t>1,840</w:t>
            </w:r>
          </w:p>
        </w:tc>
        <w:tc>
          <w:tcPr>
            <w:tcW w:w="1530" w:type="dxa"/>
            <w:vAlign w:val="center"/>
          </w:tcPr>
          <w:p w:rsidRPr="00930FA6" w:rsidR="006D41AF" w:rsidP="00930FA6" w:rsidRDefault="006D41AF" w14:paraId="58CE2586" w14:textId="2DADED8E">
            <w:pPr>
              <w:jc w:val="center"/>
              <w:rPr>
                <w:rFonts w:ascii="Times New Roman" w:hAnsi="Times New Roman"/>
                <w:sz w:val="20"/>
              </w:rPr>
            </w:pPr>
            <w:r w:rsidRPr="00930FA6">
              <w:rPr>
                <w:rFonts w:ascii="Times New Roman" w:hAnsi="Times New Roman"/>
                <w:sz w:val="20"/>
              </w:rPr>
              <w:t>$50.00</w:t>
            </w:r>
          </w:p>
        </w:tc>
        <w:tc>
          <w:tcPr>
            <w:tcW w:w="1350" w:type="dxa"/>
            <w:vAlign w:val="center"/>
          </w:tcPr>
          <w:p w:rsidRPr="00930FA6" w:rsidR="006D41AF" w:rsidP="00930FA6" w:rsidRDefault="006D41AF" w14:paraId="58CE2587" w14:textId="047F1DA8">
            <w:pPr>
              <w:jc w:val="center"/>
              <w:rPr>
                <w:rFonts w:ascii="Times New Roman" w:hAnsi="Times New Roman"/>
                <w:sz w:val="20"/>
              </w:rPr>
            </w:pPr>
            <w:r w:rsidRPr="00930FA6">
              <w:rPr>
                <w:rFonts w:ascii="Times New Roman" w:hAnsi="Times New Roman"/>
                <w:sz w:val="20"/>
              </w:rPr>
              <w:t>$92,000</w:t>
            </w:r>
          </w:p>
        </w:tc>
      </w:tr>
      <w:tr w:rsidRPr="00442E07" w:rsidR="00930FA6" w:rsidTr="00930FA6" w14:paraId="58CE2592" w14:textId="77777777">
        <w:tc>
          <w:tcPr>
            <w:tcW w:w="1975" w:type="dxa"/>
            <w:vAlign w:val="center"/>
          </w:tcPr>
          <w:p w:rsidRPr="00930FA6" w:rsidR="00930FA6" w:rsidP="00930FA6" w:rsidRDefault="00930FA6" w14:paraId="58CE2589" w14:textId="1CD36DAD">
            <w:pPr>
              <w:jc w:val="center"/>
              <w:rPr>
                <w:rFonts w:ascii="Times New Roman" w:hAnsi="Times New Roman"/>
                <w:sz w:val="20"/>
              </w:rPr>
            </w:pPr>
            <w:r w:rsidRPr="00930FA6">
              <w:rPr>
                <w:rFonts w:ascii="Times New Roman" w:hAnsi="Times New Roman"/>
                <w:sz w:val="20"/>
              </w:rPr>
              <w:t xml:space="preserve">Grantees: Service Payback Agreement </w:t>
            </w:r>
            <w:r w:rsidR="00BF2383">
              <w:rPr>
                <w:rFonts w:ascii="Times New Roman" w:hAnsi="Times New Roman"/>
                <w:sz w:val="20"/>
              </w:rPr>
              <w:t xml:space="preserve"> </w:t>
            </w:r>
            <w:r w:rsidR="006E1E3A">
              <w:rPr>
                <w:rFonts w:ascii="Times New Roman" w:hAnsi="Times New Roman"/>
                <w:sz w:val="20"/>
              </w:rPr>
              <w:t>(</w:t>
            </w:r>
            <w:r w:rsidR="00BF2383">
              <w:rPr>
                <w:rFonts w:ascii="Times New Roman" w:hAnsi="Times New Roman"/>
                <w:sz w:val="20"/>
              </w:rPr>
              <w:t>State, Local, or Tribal Government</w:t>
            </w:r>
            <w:r w:rsidR="006E1E3A">
              <w:rPr>
                <w:rFonts w:ascii="Times New Roman" w:hAnsi="Times New Roman"/>
                <w:sz w:val="20"/>
              </w:rPr>
              <w:t>)</w:t>
            </w:r>
          </w:p>
        </w:tc>
        <w:tc>
          <w:tcPr>
            <w:tcW w:w="990" w:type="dxa"/>
            <w:vAlign w:val="center"/>
          </w:tcPr>
          <w:p w:rsidRPr="00930FA6" w:rsidR="00930FA6" w:rsidP="00930FA6" w:rsidRDefault="00930FA6" w14:paraId="58CE258A" w14:textId="77777777">
            <w:pPr>
              <w:jc w:val="center"/>
              <w:rPr>
                <w:rFonts w:ascii="Times New Roman" w:hAnsi="Times New Roman"/>
                <w:sz w:val="20"/>
              </w:rPr>
            </w:pPr>
          </w:p>
        </w:tc>
        <w:tc>
          <w:tcPr>
            <w:tcW w:w="900" w:type="dxa"/>
            <w:vAlign w:val="center"/>
          </w:tcPr>
          <w:p w:rsidRPr="00930FA6" w:rsidR="00930FA6" w:rsidP="00930FA6" w:rsidRDefault="00930FA6" w14:paraId="58CE258B" w14:textId="77777777">
            <w:pPr>
              <w:jc w:val="center"/>
              <w:rPr>
                <w:rFonts w:ascii="Times New Roman" w:hAnsi="Times New Roman"/>
                <w:sz w:val="20"/>
              </w:rPr>
            </w:pPr>
          </w:p>
        </w:tc>
        <w:tc>
          <w:tcPr>
            <w:tcW w:w="1275" w:type="dxa"/>
            <w:vAlign w:val="center"/>
          </w:tcPr>
          <w:p w:rsidRPr="00930FA6" w:rsidR="00930FA6" w:rsidP="00930FA6" w:rsidRDefault="00930FA6" w14:paraId="58CE258C" w14:textId="2053F04E">
            <w:pPr>
              <w:jc w:val="center"/>
              <w:rPr>
                <w:rFonts w:ascii="Times New Roman" w:hAnsi="Times New Roman"/>
                <w:sz w:val="20"/>
              </w:rPr>
            </w:pPr>
            <w:r w:rsidRPr="00930FA6">
              <w:rPr>
                <w:rFonts w:ascii="Times New Roman" w:hAnsi="Times New Roman"/>
                <w:sz w:val="20"/>
              </w:rPr>
              <w:t>40 grantees (10 participants enrolled/</w:t>
            </w:r>
            <w:proofErr w:type="spellStart"/>
            <w:r w:rsidRPr="00930FA6">
              <w:rPr>
                <w:rFonts w:ascii="Times New Roman" w:hAnsi="Times New Roman"/>
                <w:sz w:val="20"/>
              </w:rPr>
              <w:t>yr</w:t>
            </w:r>
            <w:proofErr w:type="spellEnd"/>
            <w:r w:rsidRPr="00930FA6">
              <w:rPr>
                <w:rFonts w:ascii="Times New Roman" w:hAnsi="Times New Roman"/>
                <w:sz w:val="20"/>
              </w:rPr>
              <w:t>)</w:t>
            </w:r>
          </w:p>
        </w:tc>
        <w:tc>
          <w:tcPr>
            <w:tcW w:w="1080" w:type="dxa"/>
            <w:vAlign w:val="center"/>
          </w:tcPr>
          <w:p w:rsidRPr="00930FA6" w:rsidR="00930FA6" w:rsidP="00930FA6" w:rsidRDefault="00BD080A" w14:paraId="58CE258D" w14:textId="1C5E0D15">
            <w:pPr>
              <w:jc w:val="center"/>
              <w:rPr>
                <w:rFonts w:ascii="Times New Roman" w:hAnsi="Times New Roman"/>
                <w:sz w:val="20"/>
              </w:rPr>
            </w:pPr>
            <w:r>
              <w:rPr>
                <w:rFonts w:ascii="Times New Roman" w:hAnsi="Times New Roman"/>
                <w:sz w:val="20"/>
              </w:rPr>
              <w:t>40</w:t>
            </w:r>
          </w:p>
        </w:tc>
        <w:tc>
          <w:tcPr>
            <w:tcW w:w="1335" w:type="dxa"/>
            <w:vAlign w:val="center"/>
          </w:tcPr>
          <w:p w:rsidRPr="00930FA6" w:rsidR="00930FA6" w:rsidP="00930FA6" w:rsidRDefault="00930FA6" w14:paraId="58CE258E" w14:textId="2C0CFE92">
            <w:pPr>
              <w:jc w:val="center"/>
              <w:rPr>
                <w:rFonts w:ascii="Times New Roman" w:hAnsi="Times New Roman"/>
                <w:sz w:val="20"/>
              </w:rPr>
            </w:pPr>
            <w:r w:rsidRPr="00930FA6">
              <w:rPr>
                <w:rFonts w:ascii="Times New Roman" w:hAnsi="Times New Roman"/>
                <w:sz w:val="20"/>
              </w:rPr>
              <w:t>5.00</w:t>
            </w:r>
          </w:p>
        </w:tc>
        <w:tc>
          <w:tcPr>
            <w:tcW w:w="900" w:type="dxa"/>
            <w:vAlign w:val="center"/>
          </w:tcPr>
          <w:p w:rsidRPr="00930FA6" w:rsidR="00930FA6" w:rsidP="00930FA6" w:rsidRDefault="00930FA6" w14:paraId="58CE258F" w14:textId="4AD2CB36">
            <w:pPr>
              <w:pStyle w:val="EndnoteText"/>
              <w:tabs>
                <w:tab w:val="clear" w:pos="-720"/>
              </w:tabs>
              <w:suppressAutoHyphens w:val="0"/>
              <w:jc w:val="center"/>
              <w:rPr>
                <w:rFonts w:ascii="Times New Roman" w:hAnsi="Times New Roman"/>
                <w:sz w:val="20"/>
              </w:rPr>
            </w:pPr>
            <w:r w:rsidRPr="00930FA6">
              <w:rPr>
                <w:rFonts w:ascii="Times New Roman" w:hAnsi="Times New Roman"/>
                <w:sz w:val="20"/>
              </w:rPr>
              <w:t>200</w:t>
            </w:r>
          </w:p>
        </w:tc>
        <w:tc>
          <w:tcPr>
            <w:tcW w:w="1530" w:type="dxa"/>
            <w:vAlign w:val="center"/>
          </w:tcPr>
          <w:p w:rsidRPr="00930FA6" w:rsidR="00930FA6" w:rsidP="00930FA6" w:rsidRDefault="00930FA6" w14:paraId="58CE2590" w14:textId="2FD27EFB">
            <w:pPr>
              <w:jc w:val="center"/>
              <w:rPr>
                <w:rFonts w:ascii="Times New Roman" w:hAnsi="Times New Roman"/>
                <w:sz w:val="20"/>
              </w:rPr>
            </w:pPr>
            <w:r w:rsidRPr="00930FA6">
              <w:rPr>
                <w:rFonts w:ascii="Times New Roman" w:hAnsi="Times New Roman"/>
                <w:sz w:val="20"/>
              </w:rPr>
              <w:t>$50.00</w:t>
            </w:r>
          </w:p>
        </w:tc>
        <w:tc>
          <w:tcPr>
            <w:tcW w:w="1350" w:type="dxa"/>
            <w:vAlign w:val="center"/>
          </w:tcPr>
          <w:p w:rsidRPr="00930FA6" w:rsidR="00930FA6" w:rsidP="00930FA6" w:rsidRDefault="00930FA6" w14:paraId="58CE2591" w14:textId="074683AA">
            <w:pPr>
              <w:jc w:val="center"/>
              <w:rPr>
                <w:rFonts w:ascii="Times New Roman" w:hAnsi="Times New Roman"/>
                <w:sz w:val="20"/>
              </w:rPr>
            </w:pPr>
            <w:r w:rsidRPr="00930FA6">
              <w:rPr>
                <w:rFonts w:ascii="Times New Roman" w:hAnsi="Times New Roman"/>
                <w:sz w:val="20"/>
              </w:rPr>
              <w:t>$10,000</w:t>
            </w:r>
          </w:p>
        </w:tc>
      </w:tr>
      <w:tr w:rsidRPr="00442E07" w:rsidR="00930FA6" w:rsidTr="00930FA6" w14:paraId="30305F74" w14:textId="77777777">
        <w:tc>
          <w:tcPr>
            <w:tcW w:w="1975" w:type="dxa"/>
            <w:vAlign w:val="center"/>
          </w:tcPr>
          <w:p w:rsidRPr="00930FA6" w:rsidR="00930FA6" w:rsidP="00930FA6" w:rsidRDefault="00930FA6" w14:paraId="7D0AFE7E" w14:textId="420FE32B">
            <w:pPr>
              <w:jc w:val="center"/>
              <w:rPr>
                <w:rFonts w:ascii="Times New Roman" w:hAnsi="Times New Roman"/>
                <w:sz w:val="20"/>
              </w:rPr>
            </w:pPr>
            <w:r w:rsidRPr="00930FA6">
              <w:rPr>
                <w:rFonts w:ascii="Times New Roman" w:hAnsi="Times New Roman"/>
                <w:sz w:val="20"/>
              </w:rPr>
              <w:t xml:space="preserve">Participants: Service Payback Agreement </w:t>
            </w:r>
            <w:r w:rsidR="006E1E3A">
              <w:rPr>
                <w:rFonts w:ascii="Times New Roman" w:hAnsi="Times New Roman"/>
                <w:sz w:val="20"/>
              </w:rPr>
              <w:t>(</w:t>
            </w:r>
            <w:r w:rsidR="00706770">
              <w:rPr>
                <w:rFonts w:ascii="Times New Roman" w:hAnsi="Times New Roman"/>
                <w:sz w:val="20"/>
              </w:rPr>
              <w:t>Individuals</w:t>
            </w:r>
            <w:r w:rsidR="006E1E3A">
              <w:rPr>
                <w:rFonts w:ascii="Times New Roman" w:hAnsi="Times New Roman"/>
                <w:sz w:val="20"/>
              </w:rPr>
              <w:t>)</w:t>
            </w:r>
          </w:p>
        </w:tc>
        <w:tc>
          <w:tcPr>
            <w:tcW w:w="990" w:type="dxa"/>
            <w:vAlign w:val="center"/>
          </w:tcPr>
          <w:p w:rsidRPr="00930FA6" w:rsidR="00930FA6" w:rsidP="00930FA6" w:rsidRDefault="00930FA6" w14:paraId="29D2231B" w14:textId="77777777">
            <w:pPr>
              <w:jc w:val="center"/>
              <w:rPr>
                <w:rFonts w:ascii="Times New Roman" w:hAnsi="Times New Roman"/>
                <w:sz w:val="20"/>
              </w:rPr>
            </w:pPr>
          </w:p>
        </w:tc>
        <w:tc>
          <w:tcPr>
            <w:tcW w:w="900" w:type="dxa"/>
            <w:vAlign w:val="center"/>
          </w:tcPr>
          <w:p w:rsidRPr="00930FA6" w:rsidR="00930FA6" w:rsidP="00930FA6" w:rsidRDefault="00930FA6" w14:paraId="7D999C0B" w14:textId="77777777">
            <w:pPr>
              <w:jc w:val="center"/>
              <w:rPr>
                <w:rFonts w:ascii="Times New Roman" w:hAnsi="Times New Roman"/>
                <w:sz w:val="20"/>
              </w:rPr>
            </w:pPr>
          </w:p>
        </w:tc>
        <w:tc>
          <w:tcPr>
            <w:tcW w:w="1275" w:type="dxa"/>
            <w:vAlign w:val="center"/>
          </w:tcPr>
          <w:p w:rsidRPr="00930FA6" w:rsidR="00930FA6" w:rsidP="00930FA6" w:rsidRDefault="00930FA6" w14:paraId="09045F04" w14:textId="4F36A14C">
            <w:pPr>
              <w:jc w:val="center"/>
              <w:rPr>
                <w:rFonts w:ascii="Times New Roman" w:hAnsi="Times New Roman"/>
                <w:sz w:val="20"/>
              </w:rPr>
            </w:pPr>
            <w:r w:rsidRPr="00930FA6">
              <w:rPr>
                <w:rFonts w:ascii="Times New Roman" w:hAnsi="Times New Roman"/>
                <w:sz w:val="20"/>
              </w:rPr>
              <w:t>400</w:t>
            </w:r>
          </w:p>
        </w:tc>
        <w:tc>
          <w:tcPr>
            <w:tcW w:w="1080" w:type="dxa"/>
            <w:vAlign w:val="center"/>
          </w:tcPr>
          <w:p w:rsidRPr="00930FA6" w:rsidR="00930FA6" w:rsidP="00930FA6" w:rsidRDefault="00BD080A" w14:paraId="07BDCA3D" w14:textId="0710A05F">
            <w:pPr>
              <w:jc w:val="center"/>
              <w:rPr>
                <w:rFonts w:ascii="Times New Roman" w:hAnsi="Times New Roman"/>
                <w:sz w:val="20"/>
              </w:rPr>
            </w:pPr>
            <w:r>
              <w:rPr>
                <w:rFonts w:ascii="Times New Roman" w:hAnsi="Times New Roman"/>
                <w:sz w:val="20"/>
              </w:rPr>
              <w:t>400</w:t>
            </w:r>
          </w:p>
        </w:tc>
        <w:tc>
          <w:tcPr>
            <w:tcW w:w="1335" w:type="dxa"/>
            <w:vAlign w:val="center"/>
          </w:tcPr>
          <w:p w:rsidRPr="00930FA6" w:rsidR="00930FA6" w:rsidP="00930FA6" w:rsidRDefault="00930FA6" w14:paraId="170438F7" w14:textId="098EF258">
            <w:pPr>
              <w:jc w:val="center"/>
              <w:rPr>
                <w:rFonts w:ascii="Times New Roman" w:hAnsi="Times New Roman"/>
                <w:sz w:val="20"/>
              </w:rPr>
            </w:pPr>
            <w:r w:rsidRPr="00930FA6">
              <w:rPr>
                <w:rFonts w:ascii="Times New Roman" w:hAnsi="Times New Roman"/>
                <w:sz w:val="20"/>
              </w:rPr>
              <w:t>0.50</w:t>
            </w:r>
          </w:p>
        </w:tc>
        <w:tc>
          <w:tcPr>
            <w:tcW w:w="900" w:type="dxa"/>
            <w:vAlign w:val="center"/>
          </w:tcPr>
          <w:p w:rsidRPr="00930FA6" w:rsidR="00930FA6" w:rsidP="00930FA6" w:rsidRDefault="00930FA6" w14:paraId="180A150E" w14:textId="13CAA31F">
            <w:pPr>
              <w:pStyle w:val="EndnoteText"/>
              <w:tabs>
                <w:tab w:val="clear" w:pos="-720"/>
              </w:tabs>
              <w:suppressAutoHyphens w:val="0"/>
              <w:jc w:val="center"/>
              <w:rPr>
                <w:rFonts w:ascii="Times New Roman" w:hAnsi="Times New Roman"/>
                <w:sz w:val="20"/>
              </w:rPr>
            </w:pPr>
            <w:r w:rsidRPr="00930FA6">
              <w:rPr>
                <w:rFonts w:ascii="Times New Roman" w:hAnsi="Times New Roman"/>
                <w:sz w:val="20"/>
              </w:rPr>
              <w:t>200</w:t>
            </w:r>
          </w:p>
        </w:tc>
        <w:tc>
          <w:tcPr>
            <w:tcW w:w="1530" w:type="dxa"/>
            <w:vAlign w:val="center"/>
          </w:tcPr>
          <w:p w:rsidRPr="00930FA6" w:rsidR="00930FA6" w:rsidP="00930FA6" w:rsidRDefault="00930FA6" w14:paraId="55D66BD6" w14:textId="395E3109">
            <w:pPr>
              <w:jc w:val="center"/>
              <w:rPr>
                <w:rFonts w:ascii="Times New Roman" w:hAnsi="Times New Roman"/>
                <w:sz w:val="20"/>
              </w:rPr>
            </w:pPr>
            <w:r w:rsidRPr="00930FA6">
              <w:rPr>
                <w:rFonts w:ascii="Times New Roman" w:hAnsi="Times New Roman"/>
                <w:sz w:val="20"/>
              </w:rPr>
              <w:t>$</w:t>
            </w:r>
            <w:r w:rsidRPr="00930FA6">
              <w:rPr>
                <w:rFonts w:ascii="Times New Roman" w:hAnsi="Times New Roman"/>
                <w:bCs/>
                <w:sz w:val="20"/>
              </w:rPr>
              <w:t>24.69</w:t>
            </w:r>
          </w:p>
        </w:tc>
        <w:tc>
          <w:tcPr>
            <w:tcW w:w="1350" w:type="dxa"/>
            <w:vAlign w:val="center"/>
          </w:tcPr>
          <w:p w:rsidRPr="00930FA6" w:rsidR="00930FA6" w:rsidP="00930FA6" w:rsidRDefault="00930FA6" w14:paraId="1DF3E1F6" w14:textId="3735CE46">
            <w:pPr>
              <w:jc w:val="center"/>
              <w:rPr>
                <w:rFonts w:ascii="Times New Roman" w:hAnsi="Times New Roman"/>
                <w:sz w:val="20"/>
              </w:rPr>
            </w:pPr>
            <w:r w:rsidRPr="00930FA6">
              <w:rPr>
                <w:rFonts w:ascii="Times New Roman" w:hAnsi="Times New Roman"/>
                <w:sz w:val="20"/>
              </w:rPr>
              <w:t>$4,938</w:t>
            </w:r>
          </w:p>
        </w:tc>
      </w:tr>
      <w:tr w:rsidRPr="00442E07" w:rsidR="00930FA6" w:rsidTr="00930FA6" w14:paraId="114EBF71" w14:textId="77777777">
        <w:tc>
          <w:tcPr>
            <w:tcW w:w="1975" w:type="dxa"/>
            <w:vAlign w:val="center"/>
          </w:tcPr>
          <w:p w:rsidR="00930FA6" w:rsidP="00930FA6" w:rsidRDefault="00930FA6" w14:paraId="4632584A" w14:textId="77777777">
            <w:pPr>
              <w:jc w:val="center"/>
              <w:rPr>
                <w:rFonts w:ascii="Times New Roman" w:hAnsi="Times New Roman"/>
                <w:sz w:val="20"/>
              </w:rPr>
            </w:pPr>
            <w:r w:rsidRPr="00930FA6">
              <w:rPr>
                <w:rFonts w:ascii="Times New Roman" w:hAnsi="Times New Roman"/>
                <w:sz w:val="20"/>
              </w:rPr>
              <w:t>Participants: Participant Training and Employment Information Form</w:t>
            </w:r>
          </w:p>
          <w:p w:rsidRPr="00930FA6" w:rsidR="006E1E3A" w:rsidP="00930FA6" w:rsidRDefault="006E1E3A" w14:paraId="54E5C056" w14:textId="426490C9">
            <w:pPr>
              <w:jc w:val="center"/>
              <w:rPr>
                <w:rFonts w:ascii="Times New Roman" w:hAnsi="Times New Roman"/>
                <w:sz w:val="20"/>
              </w:rPr>
            </w:pPr>
            <w:r>
              <w:rPr>
                <w:rFonts w:ascii="Times New Roman" w:hAnsi="Times New Roman"/>
                <w:sz w:val="20"/>
              </w:rPr>
              <w:t>(Individuals)</w:t>
            </w:r>
          </w:p>
        </w:tc>
        <w:tc>
          <w:tcPr>
            <w:tcW w:w="990" w:type="dxa"/>
            <w:vAlign w:val="center"/>
          </w:tcPr>
          <w:p w:rsidRPr="00930FA6" w:rsidR="00930FA6" w:rsidP="00930FA6" w:rsidRDefault="00930FA6" w14:paraId="0D107CB6" w14:textId="77777777">
            <w:pPr>
              <w:jc w:val="center"/>
              <w:rPr>
                <w:rFonts w:ascii="Times New Roman" w:hAnsi="Times New Roman"/>
                <w:sz w:val="20"/>
              </w:rPr>
            </w:pPr>
          </w:p>
        </w:tc>
        <w:tc>
          <w:tcPr>
            <w:tcW w:w="900" w:type="dxa"/>
            <w:vAlign w:val="center"/>
          </w:tcPr>
          <w:p w:rsidRPr="00930FA6" w:rsidR="00930FA6" w:rsidP="00930FA6" w:rsidRDefault="00930FA6" w14:paraId="4C8D00F2" w14:textId="77777777">
            <w:pPr>
              <w:jc w:val="center"/>
              <w:rPr>
                <w:rFonts w:ascii="Times New Roman" w:hAnsi="Times New Roman"/>
                <w:sz w:val="20"/>
              </w:rPr>
            </w:pPr>
          </w:p>
        </w:tc>
        <w:tc>
          <w:tcPr>
            <w:tcW w:w="1275" w:type="dxa"/>
            <w:vAlign w:val="center"/>
          </w:tcPr>
          <w:p w:rsidRPr="00930FA6" w:rsidR="00930FA6" w:rsidP="00930FA6" w:rsidRDefault="00930FA6" w14:paraId="586A31E8" w14:textId="7DD6CCF4">
            <w:pPr>
              <w:jc w:val="center"/>
              <w:rPr>
                <w:rFonts w:ascii="Times New Roman" w:hAnsi="Times New Roman"/>
                <w:sz w:val="20"/>
              </w:rPr>
            </w:pPr>
            <w:r w:rsidRPr="00930FA6">
              <w:rPr>
                <w:rFonts w:ascii="Times New Roman" w:hAnsi="Times New Roman"/>
                <w:sz w:val="20"/>
              </w:rPr>
              <w:t>920 participants</w:t>
            </w:r>
          </w:p>
        </w:tc>
        <w:tc>
          <w:tcPr>
            <w:tcW w:w="1080" w:type="dxa"/>
            <w:vAlign w:val="center"/>
          </w:tcPr>
          <w:p w:rsidRPr="00930FA6" w:rsidR="00930FA6" w:rsidP="00930FA6" w:rsidRDefault="00BD080A" w14:paraId="7D0983FE" w14:textId="3EA53236">
            <w:pPr>
              <w:jc w:val="center"/>
              <w:rPr>
                <w:rFonts w:ascii="Times New Roman" w:hAnsi="Times New Roman"/>
                <w:sz w:val="20"/>
              </w:rPr>
            </w:pPr>
            <w:r>
              <w:rPr>
                <w:rFonts w:ascii="Times New Roman" w:hAnsi="Times New Roman"/>
                <w:sz w:val="20"/>
              </w:rPr>
              <w:t>920</w:t>
            </w:r>
          </w:p>
        </w:tc>
        <w:tc>
          <w:tcPr>
            <w:tcW w:w="1335" w:type="dxa"/>
            <w:vAlign w:val="center"/>
          </w:tcPr>
          <w:p w:rsidRPr="00930FA6" w:rsidR="00930FA6" w:rsidP="00930FA6" w:rsidRDefault="00930FA6" w14:paraId="7119AAFF" w14:textId="4BF3E280">
            <w:pPr>
              <w:jc w:val="center"/>
              <w:rPr>
                <w:rFonts w:ascii="Times New Roman" w:hAnsi="Times New Roman"/>
                <w:sz w:val="20"/>
              </w:rPr>
            </w:pPr>
            <w:r w:rsidRPr="00930FA6">
              <w:rPr>
                <w:rFonts w:ascii="Times New Roman" w:hAnsi="Times New Roman"/>
                <w:sz w:val="20"/>
              </w:rPr>
              <w:t>0.50</w:t>
            </w:r>
          </w:p>
        </w:tc>
        <w:tc>
          <w:tcPr>
            <w:tcW w:w="900" w:type="dxa"/>
            <w:vAlign w:val="center"/>
          </w:tcPr>
          <w:p w:rsidRPr="00930FA6" w:rsidR="00930FA6" w:rsidP="00930FA6" w:rsidRDefault="00930FA6" w14:paraId="00C1DF11" w14:textId="5FE0A132">
            <w:pPr>
              <w:pStyle w:val="EndnoteText"/>
              <w:tabs>
                <w:tab w:val="clear" w:pos="-720"/>
              </w:tabs>
              <w:suppressAutoHyphens w:val="0"/>
              <w:jc w:val="center"/>
              <w:rPr>
                <w:rFonts w:ascii="Times New Roman" w:hAnsi="Times New Roman"/>
                <w:sz w:val="20"/>
              </w:rPr>
            </w:pPr>
            <w:r w:rsidRPr="00930FA6">
              <w:rPr>
                <w:rFonts w:ascii="Times New Roman" w:hAnsi="Times New Roman"/>
                <w:sz w:val="20"/>
              </w:rPr>
              <w:t>460</w:t>
            </w:r>
          </w:p>
        </w:tc>
        <w:tc>
          <w:tcPr>
            <w:tcW w:w="1530" w:type="dxa"/>
            <w:vAlign w:val="center"/>
          </w:tcPr>
          <w:p w:rsidRPr="00930FA6" w:rsidR="00930FA6" w:rsidP="00930FA6" w:rsidRDefault="00930FA6" w14:paraId="28974E58" w14:textId="6D8BF58B">
            <w:pPr>
              <w:jc w:val="center"/>
              <w:rPr>
                <w:rFonts w:ascii="Times New Roman" w:hAnsi="Times New Roman"/>
                <w:sz w:val="20"/>
              </w:rPr>
            </w:pPr>
            <w:r w:rsidRPr="00930FA6">
              <w:rPr>
                <w:rFonts w:ascii="Times New Roman" w:hAnsi="Times New Roman"/>
                <w:sz w:val="20"/>
              </w:rPr>
              <w:t>$</w:t>
            </w:r>
            <w:r w:rsidRPr="00930FA6">
              <w:rPr>
                <w:rFonts w:ascii="Times New Roman" w:hAnsi="Times New Roman"/>
                <w:bCs/>
                <w:sz w:val="20"/>
              </w:rPr>
              <w:t>24.69</w:t>
            </w:r>
          </w:p>
        </w:tc>
        <w:tc>
          <w:tcPr>
            <w:tcW w:w="1350" w:type="dxa"/>
            <w:vAlign w:val="center"/>
          </w:tcPr>
          <w:p w:rsidRPr="00930FA6" w:rsidR="00930FA6" w:rsidP="00930FA6" w:rsidRDefault="00930FA6" w14:paraId="4FA53E2A" w14:textId="26373224">
            <w:pPr>
              <w:jc w:val="center"/>
              <w:rPr>
                <w:rFonts w:ascii="Times New Roman" w:hAnsi="Times New Roman"/>
                <w:sz w:val="20"/>
              </w:rPr>
            </w:pPr>
            <w:r w:rsidRPr="00930FA6">
              <w:rPr>
                <w:rFonts w:ascii="Times New Roman" w:hAnsi="Times New Roman"/>
                <w:sz w:val="20"/>
              </w:rPr>
              <w:t>$11,357</w:t>
            </w:r>
          </w:p>
        </w:tc>
      </w:tr>
      <w:tr w:rsidRPr="00442E07" w:rsidR="00930FA6" w:rsidTr="00930FA6" w14:paraId="7A9496B0" w14:textId="77777777">
        <w:tc>
          <w:tcPr>
            <w:tcW w:w="1975" w:type="dxa"/>
            <w:vAlign w:val="center"/>
          </w:tcPr>
          <w:p w:rsidR="00930FA6" w:rsidP="00930FA6" w:rsidRDefault="00930FA6" w14:paraId="26D114C6" w14:textId="77777777">
            <w:pPr>
              <w:jc w:val="center"/>
              <w:rPr>
                <w:rFonts w:ascii="Times New Roman" w:hAnsi="Times New Roman"/>
                <w:sz w:val="20"/>
              </w:rPr>
            </w:pPr>
            <w:r w:rsidRPr="00930FA6">
              <w:rPr>
                <w:rFonts w:ascii="Times New Roman" w:hAnsi="Times New Roman"/>
                <w:sz w:val="20"/>
              </w:rPr>
              <w:t>Employer representatives: Employment Verification Form</w:t>
            </w:r>
          </w:p>
          <w:p w:rsidRPr="00930FA6" w:rsidR="006E1E3A" w:rsidP="00930FA6" w:rsidRDefault="00A948FB" w14:paraId="0EEB49CE" w14:textId="7B9E784B">
            <w:pPr>
              <w:jc w:val="center"/>
              <w:rPr>
                <w:rFonts w:ascii="Times New Roman" w:hAnsi="Times New Roman"/>
                <w:sz w:val="20"/>
              </w:rPr>
            </w:pPr>
            <w:r>
              <w:rPr>
                <w:rFonts w:ascii="Times New Roman" w:hAnsi="Times New Roman"/>
                <w:sz w:val="20"/>
              </w:rPr>
              <w:t>(</w:t>
            </w:r>
            <w:r w:rsidR="00283B46">
              <w:rPr>
                <w:rFonts w:ascii="Times New Roman" w:hAnsi="Times New Roman"/>
                <w:sz w:val="20"/>
              </w:rPr>
              <w:t>State, Local, or Tribal Go</w:t>
            </w:r>
            <w:r w:rsidR="00FD5CAA">
              <w:rPr>
                <w:rFonts w:ascii="Times New Roman" w:hAnsi="Times New Roman"/>
                <w:sz w:val="20"/>
              </w:rPr>
              <w:t>vernment</w:t>
            </w:r>
            <w:r>
              <w:rPr>
                <w:rFonts w:ascii="Times New Roman" w:hAnsi="Times New Roman"/>
                <w:sz w:val="20"/>
              </w:rPr>
              <w:t>)</w:t>
            </w:r>
          </w:p>
        </w:tc>
        <w:tc>
          <w:tcPr>
            <w:tcW w:w="990" w:type="dxa"/>
            <w:vAlign w:val="center"/>
          </w:tcPr>
          <w:p w:rsidRPr="00930FA6" w:rsidR="00930FA6" w:rsidP="00930FA6" w:rsidRDefault="00930FA6" w14:paraId="737B216D" w14:textId="77777777">
            <w:pPr>
              <w:jc w:val="center"/>
              <w:rPr>
                <w:rFonts w:ascii="Times New Roman" w:hAnsi="Times New Roman"/>
                <w:sz w:val="20"/>
              </w:rPr>
            </w:pPr>
          </w:p>
        </w:tc>
        <w:tc>
          <w:tcPr>
            <w:tcW w:w="900" w:type="dxa"/>
            <w:vAlign w:val="center"/>
          </w:tcPr>
          <w:p w:rsidRPr="00930FA6" w:rsidR="00930FA6" w:rsidP="00930FA6" w:rsidRDefault="00930FA6" w14:paraId="55BE3846" w14:textId="77777777">
            <w:pPr>
              <w:jc w:val="center"/>
              <w:rPr>
                <w:rFonts w:ascii="Times New Roman" w:hAnsi="Times New Roman"/>
                <w:sz w:val="20"/>
              </w:rPr>
            </w:pPr>
          </w:p>
        </w:tc>
        <w:tc>
          <w:tcPr>
            <w:tcW w:w="1275" w:type="dxa"/>
            <w:vAlign w:val="center"/>
          </w:tcPr>
          <w:p w:rsidRPr="00930FA6" w:rsidR="00930FA6" w:rsidP="00930FA6" w:rsidRDefault="00930FA6" w14:paraId="7D81C1FF" w14:textId="65BF62DA">
            <w:pPr>
              <w:jc w:val="center"/>
              <w:rPr>
                <w:rFonts w:ascii="Times New Roman" w:hAnsi="Times New Roman"/>
                <w:sz w:val="20"/>
              </w:rPr>
            </w:pPr>
            <w:r w:rsidRPr="00930FA6">
              <w:rPr>
                <w:rFonts w:ascii="Times New Roman" w:hAnsi="Times New Roman"/>
                <w:sz w:val="20"/>
              </w:rPr>
              <w:t>920</w:t>
            </w:r>
            <w:r w:rsidRPr="00930FA6">
              <w:rPr>
                <w:rStyle w:val="FootnoteReference"/>
                <w:rFonts w:ascii="Times New Roman" w:hAnsi="Times New Roman"/>
                <w:sz w:val="20"/>
              </w:rPr>
              <w:footnoteReference w:id="2"/>
            </w:r>
            <w:r w:rsidRPr="00930FA6">
              <w:rPr>
                <w:rFonts w:ascii="Times New Roman" w:hAnsi="Times New Roman"/>
                <w:sz w:val="20"/>
              </w:rPr>
              <w:t xml:space="preserve"> participants employed  in schools</w:t>
            </w:r>
          </w:p>
        </w:tc>
        <w:tc>
          <w:tcPr>
            <w:tcW w:w="1080" w:type="dxa"/>
            <w:vAlign w:val="center"/>
          </w:tcPr>
          <w:p w:rsidRPr="00930FA6" w:rsidR="00930FA6" w:rsidP="00930FA6" w:rsidRDefault="00BD080A" w14:paraId="75FC5B67" w14:textId="5B03ECA1">
            <w:pPr>
              <w:jc w:val="center"/>
              <w:rPr>
                <w:rFonts w:ascii="Times New Roman" w:hAnsi="Times New Roman"/>
                <w:sz w:val="20"/>
              </w:rPr>
            </w:pPr>
            <w:r>
              <w:rPr>
                <w:rFonts w:ascii="Times New Roman" w:hAnsi="Times New Roman"/>
                <w:sz w:val="20"/>
              </w:rPr>
              <w:t>920</w:t>
            </w:r>
          </w:p>
        </w:tc>
        <w:tc>
          <w:tcPr>
            <w:tcW w:w="1335" w:type="dxa"/>
            <w:vAlign w:val="center"/>
          </w:tcPr>
          <w:p w:rsidRPr="00930FA6" w:rsidR="00930FA6" w:rsidP="00930FA6" w:rsidRDefault="00930FA6" w14:paraId="6D4B83B7" w14:textId="66451BBE">
            <w:pPr>
              <w:jc w:val="center"/>
              <w:rPr>
                <w:rFonts w:ascii="Times New Roman" w:hAnsi="Times New Roman"/>
                <w:sz w:val="20"/>
              </w:rPr>
            </w:pPr>
            <w:r w:rsidRPr="00930FA6">
              <w:rPr>
                <w:rFonts w:ascii="Times New Roman" w:hAnsi="Times New Roman"/>
                <w:sz w:val="20"/>
              </w:rPr>
              <w:t>0.33</w:t>
            </w:r>
          </w:p>
        </w:tc>
        <w:tc>
          <w:tcPr>
            <w:tcW w:w="900" w:type="dxa"/>
            <w:vAlign w:val="center"/>
          </w:tcPr>
          <w:p w:rsidRPr="00930FA6" w:rsidR="00930FA6" w:rsidP="00930FA6" w:rsidRDefault="00930FA6" w14:paraId="0508E2B8" w14:textId="4794D933">
            <w:pPr>
              <w:pStyle w:val="EndnoteText"/>
              <w:tabs>
                <w:tab w:val="clear" w:pos="-720"/>
              </w:tabs>
              <w:suppressAutoHyphens w:val="0"/>
              <w:jc w:val="center"/>
              <w:rPr>
                <w:rFonts w:ascii="Times New Roman" w:hAnsi="Times New Roman"/>
                <w:sz w:val="20"/>
              </w:rPr>
            </w:pPr>
            <w:r w:rsidRPr="00930FA6">
              <w:rPr>
                <w:rFonts w:ascii="Times New Roman" w:hAnsi="Times New Roman"/>
                <w:sz w:val="20"/>
              </w:rPr>
              <w:t>304</w:t>
            </w:r>
          </w:p>
        </w:tc>
        <w:tc>
          <w:tcPr>
            <w:tcW w:w="1530" w:type="dxa"/>
            <w:vAlign w:val="center"/>
          </w:tcPr>
          <w:p w:rsidRPr="00930FA6" w:rsidR="00930FA6" w:rsidP="00930FA6" w:rsidRDefault="00930FA6" w14:paraId="40EE5B3A" w14:textId="2D57B615">
            <w:pPr>
              <w:jc w:val="center"/>
              <w:rPr>
                <w:rFonts w:ascii="Times New Roman" w:hAnsi="Times New Roman"/>
                <w:sz w:val="20"/>
              </w:rPr>
            </w:pPr>
            <w:r w:rsidRPr="00930FA6">
              <w:rPr>
                <w:rFonts w:ascii="Times New Roman" w:hAnsi="Times New Roman"/>
                <w:sz w:val="20"/>
              </w:rPr>
              <w:t>$50.00</w:t>
            </w:r>
          </w:p>
        </w:tc>
        <w:tc>
          <w:tcPr>
            <w:tcW w:w="1350" w:type="dxa"/>
            <w:vAlign w:val="center"/>
          </w:tcPr>
          <w:p w:rsidRPr="00930FA6" w:rsidR="00930FA6" w:rsidP="00930FA6" w:rsidRDefault="00930FA6" w14:paraId="132E8442" w14:textId="2E8B5955">
            <w:pPr>
              <w:jc w:val="center"/>
              <w:rPr>
                <w:rFonts w:ascii="Times New Roman" w:hAnsi="Times New Roman"/>
                <w:sz w:val="20"/>
              </w:rPr>
            </w:pPr>
            <w:r w:rsidRPr="00930FA6">
              <w:rPr>
                <w:rFonts w:ascii="Times New Roman" w:hAnsi="Times New Roman"/>
                <w:sz w:val="20"/>
              </w:rPr>
              <w:t>$15,200</w:t>
            </w:r>
          </w:p>
        </w:tc>
      </w:tr>
      <w:tr w:rsidRPr="00442E07" w:rsidR="00767641" w:rsidTr="00930FA6" w14:paraId="58CE25B0" w14:textId="77777777">
        <w:tc>
          <w:tcPr>
            <w:tcW w:w="1975" w:type="dxa"/>
            <w:vAlign w:val="center"/>
          </w:tcPr>
          <w:p w:rsidRPr="00442E07" w:rsidR="00767641" w:rsidP="00930FA6" w:rsidRDefault="00767641" w14:paraId="58CE25A7" w14:textId="77777777">
            <w:pPr>
              <w:jc w:val="center"/>
              <w:rPr>
                <w:rFonts w:ascii="Times New Roman" w:hAnsi="Times New Roman"/>
                <w:szCs w:val="24"/>
              </w:rPr>
            </w:pPr>
            <w:r>
              <w:rPr>
                <w:rFonts w:ascii="Times New Roman" w:hAnsi="Times New Roman"/>
                <w:szCs w:val="24"/>
              </w:rPr>
              <w:t>Annualized Totals</w:t>
            </w:r>
          </w:p>
        </w:tc>
        <w:tc>
          <w:tcPr>
            <w:tcW w:w="990" w:type="dxa"/>
            <w:vAlign w:val="center"/>
          </w:tcPr>
          <w:p w:rsidRPr="00442E07" w:rsidR="00767641" w:rsidP="00930FA6" w:rsidRDefault="00767641" w14:paraId="58CE25A8" w14:textId="77777777">
            <w:pPr>
              <w:jc w:val="center"/>
              <w:rPr>
                <w:rFonts w:ascii="Times New Roman" w:hAnsi="Times New Roman"/>
                <w:szCs w:val="24"/>
              </w:rPr>
            </w:pPr>
          </w:p>
        </w:tc>
        <w:tc>
          <w:tcPr>
            <w:tcW w:w="900" w:type="dxa"/>
            <w:vAlign w:val="center"/>
          </w:tcPr>
          <w:p w:rsidRPr="00442E07" w:rsidR="00767641" w:rsidP="00930FA6" w:rsidRDefault="00767641" w14:paraId="58CE25A9" w14:textId="77777777">
            <w:pPr>
              <w:jc w:val="center"/>
              <w:rPr>
                <w:rFonts w:ascii="Times New Roman" w:hAnsi="Times New Roman"/>
                <w:szCs w:val="24"/>
              </w:rPr>
            </w:pPr>
          </w:p>
        </w:tc>
        <w:tc>
          <w:tcPr>
            <w:tcW w:w="1275" w:type="dxa"/>
            <w:vAlign w:val="center"/>
          </w:tcPr>
          <w:p w:rsidRPr="00442E07" w:rsidR="00767641" w:rsidP="00930FA6" w:rsidRDefault="00BD080A" w14:paraId="58CE25AA" w14:textId="217FF3B7">
            <w:pPr>
              <w:jc w:val="center"/>
              <w:rPr>
                <w:rFonts w:ascii="Times New Roman" w:hAnsi="Times New Roman"/>
                <w:szCs w:val="24"/>
              </w:rPr>
            </w:pPr>
            <w:r>
              <w:rPr>
                <w:rFonts w:ascii="Times New Roman" w:hAnsi="Times New Roman"/>
                <w:szCs w:val="24"/>
              </w:rPr>
              <w:t>2,326</w:t>
            </w:r>
          </w:p>
        </w:tc>
        <w:tc>
          <w:tcPr>
            <w:tcW w:w="1080" w:type="dxa"/>
            <w:vAlign w:val="center"/>
          </w:tcPr>
          <w:p w:rsidRPr="00442E07" w:rsidR="00767641" w:rsidP="00930FA6" w:rsidRDefault="00EE05E7" w14:paraId="58CE25AB" w14:textId="2DA0D5E2">
            <w:pPr>
              <w:jc w:val="center"/>
              <w:rPr>
                <w:rFonts w:ascii="Times New Roman" w:hAnsi="Times New Roman"/>
                <w:szCs w:val="24"/>
              </w:rPr>
            </w:pPr>
            <w:r>
              <w:rPr>
                <w:rFonts w:ascii="Times New Roman" w:hAnsi="Times New Roman"/>
                <w:szCs w:val="24"/>
              </w:rPr>
              <w:t>2,326</w:t>
            </w:r>
          </w:p>
        </w:tc>
        <w:tc>
          <w:tcPr>
            <w:tcW w:w="1335" w:type="dxa"/>
            <w:vAlign w:val="center"/>
          </w:tcPr>
          <w:p w:rsidRPr="00442E07" w:rsidR="00767641" w:rsidP="00930FA6" w:rsidRDefault="00767641" w14:paraId="58CE25AC" w14:textId="77777777">
            <w:pPr>
              <w:jc w:val="center"/>
              <w:rPr>
                <w:rFonts w:ascii="Times New Roman" w:hAnsi="Times New Roman"/>
                <w:szCs w:val="24"/>
              </w:rPr>
            </w:pPr>
          </w:p>
        </w:tc>
        <w:tc>
          <w:tcPr>
            <w:tcW w:w="900" w:type="dxa"/>
            <w:vAlign w:val="center"/>
          </w:tcPr>
          <w:p w:rsidRPr="00442E07" w:rsidR="00767641" w:rsidP="00930FA6" w:rsidRDefault="00AF45F7" w14:paraId="58CE25AD" w14:textId="4CD97EF1">
            <w:pPr>
              <w:jc w:val="center"/>
              <w:rPr>
                <w:rFonts w:ascii="Times New Roman" w:hAnsi="Times New Roman"/>
                <w:szCs w:val="24"/>
              </w:rPr>
            </w:pPr>
            <w:r>
              <w:rPr>
                <w:rFonts w:ascii="Times New Roman" w:hAnsi="Times New Roman"/>
                <w:szCs w:val="24"/>
              </w:rPr>
              <w:t>3,004</w:t>
            </w:r>
          </w:p>
        </w:tc>
        <w:tc>
          <w:tcPr>
            <w:tcW w:w="1530" w:type="dxa"/>
            <w:vAlign w:val="center"/>
          </w:tcPr>
          <w:p w:rsidRPr="00442E07" w:rsidR="00767641" w:rsidP="00930FA6" w:rsidRDefault="00767641" w14:paraId="58CE25AE" w14:textId="77777777">
            <w:pPr>
              <w:jc w:val="center"/>
              <w:rPr>
                <w:rFonts w:ascii="Times New Roman" w:hAnsi="Times New Roman"/>
                <w:szCs w:val="24"/>
              </w:rPr>
            </w:pPr>
          </w:p>
        </w:tc>
        <w:tc>
          <w:tcPr>
            <w:tcW w:w="1350" w:type="dxa"/>
            <w:vAlign w:val="center"/>
          </w:tcPr>
          <w:p w:rsidRPr="00442E07" w:rsidR="00767641" w:rsidP="00930FA6" w:rsidRDefault="00F56C03" w14:paraId="58CE25AF" w14:textId="7A4CC2A2">
            <w:pPr>
              <w:jc w:val="center"/>
              <w:rPr>
                <w:rFonts w:ascii="Times New Roman" w:hAnsi="Times New Roman"/>
                <w:szCs w:val="24"/>
              </w:rPr>
            </w:pPr>
            <w:r w:rsidRPr="00E175F4">
              <w:rPr>
                <w:rFonts w:ascii="Times New Roman" w:hAnsi="Times New Roman"/>
                <w:szCs w:val="24"/>
              </w:rPr>
              <w:t>$</w:t>
            </w:r>
            <w:r>
              <w:rPr>
                <w:rFonts w:ascii="Times New Roman" w:hAnsi="Times New Roman"/>
                <w:szCs w:val="24"/>
              </w:rPr>
              <w:t>133,495</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58CE25BE" w14:textId="38D91B6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83880" w:rsidP="00AD381B" w:rsidRDefault="00083880" w14:paraId="7BFC0A36" w14:textId="0F20BFBE">
      <w:pPr>
        <w:tabs>
          <w:tab w:val="left" w:pos="-720"/>
        </w:tabs>
        <w:suppressAutoHyphens/>
        <w:rPr>
          <w:rFonts w:ascii="Times New Roman" w:hAnsi="Times New Roman"/>
          <w:b/>
          <w:szCs w:val="24"/>
        </w:rPr>
      </w:pPr>
    </w:p>
    <w:p w:rsidRPr="00E175F4" w:rsidR="00083880" w:rsidP="00083880" w:rsidRDefault="00083880" w14:paraId="2524E9DD" w14:textId="77777777">
      <w:pPr>
        <w:ind w:left="810" w:firstLine="90"/>
        <w:rPr>
          <w:rFonts w:ascii="Times New Roman" w:hAnsi="Times New Roman"/>
          <w:szCs w:val="24"/>
        </w:rPr>
      </w:pPr>
      <w:r w:rsidRPr="00E175F4">
        <w:rPr>
          <w:rFonts w:ascii="Times New Roman" w:hAnsi="Times New Roman"/>
          <w:szCs w:val="24"/>
        </w:rPr>
        <w:t xml:space="preserve">There are no start-up costs or annual operational costs associated with this application. </w:t>
      </w:r>
    </w:p>
    <w:p w:rsidRPr="00ED7195" w:rsidR="00083880" w:rsidP="00AD381B" w:rsidRDefault="00083880" w14:paraId="766894E4" w14:textId="77777777">
      <w:pPr>
        <w:tabs>
          <w:tab w:val="left" w:pos="-720"/>
        </w:tabs>
        <w:suppressAutoHyphens/>
        <w:rPr>
          <w:rFonts w:ascii="Times New Roman" w:hAnsi="Times New Roman"/>
          <w:b/>
          <w:szCs w:val="24"/>
        </w:rPr>
      </w:pPr>
    </w:p>
    <w:p w:rsidR="00043C32" w:rsidP="00AD381B" w:rsidRDefault="00043C32" w14:paraId="58CE25C0" w14:textId="33DB68AD">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83880" w:rsidP="00083880" w:rsidRDefault="00083880" w14:paraId="034B7FDB" w14:textId="0274A138">
      <w:pPr>
        <w:pStyle w:val="ListParagraph"/>
        <w:tabs>
          <w:tab w:val="left" w:pos="-720"/>
        </w:tabs>
        <w:suppressAutoHyphens/>
        <w:ind w:left="900"/>
        <w:contextualSpacing w:val="0"/>
        <w:rPr>
          <w:rStyle w:val="a"/>
          <w:rFonts w:ascii="Times New Roman" w:hAnsi="Times New Roman"/>
          <w:b/>
          <w:szCs w:val="24"/>
        </w:rPr>
      </w:pPr>
    </w:p>
    <w:p w:rsidRPr="00E175F4" w:rsidR="002B5F2B" w:rsidP="00A901E6" w:rsidRDefault="00A901E6" w14:paraId="0A2011C2" w14:textId="77C71199">
      <w:pPr>
        <w:ind w:left="900"/>
        <w:rPr>
          <w:rFonts w:ascii="Times New Roman" w:hAnsi="Times New Roman"/>
          <w:bCs/>
          <w:szCs w:val="24"/>
        </w:rPr>
      </w:pPr>
      <w:r>
        <w:rPr>
          <w:rFonts w:ascii="Times New Roman" w:hAnsi="Times New Roman"/>
          <w:bCs/>
          <w:szCs w:val="24"/>
        </w:rPr>
        <w:tab/>
      </w:r>
      <w:r w:rsidRPr="00E175F4" w:rsidR="002B5F2B">
        <w:rPr>
          <w:rFonts w:ascii="Times New Roman" w:hAnsi="Times New Roman"/>
          <w:bCs/>
          <w:szCs w:val="24"/>
        </w:rPr>
        <w:t>The total annual cost to the federal government reflects the combined costs for OIE to contract the data collection and reporting tasks and provide management and oversight of that contract (see Table A below).</w:t>
      </w:r>
    </w:p>
    <w:p w:rsidRPr="00DD105B" w:rsidR="002B5F2B" w:rsidP="002B5F2B" w:rsidRDefault="002B5F2B" w14:paraId="0B55F44E" w14:textId="2A868EFE">
      <w:pPr>
        <w:jc w:val="center"/>
        <w:rPr>
          <w:rFonts w:ascii="Times New Roman" w:hAnsi="Times New Roman"/>
          <w:b/>
          <w:bCs/>
          <w:szCs w:val="24"/>
        </w:rPr>
      </w:pPr>
      <w:r w:rsidRPr="00DD105B">
        <w:rPr>
          <w:rFonts w:ascii="Times New Roman" w:hAnsi="Times New Roman"/>
          <w:b/>
          <w:bCs/>
          <w:szCs w:val="24"/>
        </w:rPr>
        <w:t>Table A. Total Annual Cost to Federal Government by Type of Cost</w:t>
      </w: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4055"/>
        <w:gridCol w:w="1236"/>
      </w:tblGrid>
      <w:tr w:rsidRPr="00E175F4" w:rsidR="002B5F2B" w:rsidTr="009E7BC9" w14:paraId="1F233E18" w14:textId="77777777">
        <w:tc>
          <w:tcPr>
            <w:tcW w:w="4055" w:type="dxa"/>
            <w:tcBorders>
              <w:top w:val="single" w:color="auto" w:sz="4" w:space="0"/>
              <w:bottom w:val="single" w:color="auto" w:sz="4" w:space="0"/>
            </w:tcBorders>
          </w:tcPr>
          <w:p w:rsidRPr="00E175F4" w:rsidR="002B5F2B" w:rsidP="009E7BC9" w:rsidRDefault="002B5F2B" w14:paraId="7B8A09FB" w14:textId="77777777">
            <w:pPr>
              <w:jc w:val="center"/>
              <w:rPr>
                <w:rFonts w:ascii="Times New Roman" w:hAnsi="Times New Roman"/>
                <w:szCs w:val="24"/>
              </w:rPr>
            </w:pPr>
            <w:r w:rsidRPr="00E175F4">
              <w:rPr>
                <w:rFonts w:ascii="Times New Roman" w:hAnsi="Times New Roman"/>
                <w:szCs w:val="24"/>
              </w:rPr>
              <w:t>Type of Cost</w:t>
            </w:r>
          </w:p>
        </w:tc>
        <w:tc>
          <w:tcPr>
            <w:tcW w:w="1236" w:type="dxa"/>
            <w:tcBorders>
              <w:top w:val="single" w:color="auto" w:sz="4" w:space="0"/>
              <w:bottom w:val="single" w:color="auto" w:sz="4" w:space="0"/>
            </w:tcBorders>
          </w:tcPr>
          <w:p w:rsidRPr="00E175F4" w:rsidR="002B5F2B" w:rsidP="009E7BC9" w:rsidRDefault="002B5F2B" w14:paraId="79ADE47B" w14:textId="77777777">
            <w:pPr>
              <w:jc w:val="center"/>
              <w:rPr>
                <w:rFonts w:ascii="Times New Roman" w:hAnsi="Times New Roman"/>
                <w:szCs w:val="24"/>
              </w:rPr>
            </w:pPr>
            <w:r w:rsidRPr="00E175F4">
              <w:rPr>
                <w:rFonts w:ascii="Times New Roman" w:hAnsi="Times New Roman"/>
                <w:szCs w:val="24"/>
              </w:rPr>
              <w:t>Cost</w:t>
            </w:r>
          </w:p>
        </w:tc>
      </w:tr>
      <w:tr w:rsidRPr="00E175F4" w:rsidR="002B5F2B" w:rsidTr="009E7BC9" w14:paraId="5E6A3EF2" w14:textId="77777777">
        <w:tc>
          <w:tcPr>
            <w:tcW w:w="4055" w:type="dxa"/>
            <w:tcBorders>
              <w:top w:val="single" w:color="auto" w:sz="4" w:space="0"/>
              <w:bottom w:val="single" w:color="auto" w:sz="4" w:space="0"/>
            </w:tcBorders>
          </w:tcPr>
          <w:p w:rsidRPr="00E175F4" w:rsidR="002B5F2B" w:rsidP="009E7BC9" w:rsidRDefault="002B5F2B" w14:paraId="2611D87E" w14:textId="77777777">
            <w:pPr>
              <w:jc w:val="center"/>
              <w:rPr>
                <w:rFonts w:ascii="Times New Roman" w:hAnsi="Times New Roman"/>
                <w:szCs w:val="24"/>
              </w:rPr>
            </w:pPr>
            <w:r w:rsidRPr="00E175F4">
              <w:rPr>
                <w:rFonts w:ascii="Times New Roman" w:hAnsi="Times New Roman"/>
                <w:szCs w:val="24"/>
              </w:rPr>
              <w:t>OIE Staff (salaries)</w:t>
            </w:r>
          </w:p>
        </w:tc>
        <w:tc>
          <w:tcPr>
            <w:tcW w:w="1236" w:type="dxa"/>
            <w:tcBorders>
              <w:top w:val="single" w:color="auto" w:sz="4" w:space="0"/>
              <w:bottom w:val="single" w:color="auto" w:sz="4" w:space="0"/>
            </w:tcBorders>
          </w:tcPr>
          <w:p w:rsidRPr="00E175F4" w:rsidR="002B5F2B" w:rsidP="009E7BC9" w:rsidRDefault="002B5F2B" w14:paraId="15AB0EFA" w14:textId="77777777">
            <w:pPr>
              <w:jc w:val="center"/>
              <w:rPr>
                <w:rFonts w:ascii="Times New Roman" w:hAnsi="Times New Roman"/>
                <w:szCs w:val="24"/>
              </w:rPr>
            </w:pPr>
            <w:r w:rsidRPr="00DD105B">
              <w:rPr>
                <w:rFonts w:ascii="Times New Roman" w:hAnsi="Times New Roman"/>
                <w:szCs w:val="24"/>
              </w:rPr>
              <w:t>$</w:t>
            </w:r>
            <w:r>
              <w:rPr>
                <w:rFonts w:ascii="Times New Roman" w:hAnsi="Times New Roman"/>
                <w:szCs w:val="24"/>
              </w:rPr>
              <w:t>72,500</w:t>
            </w:r>
          </w:p>
        </w:tc>
      </w:tr>
      <w:tr w:rsidRPr="00E175F4" w:rsidR="002B5F2B" w:rsidTr="009E7BC9" w14:paraId="03C23970" w14:textId="77777777">
        <w:tc>
          <w:tcPr>
            <w:tcW w:w="4055" w:type="dxa"/>
            <w:tcBorders>
              <w:top w:val="single" w:color="auto" w:sz="4" w:space="0"/>
              <w:bottom w:val="single" w:color="auto" w:sz="4" w:space="0"/>
            </w:tcBorders>
          </w:tcPr>
          <w:p w:rsidRPr="00E175F4" w:rsidR="002B5F2B" w:rsidP="009E7BC9" w:rsidRDefault="002B5F2B" w14:paraId="2CFDB79C" w14:textId="77777777">
            <w:pPr>
              <w:jc w:val="center"/>
              <w:rPr>
                <w:rFonts w:ascii="Times New Roman" w:hAnsi="Times New Roman"/>
                <w:szCs w:val="24"/>
              </w:rPr>
            </w:pPr>
            <w:r w:rsidRPr="00E175F4">
              <w:rPr>
                <w:rFonts w:ascii="Times New Roman" w:hAnsi="Times New Roman"/>
                <w:szCs w:val="24"/>
              </w:rPr>
              <w:t>Contractor Data Services (Fixed price)</w:t>
            </w:r>
          </w:p>
        </w:tc>
        <w:tc>
          <w:tcPr>
            <w:tcW w:w="1236" w:type="dxa"/>
            <w:tcBorders>
              <w:top w:val="single" w:color="auto" w:sz="4" w:space="0"/>
              <w:bottom w:val="single" w:color="auto" w:sz="4" w:space="0"/>
            </w:tcBorders>
          </w:tcPr>
          <w:p w:rsidRPr="00E175F4" w:rsidR="002B5F2B" w:rsidP="009E7BC9" w:rsidRDefault="002B5F2B" w14:paraId="1C79B284" w14:textId="77777777">
            <w:pPr>
              <w:jc w:val="center"/>
              <w:rPr>
                <w:rFonts w:ascii="Times New Roman" w:hAnsi="Times New Roman"/>
                <w:szCs w:val="24"/>
              </w:rPr>
            </w:pPr>
            <w:r w:rsidRPr="00E175F4">
              <w:rPr>
                <w:rFonts w:ascii="Times New Roman" w:hAnsi="Times New Roman"/>
                <w:szCs w:val="24"/>
              </w:rPr>
              <w:t>$1</w:t>
            </w:r>
            <w:r>
              <w:rPr>
                <w:rFonts w:ascii="Times New Roman" w:hAnsi="Times New Roman"/>
                <w:szCs w:val="24"/>
              </w:rPr>
              <w:t>75</w:t>
            </w:r>
            <w:r w:rsidRPr="00E175F4">
              <w:rPr>
                <w:rFonts w:ascii="Times New Roman" w:hAnsi="Times New Roman"/>
                <w:szCs w:val="24"/>
              </w:rPr>
              <w:t>,</w:t>
            </w:r>
            <w:r>
              <w:rPr>
                <w:rFonts w:ascii="Times New Roman" w:hAnsi="Times New Roman"/>
                <w:szCs w:val="24"/>
              </w:rPr>
              <w:t>000</w:t>
            </w:r>
          </w:p>
        </w:tc>
      </w:tr>
      <w:tr w:rsidRPr="00E175F4" w:rsidR="002B5F2B" w:rsidTr="009E7BC9" w14:paraId="08778CE4" w14:textId="77777777">
        <w:tc>
          <w:tcPr>
            <w:tcW w:w="4055" w:type="dxa"/>
            <w:tcBorders>
              <w:top w:val="single" w:color="auto" w:sz="4" w:space="0"/>
            </w:tcBorders>
          </w:tcPr>
          <w:p w:rsidRPr="00E175F4" w:rsidR="002B5F2B" w:rsidP="009E7BC9" w:rsidRDefault="002B5F2B" w14:paraId="4D223C1A" w14:textId="77777777">
            <w:pPr>
              <w:jc w:val="center"/>
              <w:rPr>
                <w:rFonts w:ascii="Times New Roman" w:hAnsi="Times New Roman"/>
                <w:szCs w:val="24"/>
              </w:rPr>
            </w:pPr>
            <w:r w:rsidRPr="00E175F4">
              <w:rPr>
                <w:rFonts w:ascii="Times New Roman" w:hAnsi="Times New Roman"/>
                <w:szCs w:val="24"/>
              </w:rPr>
              <w:t>Total</w:t>
            </w:r>
          </w:p>
        </w:tc>
        <w:tc>
          <w:tcPr>
            <w:tcW w:w="1236" w:type="dxa"/>
            <w:tcBorders>
              <w:top w:val="nil"/>
            </w:tcBorders>
          </w:tcPr>
          <w:p w:rsidRPr="00E175F4" w:rsidR="002B5F2B" w:rsidP="009E7BC9" w:rsidRDefault="002B5F2B" w14:paraId="3568970D" w14:textId="77777777">
            <w:pPr>
              <w:jc w:val="center"/>
              <w:rPr>
                <w:rFonts w:ascii="Times New Roman" w:hAnsi="Times New Roman"/>
                <w:szCs w:val="24"/>
              </w:rPr>
            </w:pPr>
            <w:r w:rsidRPr="00E175F4">
              <w:rPr>
                <w:rFonts w:ascii="Times New Roman" w:hAnsi="Times New Roman"/>
                <w:szCs w:val="24"/>
              </w:rPr>
              <w:t>$</w:t>
            </w:r>
            <w:r>
              <w:rPr>
                <w:rFonts w:ascii="Times New Roman" w:hAnsi="Times New Roman"/>
                <w:szCs w:val="24"/>
              </w:rPr>
              <w:t>222</w:t>
            </w:r>
            <w:r w:rsidRPr="00E175F4">
              <w:rPr>
                <w:rFonts w:ascii="Times New Roman" w:hAnsi="Times New Roman"/>
                <w:szCs w:val="24"/>
              </w:rPr>
              <w:t>,</w:t>
            </w:r>
            <w:r>
              <w:rPr>
                <w:rFonts w:ascii="Times New Roman" w:hAnsi="Times New Roman"/>
                <w:szCs w:val="24"/>
              </w:rPr>
              <w:t>500</w:t>
            </w:r>
          </w:p>
        </w:tc>
      </w:tr>
    </w:tbl>
    <w:p w:rsidRPr="00E175F4" w:rsidR="002B5F2B" w:rsidP="002B5F2B" w:rsidRDefault="002B5F2B" w14:paraId="6D64BF06" w14:textId="77777777">
      <w:pPr>
        <w:jc w:val="center"/>
        <w:rPr>
          <w:rFonts w:ascii="Times New Roman" w:hAnsi="Times New Roman"/>
          <w:bCs/>
          <w:szCs w:val="24"/>
        </w:rPr>
      </w:pPr>
      <w:r w:rsidRPr="00E175F4">
        <w:rPr>
          <w:rFonts w:ascii="Times New Roman" w:hAnsi="Times New Roman"/>
          <w:bCs/>
          <w:szCs w:val="24"/>
        </w:rPr>
        <w:br w:type="textWrapping" w:clear="all"/>
      </w:r>
    </w:p>
    <w:p w:rsidRPr="00E175F4" w:rsidR="002B5F2B" w:rsidP="00A901E6" w:rsidRDefault="00A901E6" w14:paraId="4D012BDC" w14:textId="3766A4A5">
      <w:pPr>
        <w:ind w:left="900"/>
        <w:rPr>
          <w:rFonts w:ascii="Times New Roman" w:hAnsi="Times New Roman" w:eastAsia="Arial Unicode MS"/>
          <w:noProof/>
          <w:szCs w:val="24"/>
        </w:rPr>
      </w:pPr>
      <w:r>
        <w:rPr>
          <w:rFonts w:ascii="Times New Roman" w:hAnsi="Times New Roman"/>
          <w:szCs w:val="24"/>
        </w:rPr>
        <w:tab/>
      </w:r>
      <w:r w:rsidRPr="00E175F4" w:rsidR="002B5F2B">
        <w:rPr>
          <w:rFonts w:ascii="Times New Roman" w:hAnsi="Times New Roman"/>
          <w:szCs w:val="24"/>
        </w:rPr>
        <w:t xml:space="preserve">The OIE has secured a fixed price contract with </w:t>
      </w:r>
      <w:proofErr w:type="spellStart"/>
      <w:r w:rsidR="002B5F2B">
        <w:rPr>
          <w:rFonts w:ascii="Times New Roman" w:hAnsi="Times New Roman"/>
          <w:szCs w:val="24"/>
        </w:rPr>
        <w:t>AnLar</w:t>
      </w:r>
      <w:proofErr w:type="spellEnd"/>
      <w:r w:rsidRPr="00E175F4" w:rsidR="002B5F2B">
        <w:rPr>
          <w:rFonts w:ascii="Times New Roman" w:hAnsi="Times New Roman"/>
          <w:szCs w:val="24"/>
        </w:rPr>
        <w:t xml:space="preserve"> and </w:t>
      </w:r>
      <w:proofErr w:type="spellStart"/>
      <w:r w:rsidRPr="00E175F4" w:rsidR="002B5F2B">
        <w:rPr>
          <w:rFonts w:ascii="Times New Roman" w:hAnsi="Times New Roman"/>
          <w:szCs w:val="24"/>
        </w:rPr>
        <w:t>Westat</w:t>
      </w:r>
      <w:proofErr w:type="spellEnd"/>
      <w:r w:rsidRPr="00E175F4" w:rsidR="002B5F2B">
        <w:rPr>
          <w:rFonts w:ascii="Times New Roman" w:hAnsi="Times New Roman"/>
          <w:szCs w:val="24"/>
        </w:rPr>
        <w:t xml:space="preserve"> to create and manage the online data collection system.  To reduce costs for the federal government, OIE has worked collaboratively with </w:t>
      </w:r>
      <w:r w:rsidR="002B5F2B">
        <w:rPr>
          <w:rFonts w:ascii="Times New Roman" w:hAnsi="Times New Roman"/>
          <w:szCs w:val="24"/>
        </w:rPr>
        <w:t>two other</w:t>
      </w:r>
      <w:r w:rsidRPr="00E175F4" w:rsidR="002B5F2B">
        <w:rPr>
          <w:rFonts w:ascii="Times New Roman" w:hAnsi="Times New Roman"/>
          <w:szCs w:val="24"/>
        </w:rPr>
        <w:t xml:space="preserve"> ED office</w:t>
      </w:r>
      <w:r w:rsidR="002B5F2B">
        <w:rPr>
          <w:rFonts w:ascii="Times New Roman" w:hAnsi="Times New Roman"/>
          <w:szCs w:val="24"/>
        </w:rPr>
        <w:t>s</w:t>
      </w:r>
      <w:r w:rsidRPr="00E175F4" w:rsidR="002B5F2B">
        <w:rPr>
          <w:rFonts w:ascii="Times New Roman" w:hAnsi="Times New Roman"/>
          <w:szCs w:val="24"/>
        </w:rPr>
        <w:t>, Office of Special Education Programs (OSEP)</w:t>
      </w:r>
      <w:r w:rsidR="002B5F2B">
        <w:rPr>
          <w:rFonts w:ascii="Times New Roman" w:hAnsi="Times New Roman"/>
          <w:szCs w:val="24"/>
        </w:rPr>
        <w:t xml:space="preserve"> and the Rehabilitation Services Administration (RSA)</w:t>
      </w:r>
      <w:r w:rsidRPr="00E175F4" w:rsidR="002B5F2B">
        <w:rPr>
          <w:rFonts w:ascii="Times New Roman" w:hAnsi="Times New Roman"/>
          <w:szCs w:val="24"/>
        </w:rPr>
        <w:t xml:space="preserve">, to create </w:t>
      </w:r>
      <w:r w:rsidR="002B5F2B">
        <w:rPr>
          <w:rFonts w:ascii="Times New Roman" w:hAnsi="Times New Roman"/>
          <w:szCs w:val="24"/>
        </w:rPr>
        <w:t>the</w:t>
      </w:r>
      <w:r w:rsidRPr="00E175F4" w:rsidR="002B5F2B">
        <w:rPr>
          <w:rFonts w:ascii="Times New Roman" w:hAnsi="Times New Roman"/>
          <w:szCs w:val="24"/>
        </w:rPr>
        <w:t xml:space="preserve"> online system that </w:t>
      </w:r>
      <w:r w:rsidR="002B5F2B">
        <w:rPr>
          <w:rFonts w:ascii="Times New Roman" w:hAnsi="Times New Roman"/>
          <w:szCs w:val="24"/>
        </w:rPr>
        <w:t>all three</w:t>
      </w:r>
      <w:r w:rsidRPr="00E175F4" w:rsidR="002B5F2B">
        <w:rPr>
          <w:rFonts w:ascii="Times New Roman" w:hAnsi="Times New Roman"/>
          <w:szCs w:val="24"/>
        </w:rPr>
        <w:t xml:space="preserve"> program offices use to track service obligation payback.  By combining resources, OIE </w:t>
      </w:r>
      <w:proofErr w:type="gramStart"/>
      <w:r w:rsidRPr="00E175F4" w:rsidR="002B5F2B">
        <w:rPr>
          <w:rFonts w:ascii="Times New Roman" w:hAnsi="Times New Roman"/>
          <w:szCs w:val="24"/>
        </w:rPr>
        <w:t>is able to</w:t>
      </w:r>
      <w:proofErr w:type="gramEnd"/>
      <w:r w:rsidRPr="00E175F4" w:rsidR="002B5F2B">
        <w:rPr>
          <w:rFonts w:ascii="Times New Roman" w:hAnsi="Times New Roman"/>
          <w:szCs w:val="24"/>
        </w:rPr>
        <w:t xml:space="preserve"> offer respondents a secure, online portal for entering data and a Help Desk to answer questions and resolve problems.  The annual fixed costs for this contract </w:t>
      </w:r>
      <w:r w:rsidR="002B5F2B">
        <w:rPr>
          <w:rFonts w:ascii="Times New Roman" w:hAnsi="Times New Roman"/>
          <w:szCs w:val="24"/>
        </w:rPr>
        <w:t>average $175,000</w:t>
      </w:r>
      <w:r w:rsidRPr="00E175F4" w:rsidR="002B5F2B">
        <w:rPr>
          <w:rFonts w:ascii="Times New Roman" w:hAnsi="Times New Roman"/>
          <w:szCs w:val="24"/>
        </w:rPr>
        <w:t>.  These costs include the development of the system,</w:t>
      </w:r>
      <w:r w:rsidR="002B5F2B">
        <w:rPr>
          <w:rFonts w:ascii="Times New Roman" w:hAnsi="Times New Roman"/>
          <w:szCs w:val="24"/>
        </w:rPr>
        <w:t xml:space="preserve"> maintaining compliance with federal security </w:t>
      </w:r>
      <w:proofErr w:type="spellStart"/>
      <w:r w:rsidR="002B5F2B">
        <w:rPr>
          <w:rFonts w:ascii="Times New Roman" w:hAnsi="Times New Roman"/>
          <w:szCs w:val="24"/>
        </w:rPr>
        <w:t>requirements,</w:t>
      </w:r>
      <w:r w:rsidRPr="00E175F4" w:rsidR="002B5F2B">
        <w:rPr>
          <w:rFonts w:ascii="Times New Roman" w:hAnsi="Times New Roman"/>
          <w:szCs w:val="24"/>
        </w:rPr>
        <w:t>support</w:t>
      </w:r>
      <w:proofErr w:type="spellEnd"/>
      <w:r w:rsidRPr="00E175F4" w:rsidR="002B5F2B">
        <w:rPr>
          <w:rFonts w:ascii="Times New Roman" w:hAnsi="Times New Roman"/>
          <w:szCs w:val="24"/>
        </w:rPr>
        <w:t xml:space="preserve"> for respondents, and preparation of reports.  </w:t>
      </w:r>
      <w:proofErr w:type="gramStart"/>
      <w:r w:rsidRPr="00E175F4" w:rsidR="002B5F2B">
        <w:rPr>
          <w:rFonts w:ascii="Times New Roman" w:hAnsi="Times New Roman"/>
          <w:szCs w:val="24"/>
        </w:rPr>
        <w:t>The majority of</w:t>
      </w:r>
      <w:proofErr w:type="gramEnd"/>
      <w:r w:rsidRPr="00E175F4" w:rsidR="002B5F2B">
        <w:rPr>
          <w:rFonts w:ascii="Times New Roman" w:hAnsi="Times New Roman"/>
          <w:szCs w:val="24"/>
        </w:rPr>
        <w:t xml:space="preserve"> communications with respondents will be electronic; however, participants who do not respond to electronic or telephone communications will be sent follow-up letters.  The costs for those mailings are included in the contract.</w:t>
      </w:r>
    </w:p>
    <w:p w:rsidRPr="00E175F4" w:rsidR="002B5F2B" w:rsidP="00A901E6" w:rsidRDefault="00A901E6" w14:paraId="40FC794E" w14:textId="1845A1AD">
      <w:pPr>
        <w:ind w:left="900"/>
        <w:rPr>
          <w:rFonts w:ascii="Times New Roman" w:hAnsi="Times New Roman"/>
          <w:szCs w:val="24"/>
        </w:rPr>
      </w:pPr>
      <w:r>
        <w:rPr>
          <w:rFonts w:ascii="Times New Roman" w:hAnsi="Times New Roman"/>
          <w:szCs w:val="24"/>
        </w:rPr>
        <w:tab/>
      </w:r>
      <w:r w:rsidRPr="00E175F4" w:rsidR="002B5F2B">
        <w:rPr>
          <w:rFonts w:ascii="Times New Roman" w:hAnsi="Times New Roman"/>
          <w:szCs w:val="24"/>
        </w:rPr>
        <w:t xml:space="preserve">The </w:t>
      </w:r>
      <w:r w:rsidR="002B5F2B">
        <w:rPr>
          <w:rFonts w:ascii="Times New Roman" w:hAnsi="Times New Roman"/>
          <w:szCs w:val="24"/>
        </w:rPr>
        <w:t>IEPD</w:t>
      </w:r>
      <w:r w:rsidRPr="00E175F4" w:rsidR="002B5F2B">
        <w:rPr>
          <w:rFonts w:ascii="Times New Roman" w:hAnsi="Times New Roman"/>
          <w:szCs w:val="24"/>
        </w:rPr>
        <w:t xml:space="preserve"> program office maintains a </w:t>
      </w:r>
      <w:r w:rsidR="002B5F2B">
        <w:rPr>
          <w:rFonts w:ascii="Times New Roman" w:hAnsi="Times New Roman"/>
          <w:szCs w:val="24"/>
        </w:rPr>
        <w:t>.50 FTE</w:t>
      </w:r>
      <w:r w:rsidRPr="00E175F4" w:rsidR="002B5F2B">
        <w:rPr>
          <w:rFonts w:ascii="Times New Roman" w:hAnsi="Times New Roman"/>
          <w:szCs w:val="24"/>
        </w:rPr>
        <w:t xml:space="preserve"> staff person whose function is to manage the contract and tasks related to ensuring service payback compliance.  The need for this staff person was identified in the OIG 2010 Audit.  This staff position is a GS-14, which, in </w:t>
      </w:r>
      <w:r w:rsidR="002B5F2B">
        <w:rPr>
          <w:rFonts w:ascii="Times New Roman" w:hAnsi="Times New Roman"/>
          <w:szCs w:val="24"/>
        </w:rPr>
        <w:t>January 2022</w:t>
      </w:r>
      <w:r w:rsidRPr="00E175F4" w:rsidR="002B5F2B">
        <w:rPr>
          <w:rFonts w:ascii="Times New Roman" w:hAnsi="Times New Roman"/>
          <w:szCs w:val="24"/>
        </w:rPr>
        <w:t>, ranges from $</w:t>
      </w:r>
      <w:r w:rsidR="002B5F2B">
        <w:rPr>
          <w:rFonts w:ascii="Times New Roman" w:hAnsi="Times New Roman"/>
          <w:szCs w:val="24"/>
        </w:rPr>
        <w:t>126</w:t>
      </w:r>
      <w:r w:rsidRPr="00E175F4" w:rsidR="002B5F2B">
        <w:rPr>
          <w:rFonts w:ascii="Times New Roman" w:hAnsi="Times New Roman"/>
          <w:szCs w:val="24"/>
        </w:rPr>
        <w:t>,</w:t>
      </w:r>
      <w:r w:rsidR="002B5F2B">
        <w:rPr>
          <w:rFonts w:ascii="Times New Roman" w:hAnsi="Times New Roman"/>
          <w:szCs w:val="24"/>
        </w:rPr>
        <w:t>233</w:t>
      </w:r>
      <w:r w:rsidRPr="00E175F4" w:rsidR="002B5F2B">
        <w:rPr>
          <w:rFonts w:ascii="Times New Roman" w:hAnsi="Times New Roman"/>
          <w:szCs w:val="24"/>
        </w:rPr>
        <w:t xml:space="preserve"> to </w:t>
      </w:r>
      <w:r w:rsidR="002B5F2B">
        <w:rPr>
          <w:rFonts w:ascii="Times New Roman" w:hAnsi="Times New Roman"/>
          <w:szCs w:val="24"/>
        </w:rPr>
        <w:t>$164</w:t>
      </w:r>
      <w:r w:rsidRPr="00E175F4" w:rsidR="002B5F2B">
        <w:rPr>
          <w:rFonts w:ascii="Times New Roman" w:hAnsi="Times New Roman"/>
          <w:szCs w:val="24"/>
        </w:rPr>
        <w:t>,</w:t>
      </w:r>
      <w:r w:rsidR="002B5F2B">
        <w:rPr>
          <w:rFonts w:ascii="Times New Roman" w:hAnsi="Times New Roman"/>
          <w:szCs w:val="24"/>
        </w:rPr>
        <w:t>102</w:t>
      </w:r>
      <w:r w:rsidRPr="00E175F4" w:rsidR="002B5F2B">
        <w:rPr>
          <w:rFonts w:ascii="Times New Roman" w:hAnsi="Times New Roman" w:eastAsia="Arial Unicode MS"/>
          <w:noProof/>
          <w:szCs w:val="24"/>
        </w:rPr>
        <w:t xml:space="preserve"> </w:t>
      </w:r>
      <w:r w:rsidRPr="00E175F4" w:rsidR="002B5F2B">
        <w:rPr>
          <w:rFonts w:ascii="Times New Roman" w:hAnsi="Times New Roman"/>
          <w:szCs w:val="24"/>
        </w:rPr>
        <w:t xml:space="preserve">in annual salary for the Washington D.C. locality.  </w:t>
      </w:r>
      <w:r w:rsidR="002B5F2B">
        <w:rPr>
          <w:rFonts w:ascii="Times New Roman" w:hAnsi="Times New Roman"/>
          <w:szCs w:val="24"/>
        </w:rPr>
        <w:t xml:space="preserve">The </w:t>
      </w:r>
      <w:r w:rsidRPr="00E175F4" w:rsidR="002B5F2B">
        <w:rPr>
          <w:rFonts w:ascii="Times New Roman" w:hAnsi="Times New Roman"/>
          <w:szCs w:val="24"/>
        </w:rPr>
        <w:t xml:space="preserve">OIE staff salaries </w:t>
      </w:r>
      <w:r w:rsidR="002B5F2B">
        <w:rPr>
          <w:rFonts w:ascii="Times New Roman" w:hAnsi="Times New Roman"/>
          <w:szCs w:val="24"/>
        </w:rPr>
        <w:t xml:space="preserve">category </w:t>
      </w:r>
      <w:r w:rsidRPr="00E175F4" w:rsidR="002B5F2B">
        <w:rPr>
          <w:rFonts w:ascii="Times New Roman" w:hAnsi="Times New Roman"/>
          <w:szCs w:val="24"/>
        </w:rPr>
        <w:t>also includes the estimated cost of program oversight by OIE management.</w:t>
      </w:r>
    </w:p>
    <w:p w:rsidR="00534B4A" w:rsidP="00534B4A" w:rsidRDefault="00534B4A" w14:paraId="58CE25C1" w14:textId="77777777">
      <w:pPr>
        <w:tabs>
          <w:tab w:val="left" w:pos="-72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7CF9F7E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ED2F2A" w:rsidP="00800D30" w:rsidRDefault="00ED2F2A" w14:paraId="1CA97CAB" w14:textId="2D2074E1">
      <w:pPr>
        <w:pStyle w:val="ListParagraph"/>
        <w:tabs>
          <w:tab w:val="left" w:pos="-720"/>
        </w:tabs>
        <w:suppressAutoHyphens/>
        <w:contextualSpacing w:val="0"/>
        <w:rPr>
          <w:rFonts w:ascii="Times New Roman" w:hAnsi="Times New Roman"/>
          <w:b/>
          <w:sz w:val="26"/>
          <w:szCs w:val="26"/>
        </w:rPr>
      </w:pPr>
    </w:p>
    <w:p w:rsidRPr="00756FD3" w:rsidR="00ED2F2A" w:rsidP="00800D30" w:rsidRDefault="00ED2F2A" w14:paraId="51309D86" w14:textId="3B12F382">
      <w:pPr>
        <w:pStyle w:val="ListParagraph"/>
        <w:tabs>
          <w:tab w:val="left" w:pos="-720"/>
        </w:tabs>
        <w:suppressAutoHyphens/>
        <w:contextualSpacing w:val="0"/>
        <w:rPr>
          <w:rFonts w:ascii="Times New Roman" w:hAnsi="Times New Roman"/>
          <w:b/>
          <w:sz w:val="26"/>
          <w:szCs w:val="26"/>
        </w:rPr>
      </w:pPr>
      <w:r>
        <w:rPr>
          <w:rFonts w:ascii="Times New Roman" w:hAnsi="Times New Roman"/>
          <w:szCs w:val="24"/>
        </w:rPr>
        <w:t>There are no changes to the total burden o</w:t>
      </w:r>
      <w:r w:rsidR="00F52722">
        <w:rPr>
          <w:rFonts w:ascii="Times New Roman" w:hAnsi="Times New Roman"/>
          <w:szCs w:val="24"/>
        </w:rPr>
        <w:t xml:space="preserve">r number of responses. </w:t>
      </w:r>
      <w:r w:rsidRPr="00AC253B">
        <w:rPr>
          <w:rFonts w:ascii="Times New Roman" w:hAnsi="Times New Roman"/>
          <w:szCs w:val="24"/>
        </w:rPr>
        <w:t xml:space="preserve">The total number of burden and responses </w:t>
      </w:r>
      <w:r>
        <w:rPr>
          <w:rFonts w:ascii="Times New Roman" w:hAnsi="Times New Roman"/>
          <w:szCs w:val="24"/>
        </w:rPr>
        <w:t>remains</w:t>
      </w:r>
      <w:r w:rsidRPr="00AC253B">
        <w:rPr>
          <w:rFonts w:ascii="Times New Roman" w:hAnsi="Times New Roman"/>
          <w:szCs w:val="24"/>
        </w:rPr>
        <w:t xml:space="preserve"> 3,004 hours and 2,326 responses.</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4C12A626">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4659C" w:rsidP="0054659C" w:rsidRDefault="0054659C" w14:paraId="027CE44A" w14:textId="0C4E8E41">
      <w:pPr>
        <w:pStyle w:val="ListParagraph"/>
        <w:tabs>
          <w:tab w:val="left" w:pos="-720"/>
        </w:tabs>
        <w:suppressAutoHyphens/>
        <w:ind w:left="806"/>
        <w:contextualSpacing w:val="0"/>
        <w:rPr>
          <w:rStyle w:val="a"/>
          <w:rFonts w:ascii="Times New Roman" w:hAnsi="Times New Roman"/>
          <w:b/>
          <w:szCs w:val="24"/>
        </w:rPr>
      </w:pPr>
    </w:p>
    <w:p w:rsidRPr="00E175F4" w:rsidR="0054659C" w:rsidP="0054659C" w:rsidRDefault="0054659C" w14:paraId="5FF9F79C" w14:textId="77777777">
      <w:pPr>
        <w:ind w:left="810"/>
        <w:rPr>
          <w:rFonts w:ascii="Times New Roman" w:hAnsi="Times New Roman" w:eastAsia="Arial Unicode MS"/>
          <w:noProof/>
          <w:szCs w:val="24"/>
        </w:rPr>
      </w:pPr>
      <w:r w:rsidRPr="00E175F4">
        <w:rPr>
          <w:rFonts w:ascii="Times New Roman" w:hAnsi="Times New Roman"/>
          <w:bCs/>
          <w:szCs w:val="24"/>
        </w:rPr>
        <w:t xml:space="preserve">The data will be used on an annual basis to report </w:t>
      </w:r>
      <w:r w:rsidRPr="00E175F4">
        <w:rPr>
          <w:rFonts w:ascii="Times New Roman" w:hAnsi="Times New Roman"/>
          <w:szCs w:val="24"/>
        </w:rPr>
        <w:t xml:space="preserve">results to ED’s Budget Service for compliance with </w:t>
      </w:r>
      <w:r w:rsidRPr="00CA2636">
        <w:rPr>
          <w:rFonts w:ascii="Times New Roman" w:hAnsi="Times New Roman"/>
          <w:szCs w:val="24"/>
        </w:rPr>
        <w:t>GPRA</w:t>
      </w:r>
      <w:r w:rsidRPr="00E175F4">
        <w:rPr>
          <w:rFonts w:ascii="Times New Roman" w:hAnsi="Times New Roman"/>
          <w:szCs w:val="24"/>
        </w:rPr>
        <w:t xml:space="preserve"> and publication in ED’s Annual Program Performance Report.  </w:t>
      </w:r>
      <w:r w:rsidRPr="00E175F4">
        <w:rPr>
          <w:rFonts w:ascii="Times New Roman" w:hAnsi="Times New Roman" w:eastAsia="Arial Unicode MS"/>
          <w:szCs w:val="24"/>
        </w:rPr>
        <w:t>A final report will be produced for each fiscal year.  This report will include d</w:t>
      </w:r>
      <w:r w:rsidRPr="00E175F4">
        <w:rPr>
          <w:rFonts w:ascii="Times New Roman" w:hAnsi="Times New Roman" w:eastAsia="Arial Unicode MS"/>
          <w:noProof/>
          <w:szCs w:val="24"/>
        </w:rPr>
        <w:t xml:space="preserve">escriptive analyses of all variables collected and will </w:t>
      </w:r>
      <w:r w:rsidRPr="00E175F4">
        <w:rPr>
          <w:rFonts w:ascii="Times New Roman" w:hAnsi="Times New Roman"/>
          <w:bCs/>
          <w:szCs w:val="24"/>
        </w:rPr>
        <w:t>monitor the fulfillment of participant service payback and grantee and participant compliance with the program regulations</w:t>
      </w:r>
      <w:r w:rsidRPr="00E175F4">
        <w:rPr>
          <w:rFonts w:ascii="Times New Roman" w:hAnsi="Times New Roman" w:eastAsia="Arial Unicode MS"/>
          <w:noProof/>
          <w:szCs w:val="24"/>
        </w:rPr>
        <w:t>.  The number of participants and percentages, as well as measures of central tendency when appropriate, will be presented by grant in table format.  Charts will be prepared to illustrate changes in frequencies across FYs.  Bulleted text and an executive summary will be provided to highlight key findings.  All data will be in an aggregate form to protect PII and no PII information will be published.</w:t>
      </w:r>
    </w:p>
    <w:p w:rsidRPr="00E175F4" w:rsidR="0054659C" w:rsidP="0054659C" w:rsidRDefault="0054659C" w14:paraId="139CF417" w14:textId="77777777">
      <w:pPr>
        <w:ind w:left="810"/>
        <w:rPr>
          <w:rFonts w:ascii="Times New Roman" w:hAnsi="Times New Roman" w:eastAsia="Arial Unicode MS"/>
          <w:noProof/>
          <w:szCs w:val="24"/>
        </w:rPr>
      </w:pPr>
      <w:r w:rsidRPr="00E175F4">
        <w:rPr>
          <w:rFonts w:ascii="Times New Roman" w:hAnsi="Times New Roman" w:eastAsia="Arial Unicode MS"/>
          <w:noProof/>
          <w:szCs w:val="24"/>
        </w:rPr>
        <w:t xml:space="preserve"> Table A-3 below summarizes the data collection and reporting timeline.  Respondents will have continuous access to the online data collection system; however analyses will be conducted on a snapshot of the data to document the previous fiscal year (FY).</w:t>
      </w:r>
    </w:p>
    <w:p w:rsidR="0054659C" w:rsidP="0054659C" w:rsidRDefault="0054659C" w14:paraId="074CD6B9" w14:textId="01023A7C">
      <w:pPr>
        <w:rPr>
          <w:rFonts w:ascii="Times New Roman" w:hAnsi="Times New Roman" w:eastAsia="Arial Unicode MS"/>
          <w:b/>
          <w:noProof/>
          <w:szCs w:val="24"/>
        </w:rPr>
      </w:pPr>
    </w:p>
    <w:p w:rsidRPr="00DD105B" w:rsidR="0054659C" w:rsidP="0054659C" w:rsidRDefault="0054659C" w14:paraId="29D62BCF" w14:textId="77777777">
      <w:pPr>
        <w:jc w:val="center"/>
        <w:rPr>
          <w:rFonts w:ascii="Times New Roman" w:hAnsi="Times New Roman" w:eastAsia="Arial Unicode MS"/>
          <w:b/>
          <w:noProof/>
          <w:szCs w:val="24"/>
        </w:rPr>
      </w:pPr>
      <w:r w:rsidRPr="00DD105B">
        <w:rPr>
          <w:rFonts w:ascii="Times New Roman" w:hAnsi="Times New Roman" w:eastAsia="Arial Unicode MS"/>
          <w:b/>
          <w:noProof/>
          <w:szCs w:val="24"/>
        </w:rPr>
        <w:t>Table A-3. Data Collection and Reporting Timeline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2448"/>
      </w:tblGrid>
      <w:tr w:rsidRPr="00E175F4" w:rsidR="0054659C" w:rsidTr="009E7BC9" w14:paraId="0C6A7C10" w14:textId="77777777">
        <w:trPr>
          <w:jc w:val="center"/>
        </w:trPr>
        <w:tc>
          <w:tcPr>
            <w:tcW w:w="4860" w:type="dxa"/>
          </w:tcPr>
          <w:p w:rsidRPr="00E175F4" w:rsidR="0054659C" w:rsidP="009E7BC9" w:rsidRDefault="0054659C" w14:paraId="185B6B4F" w14:textId="77777777">
            <w:pPr>
              <w:rPr>
                <w:rFonts w:ascii="Times New Roman" w:hAnsi="Times New Roman"/>
                <w:szCs w:val="24"/>
              </w:rPr>
            </w:pPr>
            <w:r w:rsidRPr="00E175F4">
              <w:rPr>
                <w:rFonts w:ascii="Times New Roman" w:hAnsi="Times New Roman"/>
                <w:szCs w:val="24"/>
              </w:rPr>
              <w:t>Task</w:t>
            </w:r>
          </w:p>
        </w:tc>
        <w:tc>
          <w:tcPr>
            <w:tcW w:w="2448" w:type="dxa"/>
          </w:tcPr>
          <w:p w:rsidRPr="00E175F4" w:rsidR="0054659C" w:rsidP="009E7BC9" w:rsidRDefault="0054659C" w14:paraId="063077A4" w14:textId="77777777">
            <w:pPr>
              <w:rPr>
                <w:rFonts w:ascii="Times New Roman" w:hAnsi="Times New Roman"/>
                <w:szCs w:val="24"/>
              </w:rPr>
            </w:pPr>
            <w:r w:rsidRPr="00E175F4">
              <w:rPr>
                <w:rFonts w:ascii="Times New Roman" w:hAnsi="Times New Roman"/>
                <w:szCs w:val="24"/>
              </w:rPr>
              <w:t>Month(s)</w:t>
            </w:r>
          </w:p>
        </w:tc>
      </w:tr>
      <w:tr w:rsidRPr="00E175F4" w:rsidR="0054659C" w:rsidTr="009E7BC9" w14:paraId="1B8DA5BB" w14:textId="77777777">
        <w:trPr>
          <w:jc w:val="center"/>
        </w:trPr>
        <w:tc>
          <w:tcPr>
            <w:tcW w:w="4860" w:type="dxa"/>
          </w:tcPr>
          <w:p w:rsidRPr="00E175F4" w:rsidR="0054659C" w:rsidP="009E7BC9" w:rsidRDefault="0054659C" w14:paraId="6C262F1A" w14:textId="77777777">
            <w:pPr>
              <w:rPr>
                <w:rFonts w:ascii="Times New Roman" w:hAnsi="Times New Roman"/>
                <w:szCs w:val="24"/>
              </w:rPr>
            </w:pPr>
            <w:r w:rsidRPr="00E175F4">
              <w:rPr>
                <w:rFonts w:ascii="Times New Roman" w:hAnsi="Times New Roman"/>
                <w:szCs w:val="24"/>
              </w:rPr>
              <w:t>Respondents enter data</w:t>
            </w:r>
          </w:p>
        </w:tc>
        <w:tc>
          <w:tcPr>
            <w:tcW w:w="2448" w:type="dxa"/>
          </w:tcPr>
          <w:p w:rsidRPr="00E175F4" w:rsidR="0054659C" w:rsidP="009E7BC9" w:rsidRDefault="0054659C" w14:paraId="0FE9E89E" w14:textId="77777777">
            <w:pPr>
              <w:rPr>
                <w:rFonts w:ascii="Times New Roman" w:hAnsi="Times New Roman"/>
                <w:szCs w:val="24"/>
              </w:rPr>
            </w:pPr>
            <w:r w:rsidRPr="00E175F4">
              <w:rPr>
                <w:rFonts w:ascii="Times New Roman" w:hAnsi="Times New Roman"/>
                <w:szCs w:val="24"/>
              </w:rPr>
              <w:t>Ongoing</w:t>
            </w:r>
          </w:p>
        </w:tc>
      </w:tr>
      <w:tr w:rsidRPr="00E175F4" w:rsidR="0054659C" w:rsidTr="009E7BC9" w14:paraId="31FB5F76" w14:textId="77777777">
        <w:trPr>
          <w:jc w:val="center"/>
        </w:trPr>
        <w:tc>
          <w:tcPr>
            <w:tcW w:w="4860" w:type="dxa"/>
          </w:tcPr>
          <w:p w:rsidRPr="00E175F4" w:rsidR="0054659C" w:rsidP="009E7BC9" w:rsidRDefault="0054659C" w14:paraId="241BB07B" w14:textId="77777777">
            <w:pPr>
              <w:rPr>
                <w:rFonts w:ascii="Times New Roman" w:hAnsi="Times New Roman"/>
                <w:szCs w:val="24"/>
              </w:rPr>
            </w:pPr>
            <w:r w:rsidRPr="00E175F4">
              <w:rPr>
                <w:rFonts w:ascii="Times New Roman" w:hAnsi="Times New Roman"/>
                <w:szCs w:val="24"/>
              </w:rPr>
              <w:t>Snapshot taken of data</w:t>
            </w:r>
          </w:p>
        </w:tc>
        <w:tc>
          <w:tcPr>
            <w:tcW w:w="2448" w:type="dxa"/>
          </w:tcPr>
          <w:p w:rsidRPr="00E175F4" w:rsidR="0054659C" w:rsidP="009E7BC9" w:rsidRDefault="0054659C" w14:paraId="554E2557" w14:textId="77777777">
            <w:pPr>
              <w:rPr>
                <w:rFonts w:ascii="Times New Roman" w:hAnsi="Times New Roman"/>
                <w:szCs w:val="24"/>
              </w:rPr>
            </w:pPr>
            <w:r>
              <w:rPr>
                <w:rFonts w:ascii="Times New Roman" w:hAnsi="Times New Roman"/>
                <w:szCs w:val="24"/>
              </w:rPr>
              <w:t>May</w:t>
            </w:r>
          </w:p>
        </w:tc>
      </w:tr>
      <w:tr w:rsidRPr="00E175F4" w:rsidR="0054659C" w:rsidTr="009E7BC9" w14:paraId="00D6FFA3" w14:textId="77777777">
        <w:trPr>
          <w:jc w:val="center"/>
        </w:trPr>
        <w:tc>
          <w:tcPr>
            <w:tcW w:w="4860" w:type="dxa"/>
          </w:tcPr>
          <w:p w:rsidRPr="00E175F4" w:rsidR="0054659C" w:rsidP="009E7BC9" w:rsidRDefault="0054659C" w14:paraId="1389F814" w14:textId="77777777">
            <w:pPr>
              <w:rPr>
                <w:rFonts w:ascii="Times New Roman" w:hAnsi="Times New Roman"/>
                <w:szCs w:val="24"/>
              </w:rPr>
            </w:pPr>
            <w:r w:rsidRPr="00E175F4">
              <w:rPr>
                <w:rFonts w:ascii="Times New Roman" w:hAnsi="Times New Roman"/>
                <w:szCs w:val="24"/>
              </w:rPr>
              <w:t>Draft reports for previous FY</w:t>
            </w:r>
          </w:p>
        </w:tc>
        <w:tc>
          <w:tcPr>
            <w:tcW w:w="2448" w:type="dxa"/>
          </w:tcPr>
          <w:p w:rsidRPr="00E175F4" w:rsidR="0054659C" w:rsidP="009E7BC9" w:rsidRDefault="0054659C" w14:paraId="2EFED24F" w14:textId="77777777">
            <w:pPr>
              <w:rPr>
                <w:rFonts w:ascii="Times New Roman" w:hAnsi="Times New Roman"/>
                <w:szCs w:val="24"/>
              </w:rPr>
            </w:pPr>
            <w:r w:rsidRPr="00E175F4">
              <w:rPr>
                <w:rFonts w:ascii="Times New Roman" w:hAnsi="Times New Roman"/>
                <w:szCs w:val="24"/>
              </w:rPr>
              <w:t>June-July</w:t>
            </w:r>
          </w:p>
        </w:tc>
      </w:tr>
      <w:tr w:rsidRPr="00E175F4" w:rsidR="0054659C" w:rsidTr="009E7BC9" w14:paraId="261F498D" w14:textId="77777777">
        <w:trPr>
          <w:jc w:val="center"/>
        </w:trPr>
        <w:tc>
          <w:tcPr>
            <w:tcW w:w="4860" w:type="dxa"/>
          </w:tcPr>
          <w:p w:rsidRPr="00E175F4" w:rsidR="0054659C" w:rsidP="009E7BC9" w:rsidRDefault="0054659C" w14:paraId="5319C902" w14:textId="77777777">
            <w:pPr>
              <w:rPr>
                <w:rFonts w:ascii="Times New Roman" w:hAnsi="Times New Roman"/>
                <w:szCs w:val="24"/>
              </w:rPr>
            </w:pPr>
            <w:r w:rsidRPr="00E175F4">
              <w:rPr>
                <w:rFonts w:ascii="Times New Roman" w:hAnsi="Times New Roman"/>
                <w:szCs w:val="24"/>
              </w:rPr>
              <w:t>GPRA reporting for previous FY</w:t>
            </w:r>
          </w:p>
        </w:tc>
        <w:tc>
          <w:tcPr>
            <w:tcW w:w="2448" w:type="dxa"/>
          </w:tcPr>
          <w:p w:rsidRPr="00E175F4" w:rsidR="0054659C" w:rsidP="009E7BC9" w:rsidRDefault="0054659C" w14:paraId="1F4145CB" w14:textId="77777777">
            <w:pPr>
              <w:rPr>
                <w:rFonts w:ascii="Times New Roman" w:hAnsi="Times New Roman"/>
                <w:szCs w:val="24"/>
              </w:rPr>
            </w:pPr>
            <w:r w:rsidRPr="00E175F4">
              <w:rPr>
                <w:rFonts w:ascii="Times New Roman" w:hAnsi="Times New Roman"/>
                <w:szCs w:val="24"/>
              </w:rPr>
              <w:t>July-August</w:t>
            </w:r>
          </w:p>
        </w:tc>
      </w:tr>
      <w:tr w:rsidRPr="00E175F4" w:rsidR="0054659C" w:rsidTr="009E7BC9" w14:paraId="38329940" w14:textId="77777777">
        <w:trPr>
          <w:jc w:val="center"/>
        </w:trPr>
        <w:tc>
          <w:tcPr>
            <w:tcW w:w="4860" w:type="dxa"/>
          </w:tcPr>
          <w:p w:rsidRPr="00E175F4" w:rsidR="0054659C" w:rsidP="009E7BC9" w:rsidRDefault="0054659C" w14:paraId="195560AB" w14:textId="77777777">
            <w:pPr>
              <w:rPr>
                <w:rFonts w:ascii="Times New Roman" w:hAnsi="Times New Roman"/>
                <w:szCs w:val="24"/>
              </w:rPr>
            </w:pPr>
            <w:r w:rsidRPr="00E175F4">
              <w:rPr>
                <w:rFonts w:ascii="Times New Roman" w:hAnsi="Times New Roman"/>
                <w:szCs w:val="24"/>
              </w:rPr>
              <w:t>Final report for previous FY</w:t>
            </w:r>
          </w:p>
        </w:tc>
        <w:tc>
          <w:tcPr>
            <w:tcW w:w="2448" w:type="dxa"/>
          </w:tcPr>
          <w:p w:rsidRPr="00E175F4" w:rsidR="0054659C" w:rsidP="009E7BC9" w:rsidRDefault="0054659C" w14:paraId="7B6A4DAB" w14:textId="77777777">
            <w:pPr>
              <w:rPr>
                <w:rFonts w:ascii="Times New Roman" w:hAnsi="Times New Roman"/>
                <w:szCs w:val="24"/>
              </w:rPr>
            </w:pPr>
            <w:r w:rsidRPr="00E175F4">
              <w:rPr>
                <w:rFonts w:ascii="Times New Roman" w:hAnsi="Times New Roman"/>
                <w:szCs w:val="24"/>
              </w:rPr>
              <w:t>August</w:t>
            </w:r>
          </w:p>
        </w:tc>
      </w:tr>
    </w:tbl>
    <w:p w:rsidR="0054659C" w:rsidP="0054659C" w:rsidRDefault="0054659C" w14:paraId="3CB3FCE7" w14:textId="77777777">
      <w:pPr>
        <w:pStyle w:val="ListParagraph"/>
        <w:tabs>
          <w:tab w:val="left" w:pos="-720"/>
        </w:tabs>
        <w:suppressAutoHyphens/>
        <w:ind w:left="806"/>
        <w:contextualSpacing w:val="0"/>
        <w:rPr>
          <w:rStyle w:val="a"/>
          <w:rFonts w:ascii="Times New Roman" w:hAnsi="Times New Roman"/>
          <w:b/>
          <w:szCs w:val="24"/>
        </w:rPr>
      </w:pPr>
    </w:p>
    <w:p w:rsidRPr="00534B4A" w:rsidR="00534B4A" w:rsidP="00534B4A" w:rsidRDefault="00534B4A" w14:paraId="58CE25DF" w14:textId="77777777">
      <w:pPr>
        <w:tabs>
          <w:tab w:val="left" w:pos="-720"/>
        </w:tabs>
        <w:suppressAutoHyphens/>
        <w:rPr>
          <w:rFonts w:ascii="Times New Roman" w:hAnsi="Times New Roman"/>
          <w:szCs w:val="24"/>
        </w:rPr>
      </w:pPr>
    </w:p>
    <w:p w:rsidRPr="00534B4A" w:rsidR="00043C32" w:rsidP="00AD381B" w:rsidRDefault="00043C32"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58CE25E1" w14:textId="1A0DBAB6">
      <w:pPr>
        <w:tabs>
          <w:tab w:val="left" w:pos="-720"/>
        </w:tabs>
        <w:suppressAutoHyphens/>
        <w:ind w:left="360"/>
        <w:rPr>
          <w:rFonts w:ascii="Times New Roman" w:hAnsi="Times New Roman"/>
          <w:b/>
          <w:szCs w:val="24"/>
        </w:rPr>
      </w:pPr>
    </w:p>
    <w:p w:rsidRPr="00E175F4" w:rsidR="005552D8" w:rsidP="005552D8" w:rsidRDefault="005552D8" w14:paraId="494CE320" w14:textId="77777777">
      <w:pPr>
        <w:ind w:left="900"/>
        <w:rPr>
          <w:rFonts w:ascii="Times New Roman" w:hAnsi="Times New Roman"/>
          <w:szCs w:val="24"/>
        </w:rPr>
      </w:pPr>
      <w:r w:rsidRPr="00E175F4">
        <w:rPr>
          <w:rFonts w:ascii="Times New Roman" w:hAnsi="Times New Roman"/>
          <w:szCs w:val="24"/>
        </w:rPr>
        <w:t>The OMB number and expiration date will be displayed on the data collection form.</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3878219B">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952626" w:rsidR="00952626" w:rsidP="00952626" w:rsidRDefault="00952626" w14:paraId="73ADFDAA" w14:textId="74E95219">
      <w:pPr>
        <w:pStyle w:val="ListParagraph"/>
        <w:tabs>
          <w:tab w:val="left" w:pos="-720"/>
        </w:tabs>
        <w:suppressAutoHyphens/>
        <w:ind w:left="900"/>
        <w:rPr>
          <w:rStyle w:val="a"/>
          <w:rFonts w:ascii="Times New Roman" w:hAnsi="Times New Roman"/>
          <w:bCs/>
          <w:szCs w:val="24"/>
        </w:rPr>
      </w:pPr>
    </w:p>
    <w:p w:rsidRPr="00952626" w:rsidR="00952626" w:rsidP="00952626" w:rsidRDefault="00952626" w14:paraId="1EBA4CC9" w14:textId="77777777">
      <w:pPr>
        <w:pStyle w:val="ListParagraph"/>
        <w:tabs>
          <w:tab w:val="left" w:pos="-720"/>
        </w:tabs>
        <w:suppressAutoHyphens/>
        <w:ind w:left="900"/>
        <w:rPr>
          <w:rFonts w:ascii="Times New Roman" w:hAnsi="Times New Roman"/>
          <w:bCs/>
          <w:szCs w:val="24"/>
        </w:rPr>
      </w:pPr>
      <w:r w:rsidRPr="00952626">
        <w:rPr>
          <w:rFonts w:ascii="Times New Roman" w:hAnsi="Times New Roman"/>
          <w:bCs/>
          <w:szCs w:val="24"/>
        </w:rPr>
        <w:t>There are no exceptions to the certification statement.</w:t>
      </w:r>
    </w:p>
    <w:p w:rsidRPr="009767AF" w:rsidR="00952626" w:rsidP="00952626" w:rsidRDefault="00952626" w14:paraId="35FF864A" w14:textId="77777777">
      <w:pPr>
        <w:pStyle w:val="ListParagraph"/>
        <w:tabs>
          <w:tab w:val="left" w:pos="-720"/>
        </w:tabs>
        <w:suppressAutoHyphens/>
        <w:ind w:left="900"/>
        <w:rPr>
          <w:rFonts w:ascii="Times New Roman" w:hAnsi="Times New Roman"/>
          <w:b/>
          <w:szCs w:val="24"/>
        </w:rPr>
      </w:pPr>
    </w:p>
    <w:sectPr w:rsidRPr="009767AF" w:rsidR="00952626"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5F18" w14:textId="77777777" w:rsidR="00845A0F" w:rsidRDefault="00845A0F" w:rsidP="00043C32">
      <w:r>
        <w:separator/>
      </w:r>
    </w:p>
  </w:endnote>
  <w:endnote w:type="continuationSeparator" w:id="0">
    <w:p w14:paraId="5923330F" w14:textId="77777777" w:rsidR="00845A0F" w:rsidRDefault="00845A0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CA4BA7">
    <w:pPr>
      <w:spacing w:before="140" w:line="100" w:lineRule="exact"/>
      <w:rPr>
        <w:sz w:val="10"/>
      </w:rPr>
    </w:pPr>
  </w:p>
  <w:p w14:paraId="58CE25E9" w14:textId="77777777" w:rsidR="00386054" w:rsidRDefault="00CA4BA7">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4453" w14:textId="77777777" w:rsidR="00845A0F" w:rsidRDefault="00845A0F" w:rsidP="00043C32">
      <w:r>
        <w:separator/>
      </w:r>
    </w:p>
  </w:footnote>
  <w:footnote w:type="continuationSeparator" w:id="0">
    <w:p w14:paraId="59AE20EE" w14:textId="77777777" w:rsidR="00845A0F" w:rsidRDefault="00845A0F"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7A4044CC" w14:textId="77777777" w:rsidR="00930FA6" w:rsidRDefault="00930FA6">
      <w:pPr>
        <w:pStyle w:val="FootnoteText"/>
      </w:pPr>
      <w:r>
        <w:rPr>
          <w:rStyle w:val="FootnoteReference"/>
        </w:rPr>
        <w:footnoteRef/>
      </w:r>
      <w:r>
        <w:t xml:space="preserve"> Assumes all participants are employed.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95A1639"/>
    <w:multiLevelType w:val="hybridMultilevel"/>
    <w:tmpl w:val="23CA5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2816">
    <w:abstractNumId w:val="0"/>
  </w:num>
  <w:num w:numId="2" w16cid:durableId="831457259">
    <w:abstractNumId w:val="3"/>
  </w:num>
  <w:num w:numId="3" w16cid:durableId="909657673">
    <w:abstractNumId w:val="2"/>
  </w:num>
  <w:num w:numId="4" w16cid:durableId="1070273623">
    <w:abstractNumId w:val="4"/>
  </w:num>
  <w:num w:numId="5" w16cid:durableId="475877152">
    <w:abstractNumId w:val="5"/>
  </w:num>
  <w:num w:numId="6" w16cid:durableId="141833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0DC"/>
    <w:rsid w:val="00035ED5"/>
    <w:rsid w:val="00043C32"/>
    <w:rsid w:val="000446F5"/>
    <w:rsid w:val="00062D10"/>
    <w:rsid w:val="00083880"/>
    <w:rsid w:val="00093017"/>
    <w:rsid w:val="0010428B"/>
    <w:rsid w:val="00107FAF"/>
    <w:rsid w:val="001824F3"/>
    <w:rsid w:val="001A6AE0"/>
    <w:rsid w:val="001C73C0"/>
    <w:rsid w:val="001E79BD"/>
    <w:rsid w:val="00214F14"/>
    <w:rsid w:val="002225CC"/>
    <w:rsid w:val="00223494"/>
    <w:rsid w:val="002238FE"/>
    <w:rsid w:val="00224A3B"/>
    <w:rsid w:val="00240A39"/>
    <w:rsid w:val="00246FE9"/>
    <w:rsid w:val="00250100"/>
    <w:rsid w:val="00262A69"/>
    <w:rsid w:val="00270AF7"/>
    <w:rsid w:val="00283B46"/>
    <w:rsid w:val="002A3221"/>
    <w:rsid w:val="002B5F2B"/>
    <w:rsid w:val="002C16FE"/>
    <w:rsid w:val="002C3520"/>
    <w:rsid w:val="002E14E0"/>
    <w:rsid w:val="002F55E5"/>
    <w:rsid w:val="0032078A"/>
    <w:rsid w:val="0032539E"/>
    <w:rsid w:val="0036601E"/>
    <w:rsid w:val="003860E4"/>
    <w:rsid w:val="003B1545"/>
    <w:rsid w:val="003F11BB"/>
    <w:rsid w:val="00412915"/>
    <w:rsid w:val="00413490"/>
    <w:rsid w:val="00442E07"/>
    <w:rsid w:val="004633E1"/>
    <w:rsid w:val="0052073E"/>
    <w:rsid w:val="00534B4A"/>
    <w:rsid w:val="005463E3"/>
    <w:rsid w:val="0054659C"/>
    <w:rsid w:val="005552D8"/>
    <w:rsid w:val="00581C11"/>
    <w:rsid w:val="0060701A"/>
    <w:rsid w:val="0068567A"/>
    <w:rsid w:val="00691B89"/>
    <w:rsid w:val="006A292A"/>
    <w:rsid w:val="006A38F7"/>
    <w:rsid w:val="006A4EBB"/>
    <w:rsid w:val="006B4172"/>
    <w:rsid w:val="006C77EB"/>
    <w:rsid w:val="006D41AF"/>
    <w:rsid w:val="006E1E3A"/>
    <w:rsid w:val="006F43A1"/>
    <w:rsid w:val="00706770"/>
    <w:rsid w:val="00754AD7"/>
    <w:rsid w:val="00755D99"/>
    <w:rsid w:val="00756FD3"/>
    <w:rsid w:val="00765392"/>
    <w:rsid w:val="00767641"/>
    <w:rsid w:val="00790E3E"/>
    <w:rsid w:val="007C0A4C"/>
    <w:rsid w:val="007D4763"/>
    <w:rsid w:val="007F6104"/>
    <w:rsid w:val="00800D30"/>
    <w:rsid w:val="00807D1A"/>
    <w:rsid w:val="00845A0F"/>
    <w:rsid w:val="00874594"/>
    <w:rsid w:val="00874EFE"/>
    <w:rsid w:val="00882126"/>
    <w:rsid w:val="008933F1"/>
    <w:rsid w:val="008D0601"/>
    <w:rsid w:val="008D1F11"/>
    <w:rsid w:val="008E4067"/>
    <w:rsid w:val="008E5919"/>
    <w:rsid w:val="008E7255"/>
    <w:rsid w:val="00905951"/>
    <w:rsid w:val="00912D2C"/>
    <w:rsid w:val="00916EE4"/>
    <w:rsid w:val="00920F63"/>
    <w:rsid w:val="009243F3"/>
    <w:rsid w:val="00930FA6"/>
    <w:rsid w:val="0093366B"/>
    <w:rsid w:val="00934185"/>
    <w:rsid w:val="00946126"/>
    <w:rsid w:val="00952626"/>
    <w:rsid w:val="00952DF9"/>
    <w:rsid w:val="0095421D"/>
    <w:rsid w:val="00960C86"/>
    <w:rsid w:val="009675C1"/>
    <w:rsid w:val="009767AF"/>
    <w:rsid w:val="00981F58"/>
    <w:rsid w:val="00986D0A"/>
    <w:rsid w:val="00994890"/>
    <w:rsid w:val="00995F2C"/>
    <w:rsid w:val="009D1002"/>
    <w:rsid w:val="009E3E86"/>
    <w:rsid w:val="009F48EB"/>
    <w:rsid w:val="00A118A2"/>
    <w:rsid w:val="00A23F26"/>
    <w:rsid w:val="00A4001C"/>
    <w:rsid w:val="00A40759"/>
    <w:rsid w:val="00A40AAB"/>
    <w:rsid w:val="00A46D01"/>
    <w:rsid w:val="00A54A7B"/>
    <w:rsid w:val="00A64BD4"/>
    <w:rsid w:val="00A70816"/>
    <w:rsid w:val="00A731C4"/>
    <w:rsid w:val="00A7636D"/>
    <w:rsid w:val="00A901E6"/>
    <w:rsid w:val="00A9138E"/>
    <w:rsid w:val="00A948FB"/>
    <w:rsid w:val="00AC1C89"/>
    <w:rsid w:val="00AD381B"/>
    <w:rsid w:val="00AD4FD6"/>
    <w:rsid w:val="00AF45F7"/>
    <w:rsid w:val="00AF5B5B"/>
    <w:rsid w:val="00AF5D1A"/>
    <w:rsid w:val="00AF702D"/>
    <w:rsid w:val="00B017F9"/>
    <w:rsid w:val="00B07213"/>
    <w:rsid w:val="00B10A05"/>
    <w:rsid w:val="00B52FD4"/>
    <w:rsid w:val="00B54167"/>
    <w:rsid w:val="00B62E06"/>
    <w:rsid w:val="00B64B1D"/>
    <w:rsid w:val="00B9671B"/>
    <w:rsid w:val="00BA1D31"/>
    <w:rsid w:val="00BD080A"/>
    <w:rsid w:val="00BD7CAA"/>
    <w:rsid w:val="00BF2383"/>
    <w:rsid w:val="00C164D3"/>
    <w:rsid w:val="00C20670"/>
    <w:rsid w:val="00C224FD"/>
    <w:rsid w:val="00C745E7"/>
    <w:rsid w:val="00C852B1"/>
    <w:rsid w:val="00C86713"/>
    <w:rsid w:val="00C875E8"/>
    <w:rsid w:val="00C87F4B"/>
    <w:rsid w:val="00C92035"/>
    <w:rsid w:val="00CA4BA7"/>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2F2A"/>
    <w:rsid w:val="00ED7195"/>
    <w:rsid w:val="00EE05E7"/>
    <w:rsid w:val="00EF2D8B"/>
    <w:rsid w:val="00F03D61"/>
    <w:rsid w:val="00F0414F"/>
    <w:rsid w:val="00F27AAF"/>
    <w:rsid w:val="00F31BEC"/>
    <w:rsid w:val="00F52722"/>
    <w:rsid w:val="00F564F7"/>
    <w:rsid w:val="00F56C03"/>
    <w:rsid w:val="00F5782B"/>
    <w:rsid w:val="00F73131"/>
    <w:rsid w:val="00FA13EB"/>
    <w:rsid w:val="00FB1DC3"/>
    <w:rsid w:val="00FC669D"/>
    <w:rsid w:val="00FD4F0B"/>
    <w:rsid w:val="00FD5CAA"/>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6687</Words>
  <Characters>38122</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2022-07-26T20:30:00Z</dcterms:created>
  <dcterms:modified xsi:type="dcterms:W3CDTF">2022-07-26T20:30:00Z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