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55" w:rsidP="00E01255" w:rsidRDefault="00E01255" w14:paraId="76336ACE" w14:textId="77777777">
      <w:r>
        <w:rPr>
          <w:b/>
          <w:noProof/>
          <w:sz w:val="20"/>
        </w:rPr>
        <w:drawing>
          <wp:anchor distT="0" distB="0" distL="114300" distR="114300" simplePos="0" relativeHeight="251659264" behindDoc="0" locked="1" layoutInCell="1" allowOverlap="1" wp14:editId="647194F3" wp14:anchorId="6B422AD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255" w:rsidP="00E01255" w:rsidRDefault="00E01255" w14:paraId="2D956802" w14:textId="2DCD8B4B">
      <w:r>
        <w:tab/>
      </w:r>
      <w:r>
        <w:tab/>
      </w:r>
      <w:r>
        <w:tab/>
      </w:r>
      <w:r>
        <w:tab/>
      </w:r>
      <w:r>
        <w:tab/>
      </w:r>
      <w:r>
        <w:tab/>
      </w:r>
      <w:r w:rsidR="00024708">
        <w:t>May 2</w:t>
      </w:r>
      <w:r w:rsidRPr="00BA5491">
        <w:t>, 202</w:t>
      </w:r>
      <w:r>
        <w:t>2</w:t>
      </w:r>
    </w:p>
    <w:p w:rsidRPr="003E3C83" w:rsidR="00E01255" w:rsidP="00E01255" w:rsidRDefault="00E01255" w14:paraId="57C3E247" w14:textId="77777777"/>
    <w:p w:rsidRPr="003E3C83" w:rsidR="00E01255" w:rsidP="00E01255" w:rsidRDefault="00E01255" w14:paraId="10CC978F" w14:textId="77777777">
      <w:r w:rsidRPr="003E3C83">
        <w:t>MEMORA</w:t>
      </w:r>
      <w:r>
        <w:t>N</w:t>
      </w:r>
      <w:r w:rsidRPr="003E3C83">
        <w:t>DUM</w:t>
      </w:r>
    </w:p>
    <w:p w:rsidRPr="003E3C83" w:rsidR="00E01255" w:rsidP="00E01255" w:rsidRDefault="00E01255" w14:paraId="13DF13A8" w14:textId="77777777"/>
    <w:p w:rsidRPr="003E3C83" w:rsidR="00E01255" w:rsidP="00E01255" w:rsidRDefault="00E01255" w14:paraId="7001CB2D" w14:textId="19E36708">
      <w:r w:rsidRPr="003E3C83">
        <w:t>TO:</w:t>
      </w:r>
      <w:r w:rsidRPr="003E3C83">
        <w:tab/>
      </w:r>
      <w:r w:rsidRPr="003E3C83">
        <w:tab/>
      </w:r>
      <w:r w:rsidRPr="003E3C83">
        <w:tab/>
      </w:r>
      <w:r w:rsidRPr="00D34909" w:rsidR="008E316C">
        <w:t>Shagufta Ahmed</w:t>
      </w:r>
    </w:p>
    <w:p w:rsidRPr="003E3C83" w:rsidR="00E01255" w:rsidP="00E01255" w:rsidRDefault="00E01255" w14:paraId="0FDC7191" w14:textId="77777777">
      <w:r w:rsidRPr="003E3C83">
        <w:tab/>
      </w:r>
      <w:r w:rsidRPr="003E3C83">
        <w:tab/>
      </w:r>
      <w:r w:rsidRPr="003E3C83">
        <w:tab/>
        <w:t>Office of Management and Budget Desk Officer</w:t>
      </w:r>
    </w:p>
    <w:p w:rsidRPr="003E3C83" w:rsidR="00E01255" w:rsidP="00E01255" w:rsidRDefault="00E01255" w14:paraId="16FD70AA" w14:textId="77777777"/>
    <w:p w:rsidR="00E01255" w:rsidP="00E01255" w:rsidRDefault="00E01255" w14:paraId="13D7EAF3" w14:textId="422703CD">
      <w:r w:rsidRPr="003E3C83">
        <w:t>FROM:</w:t>
      </w:r>
      <w:r w:rsidRPr="003E3C83">
        <w:tab/>
      </w:r>
      <w:r w:rsidRPr="003E3C83">
        <w:tab/>
      </w:r>
      <w:r>
        <w:t>Gaby Watts</w:t>
      </w:r>
    </w:p>
    <w:p w:rsidRPr="00FB613F" w:rsidR="00E01255" w:rsidP="00E01255" w:rsidRDefault="00E01255" w14:paraId="5D5D20CD" w14:textId="009D2837">
      <w:r>
        <w:tab/>
      </w:r>
      <w:r>
        <w:tab/>
      </w:r>
      <w:r>
        <w:tab/>
        <w:t>Senior Director, Student Service</w:t>
      </w:r>
    </w:p>
    <w:p w:rsidRPr="003E3C83" w:rsidR="00E01255" w:rsidP="00E01255" w:rsidRDefault="00E01255" w14:paraId="58C03EF9" w14:textId="77777777"/>
    <w:p w:rsidRPr="003E3C83" w:rsidR="00E01255" w:rsidP="00E01255" w:rsidRDefault="00E01255" w14:paraId="623CC2E0" w14:textId="77777777">
      <w:pPr>
        <w:ind w:left="2160" w:hanging="2160"/>
      </w:pPr>
      <w:r w:rsidRPr="003E3C83">
        <w:t>RE:</w:t>
      </w:r>
      <w:r w:rsidRPr="003E3C83">
        <w:tab/>
        <w:t>Emergency request for Paperwork Reduction Act (PRA) approval</w:t>
      </w:r>
    </w:p>
    <w:p w:rsidRPr="003E3C83" w:rsidR="00E01255" w:rsidP="00E01255" w:rsidRDefault="00E01255" w14:paraId="500D0535" w14:textId="77777777">
      <w:pPr>
        <w:ind w:left="2160" w:hanging="2160"/>
      </w:pPr>
    </w:p>
    <w:p w:rsidRPr="003E3C83" w:rsidR="00E01255" w:rsidP="00E01255" w:rsidRDefault="00E01255" w14:paraId="1E8DA96F" w14:textId="77777777">
      <w:pPr>
        <w:rPr>
          <w:rFonts w:eastAsia="Calibri"/>
        </w:rPr>
      </w:pPr>
    </w:p>
    <w:p w:rsidR="00E01255" w:rsidP="00E01255" w:rsidRDefault="00E01255" w14:paraId="3BA9BF5F" w14:textId="44FF82F5">
      <w:r w:rsidRPr="00BA65BE">
        <w:rPr>
          <w:rFonts w:eastAsia="Calibri"/>
        </w:rPr>
        <w:t>Pursuant to the Office of Management and Budget (</w:t>
      </w:r>
      <w:r w:rsidRPr="0072321F">
        <w:rPr>
          <w:rFonts w:eastAsia="Calibri"/>
        </w:rPr>
        <w:t xml:space="preserve">OMB) procedures established at 5 CFR 1320, ED requests that the following collection of </w:t>
      </w:r>
      <w:r w:rsidRPr="00E27D56">
        <w:rPr>
          <w:rFonts w:eastAsia="Calibri"/>
        </w:rPr>
        <w:t>information,</w:t>
      </w:r>
      <w:r w:rsidRPr="00E27D56">
        <w:t xml:space="preserve"> </w:t>
      </w:r>
      <w:r w:rsidR="001F6E11">
        <w:t>Higher</w:t>
      </w:r>
      <w:r w:rsidR="001F6E11">
        <w:rPr>
          <w:spacing w:val="-13"/>
        </w:rPr>
        <w:t xml:space="preserve"> </w:t>
      </w:r>
      <w:r w:rsidR="001F6E11">
        <w:t>Education</w:t>
      </w:r>
      <w:r w:rsidR="001F6E11">
        <w:rPr>
          <w:spacing w:val="-12"/>
        </w:rPr>
        <w:t xml:space="preserve"> </w:t>
      </w:r>
      <w:r w:rsidR="001F6E11">
        <w:t>Emergency</w:t>
      </w:r>
      <w:r w:rsidR="001F6E11">
        <w:rPr>
          <w:spacing w:val="-13"/>
        </w:rPr>
        <w:t xml:space="preserve"> </w:t>
      </w:r>
      <w:r w:rsidR="001F6E11">
        <w:t>Relief</w:t>
      </w:r>
      <w:r w:rsidR="001F6E11">
        <w:rPr>
          <w:spacing w:val="-12"/>
        </w:rPr>
        <w:t xml:space="preserve"> </w:t>
      </w:r>
      <w:r w:rsidR="001F6E11">
        <w:t>Fund</w:t>
      </w:r>
      <w:r w:rsidR="001F6E11">
        <w:rPr>
          <w:spacing w:val="-13"/>
        </w:rPr>
        <w:t xml:space="preserve"> </w:t>
      </w:r>
      <w:r w:rsidR="001F6E11">
        <w:rPr>
          <w:spacing w:val="-2"/>
        </w:rPr>
        <w:t xml:space="preserve">(HEERF) </w:t>
      </w:r>
      <w:r w:rsidR="001F6E11">
        <w:t>(a)(2)</w:t>
      </w:r>
      <w:r w:rsidR="001F6E11">
        <w:rPr>
          <w:spacing w:val="-13"/>
        </w:rPr>
        <w:t xml:space="preserve"> </w:t>
      </w:r>
      <w:r w:rsidR="001F6E11">
        <w:t>Construction,</w:t>
      </w:r>
      <w:r w:rsidR="001F6E11">
        <w:rPr>
          <w:spacing w:val="-11"/>
        </w:rPr>
        <w:t xml:space="preserve"> </w:t>
      </w:r>
      <w:r w:rsidR="001F6E11">
        <w:t>Renovation,</w:t>
      </w:r>
      <w:r w:rsidR="001F6E11">
        <w:rPr>
          <w:spacing w:val="-11"/>
        </w:rPr>
        <w:t xml:space="preserve"> </w:t>
      </w:r>
      <w:r w:rsidR="001F6E11">
        <w:t>&amp;</w:t>
      </w:r>
      <w:r w:rsidR="001F6E11">
        <w:rPr>
          <w:spacing w:val="-13"/>
        </w:rPr>
        <w:t xml:space="preserve"> </w:t>
      </w:r>
      <w:r w:rsidR="001F6E11">
        <w:t>Real</w:t>
      </w:r>
      <w:r w:rsidR="001F6E11">
        <w:rPr>
          <w:spacing w:val="-12"/>
        </w:rPr>
        <w:t xml:space="preserve"> </w:t>
      </w:r>
      <w:r w:rsidR="001F6E11">
        <w:rPr>
          <w:spacing w:val="-2"/>
        </w:rPr>
        <w:t xml:space="preserve">Property Projects </w:t>
      </w:r>
      <w:r w:rsidR="001F6E11">
        <w:t>Prior</w:t>
      </w:r>
      <w:r w:rsidR="001F6E11">
        <w:rPr>
          <w:spacing w:val="-12"/>
        </w:rPr>
        <w:t xml:space="preserve"> </w:t>
      </w:r>
      <w:r w:rsidR="001F6E11">
        <w:t>Approval</w:t>
      </w:r>
      <w:r w:rsidR="001F6E11">
        <w:rPr>
          <w:spacing w:val="-13"/>
        </w:rPr>
        <w:t xml:space="preserve"> </w:t>
      </w:r>
      <w:r w:rsidR="001F6E11">
        <w:t>Request</w:t>
      </w:r>
      <w:r w:rsidR="001F6E11">
        <w:rPr>
          <w:spacing w:val="-13"/>
        </w:rPr>
        <w:t xml:space="preserve"> </w:t>
      </w:r>
      <w:r w:rsidR="001F6E11">
        <w:rPr>
          <w:spacing w:val="-4"/>
        </w:rPr>
        <w:t>Form</w:t>
      </w:r>
      <w:r w:rsidRPr="00E27D56">
        <w:rPr>
          <w:rFonts w:eastAsia="Calibri"/>
        </w:rPr>
        <w:t>, be processed in accordance with section 1320.13 Emergency Processing.  ED has determined that</w:t>
      </w:r>
      <w:r w:rsidRPr="0072321F">
        <w:rPr>
          <w:rFonts w:eastAsia="Calibri"/>
        </w:rPr>
        <w:t xml:space="preserve"> this information must be collected prior to the expiration of time periods established under Part 1320, and that this information is essential to ED’s ability to effectively </w:t>
      </w:r>
      <w:r w:rsidRPr="0072321F">
        <w:t>address the economic disruption posed by the Novel (new</w:t>
      </w:r>
      <w:r w:rsidRPr="00BA65BE">
        <w:t>) Coronavirus</w:t>
      </w:r>
      <w:r w:rsidRPr="003E3C83">
        <w:t xml:space="preserve"> (</w:t>
      </w:r>
      <w:bookmarkStart w:name="_Hlk37342712" w:id="0"/>
      <w:r w:rsidRPr="003E3C83">
        <w:t>“2019-nCoV”</w:t>
      </w:r>
      <w:bookmarkEnd w:id="0"/>
      <w:r w:rsidRPr="003E3C83">
        <w:t xml:space="preserve">).  </w:t>
      </w:r>
    </w:p>
    <w:p w:rsidRPr="00136B9A" w:rsidR="00E01255" w:rsidP="00E01255" w:rsidRDefault="00E01255" w14:paraId="7A1F7441" w14:textId="77777777"/>
    <w:p w:rsidR="00E01255" w:rsidP="00E01255" w:rsidRDefault="00E01255" w14:paraId="23BBCC2A" w14:textId="24D515C4">
      <w:r>
        <w:t>T</w:t>
      </w:r>
      <w:r w:rsidRPr="001C7F15">
        <w:t xml:space="preserve">he </w:t>
      </w:r>
      <w:r>
        <w:t xml:space="preserve">Consolidated Appropriations Act, 2022 (Pub. L. 117-103) signed by the President on March 15, 2022, provides </w:t>
      </w:r>
      <w:r w:rsidRPr="001C7F15">
        <w:t>new flexibilities and requirements around using HEERF (a)(2) grant funds for construction</w:t>
      </w:r>
      <w:r>
        <w:t>, renovation,</w:t>
      </w:r>
      <w:r w:rsidRPr="001C7F15">
        <w:t xml:space="preserve"> and real property </w:t>
      </w:r>
      <w:r>
        <w:t xml:space="preserve">projects </w:t>
      </w:r>
      <w:r w:rsidRPr="001C7F15">
        <w:t>as a result of Congress expanding the allowable uses of funds under the HEERF (a)(2) programs.</w:t>
      </w:r>
      <w:r>
        <w:t xml:space="preserve">  This collection includes the required prior approval form that must be completed by eligible institutions seeking to </w:t>
      </w:r>
      <w:r w:rsidR="00BB2139">
        <w:t xml:space="preserve">use </w:t>
      </w:r>
      <w:r>
        <w:t>(a)(2) funds for this purpose.</w:t>
      </w:r>
    </w:p>
    <w:p w:rsidR="00E01255" w:rsidP="00E01255" w:rsidRDefault="00E01255" w14:paraId="7694261F" w14:textId="77777777"/>
    <w:p w:rsidR="00E01255" w:rsidP="00E01255" w:rsidRDefault="00E01255" w14:paraId="2C875C50" w14:textId="1EE42C25">
      <w:r>
        <w:t xml:space="preserve">If this emergency collection is not approved, the Department will be unable to </w:t>
      </w:r>
      <w:r w:rsidR="00DE4D8F">
        <w:t xml:space="preserve">process the prior </w:t>
      </w:r>
      <w:r w:rsidR="00127818">
        <w:t xml:space="preserve">approval </w:t>
      </w:r>
      <w:r w:rsidR="00DE4D8F">
        <w:t xml:space="preserve">requests </w:t>
      </w:r>
      <w:r w:rsidR="00127818">
        <w:t>institution</w:t>
      </w:r>
      <w:r w:rsidR="00D4278D">
        <w:t>s</w:t>
      </w:r>
      <w:r w:rsidR="00127818">
        <w:t xml:space="preserve"> </w:t>
      </w:r>
      <w:r w:rsidR="00DE4D8F">
        <w:t xml:space="preserve">are required </w:t>
      </w:r>
      <w:r w:rsidR="00127818">
        <w:t xml:space="preserve">to </w:t>
      </w:r>
      <w:r w:rsidR="00DE4D8F">
        <w:t xml:space="preserve">submit </w:t>
      </w:r>
      <w:r w:rsidR="00E012B0">
        <w:t>to</w:t>
      </w:r>
      <w:r w:rsidR="00D4278D">
        <w:t xml:space="preserve"> </w:t>
      </w:r>
      <w:r w:rsidR="00127818">
        <w:t>commenc</w:t>
      </w:r>
      <w:r w:rsidR="00D4278D">
        <w:t>e</w:t>
      </w:r>
      <w:r w:rsidR="00DE4D8F">
        <w:t xml:space="preserve"> a</w:t>
      </w:r>
      <w:r w:rsidR="00127818">
        <w:t xml:space="preserve"> construction, renovation or real property project in a </w:t>
      </w:r>
      <w:r>
        <w:t xml:space="preserve">timely manner.  Due to the </w:t>
      </w:r>
      <w:r w:rsidR="00127818">
        <w:t xml:space="preserve">potential lengthened timeline associated with the construction, renovation, and real property projects, </w:t>
      </w:r>
      <w:r>
        <w:t xml:space="preserve">the Department has determined that it is necessary to obtain </w:t>
      </w:r>
      <w:r w:rsidR="00127818">
        <w:t xml:space="preserve">the required information </w:t>
      </w:r>
      <w:r w:rsidR="00DE4D8F">
        <w:t xml:space="preserve">from the </w:t>
      </w:r>
      <w:r w:rsidR="00127818">
        <w:t xml:space="preserve">institutions to use </w:t>
      </w:r>
      <w:r w:rsidR="00DE4D8F">
        <w:t xml:space="preserve">the </w:t>
      </w:r>
      <w:r>
        <w:t>(a)(</w:t>
      </w:r>
      <w:r w:rsidR="00127818">
        <w:t>2</w:t>
      </w:r>
      <w:r>
        <w:t>) funding stream</w:t>
      </w:r>
      <w:r w:rsidR="00DE4D8F">
        <w:t xml:space="preserve"> for this purpose</w:t>
      </w:r>
      <w:r w:rsidR="00D4278D">
        <w:t xml:space="preserve"> as required by Uniform Guidance</w:t>
      </w:r>
      <w:r>
        <w:t xml:space="preserve">. </w:t>
      </w:r>
      <w:r w:rsidR="006909A0">
        <w:t xml:space="preserve"> </w:t>
      </w:r>
      <w:r>
        <w:t xml:space="preserve">Without approval of the </w:t>
      </w:r>
      <w:r w:rsidR="00DE4D8F">
        <w:t xml:space="preserve">HEERF (a)(2) Prior Approval Request Form, institutions will be </w:t>
      </w:r>
      <w:r>
        <w:t xml:space="preserve">forced to delay </w:t>
      </w:r>
      <w:r w:rsidR="00D4278D">
        <w:t xml:space="preserve">the </w:t>
      </w:r>
      <w:r w:rsidR="00BF15D5">
        <w:t>construction, renovation and real property projects which “prevent, prepare for, and respond to coronavirus.”</w:t>
      </w:r>
      <w:r w:rsidRPr="001C7F15" w:rsidR="00BF15D5">
        <w:t xml:space="preserve"> </w:t>
      </w:r>
      <w:r w:rsidR="007805C9">
        <w:t xml:space="preserve"> </w:t>
      </w:r>
      <w:r w:rsidR="00BF15D5">
        <w:t xml:space="preserve">Any delay </w:t>
      </w:r>
      <w:r w:rsidR="007805C9">
        <w:t xml:space="preserve">in </w:t>
      </w:r>
      <w:r w:rsidR="00BF15D5">
        <w:t xml:space="preserve">the submission of </w:t>
      </w:r>
      <w:r w:rsidR="00DE4D8F">
        <w:t xml:space="preserve">requests </w:t>
      </w:r>
      <w:r w:rsidR="00BF15D5">
        <w:t xml:space="preserve">could jeopardize the timelines as institutions will </w:t>
      </w:r>
      <w:r w:rsidR="00DE4D8F">
        <w:t>not have sufficient time to complete the construction, renovation, and real property projec</w:t>
      </w:r>
      <w:r>
        <w:t>ts</w:t>
      </w:r>
      <w:r w:rsidR="00BF15D5">
        <w:t xml:space="preserve"> prior to </w:t>
      </w:r>
      <w:r w:rsidR="00E012B0">
        <w:t xml:space="preserve">Account Closing </w:t>
      </w:r>
      <w:r w:rsidR="00E012B0">
        <w:lastRenderedPageBreak/>
        <w:t xml:space="preserve">Regulation, which is </w:t>
      </w:r>
      <w:r w:rsidR="00BF15D5">
        <w:t>September 30, 2028</w:t>
      </w:r>
      <w:r w:rsidR="00E012B0">
        <w:t xml:space="preserve">. </w:t>
      </w:r>
      <w:r w:rsidR="007805C9">
        <w:t xml:space="preserve"> </w:t>
      </w:r>
      <w:r w:rsidR="00E012B0">
        <w:t xml:space="preserve">This means all remaining funds unspent by institutions must be returned to the U.S. Department of Treasury. </w:t>
      </w:r>
      <w:r>
        <w:t xml:space="preserve">  </w:t>
      </w:r>
    </w:p>
    <w:p w:rsidR="007805C9" w:rsidP="00E01255" w:rsidRDefault="007805C9" w14:paraId="3BED4401" w14:textId="77777777"/>
    <w:p w:rsidRPr="00E52514" w:rsidR="00E01255" w:rsidP="00E01255" w:rsidRDefault="00E01255" w14:paraId="2A3DFFD6" w14:textId="276CD34D">
      <w:pPr>
        <w:rPr>
          <w:rFonts w:eastAsia="Calibri"/>
        </w:rPr>
      </w:pPr>
      <w:r w:rsidRPr="003E3C83">
        <w:rPr>
          <w:rFonts w:eastAsia="Calibri"/>
        </w:rPr>
        <w:t>Given the short timeframe, ED is unable to consult with the public prior to issuing the form</w:t>
      </w:r>
      <w:r>
        <w:rPr>
          <w:rFonts w:eastAsia="Calibri"/>
        </w:rPr>
        <w:t>.  H</w:t>
      </w:r>
      <w:r w:rsidRPr="003E3C83">
        <w:rPr>
          <w:rFonts w:eastAsia="Calibri"/>
        </w:rPr>
        <w:t>owever</w:t>
      </w:r>
      <w:r>
        <w:rPr>
          <w:rFonts w:eastAsia="Calibri"/>
        </w:rPr>
        <w:t>,</w:t>
      </w:r>
      <w:r w:rsidRPr="003E3C83">
        <w:rPr>
          <w:rFonts w:eastAsia="Calibri"/>
        </w:rPr>
        <w:t xml:space="preserve"> ED has ample experience designing similar forms </w:t>
      </w:r>
      <w:r w:rsidRPr="00E52514">
        <w:rPr>
          <w:rFonts w:eastAsia="Calibri"/>
        </w:rPr>
        <w:t xml:space="preserve">that </w:t>
      </w:r>
      <w:r w:rsidR="00D4278D">
        <w:rPr>
          <w:rFonts w:eastAsia="Calibri"/>
        </w:rPr>
        <w:t xml:space="preserve">are </w:t>
      </w:r>
      <w:r w:rsidRPr="00E52514">
        <w:rPr>
          <w:rFonts w:eastAsia="Calibri"/>
        </w:rPr>
        <w:t xml:space="preserve">clear and minimize burden. </w:t>
      </w:r>
      <w:r w:rsidR="009218DE">
        <w:rPr>
          <w:rFonts w:eastAsia="Calibri"/>
        </w:rPr>
        <w:t xml:space="preserve"> </w:t>
      </w:r>
      <w:r w:rsidRPr="00E52514">
        <w:rPr>
          <w:rFonts w:eastAsia="Calibri"/>
        </w:rPr>
        <w:t xml:space="preserve">We estimate that the </w:t>
      </w:r>
      <w:r>
        <w:rPr>
          <w:rFonts w:eastAsia="Calibri"/>
        </w:rPr>
        <w:t>form</w:t>
      </w:r>
      <w:r w:rsidRPr="00E52514">
        <w:rPr>
          <w:rFonts w:eastAsia="Calibri"/>
        </w:rPr>
        <w:t xml:space="preserve"> will require </w:t>
      </w:r>
      <w:r w:rsidR="006A39AF">
        <w:rPr>
          <w:rFonts w:eastAsia="Calibri"/>
        </w:rPr>
        <w:t>30</w:t>
      </w:r>
      <w:r>
        <w:rPr>
          <w:rFonts w:eastAsia="Calibri"/>
        </w:rPr>
        <w:t xml:space="preserve"> minutes per applicant</w:t>
      </w:r>
      <w:r w:rsidRPr="00E52514">
        <w:rPr>
          <w:rFonts w:eastAsia="Calibri"/>
        </w:rPr>
        <w:t xml:space="preserve"> to complete.</w:t>
      </w:r>
    </w:p>
    <w:p w:rsidRPr="00E52514" w:rsidR="00E01255" w:rsidP="00E01255" w:rsidRDefault="00E01255" w14:paraId="278C7A0D" w14:textId="77777777">
      <w:pPr>
        <w:rPr>
          <w:rFonts w:eastAsia="Calibri"/>
        </w:rPr>
      </w:pPr>
    </w:p>
    <w:p w:rsidRPr="003E3C83" w:rsidR="00D4278D" w:rsidP="00D4278D" w:rsidRDefault="00D4278D" w14:paraId="3ADFA581" w14:textId="6D16EB62">
      <w:pPr>
        <w:tabs>
          <w:tab w:val="left" w:pos="-720"/>
          <w:tab w:val="left" w:pos="0"/>
        </w:tabs>
        <w:suppressAutoHyphens/>
      </w:pPr>
      <w:r w:rsidRPr="00E52514">
        <w:t xml:space="preserve">The Department is requesting an emergency clearance from OMB by </w:t>
      </w:r>
      <w:r w:rsidR="00BE096B">
        <w:t xml:space="preserve">May </w:t>
      </w:r>
      <w:r w:rsidR="00024708">
        <w:t>3</w:t>
      </w:r>
      <w:r>
        <w:t>, 2022</w:t>
      </w:r>
      <w:r w:rsidR="00E012B0">
        <w:t xml:space="preserve">. </w:t>
      </w:r>
      <w:r w:rsidR="00625B48">
        <w:t xml:space="preserve"> </w:t>
      </w:r>
      <w:r w:rsidR="00E012B0">
        <w:t>The Department will</w:t>
      </w:r>
      <w:r>
        <w:t xml:space="preserve"> publish an emergency notice </w:t>
      </w:r>
      <w:r w:rsidR="009008C2">
        <w:t>with a 60</w:t>
      </w:r>
      <w:r w:rsidR="001E0871">
        <w:t>-</w:t>
      </w:r>
      <w:r w:rsidR="009008C2">
        <w:t xml:space="preserve">day comment period as required by 5 CFR 1320.8(d) to solicit public comments </w:t>
      </w:r>
      <w:r w:rsidR="00775266">
        <w:t>in conjunction with</w:t>
      </w:r>
      <w:r w:rsidR="009008C2">
        <w:t xml:space="preserve"> the regular </w:t>
      </w:r>
      <w:r w:rsidR="001E0871">
        <w:t xml:space="preserve">(non-emergency) </w:t>
      </w:r>
      <w:r w:rsidR="00775266">
        <w:t xml:space="preserve">processing of this </w:t>
      </w:r>
      <w:r w:rsidR="009008C2">
        <w:t>information collection.</w:t>
      </w:r>
    </w:p>
    <w:p w:rsidR="00715B57" w:rsidRDefault="000267E7" w14:paraId="19C8DB3E" w14:textId="77777777"/>
    <w:sectPr w:rsidR="00715B57" w:rsidSect="00BB62E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FFEF" w14:textId="77777777" w:rsidR="00E01255" w:rsidRDefault="00E01255" w:rsidP="00E01255">
      <w:r>
        <w:separator/>
      </w:r>
    </w:p>
  </w:endnote>
  <w:endnote w:type="continuationSeparator" w:id="0">
    <w:p w14:paraId="35264482" w14:textId="77777777" w:rsidR="00E01255" w:rsidRDefault="00E01255" w:rsidP="00E0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98D4" w14:textId="77777777" w:rsidR="006751AE" w:rsidRDefault="00E01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8CE563" w14:textId="77777777" w:rsidR="006751AE" w:rsidRDefault="00026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1DE2" w14:textId="77777777" w:rsidR="00187B0D" w:rsidRPr="0009367B" w:rsidRDefault="00E012B0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60623673" w14:textId="77777777" w:rsidR="000670B3" w:rsidRPr="0009367B" w:rsidRDefault="000267E7" w:rsidP="000670B3">
    <w:pPr>
      <w:pStyle w:val="Footer"/>
      <w:jc w:val="center"/>
      <w:rPr>
        <w:color w:val="000080"/>
        <w:sz w:val="18"/>
      </w:rPr>
    </w:pPr>
    <w:hyperlink r:id="rId1" w:history="1">
      <w:r w:rsidR="00E012B0" w:rsidRPr="0009367B">
        <w:rPr>
          <w:rStyle w:val="Hyperlink"/>
          <w:color w:val="000080"/>
          <w:sz w:val="18"/>
        </w:rPr>
        <w:t>www.ed.gov</w:t>
      </w:r>
    </w:hyperlink>
  </w:p>
  <w:p w14:paraId="32CFC154" w14:textId="77777777" w:rsidR="000670B3" w:rsidRPr="0009367B" w:rsidRDefault="000267E7" w:rsidP="000670B3">
    <w:pPr>
      <w:pStyle w:val="Footer"/>
      <w:jc w:val="center"/>
      <w:rPr>
        <w:color w:val="000080"/>
        <w:sz w:val="18"/>
      </w:rPr>
    </w:pPr>
  </w:p>
  <w:p w14:paraId="67388E67" w14:textId="77777777" w:rsidR="000670B3" w:rsidRPr="0009367B" w:rsidRDefault="00E012B0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7FBBEBEB" w14:textId="77777777" w:rsidR="000670B3" w:rsidRDefault="0002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5F94" w14:textId="77777777" w:rsidR="00E01255" w:rsidRDefault="00E01255" w:rsidP="00E01255">
      <w:r>
        <w:separator/>
      </w:r>
    </w:p>
  </w:footnote>
  <w:footnote w:type="continuationSeparator" w:id="0">
    <w:p w14:paraId="7C2DD660" w14:textId="77777777" w:rsidR="00E01255" w:rsidRDefault="00E01255" w:rsidP="00E0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2A422541" w14:paraId="53FA2147" w14:textId="77777777" w:rsidTr="00BA5491">
      <w:tc>
        <w:tcPr>
          <w:tcW w:w="2925" w:type="dxa"/>
        </w:tcPr>
        <w:p w14:paraId="2C262E68" w14:textId="77777777" w:rsidR="2A422541" w:rsidRDefault="000267E7" w:rsidP="00BA5491">
          <w:pPr>
            <w:ind w:left="-115"/>
          </w:pPr>
        </w:p>
      </w:tc>
      <w:tc>
        <w:tcPr>
          <w:tcW w:w="2925" w:type="dxa"/>
        </w:tcPr>
        <w:p w14:paraId="4FCF25EB" w14:textId="77777777" w:rsidR="2A422541" w:rsidRDefault="000267E7" w:rsidP="00BA5491">
          <w:pPr>
            <w:jc w:val="center"/>
          </w:pPr>
        </w:p>
      </w:tc>
      <w:tc>
        <w:tcPr>
          <w:tcW w:w="2925" w:type="dxa"/>
        </w:tcPr>
        <w:p w14:paraId="58EE95EA" w14:textId="77777777" w:rsidR="2A422541" w:rsidRDefault="000267E7" w:rsidP="00BA5491">
          <w:pPr>
            <w:ind w:right="-115"/>
            <w:jc w:val="right"/>
          </w:pPr>
        </w:p>
      </w:tc>
    </w:tr>
  </w:tbl>
  <w:p w14:paraId="3DDB7084" w14:textId="77777777" w:rsidR="2A422541" w:rsidRDefault="00026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2A422541" w14:paraId="75CD8D2B" w14:textId="77777777" w:rsidTr="00BA5491">
      <w:tc>
        <w:tcPr>
          <w:tcW w:w="2925" w:type="dxa"/>
        </w:tcPr>
        <w:p w14:paraId="1DCD0C8F" w14:textId="77777777" w:rsidR="2A422541" w:rsidRDefault="000267E7" w:rsidP="00BA5491">
          <w:pPr>
            <w:ind w:left="-115"/>
          </w:pPr>
        </w:p>
      </w:tc>
      <w:tc>
        <w:tcPr>
          <w:tcW w:w="2925" w:type="dxa"/>
        </w:tcPr>
        <w:p w14:paraId="5E6796F9" w14:textId="77777777" w:rsidR="2A422541" w:rsidRDefault="000267E7" w:rsidP="00BA5491">
          <w:pPr>
            <w:jc w:val="center"/>
          </w:pPr>
        </w:p>
      </w:tc>
      <w:tc>
        <w:tcPr>
          <w:tcW w:w="2925" w:type="dxa"/>
        </w:tcPr>
        <w:p w14:paraId="4717C42B" w14:textId="77777777" w:rsidR="2A422541" w:rsidRDefault="000267E7" w:rsidP="00BA5491">
          <w:pPr>
            <w:ind w:right="-115"/>
            <w:jc w:val="right"/>
          </w:pPr>
        </w:p>
      </w:tc>
    </w:tr>
  </w:tbl>
  <w:p w14:paraId="69ADABDF" w14:textId="77777777" w:rsidR="2A422541" w:rsidRDefault="000267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5"/>
    <w:rsid w:val="00024708"/>
    <w:rsid w:val="000267E7"/>
    <w:rsid w:val="00127818"/>
    <w:rsid w:val="001E0871"/>
    <w:rsid w:val="001F6E11"/>
    <w:rsid w:val="004E38AB"/>
    <w:rsid w:val="00625B48"/>
    <w:rsid w:val="006909A0"/>
    <w:rsid w:val="006A39AF"/>
    <w:rsid w:val="00731C17"/>
    <w:rsid w:val="00775266"/>
    <w:rsid w:val="007805C9"/>
    <w:rsid w:val="008707C5"/>
    <w:rsid w:val="008E316C"/>
    <w:rsid w:val="009008C2"/>
    <w:rsid w:val="009218DE"/>
    <w:rsid w:val="00A45615"/>
    <w:rsid w:val="00A64D06"/>
    <w:rsid w:val="00A83C44"/>
    <w:rsid w:val="00A956DB"/>
    <w:rsid w:val="00BB2139"/>
    <w:rsid w:val="00BE096B"/>
    <w:rsid w:val="00BF15D5"/>
    <w:rsid w:val="00D4278D"/>
    <w:rsid w:val="00D96D7A"/>
    <w:rsid w:val="00DE4D8F"/>
    <w:rsid w:val="00E01255"/>
    <w:rsid w:val="00E012B0"/>
    <w:rsid w:val="00E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32C8A28"/>
  <w15:chartTrackingRefBased/>
  <w15:docId w15:val="{24F59FD6-8439-43C0-A686-6E9BEEF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1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12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01255"/>
    <w:rPr>
      <w:color w:val="0000FF"/>
      <w:u w:val="single"/>
    </w:rPr>
  </w:style>
  <w:style w:type="character" w:styleId="PageNumber">
    <w:name w:val="page number"/>
    <w:basedOn w:val="DefaultParagraphFont"/>
    <w:rsid w:val="00E01255"/>
  </w:style>
  <w:style w:type="paragraph" w:styleId="FootnoteText">
    <w:name w:val="footnote text"/>
    <w:basedOn w:val="Normal"/>
    <w:link w:val="FootnoteTextChar"/>
    <w:semiHidden/>
    <w:rsid w:val="00E012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12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01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Epps</dc:creator>
  <cp:keywords/>
  <dc:description/>
  <cp:lastModifiedBy>Mullan, Kate</cp:lastModifiedBy>
  <cp:revision>2</cp:revision>
  <dcterms:created xsi:type="dcterms:W3CDTF">2022-05-02T20:59:00Z</dcterms:created>
  <dcterms:modified xsi:type="dcterms:W3CDTF">2022-05-02T20:59:00Z</dcterms:modified>
</cp:coreProperties>
</file>