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7677" w:rsidR="00D52DFE" w:rsidP="00594614" w:rsidRDefault="002F529A" w14:paraId="090DCC65" w14:textId="02831F62">
      <w:pPr>
        <w:tabs>
          <w:tab w:val="left" w:pos="720"/>
        </w:tabs>
        <w:spacing w:before="0" w:line="240" w:lineRule="auto"/>
        <w:jc w:val="center"/>
        <w:rPr>
          <w:b/>
          <w:bCs/>
          <w:caps/>
          <w:sz w:val="26"/>
          <w:lang w:val="en-CA"/>
        </w:rPr>
      </w:pPr>
      <w:r w:rsidRPr="00A37677">
        <w:rPr>
          <w:b/>
          <w:bCs/>
          <w:caps/>
          <w:sz w:val="26"/>
          <w:lang w:val="en-CA"/>
        </w:rPr>
        <w:t>fEDERAL eNERGY rEGULATORY cOMMISSION</w:t>
      </w:r>
    </w:p>
    <w:p w:rsidRPr="00A37677" w:rsidR="00D52DFE" w:rsidP="00594614" w:rsidRDefault="00D52DFE" w14:paraId="7166F589" w14:textId="77777777">
      <w:pPr>
        <w:tabs>
          <w:tab w:val="left" w:pos="720"/>
        </w:tabs>
        <w:spacing w:before="0" w:line="240" w:lineRule="auto"/>
        <w:jc w:val="center"/>
        <w:rPr>
          <w:b/>
          <w:bCs/>
          <w:caps/>
          <w:sz w:val="26"/>
          <w:lang w:val="en-CA"/>
        </w:rPr>
      </w:pPr>
    </w:p>
    <w:p w:rsidRPr="00A37677" w:rsidR="00A23BE5" w:rsidP="00594614" w:rsidRDefault="0063032A" w14:paraId="7CE7E1A0" w14:textId="64ECA17F">
      <w:pPr>
        <w:tabs>
          <w:tab w:val="left" w:pos="720"/>
        </w:tabs>
        <w:spacing w:before="0" w:line="240" w:lineRule="auto"/>
        <w:jc w:val="center"/>
        <w:rPr>
          <w:sz w:val="26"/>
        </w:rPr>
      </w:pPr>
      <w:r w:rsidRPr="00A37677">
        <w:rPr>
          <w:sz w:val="26"/>
        </w:rPr>
        <w:t>Supporting Statement A</w:t>
      </w:r>
      <w:r w:rsidRPr="00A37677" w:rsidR="00A23BE5">
        <w:rPr>
          <w:sz w:val="26"/>
          <w:szCs w:val="26"/>
        </w:rPr>
        <w:t xml:space="preserve"> </w:t>
      </w:r>
      <w:r w:rsidRPr="00A37677" w:rsidR="005B6F0F">
        <w:rPr>
          <w:sz w:val="26"/>
          <w:szCs w:val="26"/>
        </w:rPr>
        <w:t>for</w:t>
      </w:r>
    </w:p>
    <w:p w:rsidR="000E3F6E" w:rsidP="00594614" w:rsidRDefault="00A23BE5" w14:paraId="1474A2EA" w14:textId="21FA7FEB">
      <w:pPr>
        <w:tabs>
          <w:tab w:val="left" w:pos="720"/>
        </w:tabs>
        <w:spacing w:before="0" w:line="240" w:lineRule="auto"/>
        <w:jc w:val="center"/>
        <w:rPr>
          <w:b/>
          <w:bCs/>
          <w:sz w:val="26"/>
        </w:rPr>
      </w:pPr>
      <w:r w:rsidRPr="00A23BE5">
        <w:rPr>
          <w:b/>
          <w:bCs/>
          <w:sz w:val="26"/>
        </w:rPr>
        <w:t xml:space="preserve">FERC-516F </w:t>
      </w:r>
      <w:r w:rsidRPr="00A37677" w:rsidR="00502D4E">
        <w:rPr>
          <w:b/>
          <w:bCs/>
          <w:sz w:val="26"/>
        </w:rPr>
        <w:t>(OMB Co</w:t>
      </w:r>
      <w:r w:rsidRPr="00A37677" w:rsidR="007A3C06">
        <w:rPr>
          <w:b/>
          <w:bCs/>
          <w:sz w:val="26"/>
        </w:rPr>
        <w:t xml:space="preserve">ntrol No. </w:t>
      </w:r>
      <w:r w:rsidRPr="00A37677" w:rsidR="00393740">
        <w:rPr>
          <w:b/>
          <w:bCs/>
          <w:sz w:val="26"/>
        </w:rPr>
        <w:t>19</w:t>
      </w:r>
      <w:r w:rsidRPr="00A37677" w:rsidR="007A3C06">
        <w:rPr>
          <w:b/>
          <w:bCs/>
          <w:sz w:val="26"/>
        </w:rPr>
        <w:t>0</w:t>
      </w:r>
      <w:r w:rsidRPr="00A37677" w:rsidR="00393740">
        <w:rPr>
          <w:b/>
          <w:bCs/>
          <w:sz w:val="26"/>
        </w:rPr>
        <w:t>2-</w:t>
      </w:r>
      <w:r w:rsidRPr="00A37677" w:rsidR="007A3C06">
        <w:rPr>
          <w:b/>
          <w:bCs/>
          <w:sz w:val="26"/>
        </w:rPr>
        <w:t>02</w:t>
      </w:r>
      <w:r w:rsidRPr="00A37677" w:rsidR="003A4298">
        <w:rPr>
          <w:b/>
          <w:bCs/>
          <w:sz w:val="26"/>
        </w:rPr>
        <w:t>97</w:t>
      </w:r>
      <w:r w:rsidRPr="00A37677" w:rsidR="007A3C06">
        <w:rPr>
          <w:b/>
          <w:bCs/>
          <w:sz w:val="26"/>
        </w:rPr>
        <w:t>)</w:t>
      </w:r>
      <w:r w:rsidR="000E3F6E">
        <w:rPr>
          <w:b/>
          <w:bCs/>
          <w:sz w:val="26"/>
        </w:rPr>
        <w:t xml:space="preserve"> </w:t>
      </w:r>
      <w:r w:rsidRPr="00A37677" w:rsidR="003A4298">
        <w:rPr>
          <w:b/>
          <w:bCs/>
          <w:sz w:val="26"/>
        </w:rPr>
        <w:t>an</w:t>
      </w:r>
      <w:r w:rsidR="000E3F6E">
        <w:rPr>
          <w:b/>
          <w:bCs/>
          <w:sz w:val="26"/>
        </w:rPr>
        <w:t>d</w:t>
      </w:r>
    </w:p>
    <w:p w:rsidRPr="00A23BE5" w:rsidR="00A23BE5" w:rsidP="00594614" w:rsidRDefault="003A4298" w14:paraId="66C7B12E" w14:textId="2EDDF7B5">
      <w:pPr>
        <w:tabs>
          <w:tab w:val="left" w:pos="720"/>
        </w:tabs>
        <w:spacing w:before="0" w:line="240" w:lineRule="auto"/>
        <w:jc w:val="center"/>
        <w:rPr>
          <w:b/>
          <w:bCs/>
          <w:sz w:val="26"/>
        </w:rPr>
      </w:pPr>
      <w:r w:rsidRPr="00A37677">
        <w:rPr>
          <w:b/>
          <w:bCs/>
          <w:sz w:val="26"/>
        </w:rPr>
        <w:t>FERC</w:t>
      </w:r>
      <w:r w:rsidRPr="00A37677" w:rsidR="00393740">
        <w:rPr>
          <w:b/>
          <w:bCs/>
          <w:sz w:val="26"/>
        </w:rPr>
        <w:t xml:space="preserve">-917 (OMB Control No. </w:t>
      </w:r>
      <w:r w:rsidRPr="00A37677" w:rsidR="00DC2BB0">
        <w:rPr>
          <w:b/>
          <w:bCs/>
          <w:sz w:val="26"/>
        </w:rPr>
        <w:t>1902-0233)</w:t>
      </w:r>
    </w:p>
    <w:p w:rsidRPr="00A23BE5" w:rsidR="00A23BE5" w:rsidP="00594614" w:rsidRDefault="00A23BE5" w14:paraId="15E52DDF" w14:textId="3E3A1CAE">
      <w:pPr>
        <w:tabs>
          <w:tab w:val="left" w:pos="720"/>
        </w:tabs>
        <w:spacing w:before="0" w:line="240" w:lineRule="auto"/>
        <w:jc w:val="center"/>
        <w:rPr>
          <w:b/>
          <w:bCs/>
          <w:sz w:val="26"/>
        </w:rPr>
      </w:pPr>
      <w:r w:rsidRPr="00A23BE5">
        <w:rPr>
          <w:b/>
          <w:bCs/>
          <w:sz w:val="26"/>
        </w:rPr>
        <w:t>Modifications Proposed in the NOPR in RM</w:t>
      </w:r>
      <w:r w:rsidR="003819A7">
        <w:rPr>
          <w:b/>
          <w:bCs/>
          <w:sz w:val="26"/>
        </w:rPr>
        <w:t>21</w:t>
      </w:r>
      <w:r w:rsidRPr="00A23BE5">
        <w:rPr>
          <w:b/>
          <w:bCs/>
          <w:sz w:val="26"/>
        </w:rPr>
        <w:t>-</w:t>
      </w:r>
      <w:r w:rsidR="003819A7">
        <w:rPr>
          <w:b/>
          <w:bCs/>
          <w:sz w:val="26"/>
        </w:rPr>
        <w:t>17</w:t>
      </w:r>
      <w:r w:rsidRPr="00A23BE5">
        <w:rPr>
          <w:b/>
          <w:bCs/>
          <w:sz w:val="26"/>
        </w:rPr>
        <w:t>-000</w:t>
      </w:r>
    </w:p>
    <w:p w:rsidRPr="00A23BE5" w:rsidR="00A23BE5" w:rsidP="00594614" w:rsidRDefault="00A23BE5" w14:paraId="141D76AB" w14:textId="77777777">
      <w:pPr>
        <w:tabs>
          <w:tab w:val="left" w:pos="720"/>
        </w:tabs>
        <w:spacing w:before="0" w:line="240" w:lineRule="auto"/>
        <w:jc w:val="center"/>
        <w:rPr>
          <w:b/>
          <w:bCs/>
          <w:sz w:val="26"/>
        </w:rPr>
      </w:pPr>
    </w:p>
    <w:p w:rsidRPr="00A37677" w:rsidR="00D52DFE" w:rsidP="00594614" w:rsidRDefault="00BE0091" w14:paraId="21413CC4" w14:textId="764500E8">
      <w:pPr>
        <w:pBdr>
          <w:bottom w:val="single" w:color="auto" w:sz="6"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jc w:val="center"/>
        <w:rPr>
          <w:b/>
          <w:bCs/>
          <w:sz w:val="26"/>
        </w:rPr>
      </w:pPr>
      <w:r w:rsidRPr="00A37677">
        <w:rPr>
          <w:b/>
          <w:bCs/>
          <w:sz w:val="26"/>
        </w:rPr>
        <w:t>“Reform of Generator Interconnection Procedures and Agreements” (FERC-</w:t>
      </w:r>
      <w:r w:rsidRPr="00A37677" w:rsidR="00510FA7">
        <w:rPr>
          <w:b/>
          <w:bCs/>
          <w:sz w:val="26"/>
        </w:rPr>
        <w:t xml:space="preserve">516F) </w:t>
      </w:r>
      <w:r w:rsidRPr="00A37677">
        <w:rPr>
          <w:b/>
          <w:bCs/>
          <w:sz w:val="26"/>
        </w:rPr>
        <w:t xml:space="preserve">and </w:t>
      </w:r>
      <w:r w:rsidRPr="00A37677" w:rsidR="00510FA7">
        <w:rPr>
          <w:b/>
          <w:bCs/>
          <w:sz w:val="26"/>
        </w:rPr>
        <w:t>“</w:t>
      </w:r>
      <w:r w:rsidRPr="00A37677" w:rsidR="001C05EB">
        <w:rPr>
          <w:b/>
          <w:bCs/>
          <w:sz w:val="26"/>
        </w:rPr>
        <w:t>Electric Transmission Filings</w:t>
      </w:r>
      <w:r w:rsidRPr="00A37677" w:rsidR="00510FA7">
        <w:rPr>
          <w:b/>
          <w:bCs/>
          <w:sz w:val="26"/>
        </w:rPr>
        <w:t>”</w:t>
      </w:r>
      <w:r w:rsidRPr="00A37677" w:rsidR="001C05EB">
        <w:rPr>
          <w:b/>
          <w:bCs/>
          <w:sz w:val="26"/>
        </w:rPr>
        <w:t xml:space="preserve"> (</w:t>
      </w:r>
      <w:r w:rsidRPr="00A37677" w:rsidR="00830270">
        <w:rPr>
          <w:b/>
          <w:bCs/>
          <w:sz w:val="26"/>
        </w:rPr>
        <w:t>FERC-917)</w:t>
      </w:r>
    </w:p>
    <w:p w:rsidR="00854627" w:rsidP="00854627" w:rsidRDefault="00854627" w14:paraId="51CA46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
          <w:sz w:val="26"/>
          <w:szCs w:val="32"/>
        </w:rPr>
      </w:pPr>
    </w:p>
    <w:p w:rsidRPr="00A37677" w:rsidR="00460061" w:rsidP="00AF3E6A" w:rsidRDefault="00507D83" w14:paraId="418AFEE8" w14:textId="2058C6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sz w:val="26"/>
          <w:szCs w:val="32"/>
        </w:rPr>
      </w:pPr>
      <w:r w:rsidRPr="00A37677">
        <w:rPr>
          <w:b/>
          <w:sz w:val="26"/>
          <w:szCs w:val="32"/>
        </w:rPr>
        <w:t>Terms of Clearance:</w:t>
      </w:r>
      <w:r w:rsidRPr="00A37677">
        <w:rPr>
          <w:sz w:val="26"/>
          <w:szCs w:val="32"/>
        </w:rPr>
        <w:t xml:space="preserve"> </w:t>
      </w:r>
      <w:r w:rsidR="00AF3E6A">
        <w:rPr>
          <w:sz w:val="26"/>
          <w:szCs w:val="32"/>
        </w:rPr>
        <w:t>None.</w:t>
      </w:r>
    </w:p>
    <w:p w:rsidRPr="00A37677" w:rsidR="005D3180" w:rsidP="00594614" w:rsidRDefault="005D3180" w14:paraId="4818A55E" w14:textId="77777777">
      <w:pPr>
        <w:tabs>
          <w:tab w:val="left" w:pos="720"/>
        </w:tabs>
        <w:spacing w:before="0" w:line="240" w:lineRule="auto"/>
        <w:jc w:val="center"/>
        <w:rPr>
          <w:b/>
          <w:bCs/>
          <w:sz w:val="26"/>
        </w:rPr>
      </w:pPr>
    </w:p>
    <w:p w:rsidRPr="00A37677" w:rsidR="005D3180" w:rsidP="00594614" w:rsidRDefault="005D3180" w14:paraId="338B74DD" w14:textId="7206C2CF">
      <w:pPr>
        <w:tabs>
          <w:tab w:val="left" w:pos="720"/>
        </w:tabs>
        <w:spacing w:before="0" w:line="240" w:lineRule="auto"/>
        <w:rPr>
          <w:sz w:val="26"/>
        </w:rPr>
      </w:pPr>
      <w:r w:rsidRPr="00A37677">
        <w:rPr>
          <w:sz w:val="26"/>
        </w:rPr>
        <w:t xml:space="preserve">The Federal Energy Regulatory Commission (FERC or Commission) requests that the Office of Management and Budget (OMB) review the revisions to FERC-516F </w:t>
      </w:r>
      <w:r w:rsidRPr="00A37677" w:rsidR="00D91FF5">
        <w:rPr>
          <w:sz w:val="26"/>
        </w:rPr>
        <w:t>and FER</w:t>
      </w:r>
      <w:r w:rsidRPr="00A37677" w:rsidR="00335A2B">
        <w:rPr>
          <w:sz w:val="26"/>
        </w:rPr>
        <w:t xml:space="preserve">C-917, </w:t>
      </w:r>
      <w:r w:rsidRPr="00A37677">
        <w:rPr>
          <w:sz w:val="26"/>
        </w:rPr>
        <w:t xml:space="preserve">as proposed in the Notice of Proposed Rulemaking (NOPR) in </w:t>
      </w:r>
      <w:r w:rsidRPr="00A37677" w:rsidR="00335A2B">
        <w:rPr>
          <w:sz w:val="26"/>
        </w:rPr>
        <w:t xml:space="preserve">Docket No. </w:t>
      </w:r>
      <w:r w:rsidRPr="00A37677">
        <w:rPr>
          <w:sz w:val="26"/>
        </w:rPr>
        <w:t>RM21-17-000)</w:t>
      </w:r>
      <w:r w:rsidRPr="00A37677" w:rsidR="00972C2E">
        <w:rPr>
          <w:sz w:val="26"/>
        </w:rPr>
        <w:t>.</w:t>
      </w:r>
    </w:p>
    <w:p w:rsidRPr="00A37677" w:rsidR="0034021A" w:rsidP="00594614" w:rsidRDefault="0034021A" w14:paraId="086C761D" w14:textId="07A52A33">
      <w:pPr>
        <w:tabs>
          <w:tab w:val="left" w:pos="720"/>
        </w:tabs>
        <w:spacing w:before="0" w:line="240" w:lineRule="auto"/>
        <w:rPr>
          <w:sz w:val="26"/>
        </w:rPr>
      </w:pPr>
    </w:p>
    <w:p w:rsidRPr="00F47AD0" w:rsidR="0034021A" w:rsidP="00594614" w:rsidRDefault="0034021A" w14:paraId="66508CD0" w14:textId="1CB66C8E">
      <w:pPr>
        <w:tabs>
          <w:tab w:val="left" w:pos="720"/>
        </w:tabs>
        <w:spacing w:before="0" w:line="240" w:lineRule="auto"/>
        <w:rPr>
          <w:sz w:val="26"/>
        </w:rPr>
      </w:pPr>
      <w:r w:rsidRPr="00A37677">
        <w:rPr>
          <w:i/>
          <w:iCs/>
          <w:sz w:val="26"/>
        </w:rPr>
        <w:t xml:space="preserve">Please note:  </w:t>
      </w:r>
      <w:r w:rsidR="004B4F65">
        <w:rPr>
          <w:i/>
          <w:iCs/>
          <w:sz w:val="26"/>
        </w:rPr>
        <w:t xml:space="preserve">(1) </w:t>
      </w:r>
      <w:r w:rsidRPr="00A37677">
        <w:rPr>
          <w:i/>
          <w:iCs/>
          <w:sz w:val="26"/>
        </w:rPr>
        <w:t xml:space="preserve">The NOPR identified FERC-516 as </w:t>
      </w:r>
      <w:r w:rsidRPr="00A37677" w:rsidR="00146469">
        <w:rPr>
          <w:i/>
          <w:iCs/>
          <w:sz w:val="26"/>
        </w:rPr>
        <w:t xml:space="preserve">one of the information collections proposed to be revised, but that collection is currently pending approval at </w:t>
      </w:r>
      <w:r w:rsidRPr="00A37677" w:rsidR="00CE5F86">
        <w:rPr>
          <w:i/>
          <w:iCs/>
          <w:sz w:val="26"/>
        </w:rPr>
        <w:t xml:space="preserve">OMB.  Because agencies are only allowed to seek </w:t>
      </w:r>
      <w:r w:rsidRPr="00A37677" w:rsidR="006465F2">
        <w:rPr>
          <w:i/>
          <w:iCs/>
          <w:sz w:val="26"/>
        </w:rPr>
        <w:t xml:space="preserve">one clearance for an information collection at a time, we are </w:t>
      </w:r>
      <w:r w:rsidRPr="00A37677" w:rsidR="00E65355">
        <w:rPr>
          <w:i/>
          <w:iCs/>
          <w:sz w:val="26"/>
        </w:rPr>
        <w:t>designating FERC-516F as a relevant collection for purposes of this supporting statement.</w:t>
      </w:r>
      <w:r w:rsidR="00A13292">
        <w:rPr>
          <w:i/>
          <w:iCs/>
          <w:sz w:val="26"/>
        </w:rPr>
        <w:t xml:space="preserve">  The information collection previously designated as FERC-516F </w:t>
      </w:r>
      <w:r w:rsidR="00D160B5">
        <w:rPr>
          <w:i/>
          <w:iCs/>
          <w:sz w:val="26"/>
        </w:rPr>
        <w:t>was subsequently added to FERC-516.</w:t>
      </w:r>
      <w:r w:rsidR="004B4F65">
        <w:rPr>
          <w:i/>
          <w:iCs/>
          <w:sz w:val="26"/>
        </w:rPr>
        <w:t xml:space="preserve">  (2) </w:t>
      </w:r>
      <w:r w:rsidR="005D29EA">
        <w:rPr>
          <w:i/>
          <w:iCs/>
          <w:sz w:val="26"/>
        </w:rPr>
        <w:t xml:space="preserve">The information collection at OMB Control No. </w:t>
      </w:r>
      <w:r w:rsidR="00993F2E">
        <w:rPr>
          <w:i/>
          <w:iCs/>
          <w:sz w:val="26"/>
        </w:rPr>
        <w:t xml:space="preserve">1902-0233 includes both FERC-917 and FERC-918, but the </w:t>
      </w:r>
      <w:r w:rsidR="006E5824">
        <w:rPr>
          <w:i/>
          <w:iCs/>
          <w:sz w:val="26"/>
        </w:rPr>
        <w:t xml:space="preserve">information collection activities proposed in Docket No. RM21-17-000 to not include </w:t>
      </w:r>
      <w:r w:rsidR="005A4B4C">
        <w:rPr>
          <w:i/>
          <w:iCs/>
          <w:sz w:val="26"/>
        </w:rPr>
        <w:t>any activities in FERC-918.</w:t>
      </w:r>
    </w:p>
    <w:p w:rsidRPr="00A37677" w:rsidR="000A274A" w:rsidP="00594614" w:rsidRDefault="00507D83" w14:paraId="366D8900" w14:textId="5FEB3A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sz w:val="26"/>
        </w:rPr>
      </w:pPr>
      <w:r w:rsidRPr="00A37677">
        <w:rPr>
          <w:b/>
          <w:bCs/>
          <w:sz w:val="26"/>
        </w:rPr>
        <w:t>Justification</w:t>
      </w:r>
    </w:p>
    <w:p w:rsidRPr="00A37677" w:rsidR="00107985" w:rsidP="00594614" w:rsidRDefault="00A0551D" w14:paraId="27CED44E" w14:textId="74F904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w:t>
      </w:r>
      <w:r w:rsidRPr="00A37677">
        <w:rPr>
          <w:b/>
          <w:sz w:val="26"/>
        </w:rPr>
        <w:tab/>
        <w:t>Explain the circumstances that make the collection of information necessary.</w:t>
      </w:r>
      <w:r w:rsidRPr="00A37677" w:rsidR="0063032A">
        <w:rPr>
          <w:b/>
          <w:sz w:val="26"/>
        </w:rPr>
        <w:t xml:space="preserve"> </w:t>
      </w:r>
      <w:r w:rsidRPr="00A37677">
        <w:rPr>
          <w:b/>
          <w:sz w:val="26"/>
        </w:rPr>
        <w:t>Identify any legal or administrative requirements that necessitate the collection.</w:t>
      </w:r>
    </w:p>
    <w:p w:rsidRPr="00A37677" w:rsidR="004A61DE" w:rsidP="00594614" w:rsidRDefault="004A61DE" w14:paraId="2B7B2D6B" w14:textId="77777777">
      <w:pPr>
        <w:pStyle w:val="NormalWeb"/>
        <w:tabs>
          <w:tab w:val="left" w:pos="360"/>
        </w:tabs>
        <w:spacing w:before="0" w:beforeAutospacing="0" w:after="0" w:afterAutospacing="0" w:line="240" w:lineRule="auto"/>
        <w:rPr>
          <w:color w:val="000000"/>
          <w:sz w:val="26"/>
        </w:rPr>
      </w:pPr>
    </w:p>
    <w:p w:rsidRPr="00A37677" w:rsidR="005F3C81" w:rsidP="00594614" w:rsidRDefault="003E7501" w14:paraId="5BD41AAA" w14:textId="2AFC48A2">
      <w:pPr>
        <w:pStyle w:val="NormalWeb"/>
        <w:tabs>
          <w:tab w:val="left" w:pos="360"/>
        </w:tabs>
        <w:spacing w:before="0" w:beforeAutospacing="0" w:after="0" w:afterAutospacing="0" w:line="240" w:lineRule="auto"/>
        <w:rPr>
          <w:color w:val="000000"/>
          <w:sz w:val="26"/>
        </w:rPr>
      </w:pPr>
      <w:r w:rsidRPr="00A37677">
        <w:rPr>
          <w:color w:val="000000"/>
          <w:sz w:val="26"/>
        </w:rPr>
        <w:t xml:space="preserve">The </w:t>
      </w:r>
      <w:r w:rsidRPr="00A37677" w:rsidR="004A494F">
        <w:rPr>
          <w:color w:val="000000"/>
          <w:sz w:val="26"/>
        </w:rPr>
        <w:t xml:space="preserve">Federal Energy Regulatory </w:t>
      </w:r>
      <w:r w:rsidRPr="00A37677">
        <w:rPr>
          <w:color w:val="000000"/>
          <w:sz w:val="26"/>
        </w:rPr>
        <w:t xml:space="preserve">Commission </w:t>
      </w:r>
      <w:r w:rsidRPr="00A37677" w:rsidR="004A494F">
        <w:rPr>
          <w:color w:val="000000"/>
          <w:sz w:val="26"/>
        </w:rPr>
        <w:t xml:space="preserve">(Commission or FERC) </w:t>
      </w:r>
      <w:r w:rsidRPr="00A37677">
        <w:rPr>
          <w:color w:val="000000"/>
          <w:sz w:val="26"/>
        </w:rPr>
        <w:t xml:space="preserve">has a statutory obligation under the Federal Power Act (FPA) to prevent unduly discriminatory practices in transmission access.  Specifically, section 206 of the FPA obligates the Commission to </w:t>
      </w:r>
      <w:r w:rsidRPr="00A37677">
        <w:rPr>
          <w:color w:val="000000"/>
          <w:sz w:val="26"/>
        </w:rPr>
        <w:lastRenderedPageBreak/>
        <w:t>remedy unjust and unreasonable, or unduly discriminatory or preferential, rates, terms, and conditions of transmission service.</w:t>
      </w:r>
      <w:r w:rsidRPr="00A37677">
        <w:rPr>
          <w:b/>
          <w:color w:val="000000"/>
          <w:sz w:val="26"/>
          <w:vertAlign w:val="superscript"/>
        </w:rPr>
        <w:footnoteReference w:id="1"/>
      </w:r>
    </w:p>
    <w:p w:rsidRPr="00A37677" w:rsidR="004A61DE" w:rsidP="00594614" w:rsidRDefault="004A61DE" w14:paraId="5427A3E3" w14:textId="77777777">
      <w:pPr>
        <w:pStyle w:val="NormalWeb"/>
        <w:tabs>
          <w:tab w:val="left" w:pos="360"/>
        </w:tabs>
        <w:spacing w:before="0" w:beforeAutospacing="0" w:after="0" w:afterAutospacing="0" w:line="240" w:lineRule="auto"/>
        <w:rPr>
          <w:color w:val="000000"/>
          <w:sz w:val="26"/>
        </w:rPr>
      </w:pPr>
    </w:p>
    <w:p w:rsidRPr="00A37677" w:rsidR="00605EA0" w:rsidP="00594614" w:rsidRDefault="00716D9C" w14:paraId="647DB757" w14:textId="3FB79ED7">
      <w:pPr>
        <w:pStyle w:val="NormalWeb"/>
        <w:tabs>
          <w:tab w:val="left" w:pos="360"/>
        </w:tabs>
        <w:spacing w:before="0" w:beforeAutospacing="0" w:after="0" w:afterAutospacing="0" w:line="240" w:lineRule="auto"/>
        <w:rPr>
          <w:color w:val="000000"/>
          <w:sz w:val="26"/>
        </w:rPr>
      </w:pPr>
      <w:r w:rsidRPr="00A37677">
        <w:rPr>
          <w:color w:val="000000"/>
          <w:sz w:val="26"/>
        </w:rPr>
        <w:t xml:space="preserve">This information collection request involves </w:t>
      </w:r>
      <w:r w:rsidRPr="00A37677" w:rsidR="005E7ED6">
        <w:rPr>
          <w:color w:val="000000"/>
          <w:sz w:val="26"/>
        </w:rPr>
        <w:t>Commission implementation of section 206</w:t>
      </w:r>
      <w:r w:rsidRPr="00A37677" w:rsidR="00605EA0">
        <w:rPr>
          <w:color w:val="000000"/>
          <w:sz w:val="26"/>
        </w:rPr>
        <w:t xml:space="preserve"> via:</w:t>
      </w:r>
    </w:p>
    <w:p w:rsidRPr="00A37677" w:rsidR="008664AE" w:rsidP="00594614" w:rsidRDefault="008664AE" w14:paraId="14C9A249" w14:textId="77777777">
      <w:pPr>
        <w:pStyle w:val="NormalWeb"/>
        <w:tabs>
          <w:tab w:val="left" w:pos="360"/>
        </w:tabs>
        <w:spacing w:before="0" w:beforeAutospacing="0" w:after="0" w:afterAutospacing="0" w:line="240" w:lineRule="auto"/>
        <w:rPr>
          <w:color w:val="000000"/>
          <w:sz w:val="26"/>
        </w:rPr>
      </w:pPr>
    </w:p>
    <w:p w:rsidRPr="00A37677" w:rsidR="00D0504D" w:rsidP="00594614" w:rsidRDefault="00BD0A7A" w14:paraId="3154E114" w14:textId="77777777">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1</w:t>
      </w:r>
      <w:r w:rsidRPr="00A37677" w:rsidR="00F57AB8">
        <w:rPr>
          <w:color w:val="000000"/>
          <w:sz w:val="26"/>
        </w:rPr>
        <w:t>8 CFR 35.28 (“Non-Discriminatory Open Access Transmission Tariff</w:t>
      </w:r>
      <w:r w:rsidRPr="00A37677" w:rsidR="008424A0">
        <w:rPr>
          <w:color w:val="000000"/>
          <w:sz w:val="26"/>
        </w:rPr>
        <w:t>”)</w:t>
      </w:r>
      <w:r w:rsidRPr="00A37677" w:rsidR="00D0504D">
        <w:rPr>
          <w:color w:val="000000"/>
          <w:sz w:val="26"/>
        </w:rPr>
        <w:t>;</w:t>
      </w:r>
    </w:p>
    <w:p w:rsidRPr="00A37677" w:rsidR="00D0504D" w:rsidP="00594614" w:rsidRDefault="00D0504D" w14:paraId="0496D1CB" w14:textId="52171312">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T</w:t>
      </w:r>
      <w:r w:rsidRPr="00A37677" w:rsidR="00626344">
        <w:rPr>
          <w:color w:val="000000"/>
          <w:sz w:val="26"/>
        </w:rPr>
        <w:t xml:space="preserve">he </w:t>
      </w:r>
      <w:r w:rsidRPr="00A37677" w:rsidR="00626344">
        <w:rPr>
          <w:i/>
          <w:iCs/>
          <w:color w:val="000000"/>
          <w:sz w:val="26"/>
        </w:rPr>
        <w:t>pro forma</w:t>
      </w:r>
      <w:r w:rsidRPr="00A37677" w:rsidR="00626344">
        <w:rPr>
          <w:color w:val="000000"/>
          <w:sz w:val="26"/>
        </w:rPr>
        <w:t xml:space="preserve"> Open Access Transmission Tariff</w:t>
      </w:r>
      <w:r w:rsidR="007274BF">
        <w:rPr>
          <w:color w:val="000000"/>
          <w:sz w:val="26"/>
        </w:rPr>
        <w:t xml:space="preserve"> (OATT)</w:t>
      </w:r>
      <w:r w:rsidRPr="00A37677">
        <w:rPr>
          <w:color w:val="000000"/>
          <w:sz w:val="26"/>
        </w:rPr>
        <w:t xml:space="preserve">; </w:t>
      </w:r>
      <w:r w:rsidRPr="00A37677" w:rsidR="00626344">
        <w:rPr>
          <w:color w:val="000000"/>
          <w:sz w:val="26"/>
        </w:rPr>
        <w:t>and</w:t>
      </w:r>
    </w:p>
    <w:p w:rsidRPr="00A37677" w:rsidR="007365A1" w:rsidP="00594614" w:rsidRDefault="00D0504D" w14:paraId="48566C5C" w14:textId="1458DA3E">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T</w:t>
      </w:r>
      <w:r w:rsidRPr="00A37677" w:rsidR="00626344">
        <w:rPr>
          <w:color w:val="000000"/>
          <w:sz w:val="26"/>
        </w:rPr>
        <w:t xml:space="preserve">he </w:t>
      </w:r>
      <w:r w:rsidRPr="00A37677" w:rsidR="00626344">
        <w:rPr>
          <w:i/>
          <w:iCs/>
          <w:color w:val="000000"/>
          <w:sz w:val="26"/>
        </w:rPr>
        <w:t>pro forma</w:t>
      </w:r>
      <w:r w:rsidRPr="00A37677" w:rsidR="00626344">
        <w:rPr>
          <w:b/>
          <w:bCs/>
          <w:i/>
          <w:iCs/>
          <w:color w:val="000000"/>
          <w:sz w:val="26"/>
        </w:rPr>
        <w:t xml:space="preserve"> </w:t>
      </w:r>
      <w:r w:rsidRPr="00A37677" w:rsidR="00626344">
        <w:rPr>
          <w:color w:val="000000"/>
          <w:sz w:val="26"/>
        </w:rPr>
        <w:t xml:space="preserve">Large Generator Interconnection </w:t>
      </w:r>
      <w:r w:rsidR="00EF57BB">
        <w:rPr>
          <w:color w:val="000000"/>
          <w:sz w:val="26"/>
        </w:rPr>
        <w:t xml:space="preserve">Procedures </w:t>
      </w:r>
      <w:r w:rsidR="007274BF">
        <w:rPr>
          <w:color w:val="000000"/>
          <w:sz w:val="26"/>
        </w:rPr>
        <w:t>(LGI</w:t>
      </w:r>
      <w:r w:rsidR="00EF57BB">
        <w:rPr>
          <w:color w:val="000000"/>
          <w:sz w:val="26"/>
        </w:rPr>
        <w:t>P</w:t>
      </w:r>
      <w:r w:rsidR="007274BF">
        <w:rPr>
          <w:color w:val="000000"/>
          <w:sz w:val="26"/>
        </w:rPr>
        <w:t>)</w:t>
      </w:r>
      <w:r w:rsidRPr="00A37677" w:rsidR="00EF71E2">
        <w:rPr>
          <w:color w:val="000000"/>
          <w:sz w:val="26"/>
        </w:rPr>
        <w:t>.</w:t>
      </w:r>
    </w:p>
    <w:p w:rsidRPr="00A37677" w:rsidR="003A402C" w:rsidP="00594614" w:rsidRDefault="003A402C" w14:paraId="5E449B9C" w14:textId="66102B3A">
      <w:pPr>
        <w:pStyle w:val="NormalWeb"/>
        <w:tabs>
          <w:tab w:val="left" w:pos="360"/>
        </w:tabs>
        <w:spacing w:before="0" w:beforeAutospacing="0" w:after="0" w:afterAutospacing="0" w:line="240" w:lineRule="auto"/>
        <w:rPr>
          <w:color w:val="000000"/>
          <w:sz w:val="26"/>
        </w:rPr>
      </w:pPr>
    </w:p>
    <w:p w:rsidRPr="00A37677" w:rsidR="003A402C" w:rsidP="00450AAD" w:rsidRDefault="0017618B" w14:paraId="15574BA1" w14:textId="4048A35C">
      <w:pPr>
        <w:pStyle w:val="NormalWeb"/>
        <w:tabs>
          <w:tab w:val="left" w:pos="360"/>
        </w:tabs>
        <w:spacing w:before="0" w:beforeAutospacing="0" w:after="0" w:afterAutospacing="0" w:line="240" w:lineRule="auto"/>
        <w:rPr>
          <w:color w:val="000000"/>
          <w:sz w:val="26"/>
        </w:rPr>
      </w:pPr>
      <w:r w:rsidRPr="00A37677">
        <w:rPr>
          <w:color w:val="000000"/>
          <w:sz w:val="26"/>
        </w:rPr>
        <w:t>The regulation at 18 CFR 35</w:t>
      </w:r>
      <w:r w:rsidRPr="00A37677" w:rsidR="00AD1387">
        <w:rPr>
          <w:color w:val="000000"/>
          <w:sz w:val="26"/>
        </w:rPr>
        <w:t>.28</w:t>
      </w:r>
      <w:r w:rsidRPr="00A37677" w:rsidR="00D469E9">
        <w:rPr>
          <w:color w:val="000000"/>
          <w:sz w:val="26"/>
        </w:rPr>
        <w:t xml:space="preserve"> </w:t>
      </w:r>
      <w:r w:rsidRPr="00A37677" w:rsidR="0034247E">
        <w:rPr>
          <w:color w:val="000000"/>
          <w:sz w:val="26"/>
        </w:rPr>
        <w:t xml:space="preserve">requires </w:t>
      </w:r>
      <w:r w:rsidRPr="00A37677" w:rsidR="00A715CE">
        <w:rPr>
          <w:color w:val="000000"/>
          <w:sz w:val="26"/>
        </w:rPr>
        <w:t xml:space="preserve">certain types of entities </w:t>
      </w:r>
      <w:r w:rsidRPr="00A37677" w:rsidR="0034247E">
        <w:rPr>
          <w:color w:val="000000"/>
          <w:sz w:val="26"/>
        </w:rPr>
        <w:t>to have on fi</w:t>
      </w:r>
      <w:r w:rsidRPr="00A37677" w:rsidR="00C51DFE">
        <w:rPr>
          <w:color w:val="000000"/>
          <w:sz w:val="26"/>
        </w:rPr>
        <w:t>le an Open Access Transmission Tar</w:t>
      </w:r>
      <w:r w:rsidRPr="00A37677" w:rsidR="004204AF">
        <w:rPr>
          <w:color w:val="000000"/>
          <w:sz w:val="26"/>
        </w:rPr>
        <w:t xml:space="preserve">iff (OATT) that contains minimum </w:t>
      </w:r>
      <w:r w:rsidRPr="00A37677" w:rsidR="00D469E9">
        <w:rPr>
          <w:color w:val="000000"/>
          <w:sz w:val="26"/>
        </w:rPr>
        <w:t>terms and conditions of non-discriminatory service</w:t>
      </w:r>
      <w:r w:rsidRPr="00A37677" w:rsidR="00AD1387">
        <w:rPr>
          <w:color w:val="000000"/>
          <w:sz w:val="26"/>
        </w:rPr>
        <w:t xml:space="preserve">.  </w:t>
      </w:r>
      <w:r w:rsidRPr="00A37677" w:rsidR="00A715CE">
        <w:rPr>
          <w:color w:val="000000"/>
          <w:sz w:val="26"/>
        </w:rPr>
        <w:t xml:space="preserve">This requirement </w:t>
      </w:r>
      <w:r w:rsidRPr="00A37677" w:rsidR="00702FD0">
        <w:rPr>
          <w:color w:val="000000"/>
          <w:sz w:val="26"/>
        </w:rPr>
        <w:t xml:space="preserve">applies to </w:t>
      </w:r>
      <w:r w:rsidRPr="00A37677" w:rsidR="005765E8">
        <w:rPr>
          <w:color w:val="000000"/>
          <w:sz w:val="26"/>
        </w:rPr>
        <w:t>all public utilities</w:t>
      </w:r>
      <w:r w:rsidRPr="00AA288F" w:rsidR="00F80606">
        <w:rPr>
          <w:rStyle w:val="FootnoteReference"/>
          <w:color w:val="000000"/>
          <w:sz w:val="26"/>
          <w:vertAlign w:val="superscript"/>
        </w:rPr>
        <w:footnoteReference w:id="2"/>
      </w:r>
      <w:r w:rsidRPr="00A37677" w:rsidR="005765E8">
        <w:rPr>
          <w:color w:val="000000"/>
          <w:sz w:val="26"/>
        </w:rPr>
        <w:t xml:space="preserve"> that own, </w:t>
      </w:r>
      <w:r w:rsidRPr="00A37677" w:rsidR="001516EF">
        <w:rPr>
          <w:color w:val="000000"/>
          <w:sz w:val="26"/>
        </w:rPr>
        <w:t>control, or operate facilities used for tran</w:t>
      </w:r>
      <w:r w:rsidRPr="00A37677" w:rsidR="00BE1669">
        <w:rPr>
          <w:color w:val="000000"/>
          <w:sz w:val="26"/>
        </w:rPr>
        <w:t>sm</w:t>
      </w:r>
      <w:r w:rsidRPr="00A37677" w:rsidR="001516EF">
        <w:rPr>
          <w:color w:val="000000"/>
          <w:sz w:val="26"/>
        </w:rPr>
        <w:t>itting electric energy in interstate commerce</w:t>
      </w:r>
      <w:r w:rsidRPr="00A37677" w:rsidR="00383549">
        <w:rPr>
          <w:color w:val="000000"/>
          <w:sz w:val="26"/>
        </w:rPr>
        <w:t>.</w:t>
      </w:r>
      <w:r w:rsidR="0043417A">
        <w:rPr>
          <w:color w:val="000000"/>
          <w:sz w:val="26"/>
        </w:rPr>
        <w:t xml:space="preserve">  Other requirements </w:t>
      </w:r>
      <w:r w:rsidR="00AE4FCB">
        <w:rPr>
          <w:color w:val="000000"/>
          <w:sz w:val="26"/>
        </w:rPr>
        <w:t xml:space="preserve">in section 35.28 apply to </w:t>
      </w:r>
      <w:r w:rsidR="00563687">
        <w:rPr>
          <w:color w:val="000000"/>
          <w:sz w:val="26"/>
        </w:rPr>
        <w:t>non-public utilities</w:t>
      </w:r>
      <w:r w:rsidR="004F7EB7">
        <w:rPr>
          <w:color w:val="000000"/>
          <w:sz w:val="26"/>
        </w:rPr>
        <w:t xml:space="preserve">, but only if they </w:t>
      </w:r>
      <w:r w:rsidR="00DF342A">
        <w:rPr>
          <w:color w:val="000000"/>
          <w:sz w:val="26"/>
        </w:rPr>
        <w:t>seek voluntary compliance with jurisdictional transmission tariff reciprocity conditions.  Non-public utilities are not affected by this information collection</w:t>
      </w:r>
      <w:r w:rsidR="00085A9D">
        <w:rPr>
          <w:color w:val="000000"/>
          <w:sz w:val="26"/>
        </w:rPr>
        <w:t xml:space="preserve"> request.</w:t>
      </w:r>
      <w:r w:rsidR="00DF342A">
        <w:rPr>
          <w:color w:val="000000"/>
          <w:sz w:val="26"/>
        </w:rPr>
        <w:t xml:space="preserve">  </w:t>
      </w:r>
    </w:p>
    <w:p w:rsidRPr="00A37677" w:rsidR="00383549" w:rsidP="00594614" w:rsidRDefault="00383549" w14:paraId="5B350862" w14:textId="292793A9">
      <w:pPr>
        <w:pStyle w:val="NormalWeb"/>
        <w:tabs>
          <w:tab w:val="left" w:pos="360"/>
        </w:tabs>
        <w:spacing w:before="0" w:beforeAutospacing="0" w:after="0" w:afterAutospacing="0" w:line="240" w:lineRule="auto"/>
        <w:rPr>
          <w:color w:val="000000"/>
          <w:sz w:val="26"/>
        </w:rPr>
      </w:pPr>
    </w:p>
    <w:p w:rsidRPr="00A37677" w:rsidR="00CA6CCD" w:rsidP="00594614" w:rsidRDefault="00383549" w14:paraId="0AE25150" w14:textId="4022EF68">
      <w:pPr>
        <w:pStyle w:val="NormalWeb"/>
        <w:tabs>
          <w:tab w:val="left" w:pos="360"/>
        </w:tabs>
        <w:spacing w:before="0" w:beforeAutospacing="0" w:after="0" w:afterAutospacing="0" w:line="240" w:lineRule="auto"/>
        <w:rPr>
          <w:color w:val="000000"/>
          <w:sz w:val="26"/>
        </w:rPr>
      </w:pPr>
      <w:r w:rsidRPr="00A37677">
        <w:rPr>
          <w:color w:val="000000"/>
          <w:sz w:val="26"/>
        </w:rPr>
        <w:t xml:space="preserve">The </w:t>
      </w:r>
      <w:r w:rsidRPr="00A37677" w:rsidR="00A86E87">
        <w:rPr>
          <w:i/>
          <w:iCs/>
          <w:color w:val="000000"/>
          <w:sz w:val="26"/>
        </w:rPr>
        <w:t>pro forma</w:t>
      </w:r>
      <w:r w:rsidRPr="00A37677" w:rsidR="00A86E87">
        <w:rPr>
          <w:color w:val="000000"/>
          <w:sz w:val="26"/>
        </w:rPr>
        <w:t xml:space="preserve"> O</w:t>
      </w:r>
      <w:r w:rsidRPr="00A37677" w:rsidR="00A77FE9">
        <w:rPr>
          <w:color w:val="000000"/>
          <w:sz w:val="26"/>
        </w:rPr>
        <w:t>ATT</w:t>
      </w:r>
      <w:r w:rsidRPr="00A37677" w:rsidR="00A86E87">
        <w:rPr>
          <w:color w:val="000000"/>
          <w:sz w:val="26"/>
        </w:rPr>
        <w:t xml:space="preserve">, as </w:t>
      </w:r>
      <w:r w:rsidRPr="00A37677" w:rsidR="00992303">
        <w:rPr>
          <w:color w:val="000000"/>
          <w:sz w:val="26"/>
        </w:rPr>
        <w:t xml:space="preserve">originally developed by the Commission, </w:t>
      </w:r>
      <w:r w:rsidR="0008031E">
        <w:rPr>
          <w:color w:val="000000"/>
          <w:sz w:val="26"/>
        </w:rPr>
        <w:t>is</w:t>
      </w:r>
      <w:r w:rsidRPr="00A37677" w:rsidR="00992303">
        <w:rPr>
          <w:color w:val="000000"/>
          <w:sz w:val="26"/>
        </w:rPr>
        <w:t xml:space="preserve"> </w:t>
      </w:r>
      <w:r w:rsidRPr="00A37677" w:rsidR="00C3027F">
        <w:rPr>
          <w:color w:val="000000"/>
          <w:sz w:val="26"/>
        </w:rPr>
        <w:t>included</w:t>
      </w:r>
      <w:r w:rsidRPr="00A37677" w:rsidR="00FC199F">
        <w:rPr>
          <w:color w:val="000000"/>
          <w:sz w:val="26"/>
        </w:rPr>
        <w:t xml:space="preserve"> </w:t>
      </w:r>
      <w:r w:rsidRPr="00A37677" w:rsidR="00BB12F7">
        <w:rPr>
          <w:color w:val="000000"/>
          <w:sz w:val="26"/>
        </w:rPr>
        <w:t>in</w:t>
      </w:r>
      <w:r w:rsidR="00B20AE5">
        <w:rPr>
          <w:color w:val="000000"/>
          <w:sz w:val="26"/>
        </w:rPr>
        <w:t xml:space="preserve"> the final rule</w:t>
      </w:r>
      <w:r w:rsidR="00003FBA">
        <w:rPr>
          <w:color w:val="000000"/>
          <w:sz w:val="26"/>
        </w:rPr>
        <w:t xml:space="preserve"> designated as</w:t>
      </w:r>
      <w:r w:rsidRPr="00A37677" w:rsidR="00BB12F7">
        <w:rPr>
          <w:color w:val="000000"/>
          <w:sz w:val="26"/>
        </w:rPr>
        <w:t xml:space="preserve"> </w:t>
      </w:r>
      <w:r w:rsidRPr="00A37677" w:rsidR="00992303">
        <w:rPr>
          <w:color w:val="000000"/>
          <w:sz w:val="26"/>
        </w:rPr>
        <w:t>Order N</w:t>
      </w:r>
      <w:r w:rsidRPr="00A37677" w:rsidR="008B56D1">
        <w:rPr>
          <w:color w:val="000000"/>
          <w:sz w:val="26"/>
        </w:rPr>
        <w:t>o</w:t>
      </w:r>
      <w:r w:rsidR="008A329B">
        <w:rPr>
          <w:color w:val="000000"/>
          <w:sz w:val="26"/>
        </w:rPr>
        <w:t>.</w:t>
      </w:r>
      <w:r w:rsidRPr="00A37677" w:rsidR="008B56D1">
        <w:rPr>
          <w:color w:val="000000"/>
          <w:sz w:val="26"/>
        </w:rPr>
        <w:t xml:space="preserve"> 888</w:t>
      </w:r>
      <w:r w:rsidRPr="00A37677" w:rsidR="00B30A64">
        <w:rPr>
          <w:color w:val="000000"/>
          <w:sz w:val="26"/>
        </w:rPr>
        <w:t xml:space="preserve">, 61 FR 21540, at </w:t>
      </w:r>
      <w:r w:rsidRPr="00A37677" w:rsidR="00FD15B6">
        <w:rPr>
          <w:color w:val="000000"/>
          <w:sz w:val="26"/>
        </w:rPr>
        <w:t xml:space="preserve">21706 through 21724 </w:t>
      </w:r>
      <w:r w:rsidRPr="00A37677" w:rsidR="00B30A64">
        <w:rPr>
          <w:color w:val="000000"/>
          <w:sz w:val="26"/>
        </w:rPr>
        <w:t>(May 10, 1996)</w:t>
      </w:r>
      <w:r w:rsidRPr="00A37677" w:rsidR="00022393">
        <w:rPr>
          <w:color w:val="000000"/>
          <w:sz w:val="26"/>
        </w:rPr>
        <w:t>.</w:t>
      </w:r>
      <w:r w:rsidRPr="00A37677" w:rsidR="00FD15B6">
        <w:rPr>
          <w:color w:val="000000"/>
          <w:sz w:val="26"/>
        </w:rPr>
        <w:t xml:space="preserve">  </w:t>
      </w:r>
      <w:r w:rsidRPr="00A37677" w:rsidR="00862422">
        <w:rPr>
          <w:color w:val="000000"/>
          <w:sz w:val="26"/>
        </w:rPr>
        <w:t>As the term “</w:t>
      </w:r>
      <w:r w:rsidRPr="000A6788" w:rsidR="00862422">
        <w:rPr>
          <w:i/>
          <w:iCs/>
          <w:color w:val="000000"/>
          <w:sz w:val="26"/>
        </w:rPr>
        <w:t>pro forma</w:t>
      </w:r>
      <w:r w:rsidRPr="00A37677" w:rsidR="00862422">
        <w:rPr>
          <w:color w:val="000000"/>
          <w:sz w:val="26"/>
        </w:rPr>
        <w:t xml:space="preserve">” implies, </w:t>
      </w:r>
      <w:r w:rsidRPr="00A37677" w:rsidR="00B56508">
        <w:rPr>
          <w:color w:val="000000"/>
          <w:sz w:val="26"/>
        </w:rPr>
        <w:t xml:space="preserve">the tariff </w:t>
      </w:r>
      <w:r w:rsidRPr="00A37677" w:rsidR="00AC4292">
        <w:rPr>
          <w:color w:val="000000"/>
          <w:sz w:val="26"/>
        </w:rPr>
        <w:t xml:space="preserve">contains </w:t>
      </w:r>
      <w:r w:rsidRPr="00A37677" w:rsidR="00B56508">
        <w:rPr>
          <w:color w:val="000000"/>
          <w:sz w:val="26"/>
        </w:rPr>
        <w:t>standardized</w:t>
      </w:r>
      <w:r w:rsidRPr="00A37677" w:rsidR="00AC4292">
        <w:rPr>
          <w:color w:val="000000"/>
          <w:sz w:val="26"/>
        </w:rPr>
        <w:t xml:space="preserve"> terms and conditions</w:t>
      </w:r>
      <w:r w:rsidRPr="00A37677" w:rsidR="005B700B">
        <w:rPr>
          <w:color w:val="000000"/>
          <w:sz w:val="26"/>
        </w:rPr>
        <w:t xml:space="preserve"> </w:t>
      </w:r>
      <w:r w:rsidRPr="00A37677" w:rsidR="00F96565">
        <w:rPr>
          <w:color w:val="000000"/>
          <w:sz w:val="26"/>
        </w:rPr>
        <w:t xml:space="preserve">that public utilities must adopt in their own tariffs, </w:t>
      </w:r>
      <w:r w:rsidRPr="00A37677" w:rsidR="000E1B4B">
        <w:rPr>
          <w:color w:val="000000"/>
          <w:sz w:val="26"/>
        </w:rPr>
        <w:t>unless they demonstrate</w:t>
      </w:r>
      <w:r w:rsidRPr="00A37677" w:rsidR="00241D67">
        <w:rPr>
          <w:color w:val="000000"/>
          <w:sz w:val="26"/>
        </w:rPr>
        <w:t xml:space="preserve"> that unique practices </w:t>
      </w:r>
      <w:r w:rsidRPr="00A37677" w:rsidR="003B565B">
        <w:rPr>
          <w:color w:val="000000"/>
          <w:sz w:val="26"/>
        </w:rPr>
        <w:t xml:space="preserve">in a geographic region require modifications.  </w:t>
      </w:r>
      <w:r w:rsidRPr="00A37677" w:rsidR="00EE428A">
        <w:rPr>
          <w:color w:val="000000"/>
          <w:sz w:val="26"/>
        </w:rPr>
        <w:t xml:space="preserve">The currently effective </w:t>
      </w:r>
      <w:r w:rsidRPr="00A37677" w:rsidR="00EE428A">
        <w:rPr>
          <w:i/>
          <w:iCs/>
          <w:color w:val="000000"/>
          <w:sz w:val="26"/>
        </w:rPr>
        <w:t>pro forma</w:t>
      </w:r>
      <w:r w:rsidRPr="00A37677" w:rsidR="00EE428A">
        <w:rPr>
          <w:color w:val="000000"/>
          <w:sz w:val="26"/>
        </w:rPr>
        <w:t xml:space="preserve"> OATT</w:t>
      </w:r>
      <w:r w:rsidRPr="00A37677" w:rsidR="00085A9D">
        <w:rPr>
          <w:rStyle w:val="FootnoteReference"/>
          <w:color w:val="000000"/>
          <w:sz w:val="26"/>
          <w:vertAlign w:val="superscript"/>
        </w:rPr>
        <w:footnoteReference w:id="3"/>
      </w:r>
      <w:r w:rsidRPr="00A37677" w:rsidR="00EE428A">
        <w:rPr>
          <w:color w:val="000000"/>
          <w:sz w:val="26"/>
        </w:rPr>
        <w:t xml:space="preserve"> </w:t>
      </w:r>
      <w:r w:rsidRPr="00A37677" w:rsidR="00AA1827">
        <w:rPr>
          <w:color w:val="000000"/>
          <w:sz w:val="26"/>
        </w:rPr>
        <w:t xml:space="preserve">has been modified several </w:t>
      </w:r>
      <w:r w:rsidRPr="00A37677" w:rsidR="00CB2589">
        <w:rPr>
          <w:color w:val="000000"/>
          <w:sz w:val="26"/>
        </w:rPr>
        <w:t>times and</w:t>
      </w:r>
      <w:r w:rsidRPr="00A37677" w:rsidR="00AA1827">
        <w:rPr>
          <w:color w:val="000000"/>
          <w:sz w:val="26"/>
        </w:rPr>
        <w:t xml:space="preserve"> is proposed to be modified in RM21-17-000.</w:t>
      </w:r>
    </w:p>
    <w:p w:rsidRPr="00A37677" w:rsidR="00CA6CCD" w:rsidP="00594614" w:rsidRDefault="00CA6CCD" w14:paraId="169BCFC1" w14:textId="443E5BA0">
      <w:pPr>
        <w:pStyle w:val="NormalWeb"/>
        <w:tabs>
          <w:tab w:val="left" w:pos="360"/>
        </w:tabs>
        <w:spacing w:before="0" w:beforeAutospacing="0" w:after="0" w:afterAutospacing="0" w:line="240" w:lineRule="auto"/>
        <w:rPr>
          <w:color w:val="000000"/>
          <w:sz w:val="26"/>
        </w:rPr>
      </w:pPr>
    </w:p>
    <w:p w:rsidR="00212F6A" w:rsidP="000A6788" w:rsidRDefault="00CA6CCD" w14:paraId="2E683808" w14:textId="104E8D58">
      <w:pPr>
        <w:pStyle w:val="NormalWeb"/>
        <w:tabs>
          <w:tab w:val="left" w:pos="360"/>
          <w:tab w:val="left" w:pos="5400"/>
        </w:tabs>
        <w:spacing w:before="0" w:beforeAutospacing="0" w:after="0" w:afterAutospacing="0" w:line="240" w:lineRule="auto"/>
        <w:rPr>
          <w:color w:val="000000"/>
          <w:sz w:val="26"/>
        </w:rPr>
      </w:pPr>
      <w:r w:rsidRPr="00A37677">
        <w:rPr>
          <w:color w:val="000000"/>
          <w:sz w:val="26"/>
        </w:rPr>
        <w:t xml:space="preserve">The </w:t>
      </w:r>
      <w:r w:rsidRPr="00A37677">
        <w:rPr>
          <w:i/>
          <w:iCs/>
          <w:color w:val="000000"/>
          <w:sz w:val="26"/>
        </w:rPr>
        <w:t xml:space="preserve">pro </w:t>
      </w:r>
      <w:r w:rsidR="00652D4E">
        <w:rPr>
          <w:i/>
          <w:iCs/>
          <w:color w:val="000000"/>
          <w:sz w:val="26"/>
        </w:rPr>
        <w:t>forma</w:t>
      </w:r>
      <w:r w:rsidR="00852BA0">
        <w:rPr>
          <w:i/>
          <w:iCs/>
          <w:color w:val="000000"/>
          <w:sz w:val="26"/>
        </w:rPr>
        <w:t xml:space="preserve"> </w:t>
      </w:r>
      <w:r w:rsidR="00652D4E">
        <w:rPr>
          <w:color w:val="000000"/>
          <w:sz w:val="26"/>
        </w:rPr>
        <w:t>LGI</w:t>
      </w:r>
      <w:r w:rsidR="00450AAD">
        <w:rPr>
          <w:color w:val="000000"/>
          <w:sz w:val="26"/>
        </w:rPr>
        <w:t>P</w:t>
      </w:r>
      <w:r w:rsidR="00EF0901">
        <w:rPr>
          <w:color w:val="000000"/>
          <w:sz w:val="26"/>
        </w:rPr>
        <w:t xml:space="preserve">, as originally developed by the Commission, </w:t>
      </w:r>
      <w:r w:rsidR="001640BD">
        <w:rPr>
          <w:color w:val="000000"/>
          <w:sz w:val="26"/>
        </w:rPr>
        <w:t>is</w:t>
      </w:r>
      <w:r w:rsidR="0008031E">
        <w:rPr>
          <w:color w:val="000000"/>
          <w:sz w:val="26"/>
        </w:rPr>
        <w:t xml:space="preserve"> </w:t>
      </w:r>
      <w:r w:rsidR="00EF0901">
        <w:rPr>
          <w:color w:val="000000"/>
          <w:sz w:val="26"/>
        </w:rPr>
        <w:t xml:space="preserve">included </w:t>
      </w:r>
      <w:r w:rsidR="005665AD">
        <w:rPr>
          <w:color w:val="000000"/>
          <w:sz w:val="26"/>
        </w:rPr>
        <w:t xml:space="preserve">in </w:t>
      </w:r>
      <w:r w:rsidR="00003FBA">
        <w:rPr>
          <w:color w:val="000000"/>
          <w:sz w:val="26"/>
        </w:rPr>
        <w:t xml:space="preserve">the final rule designated as </w:t>
      </w:r>
      <w:r w:rsidR="005665AD">
        <w:rPr>
          <w:color w:val="000000"/>
          <w:sz w:val="26"/>
        </w:rPr>
        <w:t xml:space="preserve">Order No. 2003, 68 FR </w:t>
      </w:r>
      <w:r w:rsidR="006C5BA7">
        <w:rPr>
          <w:color w:val="000000"/>
          <w:sz w:val="26"/>
        </w:rPr>
        <w:t>49846, at 49933 through 49972</w:t>
      </w:r>
      <w:r w:rsidR="003469AD">
        <w:rPr>
          <w:color w:val="000000"/>
          <w:sz w:val="26"/>
        </w:rPr>
        <w:t xml:space="preserve"> (Aug. 19, 2003)</w:t>
      </w:r>
      <w:r w:rsidR="0015403D">
        <w:rPr>
          <w:color w:val="000000"/>
          <w:sz w:val="26"/>
        </w:rPr>
        <w:t xml:space="preserve">.  </w:t>
      </w:r>
      <w:r w:rsidR="005E59CC">
        <w:rPr>
          <w:color w:val="000000"/>
          <w:sz w:val="26"/>
        </w:rPr>
        <w:t xml:space="preserve">In Order No. 003, the Commission </w:t>
      </w:r>
      <w:r w:rsidR="00212F6A">
        <w:rPr>
          <w:color w:val="000000"/>
          <w:sz w:val="26"/>
        </w:rPr>
        <w:t xml:space="preserve">determined </w:t>
      </w:r>
      <w:r w:rsidR="00F71997">
        <w:rPr>
          <w:color w:val="000000"/>
          <w:sz w:val="26"/>
        </w:rPr>
        <w:t xml:space="preserve">that </w:t>
      </w:r>
      <w:r w:rsidR="00157878">
        <w:rPr>
          <w:color w:val="000000"/>
          <w:sz w:val="26"/>
        </w:rPr>
        <w:t xml:space="preserve">standard </w:t>
      </w:r>
      <w:r w:rsidR="00637DD8">
        <w:rPr>
          <w:color w:val="000000"/>
          <w:sz w:val="26"/>
        </w:rPr>
        <w:t xml:space="preserve">interconnection </w:t>
      </w:r>
      <w:r w:rsidR="000C4EED">
        <w:rPr>
          <w:color w:val="000000"/>
          <w:sz w:val="26"/>
        </w:rPr>
        <w:t>pro</w:t>
      </w:r>
      <w:r w:rsidR="00E72B66">
        <w:rPr>
          <w:color w:val="000000"/>
          <w:sz w:val="26"/>
        </w:rPr>
        <w:t xml:space="preserve">cedures </w:t>
      </w:r>
      <w:r w:rsidR="00D54ACD">
        <w:rPr>
          <w:color w:val="000000"/>
          <w:sz w:val="26"/>
        </w:rPr>
        <w:t xml:space="preserve">are needed in OATTs </w:t>
      </w:r>
      <w:r w:rsidR="00212F6A">
        <w:rPr>
          <w:color w:val="000000"/>
          <w:sz w:val="26"/>
        </w:rPr>
        <w:t>in order to:</w:t>
      </w:r>
    </w:p>
    <w:p w:rsidR="009654B3" w:rsidP="000A6788" w:rsidRDefault="009654B3" w14:paraId="5E56255A" w14:textId="310CF093">
      <w:pPr>
        <w:pStyle w:val="NormalWeb"/>
        <w:tabs>
          <w:tab w:val="left" w:pos="360"/>
          <w:tab w:val="left" w:pos="5400"/>
        </w:tabs>
        <w:spacing w:before="0" w:beforeAutospacing="0" w:after="0" w:afterAutospacing="0" w:line="240" w:lineRule="auto"/>
        <w:rPr>
          <w:color w:val="000000"/>
          <w:sz w:val="26"/>
        </w:rPr>
      </w:pPr>
    </w:p>
    <w:p w:rsidR="00637DD8" w:rsidP="00F14914" w:rsidRDefault="009654B3" w14:paraId="78E1F032" w14:textId="51DF9B7E">
      <w:pPr>
        <w:pStyle w:val="NormalWeb"/>
        <w:numPr>
          <w:ilvl w:val="0"/>
          <w:numId w:val="20"/>
        </w:numPr>
        <w:tabs>
          <w:tab w:val="left" w:pos="360"/>
          <w:tab w:val="left" w:pos="5400"/>
        </w:tabs>
        <w:spacing w:before="0" w:beforeAutospacing="0" w:after="0" w:afterAutospacing="0" w:line="240" w:lineRule="auto"/>
        <w:jc w:val="both"/>
        <w:rPr>
          <w:color w:val="000000"/>
          <w:sz w:val="26"/>
        </w:rPr>
      </w:pPr>
      <w:r w:rsidRPr="009654B3">
        <w:rPr>
          <w:color w:val="000000"/>
          <w:sz w:val="26"/>
        </w:rPr>
        <w:t xml:space="preserve">Limit </w:t>
      </w:r>
      <w:r w:rsidRPr="009654B3" w:rsidR="00F2503F">
        <w:rPr>
          <w:color w:val="000000"/>
          <w:sz w:val="26"/>
        </w:rPr>
        <w:t>opportunities for Transmission Providers to favor their own generation;</w:t>
      </w:r>
    </w:p>
    <w:p w:rsidR="00781B05" w:rsidP="00F14914" w:rsidRDefault="00781B05" w14:paraId="0A5D231E" w14:textId="249C5832">
      <w:pPr>
        <w:pStyle w:val="NormalWeb"/>
        <w:numPr>
          <w:ilvl w:val="0"/>
          <w:numId w:val="20"/>
        </w:numPr>
        <w:tabs>
          <w:tab w:val="left" w:pos="360"/>
          <w:tab w:val="left" w:pos="5400"/>
        </w:tabs>
        <w:spacing w:before="0" w:beforeAutospacing="0" w:after="0" w:afterAutospacing="0" w:line="240" w:lineRule="auto"/>
        <w:jc w:val="both"/>
        <w:rPr>
          <w:color w:val="000000"/>
          <w:sz w:val="26"/>
        </w:rPr>
      </w:pPr>
      <w:r>
        <w:rPr>
          <w:color w:val="000000"/>
          <w:sz w:val="26"/>
        </w:rPr>
        <w:t xml:space="preserve">Facilitate market entry for generation competitors by reducing </w:t>
      </w:r>
      <w:r w:rsidR="00321293">
        <w:rPr>
          <w:color w:val="000000"/>
          <w:sz w:val="26"/>
        </w:rPr>
        <w:t>interconnection costs and time; and</w:t>
      </w:r>
    </w:p>
    <w:p w:rsidR="00321293" w:rsidP="00F14914" w:rsidRDefault="00321293" w14:paraId="1CF04DE8" w14:textId="4A109672">
      <w:pPr>
        <w:pStyle w:val="NormalWeb"/>
        <w:numPr>
          <w:ilvl w:val="0"/>
          <w:numId w:val="20"/>
        </w:numPr>
        <w:tabs>
          <w:tab w:val="left" w:pos="360"/>
          <w:tab w:val="left" w:pos="5400"/>
        </w:tabs>
        <w:spacing w:before="0" w:beforeAutospacing="0" w:after="0" w:afterAutospacing="0" w:line="240" w:lineRule="auto"/>
        <w:jc w:val="both"/>
        <w:rPr>
          <w:color w:val="000000"/>
          <w:sz w:val="26"/>
        </w:rPr>
      </w:pPr>
      <w:r>
        <w:rPr>
          <w:color w:val="000000"/>
          <w:sz w:val="26"/>
        </w:rPr>
        <w:t xml:space="preserve">Encourage needed investment in </w:t>
      </w:r>
      <w:r w:rsidR="00C60058">
        <w:rPr>
          <w:color w:val="000000"/>
          <w:sz w:val="26"/>
        </w:rPr>
        <w:t>generation and transmission infrastructure.</w:t>
      </w:r>
    </w:p>
    <w:p w:rsidR="00C60058" w:rsidP="00C60058" w:rsidRDefault="00C60058" w14:paraId="796867DB" w14:textId="77777777">
      <w:pPr>
        <w:pStyle w:val="NormalWeb"/>
        <w:tabs>
          <w:tab w:val="left" w:pos="360"/>
          <w:tab w:val="left" w:pos="5400"/>
        </w:tabs>
        <w:spacing w:before="0" w:beforeAutospacing="0" w:after="0" w:afterAutospacing="0" w:line="240" w:lineRule="auto"/>
        <w:jc w:val="both"/>
        <w:rPr>
          <w:color w:val="000000"/>
          <w:sz w:val="26"/>
        </w:rPr>
      </w:pPr>
    </w:p>
    <w:p w:rsidRPr="00D237BB" w:rsidR="003A402C" w:rsidP="00C60058" w:rsidRDefault="00003FBA" w14:paraId="32150C09" w14:textId="66C78677">
      <w:pPr>
        <w:pStyle w:val="NormalWeb"/>
        <w:tabs>
          <w:tab w:val="left" w:pos="360"/>
          <w:tab w:val="left" w:pos="5400"/>
        </w:tabs>
        <w:spacing w:before="0" w:beforeAutospacing="0" w:after="0" w:afterAutospacing="0" w:line="240" w:lineRule="auto"/>
        <w:rPr>
          <w:color w:val="000000"/>
          <w:sz w:val="26"/>
          <w:u w:val="single"/>
        </w:rPr>
      </w:pPr>
      <w:r>
        <w:rPr>
          <w:color w:val="000000"/>
          <w:sz w:val="26"/>
        </w:rPr>
        <w:t xml:space="preserve">The final rule </w:t>
      </w:r>
      <w:r w:rsidR="00C60058">
        <w:rPr>
          <w:color w:val="000000"/>
          <w:sz w:val="26"/>
        </w:rPr>
        <w:t xml:space="preserve">in Order No. 2003 </w:t>
      </w:r>
      <w:r>
        <w:rPr>
          <w:color w:val="000000"/>
          <w:sz w:val="26"/>
        </w:rPr>
        <w:t>requires all public utilities that own, control</w:t>
      </w:r>
      <w:r w:rsidR="000920DC">
        <w:rPr>
          <w:color w:val="000000"/>
          <w:sz w:val="26"/>
        </w:rPr>
        <w:t xml:space="preserve">, or operate </w:t>
      </w:r>
      <w:r w:rsidR="002826B8">
        <w:rPr>
          <w:color w:val="000000"/>
          <w:sz w:val="26"/>
        </w:rPr>
        <w:t xml:space="preserve">facilities used for transmitting electric energy in interstate commerce </w:t>
      </w:r>
      <w:r w:rsidR="008B3186">
        <w:rPr>
          <w:color w:val="000000"/>
          <w:sz w:val="26"/>
        </w:rPr>
        <w:t xml:space="preserve">to file revised OATTs that include standard procedures </w:t>
      </w:r>
      <w:r w:rsidR="00601A25">
        <w:rPr>
          <w:color w:val="000000"/>
          <w:sz w:val="26"/>
        </w:rPr>
        <w:t>and a standard agreement for interconnecting generators large</w:t>
      </w:r>
      <w:r w:rsidR="001640BD">
        <w:rPr>
          <w:color w:val="000000"/>
          <w:sz w:val="26"/>
        </w:rPr>
        <w:t>r</w:t>
      </w:r>
      <w:r w:rsidR="00601A25">
        <w:rPr>
          <w:color w:val="000000"/>
          <w:sz w:val="26"/>
        </w:rPr>
        <w:t xml:space="preserve"> than 20 megawatts (MW).  </w:t>
      </w:r>
      <w:r w:rsidR="00591DCE">
        <w:rPr>
          <w:color w:val="000000"/>
          <w:sz w:val="26"/>
        </w:rPr>
        <w:t>T</w:t>
      </w:r>
      <w:r w:rsidR="005E59CC">
        <w:rPr>
          <w:color w:val="000000"/>
          <w:sz w:val="26"/>
        </w:rPr>
        <w:t xml:space="preserve">he standard </w:t>
      </w:r>
      <w:r w:rsidR="00C05FFE">
        <w:rPr>
          <w:color w:val="000000"/>
          <w:sz w:val="26"/>
        </w:rPr>
        <w:t xml:space="preserve">procedures came to </w:t>
      </w:r>
      <w:r w:rsidR="00C60058">
        <w:rPr>
          <w:color w:val="000000"/>
          <w:sz w:val="26"/>
        </w:rPr>
        <w:t xml:space="preserve">be known </w:t>
      </w:r>
      <w:r w:rsidR="00F3230D">
        <w:rPr>
          <w:color w:val="000000"/>
          <w:sz w:val="26"/>
        </w:rPr>
        <w:t xml:space="preserve">as </w:t>
      </w:r>
      <w:r w:rsidR="00F93FA7">
        <w:rPr>
          <w:color w:val="000000"/>
          <w:sz w:val="26"/>
        </w:rPr>
        <w:t xml:space="preserve">the </w:t>
      </w:r>
      <w:r w:rsidR="00F93FA7">
        <w:rPr>
          <w:i/>
          <w:iCs/>
          <w:color w:val="000000"/>
          <w:sz w:val="26"/>
        </w:rPr>
        <w:t>pro forma</w:t>
      </w:r>
      <w:r w:rsidR="00F93FA7">
        <w:rPr>
          <w:color w:val="000000"/>
          <w:sz w:val="26"/>
        </w:rPr>
        <w:t xml:space="preserve"> </w:t>
      </w:r>
      <w:r w:rsidR="007274BF">
        <w:rPr>
          <w:color w:val="000000"/>
          <w:sz w:val="26"/>
        </w:rPr>
        <w:t>LGI</w:t>
      </w:r>
      <w:r w:rsidR="00C05FFE">
        <w:rPr>
          <w:color w:val="000000"/>
          <w:sz w:val="26"/>
        </w:rPr>
        <w:t>P</w:t>
      </w:r>
      <w:r w:rsidR="007274BF">
        <w:rPr>
          <w:color w:val="000000"/>
          <w:sz w:val="26"/>
        </w:rPr>
        <w:t>.</w:t>
      </w:r>
      <w:r w:rsidR="006D284C">
        <w:rPr>
          <w:color w:val="000000"/>
          <w:sz w:val="26"/>
        </w:rPr>
        <w:t xml:space="preserve">  The currently effective LGI</w:t>
      </w:r>
      <w:r w:rsidR="00A847B6">
        <w:rPr>
          <w:color w:val="000000"/>
          <w:sz w:val="26"/>
        </w:rPr>
        <w:t>P</w:t>
      </w:r>
      <w:r w:rsidRPr="00A37677" w:rsidR="00C24638">
        <w:rPr>
          <w:rStyle w:val="FootnoteReference"/>
          <w:color w:val="000000"/>
          <w:sz w:val="26"/>
          <w:vertAlign w:val="superscript"/>
        </w:rPr>
        <w:footnoteReference w:id="4"/>
      </w:r>
      <w:r w:rsidR="006D284C">
        <w:rPr>
          <w:color w:val="000000"/>
          <w:sz w:val="26"/>
        </w:rPr>
        <w:t xml:space="preserve"> </w:t>
      </w:r>
      <w:r w:rsidR="00C24638">
        <w:rPr>
          <w:color w:val="000000"/>
          <w:sz w:val="26"/>
        </w:rPr>
        <w:t>ha</w:t>
      </w:r>
      <w:r w:rsidR="005A7D33">
        <w:rPr>
          <w:color w:val="000000"/>
          <w:sz w:val="26"/>
        </w:rPr>
        <w:t>s</w:t>
      </w:r>
      <w:r w:rsidR="00C24638">
        <w:rPr>
          <w:color w:val="000000"/>
          <w:sz w:val="26"/>
        </w:rPr>
        <w:t xml:space="preserve"> been modified several </w:t>
      </w:r>
      <w:r w:rsidR="00CB2589">
        <w:rPr>
          <w:color w:val="000000"/>
          <w:sz w:val="26"/>
        </w:rPr>
        <w:t xml:space="preserve">times and is </w:t>
      </w:r>
      <w:r w:rsidR="00AA430D">
        <w:rPr>
          <w:color w:val="000000"/>
          <w:sz w:val="26"/>
        </w:rPr>
        <w:t>proposed</w:t>
      </w:r>
      <w:r w:rsidR="00A847B6">
        <w:rPr>
          <w:color w:val="000000"/>
          <w:sz w:val="26"/>
        </w:rPr>
        <w:t xml:space="preserve"> </w:t>
      </w:r>
      <w:r w:rsidRPr="00D237BB" w:rsidR="00A847B6">
        <w:rPr>
          <w:color w:val="000000"/>
          <w:sz w:val="26"/>
        </w:rPr>
        <w:t>to</w:t>
      </w:r>
      <w:r w:rsidRPr="00D237BB" w:rsidR="00C24638">
        <w:rPr>
          <w:color w:val="000000"/>
          <w:sz w:val="26"/>
        </w:rPr>
        <w:t xml:space="preserve"> be further modified in RM21-17-000.</w:t>
      </w:r>
    </w:p>
    <w:p w:rsidRPr="00A37677" w:rsidR="008F31F8" w:rsidP="00594614" w:rsidRDefault="008F31F8" w14:paraId="24767F9B" w14:textId="77777777">
      <w:pPr>
        <w:pStyle w:val="NormalWeb"/>
        <w:tabs>
          <w:tab w:val="left" w:pos="360"/>
        </w:tabs>
        <w:spacing w:before="0" w:beforeAutospacing="0" w:after="0" w:afterAutospacing="0" w:line="240" w:lineRule="auto"/>
        <w:rPr>
          <w:color w:val="000000"/>
          <w:sz w:val="26"/>
        </w:rPr>
      </w:pPr>
    </w:p>
    <w:p w:rsidRPr="00A37677" w:rsidR="00D86490" w:rsidP="00594614" w:rsidRDefault="00D86490" w14:paraId="3232F5D6" w14:textId="5F5516C8">
      <w:pPr>
        <w:pStyle w:val="NormalWeb"/>
        <w:tabs>
          <w:tab w:val="left" w:pos="360"/>
        </w:tabs>
        <w:spacing w:before="0" w:beforeAutospacing="0" w:after="0" w:afterAutospacing="0" w:line="240" w:lineRule="auto"/>
        <w:rPr>
          <w:b/>
          <w:sz w:val="26"/>
        </w:rPr>
      </w:pPr>
      <w:r w:rsidRPr="00A37677">
        <w:rPr>
          <w:b/>
          <w:sz w:val="26"/>
        </w:rPr>
        <w:t>2.</w:t>
      </w:r>
      <w:r w:rsidRPr="00A37677">
        <w:rPr>
          <w:b/>
          <w:sz w:val="26"/>
        </w:rPr>
        <w:tab/>
        <w:t>Indicate how, by whom, and for what purpose the information is to be used.</w:t>
      </w:r>
      <w:r w:rsidRPr="00A37677" w:rsidR="0063032A">
        <w:rPr>
          <w:b/>
          <w:sz w:val="26"/>
        </w:rPr>
        <w:t xml:space="preserve"> </w:t>
      </w:r>
      <w:r w:rsidRPr="00A37677">
        <w:rPr>
          <w:b/>
          <w:sz w:val="26"/>
        </w:rPr>
        <w:t>Except for a new collection, indicate the actual use the agency has made of the information received from the current collection.</w:t>
      </w:r>
      <w:r w:rsidRPr="00A37677" w:rsidR="0063032A">
        <w:rPr>
          <w:b/>
          <w:sz w:val="26"/>
        </w:rPr>
        <w:t xml:space="preserve"> </w:t>
      </w:r>
      <w:r w:rsidRPr="00A37677">
        <w:rPr>
          <w:b/>
          <w:sz w:val="26"/>
        </w:rPr>
        <w:t>Be specific. If this collection is a form or a questionnaire, every question needs to be justified.</w:t>
      </w:r>
    </w:p>
    <w:p w:rsidR="00266C35" w:rsidP="00266C35" w:rsidRDefault="00266C35" w14:paraId="7BAE9711" w14:textId="77777777">
      <w:pPr>
        <w:spacing w:before="0" w:line="240" w:lineRule="auto"/>
        <w:rPr>
          <w:sz w:val="26"/>
        </w:rPr>
      </w:pPr>
    </w:p>
    <w:p w:rsidR="005A0759" w:rsidP="00266C35" w:rsidRDefault="00EA560B" w14:paraId="26215B25" w14:textId="5712CE89">
      <w:pPr>
        <w:spacing w:before="0" w:line="240" w:lineRule="auto"/>
        <w:rPr>
          <w:sz w:val="26"/>
        </w:rPr>
      </w:pPr>
      <w:r>
        <w:rPr>
          <w:sz w:val="26"/>
        </w:rPr>
        <w:t>Pursuant to section 206 of the FPA, t</w:t>
      </w:r>
      <w:r w:rsidR="00134BB9">
        <w:rPr>
          <w:sz w:val="26"/>
        </w:rPr>
        <w:t xml:space="preserve">he proposed rule in RM21-17-000 </w:t>
      </w:r>
      <w:r w:rsidRPr="00134BB9" w:rsidR="00134BB9">
        <w:rPr>
          <w:sz w:val="26"/>
        </w:rPr>
        <w:t xml:space="preserve">would require public utility </w:t>
      </w:r>
      <w:r w:rsidR="0050620A">
        <w:rPr>
          <w:sz w:val="26"/>
        </w:rPr>
        <w:t>t</w:t>
      </w:r>
      <w:r w:rsidRPr="00134BB9" w:rsidR="00134BB9">
        <w:rPr>
          <w:sz w:val="26"/>
        </w:rPr>
        <w:t xml:space="preserve">ransmission </w:t>
      </w:r>
      <w:r w:rsidR="0050620A">
        <w:rPr>
          <w:sz w:val="26"/>
        </w:rPr>
        <w:t>p</w:t>
      </w:r>
      <w:r w:rsidRPr="00134BB9" w:rsidR="00134BB9">
        <w:rPr>
          <w:sz w:val="26"/>
        </w:rPr>
        <w:t>roviders</w:t>
      </w:r>
      <w:r w:rsidRPr="00F416BA" w:rsidR="00266C35">
        <w:rPr>
          <w:rStyle w:val="FootnoteReference"/>
          <w:sz w:val="26"/>
          <w:vertAlign w:val="superscript"/>
        </w:rPr>
        <w:footnoteReference w:id="5"/>
      </w:r>
      <w:r w:rsidRPr="00134BB9" w:rsidR="00134BB9">
        <w:rPr>
          <w:sz w:val="26"/>
        </w:rPr>
        <w:t xml:space="preserve"> to </w:t>
      </w:r>
      <w:r w:rsidR="008F17A7">
        <w:rPr>
          <w:sz w:val="26"/>
        </w:rPr>
        <w:t xml:space="preserve">comply with revised </w:t>
      </w:r>
      <w:r w:rsidRPr="008F17A7" w:rsidR="008F17A7">
        <w:rPr>
          <w:sz w:val="26"/>
        </w:rPr>
        <w:t>electric regional transmission planning and cost allocation requirements</w:t>
      </w:r>
      <w:r w:rsidR="00124FE7">
        <w:rPr>
          <w:sz w:val="26"/>
        </w:rPr>
        <w:t>.</w:t>
      </w:r>
    </w:p>
    <w:p w:rsidR="005A0759" w:rsidP="00266C35" w:rsidRDefault="005A0759" w14:paraId="1F0A3804" w14:textId="77777777">
      <w:pPr>
        <w:spacing w:before="0" w:line="240" w:lineRule="auto"/>
        <w:rPr>
          <w:sz w:val="26"/>
        </w:rPr>
      </w:pPr>
    </w:p>
    <w:p w:rsidR="00C05550" w:rsidP="00266C35" w:rsidRDefault="00B21D3A" w14:paraId="50F90AB5" w14:textId="388D313F">
      <w:pPr>
        <w:spacing w:before="0" w:line="240" w:lineRule="auto"/>
        <w:rPr>
          <w:sz w:val="26"/>
        </w:rPr>
      </w:pPr>
      <w:r w:rsidRPr="00B21D3A">
        <w:rPr>
          <w:sz w:val="26"/>
        </w:rPr>
        <w:t xml:space="preserve">With respect to regional transmission planning, </w:t>
      </w:r>
      <w:r w:rsidR="00114831">
        <w:rPr>
          <w:sz w:val="26"/>
        </w:rPr>
        <w:t>the NOPR</w:t>
      </w:r>
      <w:r w:rsidR="00D25437">
        <w:rPr>
          <w:sz w:val="26"/>
        </w:rPr>
        <w:t>, at Appendix B,</w:t>
      </w:r>
      <w:r w:rsidR="00114831">
        <w:rPr>
          <w:sz w:val="26"/>
        </w:rPr>
        <w:t xml:space="preserve"> includes proposed revisions of Attachment K of the </w:t>
      </w:r>
      <w:r w:rsidR="00114831">
        <w:rPr>
          <w:i/>
          <w:iCs/>
          <w:sz w:val="26"/>
        </w:rPr>
        <w:t xml:space="preserve">pro </w:t>
      </w:r>
      <w:r w:rsidRPr="005E1A05" w:rsidR="00114831">
        <w:rPr>
          <w:i/>
          <w:iCs/>
          <w:sz w:val="26"/>
        </w:rPr>
        <w:t>forma</w:t>
      </w:r>
      <w:r w:rsidR="00114831">
        <w:rPr>
          <w:sz w:val="26"/>
        </w:rPr>
        <w:t xml:space="preserve"> OATT</w:t>
      </w:r>
      <w:r w:rsidR="008A2BB8">
        <w:rPr>
          <w:sz w:val="26"/>
        </w:rPr>
        <w:t xml:space="preserve"> that would </w:t>
      </w:r>
      <w:r w:rsidRPr="00B21D3A">
        <w:rPr>
          <w:sz w:val="26"/>
        </w:rPr>
        <w:t xml:space="preserve">require public utility transmission providers to conduct </w:t>
      </w:r>
      <w:r w:rsidR="00CB2589">
        <w:rPr>
          <w:sz w:val="26"/>
        </w:rPr>
        <w:t xml:space="preserve">Long-Term Regional Transmission Planning </w:t>
      </w:r>
      <w:r w:rsidRPr="00B21D3A">
        <w:rPr>
          <w:sz w:val="26"/>
        </w:rPr>
        <w:t>on a sufficiently forward-looking basis to meet transmission needs driven by changes in the resource mix and demand.</w:t>
      </w:r>
      <w:r w:rsidR="00716E6F">
        <w:rPr>
          <w:sz w:val="26"/>
        </w:rPr>
        <w:t xml:space="preserve">  </w:t>
      </w:r>
      <w:r w:rsidRPr="00C94A6D" w:rsidR="00C94A6D">
        <w:rPr>
          <w:sz w:val="26"/>
        </w:rPr>
        <w:t xml:space="preserve">Specifically, </w:t>
      </w:r>
      <w:r w:rsidR="0012442B">
        <w:rPr>
          <w:sz w:val="26"/>
        </w:rPr>
        <w:t xml:space="preserve">the </w:t>
      </w:r>
      <w:r w:rsidR="001640BD">
        <w:rPr>
          <w:sz w:val="26"/>
        </w:rPr>
        <w:t>reforms proposed in the</w:t>
      </w:r>
      <w:r w:rsidRPr="00741280" w:rsidR="001640BD">
        <w:rPr>
          <w:sz w:val="26"/>
        </w:rPr>
        <w:t xml:space="preserve"> </w:t>
      </w:r>
      <w:r w:rsidR="00CB2589">
        <w:rPr>
          <w:sz w:val="26"/>
        </w:rPr>
        <w:t xml:space="preserve">NOPR </w:t>
      </w:r>
      <w:r w:rsidR="0012442B">
        <w:rPr>
          <w:sz w:val="26"/>
        </w:rPr>
        <w:t xml:space="preserve">would </w:t>
      </w:r>
      <w:r w:rsidRPr="00C94A6D" w:rsidR="00C94A6D">
        <w:rPr>
          <w:sz w:val="26"/>
        </w:rPr>
        <w:t>require that public utility transmission providers in each transmission planning region:</w:t>
      </w:r>
      <w:r w:rsidRPr="00BB192F" w:rsidR="0012442B">
        <w:rPr>
          <w:rStyle w:val="FootnoteReference"/>
          <w:sz w:val="26"/>
          <w:vertAlign w:val="superscript"/>
        </w:rPr>
        <w:footnoteReference w:id="6"/>
      </w:r>
      <w:r w:rsidRPr="00C94A6D" w:rsidR="00C94A6D">
        <w:rPr>
          <w:sz w:val="26"/>
        </w:rPr>
        <w:t xml:space="preserve">  (1) identify transmission needs driven by changes in the resource mix and demand through the development of Long-Term Scenarios</w:t>
      </w:r>
      <w:r w:rsidR="00006FEB">
        <w:rPr>
          <w:sz w:val="26"/>
        </w:rPr>
        <w:t>;</w:t>
      </w:r>
      <w:r w:rsidRPr="00C94A6D" w:rsidR="00C94A6D">
        <w:rPr>
          <w:b/>
          <w:sz w:val="26"/>
          <w:vertAlign w:val="superscript"/>
        </w:rPr>
        <w:footnoteReference w:id="7"/>
      </w:r>
      <w:r w:rsidRPr="00C94A6D" w:rsidR="00C94A6D">
        <w:rPr>
          <w:sz w:val="26"/>
        </w:rPr>
        <w:t xml:space="preserve"> (2) evaluate the benefits of regional transmission facilities to meet these needs over a time horizon that covers, at a minimum, 20 years starting from the estimated in-service date of the transmission facilities; (3) establish transparent and not unduly discriminatory criteria to select transmission facilities in the regional transmission plan for purposes of cost allocation that more efficiently or cost-effectively address these transmission needs in collaboration with states and other stakeholders</w:t>
      </w:r>
      <w:r w:rsidR="0093244A">
        <w:rPr>
          <w:sz w:val="26"/>
        </w:rPr>
        <w:t xml:space="preserve">; and </w:t>
      </w:r>
      <w:r w:rsidR="004B17CB">
        <w:rPr>
          <w:sz w:val="26"/>
        </w:rPr>
        <w:t xml:space="preserve">(4) </w:t>
      </w:r>
      <w:r w:rsidRPr="001E1060" w:rsidR="001E1060">
        <w:rPr>
          <w:sz w:val="26"/>
        </w:rPr>
        <w:t>seek the agreement of relevant state entities within the transmission planning region regarding the cost allocation method or methods that will apply to transmission facilities</w:t>
      </w:r>
      <w:r w:rsidR="0081688E">
        <w:rPr>
          <w:sz w:val="26"/>
        </w:rPr>
        <w:t>.</w:t>
      </w:r>
    </w:p>
    <w:p w:rsidR="0081688E" w:rsidP="00266C35" w:rsidRDefault="0081688E" w14:paraId="3A9B7E6A" w14:textId="0A101669">
      <w:pPr>
        <w:spacing w:before="0" w:line="240" w:lineRule="auto"/>
        <w:rPr>
          <w:sz w:val="26"/>
        </w:rPr>
      </w:pPr>
    </w:p>
    <w:p w:rsidR="00C05550" w:rsidP="00266C35" w:rsidRDefault="00E20781" w14:paraId="390B6B61" w14:textId="06656B69">
      <w:pPr>
        <w:spacing w:before="0" w:line="240" w:lineRule="auto"/>
        <w:rPr>
          <w:sz w:val="26"/>
        </w:rPr>
      </w:pPr>
      <w:r>
        <w:rPr>
          <w:sz w:val="26"/>
          <w:u w:val="single"/>
        </w:rPr>
        <w:t>Information Collection</w:t>
      </w:r>
      <w:r w:rsidR="00334EDF">
        <w:rPr>
          <w:sz w:val="26"/>
          <w:u w:val="single"/>
        </w:rPr>
        <w:t xml:space="preserve">:  </w:t>
      </w:r>
      <w:r w:rsidR="00425BC0">
        <w:rPr>
          <w:sz w:val="26"/>
          <w:u w:val="single"/>
        </w:rPr>
        <w:t xml:space="preserve">Revisions </w:t>
      </w:r>
      <w:r w:rsidR="005A6473">
        <w:rPr>
          <w:sz w:val="26"/>
          <w:u w:val="single"/>
        </w:rPr>
        <w:t xml:space="preserve">Proposed </w:t>
      </w:r>
      <w:r w:rsidR="003606D3">
        <w:rPr>
          <w:sz w:val="26"/>
          <w:u w:val="single"/>
        </w:rPr>
        <w:t>in</w:t>
      </w:r>
      <w:r w:rsidR="00A76D9B">
        <w:rPr>
          <w:sz w:val="26"/>
          <w:u w:val="single"/>
        </w:rPr>
        <w:t xml:space="preserve"> </w:t>
      </w:r>
      <w:r w:rsidR="00425BC0">
        <w:rPr>
          <w:sz w:val="26"/>
          <w:u w:val="single"/>
        </w:rPr>
        <w:t xml:space="preserve">Attachment K of the </w:t>
      </w:r>
      <w:r w:rsidR="0012209E">
        <w:rPr>
          <w:i/>
          <w:iCs/>
          <w:sz w:val="26"/>
          <w:u w:val="single"/>
        </w:rPr>
        <w:t xml:space="preserve"> pro </w:t>
      </w:r>
      <w:r w:rsidRPr="0012209E" w:rsidR="0012209E">
        <w:rPr>
          <w:i/>
          <w:iCs/>
          <w:sz w:val="26"/>
          <w:u w:val="single"/>
        </w:rPr>
        <w:t>forma</w:t>
      </w:r>
      <w:r w:rsidR="0012209E">
        <w:rPr>
          <w:sz w:val="26"/>
          <w:u w:val="single"/>
        </w:rPr>
        <w:t xml:space="preserve"> </w:t>
      </w:r>
      <w:r w:rsidRPr="0012209E" w:rsidR="000816A7">
        <w:rPr>
          <w:sz w:val="26"/>
          <w:u w:val="single"/>
        </w:rPr>
        <w:t>OATT</w:t>
      </w:r>
    </w:p>
    <w:p w:rsidR="00174C19" w:rsidP="00266C35" w:rsidRDefault="00174C19" w14:paraId="2F4B17EC" w14:textId="45091CA7">
      <w:pPr>
        <w:spacing w:before="0" w:line="240" w:lineRule="auto"/>
        <w:rPr>
          <w:sz w:val="26"/>
        </w:rPr>
      </w:pPr>
    </w:p>
    <w:p w:rsidRPr="00174C19" w:rsidR="00174C19" w:rsidP="00266C35" w:rsidRDefault="00174C19" w14:paraId="099CFB34" w14:textId="22E9BC98">
      <w:pPr>
        <w:spacing w:before="0" w:line="240" w:lineRule="auto"/>
        <w:rPr>
          <w:sz w:val="26"/>
        </w:rPr>
      </w:pPr>
      <w:r>
        <w:rPr>
          <w:sz w:val="26"/>
        </w:rPr>
        <w:t>The NOPR describes</w:t>
      </w:r>
      <w:r w:rsidR="003606D3">
        <w:rPr>
          <w:sz w:val="26"/>
        </w:rPr>
        <w:t>,</w:t>
      </w:r>
      <w:r>
        <w:rPr>
          <w:sz w:val="26"/>
        </w:rPr>
        <w:t xml:space="preserve"> in Attachment K of the </w:t>
      </w:r>
      <w:r>
        <w:rPr>
          <w:i/>
          <w:iCs/>
          <w:sz w:val="26"/>
        </w:rPr>
        <w:t>pro forma</w:t>
      </w:r>
      <w:r>
        <w:rPr>
          <w:sz w:val="26"/>
        </w:rPr>
        <w:t xml:space="preserve"> OATT</w:t>
      </w:r>
      <w:r w:rsidR="003606D3">
        <w:rPr>
          <w:sz w:val="26"/>
        </w:rPr>
        <w:t>,</w:t>
      </w:r>
      <w:r>
        <w:rPr>
          <w:sz w:val="26"/>
        </w:rPr>
        <w:t xml:space="preserve"> </w:t>
      </w:r>
      <w:r w:rsidR="009C142A">
        <w:rPr>
          <w:sz w:val="26"/>
        </w:rPr>
        <w:t>proposed provisions that would be required in transmission providers’ OATTs.</w:t>
      </w:r>
    </w:p>
    <w:p w:rsidR="002036EB" w:rsidP="00266C35" w:rsidRDefault="002036EB" w14:paraId="5F9DD8D9" w14:textId="0AA3A568">
      <w:pPr>
        <w:spacing w:before="0" w:line="240" w:lineRule="auto"/>
        <w:rPr>
          <w:sz w:val="26"/>
        </w:rPr>
      </w:pPr>
    </w:p>
    <w:p w:rsidRPr="00147869" w:rsidR="00725CD0" w:rsidP="002F7D6D" w:rsidRDefault="002F7D6D" w14:paraId="2CC0CADB" w14:textId="74C5FC53">
      <w:pPr>
        <w:spacing w:before="0" w:line="240" w:lineRule="auto"/>
        <w:rPr>
          <w:sz w:val="26"/>
        </w:rPr>
      </w:pPr>
      <w:r w:rsidRPr="00292ED3">
        <w:rPr>
          <w:i/>
          <w:iCs/>
          <w:sz w:val="26"/>
        </w:rPr>
        <w:t xml:space="preserve">Requirement to Participate in </w:t>
      </w:r>
      <w:r w:rsidRPr="00292ED3" w:rsidR="00725CD0">
        <w:rPr>
          <w:i/>
          <w:iCs/>
          <w:sz w:val="26"/>
        </w:rPr>
        <w:t>Long-Term Regional Transmission Planning</w:t>
      </w:r>
    </w:p>
    <w:p w:rsidR="00114831" w:rsidP="002F7D6D" w:rsidRDefault="00114831" w14:paraId="6A892EBE" w14:textId="77777777">
      <w:pPr>
        <w:spacing w:before="0" w:line="240" w:lineRule="auto"/>
        <w:rPr>
          <w:sz w:val="26"/>
        </w:rPr>
      </w:pPr>
    </w:p>
    <w:p w:rsidR="00CC2FC0" w:rsidP="004A65BB" w:rsidRDefault="007F41C9" w14:paraId="6D125B59" w14:textId="1BA71F72">
      <w:pPr>
        <w:spacing w:before="0" w:line="240" w:lineRule="auto"/>
        <w:rPr>
          <w:sz w:val="26"/>
        </w:rPr>
      </w:pPr>
      <w:r>
        <w:rPr>
          <w:sz w:val="26"/>
        </w:rPr>
        <w:t xml:space="preserve">The </w:t>
      </w:r>
      <w:r w:rsidR="00107C48">
        <w:rPr>
          <w:sz w:val="26"/>
        </w:rPr>
        <w:t>transmission providers</w:t>
      </w:r>
      <w:r w:rsidR="00E83E3E">
        <w:rPr>
          <w:sz w:val="26"/>
        </w:rPr>
        <w:t xml:space="preserve">’ participation </w:t>
      </w:r>
      <w:r w:rsidR="00107C48">
        <w:rPr>
          <w:sz w:val="26"/>
        </w:rPr>
        <w:t xml:space="preserve">in </w:t>
      </w:r>
      <w:r w:rsidR="00CB2589">
        <w:rPr>
          <w:sz w:val="26"/>
        </w:rPr>
        <w:t>Long-Term Regional Transmission Planning</w:t>
      </w:r>
      <w:r w:rsidR="00107C48">
        <w:rPr>
          <w:sz w:val="26"/>
        </w:rPr>
        <w:t xml:space="preserve"> i</w:t>
      </w:r>
      <w:r w:rsidR="00F07F63">
        <w:rPr>
          <w:sz w:val="26"/>
        </w:rPr>
        <w:t xml:space="preserve">ncludes </w:t>
      </w:r>
      <w:r w:rsidR="00CC5FBF">
        <w:rPr>
          <w:sz w:val="26"/>
        </w:rPr>
        <w:t>a requirement to</w:t>
      </w:r>
      <w:r w:rsidR="00514963">
        <w:rPr>
          <w:sz w:val="26"/>
        </w:rPr>
        <w:t xml:space="preserve"> develop </w:t>
      </w:r>
      <w:r w:rsidRPr="00107C48" w:rsidR="00107C48">
        <w:rPr>
          <w:sz w:val="26"/>
        </w:rPr>
        <w:t>Long-Term Scenarios</w:t>
      </w:r>
      <w:r w:rsidR="00B009C7">
        <w:rPr>
          <w:sz w:val="26"/>
        </w:rPr>
        <w:t xml:space="preserve">.  </w:t>
      </w:r>
      <w:r w:rsidR="00D70979">
        <w:rPr>
          <w:sz w:val="26"/>
        </w:rPr>
        <w:t xml:space="preserve">The proposed rule </w:t>
      </w:r>
      <w:r w:rsidR="00495F45">
        <w:rPr>
          <w:sz w:val="26"/>
        </w:rPr>
        <w:t xml:space="preserve">explains that each scenario would comprise a hypothetical </w:t>
      </w:r>
      <w:r w:rsidR="002D5FF6">
        <w:rPr>
          <w:sz w:val="26"/>
        </w:rPr>
        <w:t xml:space="preserve">sequence of events that incorporates assumptions used to forecast </w:t>
      </w:r>
      <w:r w:rsidR="00CC2FC0">
        <w:rPr>
          <w:sz w:val="26"/>
        </w:rPr>
        <w:t>transmission needs driven by changes in the resource mix and demand.</w:t>
      </w:r>
    </w:p>
    <w:p w:rsidR="00CC2FC0" w:rsidP="004A65BB" w:rsidRDefault="00CC2FC0" w14:paraId="6E1E17D5" w14:textId="77777777">
      <w:pPr>
        <w:spacing w:before="0" w:line="240" w:lineRule="auto"/>
        <w:rPr>
          <w:sz w:val="26"/>
        </w:rPr>
      </w:pPr>
    </w:p>
    <w:p w:rsidR="00AB4494" w:rsidP="004A65BB" w:rsidRDefault="00263E79" w14:paraId="25BC8D95" w14:textId="64B8C3FE">
      <w:pPr>
        <w:spacing w:before="0" w:line="240" w:lineRule="auto"/>
        <w:rPr>
          <w:rFonts w:eastAsiaTheme="minorHAnsi"/>
          <w:sz w:val="26"/>
          <w:szCs w:val="22"/>
        </w:rPr>
      </w:pPr>
      <w:r>
        <w:rPr>
          <w:sz w:val="26"/>
        </w:rPr>
        <w:t xml:space="preserve">In order to determine the relevant assumptions, </w:t>
      </w:r>
      <w:r w:rsidR="00986A99">
        <w:rPr>
          <w:sz w:val="26"/>
        </w:rPr>
        <w:t>transmission providers would be required to</w:t>
      </w:r>
      <w:r w:rsidRPr="00986A99" w:rsidR="00986A99">
        <w:rPr>
          <w:rFonts w:eastAsiaTheme="minorHAnsi"/>
          <w:sz w:val="26"/>
          <w:szCs w:val="22"/>
        </w:rPr>
        <w:t xml:space="preserve"> </w:t>
      </w:r>
      <w:r w:rsidR="00AB4494">
        <w:rPr>
          <w:rFonts w:eastAsiaTheme="minorHAnsi"/>
          <w:sz w:val="26"/>
          <w:szCs w:val="22"/>
        </w:rPr>
        <w:t>collect information such as:</w:t>
      </w:r>
    </w:p>
    <w:p w:rsidR="00AB4494" w:rsidP="00107C48" w:rsidRDefault="00AB4494" w14:paraId="35C5A10C" w14:textId="77777777">
      <w:pPr>
        <w:spacing w:before="0" w:line="240" w:lineRule="auto"/>
        <w:ind w:left="360"/>
        <w:rPr>
          <w:rFonts w:eastAsiaTheme="minorHAnsi"/>
          <w:sz w:val="26"/>
          <w:szCs w:val="22"/>
        </w:rPr>
      </w:pPr>
    </w:p>
    <w:p w:rsidR="00AB4494" w:rsidP="00AB4494" w:rsidRDefault="00AB4494" w14:paraId="6C0655E1" w14:textId="77777777">
      <w:pPr>
        <w:pStyle w:val="ListParagraph"/>
        <w:numPr>
          <w:ilvl w:val="0"/>
          <w:numId w:val="23"/>
        </w:numPr>
        <w:spacing w:before="0" w:line="240" w:lineRule="auto"/>
        <w:rPr>
          <w:sz w:val="26"/>
        </w:rPr>
      </w:pPr>
      <w:r>
        <w:rPr>
          <w:sz w:val="26"/>
        </w:rPr>
        <w:t>F</w:t>
      </w:r>
      <w:r w:rsidRPr="00AB4494" w:rsidR="00986A99">
        <w:rPr>
          <w:sz w:val="26"/>
        </w:rPr>
        <w:t>orecasts of the level and pattern (i.e., hourly and seasonal variability) of future electricity demand;</w:t>
      </w:r>
    </w:p>
    <w:p w:rsidR="00B452E9" w:rsidP="00AB4494" w:rsidRDefault="00AB4494" w14:paraId="313CDF0A" w14:textId="77777777">
      <w:pPr>
        <w:pStyle w:val="ListParagraph"/>
        <w:numPr>
          <w:ilvl w:val="0"/>
          <w:numId w:val="23"/>
        </w:numPr>
        <w:spacing w:before="0" w:line="240" w:lineRule="auto"/>
        <w:rPr>
          <w:sz w:val="26"/>
        </w:rPr>
      </w:pPr>
      <w:r>
        <w:rPr>
          <w:sz w:val="26"/>
        </w:rPr>
        <w:t>T</w:t>
      </w:r>
      <w:r w:rsidRPr="00AB4494" w:rsidR="00986A99">
        <w:rPr>
          <w:sz w:val="26"/>
        </w:rPr>
        <w:t>he quantity, location, and type of resource additions and retirements; an</w:t>
      </w:r>
      <w:r w:rsidR="00B452E9">
        <w:rPr>
          <w:sz w:val="26"/>
        </w:rPr>
        <w:t>d</w:t>
      </w:r>
    </w:p>
    <w:p w:rsidR="00E20D37" w:rsidP="00AB4494" w:rsidRDefault="00E20D37" w14:paraId="5C60D9E4" w14:textId="5DDDF2F9">
      <w:pPr>
        <w:pStyle w:val="ListParagraph"/>
        <w:numPr>
          <w:ilvl w:val="0"/>
          <w:numId w:val="23"/>
        </w:numPr>
        <w:spacing w:before="0" w:line="240" w:lineRule="auto"/>
        <w:rPr>
          <w:sz w:val="26"/>
        </w:rPr>
      </w:pPr>
      <w:r>
        <w:rPr>
          <w:sz w:val="26"/>
        </w:rPr>
        <w:t xml:space="preserve">Forecasts </w:t>
      </w:r>
      <w:r w:rsidRPr="00AB4494" w:rsidR="00986A99">
        <w:rPr>
          <w:sz w:val="26"/>
        </w:rPr>
        <w:t>about the electric power system that are used as inputs to the transmission model and determine the need for new transmission facilities over the transmission planning horizon.</w:t>
      </w:r>
    </w:p>
    <w:p w:rsidR="00EE64AB" w:rsidP="00AB4494" w:rsidRDefault="00E20D37" w14:paraId="3E8B9E31" w14:textId="77777777">
      <w:pPr>
        <w:pStyle w:val="ListParagraph"/>
        <w:numPr>
          <w:ilvl w:val="0"/>
          <w:numId w:val="23"/>
        </w:numPr>
        <w:spacing w:before="0" w:line="240" w:lineRule="auto"/>
        <w:rPr>
          <w:sz w:val="26"/>
        </w:rPr>
      </w:pPr>
      <w:r>
        <w:rPr>
          <w:sz w:val="26"/>
        </w:rPr>
        <w:t>Forecasts</w:t>
      </w:r>
      <w:r w:rsidR="00EE64AB">
        <w:rPr>
          <w:sz w:val="26"/>
        </w:rPr>
        <w:t xml:space="preserve"> </w:t>
      </w:r>
      <w:r w:rsidRPr="00AB4494" w:rsidR="00986A99">
        <w:rPr>
          <w:sz w:val="26"/>
        </w:rPr>
        <w:t>for natural gas prices, increasing outage trends due to extreme weather and climatic trends, and other future events.</w:t>
      </w:r>
    </w:p>
    <w:p w:rsidR="00EE64AB" w:rsidP="00EE64AB" w:rsidRDefault="00EE64AB" w14:paraId="0C68FF11" w14:textId="77777777">
      <w:pPr>
        <w:spacing w:before="0" w:line="240" w:lineRule="auto"/>
        <w:ind w:left="720"/>
        <w:rPr>
          <w:sz w:val="26"/>
        </w:rPr>
      </w:pPr>
    </w:p>
    <w:p w:rsidR="00BF3225" w:rsidP="006C21ED" w:rsidRDefault="00514963" w14:paraId="4C70F644" w14:textId="756E1EEB">
      <w:pPr>
        <w:spacing w:before="0" w:line="240" w:lineRule="auto"/>
        <w:rPr>
          <w:sz w:val="26"/>
        </w:rPr>
      </w:pPr>
      <w:r>
        <w:rPr>
          <w:sz w:val="26"/>
        </w:rPr>
        <w:t xml:space="preserve">The Transmission Providers’ participation in Long-Term </w:t>
      </w:r>
      <w:r w:rsidR="00E07A64">
        <w:rPr>
          <w:sz w:val="26"/>
        </w:rPr>
        <w:t xml:space="preserve">Regional Transmission Planning would also include </w:t>
      </w:r>
      <w:r w:rsidR="0013519E">
        <w:rPr>
          <w:sz w:val="26"/>
        </w:rPr>
        <w:t>evaluating the benefits of regional transmission facilities</w:t>
      </w:r>
      <w:r w:rsidR="00182626">
        <w:rPr>
          <w:sz w:val="26"/>
        </w:rPr>
        <w:t xml:space="preserve"> over a 20-year time hor</w:t>
      </w:r>
      <w:r w:rsidR="003C402C">
        <w:rPr>
          <w:sz w:val="26"/>
        </w:rPr>
        <w:t>i</w:t>
      </w:r>
      <w:r w:rsidR="00182626">
        <w:rPr>
          <w:sz w:val="26"/>
        </w:rPr>
        <w:t>zon,</w:t>
      </w:r>
      <w:r w:rsidR="0013519E">
        <w:rPr>
          <w:sz w:val="26"/>
        </w:rPr>
        <w:t xml:space="preserve"> and establishing criteria in consultation with states to select transmission facilities for purposes of cost allocation</w:t>
      </w:r>
      <w:r w:rsidR="003C402C">
        <w:rPr>
          <w:sz w:val="26"/>
        </w:rPr>
        <w:t xml:space="preserve">.  </w:t>
      </w:r>
      <w:r w:rsidR="009C2FFA">
        <w:rPr>
          <w:sz w:val="26"/>
        </w:rPr>
        <w:t xml:space="preserve">The proposed revisions of the </w:t>
      </w:r>
      <w:r w:rsidR="009C2FFA">
        <w:rPr>
          <w:i/>
          <w:iCs/>
          <w:sz w:val="26"/>
        </w:rPr>
        <w:t>pro forma</w:t>
      </w:r>
      <w:r w:rsidR="009C2FFA">
        <w:rPr>
          <w:sz w:val="26"/>
        </w:rPr>
        <w:t xml:space="preserve"> OATT, at Appendix B of the proposed rule, </w:t>
      </w:r>
      <w:r w:rsidR="0029725C">
        <w:rPr>
          <w:sz w:val="26"/>
        </w:rPr>
        <w:t xml:space="preserve">list many benefits that “may be useful” for transmission providers to consider in </w:t>
      </w:r>
      <w:r w:rsidR="00CB2589">
        <w:rPr>
          <w:sz w:val="26"/>
        </w:rPr>
        <w:t>Long-Term Regional Transmission Planning</w:t>
      </w:r>
      <w:r w:rsidR="0029725C">
        <w:rPr>
          <w:sz w:val="26"/>
        </w:rPr>
        <w:t xml:space="preserve"> </w:t>
      </w:r>
      <w:r w:rsidR="00F76323">
        <w:rPr>
          <w:sz w:val="26"/>
        </w:rPr>
        <w:t xml:space="preserve">and cost allocation processes.  However, the Commission has declined to propose to </w:t>
      </w:r>
      <w:r w:rsidR="00D50095">
        <w:rPr>
          <w:sz w:val="26"/>
        </w:rPr>
        <w:t>require use of any specific benefits</w:t>
      </w:r>
      <w:r w:rsidR="00215805">
        <w:rPr>
          <w:sz w:val="26"/>
        </w:rPr>
        <w:t xml:space="preserve">.  Instead, the Commission proposes to consider such </w:t>
      </w:r>
      <w:r w:rsidR="00CA619F">
        <w:rPr>
          <w:sz w:val="26"/>
        </w:rPr>
        <w:t>matters on review of compliance filings.</w:t>
      </w:r>
      <w:r w:rsidR="0013519E">
        <w:rPr>
          <w:sz w:val="26"/>
        </w:rPr>
        <w:t xml:space="preserve"> </w:t>
      </w:r>
    </w:p>
    <w:p w:rsidR="00CD299A" w:rsidP="006C21ED" w:rsidRDefault="00CD299A" w14:paraId="4FB16EA2" w14:textId="3842D7B7">
      <w:pPr>
        <w:spacing w:before="0" w:line="240" w:lineRule="auto"/>
        <w:rPr>
          <w:sz w:val="26"/>
        </w:rPr>
      </w:pPr>
    </w:p>
    <w:p w:rsidR="008F3D6C" w:rsidP="006C21ED" w:rsidRDefault="008F3D6C" w14:paraId="775A607E" w14:textId="04FC471F">
      <w:pPr>
        <w:spacing w:before="0" w:line="240" w:lineRule="auto"/>
        <w:rPr>
          <w:sz w:val="26"/>
        </w:rPr>
      </w:pPr>
      <w:r>
        <w:rPr>
          <w:sz w:val="26"/>
        </w:rPr>
        <w:t>Participation in Long-Term Regional Transmission Planning would be required during</w:t>
      </w:r>
      <w:r w:rsidR="009B1E6F">
        <w:rPr>
          <w:sz w:val="26"/>
        </w:rPr>
        <w:t xml:space="preserve"> both Year 1 and during </w:t>
      </w:r>
      <w:r>
        <w:rPr>
          <w:sz w:val="26"/>
        </w:rPr>
        <w:t xml:space="preserve">the </w:t>
      </w:r>
      <w:r w:rsidRPr="00EE64AB">
        <w:rPr>
          <w:sz w:val="26"/>
        </w:rPr>
        <w:t>updat</w:t>
      </w:r>
      <w:r>
        <w:rPr>
          <w:sz w:val="26"/>
        </w:rPr>
        <w:t xml:space="preserve">ing of </w:t>
      </w:r>
      <w:r w:rsidRPr="00EE64AB">
        <w:rPr>
          <w:sz w:val="26"/>
        </w:rPr>
        <w:t>data inputs and factors at least every three year</w:t>
      </w:r>
      <w:r>
        <w:rPr>
          <w:sz w:val="26"/>
        </w:rPr>
        <w:t xml:space="preserve">s.  Thus, </w:t>
      </w:r>
      <w:r w:rsidRPr="00EE64AB">
        <w:rPr>
          <w:sz w:val="26"/>
        </w:rPr>
        <w:t xml:space="preserve">the proposed requirement to participate in </w:t>
      </w:r>
      <w:r w:rsidR="00CB2589">
        <w:rPr>
          <w:sz w:val="26"/>
        </w:rPr>
        <w:t>Long-Term Regional Transmission Planning</w:t>
      </w:r>
      <w:r w:rsidR="00342C80">
        <w:rPr>
          <w:sz w:val="26"/>
        </w:rPr>
        <w:t xml:space="preserve"> would involve</w:t>
      </w:r>
      <w:r w:rsidRPr="00EE64AB">
        <w:rPr>
          <w:sz w:val="26"/>
        </w:rPr>
        <w:t xml:space="preserve"> both a Year 1 information collection and subsequent information collection</w:t>
      </w:r>
      <w:r w:rsidR="00A844CC">
        <w:rPr>
          <w:sz w:val="26"/>
        </w:rPr>
        <w:t>s</w:t>
      </w:r>
      <w:r w:rsidRPr="00EE64AB">
        <w:rPr>
          <w:sz w:val="26"/>
        </w:rPr>
        <w:t>.</w:t>
      </w:r>
    </w:p>
    <w:p w:rsidR="008F3D6C" w:rsidP="006C21ED" w:rsidRDefault="008F3D6C" w14:paraId="16E2E97A" w14:textId="77777777">
      <w:pPr>
        <w:spacing w:before="0" w:line="240" w:lineRule="auto"/>
        <w:rPr>
          <w:sz w:val="26"/>
        </w:rPr>
      </w:pPr>
    </w:p>
    <w:p w:rsidRPr="00121134" w:rsidR="00CD299A" w:rsidP="006C21ED" w:rsidRDefault="00CD299A" w14:paraId="5E91A77C" w14:textId="502FD586">
      <w:pPr>
        <w:spacing w:before="0" w:line="240" w:lineRule="auto"/>
        <w:rPr>
          <w:sz w:val="26"/>
        </w:rPr>
      </w:pPr>
      <w:r>
        <w:rPr>
          <w:i/>
          <w:iCs/>
          <w:sz w:val="26"/>
        </w:rPr>
        <w:t>Revision of the Regional Transmission Planning Process</w:t>
      </w:r>
    </w:p>
    <w:p w:rsidRPr="00244D18" w:rsidR="00230372" w:rsidP="006C21ED" w:rsidRDefault="00230372" w14:paraId="561F6074" w14:textId="3B0EB3BB">
      <w:pPr>
        <w:spacing w:before="0" w:line="240" w:lineRule="auto"/>
        <w:rPr>
          <w:sz w:val="26"/>
        </w:rPr>
      </w:pPr>
    </w:p>
    <w:p w:rsidRPr="002F7D6D" w:rsidR="00230372" w:rsidP="00230372" w:rsidRDefault="00171036" w14:paraId="493A2157" w14:textId="5B64F0E5">
      <w:pPr>
        <w:spacing w:before="0" w:line="240" w:lineRule="auto"/>
        <w:rPr>
          <w:sz w:val="26"/>
        </w:rPr>
      </w:pPr>
      <w:r w:rsidRPr="00741280">
        <w:rPr>
          <w:sz w:val="26"/>
        </w:rPr>
        <w:t>The</w:t>
      </w:r>
      <w:r w:rsidR="00050CB0">
        <w:rPr>
          <w:sz w:val="26"/>
        </w:rPr>
        <w:t xml:space="preserve"> reforms proposed in the</w:t>
      </w:r>
      <w:r w:rsidRPr="00741280">
        <w:rPr>
          <w:sz w:val="26"/>
        </w:rPr>
        <w:t xml:space="preserve"> </w:t>
      </w:r>
      <w:r w:rsidRPr="005C41FE">
        <w:rPr>
          <w:sz w:val="26"/>
        </w:rPr>
        <w:t>NOPR would</w:t>
      </w:r>
      <w:r w:rsidRPr="00741280">
        <w:rPr>
          <w:sz w:val="26"/>
        </w:rPr>
        <w:t xml:space="preserve"> require </w:t>
      </w:r>
      <w:r w:rsidR="00DC5D57">
        <w:rPr>
          <w:sz w:val="26"/>
        </w:rPr>
        <w:t xml:space="preserve">transmission providers to add </w:t>
      </w:r>
      <w:r w:rsidRPr="00741280">
        <w:rPr>
          <w:sz w:val="26"/>
        </w:rPr>
        <w:t xml:space="preserve">at least three stakeholder meetings </w:t>
      </w:r>
      <w:r w:rsidR="00DC5D57">
        <w:rPr>
          <w:sz w:val="26"/>
        </w:rPr>
        <w:t>to their regional transmission planning process</w:t>
      </w:r>
      <w:r w:rsidR="00252FF0">
        <w:rPr>
          <w:sz w:val="26"/>
        </w:rPr>
        <w:t xml:space="preserve">: </w:t>
      </w:r>
    </w:p>
    <w:p w:rsidRPr="00D52FBC" w:rsidR="00230372" w:rsidP="00230372" w:rsidRDefault="00230372" w14:paraId="561DD282" w14:textId="77777777">
      <w:pPr>
        <w:spacing w:before="0" w:line="240" w:lineRule="auto"/>
        <w:rPr>
          <w:sz w:val="26"/>
        </w:rPr>
      </w:pPr>
      <w:r w:rsidRPr="00D52FBC">
        <w:rPr>
          <w:sz w:val="26"/>
        </w:rPr>
        <w:t xml:space="preserve">  </w:t>
      </w:r>
    </w:p>
    <w:p w:rsidRPr="00D52FBC" w:rsidR="00230372" w:rsidP="00230372" w:rsidRDefault="00230372" w14:paraId="51219F24" w14:textId="77777777">
      <w:pPr>
        <w:numPr>
          <w:ilvl w:val="0"/>
          <w:numId w:val="21"/>
        </w:numPr>
        <w:spacing w:before="0" w:line="240" w:lineRule="auto"/>
        <w:rPr>
          <w:sz w:val="26"/>
        </w:rPr>
      </w:pPr>
      <w:r w:rsidRPr="00D52FBC">
        <w:rPr>
          <w:sz w:val="26"/>
        </w:rPr>
        <w:t>A stakeholder meeting to review the criteria, assumptions, and models related to each Transmission Provider’s local transmission planning (Assumptions Meeting);</w:t>
      </w:r>
    </w:p>
    <w:p w:rsidR="00230372" w:rsidP="00230372" w:rsidRDefault="00230372" w14:paraId="11E300B9" w14:textId="77777777">
      <w:pPr>
        <w:numPr>
          <w:ilvl w:val="0"/>
          <w:numId w:val="21"/>
        </w:numPr>
        <w:spacing w:before="0" w:line="240" w:lineRule="auto"/>
        <w:rPr>
          <w:sz w:val="26"/>
        </w:rPr>
      </w:pPr>
      <w:r w:rsidRPr="00D52FBC">
        <w:rPr>
          <w:sz w:val="26"/>
        </w:rPr>
        <w:t>No fewer than 25 calendar days after the Assumptions Meeting, a stakeholder meeting to review identified reliability criteria violations and other transmission needs that drive the need for local transmission facilities (Needs Meeting); and</w:t>
      </w:r>
    </w:p>
    <w:p w:rsidR="00230372" w:rsidP="00230372" w:rsidRDefault="00230372" w14:paraId="4C9F681D" w14:textId="77777777">
      <w:pPr>
        <w:numPr>
          <w:ilvl w:val="0"/>
          <w:numId w:val="21"/>
        </w:numPr>
        <w:spacing w:before="0" w:line="240" w:lineRule="auto"/>
        <w:rPr>
          <w:sz w:val="26"/>
        </w:rPr>
      </w:pPr>
      <w:r w:rsidRPr="00682C09">
        <w:rPr>
          <w:sz w:val="26"/>
        </w:rPr>
        <w:t>No fewer than 25 calendar days after the Needs Meeting, a stakeholder meeting to review potential solutions to those reliability criteria violations and other transmission needs (Solutions Meeting)</w:t>
      </w:r>
      <w:r>
        <w:rPr>
          <w:sz w:val="26"/>
        </w:rPr>
        <w:t>.</w:t>
      </w:r>
    </w:p>
    <w:p w:rsidRPr="00647DAA" w:rsidR="00647DAA" w:rsidP="00B470DD" w:rsidRDefault="00647DAA" w14:paraId="523B9212" w14:textId="16639F76">
      <w:pPr>
        <w:spacing w:before="0" w:line="240" w:lineRule="auto"/>
        <w:rPr>
          <w:i/>
          <w:iCs/>
          <w:sz w:val="26"/>
        </w:rPr>
      </w:pPr>
      <w:r w:rsidRPr="00647DAA">
        <w:rPr>
          <w:i/>
          <w:iCs/>
          <w:sz w:val="26"/>
        </w:rPr>
        <w:t xml:space="preserve">  </w:t>
      </w:r>
    </w:p>
    <w:p w:rsidR="00121134" w:rsidP="00121134" w:rsidRDefault="00420BB0" w14:paraId="6DD8668C" w14:textId="61301593">
      <w:pPr>
        <w:spacing w:before="0" w:line="240" w:lineRule="auto"/>
        <w:rPr>
          <w:sz w:val="26"/>
        </w:rPr>
      </w:pPr>
      <w:r>
        <w:rPr>
          <w:sz w:val="26"/>
        </w:rPr>
        <w:t xml:space="preserve">The meetings would be required </w:t>
      </w:r>
      <w:r w:rsidRPr="00741280">
        <w:rPr>
          <w:sz w:val="26"/>
        </w:rPr>
        <w:t>b</w:t>
      </w:r>
      <w:r w:rsidRPr="00647DAA">
        <w:rPr>
          <w:sz w:val="26"/>
        </w:rPr>
        <w:t xml:space="preserve">efore </w:t>
      </w:r>
      <w:r>
        <w:rPr>
          <w:sz w:val="26"/>
        </w:rPr>
        <w:t xml:space="preserve">including </w:t>
      </w:r>
      <w:r w:rsidRPr="00647DAA">
        <w:rPr>
          <w:sz w:val="26"/>
        </w:rPr>
        <w:t xml:space="preserve">each </w:t>
      </w:r>
      <w:r w:rsidRPr="00741280">
        <w:rPr>
          <w:sz w:val="26"/>
        </w:rPr>
        <w:t>t</w:t>
      </w:r>
      <w:r w:rsidRPr="00647DAA">
        <w:rPr>
          <w:sz w:val="26"/>
        </w:rPr>
        <w:t xml:space="preserve">ransmission </w:t>
      </w:r>
      <w:r w:rsidRPr="00741280">
        <w:rPr>
          <w:sz w:val="26"/>
        </w:rPr>
        <w:t>p</w:t>
      </w:r>
      <w:r w:rsidRPr="00647DAA">
        <w:rPr>
          <w:sz w:val="26"/>
        </w:rPr>
        <w:t xml:space="preserve">rovider’s local transmission planning information </w:t>
      </w:r>
      <w:r>
        <w:rPr>
          <w:sz w:val="26"/>
        </w:rPr>
        <w:t>in</w:t>
      </w:r>
      <w:r w:rsidRPr="00647DAA">
        <w:rPr>
          <w:sz w:val="26"/>
        </w:rPr>
        <w:t>to the transmission planning region’s planning models</w:t>
      </w:r>
      <w:r>
        <w:rPr>
          <w:sz w:val="26"/>
        </w:rPr>
        <w:t xml:space="preserve">.  </w:t>
      </w:r>
      <w:r w:rsidR="007E1650">
        <w:rPr>
          <w:sz w:val="26"/>
        </w:rPr>
        <w:t>T</w:t>
      </w:r>
      <w:r w:rsidRPr="002F7D6D" w:rsidR="00545E03">
        <w:rPr>
          <w:sz w:val="26"/>
        </w:rPr>
        <w:t xml:space="preserve">he </w:t>
      </w:r>
      <w:r w:rsidR="00963E87">
        <w:rPr>
          <w:sz w:val="26"/>
        </w:rPr>
        <w:t>reforms proposed in the</w:t>
      </w:r>
      <w:r w:rsidRPr="00741280" w:rsidR="00963E87">
        <w:rPr>
          <w:sz w:val="26"/>
        </w:rPr>
        <w:t xml:space="preserve"> </w:t>
      </w:r>
      <w:r w:rsidRPr="002F7D6D" w:rsidR="00545E03">
        <w:rPr>
          <w:sz w:val="26"/>
        </w:rPr>
        <w:t>NOPR</w:t>
      </w:r>
      <w:r w:rsidR="00545E03">
        <w:rPr>
          <w:sz w:val="26"/>
        </w:rPr>
        <w:t xml:space="preserve"> wo</w:t>
      </w:r>
      <w:r w:rsidRPr="002F7D6D" w:rsidR="00545E03">
        <w:rPr>
          <w:sz w:val="26"/>
        </w:rPr>
        <w:t xml:space="preserve">uld </w:t>
      </w:r>
      <w:r w:rsidR="00545E03">
        <w:rPr>
          <w:sz w:val="26"/>
        </w:rPr>
        <w:t xml:space="preserve">require transmission providers to post publicly all materials for stakeholder review before and after each </w:t>
      </w:r>
      <w:r w:rsidRPr="002F7D6D" w:rsidR="00545E03">
        <w:rPr>
          <w:sz w:val="26"/>
        </w:rPr>
        <w:t xml:space="preserve">stakeholder </w:t>
      </w:r>
      <w:r w:rsidRPr="002F7D6D" w:rsidR="00CB2589">
        <w:rPr>
          <w:sz w:val="26"/>
        </w:rPr>
        <w:t>meeting</w:t>
      </w:r>
      <w:r w:rsidR="00CB2589">
        <w:rPr>
          <w:sz w:val="26"/>
        </w:rPr>
        <w:t xml:space="preserve"> and</w:t>
      </w:r>
      <w:r w:rsidR="000B4BB8">
        <w:rPr>
          <w:sz w:val="26"/>
        </w:rPr>
        <w:t xml:space="preserve"> </w:t>
      </w:r>
      <w:r w:rsidR="00230372">
        <w:rPr>
          <w:sz w:val="26"/>
        </w:rPr>
        <w:t>provide opportunities for comments by stakeholders.</w:t>
      </w:r>
    </w:p>
    <w:p w:rsidR="00121134" w:rsidP="00121134" w:rsidRDefault="00121134" w14:paraId="1C16710D" w14:textId="77777777">
      <w:pPr>
        <w:spacing w:before="0" w:line="240" w:lineRule="auto"/>
        <w:rPr>
          <w:sz w:val="26"/>
        </w:rPr>
      </w:pPr>
    </w:p>
    <w:p w:rsidR="00C64D60" w:rsidP="00121134" w:rsidRDefault="00121134" w14:paraId="04FA718D" w14:textId="21CA63C3">
      <w:pPr>
        <w:spacing w:before="0" w:line="240" w:lineRule="auto"/>
        <w:rPr>
          <w:sz w:val="26"/>
        </w:rPr>
      </w:pPr>
      <w:r>
        <w:rPr>
          <w:sz w:val="26"/>
        </w:rPr>
        <w:t>The</w:t>
      </w:r>
      <w:r w:rsidRPr="00050CB0" w:rsidR="00050CB0">
        <w:rPr>
          <w:sz w:val="26"/>
        </w:rPr>
        <w:t xml:space="preserve"> </w:t>
      </w:r>
      <w:r w:rsidR="00050CB0">
        <w:rPr>
          <w:sz w:val="26"/>
        </w:rPr>
        <w:t>reforms proposed in the</w:t>
      </w:r>
      <w:r>
        <w:rPr>
          <w:sz w:val="26"/>
        </w:rPr>
        <w:t xml:space="preserve"> </w:t>
      </w:r>
      <w:r w:rsidRPr="007C160F">
        <w:rPr>
          <w:sz w:val="26"/>
        </w:rPr>
        <w:t>NOPR also would</w:t>
      </w:r>
      <w:r>
        <w:rPr>
          <w:sz w:val="26"/>
        </w:rPr>
        <w:t xml:space="preserve"> </w:t>
      </w:r>
      <w:r w:rsidR="003D1668">
        <w:rPr>
          <w:sz w:val="26"/>
        </w:rPr>
        <w:t xml:space="preserve">require, at a specified point early in each </w:t>
      </w:r>
      <w:r w:rsidR="00CB2589">
        <w:rPr>
          <w:sz w:val="26"/>
        </w:rPr>
        <w:t>Long-Term Regional Transmission Planning</w:t>
      </w:r>
      <w:r w:rsidR="003D1668">
        <w:rPr>
          <w:sz w:val="26"/>
        </w:rPr>
        <w:t xml:space="preserve"> cycle, </w:t>
      </w:r>
      <w:r w:rsidR="00841D9C">
        <w:rPr>
          <w:sz w:val="26"/>
        </w:rPr>
        <w:t xml:space="preserve">that each transmission provider submit a list </w:t>
      </w:r>
      <w:r w:rsidR="00307707">
        <w:rPr>
          <w:sz w:val="26"/>
        </w:rPr>
        <w:t>of transmission facilities that it owns that operate at or above 230 kilovolts (kV)</w:t>
      </w:r>
      <w:r w:rsidR="005C3C67">
        <w:rPr>
          <w:sz w:val="26"/>
        </w:rPr>
        <w:t xml:space="preserve">, and that may need to be replaced over the next 10 years.  Upon collecting that information, the transmission provider would be required to evaluate whether </w:t>
      </w:r>
      <w:r w:rsidR="00285263">
        <w:rPr>
          <w:sz w:val="26"/>
        </w:rPr>
        <w:t xml:space="preserve">the listed facilities can be “right-sized” to address a transmission need identified in Long-Term Regional Transmission Planning.  </w:t>
      </w:r>
      <w:r w:rsidR="00715E9C">
        <w:rPr>
          <w:sz w:val="26"/>
        </w:rPr>
        <w:t>Right-sizing could include, for example, increasing the facility’s voltage leve</w:t>
      </w:r>
      <w:r w:rsidR="003B6B74">
        <w:rPr>
          <w:sz w:val="26"/>
        </w:rPr>
        <w:t>l</w:t>
      </w:r>
      <w:r w:rsidR="00715E9C">
        <w:rPr>
          <w:sz w:val="26"/>
        </w:rPr>
        <w:t>, adding circuits to the towers, or incorporating advanced technologies.</w:t>
      </w:r>
    </w:p>
    <w:p w:rsidR="00715E9C" w:rsidP="00121134" w:rsidRDefault="00715E9C" w14:paraId="6D6F396E" w14:textId="56E6932B">
      <w:pPr>
        <w:spacing w:before="0" w:line="240" w:lineRule="auto"/>
        <w:rPr>
          <w:sz w:val="26"/>
        </w:rPr>
      </w:pPr>
    </w:p>
    <w:p w:rsidR="00B64B25" w:rsidP="00B64B25" w:rsidRDefault="00922840" w14:paraId="1BA3DC69" w14:textId="6C61E6E9">
      <w:pPr>
        <w:spacing w:before="0" w:line="240" w:lineRule="auto"/>
        <w:rPr>
          <w:sz w:val="26"/>
        </w:rPr>
      </w:pPr>
      <w:r>
        <w:rPr>
          <w:sz w:val="26"/>
        </w:rPr>
        <w:t xml:space="preserve">This information collection activity would </w:t>
      </w:r>
      <w:r w:rsidR="00B64B25">
        <w:rPr>
          <w:sz w:val="26"/>
        </w:rPr>
        <w:t xml:space="preserve">be required during both Year 1 and during the </w:t>
      </w:r>
      <w:r w:rsidRPr="00EE64AB" w:rsidR="00B64B25">
        <w:rPr>
          <w:sz w:val="26"/>
        </w:rPr>
        <w:t>updat</w:t>
      </w:r>
      <w:r w:rsidR="00B64B25">
        <w:rPr>
          <w:sz w:val="26"/>
        </w:rPr>
        <w:t>ing of</w:t>
      </w:r>
      <w:r w:rsidRPr="00EE64AB" w:rsidR="00B64B25">
        <w:rPr>
          <w:sz w:val="26"/>
        </w:rPr>
        <w:t xml:space="preserve"> data inputs and factors at least every three year</w:t>
      </w:r>
      <w:r w:rsidR="00B64B25">
        <w:rPr>
          <w:sz w:val="26"/>
        </w:rPr>
        <w:t xml:space="preserve">s.  Thus, </w:t>
      </w:r>
      <w:r>
        <w:rPr>
          <w:sz w:val="26"/>
        </w:rPr>
        <w:t xml:space="preserve">it </w:t>
      </w:r>
      <w:r w:rsidR="003F1165">
        <w:rPr>
          <w:sz w:val="26"/>
        </w:rPr>
        <w:t xml:space="preserve">would </w:t>
      </w:r>
      <w:r w:rsidRPr="00EE64AB" w:rsidR="00B64B25">
        <w:rPr>
          <w:sz w:val="26"/>
        </w:rPr>
        <w:t>involve both a Year 1 information collection and subsequent information collection</w:t>
      </w:r>
      <w:r w:rsidR="003F1165">
        <w:rPr>
          <w:sz w:val="26"/>
        </w:rPr>
        <w:t>s</w:t>
      </w:r>
      <w:r w:rsidRPr="00EE64AB" w:rsidR="00B64B25">
        <w:rPr>
          <w:sz w:val="26"/>
        </w:rPr>
        <w:t>.</w:t>
      </w:r>
    </w:p>
    <w:p w:rsidR="003651ED" w:rsidP="00B64B25" w:rsidRDefault="003651ED" w14:paraId="0AB471A0" w14:textId="2476B11D">
      <w:pPr>
        <w:spacing w:before="0" w:line="240" w:lineRule="auto"/>
        <w:rPr>
          <w:sz w:val="26"/>
        </w:rPr>
      </w:pPr>
    </w:p>
    <w:p w:rsidRPr="00192B82" w:rsidR="003651ED" w:rsidP="00B64B25" w:rsidRDefault="00192B82" w14:paraId="78755EC7" w14:textId="5F8C5635">
      <w:pPr>
        <w:spacing w:before="0" w:line="240" w:lineRule="auto"/>
        <w:rPr>
          <w:i/>
          <w:iCs/>
          <w:sz w:val="26"/>
        </w:rPr>
      </w:pPr>
      <w:r w:rsidRPr="00192B82">
        <w:rPr>
          <w:i/>
          <w:iCs/>
          <w:sz w:val="26"/>
        </w:rPr>
        <w:t xml:space="preserve">Seek </w:t>
      </w:r>
      <w:r w:rsidR="000F3003">
        <w:rPr>
          <w:i/>
          <w:iCs/>
          <w:sz w:val="26"/>
        </w:rPr>
        <w:t>A</w:t>
      </w:r>
      <w:r w:rsidRPr="00192B82">
        <w:rPr>
          <w:i/>
          <w:iCs/>
          <w:sz w:val="26"/>
        </w:rPr>
        <w:t xml:space="preserve">greement from the </w:t>
      </w:r>
      <w:r w:rsidR="00550676">
        <w:rPr>
          <w:i/>
          <w:iCs/>
          <w:sz w:val="26"/>
        </w:rPr>
        <w:t>S</w:t>
      </w:r>
      <w:r w:rsidRPr="00192B82">
        <w:rPr>
          <w:i/>
          <w:iCs/>
          <w:sz w:val="26"/>
        </w:rPr>
        <w:t xml:space="preserve">tates to </w:t>
      </w:r>
      <w:r w:rsidR="00550676">
        <w:rPr>
          <w:i/>
          <w:iCs/>
          <w:sz w:val="26"/>
        </w:rPr>
        <w:t>E</w:t>
      </w:r>
      <w:r w:rsidRPr="00192B82">
        <w:rPr>
          <w:i/>
          <w:iCs/>
          <w:sz w:val="26"/>
        </w:rPr>
        <w:t>stablish a Long-Term Regional Transmission Cost Allocation Method and/or a State Agreement Process</w:t>
      </w:r>
    </w:p>
    <w:p w:rsidR="003F1165" w:rsidP="00B64B25" w:rsidRDefault="003F1165" w14:paraId="1E852BD9" w14:textId="7B2B7B97">
      <w:pPr>
        <w:spacing w:before="0" w:line="240" w:lineRule="auto"/>
        <w:rPr>
          <w:sz w:val="26"/>
        </w:rPr>
      </w:pPr>
    </w:p>
    <w:p w:rsidR="0056236F" w:rsidP="00715E9C" w:rsidRDefault="00050CB0" w14:paraId="57C8E60C" w14:textId="271153C5">
      <w:pPr>
        <w:spacing w:before="0" w:line="240" w:lineRule="auto"/>
        <w:rPr>
          <w:sz w:val="26"/>
        </w:rPr>
      </w:pPr>
      <w:r>
        <w:rPr>
          <w:sz w:val="26"/>
        </w:rPr>
        <w:t>The reforms proposed in</w:t>
      </w:r>
      <w:r w:rsidRPr="00741280">
        <w:rPr>
          <w:sz w:val="26"/>
        </w:rPr>
        <w:t xml:space="preserve"> </w:t>
      </w:r>
      <w:r w:rsidRPr="00F17C7B" w:rsidR="00F17C7B">
        <w:rPr>
          <w:sz w:val="26"/>
        </w:rPr>
        <w:t>Appendix B of t</w:t>
      </w:r>
      <w:r w:rsidRPr="00F17C7B" w:rsidR="0076266C">
        <w:rPr>
          <w:sz w:val="26"/>
        </w:rPr>
        <w:t xml:space="preserve">he NOPR </w:t>
      </w:r>
      <w:r w:rsidRPr="00A76D9B" w:rsidR="0076266C">
        <w:rPr>
          <w:sz w:val="26"/>
        </w:rPr>
        <w:t>would</w:t>
      </w:r>
      <w:r w:rsidRPr="00F17C7B" w:rsidR="0076266C">
        <w:rPr>
          <w:sz w:val="26"/>
        </w:rPr>
        <w:t xml:space="preserve"> </w:t>
      </w:r>
      <w:r w:rsidR="00465093">
        <w:rPr>
          <w:sz w:val="26"/>
        </w:rPr>
        <w:t xml:space="preserve">include revisions </w:t>
      </w:r>
      <w:r w:rsidR="00A76D9B">
        <w:rPr>
          <w:sz w:val="26"/>
        </w:rPr>
        <w:t xml:space="preserve">described in </w:t>
      </w:r>
      <w:r w:rsidR="00465093">
        <w:rPr>
          <w:sz w:val="26"/>
        </w:rPr>
        <w:t>the</w:t>
      </w:r>
      <w:r w:rsidR="00B34E70">
        <w:rPr>
          <w:i/>
          <w:iCs/>
          <w:sz w:val="26"/>
        </w:rPr>
        <w:t xml:space="preserve"> pro forma </w:t>
      </w:r>
      <w:r w:rsidRPr="00465093" w:rsidR="0076266C">
        <w:rPr>
          <w:sz w:val="26"/>
        </w:rPr>
        <w:t>OATT</w:t>
      </w:r>
      <w:r w:rsidRPr="003D6EA1" w:rsidR="0076266C">
        <w:rPr>
          <w:sz w:val="26"/>
        </w:rPr>
        <w:t xml:space="preserve"> </w:t>
      </w:r>
      <w:r w:rsidR="003D6EA1">
        <w:rPr>
          <w:sz w:val="26"/>
        </w:rPr>
        <w:t>that would require t</w:t>
      </w:r>
      <w:r w:rsidRPr="003D6EA1" w:rsidR="00B34E70">
        <w:rPr>
          <w:sz w:val="26"/>
        </w:rPr>
        <w:t xml:space="preserve">he </w:t>
      </w:r>
      <w:r w:rsidR="0013084C">
        <w:rPr>
          <w:sz w:val="26"/>
        </w:rPr>
        <w:t>t</w:t>
      </w:r>
      <w:r w:rsidRPr="003D6EA1" w:rsidR="00B34E70">
        <w:rPr>
          <w:sz w:val="26"/>
        </w:rPr>
        <w:t xml:space="preserve">ransmission </w:t>
      </w:r>
      <w:r w:rsidR="0013084C">
        <w:rPr>
          <w:sz w:val="26"/>
        </w:rPr>
        <w:t>p</w:t>
      </w:r>
      <w:r w:rsidRPr="003D6EA1" w:rsidR="00B34E70">
        <w:rPr>
          <w:sz w:val="26"/>
        </w:rPr>
        <w:t xml:space="preserve">roviders in each transmission planning region </w:t>
      </w:r>
      <w:r w:rsidR="003D6EA1">
        <w:rPr>
          <w:sz w:val="26"/>
        </w:rPr>
        <w:t xml:space="preserve">to </w:t>
      </w:r>
      <w:r w:rsidRPr="003D6EA1" w:rsidR="00B34E70">
        <w:rPr>
          <w:sz w:val="26"/>
        </w:rPr>
        <w:t>include in their tariffs</w:t>
      </w:r>
      <w:r w:rsidR="003D6EA1">
        <w:rPr>
          <w:sz w:val="26"/>
        </w:rPr>
        <w:t>:</w:t>
      </w:r>
      <w:r w:rsidR="00E2606F">
        <w:rPr>
          <w:sz w:val="26"/>
        </w:rPr>
        <w:t xml:space="preserve"> </w:t>
      </w:r>
      <w:r w:rsidRPr="003D6EA1" w:rsidR="00B34E70">
        <w:rPr>
          <w:sz w:val="26"/>
        </w:rPr>
        <w:t xml:space="preserve"> (1) a Long-Term Regional Transmission Cost Allocation Method to allocate the costs of Long-Term Regional Transmission Facilities,</w:t>
      </w:r>
      <w:r w:rsidR="00990670">
        <w:rPr>
          <w:sz w:val="26"/>
        </w:rPr>
        <w:t xml:space="preserve"> </w:t>
      </w:r>
      <w:r w:rsidRPr="003D6EA1" w:rsidR="00B34E70">
        <w:rPr>
          <w:sz w:val="26"/>
        </w:rPr>
        <w:t>(2) a State Agreement Process by which one or more relevant state entities may voluntarily agree to a cost allocation method, or (3) a combination thereof.</w:t>
      </w:r>
    </w:p>
    <w:p w:rsidR="00465CF0" w:rsidP="00715E9C" w:rsidRDefault="00465CF0" w14:paraId="4266893F" w14:textId="21BCBE90">
      <w:pPr>
        <w:spacing w:before="0" w:line="240" w:lineRule="auto"/>
        <w:rPr>
          <w:sz w:val="26"/>
        </w:rPr>
      </w:pPr>
    </w:p>
    <w:p w:rsidR="002876D8" w:rsidP="00715E9C" w:rsidRDefault="002876D8" w14:paraId="60E75E45" w14:textId="0F25AF60">
      <w:pPr>
        <w:spacing w:before="0" w:line="240" w:lineRule="auto"/>
        <w:rPr>
          <w:sz w:val="26"/>
        </w:rPr>
      </w:pPr>
      <w:r>
        <w:rPr>
          <w:sz w:val="26"/>
        </w:rPr>
        <w:t xml:space="preserve">The </w:t>
      </w:r>
      <w:r w:rsidR="00050CB0">
        <w:rPr>
          <w:sz w:val="26"/>
        </w:rPr>
        <w:t>reforms proposed in the</w:t>
      </w:r>
      <w:r w:rsidRPr="00741280" w:rsidR="00050CB0">
        <w:rPr>
          <w:sz w:val="26"/>
        </w:rPr>
        <w:t xml:space="preserve"> </w:t>
      </w:r>
      <w:r>
        <w:rPr>
          <w:sz w:val="26"/>
        </w:rPr>
        <w:t xml:space="preserve">NOPR </w:t>
      </w:r>
      <w:r w:rsidRPr="00847310">
        <w:rPr>
          <w:sz w:val="26"/>
        </w:rPr>
        <w:t>would</w:t>
      </w:r>
      <w:r>
        <w:rPr>
          <w:sz w:val="26"/>
        </w:rPr>
        <w:t xml:space="preserve"> define the term “Long-Term Regional Transmission C</w:t>
      </w:r>
      <w:r w:rsidR="000F66AF">
        <w:rPr>
          <w:sz w:val="26"/>
        </w:rPr>
        <w:t xml:space="preserve">ost Allocation Method” as </w:t>
      </w:r>
      <w:r w:rsidRPr="00FF04DA" w:rsidR="00FF04DA">
        <w:rPr>
          <w:sz w:val="26"/>
        </w:rPr>
        <w:t xml:space="preserve">an </w:t>
      </w:r>
      <w:r w:rsidRPr="00FF04DA" w:rsidR="00FF04DA">
        <w:rPr>
          <w:i/>
          <w:iCs/>
          <w:sz w:val="26"/>
        </w:rPr>
        <w:t>ex ante</w:t>
      </w:r>
      <w:r w:rsidRPr="00FF04DA" w:rsidR="00FF04DA">
        <w:rPr>
          <w:sz w:val="26"/>
        </w:rPr>
        <w:t xml:space="preserve"> </w:t>
      </w:r>
      <w:r w:rsidR="00A9380D">
        <w:rPr>
          <w:sz w:val="26"/>
        </w:rPr>
        <w:t xml:space="preserve">(i.e., based on forecasts rather than on actual results) </w:t>
      </w:r>
      <w:r w:rsidRPr="00FF04DA" w:rsidR="00FF04DA">
        <w:rPr>
          <w:sz w:val="26"/>
        </w:rPr>
        <w:t xml:space="preserve">regional cost allocation method that would be included in each public utility transmission provider’s OATT as part of Long-Term Regional Transmission Planning. </w:t>
      </w:r>
      <w:r w:rsidR="00DC0A4C">
        <w:rPr>
          <w:sz w:val="26"/>
        </w:rPr>
        <w:t xml:space="preserve"> The </w:t>
      </w:r>
      <w:r w:rsidR="005A27FA">
        <w:rPr>
          <w:sz w:val="26"/>
        </w:rPr>
        <w:t xml:space="preserve">required collection of information </w:t>
      </w:r>
      <w:r w:rsidR="00923858">
        <w:rPr>
          <w:sz w:val="26"/>
        </w:rPr>
        <w:t xml:space="preserve">for this </w:t>
      </w:r>
      <w:r w:rsidR="00966D0A">
        <w:rPr>
          <w:sz w:val="26"/>
        </w:rPr>
        <w:t xml:space="preserve">method </w:t>
      </w:r>
      <w:r w:rsidR="005A27FA">
        <w:rPr>
          <w:sz w:val="26"/>
        </w:rPr>
        <w:t xml:space="preserve">would be forecasts </w:t>
      </w:r>
      <w:r w:rsidR="00F90B98">
        <w:rPr>
          <w:sz w:val="26"/>
        </w:rPr>
        <w:t>to support the method.</w:t>
      </w:r>
      <w:r w:rsidRPr="00FF04DA" w:rsidR="00FF04DA">
        <w:rPr>
          <w:sz w:val="26"/>
        </w:rPr>
        <w:t xml:space="preserve"> </w:t>
      </w:r>
    </w:p>
    <w:p w:rsidR="00A849E0" w:rsidP="00715E9C" w:rsidRDefault="00A849E0" w14:paraId="6F15B70E" w14:textId="4F40A064">
      <w:pPr>
        <w:spacing w:before="0" w:line="240" w:lineRule="auto"/>
        <w:rPr>
          <w:sz w:val="26"/>
        </w:rPr>
      </w:pPr>
    </w:p>
    <w:p w:rsidR="00C74C2B" w:rsidP="00715E9C" w:rsidRDefault="00C74C2B" w14:paraId="7D55FC9C" w14:textId="33C5BDA9">
      <w:pPr>
        <w:spacing w:before="0" w:line="240" w:lineRule="auto"/>
        <w:rPr>
          <w:sz w:val="26"/>
        </w:rPr>
      </w:pPr>
      <w:r>
        <w:rPr>
          <w:sz w:val="26"/>
        </w:rPr>
        <w:t xml:space="preserve">The </w:t>
      </w:r>
      <w:r w:rsidR="00050CB0">
        <w:rPr>
          <w:sz w:val="26"/>
        </w:rPr>
        <w:t>reforms proposed in the</w:t>
      </w:r>
      <w:r w:rsidRPr="00741280" w:rsidR="00050CB0">
        <w:rPr>
          <w:sz w:val="26"/>
        </w:rPr>
        <w:t xml:space="preserve"> </w:t>
      </w:r>
      <w:r>
        <w:rPr>
          <w:sz w:val="26"/>
        </w:rPr>
        <w:t xml:space="preserve">NOPR </w:t>
      </w:r>
      <w:r w:rsidRPr="00847310">
        <w:rPr>
          <w:sz w:val="26"/>
        </w:rPr>
        <w:t>would</w:t>
      </w:r>
      <w:r>
        <w:rPr>
          <w:sz w:val="26"/>
        </w:rPr>
        <w:t xml:space="preserve"> define the term “State Agreement Process” as </w:t>
      </w:r>
      <w:r w:rsidRPr="00DC6900" w:rsidR="00DC6900">
        <w:rPr>
          <w:sz w:val="26"/>
        </w:rPr>
        <w:t xml:space="preserve">an </w:t>
      </w:r>
      <w:r w:rsidRPr="00DC6900" w:rsidR="00DC6900">
        <w:rPr>
          <w:i/>
          <w:iCs/>
          <w:sz w:val="26"/>
        </w:rPr>
        <w:t>ex post</w:t>
      </w:r>
      <w:r w:rsidRPr="00DC6900" w:rsidR="00DC6900">
        <w:rPr>
          <w:sz w:val="26"/>
        </w:rPr>
        <w:t xml:space="preserve"> </w:t>
      </w:r>
      <w:r w:rsidR="00DC6900">
        <w:rPr>
          <w:sz w:val="26"/>
        </w:rPr>
        <w:t xml:space="preserve">(i.e., based on actual results instead of forecasts) </w:t>
      </w:r>
      <w:r w:rsidRPr="00DC6900" w:rsidR="00DC6900">
        <w:rPr>
          <w:sz w:val="26"/>
        </w:rPr>
        <w:t>cost allocation process that would be included in each public utility transmission provider’s OATT as part of Long-Term Regional Transmission Planning, which may apply to an individual Long-Term Regional Transmission Facility or a portfolio of such Facilities grouped together for purposes of cost allocation.</w:t>
      </w:r>
      <w:r w:rsidR="00A52081">
        <w:rPr>
          <w:sz w:val="26"/>
        </w:rPr>
        <w:t xml:space="preserve">  The required collection of information for this method would be results </w:t>
      </w:r>
      <w:r w:rsidR="00923858">
        <w:rPr>
          <w:sz w:val="26"/>
        </w:rPr>
        <w:t>in support of this method.</w:t>
      </w:r>
    </w:p>
    <w:p w:rsidR="00966D0A" w:rsidP="00715E9C" w:rsidRDefault="00966D0A" w14:paraId="62599C88" w14:textId="7CA53C3F">
      <w:pPr>
        <w:spacing w:before="0" w:line="240" w:lineRule="auto"/>
        <w:rPr>
          <w:sz w:val="26"/>
        </w:rPr>
      </w:pPr>
    </w:p>
    <w:p w:rsidR="00F13463" w:rsidP="00715E9C" w:rsidRDefault="00966D0A" w14:paraId="7FF7441D" w14:textId="77777777">
      <w:pPr>
        <w:spacing w:before="0" w:line="240" w:lineRule="auto"/>
        <w:rPr>
          <w:sz w:val="26"/>
        </w:rPr>
      </w:pPr>
      <w:r>
        <w:rPr>
          <w:sz w:val="26"/>
        </w:rPr>
        <w:t xml:space="preserve">The NOPR explains that </w:t>
      </w:r>
      <w:r w:rsidRPr="007B32FA" w:rsidR="007B32FA">
        <w:rPr>
          <w:sz w:val="26"/>
        </w:rPr>
        <w:t>a “combination” approach may entail</w:t>
      </w:r>
      <w:r w:rsidR="00F13463">
        <w:rPr>
          <w:sz w:val="26"/>
        </w:rPr>
        <w:t>, for example:</w:t>
      </w:r>
    </w:p>
    <w:p w:rsidR="00CC48B9" w:rsidP="00715E9C" w:rsidRDefault="00CC48B9" w14:paraId="541C3877" w14:textId="77777777">
      <w:pPr>
        <w:spacing w:before="0" w:line="240" w:lineRule="auto"/>
        <w:rPr>
          <w:sz w:val="26"/>
        </w:rPr>
      </w:pPr>
    </w:p>
    <w:p w:rsidR="0088402D" w:rsidP="0088402D" w:rsidRDefault="00CC48B9" w14:paraId="1AD6417A" w14:textId="77777777">
      <w:pPr>
        <w:pStyle w:val="ListParagraph"/>
        <w:numPr>
          <w:ilvl w:val="0"/>
          <w:numId w:val="25"/>
        </w:numPr>
        <w:spacing w:before="0" w:line="240" w:lineRule="auto"/>
        <w:rPr>
          <w:sz w:val="26"/>
        </w:rPr>
      </w:pPr>
      <w:r>
        <w:rPr>
          <w:sz w:val="26"/>
        </w:rPr>
        <w:t>P</w:t>
      </w:r>
      <w:r w:rsidRPr="00CC48B9" w:rsidR="007B32FA">
        <w:rPr>
          <w:sz w:val="26"/>
        </w:rPr>
        <w:t>roviding a Long-Term Regional Transmission Cost Allocation Method for certain types of Long-Term Regional Transmission Facilities and providing a State Agreement Process for others; or</w:t>
      </w:r>
    </w:p>
    <w:p w:rsidRPr="0088402D" w:rsidR="00966D0A" w:rsidP="0088402D" w:rsidRDefault="00CC48B9" w14:paraId="6A0526D5" w14:textId="5D5ED9CC">
      <w:pPr>
        <w:pStyle w:val="ListParagraph"/>
        <w:numPr>
          <w:ilvl w:val="0"/>
          <w:numId w:val="25"/>
        </w:numPr>
        <w:spacing w:before="0" w:line="240" w:lineRule="auto"/>
        <w:rPr>
          <w:sz w:val="26"/>
        </w:rPr>
      </w:pPr>
      <w:r w:rsidRPr="0088402D">
        <w:rPr>
          <w:sz w:val="26"/>
        </w:rPr>
        <w:t>P</w:t>
      </w:r>
      <w:r w:rsidRPr="0088402D" w:rsidR="007B32FA">
        <w:rPr>
          <w:sz w:val="26"/>
        </w:rPr>
        <w:t>roviding for cost allocation for a Long-Term Regional Transmission Facility, portfolio, or type of such facilities partially based on a Long-Term Regional Transmission Cost Allocation Method and partially based on funding contributions in accordance with a State Agreement Process</w:t>
      </w:r>
      <w:r w:rsidRPr="0088402D" w:rsidR="008C2091">
        <w:rPr>
          <w:sz w:val="26"/>
        </w:rPr>
        <w:t>.</w:t>
      </w:r>
    </w:p>
    <w:p w:rsidR="008C2091" w:rsidP="008C2091" w:rsidRDefault="008C2091" w14:paraId="508D9365" w14:textId="0037A55C">
      <w:pPr>
        <w:spacing w:before="0" w:line="240" w:lineRule="auto"/>
        <w:ind w:left="360"/>
        <w:rPr>
          <w:sz w:val="26"/>
        </w:rPr>
      </w:pPr>
    </w:p>
    <w:p w:rsidR="008C2091" w:rsidP="007A0D3F" w:rsidRDefault="008C2091" w14:paraId="71CF5D69" w14:textId="17581053">
      <w:pPr>
        <w:spacing w:before="0" w:line="240" w:lineRule="auto"/>
        <w:rPr>
          <w:sz w:val="26"/>
        </w:rPr>
      </w:pPr>
      <w:r>
        <w:rPr>
          <w:sz w:val="26"/>
        </w:rPr>
        <w:t>T</w:t>
      </w:r>
      <w:r w:rsidR="00B716F0">
        <w:rPr>
          <w:sz w:val="26"/>
        </w:rPr>
        <w:t>h</w:t>
      </w:r>
      <w:r w:rsidR="00E94DAF">
        <w:rPr>
          <w:sz w:val="26"/>
        </w:rPr>
        <w:t>e</w:t>
      </w:r>
      <w:r w:rsidR="00B716F0">
        <w:rPr>
          <w:sz w:val="26"/>
        </w:rPr>
        <w:t xml:space="preserve"> </w:t>
      </w:r>
      <w:r>
        <w:rPr>
          <w:sz w:val="26"/>
        </w:rPr>
        <w:t>infor</w:t>
      </w:r>
      <w:r w:rsidR="00E94DAF">
        <w:rPr>
          <w:sz w:val="26"/>
        </w:rPr>
        <w:t>ma</w:t>
      </w:r>
      <w:r>
        <w:rPr>
          <w:sz w:val="26"/>
        </w:rPr>
        <w:t xml:space="preserve">tion collection for a combination approach would </w:t>
      </w:r>
      <w:r w:rsidR="00351B25">
        <w:rPr>
          <w:sz w:val="26"/>
        </w:rPr>
        <w:t>inc</w:t>
      </w:r>
      <w:r w:rsidR="007A0D3F">
        <w:rPr>
          <w:sz w:val="26"/>
        </w:rPr>
        <w:t>lu</w:t>
      </w:r>
      <w:r w:rsidR="00351B25">
        <w:rPr>
          <w:sz w:val="26"/>
        </w:rPr>
        <w:t>de both forecasts and actual results.</w:t>
      </w:r>
    </w:p>
    <w:p w:rsidR="00BD576D" w:rsidP="008C2091" w:rsidRDefault="00BD576D" w14:paraId="4D0EDCDB" w14:textId="08F38910">
      <w:pPr>
        <w:spacing w:before="0" w:line="240" w:lineRule="auto"/>
        <w:ind w:left="360"/>
        <w:rPr>
          <w:sz w:val="26"/>
        </w:rPr>
      </w:pPr>
    </w:p>
    <w:p w:rsidR="00BD576D" w:rsidP="00BD576D" w:rsidRDefault="00BD576D" w14:paraId="7C518E60" w14:textId="28770803">
      <w:pPr>
        <w:spacing w:before="0" w:line="240" w:lineRule="auto"/>
        <w:rPr>
          <w:sz w:val="26"/>
        </w:rPr>
      </w:pPr>
      <w:r>
        <w:rPr>
          <w:sz w:val="26"/>
        </w:rPr>
        <w:t xml:space="preserve">This information collection activity would be required during both Year 1 and during the </w:t>
      </w:r>
      <w:r w:rsidRPr="00EE64AB">
        <w:rPr>
          <w:sz w:val="26"/>
        </w:rPr>
        <w:t>updat</w:t>
      </w:r>
      <w:r>
        <w:rPr>
          <w:sz w:val="26"/>
        </w:rPr>
        <w:t xml:space="preserve">ing of </w:t>
      </w:r>
      <w:r w:rsidRPr="00EE64AB">
        <w:rPr>
          <w:sz w:val="26"/>
        </w:rPr>
        <w:t>data inputs and factors at least every three year</w:t>
      </w:r>
      <w:r>
        <w:rPr>
          <w:sz w:val="26"/>
        </w:rPr>
        <w:t>s.  Thus,</w:t>
      </w:r>
      <w:r w:rsidR="00205069">
        <w:rPr>
          <w:sz w:val="26"/>
        </w:rPr>
        <w:t xml:space="preserve"> it </w:t>
      </w:r>
      <w:r>
        <w:rPr>
          <w:sz w:val="26"/>
        </w:rPr>
        <w:t xml:space="preserve">would </w:t>
      </w:r>
      <w:r w:rsidRPr="00EE64AB">
        <w:rPr>
          <w:sz w:val="26"/>
        </w:rPr>
        <w:t>involve both a Year 1 information collection and subsequent information collection</w:t>
      </w:r>
      <w:r>
        <w:rPr>
          <w:sz w:val="26"/>
        </w:rPr>
        <w:t>s</w:t>
      </w:r>
      <w:r w:rsidRPr="00EE64AB">
        <w:rPr>
          <w:sz w:val="26"/>
        </w:rPr>
        <w:t>.</w:t>
      </w:r>
    </w:p>
    <w:p w:rsidR="00BD576D" w:rsidP="008C2091" w:rsidRDefault="00BD576D" w14:paraId="01DDD886" w14:textId="5FCFECCA">
      <w:pPr>
        <w:spacing w:before="0" w:line="240" w:lineRule="auto"/>
        <w:ind w:left="360"/>
        <w:rPr>
          <w:sz w:val="26"/>
        </w:rPr>
      </w:pPr>
    </w:p>
    <w:p w:rsidR="005B0AE3" w:rsidP="000B6662" w:rsidRDefault="005C6BEA" w14:paraId="49BD4387" w14:textId="2F99C3E9">
      <w:pPr>
        <w:spacing w:before="0" w:line="240" w:lineRule="auto"/>
        <w:rPr>
          <w:sz w:val="26"/>
        </w:rPr>
      </w:pPr>
      <w:r>
        <w:rPr>
          <w:i/>
          <w:iCs/>
          <w:sz w:val="26"/>
        </w:rPr>
        <w:t>Consider</w:t>
      </w:r>
      <w:r w:rsidR="005758D0">
        <w:rPr>
          <w:i/>
          <w:iCs/>
          <w:sz w:val="26"/>
        </w:rPr>
        <w:t xml:space="preserve"> </w:t>
      </w:r>
      <w:r w:rsidR="00F51367">
        <w:rPr>
          <w:i/>
          <w:iCs/>
          <w:sz w:val="26"/>
        </w:rPr>
        <w:t xml:space="preserve">in the Regional Transmission Planning Processes </w:t>
      </w:r>
      <w:r w:rsidR="005758D0">
        <w:rPr>
          <w:i/>
          <w:iCs/>
          <w:sz w:val="26"/>
        </w:rPr>
        <w:t>R</w:t>
      </w:r>
      <w:r w:rsidRPr="005C6BEA">
        <w:rPr>
          <w:i/>
          <w:iCs/>
          <w:sz w:val="26"/>
        </w:rPr>
        <w:t>egional</w:t>
      </w:r>
      <w:r w:rsidR="00213260">
        <w:rPr>
          <w:i/>
          <w:iCs/>
          <w:sz w:val="26"/>
        </w:rPr>
        <w:t xml:space="preserve"> T</w:t>
      </w:r>
      <w:r w:rsidRPr="005C6BEA">
        <w:rPr>
          <w:i/>
          <w:iCs/>
          <w:sz w:val="26"/>
        </w:rPr>
        <w:t>ransmission</w:t>
      </w:r>
      <w:r w:rsidR="00213260">
        <w:rPr>
          <w:i/>
          <w:iCs/>
          <w:sz w:val="26"/>
        </w:rPr>
        <w:t xml:space="preserve"> F</w:t>
      </w:r>
      <w:r w:rsidRPr="005C6BEA">
        <w:rPr>
          <w:i/>
          <w:iCs/>
          <w:sz w:val="26"/>
        </w:rPr>
        <w:t>acilities that</w:t>
      </w:r>
      <w:r w:rsidR="00FC4AE7">
        <w:rPr>
          <w:i/>
          <w:iCs/>
          <w:sz w:val="26"/>
        </w:rPr>
        <w:t xml:space="preserve"> </w:t>
      </w:r>
      <w:r w:rsidR="00213260">
        <w:rPr>
          <w:i/>
          <w:iCs/>
          <w:sz w:val="26"/>
        </w:rPr>
        <w:t>A</w:t>
      </w:r>
      <w:r w:rsidRPr="005C6BEA">
        <w:rPr>
          <w:i/>
          <w:iCs/>
          <w:sz w:val="26"/>
        </w:rPr>
        <w:t xml:space="preserve">ddress </w:t>
      </w:r>
      <w:r w:rsidR="00FC4AE7">
        <w:rPr>
          <w:i/>
          <w:iCs/>
          <w:sz w:val="26"/>
        </w:rPr>
        <w:t>I</w:t>
      </w:r>
      <w:r w:rsidRPr="005C6BEA">
        <w:rPr>
          <w:i/>
          <w:iCs/>
          <w:sz w:val="26"/>
        </w:rPr>
        <w:t xml:space="preserve">nterconnection-related </w:t>
      </w:r>
      <w:r w:rsidR="00FC4AE7">
        <w:rPr>
          <w:i/>
          <w:iCs/>
          <w:sz w:val="26"/>
        </w:rPr>
        <w:t>N</w:t>
      </w:r>
      <w:r w:rsidRPr="005C6BEA">
        <w:rPr>
          <w:i/>
          <w:iCs/>
          <w:sz w:val="26"/>
        </w:rPr>
        <w:t>eeds</w:t>
      </w:r>
    </w:p>
    <w:p w:rsidR="00FC4AE7" w:rsidP="000B6662" w:rsidRDefault="00FC4AE7" w14:paraId="14CBCBFB" w14:textId="056E5BDF">
      <w:pPr>
        <w:spacing w:before="0" w:line="240" w:lineRule="auto"/>
        <w:rPr>
          <w:sz w:val="26"/>
        </w:rPr>
      </w:pPr>
    </w:p>
    <w:p w:rsidR="006404A2" w:rsidP="009F3990" w:rsidRDefault="009F3990" w14:paraId="642C414D" w14:textId="4EBFBDBE">
      <w:pPr>
        <w:spacing w:before="0" w:line="240" w:lineRule="auto"/>
        <w:rPr>
          <w:bCs/>
          <w:sz w:val="26"/>
        </w:rPr>
      </w:pPr>
      <w:r>
        <w:rPr>
          <w:sz w:val="26"/>
        </w:rPr>
        <w:t>In the NOPR, the Commission states that</w:t>
      </w:r>
      <w:r w:rsidR="00EC083C">
        <w:rPr>
          <w:sz w:val="26"/>
        </w:rPr>
        <w:t xml:space="preserve">, at present, </w:t>
      </w:r>
      <w:r w:rsidR="00931A7C">
        <w:rPr>
          <w:bCs/>
          <w:sz w:val="26"/>
        </w:rPr>
        <w:t xml:space="preserve">transmission needs </w:t>
      </w:r>
      <w:r w:rsidR="00EC083C">
        <w:rPr>
          <w:bCs/>
          <w:sz w:val="26"/>
        </w:rPr>
        <w:t>seem to be determined o</w:t>
      </w:r>
      <w:r w:rsidRPr="009F3990">
        <w:rPr>
          <w:bCs/>
          <w:sz w:val="26"/>
        </w:rPr>
        <w:t>utside regional transmission planning and cost allocation processes</w:t>
      </w:r>
      <w:r w:rsidR="008A0A56">
        <w:rPr>
          <w:bCs/>
          <w:sz w:val="26"/>
        </w:rPr>
        <w:t xml:space="preserve">, </w:t>
      </w:r>
      <w:r w:rsidR="00554FAB">
        <w:rPr>
          <w:bCs/>
          <w:sz w:val="26"/>
        </w:rPr>
        <w:t xml:space="preserve">and </w:t>
      </w:r>
      <w:r w:rsidR="008A0A56">
        <w:rPr>
          <w:bCs/>
          <w:sz w:val="26"/>
        </w:rPr>
        <w:t>instead</w:t>
      </w:r>
      <w:r w:rsidR="00554FAB">
        <w:rPr>
          <w:bCs/>
          <w:sz w:val="26"/>
        </w:rPr>
        <w:t xml:space="preserve"> </w:t>
      </w:r>
      <w:r w:rsidR="006404A2">
        <w:rPr>
          <w:bCs/>
          <w:sz w:val="26"/>
        </w:rPr>
        <w:t>are b</w:t>
      </w:r>
      <w:r w:rsidR="00EB547C">
        <w:rPr>
          <w:bCs/>
          <w:sz w:val="26"/>
        </w:rPr>
        <w:t xml:space="preserve">eing </w:t>
      </w:r>
      <w:r w:rsidRPr="009F3990">
        <w:rPr>
          <w:bCs/>
          <w:sz w:val="26"/>
        </w:rPr>
        <w:t xml:space="preserve">constructed as a result of </w:t>
      </w:r>
      <w:r w:rsidR="00F82E9E">
        <w:rPr>
          <w:bCs/>
          <w:sz w:val="26"/>
        </w:rPr>
        <w:t xml:space="preserve">incremental </w:t>
      </w:r>
      <w:r w:rsidRPr="009F3990">
        <w:rPr>
          <w:bCs/>
          <w:sz w:val="26"/>
        </w:rPr>
        <w:t>generator interconnection requests</w:t>
      </w:r>
      <w:r w:rsidR="00EB547C">
        <w:rPr>
          <w:bCs/>
          <w:sz w:val="26"/>
        </w:rPr>
        <w:t>.</w:t>
      </w:r>
      <w:r w:rsidR="00F82E9E">
        <w:rPr>
          <w:bCs/>
          <w:sz w:val="26"/>
        </w:rPr>
        <w:t xml:space="preserve">  </w:t>
      </w:r>
      <w:r w:rsidR="0096613B">
        <w:rPr>
          <w:bCs/>
          <w:sz w:val="26"/>
        </w:rPr>
        <w:t>T</w:t>
      </w:r>
      <w:r w:rsidRPr="00B12985" w:rsidR="00B12985">
        <w:rPr>
          <w:bCs/>
          <w:sz w:val="26"/>
        </w:rPr>
        <w:t>he generator interconnection process is not designed to consider how to more efficiently or cost-effectively address transmission needs beyond the interconnection request(s) being studied</w:t>
      </w:r>
      <w:r w:rsidR="00F96E01">
        <w:rPr>
          <w:bCs/>
          <w:sz w:val="26"/>
        </w:rPr>
        <w:t xml:space="preserve">.  In contrast, </w:t>
      </w:r>
      <w:r w:rsidR="00190129">
        <w:rPr>
          <w:sz w:val="26"/>
        </w:rPr>
        <w:t xml:space="preserve">Long-Term Regional Transmission Planning </w:t>
      </w:r>
      <w:r w:rsidR="00B473EF">
        <w:rPr>
          <w:bCs/>
          <w:sz w:val="26"/>
        </w:rPr>
        <w:t xml:space="preserve">can </w:t>
      </w:r>
      <w:r w:rsidR="00221D52">
        <w:rPr>
          <w:bCs/>
          <w:sz w:val="26"/>
        </w:rPr>
        <w:t xml:space="preserve">facilitate </w:t>
      </w:r>
      <w:r w:rsidR="00FC4AF3">
        <w:rPr>
          <w:bCs/>
          <w:sz w:val="26"/>
        </w:rPr>
        <w:t xml:space="preserve">development of </w:t>
      </w:r>
      <w:r w:rsidRPr="00B12985" w:rsidR="00B12985">
        <w:rPr>
          <w:bCs/>
          <w:sz w:val="26"/>
        </w:rPr>
        <w:t>more efficient or cost-effective transmission facilities to solve transmission needs driven by changes in the resource mix and demand, as well as</w:t>
      </w:r>
      <w:r w:rsidR="00FC4AF3">
        <w:rPr>
          <w:bCs/>
          <w:sz w:val="26"/>
        </w:rPr>
        <w:t xml:space="preserve"> provide for</w:t>
      </w:r>
      <w:r w:rsidRPr="00B12985" w:rsidR="00B12985">
        <w:rPr>
          <w:bCs/>
          <w:sz w:val="26"/>
        </w:rPr>
        <w:t xml:space="preserve"> system-wide benefits that may not be achieved through piecemeal, one-off transmission upgrades.</w:t>
      </w:r>
    </w:p>
    <w:p w:rsidR="006404A2" w:rsidP="009F3990" w:rsidRDefault="006404A2" w14:paraId="66643B7A" w14:textId="77777777">
      <w:pPr>
        <w:spacing w:before="0" w:line="240" w:lineRule="auto"/>
        <w:rPr>
          <w:bCs/>
          <w:sz w:val="26"/>
        </w:rPr>
      </w:pPr>
    </w:p>
    <w:p w:rsidR="00CE33EC" w:rsidP="009B07F9" w:rsidRDefault="006404A2" w14:paraId="74524296" w14:textId="0C3EC730">
      <w:pPr>
        <w:spacing w:before="0" w:line="240" w:lineRule="auto"/>
        <w:rPr>
          <w:bCs/>
          <w:sz w:val="26"/>
        </w:rPr>
      </w:pPr>
      <w:r>
        <w:rPr>
          <w:bCs/>
          <w:sz w:val="26"/>
        </w:rPr>
        <w:t xml:space="preserve">The information collection </w:t>
      </w:r>
      <w:r w:rsidR="000157B8">
        <w:rPr>
          <w:bCs/>
          <w:sz w:val="26"/>
        </w:rPr>
        <w:t xml:space="preserve">activity associated with this provision consists of </w:t>
      </w:r>
      <w:r w:rsidR="00C65139">
        <w:rPr>
          <w:bCs/>
          <w:sz w:val="26"/>
        </w:rPr>
        <w:t xml:space="preserve">including in </w:t>
      </w:r>
      <w:r w:rsidR="00190129">
        <w:rPr>
          <w:sz w:val="26"/>
        </w:rPr>
        <w:t xml:space="preserve">Long-Term Regional Transmission Planning </w:t>
      </w:r>
      <w:r w:rsidR="00594E10">
        <w:rPr>
          <w:bCs/>
          <w:sz w:val="26"/>
        </w:rPr>
        <w:t xml:space="preserve">all of the criteria required in connection with a finding of a need for </w:t>
      </w:r>
      <w:r w:rsidR="009B07F9">
        <w:rPr>
          <w:bCs/>
          <w:sz w:val="26"/>
        </w:rPr>
        <w:t xml:space="preserve">one or more </w:t>
      </w:r>
      <w:r w:rsidR="00190129">
        <w:rPr>
          <w:bCs/>
          <w:sz w:val="26"/>
        </w:rPr>
        <w:t>regional transmission</w:t>
      </w:r>
      <w:r w:rsidR="009B07F9">
        <w:rPr>
          <w:bCs/>
          <w:sz w:val="26"/>
        </w:rPr>
        <w:t xml:space="preserve"> facilities</w:t>
      </w:r>
      <w:r w:rsidR="00190129">
        <w:rPr>
          <w:bCs/>
          <w:sz w:val="26"/>
        </w:rPr>
        <w:t xml:space="preserve"> to serve an interconnection-related need.</w:t>
      </w:r>
    </w:p>
    <w:p w:rsidRPr="009C037C" w:rsidR="00D53B9C" w:rsidRDefault="00D53B9C" w14:paraId="235E84D7" w14:textId="7DA4A027">
      <w:pPr>
        <w:widowControl/>
        <w:autoSpaceDE/>
        <w:autoSpaceDN/>
        <w:adjustRightInd/>
        <w:spacing w:before="0" w:line="240" w:lineRule="auto"/>
        <w:rPr>
          <w:sz w:val="26"/>
        </w:rPr>
      </w:pPr>
    </w:p>
    <w:p w:rsidR="00963E87" w:rsidP="00963E87" w:rsidRDefault="00963E87" w14:paraId="3048E682" w14:textId="77777777">
      <w:pPr>
        <w:spacing w:before="0" w:line="240" w:lineRule="auto"/>
        <w:rPr>
          <w:sz w:val="26"/>
        </w:rPr>
      </w:pPr>
      <w:r>
        <w:rPr>
          <w:sz w:val="26"/>
        </w:rPr>
        <w:t>This information collection activity would be required in Year 1 only.</w:t>
      </w:r>
    </w:p>
    <w:p w:rsidR="00963E87" w:rsidRDefault="00963E87" w14:paraId="4EF536EC" w14:textId="77777777">
      <w:pPr>
        <w:widowControl/>
        <w:autoSpaceDE/>
        <w:autoSpaceDN/>
        <w:adjustRightInd/>
        <w:spacing w:before="0" w:line="240" w:lineRule="auto"/>
        <w:rPr>
          <w:i/>
          <w:iCs/>
          <w:sz w:val="26"/>
        </w:rPr>
      </w:pPr>
    </w:p>
    <w:p w:rsidR="00375877" w:rsidP="009B07F9" w:rsidRDefault="008B2E35" w14:paraId="43764187" w14:textId="7C1AE007">
      <w:pPr>
        <w:spacing w:before="0" w:line="240" w:lineRule="auto"/>
        <w:rPr>
          <w:sz w:val="26"/>
        </w:rPr>
      </w:pPr>
      <w:r w:rsidRPr="008B2E35">
        <w:rPr>
          <w:i/>
          <w:iCs/>
          <w:sz w:val="26"/>
        </w:rPr>
        <w:t xml:space="preserve">Revise </w:t>
      </w:r>
      <w:r>
        <w:rPr>
          <w:i/>
          <w:iCs/>
          <w:sz w:val="26"/>
        </w:rPr>
        <w:t>I</w:t>
      </w:r>
      <w:r w:rsidRPr="008B2E35">
        <w:rPr>
          <w:i/>
          <w:iCs/>
          <w:sz w:val="26"/>
        </w:rPr>
        <w:t xml:space="preserve">nterregional </w:t>
      </w:r>
      <w:r>
        <w:rPr>
          <w:i/>
          <w:iCs/>
          <w:sz w:val="26"/>
        </w:rPr>
        <w:t>T</w:t>
      </w:r>
      <w:r w:rsidRPr="008B2E35">
        <w:rPr>
          <w:i/>
          <w:iCs/>
          <w:sz w:val="26"/>
        </w:rPr>
        <w:t xml:space="preserve">ransmission </w:t>
      </w:r>
      <w:r>
        <w:rPr>
          <w:i/>
          <w:iCs/>
          <w:sz w:val="26"/>
        </w:rPr>
        <w:t>C</w:t>
      </w:r>
      <w:r w:rsidRPr="008B2E35">
        <w:rPr>
          <w:i/>
          <w:iCs/>
          <w:sz w:val="26"/>
        </w:rPr>
        <w:t xml:space="preserve">oordination </w:t>
      </w:r>
      <w:r>
        <w:rPr>
          <w:i/>
          <w:iCs/>
          <w:sz w:val="26"/>
        </w:rPr>
        <w:t>P</w:t>
      </w:r>
      <w:r w:rsidRPr="008B2E35">
        <w:rPr>
          <w:i/>
          <w:iCs/>
          <w:sz w:val="26"/>
        </w:rPr>
        <w:t xml:space="preserve">rocedures to </w:t>
      </w:r>
      <w:r>
        <w:rPr>
          <w:i/>
          <w:iCs/>
          <w:sz w:val="26"/>
        </w:rPr>
        <w:t>R</w:t>
      </w:r>
      <w:r w:rsidRPr="008B2E35">
        <w:rPr>
          <w:i/>
          <w:iCs/>
          <w:sz w:val="26"/>
        </w:rPr>
        <w:t>eflect Long-Term Regional Transmission Planning</w:t>
      </w:r>
    </w:p>
    <w:p w:rsidR="00D53B9C" w:rsidP="009B07F9" w:rsidRDefault="00D53B9C" w14:paraId="2E116807" w14:textId="6CD09534">
      <w:pPr>
        <w:spacing w:before="0" w:line="240" w:lineRule="auto"/>
        <w:rPr>
          <w:sz w:val="26"/>
        </w:rPr>
      </w:pPr>
    </w:p>
    <w:p w:rsidR="00D53B9C" w:rsidP="009B07F9" w:rsidRDefault="007F7398" w14:paraId="18F8E2BB" w14:textId="3CD5D7DC">
      <w:pPr>
        <w:spacing w:before="0" w:line="240" w:lineRule="auto"/>
        <w:rPr>
          <w:sz w:val="26"/>
        </w:rPr>
      </w:pPr>
      <w:r>
        <w:rPr>
          <w:sz w:val="26"/>
        </w:rPr>
        <w:t xml:space="preserve">The reforms proposed in this NOPR would require </w:t>
      </w:r>
      <w:r w:rsidR="00D50A5E">
        <w:rPr>
          <w:sz w:val="26"/>
        </w:rPr>
        <w:t>t</w:t>
      </w:r>
      <w:r w:rsidRPr="00D50A5E" w:rsidR="00D50A5E">
        <w:rPr>
          <w:sz w:val="26"/>
        </w:rPr>
        <w:t xml:space="preserve">ransmission </w:t>
      </w:r>
      <w:r w:rsidR="00D50A5E">
        <w:rPr>
          <w:sz w:val="26"/>
        </w:rPr>
        <w:t>p</w:t>
      </w:r>
      <w:r w:rsidRPr="00D50A5E" w:rsidR="00D50A5E">
        <w:rPr>
          <w:sz w:val="26"/>
        </w:rPr>
        <w:t>rovider</w:t>
      </w:r>
      <w:r>
        <w:rPr>
          <w:sz w:val="26"/>
        </w:rPr>
        <w:t>s</w:t>
      </w:r>
      <w:r w:rsidRPr="00D50A5E" w:rsidR="00D50A5E">
        <w:rPr>
          <w:sz w:val="26"/>
        </w:rPr>
        <w:t xml:space="preserve">, through </w:t>
      </w:r>
      <w:r>
        <w:rPr>
          <w:sz w:val="26"/>
        </w:rPr>
        <w:t>their</w:t>
      </w:r>
      <w:r w:rsidRPr="00D50A5E" w:rsidR="00D50A5E">
        <w:rPr>
          <w:sz w:val="26"/>
        </w:rPr>
        <w:t xml:space="preserve"> regional transmission planning process,</w:t>
      </w:r>
      <w:r w:rsidR="009B7027">
        <w:rPr>
          <w:sz w:val="26"/>
        </w:rPr>
        <w:t xml:space="preserve"> to </w:t>
      </w:r>
      <w:r w:rsidRPr="00D50A5E" w:rsidR="00D50A5E">
        <w:rPr>
          <w:sz w:val="26"/>
        </w:rPr>
        <w:t xml:space="preserve">coordinate with the transmission providers in each neighboring transmission planning region within its interconnection to address transmission planning coordination issues related to interregional transmission facilities.  </w:t>
      </w:r>
      <w:r>
        <w:rPr>
          <w:sz w:val="26"/>
        </w:rPr>
        <w:t xml:space="preserve">The reforms proposed in this NOPR would require </w:t>
      </w:r>
      <w:r w:rsidRPr="00882C3A" w:rsidR="00D50A5E">
        <w:rPr>
          <w:sz w:val="26"/>
        </w:rPr>
        <w:t xml:space="preserve">transmission providers </w:t>
      </w:r>
      <w:r>
        <w:rPr>
          <w:sz w:val="26"/>
        </w:rPr>
        <w:t xml:space="preserve">to </w:t>
      </w:r>
      <w:r w:rsidRPr="00882C3A" w:rsidR="00D50A5E">
        <w:rPr>
          <w:sz w:val="26"/>
        </w:rPr>
        <w:t xml:space="preserve">(i) </w:t>
      </w:r>
      <w:r>
        <w:rPr>
          <w:sz w:val="26"/>
        </w:rPr>
        <w:t xml:space="preserve">share information with the transmission providers in each neighboring transmission planning region about </w:t>
      </w:r>
      <w:r w:rsidR="006D2A65">
        <w:rPr>
          <w:sz w:val="26"/>
        </w:rPr>
        <w:t xml:space="preserve">the region’s transmission needs identified through Long-Term Regional Transmission Planning and </w:t>
      </w:r>
      <w:r w:rsidRPr="00882C3A" w:rsidR="00D50A5E">
        <w:rPr>
          <w:sz w:val="26"/>
        </w:rPr>
        <w:t xml:space="preserve">each interregional transmission facility that is proposed to be located in both transmission planning regions and (ii) to identify </w:t>
      </w:r>
      <w:r>
        <w:rPr>
          <w:sz w:val="26"/>
        </w:rPr>
        <w:t xml:space="preserve">and jointly evaluate </w:t>
      </w:r>
      <w:r w:rsidRPr="00882C3A" w:rsidR="00D50A5E">
        <w:rPr>
          <w:sz w:val="26"/>
        </w:rPr>
        <w:t>possible interregional transmission facilities that could address</w:t>
      </w:r>
      <w:r>
        <w:rPr>
          <w:sz w:val="26"/>
        </w:rPr>
        <w:t xml:space="preserve"> each region’s</w:t>
      </w:r>
      <w:r w:rsidRPr="00882C3A" w:rsidR="00D50A5E">
        <w:rPr>
          <w:sz w:val="26"/>
        </w:rPr>
        <w:t xml:space="preserve"> transmission needs </w:t>
      </w:r>
      <w:r w:rsidR="006D2A65">
        <w:rPr>
          <w:sz w:val="26"/>
        </w:rPr>
        <w:t xml:space="preserve">identified through Long-Term Regional Transmission Planning </w:t>
      </w:r>
      <w:r w:rsidRPr="00882C3A" w:rsidR="00D50A5E">
        <w:rPr>
          <w:sz w:val="26"/>
        </w:rPr>
        <w:t xml:space="preserve">more efficiently or cost-effectively than separate regional transmission facilities.  The interregional transmission coordination procedures shall be described in an attachment to the </w:t>
      </w:r>
      <w:r w:rsidR="0085372E">
        <w:rPr>
          <w:sz w:val="26"/>
        </w:rPr>
        <w:t>t</w:t>
      </w:r>
      <w:r w:rsidRPr="00882C3A" w:rsidR="00D50A5E">
        <w:rPr>
          <w:sz w:val="26"/>
        </w:rPr>
        <w:t xml:space="preserve">ransmission </w:t>
      </w:r>
      <w:r w:rsidR="0085372E">
        <w:rPr>
          <w:sz w:val="26"/>
        </w:rPr>
        <w:t>p</w:t>
      </w:r>
      <w:r w:rsidRPr="00882C3A" w:rsidR="00D50A5E">
        <w:rPr>
          <w:sz w:val="26"/>
        </w:rPr>
        <w:t xml:space="preserve">rovider’s </w:t>
      </w:r>
      <w:r w:rsidR="0085372E">
        <w:rPr>
          <w:sz w:val="26"/>
        </w:rPr>
        <w:t>t</w:t>
      </w:r>
      <w:r w:rsidRPr="00882C3A" w:rsidR="00D50A5E">
        <w:rPr>
          <w:sz w:val="26"/>
        </w:rPr>
        <w:t>ariff.</w:t>
      </w:r>
    </w:p>
    <w:p w:rsidR="00BC57A9" w:rsidP="009B07F9" w:rsidRDefault="00BC57A9" w14:paraId="565CC937" w14:textId="3DA9B30C">
      <w:pPr>
        <w:spacing w:before="0" w:line="240" w:lineRule="auto"/>
        <w:rPr>
          <w:sz w:val="26"/>
        </w:rPr>
      </w:pPr>
    </w:p>
    <w:p w:rsidR="00BC57A9" w:rsidP="009B07F9" w:rsidRDefault="00BC57A9" w14:paraId="3246A987" w14:textId="7F02A226">
      <w:pPr>
        <w:spacing w:before="0" w:line="240" w:lineRule="auto"/>
        <w:rPr>
          <w:sz w:val="26"/>
        </w:rPr>
      </w:pPr>
      <w:r>
        <w:rPr>
          <w:sz w:val="26"/>
        </w:rPr>
        <w:t xml:space="preserve">This information collection activity would </w:t>
      </w:r>
      <w:r w:rsidR="0085077A">
        <w:rPr>
          <w:sz w:val="26"/>
        </w:rPr>
        <w:t xml:space="preserve">be required </w:t>
      </w:r>
      <w:r w:rsidR="007F7398">
        <w:rPr>
          <w:sz w:val="26"/>
        </w:rPr>
        <w:t>during both</w:t>
      </w:r>
      <w:r>
        <w:rPr>
          <w:sz w:val="26"/>
        </w:rPr>
        <w:t xml:space="preserve"> Year 1 </w:t>
      </w:r>
      <w:r w:rsidR="007F7398">
        <w:rPr>
          <w:sz w:val="26"/>
        </w:rPr>
        <w:t xml:space="preserve">and during the </w:t>
      </w:r>
      <w:r w:rsidR="006D2A65">
        <w:rPr>
          <w:sz w:val="26"/>
        </w:rPr>
        <w:t>sharing of information and evaluation of possible interregional transmission facilities at least every three years</w:t>
      </w:r>
      <w:r w:rsidR="0016126D">
        <w:rPr>
          <w:sz w:val="26"/>
        </w:rPr>
        <w:t>.</w:t>
      </w:r>
      <w:r w:rsidR="007F7398">
        <w:rPr>
          <w:sz w:val="26"/>
        </w:rPr>
        <w:t xml:space="preserve">  Thus, it would involve both a Year 1 information collection and subsequent information collections.</w:t>
      </w:r>
    </w:p>
    <w:p w:rsidR="007077E5" w:rsidP="009B07F9" w:rsidRDefault="007077E5" w14:paraId="7FAF4BE6" w14:textId="1C376E18">
      <w:pPr>
        <w:spacing w:before="0" w:line="240" w:lineRule="auto"/>
        <w:rPr>
          <w:sz w:val="26"/>
        </w:rPr>
      </w:pPr>
    </w:p>
    <w:p w:rsidR="007077E5" w:rsidP="009B07F9" w:rsidRDefault="00E31E34" w14:paraId="158752E8" w14:textId="2339E633">
      <w:pPr>
        <w:spacing w:before="0" w:line="240" w:lineRule="auto"/>
        <w:rPr>
          <w:sz w:val="26"/>
        </w:rPr>
      </w:pPr>
      <w:r>
        <w:rPr>
          <w:sz w:val="26"/>
          <w:u w:val="single"/>
        </w:rPr>
        <w:t xml:space="preserve">Information Collection:  Revision Proposed in </w:t>
      </w:r>
      <w:r w:rsidR="007077E5">
        <w:rPr>
          <w:sz w:val="26"/>
          <w:u w:val="single"/>
        </w:rPr>
        <w:t xml:space="preserve">the </w:t>
      </w:r>
      <w:r w:rsidRPr="00BC57A9" w:rsidR="007077E5">
        <w:rPr>
          <w:i/>
          <w:iCs/>
          <w:sz w:val="26"/>
          <w:u w:val="single"/>
        </w:rPr>
        <w:t>Pro Forma</w:t>
      </w:r>
      <w:r w:rsidR="007077E5">
        <w:rPr>
          <w:sz w:val="26"/>
          <w:u w:val="single"/>
        </w:rPr>
        <w:t xml:space="preserve"> </w:t>
      </w:r>
      <w:r w:rsidR="00BC57A9">
        <w:rPr>
          <w:sz w:val="26"/>
          <w:u w:val="single"/>
        </w:rPr>
        <w:t>LGIP</w:t>
      </w:r>
    </w:p>
    <w:p w:rsidR="0085372E" w:rsidP="009B07F9" w:rsidRDefault="0085372E" w14:paraId="593F9322" w14:textId="7C22B5A3">
      <w:pPr>
        <w:spacing w:before="0" w:line="240" w:lineRule="auto"/>
        <w:rPr>
          <w:sz w:val="26"/>
        </w:rPr>
      </w:pPr>
    </w:p>
    <w:p w:rsidR="0085372E" w:rsidP="009B07F9" w:rsidRDefault="009C5AE9" w14:paraId="5A9F1C5C" w14:textId="39C7ED56">
      <w:pPr>
        <w:spacing w:before="0" w:line="240" w:lineRule="auto"/>
        <w:rPr>
          <w:sz w:val="26"/>
        </w:rPr>
      </w:pPr>
      <w:r w:rsidRPr="009C5AE9">
        <w:rPr>
          <w:i/>
          <w:iCs/>
          <w:sz w:val="26"/>
        </w:rPr>
        <w:t xml:space="preserve">Revise LGIP to </w:t>
      </w:r>
      <w:r>
        <w:rPr>
          <w:i/>
          <w:iCs/>
          <w:sz w:val="26"/>
        </w:rPr>
        <w:t>I</w:t>
      </w:r>
      <w:r w:rsidRPr="009C5AE9">
        <w:rPr>
          <w:i/>
          <w:iCs/>
          <w:sz w:val="26"/>
        </w:rPr>
        <w:t xml:space="preserve">ndicate the </w:t>
      </w:r>
      <w:r>
        <w:rPr>
          <w:i/>
          <w:iCs/>
          <w:sz w:val="26"/>
        </w:rPr>
        <w:t>C</w:t>
      </w:r>
      <w:r w:rsidRPr="009C5AE9">
        <w:rPr>
          <w:i/>
          <w:iCs/>
          <w:sz w:val="26"/>
        </w:rPr>
        <w:t xml:space="preserve">onsideration in the </w:t>
      </w:r>
      <w:r w:rsidR="009C7B7A">
        <w:rPr>
          <w:i/>
          <w:iCs/>
          <w:sz w:val="26"/>
        </w:rPr>
        <w:t>R</w:t>
      </w:r>
      <w:r w:rsidRPr="009C5AE9">
        <w:rPr>
          <w:i/>
          <w:iCs/>
          <w:sz w:val="26"/>
        </w:rPr>
        <w:t xml:space="preserve">egional </w:t>
      </w:r>
      <w:r w:rsidR="009C7B7A">
        <w:rPr>
          <w:i/>
          <w:iCs/>
          <w:sz w:val="26"/>
        </w:rPr>
        <w:t>T</w:t>
      </w:r>
      <w:r w:rsidRPr="009C5AE9">
        <w:rPr>
          <w:i/>
          <w:iCs/>
          <w:sz w:val="26"/>
        </w:rPr>
        <w:t xml:space="preserve">ransmission </w:t>
      </w:r>
      <w:r w:rsidR="009C7B7A">
        <w:rPr>
          <w:i/>
          <w:iCs/>
          <w:sz w:val="26"/>
        </w:rPr>
        <w:t>P</w:t>
      </w:r>
      <w:r w:rsidRPr="009C5AE9">
        <w:rPr>
          <w:i/>
          <w:iCs/>
          <w:sz w:val="26"/>
        </w:rPr>
        <w:t xml:space="preserve">lanning </w:t>
      </w:r>
      <w:r w:rsidR="009C7B7A">
        <w:rPr>
          <w:i/>
          <w:iCs/>
          <w:sz w:val="26"/>
        </w:rPr>
        <w:t>P</w:t>
      </w:r>
      <w:r w:rsidRPr="009C5AE9">
        <w:rPr>
          <w:i/>
          <w:iCs/>
          <w:sz w:val="26"/>
        </w:rPr>
        <w:t xml:space="preserve">rocesses of </w:t>
      </w:r>
      <w:r w:rsidR="009C7B7A">
        <w:rPr>
          <w:i/>
          <w:iCs/>
          <w:sz w:val="26"/>
        </w:rPr>
        <w:t>R</w:t>
      </w:r>
      <w:r w:rsidRPr="009C5AE9">
        <w:rPr>
          <w:i/>
          <w:iCs/>
          <w:sz w:val="26"/>
        </w:rPr>
        <w:t xml:space="preserve">egional </w:t>
      </w:r>
      <w:r w:rsidR="009C7B7A">
        <w:rPr>
          <w:i/>
          <w:iCs/>
          <w:sz w:val="26"/>
        </w:rPr>
        <w:t>T</w:t>
      </w:r>
      <w:r w:rsidR="00E951F7">
        <w:rPr>
          <w:i/>
          <w:iCs/>
          <w:sz w:val="26"/>
        </w:rPr>
        <w:t>ransmission F</w:t>
      </w:r>
      <w:r w:rsidRPr="009C5AE9">
        <w:rPr>
          <w:i/>
          <w:iCs/>
          <w:sz w:val="26"/>
        </w:rPr>
        <w:t xml:space="preserve">acilities that </w:t>
      </w:r>
      <w:r w:rsidR="00E951F7">
        <w:rPr>
          <w:i/>
          <w:iCs/>
          <w:sz w:val="26"/>
        </w:rPr>
        <w:t>A</w:t>
      </w:r>
      <w:r w:rsidRPr="009C5AE9">
        <w:rPr>
          <w:i/>
          <w:iCs/>
          <w:sz w:val="26"/>
        </w:rPr>
        <w:t xml:space="preserve">ddress </w:t>
      </w:r>
      <w:r w:rsidR="00E951F7">
        <w:rPr>
          <w:i/>
          <w:iCs/>
          <w:sz w:val="26"/>
        </w:rPr>
        <w:t>C</w:t>
      </w:r>
      <w:r w:rsidRPr="009C5AE9">
        <w:rPr>
          <w:i/>
          <w:iCs/>
          <w:sz w:val="26"/>
        </w:rPr>
        <w:t xml:space="preserve">ertain </w:t>
      </w:r>
      <w:r w:rsidR="00E951F7">
        <w:rPr>
          <w:i/>
          <w:iCs/>
          <w:sz w:val="26"/>
        </w:rPr>
        <w:t>I</w:t>
      </w:r>
      <w:r w:rsidRPr="009C5AE9">
        <w:rPr>
          <w:i/>
          <w:iCs/>
          <w:sz w:val="26"/>
        </w:rPr>
        <w:t>nterconnection-</w:t>
      </w:r>
      <w:r w:rsidR="00E951F7">
        <w:rPr>
          <w:i/>
          <w:iCs/>
          <w:sz w:val="26"/>
        </w:rPr>
        <w:t>R</w:t>
      </w:r>
      <w:r w:rsidRPr="009C5AE9">
        <w:rPr>
          <w:i/>
          <w:iCs/>
          <w:sz w:val="26"/>
        </w:rPr>
        <w:t xml:space="preserve">elated </w:t>
      </w:r>
      <w:r w:rsidR="00E951F7">
        <w:rPr>
          <w:i/>
          <w:iCs/>
          <w:sz w:val="26"/>
        </w:rPr>
        <w:t>N</w:t>
      </w:r>
      <w:r w:rsidRPr="009C5AE9">
        <w:rPr>
          <w:i/>
          <w:iCs/>
          <w:sz w:val="26"/>
        </w:rPr>
        <w:t>eeds</w:t>
      </w:r>
    </w:p>
    <w:p w:rsidR="0016126D" w:rsidP="009B07F9" w:rsidRDefault="0016126D" w14:paraId="45E8DB7A" w14:textId="77BF609B">
      <w:pPr>
        <w:spacing w:before="0" w:line="240" w:lineRule="auto"/>
        <w:rPr>
          <w:sz w:val="26"/>
        </w:rPr>
      </w:pPr>
    </w:p>
    <w:p w:rsidR="004C0C7C" w:rsidP="009B07F9" w:rsidRDefault="004B374A" w14:paraId="3366A094" w14:textId="3E766B57">
      <w:pPr>
        <w:spacing w:before="0" w:line="240" w:lineRule="auto"/>
        <w:rPr>
          <w:sz w:val="26"/>
        </w:rPr>
      </w:pPr>
      <w:r>
        <w:rPr>
          <w:sz w:val="26"/>
        </w:rPr>
        <w:t xml:space="preserve">Transmission providers in each transmission </w:t>
      </w:r>
      <w:r w:rsidR="00753999">
        <w:rPr>
          <w:sz w:val="26"/>
        </w:rPr>
        <w:t xml:space="preserve">planning </w:t>
      </w:r>
      <w:r>
        <w:rPr>
          <w:sz w:val="26"/>
        </w:rPr>
        <w:t xml:space="preserve">region would be required to </w:t>
      </w:r>
      <w:r w:rsidR="00182C0F">
        <w:rPr>
          <w:sz w:val="26"/>
        </w:rPr>
        <w:t>evaluate for possib</w:t>
      </w:r>
      <w:r w:rsidR="00D87E1C">
        <w:rPr>
          <w:sz w:val="26"/>
        </w:rPr>
        <w:t>l</w:t>
      </w:r>
      <w:r w:rsidR="00182C0F">
        <w:rPr>
          <w:sz w:val="26"/>
        </w:rPr>
        <w:t>e selection in the regiona</w:t>
      </w:r>
      <w:r w:rsidR="00D87E1C">
        <w:rPr>
          <w:sz w:val="26"/>
        </w:rPr>
        <w:t>l transmission plan</w:t>
      </w:r>
      <w:r w:rsidR="00B4461F">
        <w:rPr>
          <w:sz w:val="26"/>
        </w:rPr>
        <w:t>, and under the relevant cost allocation method(s)</w:t>
      </w:r>
      <w:r w:rsidR="00166CFA">
        <w:rPr>
          <w:sz w:val="26"/>
        </w:rPr>
        <w:t>, transmission facilities to address interconnection-related needs that have been identified in at least two interconnection queue cycles during the preceding five years, have a voltage of at least 200kV and/or an estimated cost of at least $30 million, and have not been developed du</w:t>
      </w:r>
      <w:r w:rsidR="003E167C">
        <w:rPr>
          <w:sz w:val="26"/>
        </w:rPr>
        <w:t>e</w:t>
      </w:r>
      <w:r w:rsidR="00166CFA">
        <w:rPr>
          <w:sz w:val="26"/>
        </w:rPr>
        <w:t xml:space="preserve"> </w:t>
      </w:r>
      <w:r w:rsidR="003E167C">
        <w:rPr>
          <w:sz w:val="26"/>
        </w:rPr>
        <w:t>to</w:t>
      </w:r>
      <w:r w:rsidR="00166CFA">
        <w:rPr>
          <w:sz w:val="26"/>
        </w:rPr>
        <w:t xml:space="preserve"> the </w:t>
      </w:r>
      <w:r w:rsidR="00C30D56">
        <w:rPr>
          <w:sz w:val="26"/>
        </w:rPr>
        <w:t>withdrawal of interconnection customers.</w:t>
      </w:r>
      <w:r w:rsidR="003E167C">
        <w:rPr>
          <w:sz w:val="26"/>
        </w:rPr>
        <w:t xml:space="preserve">  This </w:t>
      </w:r>
      <w:r w:rsidR="008E0FCE">
        <w:rPr>
          <w:sz w:val="26"/>
        </w:rPr>
        <w:t xml:space="preserve">proposal </w:t>
      </w:r>
      <w:r w:rsidR="003E167C">
        <w:rPr>
          <w:sz w:val="26"/>
        </w:rPr>
        <w:t>would involve</w:t>
      </w:r>
      <w:r w:rsidR="008E0FCE">
        <w:rPr>
          <w:sz w:val="26"/>
        </w:rPr>
        <w:t xml:space="preserve"> collecting information on interconnection</w:t>
      </w:r>
      <w:r w:rsidR="00F61BF1">
        <w:rPr>
          <w:sz w:val="26"/>
        </w:rPr>
        <w:t xml:space="preserve"> requests</w:t>
      </w:r>
      <w:r w:rsidR="00C4227E">
        <w:rPr>
          <w:sz w:val="26"/>
        </w:rPr>
        <w:t xml:space="preserve"> and their </w:t>
      </w:r>
      <w:r w:rsidR="00190129">
        <w:rPr>
          <w:sz w:val="26"/>
        </w:rPr>
        <w:t>withdrawal and</w:t>
      </w:r>
      <w:r w:rsidR="00C4227E">
        <w:rPr>
          <w:sz w:val="26"/>
        </w:rPr>
        <w:t xml:space="preserve"> considering whether </w:t>
      </w:r>
      <w:r w:rsidR="004C0C7C">
        <w:rPr>
          <w:sz w:val="26"/>
        </w:rPr>
        <w:t xml:space="preserve">those requests should be included in </w:t>
      </w:r>
      <w:r w:rsidR="00190129">
        <w:rPr>
          <w:sz w:val="26"/>
        </w:rPr>
        <w:t>Long-Term Regional Transmission Planning</w:t>
      </w:r>
      <w:r w:rsidR="004C0C7C">
        <w:rPr>
          <w:sz w:val="26"/>
        </w:rPr>
        <w:t>.</w:t>
      </w:r>
    </w:p>
    <w:p w:rsidR="004C0C7C" w:rsidP="009B07F9" w:rsidRDefault="004C0C7C" w14:paraId="2A58EE72" w14:textId="77777777">
      <w:pPr>
        <w:spacing w:before="0" w:line="240" w:lineRule="auto"/>
        <w:rPr>
          <w:sz w:val="26"/>
        </w:rPr>
      </w:pPr>
    </w:p>
    <w:p w:rsidR="006C15CF" w:rsidP="006C15CF" w:rsidRDefault="004C0C7C" w14:paraId="5B8E2604" w14:textId="2EABA2BB">
      <w:pPr>
        <w:spacing w:before="0" w:line="240" w:lineRule="auto"/>
        <w:rPr>
          <w:sz w:val="26"/>
        </w:rPr>
      </w:pPr>
      <w:r>
        <w:rPr>
          <w:sz w:val="26"/>
        </w:rPr>
        <w:t xml:space="preserve">This information collection activity would </w:t>
      </w:r>
      <w:r w:rsidR="006C15CF">
        <w:rPr>
          <w:sz w:val="26"/>
        </w:rPr>
        <w:t xml:space="preserve">be required </w:t>
      </w:r>
      <w:r w:rsidR="00B1194B">
        <w:rPr>
          <w:sz w:val="26"/>
        </w:rPr>
        <w:t xml:space="preserve">only </w:t>
      </w:r>
      <w:r w:rsidR="006C15CF">
        <w:rPr>
          <w:sz w:val="26"/>
        </w:rPr>
        <w:t>during Year 1</w:t>
      </w:r>
      <w:r w:rsidR="002F48E6">
        <w:rPr>
          <w:sz w:val="26"/>
        </w:rPr>
        <w:t>.</w:t>
      </w:r>
    </w:p>
    <w:p w:rsidR="0063032A" w:rsidP="00594614" w:rsidRDefault="001E146F" w14:paraId="635CAB04" w14:textId="2F54DF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3.</w:t>
      </w:r>
      <w:r w:rsidRPr="00A37677">
        <w:rPr>
          <w:b/>
          <w:sz w:val="26"/>
        </w:rPr>
        <w:tab/>
      </w:r>
      <w:r w:rsidRPr="00A37677" w:rsidR="0063032A">
        <w:rPr>
          <w:b/>
          <w:sz w:val="26"/>
        </w:rPr>
        <w:t>Describe any consideration of the use of improved information technology to reduce the burden and technical or legal obstacles to reducing burden.</w:t>
      </w:r>
    </w:p>
    <w:p w:rsidR="002D5CB2" w:rsidP="004F30CB" w:rsidRDefault="002D5CB2" w14:paraId="61258E0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p>
    <w:p w:rsidR="00B94B7B" w:rsidP="00B845A0" w:rsidRDefault="000645D2" w14:paraId="40A5D15A" w14:textId="5CCF1C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sidRPr="000645D2">
        <w:rPr>
          <w:bCs/>
          <w:sz w:val="26"/>
        </w:rPr>
        <w:t xml:space="preserve">The Commission </w:t>
      </w:r>
      <w:r w:rsidR="002D5CB2">
        <w:rPr>
          <w:bCs/>
          <w:sz w:val="26"/>
        </w:rPr>
        <w:t xml:space="preserve">requires </w:t>
      </w:r>
      <w:r w:rsidRPr="000645D2">
        <w:rPr>
          <w:bCs/>
          <w:sz w:val="26"/>
        </w:rPr>
        <w:t>public utility transmission providers to provide transmission customers with equal and timely access to transmission and ancillary service tariff information through Open Access Same-Time Information System (OASIS) website postings.</w:t>
      </w:r>
      <w:r w:rsidR="00397B03">
        <w:rPr>
          <w:bCs/>
          <w:sz w:val="26"/>
        </w:rPr>
        <w:t xml:space="preserve">  </w:t>
      </w:r>
      <w:r w:rsidRPr="00ED34FA" w:rsidR="00ED34FA">
        <w:rPr>
          <w:bCs/>
          <w:sz w:val="26"/>
        </w:rPr>
        <w:t>OASIS website posting is ongoing and used by the public utility transmission providers and stakeholders to improve the processes of (1) planning transmission projects; (2) considering transmission needs; (3) determining possible alternatives that would be more efficient or cost effective; and (4) allocating costs of transmission projects among the beneficiaries of the projects.</w:t>
      </w:r>
    </w:p>
    <w:p w:rsidRPr="00A37677" w:rsidR="008A4640" w:rsidP="00594614" w:rsidRDefault="00E02C95" w14:paraId="415DFCEF" w14:textId="141DB812">
      <w:pPr>
        <w:tabs>
          <w:tab w:val="left" w:pos="450"/>
        </w:tabs>
        <w:spacing w:line="240" w:lineRule="auto"/>
        <w:ind w:left="432" w:hanging="432"/>
        <w:rPr>
          <w:b/>
          <w:sz w:val="26"/>
        </w:rPr>
      </w:pPr>
      <w:r w:rsidRPr="00A37677">
        <w:rPr>
          <w:b/>
          <w:sz w:val="26"/>
        </w:rPr>
        <w:t>4.</w:t>
      </w:r>
      <w:r w:rsidRPr="00A37677">
        <w:rPr>
          <w:b/>
          <w:sz w:val="26"/>
        </w:rPr>
        <w:tab/>
      </w:r>
      <w:r w:rsidRPr="00A37677" w:rsidR="008A4640">
        <w:rPr>
          <w:b/>
          <w:sz w:val="26"/>
        </w:rPr>
        <w:t>Describe efforts to identify duplication. Show specifically why any similar information already available cannot be used or modified for use for the purposes described in Item 2 above.</w:t>
      </w:r>
    </w:p>
    <w:p w:rsidR="00D02682" w:rsidP="00D02682" w:rsidRDefault="00D02682" w14:paraId="449C900B" w14:textId="77777777">
      <w:pPr>
        <w:tabs>
          <w:tab w:val="left" w:pos="450"/>
        </w:tabs>
        <w:spacing w:before="0" w:line="240" w:lineRule="auto"/>
        <w:rPr>
          <w:bCs/>
          <w:sz w:val="26"/>
        </w:rPr>
      </w:pPr>
    </w:p>
    <w:p w:rsidRPr="00D02682" w:rsidR="00D02682" w:rsidP="00D02682" w:rsidRDefault="00D02682" w14:paraId="403AF0A6" w14:textId="1B3B14E0">
      <w:pPr>
        <w:tabs>
          <w:tab w:val="left" w:pos="450"/>
        </w:tabs>
        <w:spacing w:before="0" w:line="240" w:lineRule="auto"/>
        <w:rPr>
          <w:bCs/>
          <w:sz w:val="26"/>
        </w:rPr>
      </w:pPr>
      <w:r w:rsidRPr="00D02682">
        <w:rPr>
          <w:bCs/>
          <w:sz w:val="26"/>
        </w:rPr>
        <w:t xml:space="preserve">The Commission is the only federal agency to regulate interstate electric power transmission; therefore, other agencies would not be expected to collect this tariff-specific information.  There is no other known source for the information.  </w:t>
      </w:r>
    </w:p>
    <w:p w:rsidR="00D02682" w:rsidP="00D02682" w:rsidRDefault="00D02682" w14:paraId="7CD2A78A" w14:textId="77777777">
      <w:pPr>
        <w:tabs>
          <w:tab w:val="left" w:pos="450"/>
        </w:tabs>
        <w:spacing w:before="0" w:line="240" w:lineRule="auto"/>
        <w:rPr>
          <w:bCs/>
          <w:sz w:val="26"/>
        </w:rPr>
      </w:pPr>
    </w:p>
    <w:p w:rsidRPr="00D02682" w:rsidR="008F5EA7" w:rsidP="00D02682" w:rsidRDefault="00D02682" w14:paraId="532B3AF1" w14:textId="454ED874">
      <w:pPr>
        <w:tabs>
          <w:tab w:val="left" w:pos="450"/>
        </w:tabs>
        <w:spacing w:before="0" w:line="240" w:lineRule="auto"/>
        <w:rPr>
          <w:bCs/>
          <w:sz w:val="26"/>
        </w:rPr>
      </w:pPr>
      <w:r w:rsidRPr="00D02682">
        <w:rPr>
          <w:bCs/>
          <w:sz w:val="26"/>
        </w:rPr>
        <w:t>The Commission periodically reviews filing requirements concurrent with OMB review or as the Commission deems necessary to eliminate duplicative filing and to minimize the filing burden.</w:t>
      </w:r>
    </w:p>
    <w:p w:rsidRPr="00A37677" w:rsidR="00465AB5" w:rsidP="00594614" w:rsidRDefault="00465AB5" w14:paraId="24A034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5.</w:t>
      </w:r>
      <w:r w:rsidRPr="00A37677">
        <w:rPr>
          <w:b/>
          <w:sz w:val="26"/>
        </w:rPr>
        <w:tab/>
        <w:t>If the collection of information impacts small businesses or other small entities, describe any methods used to minimize burden.</w:t>
      </w:r>
    </w:p>
    <w:p w:rsidR="00190129" w:rsidP="00594614" w:rsidRDefault="005E3360" w14:paraId="48E2851B" w14:textId="17BC4A56">
      <w:pPr>
        <w:spacing w:line="240" w:lineRule="auto"/>
        <w:rPr>
          <w:sz w:val="26"/>
        </w:rPr>
      </w:pPr>
      <w:r w:rsidRPr="005E3360">
        <w:rPr>
          <w:sz w:val="26"/>
        </w:rPr>
        <w:t>The collection of this data imposes the least possible burden for small and large entities while collecting the information required of FERC by statute</w:t>
      </w:r>
      <w:r w:rsidR="00E95DAA">
        <w:rPr>
          <w:sz w:val="26"/>
        </w:rPr>
        <w:t>.</w:t>
      </w:r>
    </w:p>
    <w:p w:rsidRPr="005E3360" w:rsidR="00E95DAA" w:rsidP="00E95DAA" w:rsidRDefault="00E95DAA" w14:paraId="2D7C8468" w14:textId="77777777">
      <w:pPr>
        <w:spacing w:before="0" w:line="240" w:lineRule="auto"/>
        <w:rPr>
          <w:sz w:val="26"/>
        </w:rPr>
      </w:pPr>
    </w:p>
    <w:p w:rsidR="006239D7" w:rsidP="0083205D" w:rsidRDefault="0017070B" w14:paraId="5682229E" w14:textId="33C8AD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sidRPr="00A37677">
        <w:rPr>
          <w:b/>
          <w:sz w:val="26"/>
        </w:rPr>
        <w:t>6.</w:t>
      </w:r>
      <w:r w:rsidRPr="00A37677">
        <w:rPr>
          <w:b/>
          <w:sz w:val="26"/>
        </w:rPr>
        <w:tab/>
        <w:t>Describe the consequence to Federal program or policy activities if the collection is not conducted or is conducted less frequently, as well as any technical or legal obstacles to reducing burden</w:t>
      </w:r>
      <w:r w:rsidRPr="00973CAF">
        <w:rPr>
          <w:bCs/>
          <w:sz w:val="26"/>
        </w:rPr>
        <w:t>.</w:t>
      </w:r>
    </w:p>
    <w:p w:rsidRPr="00973CAF" w:rsidR="0083205D" w:rsidP="0083205D" w:rsidRDefault="0083205D" w14:paraId="34B5B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p>
    <w:p w:rsidR="002857D9" w:rsidP="006239D7" w:rsidRDefault="002857D9" w14:paraId="77F96F0B" w14:textId="49589A1A">
      <w:pPr>
        <w:spacing w:before="0" w:line="240" w:lineRule="auto"/>
        <w:rPr>
          <w:bCs/>
          <w:sz w:val="26"/>
        </w:rPr>
      </w:pPr>
      <w:r>
        <w:rPr>
          <w:bCs/>
          <w:sz w:val="26"/>
        </w:rPr>
        <w:t xml:space="preserve">Frequency of reporting for </w:t>
      </w:r>
      <w:r w:rsidR="00F245C4">
        <w:rPr>
          <w:bCs/>
          <w:sz w:val="26"/>
        </w:rPr>
        <w:t>IC titled “</w:t>
      </w:r>
      <w:r w:rsidRPr="001C27AC" w:rsidR="001C27AC">
        <w:rPr>
          <w:bCs/>
          <w:sz w:val="26"/>
        </w:rPr>
        <w:t xml:space="preserve">Consider in the </w:t>
      </w:r>
      <w:r w:rsidR="00E215A9">
        <w:rPr>
          <w:bCs/>
          <w:sz w:val="26"/>
        </w:rPr>
        <w:t>R</w:t>
      </w:r>
      <w:r w:rsidRPr="001C27AC" w:rsidR="001C27AC">
        <w:rPr>
          <w:bCs/>
          <w:sz w:val="26"/>
        </w:rPr>
        <w:t xml:space="preserve">egional </w:t>
      </w:r>
      <w:r w:rsidR="00E215A9">
        <w:rPr>
          <w:bCs/>
          <w:sz w:val="26"/>
        </w:rPr>
        <w:t>T</w:t>
      </w:r>
      <w:r w:rsidRPr="001C27AC" w:rsidR="001C27AC">
        <w:rPr>
          <w:bCs/>
          <w:sz w:val="26"/>
        </w:rPr>
        <w:t xml:space="preserve">ransmission </w:t>
      </w:r>
      <w:r w:rsidR="00E215A9">
        <w:rPr>
          <w:bCs/>
          <w:sz w:val="26"/>
        </w:rPr>
        <w:t>P</w:t>
      </w:r>
      <w:r w:rsidRPr="001C27AC" w:rsidR="001C27AC">
        <w:rPr>
          <w:bCs/>
          <w:sz w:val="26"/>
        </w:rPr>
        <w:t xml:space="preserve">lanning </w:t>
      </w:r>
      <w:r w:rsidR="00E215A9">
        <w:rPr>
          <w:bCs/>
          <w:sz w:val="26"/>
        </w:rPr>
        <w:t>P</w:t>
      </w:r>
      <w:r w:rsidRPr="001C27AC" w:rsidR="001C27AC">
        <w:rPr>
          <w:bCs/>
          <w:sz w:val="26"/>
        </w:rPr>
        <w:t xml:space="preserve">rocesses </w:t>
      </w:r>
      <w:r w:rsidR="00E215A9">
        <w:rPr>
          <w:bCs/>
          <w:sz w:val="26"/>
        </w:rPr>
        <w:t>R</w:t>
      </w:r>
      <w:r w:rsidRPr="001C27AC" w:rsidR="001C27AC">
        <w:rPr>
          <w:bCs/>
          <w:sz w:val="26"/>
        </w:rPr>
        <w:t xml:space="preserve">egional </w:t>
      </w:r>
      <w:r w:rsidR="00814649">
        <w:rPr>
          <w:bCs/>
          <w:sz w:val="26"/>
        </w:rPr>
        <w:t>T</w:t>
      </w:r>
      <w:r w:rsidRPr="001C27AC" w:rsidR="001C27AC">
        <w:rPr>
          <w:bCs/>
          <w:sz w:val="26"/>
        </w:rPr>
        <w:t xml:space="preserve">ransmission </w:t>
      </w:r>
      <w:r w:rsidR="00814649">
        <w:rPr>
          <w:bCs/>
          <w:sz w:val="26"/>
        </w:rPr>
        <w:t>F</w:t>
      </w:r>
      <w:r w:rsidRPr="001C27AC" w:rsidR="001C27AC">
        <w:rPr>
          <w:bCs/>
          <w:sz w:val="26"/>
        </w:rPr>
        <w:t xml:space="preserve">acilities that </w:t>
      </w:r>
      <w:r w:rsidR="00814649">
        <w:rPr>
          <w:bCs/>
          <w:sz w:val="26"/>
        </w:rPr>
        <w:t>A</w:t>
      </w:r>
      <w:r w:rsidRPr="001C27AC" w:rsidR="001C27AC">
        <w:rPr>
          <w:bCs/>
          <w:sz w:val="26"/>
        </w:rPr>
        <w:t xml:space="preserve">ddress </w:t>
      </w:r>
      <w:r w:rsidR="00814649">
        <w:rPr>
          <w:bCs/>
          <w:sz w:val="26"/>
        </w:rPr>
        <w:t>C</w:t>
      </w:r>
      <w:r w:rsidRPr="001C27AC" w:rsidR="001C27AC">
        <w:rPr>
          <w:bCs/>
          <w:sz w:val="26"/>
        </w:rPr>
        <w:t xml:space="preserve">ertain </w:t>
      </w:r>
      <w:r w:rsidR="00814649">
        <w:rPr>
          <w:bCs/>
          <w:sz w:val="26"/>
        </w:rPr>
        <w:t>I</w:t>
      </w:r>
      <w:r w:rsidRPr="001C27AC" w:rsidR="001C27AC">
        <w:rPr>
          <w:bCs/>
          <w:sz w:val="26"/>
        </w:rPr>
        <w:t xml:space="preserve">nterconnection-related </w:t>
      </w:r>
      <w:r w:rsidR="00814649">
        <w:rPr>
          <w:bCs/>
          <w:sz w:val="26"/>
        </w:rPr>
        <w:t>N</w:t>
      </w:r>
      <w:r w:rsidRPr="001C27AC" w:rsidR="001C27AC">
        <w:rPr>
          <w:bCs/>
          <w:sz w:val="26"/>
        </w:rPr>
        <w:t>eeds</w:t>
      </w:r>
      <w:r w:rsidR="00E215A9">
        <w:rPr>
          <w:bCs/>
          <w:sz w:val="26"/>
        </w:rPr>
        <w:t>”:  One time during Year 1 only.</w:t>
      </w:r>
    </w:p>
    <w:p w:rsidR="007E16E7" w:rsidP="006239D7" w:rsidRDefault="007E16E7" w14:paraId="671CBDF2" w14:textId="77777777">
      <w:pPr>
        <w:spacing w:before="0" w:line="240" w:lineRule="auto"/>
        <w:rPr>
          <w:bCs/>
          <w:sz w:val="26"/>
        </w:rPr>
      </w:pPr>
    </w:p>
    <w:p w:rsidR="00AF4519" w:rsidP="006239D7" w:rsidRDefault="00973CAF" w14:paraId="4CF20888" w14:textId="1653683B">
      <w:pPr>
        <w:spacing w:before="0" w:line="240" w:lineRule="auto"/>
        <w:rPr>
          <w:sz w:val="26"/>
        </w:rPr>
      </w:pPr>
      <w:r>
        <w:rPr>
          <w:bCs/>
          <w:sz w:val="26"/>
        </w:rPr>
        <w:t>Frequency of reporting</w:t>
      </w:r>
      <w:r w:rsidR="002857D9">
        <w:rPr>
          <w:bCs/>
          <w:sz w:val="26"/>
        </w:rPr>
        <w:t xml:space="preserve"> for all other ICs</w:t>
      </w:r>
      <w:r>
        <w:rPr>
          <w:bCs/>
          <w:sz w:val="26"/>
        </w:rPr>
        <w:t xml:space="preserve">:  </w:t>
      </w:r>
      <w:r w:rsidRPr="00973CAF">
        <w:rPr>
          <w:bCs/>
          <w:sz w:val="26"/>
        </w:rPr>
        <w:t>One time during Year 1.  Occasional</w:t>
      </w:r>
      <w:r w:rsidR="00844861">
        <w:rPr>
          <w:bCs/>
          <w:sz w:val="26"/>
        </w:rPr>
        <w:t>ly</w:t>
      </w:r>
      <w:r w:rsidRPr="00973CAF">
        <w:rPr>
          <w:bCs/>
          <w:sz w:val="26"/>
        </w:rPr>
        <w:t xml:space="preserve"> during subsequent years, at least once every three years.</w:t>
      </w:r>
    </w:p>
    <w:p w:rsidR="005B2862" w:rsidP="006239D7" w:rsidRDefault="005B2862" w14:paraId="18D26D83" w14:textId="5E1065FD">
      <w:pPr>
        <w:spacing w:before="0" w:line="240" w:lineRule="auto"/>
        <w:rPr>
          <w:sz w:val="26"/>
        </w:rPr>
      </w:pPr>
    </w:p>
    <w:p w:rsidRPr="00A37677" w:rsidR="005B2862" w:rsidP="006239D7" w:rsidRDefault="005B2862" w14:paraId="36257A72" w14:textId="230ECCE7">
      <w:pPr>
        <w:spacing w:before="0" w:line="240" w:lineRule="auto"/>
        <w:rPr>
          <w:sz w:val="26"/>
        </w:rPr>
      </w:pPr>
      <w:r>
        <w:rPr>
          <w:sz w:val="26"/>
        </w:rPr>
        <w:t xml:space="preserve">If the collection is not conducted or conducted less frequently, the Commission </w:t>
      </w:r>
      <w:r w:rsidR="006B4A99">
        <w:rPr>
          <w:sz w:val="26"/>
        </w:rPr>
        <w:t>would not be</w:t>
      </w:r>
      <w:r w:rsidR="009415AB">
        <w:rPr>
          <w:sz w:val="26"/>
        </w:rPr>
        <w:t xml:space="preserve"> able to fulfill its </w:t>
      </w:r>
      <w:r w:rsidR="006F42C5">
        <w:rPr>
          <w:sz w:val="26"/>
        </w:rPr>
        <w:t xml:space="preserve">statutory </w:t>
      </w:r>
      <w:r w:rsidR="009415AB">
        <w:rPr>
          <w:sz w:val="26"/>
        </w:rPr>
        <w:t>obligation to</w:t>
      </w:r>
      <w:r w:rsidR="006F42C5">
        <w:rPr>
          <w:sz w:val="26"/>
        </w:rPr>
        <w:t xml:space="preserve"> </w:t>
      </w:r>
      <w:r w:rsidRPr="00A37677" w:rsidR="006F42C5">
        <w:rPr>
          <w:color w:val="000000"/>
          <w:sz w:val="26"/>
        </w:rPr>
        <w:t>remedy unjust and unreasonable, or unduly discriminatory or preferential, rates, terms, and conditions of transmission service.</w:t>
      </w:r>
      <w:r w:rsidR="009415AB">
        <w:rPr>
          <w:sz w:val="26"/>
        </w:rPr>
        <w:t xml:space="preserve"> </w:t>
      </w:r>
    </w:p>
    <w:p w:rsidRPr="00A37677" w:rsidR="00FB7C95" w:rsidP="00594614" w:rsidRDefault="00FB7C95" w14:paraId="7C3E25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7.</w:t>
      </w:r>
      <w:r w:rsidRPr="00A37677">
        <w:rPr>
          <w:b/>
          <w:sz w:val="26"/>
        </w:rPr>
        <w:tab/>
        <w:t>Explain any special circumstances that would cause an information collection to be conducted in a manner:</w:t>
      </w:r>
    </w:p>
    <w:p w:rsidRPr="00A37677" w:rsidR="00FB7C95" w:rsidP="00594614" w:rsidRDefault="00FB7C95" w14:paraId="773F9507" w14:textId="69E6E6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respondents to report information to the agency more often than quarterly;</w:t>
      </w:r>
    </w:p>
    <w:p w:rsidRPr="00A37677" w:rsidR="00FB7C95" w:rsidP="00594614" w:rsidRDefault="00FB7C95" w14:paraId="5D453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respondents to prepare a written response to a collection of information in fewer than 30 days after receipt of it;</w:t>
      </w:r>
    </w:p>
    <w:p w:rsidRPr="00A37677" w:rsidR="00FB7C95" w:rsidP="00594614" w:rsidRDefault="00FB7C95" w14:paraId="434BFA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respondents to submit more than an original and two copies of any document;</w:t>
      </w:r>
    </w:p>
    <w:p w:rsidRPr="00A37677" w:rsidR="00FB7C95" w:rsidP="00594614" w:rsidRDefault="00FB7C95" w14:paraId="54E429CF" w14:textId="089A9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respondents to retain records, other than health, medical, government contract, grant-in-aid, or tax records, for more than three years;</w:t>
      </w:r>
    </w:p>
    <w:p w:rsidRPr="00A37677" w:rsidR="00FB7C95" w:rsidP="00594614" w:rsidRDefault="00FB7C95" w14:paraId="5024B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in connection with a statistical survey that is not designed to produce valid and reliable results that can be generalized to the universe of study;</w:t>
      </w:r>
    </w:p>
    <w:p w:rsidRPr="00A37677" w:rsidR="00FB7C95" w:rsidP="00594614" w:rsidRDefault="00FB7C95" w14:paraId="2C061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the use of a statistical data classification that has not been reviewed and approved by OMB;</w:t>
      </w:r>
    </w:p>
    <w:p w:rsidRPr="00A37677" w:rsidR="00FB7C95" w:rsidP="00594614" w:rsidRDefault="00FB7C95" w14:paraId="00954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37677" w:rsidR="00FB7C95" w:rsidP="00594614" w:rsidRDefault="00FB7C95" w14:paraId="78F18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rPr>
          <w:b/>
          <w:sz w:val="26"/>
        </w:rPr>
      </w:pPr>
      <w:r w:rsidRPr="00A37677">
        <w:rPr>
          <w:b/>
          <w:sz w:val="26"/>
        </w:rPr>
        <w:tab/>
        <w:t>*</w:t>
      </w:r>
      <w:r w:rsidRPr="00A37677">
        <w:rPr>
          <w:b/>
          <w:sz w:val="26"/>
        </w:rPr>
        <w:tab/>
        <w:t>requiring respondents to submit proprietary trade secrets, or other confidential information, unless the agency can demonstrate that it has instituted procedures to protect the information's confidentiality to the extent permitted by law.</w:t>
      </w:r>
    </w:p>
    <w:p w:rsidRPr="00943F7C" w:rsidR="00AF4519" w:rsidP="00594614" w:rsidRDefault="008158BB" w14:paraId="3AEEC4CA" w14:textId="3DFBF89F">
      <w:pPr>
        <w:spacing w:line="240" w:lineRule="auto"/>
        <w:rPr>
          <w:sz w:val="26"/>
        </w:rPr>
      </w:pPr>
      <w:r w:rsidRPr="00943F7C">
        <w:rPr>
          <w:sz w:val="26"/>
        </w:rPr>
        <w:t>There are no special circumstances</w:t>
      </w:r>
      <w:r w:rsidRPr="00943F7C" w:rsidR="00943F7C">
        <w:rPr>
          <w:sz w:val="26"/>
        </w:rPr>
        <w:t>.</w:t>
      </w:r>
    </w:p>
    <w:p w:rsidR="006D1E3C" w:rsidP="00594614" w:rsidRDefault="004B7624" w14:paraId="3DF10832" w14:textId="124903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Cs/>
          <w:sz w:val="26"/>
        </w:rPr>
      </w:pPr>
      <w:r w:rsidRPr="00A37677">
        <w:rPr>
          <w:b/>
          <w:sz w:val="26"/>
        </w:rPr>
        <w:t>8.</w:t>
      </w:r>
      <w:r w:rsidRPr="00A37677">
        <w:rPr>
          <w:b/>
          <w:sz w:val="26"/>
        </w:rPr>
        <w:tab/>
      </w:r>
      <w:r w:rsidRPr="00A37677" w:rsidR="006D1E3C">
        <w:rPr>
          <w:b/>
          <w:sz w:val="26"/>
        </w:rPr>
        <w:t>Describe efforts to consult outside the agency: Summarize public comments and the agency’s response</w:t>
      </w:r>
    </w:p>
    <w:p w:rsidR="00FF0746" w:rsidP="00FF0746" w:rsidRDefault="00FF0746" w14:paraId="0756E8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p>
    <w:p w:rsidR="00674FB3" w:rsidP="00674FB3" w:rsidRDefault="00FF0746" w14:paraId="2677C107" w14:textId="2313A8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sidRPr="00FF0746">
        <w:rPr>
          <w:bCs/>
          <w:sz w:val="26"/>
        </w:rPr>
        <w:t>FERC proposed and final rules are published in the Federal Register, thereby providing the public, including public utilities and licensees, state commissions, and Federal agencies, an opportunity to submit data, views, comments or suggestions concerning the proposed collections of data</w:t>
      </w:r>
      <w:r w:rsidR="00674FB3">
        <w:rPr>
          <w:bCs/>
          <w:sz w:val="26"/>
        </w:rPr>
        <w:t>.</w:t>
      </w:r>
    </w:p>
    <w:p w:rsidR="00674FB3" w:rsidP="00674FB3" w:rsidRDefault="00674FB3" w14:paraId="442845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p>
    <w:p w:rsidR="0044539B" w:rsidP="00311B5F" w:rsidRDefault="00B13CA1" w14:paraId="4220EF37" w14:textId="6C967A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Pr>
          <w:bCs/>
          <w:sz w:val="26"/>
        </w:rPr>
        <w:t xml:space="preserve">On July 15, 2021, the Commission published </w:t>
      </w:r>
      <w:r w:rsidR="00BB6C7E">
        <w:rPr>
          <w:bCs/>
          <w:sz w:val="26"/>
        </w:rPr>
        <w:t xml:space="preserve">an </w:t>
      </w:r>
      <w:r w:rsidRPr="00BB6C7E" w:rsidR="00BB6C7E">
        <w:rPr>
          <w:bCs/>
          <w:sz w:val="26"/>
        </w:rPr>
        <w:t>Advance Notice of Proposed Rulemaking</w:t>
      </w:r>
      <w:r w:rsidRPr="00BB6C7E" w:rsidR="00BB6C7E">
        <w:rPr>
          <w:b/>
          <w:bCs/>
          <w:sz w:val="26"/>
          <w:vertAlign w:val="superscript"/>
        </w:rPr>
        <w:footnoteReference w:id="8"/>
      </w:r>
      <w:r w:rsidR="002E56EA">
        <w:rPr>
          <w:bCs/>
          <w:sz w:val="26"/>
        </w:rPr>
        <w:t xml:space="preserve"> (ANOPR)</w:t>
      </w:r>
      <w:r w:rsidRPr="00BB6C7E" w:rsidR="00BB6C7E">
        <w:rPr>
          <w:bCs/>
          <w:sz w:val="26"/>
        </w:rPr>
        <w:t xml:space="preserve"> </w:t>
      </w:r>
      <w:r w:rsidR="00E76B6D">
        <w:rPr>
          <w:bCs/>
          <w:sz w:val="26"/>
        </w:rPr>
        <w:t xml:space="preserve">seeking public comments </w:t>
      </w:r>
      <w:r w:rsidRPr="00BB6C7E" w:rsidR="00BB6C7E">
        <w:rPr>
          <w:bCs/>
          <w:sz w:val="26"/>
        </w:rPr>
        <w:t xml:space="preserve">on </w:t>
      </w:r>
      <w:r w:rsidR="008A684D">
        <w:rPr>
          <w:bCs/>
          <w:sz w:val="26"/>
        </w:rPr>
        <w:t xml:space="preserve">a broad range of transmission-related issued, including some that are addressed in the NOPR.  </w:t>
      </w:r>
      <w:r w:rsidR="003E402E">
        <w:rPr>
          <w:bCs/>
          <w:sz w:val="26"/>
        </w:rPr>
        <w:t xml:space="preserve">The Commission has also </w:t>
      </w:r>
      <w:r w:rsidR="00552C44">
        <w:rPr>
          <w:bCs/>
          <w:sz w:val="26"/>
        </w:rPr>
        <w:t xml:space="preserve">held </w:t>
      </w:r>
      <w:r w:rsidR="00CE36A7">
        <w:rPr>
          <w:bCs/>
          <w:sz w:val="26"/>
        </w:rPr>
        <w:t xml:space="preserve">a </w:t>
      </w:r>
      <w:r w:rsidR="003003EC">
        <w:rPr>
          <w:bCs/>
          <w:sz w:val="26"/>
        </w:rPr>
        <w:t xml:space="preserve">technical </w:t>
      </w:r>
      <w:r w:rsidR="00CE36A7">
        <w:rPr>
          <w:bCs/>
          <w:sz w:val="26"/>
        </w:rPr>
        <w:t>video conference</w:t>
      </w:r>
      <w:r w:rsidR="003911B7">
        <w:rPr>
          <w:bCs/>
          <w:sz w:val="26"/>
        </w:rPr>
        <w:t xml:space="preserve"> on November 15, 2021, and issued a transcript of that confer</w:t>
      </w:r>
      <w:r w:rsidR="00AE11EB">
        <w:rPr>
          <w:bCs/>
          <w:sz w:val="26"/>
        </w:rPr>
        <w:t>ence.</w:t>
      </w:r>
      <w:r w:rsidRPr="003003EC" w:rsidR="00AE11EB">
        <w:rPr>
          <w:rStyle w:val="FootnoteReference"/>
          <w:bCs/>
          <w:sz w:val="26"/>
          <w:vertAlign w:val="superscript"/>
        </w:rPr>
        <w:footnoteReference w:id="9"/>
      </w:r>
    </w:p>
    <w:p w:rsidR="00674FB3" w:rsidP="00674FB3" w:rsidRDefault="00674FB3" w14:paraId="49C591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p>
    <w:p w:rsidRPr="00A37677" w:rsidR="00674FB3" w:rsidP="00674FB3" w:rsidRDefault="00674FB3" w14:paraId="27696E1E" w14:textId="30D83F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
          <w:sz w:val="26"/>
        </w:rPr>
      </w:pPr>
      <w:r w:rsidRPr="00FF0746">
        <w:rPr>
          <w:bCs/>
          <w:sz w:val="26"/>
        </w:rPr>
        <w:t xml:space="preserve">On </w:t>
      </w:r>
      <w:r>
        <w:rPr>
          <w:bCs/>
          <w:sz w:val="26"/>
        </w:rPr>
        <w:t xml:space="preserve">May </w:t>
      </w:r>
      <w:r w:rsidR="006F6351">
        <w:rPr>
          <w:bCs/>
          <w:sz w:val="26"/>
        </w:rPr>
        <w:t>4</w:t>
      </w:r>
      <w:r>
        <w:rPr>
          <w:bCs/>
          <w:sz w:val="26"/>
        </w:rPr>
        <w:t>, 2022</w:t>
      </w:r>
      <w:r w:rsidRPr="00FF0746">
        <w:rPr>
          <w:bCs/>
          <w:sz w:val="26"/>
        </w:rPr>
        <w:t xml:space="preserve">, the NOPR </w:t>
      </w:r>
      <w:r>
        <w:rPr>
          <w:bCs/>
          <w:sz w:val="26"/>
        </w:rPr>
        <w:t xml:space="preserve">was </w:t>
      </w:r>
      <w:r w:rsidRPr="00FF0746">
        <w:rPr>
          <w:bCs/>
          <w:sz w:val="26"/>
        </w:rPr>
        <w:t xml:space="preserve">published in the </w:t>
      </w:r>
      <w:r w:rsidRPr="00FF0746">
        <w:rPr>
          <w:bCs/>
          <w:i/>
          <w:iCs/>
          <w:sz w:val="26"/>
        </w:rPr>
        <w:t>Federal Register</w:t>
      </w:r>
      <w:r>
        <w:rPr>
          <w:bCs/>
          <w:sz w:val="26"/>
        </w:rPr>
        <w:t xml:space="preserve"> </w:t>
      </w:r>
      <w:r w:rsidR="003E5270">
        <w:rPr>
          <w:bCs/>
          <w:sz w:val="26"/>
        </w:rPr>
        <w:t>at 87 FR 26502.</w:t>
      </w:r>
      <w:r w:rsidR="00113C49">
        <w:rPr>
          <w:bCs/>
          <w:sz w:val="26"/>
        </w:rPr>
        <w:t xml:space="preserve">  T</w:t>
      </w:r>
      <w:r w:rsidR="002E56EA">
        <w:rPr>
          <w:bCs/>
          <w:sz w:val="26"/>
        </w:rPr>
        <w:t xml:space="preserve">he NOPR includes a summary of relevant comments received in response to the ANOPR. </w:t>
      </w:r>
      <w:r>
        <w:rPr>
          <w:bCs/>
          <w:sz w:val="26"/>
        </w:rPr>
        <w:t xml:space="preserve">  </w:t>
      </w:r>
    </w:p>
    <w:p w:rsidRPr="00D62769" w:rsidR="00FB3240" w:rsidP="00594614" w:rsidRDefault="00340605" w14:paraId="10DBB093" w14:textId="6D0F20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sz w:val="26"/>
        </w:rPr>
      </w:pPr>
      <w:r w:rsidRPr="00A37677">
        <w:rPr>
          <w:b/>
          <w:sz w:val="26"/>
        </w:rPr>
        <w:t>9.</w:t>
      </w:r>
      <w:r w:rsidRPr="00A37677">
        <w:rPr>
          <w:b/>
          <w:sz w:val="26"/>
        </w:rPr>
        <w:tab/>
        <w:t>Explain any decision to provide any payment or gift to respondents, other than remuneration of contractors or grantees.</w:t>
      </w:r>
    </w:p>
    <w:p w:rsidRPr="00D62769" w:rsidR="00A84D22" w:rsidP="00594614" w:rsidRDefault="00F04972" w14:paraId="5C5F4533" w14:textId="6546292F">
      <w:pPr>
        <w:spacing w:line="240" w:lineRule="auto"/>
        <w:rPr>
          <w:sz w:val="26"/>
        </w:rPr>
      </w:pPr>
      <w:r w:rsidRPr="00D62769">
        <w:rPr>
          <w:sz w:val="26"/>
        </w:rPr>
        <w:t>There are no payments or gifts to respondents</w:t>
      </w:r>
      <w:r w:rsidRPr="00D62769" w:rsidR="00D62769">
        <w:rPr>
          <w:sz w:val="26"/>
        </w:rPr>
        <w:t>.</w:t>
      </w:r>
    </w:p>
    <w:p w:rsidRPr="00A37677" w:rsidR="008017E0" w:rsidP="00594614" w:rsidRDefault="008017E0" w14:paraId="4DEEA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10.</w:t>
      </w:r>
      <w:r w:rsidRPr="00A37677">
        <w:rPr>
          <w:b/>
          <w:sz w:val="26"/>
        </w:rPr>
        <w:tab/>
        <w:t>Describe any assurance of confidentiality provided to respondents and the basis for the assurance in statute, regulation, or agency policy.</w:t>
      </w:r>
    </w:p>
    <w:p w:rsidRPr="00EC0844" w:rsidR="00EC0844" w:rsidP="00EC0844" w:rsidRDefault="00EC0844" w14:paraId="410A7EDE" w14:textId="1BED27DD">
      <w:pPr>
        <w:spacing w:line="240" w:lineRule="auto"/>
        <w:rPr>
          <w:sz w:val="26"/>
        </w:rPr>
      </w:pPr>
      <w:r w:rsidRPr="00EC0844">
        <w:rPr>
          <w:sz w:val="26"/>
        </w:rPr>
        <w:t xml:space="preserve">The Commission does not consider the information collected to be confidential.  </w:t>
      </w:r>
    </w:p>
    <w:p w:rsidRPr="00A37677" w:rsidR="00AF4519" w:rsidP="00EC0844" w:rsidRDefault="00EC0844" w14:paraId="4B4EEED0" w14:textId="4AB1D919">
      <w:pPr>
        <w:spacing w:line="240" w:lineRule="auto"/>
        <w:rPr>
          <w:sz w:val="26"/>
        </w:rPr>
      </w:pPr>
      <w:r w:rsidRPr="00EC0844">
        <w:rPr>
          <w:sz w:val="26"/>
        </w:rPr>
        <w:t>If an entity chooses to seek confidential treatment of the information, it must submit a request for the Commission to treat this information as confidential and non-public, consistent with 18 CFR 388.112.</w:t>
      </w:r>
    </w:p>
    <w:p w:rsidRPr="00A37677" w:rsidR="008017E0" w:rsidP="00594614" w:rsidRDefault="008017E0" w14:paraId="2E2C8FC9" w14:textId="08B148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11.</w:t>
      </w:r>
      <w:r w:rsidRPr="00A37677">
        <w:rPr>
          <w:b/>
          <w:sz w:val="26"/>
        </w:rPr>
        <w:tab/>
        <w:t>Provide additional justification for any questions of a sensitive nature, such as sexual behavior and attitudes, religious beliefs, and other matters that are commonly considered private.</w:t>
      </w:r>
      <w:r w:rsidRPr="00A37677" w:rsidR="0063032A">
        <w:rPr>
          <w:b/>
          <w:sz w:val="26"/>
        </w:rPr>
        <w:t xml:space="preserve"> </w:t>
      </w:r>
      <w:r w:rsidRPr="00A37677">
        <w:rPr>
          <w:b/>
          <w:sz w:val="26"/>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4519" w:rsidP="00594614" w:rsidRDefault="00D847B7" w14:paraId="086E53D8" w14:textId="4618E405">
      <w:pPr>
        <w:spacing w:line="240" w:lineRule="auto"/>
        <w:rPr>
          <w:bCs/>
          <w:sz w:val="26"/>
        </w:rPr>
      </w:pPr>
      <w:r w:rsidRPr="00D847B7">
        <w:rPr>
          <w:bCs/>
          <w:sz w:val="26"/>
        </w:rPr>
        <w:t>There are no questions of a sensitive nature associated with the</w:t>
      </w:r>
      <w:r w:rsidR="002659C7">
        <w:rPr>
          <w:bCs/>
          <w:sz w:val="26"/>
        </w:rPr>
        <w:t>se information collections.</w:t>
      </w:r>
    </w:p>
    <w:p w:rsidR="008C05B7" w:rsidP="0090525B" w:rsidRDefault="008C05B7" w14:paraId="43F071DA" w14:textId="77777777">
      <w:pPr>
        <w:spacing w:before="0" w:line="240" w:lineRule="auto"/>
        <w:rPr>
          <w:bCs/>
          <w:sz w:val="26"/>
        </w:rPr>
      </w:pPr>
    </w:p>
    <w:p w:rsidRPr="00531934" w:rsidR="00531934" w:rsidP="00A94FD9" w:rsidRDefault="00531934" w14:paraId="087CD106" w14:textId="77777777">
      <w:pPr>
        <w:spacing w:before="0" w:line="240" w:lineRule="auto"/>
        <w:rPr>
          <w:b/>
          <w:bCs/>
          <w:sz w:val="26"/>
        </w:rPr>
      </w:pPr>
      <w:r w:rsidRPr="00531934">
        <w:rPr>
          <w:b/>
          <w:bCs/>
          <w:sz w:val="26"/>
        </w:rPr>
        <w:t>12.</w:t>
      </w:r>
      <w:r w:rsidRPr="00531934">
        <w:rPr>
          <w:b/>
          <w:bCs/>
          <w:sz w:val="26"/>
        </w:rPr>
        <w:tab/>
        <w:t>Estimated burden of collection of information</w:t>
      </w:r>
    </w:p>
    <w:p w:rsidR="001C4679" w:rsidP="00594614" w:rsidRDefault="005C2B0B" w14:paraId="67FA0200" w14:textId="10D4038A">
      <w:pPr>
        <w:spacing w:line="240" w:lineRule="auto"/>
        <w:rPr>
          <w:bCs/>
          <w:sz w:val="26"/>
        </w:rPr>
      </w:pPr>
      <w:r>
        <w:rPr>
          <w:bCs/>
          <w:sz w:val="26"/>
        </w:rPr>
        <w:t xml:space="preserve">The burden estimates in this information collection request </w:t>
      </w:r>
      <w:r w:rsidR="00302387">
        <w:rPr>
          <w:bCs/>
          <w:sz w:val="26"/>
        </w:rPr>
        <w:t xml:space="preserve">are based on </w:t>
      </w:r>
      <w:r w:rsidR="003841D9">
        <w:rPr>
          <w:bCs/>
          <w:sz w:val="26"/>
        </w:rPr>
        <w:t>data compiled by the Bureau of Labor Statistics (BLS)</w:t>
      </w:r>
      <w:r w:rsidR="00AE5C2C">
        <w:rPr>
          <w:bCs/>
          <w:sz w:val="26"/>
        </w:rPr>
        <w:t xml:space="preserve"> </w:t>
      </w:r>
      <w:r w:rsidR="009B0C17">
        <w:rPr>
          <w:bCs/>
          <w:sz w:val="26"/>
        </w:rPr>
        <w:t xml:space="preserve">showing </w:t>
      </w:r>
      <w:r w:rsidR="00417E53">
        <w:rPr>
          <w:bCs/>
          <w:sz w:val="26"/>
        </w:rPr>
        <w:t>hourly salaries (</w:t>
      </w:r>
      <w:r w:rsidRPr="000B5406" w:rsidR="000B5406">
        <w:rPr>
          <w:bCs/>
          <w:sz w:val="26"/>
        </w:rPr>
        <w:t>http://bls.gov/oes/current/naics2_22.htm</w:t>
      </w:r>
      <w:r w:rsidR="000B5406">
        <w:rPr>
          <w:bCs/>
          <w:sz w:val="26"/>
        </w:rPr>
        <w:t>) and benefits (</w:t>
      </w:r>
      <w:r w:rsidRPr="00077D60" w:rsidR="00077D60">
        <w:rPr>
          <w:bCs/>
          <w:sz w:val="26"/>
        </w:rPr>
        <w:t>http://www.bls.gov/news.release/ecec.nr0.htm</w:t>
      </w:r>
      <w:r w:rsidR="00077D60">
        <w:rPr>
          <w:bCs/>
          <w:sz w:val="26"/>
        </w:rPr>
        <w:t xml:space="preserve">).  </w:t>
      </w:r>
      <w:r w:rsidR="00817467">
        <w:rPr>
          <w:bCs/>
          <w:sz w:val="26"/>
        </w:rPr>
        <w:t xml:space="preserve">In order to describe the burdens as precisely as possible, we have analyzed the costs of </w:t>
      </w:r>
      <w:r w:rsidR="00967588">
        <w:rPr>
          <w:bCs/>
          <w:sz w:val="26"/>
        </w:rPr>
        <w:t xml:space="preserve">reporting requirements separately from the costs of </w:t>
      </w:r>
      <w:r w:rsidR="009B13F8">
        <w:rPr>
          <w:bCs/>
          <w:sz w:val="26"/>
        </w:rPr>
        <w:t>records management</w:t>
      </w:r>
      <w:r w:rsidR="00967588">
        <w:rPr>
          <w:bCs/>
          <w:sz w:val="26"/>
        </w:rPr>
        <w:t>.</w:t>
      </w:r>
    </w:p>
    <w:p w:rsidR="003C1CEA" w:rsidP="00594614" w:rsidRDefault="00967588" w14:paraId="6B732785" w14:textId="65A30DC3">
      <w:pPr>
        <w:spacing w:line="240" w:lineRule="auto"/>
        <w:rPr>
          <w:bCs/>
          <w:sz w:val="26"/>
        </w:rPr>
      </w:pPr>
      <w:r>
        <w:rPr>
          <w:bCs/>
          <w:sz w:val="26"/>
        </w:rPr>
        <w:t xml:space="preserve">For reporting </w:t>
      </w:r>
      <w:r w:rsidR="00712D8F">
        <w:rPr>
          <w:bCs/>
          <w:sz w:val="26"/>
        </w:rPr>
        <w:t xml:space="preserve">requirements, we have determined the hourly cost (including both salaries and benefits) to be the average of </w:t>
      </w:r>
      <w:r w:rsidR="007F6110">
        <w:rPr>
          <w:bCs/>
          <w:sz w:val="26"/>
        </w:rPr>
        <w:t xml:space="preserve">the hourly cost for Managers </w:t>
      </w:r>
      <w:r w:rsidRPr="00135E62" w:rsidR="00135E62">
        <w:rPr>
          <w:bCs/>
          <w:sz w:val="26"/>
        </w:rPr>
        <w:t>(Occupation Code 11-0000, $97.89/hour)</w:t>
      </w:r>
      <w:r w:rsidR="00135E62">
        <w:rPr>
          <w:bCs/>
          <w:sz w:val="26"/>
        </w:rPr>
        <w:t xml:space="preserve"> and Electrical Engineers (</w:t>
      </w:r>
      <w:r w:rsidRPr="004A5813" w:rsidR="004A5813">
        <w:rPr>
          <w:bCs/>
          <w:sz w:val="26"/>
        </w:rPr>
        <w:t>Occupation Code 17-2071, $72.15/hour)</w:t>
      </w:r>
      <w:r w:rsidR="004A5813">
        <w:rPr>
          <w:bCs/>
          <w:sz w:val="26"/>
        </w:rPr>
        <w:t>.  The rounded average for those occupations is $85.00.</w:t>
      </w:r>
      <w:r w:rsidR="005E33A3">
        <w:rPr>
          <w:bCs/>
          <w:sz w:val="26"/>
        </w:rPr>
        <w:t xml:space="preserve">  </w:t>
      </w:r>
      <w:r w:rsidR="004A5813">
        <w:rPr>
          <w:bCs/>
          <w:sz w:val="26"/>
        </w:rPr>
        <w:t>For record</w:t>
      </w:r>
      <w:r w:rsidR="009B13F8">
        <w:rPr>
          <w:bCs/>
          <w:sz w:val="26"/>
        </w:rPr>
        <w:t>s management</w:t>
      </w:r>
      <w:r w:rsidR="004A5813">
        <w:rPr>
          <w:bCs/>
          <w:sz w:val="26"/>
        </w:rPr>
        <w:t xml:space="preserve"> requirements, we have determined the hourly cost to be </w:t>
      </w:r>
      <w:r w:rsidR="00C837C5">
        <w:rPr>
          <w:bCs/>
          <w:sz w:val="26"/>
        </w:rPr>
        <w:t>for File Clerks (</w:t>
      </w:r>
      <w:r w:rsidRPr="00DA313B" w:rsidR="00DA313B">
        <w:rPr>
          <w:bCs/>
          <w:sz w:val="26"/>
        </w:rPr>
        <w:t>Occupation Code 43-4071, $35.83/hour)</w:t>
      </w:r>
      <w:r w:rsidR="00DA313B">
        <w:rPr>
          <w:bCs/>
          <w:sz w:val="26"/>
        </w:rPr>
        <w:t>.</w:t>
      </w:r>
    </w:p>
    <w:p w:rsidR="004556D0" w:rsidP="00594614" w:rsidRDefault="00FE60DE" w14:paraId="741F6508" w14:textId="2211FB6A">
      <w:pPr>
        <w:spacing w:line="240" w:lineRule="auto"/>
        <w:rPr>
          <w:bCs/>
          <w:sz w:val="26"/>
        </w:rPr>
      </w:pPr>
      <w:r>
        <w:rPr>
          <w:bCs/>
          <w:sz w:val="26"/>
        </w:rPr>
        <w:t xml:space="preserve">The estimated burdens are itemized below in Tables </w:t>
      </w:r>
      <w:r w:rsidR="003C1CEA">
        <w:rPr>
          <w:bCs/>
          <w:sz w:val="26"/>
        </w:rPr>
        <w:t>12-1 through 12-</w:t>
      </w:r>
      <w:r w:rsidR="00261B1F">
        <w:rPr>
          <w:bCs/>
          <w:sz w:val="26"/>
        </w:rPr>
        <w:t>8</w:t>
      </w:r>
      <w:r w:rsidR="00065ABA">
        <w:rPr>
          <w:bCs/>
          <w:sz w:val="26"/>
        </w:rPr>
        <w:t>.  The content of each table is</w:t>
      </w:r>
      <w:r w:rsidR="00FC0F40">
        <w:rPr>
          <w:bCs/>
          <w:sz w:val="26"/>
        </w:rPr>
        <w:t>:</w:t>
      </w:r>
    </w:p>
    <w:p w:rsidR="00281467" w:rsidP="00281467" w:rsidRDefault="00281467" w14:paraId="26E6DFE2" w14:textId="77777777">
      <w:pPr>
        <w:spacing w:before="0" w:line="240" w:lineRule="auto"/>
        <w:rPr>
          <w:bCs/>
          <w:sz w:val="26"/>
        </w:rPr>
      </w:pPr>
    </w:p>
    <w:p w:rsidR="00FC0F40" w:rsidP="00C54712" w:rsidRDefault="001B2D66" w14:paraId="3BE6BFC8" w14:textId="3011DBE3">
      <w:pPr>
        <w:pStyle w:val="ListParagraph"/>
        <w:numPr>
          <w:ilvl w:val="0"/>
          <w:numId w:val="30"/>
        </w:numPr>
        <w:spacing w:before="0" w:line="240" w:lineRule="auto"/>
        <w:rPr>
          <w:bCs/>
          <w:sz w:val="26"/>
        </w:rPr>
      </w:pPr>
      <w:r>
        <w:rPr>
          <w:bCs/>
          <w:sz w:val="26"/>
        </w:rPr>
        <w:t xml:space="preserve">FERC-917:  </w:t>
      </w:r>
      <w:r w:rsidR="00FC0F40">
        <w:rPr>
          <w:bCs/>
          <w:sz w:val="26"/>
        </w:rPr>
        <w:t>Year 1 reporting burdens at Table 12-1;</w:t>
      </w:r>
    </w:p>
    <w:p w:rsidR="00FC0F40" w:rsidP="00C54712" w:rsidRDefault="001B2D66" w14:paraId="09BF30BF" w14:textId="071F7FBA">
      <w:pPr>
        <w:pStyle w:val="ListParagraph"/>
        <w:numPr>
          <w:ilvl w:val="0"/>
          <w:numId w:val="30"/>
        </w:numPr>
        <w:spacing w:before="0" w:line="240" w:lineRule="auto"/>
        <w:rPr>
          <w:bCs/>
          <w:sz w:val="26"/>
        </w:rPr>
      </w:pPr>
      <w:r>
        <w:rPr>
          <w:bCs/>
          <w:sz w:val="26"/>
        </w:rPr>
        <w:t xml:space="preserve">FERC-917:  </w:t>
      </w:r>
      <w:r w:rsidR="00FC0F40">
        <w:rPr>
          <w:bCs/>
          <w:sz w:val="26"/>
        </w:rPr>
        <w:t>Subsequent Years reporting burdens at Table 12-2;</w:t>
      </w:r>
    </w:p>
    <w:p w:rsidR="00FC0F40" w:rsidP="00C54712" w:rsidRDefault="001B2D66" w14:paraId="67D76923" w14:textId="53F1F2B7">
      <w:pPr>
        <w:pStyle w:val="ListParagraph"/>
        <w:numPr>
          <w:ilvl w:val="0"/>
          <w:numId w:val="30"/>
        </w:numPr>
        <w:spacing w:before="0" w:line="240" w:lineRule="auto"/>
        <w:rPr>
          <w:bCs/>
          <w:sz w:val="26"/>
        </w:rPr>
      </w:pPr>
      <w:r>
        <w:rPr>
          <w:bCs/>
          <w:sz w:val="26"/>
        </w:rPr>
        <w:t>FERC-</w:t>
      </w:r>
      <w:r w:rsidR="006C0BAF">
        <w:rPr>
          <w:bCs/>
          <w:sz w:val="26"/>
        </w:rPr>
        <w:t xml:space="preserve">917:  </w:t>
      </w:r>
      <w:r w:rsidR="00E23DBA">
        <w:rPr>
          <w:bCs/>
          <w:sz w:val="26"/>
        </w:rPr>
        <w:t>Year 1 records management burdens at Table 12-3;</w:t>
      </w:r>
    </w:p>
    <w:p w:rsidR="00E23DBA" w:rsidP="00C54712" w:rsidRDefault="006C0BAF" w14:paraId="49FBA8A4" w14:textId="68F42B5F">
      <w:pPr>
        <w:pStyle w:val="ListParagraph"/>
        <w:numPr>
          <w:ilvl w:val="0"/>
          <w:numId w:val="30"/>
        </w:numPr>
        <w:spacing w:before="0" w:line="240" w:lineRule="auto"/>
        <w:rPr>
          <w:bCs/>
          <w:sz w:val="26"/>
        </w:rPr>
      </w:pPr>
      <w:r>
        <w:rPr>
          <w:bCs/>
          <w:sz w:val="26"/>
        </w:rPr>
        <w:t xml:space="preserve">FERC-917:  </w:t>
      </w:r>
      <w:r w:rsidR="00E23DBA">
        <w:rPr>
          <w:bCs/>
          <w:sz w:val="26"/>
        </w:rPr>
        <w:t>Subsequent Years records management burdens at Table 12-4;</w:t>
      </w:r>
    </w:p>
    <w:p w:rsidR="006C0BAF" w:rsidP="00C54712" w:rsidRDefault="006C0BAF" w14:paraId="5918E835" w14:textId="271E88AF">
      <w:pPr>
        <w:pStyle w:val="ListParagraph"/>
        <w:numPr>
          <w:ilvl w:val="0"/>
          <w:numId w:val="30"/>
        </w:numPr>
        <w:spacing w:before="0" w:line="240" w:lineRule="auto"/>
        <w:rPr>
          <w:bCs/>
          <w:sz w:val="26"/>
        </w:rPr>
      </w:pPr>
      <w:r>
        <w:rPr>
          <w:bCs/>
          <w:sz w:val="26"/>
        </w:rPr>
        <w:t xml:space="preserve">FERC-516F:  </w:t>
      </w:r>
      <w:r w:rsidR="00E23DBA">
        <w:rPr>
          <w:bCs/>
          <w:sz w:val="26"/>
        </w:rPr>
        <w:t>Year 1 reporting</w:t>
      </w:r>
      <w:r>
        <w:rPr>
          <w:bCs/>
          <w:sz w:val="26"/>
        </w:rPr>
        <w:t xml:space="preserve"> burdens at Table 12-5;</w:t>
      </w:r>
    </w:p>
    <w:p w:rsidR="006C0BAF" w:rsidP="00AD3315" w:rsidRDefault="006C0BAF" w14:paraId="5183DEF6" w14:textId="39F17439">
      <w:pPr>
        <w:pStyle w:val="ListParagraph"/>
        <w:numPr>
          <w:ilvl w:val="0"/>
          <w:numId w:val="30"/>
        </w:numPr>
        <w:spacing w:before="0" w:line="240" w:lineRule="auto"/>
        <w:rPr>
          <w:bCs/>
          <w:sz w:val="26"/>
        </w:rPr>
      </w:pPr>
      <w:r w:rsidRPr="00C54712">
        <w:rPr>
          <w:bCs/>
          <w:sz w:val="26"/>
        </w:rPr>
        <w:t>FERC-516F:  Year 1 records management burdens at Table 12-6.</w:t>
      </w:r>
      <w:r w:rsidRPr="00C54712" w:rsidR="00C54712">
        <w:rPr>
          <w:bCs/>
          <w:sz w:val="26"/>
        </w:rPr>
        <w:t xml:space="preserve">  </w:t>
      </w:r>
      <w:r w:rsidRPr="00C54712">
        <w:rPr>
          <w:bCs/>
          <w:sz w:val="26"/>
        </w:rPr>
        <w:t>(There are no Subsequent Years burdens for FERC-516-F.</w:t>
      </w:r>
      <w:r w:rsidRPr="00C54712" w:rsidR="001709CB">
        <w:rPr>
          <w:bCs/>
          <w:sz w:val="26"/>
        </w:rPr>
        <w:t>)</w:t>
      </w:r>
      <w:r w:rsidR="00D87C27">
        <w:rPr>
          <w:bCs/>
          <w:sz w:val="26"/>
        </w:rPr>
        <w:t>;</w:t>
      </w:r>
    </w:p>
    <w:p w:rsidR="00D87C27" w:rsidP="00AD3315" w:rsidRDefault="00D87C27" w14:paraId="5C4864B6" w14:textId="2537BEAC">
      <w:pPr>
        <w:pStyle w:val="ListParagraph"/>
        <w:numPr>
          <w:ilvl w:val="0"/>
          <w:numId w:val="30"/>
        </w:numPr>
        <w:spacing w:before="0" w:line="240" w:lineRule="auto"/>
        <w:rPr>
          <w:bCs/>
          <w:sz w:val="26"/>
        </w:rPr>
      </w:pPr>
      <w:r>
        <w:rPr>
          <w:bCs/>
          <w:sz w:val="26"/>
        </w:rPr>
        <w:t xml:space="preserve">FERC-917:  Summary of </w:t>
      </w:r>
      <w:r w:rsidR="00B845A8">
        <w:rPr>
          <w:bCs/>
          <w:sz w:val="26"/>
        </w:rPr>
        <w:t xml:space="preserve">Year 1 </w:t>
      </w:r>
      <w:r>
        <w:rPr>
          <w:bCs/>
          <w:sz w:val="26"/>
        </w:rPr>
        <w:t>burden hours at Table 12-7</w:t>
      </w:r>
      <w:r w:rsidR="00B845A8">
        <w:rPr>
          <w:bCs/>
          <w:sz w:val="26"/>
        </w:rPr>
        <w:t>; and</w:t>
      </w:r>
    </w:p>
    <w:p w:rsidRPr="00C54712" w:rsidR="00B845A8" w:rsidP="00AD3315" w:rsidRDefault="00B845A8" w14:paraId="420EF17E" w14:textId="033196C5">
      <w:pPr>
        <w:pStyle w:val="ListParagraph"/>
        <w:numPr>
          <w:ilvl w:val="0"/>
          <w:numId w:val="30"/>
        </w:numPr>
        <w:spacing w:before="0" w:line="240" w:lineRule="auto"/>
        <w:rPr>
          <w:bCs/>
          <w:sz w:val="26"/>
        </w:rPr>
      </w:pPr>
      <w:r>
        <w:rPr>
          <w:bCs/>
          <w:sz w:val="26"/>
        </w:rPr>
        <w:t>FERC-917:  Summary of Subsequent Years burden hours at Table 12-8.</w:t>
      </w:r>
    </w:p>
    <w:p w:rsidR="002A4407" w:rsidP="00594614" w:rsidRDefault="003C1CEA" w14:paraId="3F3E2119" w14:textId="259C515D">
      <w:pPr>
        <w:spacing w:line="240" w:lineRule="auto"/>
        <w:rPr>
          <w:bCs/>
          <w:sz w:val="26"/>
        </w:rPr>
      </w:pPr>
      <w:r>
        <w:rPr>
          <w:bCs/>
          <w:sz w:val="26"/>
        </w:rPr>
        <w:t>P</w:t>
      </w:r>
      <w:r w:rsidRPr="003C1CEA" w:rsidR="00ED3938">
        <w:rPr>
          <w:bCs/>
          <w:sz w:val="26"/>
        </w:rPr>
        <w:t xml:space="preserve">lease note:  Every information collection activity in this </w:t>
      </w:r>
      <w:r w:rsidRPr="003C1CEA" w:rsidR="00E25DD0">
        <w:rPr>
          <w:bCs/>
          <w:sz w:val="26"/>
        </w:rPr>
        <w:t>request involves 1 response annually per respondent.  Therefore, the number of responses equals the number of respondents</w:t>
      </w:r>
      <w:r w:rsidRPr="003C1CEA" w:rsidR="008B1CC8">
        <w:rPr>
          <w:bCs/>
          <w:sz w:val="26"/>
        </w:rPr>
        <w:t>, and the number of respondents and responses is reported in a single column of each of the following tables.</w:t>
      </w:r>
    </w:p>
    <w:p w:rsidR="002A4407" w:rsidRDefault="002A4407" w14:paraId="78EA258A" w14:textId="77777777">
      <w:pPr>
        <w:widowControl/>
        <w:autoSpaceDE/>
        <w:autoSpaceDN/>
        <w:adjustRightInd/>
        <w:spacing w:before="0" w:line="240" w:lineRule="auto"/>
        <w:rPr>
          <w:bCs/>
          <w:sz w:val="26"/>
        </w:rPr>
      </w:pPr>
      <w:r>
        <w:rPr>
          <w:bCs/>
          <w:sz w:val="26"/>
        </w:rPr>
        <w:br w:type="page"/>
      </w:r>
    </w:p>
    <w:p w:rsidRPr="009A4EE6" w:rsidR="009A4EE6" w:rsidP="00594614" w:rsidRDefault="009A4EE6" w14:paraId="5F380545" w14:textId="3361CA04">
      <w:pPr>
        <w:spacing w:line="240" w:lineRule="auto"/>
        <w:rPr>
          <w:bCs/>
          <w:sz w:val="26"/>
          <w:u w:val="single"/>
        </w:rPr>
      </w:pPr>
      <w:r>
        <w:rPr>
          <w:bCs/>
          <w:sz w:val="26"/>
          <w:u w:val="single"/>
        </w:rPr>
        <w:t>Proposed Burden Estimates for FERC-917</w:t>
      </w:r>
      <w:r w:rsidR="009213B2">
        <w:rPr>
          <w:bCs/>
          <w:sz w:val="26"/>
          <w:u w:val="single"/>
        </w:rPr>
        <w:t xml:space="preserve">:  Reporting Requirements </w:t>
      </w:r>
      <w:r w:rsidR="00F9034F">
        <w:rPr>
          <w:bCs/>
          <w:sz w:val="26"/>
          <w:u w:val="single"/>
        </w:rPr>
        <w:t xml:space="preserve">in </w:t>
      </w:r>
      <w:r w:rsidR="009213B2">
        <w:rPr>
          <w:bCs/>
          <w:sz w:val="26"/>
          <w:u w:val="single"/>
        </w:rPr>
        <w:t>Year 1 and Subsequent Years</w:t>
      </w:r>
    </w:p>
    <w:p w:rsidR="006C3D15" w:rsidP="00594614" w:rsidRDefault="001B22FA" w14:paraId="107299C0" w14:textId="001DB8A7">
      <w:pPr>
        <w:spacing w:line="240" w:lineRule="auto"/>
        <w:rPr>
          <w:bCs/>
          <w:sz w:val="26"/>
        </w:rPr>
      </w:pPr>
      <w:r w:rsidRPr="001B22FA">
        <w:rPr>
          <w:bCs/>
          <w:sz w:val="26"/>
        </w:rPr>
        <w:t>The Commission estimates that the NOPR would affect the burden</w:t>
      </w:r>
      <w:r w:rsidRPr="001B22FA">
        <w:rPr>
          <w:b/>
          <w:bCs/>
          <w:sz w:val="26"/>
          <w:vertAlign w:val="superscript"/>
        </w:rPr>
        <w:footnoteReference w:id="10"/>
      </w:r>
      <w:r w:rsidRPr="001B22FA">
        <w:rPr>
          <w:bCs/>
          <w:sz w:val="26"/>
        </w:rPr>
        <w:t xml:space="preserve"> </w:t>
      </w:r>
      <w:r w:rsidR="00365C25">
        <w:rPr>
          <w:bCs/>
          <w:sz w:val="26"/>
        </w:rPr>
        <w:t xml:space="preserve">and cost of FERC-917 </w:t>
      </w:r>
      <w:r w:rsidR="009213B2">
        <w:rPr>
          <w:bCs/>
          <w:sz w:val="26"/>
        </w:rPr>
        <w:t xml:space="preserve">reporting requirements </w:t>
      </w:r>
      <w:r w:rsidR="009A4EE6">
        <w:rPr>
          <w:bCs/>
          <w:sz w:val="26"/>
        </w:rPr>
        <w:t xml:space="preserve">in Year 1 </w:t>
      </w:r>
      <w:r w:rsidR="00365C25">
        <w:rPr>
          <w:bCs/>
          <w:sz w:val="26"/>
        </w:rPr>
        <w:t>as shown in Table 12</w:t>
      </w:r>
      <w:r w:rsidR="000A2243">
        <w:rPr>
          <w:bCs/>
          <w:sz w:val="26"/>
        </w:rPr>
        <w:t>-1</w:t>
      </w:r>
      <w:r w:rsidR="009213B2">
        <w:rPr>
          <w:bCs/>
          <w:sz w:val="26"/>
        </w:rPr>
        <w:t xml:space="preserve">, </w:t>
      </w:r>
      <w:r w:rsidR="000A2243">
        <w:rPr>
          <w:bCs/>
          <w:sz w:val="26"/>
        </w:rPr>
        <w:t>and</w:t>
      </w:r>
      <w:r w:rsidR="009213B2">
        <w:rPr>
          <w:bCs/>
          <w:sz w:val="26"/>
        </w:rPr>
        <w:t xml:space="preserve"> in Subsequent Years as shown in Table</w:t>
      </w:r>
      <w:r w:rsidR="000A2243">
        <w:rPr>
          <w:bCs/>
          <w:sz w:val="26"/>
        </w:rPr>
        <w:t xml:space="preserve"> 12</w:t>
      </w:r>
      <w:r w:rsidR="00162D7D">
        <w:rPr>
          <w:bCs/>
          <w:sz w:val="26"/>
        </w:rPr>
        <w:t>-</w:t>
      </w:r>
      <w:r w:rsidR="000A2243">
        <w:rPr>
          <w:bCs/>
          <w:sz w:val="26"/>
        </w:rPr>
        <w:t>2, below:</w:t>
      </w:r>
    </w:p>
    <w:p w:rsidR="006C3D15" w:rsidRDefault="006C3D15" w14:paraId="0F41845C" w14:textId="75A92A12">
      <w:pPr>
        <w:widowControl/>
        <w:autoSpaceDE/>
        <w:autoSpaceDN/>
        <w:adjustRightInd/>
        <w:spacing w:before="0" w:line="240" w:lineRule="auto"/>
        <w:rPr>
          <w:bCs/>
          <w:sz w:val="26"/>
        </w:rPr>
      </w:pPr>
    </w:p>
    <w:p w:rsidR="00516DAA" w:rsidP="00516DAA" w:rsidRDefault="004E274D" w14:paraId="166DE1DD" w14:textId="4F12F1E4">
      <w:pPr>
        <w:spacing w:before="0" w:line="240" w:lineRule="auto"/>
        <w:jc w:val="center"/>
        <w:rPr>
          <w:b/>
          <w:sz w:val="26"/>
        </w:rPr>
      </w:pPr>
      <w:r>
        <w:rPr>
          <w:b/>
          <w:sz w:val="26"/>
        </w:rPr>
        <w:t>Table 12-1</w:t>
      </w:r>
    </w:p>
    <w:p w:rsidR="00B813E1" w:rsidP="00516DAA" w:rsidRDefault="00B813E1" w14:paraId="24D6A394" w14:textId="274350C0">
      <w:pPr>
        <w:spacing w:before="0" w:line="240" w:lineRule="auto"/>
        <w:jc w:val="center"/>
        <w:rPr>
          <w:b/>
          <w:sz w:val="26"/>
        </w:rPr>
      </w:pPr>
      <w:r>
        <w:rPr>
          <w:b/>
          <w:sz w:val="26"/>
        </w:rPr>
        <w:t xml:space="preserve">Proposed Revisions of FERC-917 in </w:t>
      </w:r>
      <w:r w:rsidR="000729F3">
        <w:rPr>
          <w:b/>
          <w:sz w:val="26"/>
        </w:rPr>
        <w:t>the NOPR at Docket No. RM21-17:</w:t>
      </w:r>
    </w:p>
    <w:p w:rsidR="001D7EC1" w:rsidP="000729F3" w:rsidRDefault="00382E2E" w14:paraId="28147561" w14:textId="7B6A1769">
      <w:pPr>
        <w:spacing w:before="0" w:line="240" w:lineRule="auto"/>
        <w:jc w:val="center"/>
        <w:rPr>
          <w:b/>
          <w:sz w:val="26"/>
        </w:rPr>
      </w:pPr>
      <w:r>
        <w:rPr>
          <w:b/>
          <w:sz w:val="26"/>
        </w:rPr>
        <w:t xml:space="preserve">Burden Hours </w:t>
      </w:r>
      <w:r w:rsidR="000729F3">
        <w:rPr>
          <w:b/>
          <w:sz w:val="26"/>
        </w:rPr>
        <w:t>and Costs</w:t>
      </w:r>
    </w:p>
    <w:p w:rsidR="001F4CC2" w:rsidP="001F4CC2" w:rsidRDefault="001F4CC2" w14:paraId="7B666878" w14:textId="22E114EC">
      <w:pPr>
        <w:spacing w:before="0" w:line="240" w:lineRule="auto"/>
        <w:jc w:val="center"/>
        <w:rPr>
          <w:b/>
          <w:sz w:val="26"/>
          <w:u w:val="single"/>
        </w:rPr>
      </w:pPr>
      <w:r>
        <w:rPr>
          <w:b/>
          <w:sz w:val="26"/>
          <w:u w:val="single"/>
        </w:rPr>
        <w:t>Year 1 Reporting Requirements</w:t>
      </w:r>
    </w:p>
    <w:p w:rsidR="00606B5F" w:rsidP="00341D13" w:rsidRDefault="00606B5F" w14:paraId="47D270B3" w14:textId="12E17710">
      <w:pPr>
        <w:spacing w:before="0" w:line="240" w:lineRule="auto"/>
        <w:rPr>
          <w:b/>
          <w:sz w:val="26"/>
        </w:rPr>
      </w:pPr>
    </w:p>
    <w:tbl>
      <w:tblPr>
        <w:tblStyle w:val="TableGrid"/>
        <w:tblW w:w="0" w:type="auto"/>
        <w:tblLook w:val="04A0" w:firstRow="1" w:lastRow="0" w:firstColumn="1" w:lastColumn="0" w:noHBand="0" w:noVBand="1"/>
      </w:tblPr>
      <w:tblGrid>
        <w:gridCol w:w="1468"/>
        <w:gridCol w:w="1256"/>
        <w:gridCol w:w="1361"/>
        <w:gridCol w:w="1361"/>
        <w:gridCol w:w="1361"/>
        <w:gridCol w:w="1361"/>
        <w:gridCol w:w="1182"/>
      </w:tblGrid>
      <w:tr w:rsidRPr="000C282F" w:rsidR="009E2D9D" w:rsidTr="00266212" w14:paraId="3DAF8ED4" w14:textId="715692A6">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65195F" w:rsidP="008978E0" w:rsidRDefault="0065195F" w14:paraId="25FAB7C2" w14:textId="05956F3D">
            <w:pPr>
              <w:spacing w:before="0" w:line="240" w:lineRule="auto"/>
              <w:jc w:val="center"/>
              <w:rPr>
                <w:b/>
                <w:bCs/>
                <w:sz w:val="20"/>
              </w:rPr>
            </w:pPr>
            <w:r w:rsidRPr="001F6D8F">
              <w:rPr>
                <w:b/>
                <w:bCs/>
                <w:sz w:val="20"/>
              </w:rPr>
              <w:t>A.</w:t>
            </w:r>
          </w:p>
          <w:p w:rsidRPr="001F6D8F" w:rsidR="0065195F" w:rsidP="008978E0" w:rsidRDefault="0065195F" w14:paraId="57C74AAF" w14:textId="5B389D63">
            <w:pPr>
              <w:spacing w:before="0" w:line="240" w:lineRule="auto"/>
              <w:jc w:val="center"/>
              <w:rPr>
                <w:b/>
                <w:bCs/>
                <w:sz w:val="20"/>
              </w:rPr>
            </w:pPr>
            <w:r w:rsidRPr="001F6D8F">
              <w:rPr>
                <w:b/>
                <w:bCs/>
                <w:sz w:val="20"/>
              </w:rPr>
              <w:t>Area of Modification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65195F" w:rsidP="008978E0" w:rsidRDefault="0065195F" w14:paraId="1388FDA9" w14:textId="77777777">
            <w:pPr>
              <w:spacing w:before="0" w:line="240" w:lineRule="auto"/>
              <w:jc w:val="center"/>
              <w:rPr>
                <w:b/>
                <w:bCs/>
                <w:sz w:val="20"/>
              </w:rPr>
            </w:pPr>
            <w:r w:rsidRPr="001F6D8F">
              <w:rPr>
                <w:b/>
                <w:bCs/>
                <w:sz w:val="20"/>
              </w:rPr>
              <w:t>B.</w:t>
            </w:r>
          </w:p>
          <w:p w:rsidRPr="001F6D8F" w:rsidR="0065195F" w:rsidP="008978E0" w:rsidRDefault="0065195F" w14:paraId="57E3FF12" w14:textId="4E5967DB">
            <w:pPr>
              <w:spacing w:before="0" w:line="240" w:lineRule="auto"/>
              <w:jc w:val="center"/>
              <w:rPr>
                <w:b/>
                <w:bCs/>
                <w:sz w:val="20"/>
              </w:rPr>
            </w:pPr>
            <w:r w:rsidRPr="001F6D8F">
              <w:rPr>
                <w:b/>
                <w:bCs/>
                <w:sz w:val="20"/>
              </w:rPr>
              <w:t>Annual Number of Respondents</w:t>
            </w:r>
            <w:r>
              <w:rPr>
                <w:b/>
                <w:bCs/>
                <w:sz w:val="20"/>
              </w:rPr>
              <w:t xml:space="preserve"> and Responses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65195F" w:rsidP="008978E0" w:rsidRDefault="0065195F" w14:paraId="3695B097" w14:textId="6D78DE55">
            <w:pPr>
              <w:spacing w:before="0" w:line="240" w:lineRule="auto"/>
              <w:jc w:val="center"/>
              <w:rPr>
                <w:b/>
                <w:bCs/>
                <w:sz w:val="20"/>
              </w:rPr>
            </w:pPr>
            <w:r>
              <w:rPr>
                <w:b/>
                <w:bCs/>
                <w:sz w:val="20"/>
              </w:rPr>
              <w:t>C</w:t>
            </w:r>
            <w:r w:rsidRPr="001F6D8F">
              <w:rPr>
                <w:b/>
                <w:bCs/>
                <w:sz w:val="20"/>
              </w:rPr>
              <w:t>.</w:t>
            </w:r>
          </w:p>
          <w:p w:rsidRPr="001F6D8F" w:rsidR="0065195F" w:rsidP="008978E0" w:rsidRDefault="00943295" w14:paraId="660349D9" w14:textId="5932AEDB">
            <w:pPr>
              <w:spacing w:before="0" w:line="240" w:lineRule="auto"/>
              <w:jc w:val="center"/>
              <w:rPr>
                <w:b/>
                <w:bCs/>
                <w:sz w:val="20"/>
              </w:rPr>
            </w:pPr>
            <w:r>
              <w:rPr>
                <w:b/>
                <w:bCs/>
                <w:sz w:val="20"/>
              </w:rPr>
              <w:t xml:space="preserve">Annual </w:t>
            </w:r>
            <w:r w:rsidRPr="001F6D8F" w:rsidR="0065195F">
              <w:rPr>
                <w:b/>
                <w:bCs/>
                <w:sz w:val="20"/>
              </w:rPr>
              <w:t>Average Burden Hours</w:t>
            </w:r>
            <w:r w:rsidR="0065195F">
              <w:rPr>
                <w:b/>
                <w:bCs/>
                <w:sz w:val="20"/>
              </w:rPr>
              <w:t xml:space="preserve"> per Response for Reporting</w:t>
            </w:r>
            <w:r w:rsidR="00606B5F">
              <w:rPr>
                <w:b/>
                <w:bCs/>
                <w:sz w:val="20"/>
              </w:rPr>
              <w:t xml:space="preserve"> Requirements</w:t>
            </w:r>
          </w:p>
        </w:tc>
        <w:tc>
          <w:tcPr>
            <w:tcW w:w="0" w:type="auto"/>
            <w:tcBorders>
              <w:top w:val="single" w:color="auto" w:sz="4" w:space="0"/>
              <w:left w:val="single" w:color="auto" w:sz="4" w:space="0"/>
              <w:bottom w:val="single" w:color="auto" w:sz="4" w:space="0"/>
              <w:right w:val="single" w:color="auto" w:sz="4" w:space="0"/>
            </w:tcBorders>
            <w:vAlign w:val="bottom"/>
          </w:tcPr>
          <w:p w:rsidR="0065195F" w:rsidP="008978E0" w:rsidRDefault="0065195F" w14:paraId="2D5F49A3" w14:textId="77777777">
            <w:pPr>
              <w:spacing w:before="0" w:line="240" w:lineRule="auto"/>
              <w:jc w:val="center"/>
              <w:rPr>
                <w:b/>
                <w:bCs/>
                <w:sz w:val="20"/>
              </w:rPr>
            </w:pPr>
            <w:r>
              <w:rPr>
                <w:b/>
                <w:bCs/>
                <w:sz w:val="20"/>
              </w:rPr>
              <w:t>D.</w:t>
            </w:r>
          </w:p>
          <w:p w:rsidRPr="001F6D8F" w:rsidR="0065195F" w:rsidP="008978E0" w:rsidRDefault="00943295" w14:paraId="6E8B95C2" w14:textId="23B4F257">
            <w:pPr>
              <w:spacing w:before="0" w:line="240" w:lineRule="auto"/>
              <w:jc w:val="center"/>
              <w:rPr>
                <w:b/>
                <w:bCs/>
                <w:sz w:val="20"/>
              </w:rPr>
            </w:pPr>
            <w:r>
              <w:rPr>
                <w:b/>
                <w:bCs/>
                <w:sz w:val="20"/>
              </w:rPr>
              <w:t xml:space="preserve">Annual </w:t>
            </w:r>
            <w:r w:rsidRPr="001F6D8F" w:rsidR="0065195F">
              <w:rPr>
                <w:b/>
                <w:bCs/>
                <w:sz w:val="20"/>
              </w:rPr>
              <w:t>Total Estimated Burden Hours</w:t>
            </w:r>
            <w:r w:rsidR="0065195F">
              <w:rPr>
                <w:b/>
                <w:bCs/>
                <w:sz w:val="20"/>
              </w:rPr>
              <w:t xml:space="preserve"> for Reporting</w:t>
            </w:r>
            <w:r w:rsidR="00606B5F">
              <w:rPr>
                <w:b/>
                <w:bCs/>
                <w:sz w:val="20"/>
              </w:rPr>
              <w:t xml:space="preserve"> Requirements</w:t>
            </w:r>
          </w:p>
          <w:p w:rsidRPr="001F6D8F" w:rsidR="0065195F" w:rsidP="008978E0" w:rsidRDefault="0065195F" w14:paraId="7BFD1E8C" w14:textId="740FDBDC">
            <w:pPr>
              <w:spacing w:before="0" w:line="240" w:lineRule="auto"/>
              <w:jc w:val="center"/>
              <w:rPr>
                <w:b/>
                <w:bCs/>
                <w:sz w:val="20"/>
              </w:rPr>
            </w:pPr>
            <w:r w:rsidRPr="001F6D8F">
              <w:rPr>
                <w:b/>
                <w:bCs/>
                <w:sz w:val="20"/>
              </w:rPr>
              <w:t xml:space="preserve">(Column </w:t>
            </w:r>
            <w:r>
              <w:rPr>
                <w:b/>
                <w:bCs/>
                <w:sz w:val="20"/>
              </w:rPr>
              <w:t>B</w:t>
            </w:r>
            <w:r w:rsidR="00606B5F">
              <w:rPr>
                <w:b/>
                <w:bCs/>
                <w:sz w:val="20"/>
              </w:rPr>
              <w:t xml:space="preserve"> </w:t>
            </w:r>
            <w:r w:rsidRPr="001F6D8F">
              <w:rPr>
                <w:b/>
                <w:bCs/>
                <w:sz w:val="20"/>
              </w:rPr>
              <w:t xml:space="preserve"> x</w:t>
            </w:r>
          </w:p>
          <w:p w:rsidRPr="001F6D8F" w:rsidR="0065195F" w:rsidP="008978E0" w:rsidRDefault="0065195F" w14:paraId="4486506F" w14:textId="3889D06E">
            <w:pPr>
              <w:spacing w:before="0" w:line="240" w:lineRule="auto"/>
              <w:jc w:val="center"/>
              <w:rPr>
                <w:b/>
                <w:bCs/>
                <w:sz w:val="20"/>
              </w:rPr>
            </w:pPr>
            <w:r w:rsidRPr="001F6D8F">
              <w:rPr>
                <w:b/>
                <w:bCs/>
                <w:sz w:val="20"/>
              </w:rPr>
              <w:t xml:space="preserve">Column </w:t>
            </w:r>
            <w:r>
              <w:rPr>
                <w:b/>
                <w:bCs/>
                <w:sz w:val="20"/>
              </w:rPr>
              <w:t>C</w:t>
            </w:r>
            <w:r w:rsidRPr="001F6D8F">
              <w:rPr>
                <w:b/>
                <w:bCs/>
                <w:sz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783D36" w:rsidR="008012C6" w:rsidP="00FA185A" w:rsidRDefault="0065195F" w14:paraId="26C128BF" w14:textId="70DD7783">
            <w:pPr>
              <w:spacing w:before="0" w:line="240" w:lineRule="auto"/>
              <w:jc w:val="center"/>
              <w:rPr>
                <w:b/>
                <w:bCs/>
                <w:sz w:val="20"/>
              </w:rPr>
            </w:pPr>
            <w:r>
              <w:rPr>
                <w:b/>
                <w:bCs/>
                <w:sz w:val="20"/>
              </w:rPr>
              <w:t>E.</w:t>
            </w:r>
          </w:p>
          <w:p w:rsidRPr="00783D36" w:rsidR="008012C6" w:rsidP="008012C6" w:rsidRDefault="00943295" w14:paraId="5B45014D" w14:textId="2EA05BA4">
            <w:pPr>
              <w:spacing w:before="0" w:line="240" w:lineRule="auto"/>
              <w:jc w:val="center"/>
              <w:rPr>
                <w:b/>
                <w:bCs/>
                <w:sz w:val="20"/>
              </w:rPr>
            </w:pPr>
            <w:r>
              <w:rPr>
                <w:b/>
                <w:bCs/>
                <w:sz w:val="20"/>
              </w:rPr>
              <w:t xml:space="preserve">Annual </w:t>
            </w:r>
            <w:r w:rsidRPr="00783D36" w:rsidR="008012C6">
              <w:rPr>
                <w:b/>
                <w:bCs/>
                <w:sz w:val="20"/>
              </w:rPr>
              <w:t>Cost per Response for Reporting</w:t>
            </w:r>
            <w:r w:rsidR="00FA185A">
              <w:rPr>
                <w:b/>
                <w:bCs/>
                <w:sz w:val="20"/>
              </w:rPr>
              <w:t xml:space="preserve"> Requirements</w:t>
            </w:r>
          </w:p>
          <w:p w:rsidR="00B07523" w:rsidP="008012C6" w:rsidRDefault="008012C6" w14:paraId="41AD71CA" w14:textId="77777777">
            <w:pPr>
              <w:spacing w:before="0" w:line="240" w:lineRule="auto"/>
              <w:jc w:val="center"/>
              <w:rPr>
                <w:b/>
                <w:sz w:val="20"/>
              </w:rPr>
            </w:pPr>
            <w:r w:rsidRPr="00783D36">
              <w:rPr>
                <w:b/>
                <w:sz w:val="20"/>
              </w:rPr>
              <w:t>(</w:t>
            </w:r>
            <w:r w:rsidR="00FA185A">
              <w:rPr>
                <w:b/>
                <w:sz w:val="20"/>
              </w:rPr>
              <w:t xml:space="preserve">Column </w:t>
            </w:r>
            <w:r w:rsidR="00B07523">
              <w:rPr>
                <w:b/>
                <w:sz w:val="20"/>
              </w:rPr>
              <w:t>C x</w:t>
            </w:r>
          </w:p>
          <w:p w:rsidRPr="001F6D8F" w:rsidR="0065195F" w:rsidP="00DA636B" w:rsidRDefault="008012C6" w14:paraId="55968003" w14:textId="5BA3E3E0">
            <w:pPr>
              <w:spacing w:before="0" w:line="240" w:lineRule="auto"/>
              <w:jc w:val="center"/>
              <w:rPr>
                <w:b/>
                <w:bCs/>
                <w:sz w:val="20"/>
              </w:rPr>
            </w:pPr>
            <w:r w:rsidRPr="00783D36">
              <w:rPr>
                <w:b/>
                <w:sz w:val="20"/>
              </w:rPr>
              <w:t>$85 per hour)</w:t>
            </w:r>
          </w:p>
        </w:tc>
        <w:tc>
          <w:tcPr>
            <w:tcW w:w="0" w:type="auto"/>
            <w:tcBorders>
              <w:top w:val="single" w:color="auto" w:sz="4" w:space="0"/>
              <w:left w:val="single" w:color="auto" w:sz="4" w:space="0"/>
              <w:bottom w:val="single" w:color="auto" w:sz="4" w:space="0"/>
              <w:right w:val="single" w:color="auto" w:sz="4" w:space="0"/>
            </w:tcBorders>
            <w:vAlign w:val="bottom"/>
          </w:tcPr>
          <w:p w:rsidR="0065195F" w:rsidP="008978E0" w:rsidRDefault="0065195F" w14:paraId="32901C04" w14:textId="2A44A81B">
            <w:pPr>
              <w:spacing w:before="0" w:line="240" w:lineRule="auto"/>
              <w:jc w:val="center"/>
              <w:rPr>
                <w:b/>
                <w:bCs/>
                <w:sz w:val="20"/>
              </w:rPr>
            </w:pPr>
            <w:r>
              <w:rPr>
                <w:b/>
                <w:bCs/>
                <w:sz w:val="20"/>
              </w:rPr>
              <w:t>F.</w:t>
            </w:r>
          </w:p>
          <w:p w:rsidR="0065195F" w:rsidP="009E2D9D" w:rsidRDefault="00943295" w14:paraId="6021439F" w14:textId="2EDAC427">
            <w:pPr>
              <w:spacing w:before="0" w:line="240" w:lineRule="auto"/>
              <w:jc w:val="center"/>
              <w:rPr>
                <w:b/>
                <w:sz w:val="20"/>
              </w:rPr>
            </w:pPr>
            <w:r>
              <w:rPr>
                <w:b/>
                <w:sz w:val="20"/>
              </w:rPr>
              <w:t xml:space="preserve">Annual </w:t>
            </w:r>
            <w:r w:rsidRPr="00783D36" w:rsidR="001D3AAC">
              <w:rPr>
                <w:b/>
                <w:sz w:val="20"/>
              </w:rPr>
              <w:t>Total Estimated Cost for Reporting</w:t>
            </w:r>
            <w:r w:rsidR="009E2D9D">
              <w:rPr>
                <w:b/>
                <w:sz w:val="20"/>
              </w:rPr>
              <w:t xml:space="preserve"> Requirements</w:t>
            </w:r>
          </w:p>
          <w:p w:rsidRPr="001F6D8F" w:rsidR="009E2D9D" w:rsidP="009E2D9D" w:rsidRDefault="009E2D9D" w14:paraId="3DD6F56B" w14:textId="2A9BD108">
            <w:pPr>
              <w:spacing w:before="0" w:line="240" w:lineRule="auto"/>
              <w:jc w:val="center"/>
              <w:rPr>
                <w:b/>
                <w:bCs/>
                <w:sz w:val="20"/>
              </w:rPr>
            </w:pPr>
            <w:r>
              <w:rPr>
                <w:b/>
                <w:bCs/>
                <w:sz w:val="20"/>
              </w:rPr>
              <w:t>(</w:t>
            </w:r>
            <w:r w:rsidR="000757E1">
              <w:rPr>
                <w:b/>
                <w:bCs/>
                <w:sz w:val="20"/>
              </w:rPr>
              <w:t>Column D</w:t>
            </w:r>
            <w:r w:rsidR="00AD1B59">
              <w:rPr>
                <w:b/>
                <w:bCs/>
                <w:sz w:val="20"/>
              </w:rPr>
              <w:t xml:space="preserve"> x </w:t>
            </w:r>
            <w:r w:rsidR="003822F2">
              <w:rPr>
                <w:b/>
                <w:bCs/>
                <w:sz w:val="20"/>
              </w:rPr>
              <w:t>$85 per hour</w:t>
            </w:r>
            <w:r w:rsidR="00AD1B59">
              <w:rPr>
                <w:b/>
                <w:bCs/>
                <w:sz w:val="20"/>
              </w:rPr>
              <w:t>)</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65195F" w:rsidP="008978E0" w:rsidRDefault="0065195F" w14:paraId="2734F5BB" w14:textId="27EB8A5E">
            <w:pPr>
              <w:spacing w:before="0" w:line="240" w:lineRule="auto"/>
              <w:jc w:val="center"/>
              <w:rPr>
                <w:b/>
                <w:bCs/>
                <w:sz w:val="20"/>
              </w:rPr>
            </w:pPr>
            <w:r>
              <w:rPr>
                <w:b/>
                <w:bCs/>
                <w:sz w:val="20"/>
              </w:rPr>
              <w:t>G</w:t>
            </w:r>
            <w:r w:rsidRPr="001F6D8F">
              <w:rPr>
                <w:b/>
                <w:bCs/>
                <w:sz w:val="20"/>
              </w:rPr>
              <w:t>.</w:t>
            </w:r>
          </w:p>
          <w:p w:rsidRPr="001F6D8F" w:rsidR="0065195F" w:rsidP="008978E0" w:rsidRDefault="00943295" w14:paraId="340EFA92" w14:textId="5A5E0C0D">
            <w:pPr>
              <w:spacing w:before="0" w:line="240" w:lineRule="auto"/>
              <w:jc w:val="center"/>
              <w:rPr>
                <w:b/>
                <w:bCs/>
                <w:sz w:val="20"/>
              </w:rPr>
            </w:pPr>
            <w:r>
              <w:rPr>
                <w:b/>
                <w:bCs/>
                <w:sz w:val="20"/>
              </w:rPr>
              <w:t>Ann</w:t>
            </w:r>
            <w:r w:rsidR="00480D05">
              <w:rPr>
                <w:b/>
                <w:bCs/>
                <w:sz w:val="20"/>
              </w:rPr>
              <w:t xml:space="preserve">ual </w:t>
            </w:r>
            <w:r w:rsidR="00AD1B59">
              <w:rPr>
                <w:b/>
                <w:bCs/>
                <w:sz w:val="20"/>
              </w:rPr>
              <w:t>Cost per Respondent</w:t>
            </w:r>
          </w:p>
        </w:tc>
      </w:tr>
      <w:tr w:rsidRPr="00C53B32" w:rsidR="009E2D9D" w:rsidTr="00266212" w14:paraId="38E8CAD5" w14:textId="5EB0A657">
        <w:trPr>
          <w:cantSpli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1F6D8F" w:rsidR="0065195F" w:rsidP="007B3F2D" w:rsidRDefault="0065195F" w14:paraId="7392E5F0" w14:textId="77777777">
            <w:pPr>
              <w:spacing w:before="0" w:line="240" w:lineRule="auto"/>
              <w:jc w:val="center"/>
              <w:rPr>
                <w:sz w:val="20"/>
              </w:rPr>
            </w:pPr>
            <w:r w:rsidRPr="001F6D8F">
              <w:rPr>
                <w:sz w:val="20"/>
              </w:rPr>
              <w:t>Participate in Long-Term Regional Transmission Planning, which includes developing Long-Term Scenarios, evaluating the benefits of regional transmission facilities, and establishing criteria in consultation with states to select transmission facilities in the regional transmission plan for purposes of cost allocation</w:t>
            </w:r>
          </w:p>
          <w:p w:rsidRPr="001F6D8F" w:rsidR="0065195F" w:rsidP="007B3F2D" w:rsidRDefault="0065195F" w14:paraId="1E9E97BC" w14:textId="5D30780A">
            <w:pPr>
              <w:spacing w:before="0" w:line="240" w:lineRule="auto"/>
              <w:jc w:val="center"/>
              <w:rPr>
                <w:sz w:val="20"/>
              </w:rPr>
            </w:pPr>
            <w:r w:rsidRPr="001F6D8F">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65195F" w:rsidP="00061790" w:rsidRDefault="0065195F" w14:paraId="452FD0CD" w14:textId="3E4DB2C6">
            <w:pPr>
              <w:spacing w:before="0" w:line="240" w:lineRule="auto"/>
              <w:jc w:val="right"/>
              <w:rPr>
                <w:sz w:val="20"/>
              </w:rPr>
            </w:pPr>
            <w:r w:rsidRPr="001F6D8F">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65195F" w:rsidP="00CA1FF4" w:rsidRDefault="0065195F" w14:paraId="41C9FC31" w14:textId="3AF387A9">
            <w:pPr>
              <w:spacing w:before="0" w:line="240" w:lineRule="auto"/>
              <w:jc w:val="right"/>
              <w:rPr>
                <w:sz w:val="20"/>
                <w:u w:val="single"/>
              </w:rPr>
            </w:pPr>
            <w:r w:rsidRPr="001F6D8F">
              <w:rPr>
                <w:sz w:val="20"/>
              </w:rPr>
              <w:t>120 hours</w:t>
            </w:r>
          </w:p>
        </w:tc>
        <w:tc>
          <w:tcPr>
            <w:tcW w:w="0" w:type="auto"/>
            <w:tcBorders>
              <w:top w:val="single" w:color="auto" w:sz="4" w:space="0"/>
              <w:left w:val="single" w:color="auto" w:sz="4" w:space="0"/>
              <w:bottom w:val="single" w:color="auto" w:sz="4" w:space="0"/>
              <w:right w:val="single" w:color="auto" w:sz="4" w:space="0"/>
            </w:tcBorders>
            <w:vAlign w:val="bottom"/>
          </w:tcPr>
          <w:p w:rsidRPr="00734E40" w:rsidR="0065195F" w:rsidP="00061790" w:rsidRDefault="0065195F" w14:paraId="27F7CF8A" w14:textId="5889B8DA">
            <w:pPr>
              <w:spacing w:before="0" w:line="240" w:lineRule="auto"/>
              <w:jc w:val="right"/>
              <w:rPr>
                <w:sz w:val="20"/>
              </w:rPr>
            </w:pPr>
            <w:r w:rsidRPr="00734E40">
              <w:rPr>
                <w:sz w:val="20"/>
              </w:rPr>
              <w:t>15,000 hours</w:t>
            </w:r>
          </w:p>
        </w:tc>
        <w:tc>
          <w:tcPr>
            <w:tcW w:w="0" w:type="auto"/>
            <w:tcBorders>
              <w:top w:val="single" w:color="auto" w:sz="4" w:space="0"/>
              <w:left w:val="single" w:color="auto" w:sz="4" w:space="0"/>
              <w:bottom w:val="single" w:color="auto" w:sz="4" w:space="0"/>
              <w:right w:val="single" w:color="auto" w:sz="4" w:space="0"/>
            </w:tcBorders>
            <w:vAlign w:val="bottom"/>
          </w:tcPr>
          <w:p w:rsidRPr="00680BC2" w:rsidR="0065195F" w:rsidP="00061790" w:rsidRDefault="001072A0" w14:paraId="352D3BA4" w14:textId="065910B1">
            <w:pPr>
              <w:spacing w:before="0" w:line="240" w:lineRule="auto"/>
              <w:jc w:val="right"/>
              <w:rPr>
                <w:sz w:val="20"/>
              </w:rPr>
            </w:pPr>
            <w:r>
              <w:rPr>
                <w:sz w:val="20"/>
              </w:rPr>
              <w:t>$</w:t>
            </w:r>
            <w:r w:rsidR="000929BE">
              <w:rPr>
                <w:sz w:val="20"/>
              </w:rPr>
              <w:t>10,</w:t>
            </w:r>
            <w:r w:rsidR="005F0B87">
              <w:rPr>
                <w:sz w:val="20"/>
              </w:rPr>
              <w:t>200</w:t>
            </w:r>
          </w:p>
        </w:tc>
        <w:tc>
          <w:tcPr>
            <w:tcW w:w="0" w:type="auto"/>
            <w:tcBorders>
              <w:top w:val="single" w:color="auto" w:sz="4" w:space="0"/>
              <w:left w:val="single" w:color="auto" w:sz="4" w:space="0"/>
              <w:bottom w:val="single" w:color="auto" w:sz="4" w:space="0"/>
              <w:right w:val="single" w:color="auto" w:sz="4" w:space="0"/>
            </w:tcBorders>
            <w:vAlign w:val="bottom"/>
          </w:tcPr>
          <w:p w:rsidRPr="003B0DF9" w:rsidR="0065195F" w:rsidP="00061790" w:rsidRDefault="003822F2" w14:paraId="4A2B2B6D" w14:textId="7AB3726D">
            <w:pPr>
              <w:spacing w:before="0" w:line="240" w:lineRule="auto"/>
              <w:jc w:val="right"/>
              <w:rPr>
                <w:sz w:val="20"/>
              </w:rPr>
            </w:pPr>
            <w:r>
              <w:rPr>
                <w:sz w:val="20"/>
              </w:rPr>
              <w:t>$1,275,000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65195F" w:rsidP="001575EC" w:rsidRDefault="003822F2" w14:paraId="7CDCAD14" w14:textId="469EDAF7">
            <w:pPr>
              <w:spacing w:before="0" w:line="240" w:lineRule="auto"/>
              <w:jc w:val="right"/>
              <w:rPr>
                <w:sz w:val="20"/>
              </w:rPr>
            </w:pPr>
            <w:r>
              <w:rPr>
                <w:sz w:val="20"/>
              </w:rPr>
              <w:t>$10,200</w:t>
            </w:r>
          </w:p>
        </w:tc>
      </w:tr>
      <w:tr w:rsidRPr="00647CF7" w:rsidR="009E2D9D" w:rsidTr="00266212" w14:paraId="0EF62E0F" w14:textId="12265A7B">
        <w:trPr>
          <w:cantSpli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827301" w:rsidR="0065195F" w:rsidP="007B3F2D" w:rsidRDefault="0065195F" w14:paraId="52A324A5" w14:textId="77777777">
            <w:pPr>
              <w:spacing w:before="0" w:line="240" w:lineRule="auto"/>
              <w:jc w:val="center"/>
              <w:rPr>
                <w:sz w:val="20"/>
              </w:rPr>
            </w:pPr>
            <w:r w:rsidRPr="00827301">
              <w:rPr>
                <w:sz w:val="20"/>
              </w:rPr>
              <w:t>Revise the regional transmission planning process to enhance transparency of local transmission planning and identifying potential opportunities to right-size replacement transmission facilities</w:t>
            </w:r>
          </w:p>
          <w:p w:rsidRPr="00827301" w:rsidR="001F3F72" w:rsidP="007B3F2D" w:rsidRDefault="001F3F72" w14:paraId="2DCC0A9C" w14:textId="0887796A">
            <w:pPr>
              <w:spacing w:before="0" w:line="240" w:lineRule="auto"/>
              <w:jc w:val="center"/>
              <w:rPr>
                <w:sz w:val="20"/>
              </w:rPr>
            </w:pPr>
            <w:r w:rsidRPr="00827301">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27301" w:rsidR="0065195F" w:rsidP="00061790" w:rsidRDefault="0065195F" w14:paraId="07BFC643" w14:textId="6EF1634E">
            <w:pPr>
              <w:spacing w:before="0" w:line="240" w:lineRule="auto"/>
              <w:jc w:val="right"/>
              <w:rPr>
                <w:sz w:val="20"/>
              </w:rPr>
            </w:pPr>
            <w:r w:rsidRPr="00827301">
              <w:rPr>
                <w:sz w:val="20"/>
              </w:rPr>
              <w:t>12</w:t>
            </w:r>
            <w:r w:rsidRPr="00827301" w:rsidR="00D17766">
              <w:rPr>
                <w:sz w:val="20"/>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27301" w:rsidR="0065195F" w:rsidP="00061790" w:rsidRDefault="00D32CAA" w14:paraId="36518D34" w14:textId="37361E10">
            <w:pPr>
              <w:spacing w:before="0" w:line="240" w:lineRule="auto"/>
              <w:jc w:val="right"/>
              <w:rPr>
                <w:sz w:val="20"/>
                <w:u w:val="single"/>
              </w:rPr>
            </w:pPr>
            <w:r w:rsidRPr="00827301">
              <w:rPr>
                <w:sz w:val="20"/>
              </w:rPr>
              <w:t>10 hours</w:t>
            </w:r>
          </w:p>
        </w:tc>
        <w:tc>
          <w:tcPr>
            <w:tcW w:w="0" w:type="auto"/>
            <w:tcBorders>
              <w:top w:val="single" w:color="auto" w:sz="4" w:space="0"/>
              <w:left w:val="single" w:color="auto" w:sz="4" w:space="0"/>
              <w:bottom w:val="single" w:color="auto" w:sz="4" w:space="0"/>
              <w:right w:val="single" w:color="auto" w:sz="4" w:space="0"/>
            </w:tcBorders>
            <w:vAlign w:val="bottom"/>
          </w:tcPr>
          <w:p w:rsidRPr="00827301" w:rsidR="0065195F" w:rsidP="00061790" w:rsidRDefault="006D79B8" w14:paraId="218F618A" w14:textId="18616EAE">
            <w:pPr>
              <w:spacing w:before="0" w:line="240" w:lineRule="auto"/>
              <w:jc w:val="right"/>
              <w:rPr>
                <w:sz w:val="20"/>
              </w:rPr>
            </w:pPr>
            <w:r w:rsidRPr="00827301">
              <w:rPr>
                <w:sz w:val="20"/>
              </w:rPr>
              <w:t>1,250 hours</w:t>
            </w:r>
          </w:p>
        </w:tc>
        <w:tc>
          <w:tcPr>
            <w:tcW w:w="0" w:type="auto"/>
            <w:tcBorders>
              <w:top w:val="single" w:color="auto" w:sz="4" w:space="0"/>
              <w:left w:val="single" w:color="auto" w:sz="4" w:space="0"/>
              <w:bottom w:val="single" w:color="auto" w:sz="4" w:space="0"/>
              <w:right w:val="single" w:color="auto" w:sz="4" w:space="0"/>
            </w:tcBorders>
            <w:vAlign w:val="bottom"/>
          </w:tcPr>
          <w:p w:rsidRPr="00827301" w:rsidR="0065195F" w:rsidP="00061790" w:rsidRDefault="00827301" w14:paraId="4F9F87CC" w14:textId="49812974">
            <w:pPr>
              <w:spacing w:before="0" w:line="240" w:lineRule="auto"/>
              <w:jc w:val="right"/>
              <w:rPr>
                <w:sz w:val="20"/>
              </w:rPr>
            </w:pPr>
            <w:r>
              <w:rPr>
                <w:sz w:val="20"/>
              </w:rPr>
              <w:t>$850</w:t>
            </w:r>
          </w:p>
        </w:tc>
        <w:tc>
          <w:tcPr>
            <w:tcW w:w="0" w:type="auto"/>
            <w:tcBorders>
              <w:top w:val="single" w:color="auto" w:sz="4" w:space="0"/>
              <w:left w:val="single" w:color="auto" w:sz="4" w:space="0"/>
              <w:bottom w:val="single" w:color="auto" w:sz="4" w:space="0"/>
              <w:right w:val="single" w:color="auto" w:sz="4" w:space="0"/>
            </w:tcBorders>
            <w:vAlign w:val="bottom"/>
          </w:tcPr>
          <w:p w:rsidRPr="00094FD3" w:rsidR="0065195F" w:rsidP="00061790" w:rsidRDefault="00827301" w14:paraId="08C3D182" w14:textId="193CD5C1">
            <w:pPr>
              <w:spacing w:before="0" w:line="240" w:lineRule="auto"/>
              <w:jc w:val="right"/>
              <w:rPr>
                <w:sz w:val="20"/>
              </w:rPr>
            </w:pPr>
            <w:r w:rsidRPr="00094FD3">
              <w:rPr>
                <w:sz w:val="20"/>
              </w:rPr>
              <w:t>$106</w:t>
            </w:r>
            <w:r w:rsidRPr="00094FD3" w:rsidR="00094FD3">
              <w:rPr>
                <w:sz w:val="20"/>
              </w:rPr>
              <w:t>,250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094FD3" w:rsidR="0065195F" w:rsidP="00061790" w:rsidRDefault="00094FD3" w14:paraId="71A2D5EF" w14:textId="2F90BB41">
            <w:pPr>
              <w:spacing w:before="0" w:line="240" w:lineRule="auto"/>
              <w:jc w:val="right"/>
              <w:rPr>
                <w:sz w:val="20"/>
              </w:rPr>
            </w:pPr>
            <w:r w:rsidRPr="00094FD3">
              <w:rPr>
                <w:sz w:val="20"/>
              </w:rPr>
              <w:t>$850</w:t>
            </w:r>
          </w:p>
        </w:tc>
      </w:tr>
      <w:tr w:rsidRPr="00647CF7" w:rsidR="009E2D9D" w:rsidTr="00266212" w14:paraId="61CBE0F4" w14:textId="12C5B49B">
        <w:trPr>
          <w:cantSpli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0065195F" w:rsidP="004061D6" w:rsidRDefault="0065195F" w14:paraId="49BC25C4" w14:textId="77777777">
            <w:pPr>
              <w:spacing w:before="0" w:line="240" w:lineRule="auto"/>
              <w:jc w:val="center"/>
              <w:rPr>
                <w:sz w:val="20"/>
              </w:rPr>
            </w:pPr>
            <w:r w:rsidRPr="00094FD3">
              <w:rPr>
                <w:sz w:val="20"/>
              </w:rPr>
              <w:t>In consultation with state entities, establish a Long-Term Regional Transmission Cost Allocation Method and/or a State Agreement Process.</w:t>
            </w:r>
          </w:p>
          <w:p w:rsidRPr="00094FD3" w:rsidR="00094FD3" w:rsidP="004061D6" w:rsidRDefault="00094FD3" w14:paraId="6009C0C1" w14:textId="5E5632DA">
            <w:pPr>
              <w:spacing w:before="0" w:line="240" w:lineRule="auto"/>
              <w:jc w:val="center"/>
              <w:rPr>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094FD3" w:rsidR="0065195F" w:rsidP="00CF3439" w:rsidRDefault="00094FD3" w14:paraId="7134A365" w14:textId="7A958655">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094FD3" w:rsidR="0065195F" w:rsidP="000C4007" w:rsidRDefault="00094FD3" w14:paraId="7E1B6C8E" w14:textId="04D0FF92">
            <w:pPr>
              <w:spacing w:before="0" w:line="240" w:lineRule="auto"/>
              <w:jc w:val="right"/>
              <w:rPr>
                <w:sz w:val="20"/>
              </w:rPr>
            </w:pPr>
            <w:r w:rsidRPr="00094FD3">
              <w:rPr>
                <w:sz w:val="20"/>
              </w:rPr>
              <w:t>120 hours</w:t>
            </w:r>
          </w:p>
        </w:tc>
        <w:tc>
          <w:tcPr>
            <w:tcW w:w="0" w:type="auto"/>
            <w:tcBorders>
              <w:top w:val="single" w:color="auto" w:sz="4" w:space="0"/>
              <w:left w:val="single" w:color="auto" w:sz="4" w:space="0"/>
              <w:bottom w:val="single" w:color="auto" w:sz="4" w:space="0"/>
              <w:right w:val="single" w:color="auto" w:sz="4" w:space="0"/>
            </w:tcBorders>
            <w:vAlign w:val="bottom"/>
          </w:tcPr>
          <w:p w:rsidRPr="00094FD3" w:rsidR="0065195F" w:rsidP="00094FD3" w:rsidRDefault="00094FD3" w14:paraId="5F02F315" w14:textId="1244A431">
            <w:pPr>
              <w:spacing w:before="0" w:line="240" w:lineRule="auto"/>
              <w:jc w:val="right"/>
              <w:rPr>
                <w:sz w:val="20"/>
              </w:rPr>
            </w:pPr>
            <w:r>
              <w:rPr>
                <w:sz w:val="20"/>
              </w:rPr>
              <w:t>15,000 hours</w:t>
            </w:r>
          </w:p>
        </w:tc>
        <w:tc>
          <w:tcPr>
            <w:tcW w:w="0" w:type="auto"/>
            <w:tcBorders>
              <w:top w:val="single" w:color="auto" w:sz="4" w:space="0"/>
              <w:left w:val="single" w:color="auto" w:sz="4" w:space="0"/>
              <w:bottom w:val="single" w:color="auto" w:sz="4" w:space="0"/>
              <w:right w:val="single" w:color="auto" w:sz="4" w:space="0"/>
            </w:tcBorders>
            <w:vAlign w:val="bottom"/>
          </w:tcPr>
          <w:p w:rsidRPr="00094FD3" w:rsidR="0065195F" w:rsidP="00094FD3" w:rsidRDefault="00094FD3" w14:paraId="7431420D" w14:textId="5F270455">
            <w:pPr>
              <w:spacing w:before="0" w:line="240" w:lineRule="auto"/>
              <w:jc w:val="right"/>
              <w:rPr>
                <w:sz w:val="20"/>
              </w:rPr>
            </w:pPr>
            <w:r>
              <w:rPr>
                <w:sz w:val="20"/>
              </w:rPr>
              <w:t>$10,200</w:t>
            </w:r>
          </w:p>
        </w:tc>
        <w:tc>
          <w:tcPr>
            <w:tcW w:w="0" w:type="auto"/>
            <w:tcBorders>
              <w:top w:val="single" w:color="auto" w:sz="4" w:space="0"/>
              <w:left w:val="single" w:color="auto" w:sz="4" w:space="0"/>
              <w:bottom w:val="single" w:color="auto" w:sz="4" w:space="0"/>
              <w:right w:val="single" w:color="auto" w:sz="4" w:space="0"/>
            </w:tcBorders>
            <w:vAlign w:val="bottom"/>
          </w:tcPr>
          <w:p w:rsidRPr="00094FD3" w:rsidR="0065195F" w:rsidP="00094FD3" w:rsidRDefault="00094FD3" w14:paraId="21F6503D" w14:textId="27A9DB6F">
            <w:pPr>
              <w:spacing w:before="0" w:line="240" w:lineRule="auto"/>
              <w:jc w:val="right"/>
              <w:rPr>
                <w:sz w:val="20"/>
              </w:rPr>
            </w:pPr>
            <w:r>
              <w:rPr>
                <w:sz w:val="20"/>
              </w:rPr>
              <w:t>$1,275,000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094FD3" w:rsidR="0065195F" w:rsidP="00094FD3" w:rsidRDefault="0065195F" w14:paraId="5A469EC1" w14:textId="2D013260">
            <w:pPr>
              <w:spacing w:before="0" w:line="240" w:lineRule="auto"/>
              <w:jc w:val="right"/>
              <w:rPr>
                <w:sz w:val="20"/>
              </w:rPr>
            </w:pPr>
          </w:p>
          <w:p w:rsidRPr="00094FD3" w:rsidR="0065195F" w:rsidP="00094FD3" w:rsidRDefault="0065195F" w14:paraId="62453385" w14:textId="77777777">
            <w:pPr>
              <w:spacing w:before="0" w:line="240" w:lineRule="auto"/>
              <w:jc w:val="right"/>
              <w:rPr>
                <w:sz w:val="20"/>
              </w:rPr>
            </w:pPr>
          </w:p>
          <w:p w:rsidRPr="00094FD3" w:rsidR="0065195F" w:rsidP="00094FD3" w:rsidRDefault="00094FD3" w14:paraId="7D2078EC" w14:textId="550C99D5">
            <w:pPr>
              <w:spacing w:before="0" w:line="240" w:lineRule="auto"/>
              <w:jc w:val="right"/>
              <w:rPr>
                <w:sz w:val="20"/>
                <w:u w:val="single"/>
              </w:rPr>
            </w:pPr>
            <w:r>
              <w:rPr>
                <w:sz w:val="20"/>
                <w:u w:val="single"/>
              </w:rPr>
              <w:t>$10,200</w:t>
            </w:r>
          </w:p>
        </w:tc>
      </w:tr>
      <w:tr w:rsidRPr="00647CF7" w:rsidR="009E2D9D" w:rsidTr="00266212" w14:paraId="5C68A7A4" w14:textId="4FF07D01">
        <w:trPr>
          <w:cantSpli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0065195F" w:rsidP="004061D6" w:rsidRDefault="0065195F" w14:paraId="16FEF298" w14:textId="77777777">
            <w:pPr>
              <w:spacing w:before="0" w:line="240" w:lineRule="auto"/>
              <w:jc w:val="center"/>
              <w:rPr>
                <w:sz w:val="20"/>
              </w:rPr>
            </w:pPr>
            <w:r w:rsidRPr="00FC5CEF">
              <w:rPr>
                <w:sz w:val="20"/>
              </w:rPr>
              <w:t>Consider in the regional transmission planning processes regional transmission facilities that address certain interconnection-related needs</w:t>
            </w:r>
          </w:p>
          <w:p w:rsidRPr="00FC5CEF" w:rsidR="00FC5CEF" w:rsidP="004061D6" w:rsidRDefault="00FC5CEF" w14:paraId="3E70820B" w14:textId="57E94794">
            <w:pPr>
              <w:spacing w:before="0" w:line="240" w:lineRule="auto"/>
              <w:jc w:val="center"/>
              <w:rPr>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FC5CEF" w:rsidR="0065195F" w:rsidP="00892883" w:rsidRDefault="00FC5CEF" w14:paraId="7D39A9C2" w14:textId="7FF2D218">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C77DA" w:rsidR="0065195F" w:rsidP="0088693C" w:rsidRDefault="00FC5CEF" w14:paraId="35062A70" w14:textId="1FC62739">
            <w:pPr>
              <w:spacing w:before="0" w:line="240" w:lineRule="auto"/>
              <w:jc w:val="right"/>
              <w:rPr>
                <w:sz w:val="20"/>
              </w:rPr>
            </w:pPr>
            <w:r w:rsidRPr="00BC77DA">
              <w:rPr>
                <w:sz w:val="20"/>
              </w:rPr>
              <w:t>40 hours</w:t>
            </w:r>
          </w:p>
        </w:tc>
        <w:tc>
          <w:tcPr>
            <w:tcW w:w="0" w:type="auto"/>
            <w:tcBorders>
              <w:top w:val="single" w:color="auto" w:sz="4" w:space="0"/>
              <w:left w:val="single" w:color="auto" w:sz="4" w:space="0"/>
              <w:bottom w:val="single" w:color="auto" w:sz="4" w:space="0"/>
              <w:right w:val="single" w:color="auto" w:sz="4" w:space="0"/>
            </w:tcBorders>
            <w:vAlign w:val="bottom"/>
          </w:tcPr>
          <w:p w:rsidRPr="00BC77DA" w:rsidR="0065195F" w:rsidP="00094FD3" w:rsidRDefault="00FC5CEF" w14:paraId="1D0A9306" w14:textId="410532F4">
            <w:pPr>
              <w:spacing w:before="0" w:line="240" w:lineRule="auto"/>
              <w:jc w:val="right"/>
              <w:rPr>
                <w:sz w:val="20"/>
              </w:rPr>
            </w:pPr>
            <w:r w:rsidRPr="00BC77DA">
              <w:rPr>
                <w:sz w:val="20"/>
              </w:rPr>
              <w:t>5,000 hours</w:t>
            </w:r>
          </w:p>
        </w:tc>
        <w:tc>
          <w:tcPr>
            <w:tcW w:w="0" w:type="auto"/>
            <w:tcBorders>
              <w:top w:val="single" w:color="auto" w:sz="4" w:space="0"/>
              <w:left w:val="single" w:color="auto" w:sz="4" w:space="0"/>
              <w:bottom w:val="single" w:color="auto" w:sz="4" w:space="0"/>
              <w:right w:val="single" w:color="auto" w:sz="4" w:space="0"/>
            </w:tcBorders>
            <w:vAlign w:val="bottom"/>
          </w:tcPr>
          <w:p w:rsidRPr="00FC5CEF" w:rsidR="0065195F" w:rsidP="00094FD3" w:rsidRDefault="00FC5CEF" w14:paraId="1BD7EFA1" w14:textId="266E183D">
            <w:pPr>
              <w:spacing w:before="0" w:line="240" w:lineRule="auto"/>
              <w:jc w:val="right"/>
              <w:rPr>
                <w:sz w:val="20"/>
              </w:rPr>
            </w:pPr>
            <w:r w:rsidRPr="00FC5CEF">
              <w:rPr>
                <w:sz w:val="20"/>
              </w:rPr>
              <w:t>$3,400</w:t>
            </w:r>
          </w:p>
        </w:tc>
        <w:tc>
          <w:tcPr>
            <w:tcW w:w="0" w:type="auto"/>
            <w:tcBorders>
              <w:top w:val="single" w:color="auto" w:sz="4" w:space="0"/>
              <w:left w:val="single" w:color="auto" w:sz="4" w:space="0"/>
              <w:bottom w:val="single" w:color="auto" w:sz="4" w:space="0"/>
              <w:right w:val="single" w:color="auto" w:sz="4" w:space="0"/>
            </w:tcBorders>
            <w:vAlign w:val="bottom"/>
          </w:tcPr>
          <w:p w:rsidRPr="00FC5CEF" w:rsidR="0065195F" w:rsidP="00094FD3" w:rsidRDefault="00FC5CEF" w14:paraId="13B573DE" w14:textId="0DE631A3">
            <w:pPr>
              <w:spacing w:before="0" w:line="240" w:lineRule="auto"/>
              <w:jc w:val="right"/>
              <w:rPr>
                <w:sz w:val="20"/>
              </w:rPr>
            </w:pPr>
            <w:r w:rsidRPr="00FC5CEF">
              <w:rPr>
                <w:sz w:val="20"/>
              </w:rPr>
              <w:t>$425,000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FC5CEF" w:rsidR="0065195F" w:rsidP="00094FD3" w:rsidRDefault="00FC5CEF" w14:paraId="4896CDF9" w14:textId="2CC169DC">
            <w:pPr>
              <w:spacing w:before="0" w:line="240" w:lineRule="auto"/>
              <w:jc w:val="right"/>
              <w:rPr>
                <w:sz w:val="20"/>
                <w:u w:val="single"/>
              </w:rPr>
            </w:pPr>
            <w:r>
              <w:rPr>
                <w:sz w:val="20"/>
                <w:u w:val="single"/>
              </w:rPr>
              <w:t>$3,400</w:t>
            </w:r>
          </w:p>
        </w:tc>
      </w:tr>
      <w:tr w:rsidRPr="00647CF7" w:rsidR="009E2D9D" w:rsidTr="00266212" w14:paraId="1F036A41" w14:textId="2F72B784">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0065195F" w:rsidP="004061D6" w:rsidRDefault="0065195F" w14:paraId="650C2864" w14:textId="77777777">
            <w:pPr>
              <w:spacing w:before="0" w:line="240" w:lineRule="auto"/>
              <w:jc w:val="center"/>
              <w:rPr>
                <w:sz w:val="20"/>
              </w:rPr>
            </w:pPr>
            <w:r w:rsidRPr="00FC5CEF">
              <w:rPr>
                <w:sz w:val="20"/>
              </w:rPr>
              <w:t>Revise interregional transmission coordination procedures to apply them to Long-Term Regional Transmission Planning</w:t>
            </w:r>
          </w:p>
          <w:p w:rsidRPr="00FC5CEF" w:rsidR="00FC5CEF" w:rsidP="004061D6" w:rsidRDefault="00FC5CEF" w14:paraId="615E361A" w14:textId="203AC218">
            <w:pPr>
              <w:spacing w:before="0" w:line="240" w:lineRule="auto"/>
              <w:jc w:val="center"/>
              <w:rPr>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FC5CEF" w:rsidR="0065195F" w:rsidP="00142F82" w:rsidRDefault="00FC5CEF" w14:paraId="764E740F" w14:textId="31611DAD">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C77DA" w:rsidR="0065195F" w:rsidP="00142F82" w:rsidRDefault="00850967" w14:paraId="0E4F6F1B" w14:textId="6E90969C">
            <w:pPr>
              <w:spacing w:before="0" w:line="240" w:lineRule="auto"/>
              <w:jc w:val="right"/>
              <w:rPr>
                <w:sz w:val="20"/>
              </w:rPr>
            </w:pPr>
            <w:r w:rsidRPr="00BC77DA">
              <w:rPr>
                <w:sz w:val="20"/>
              </w:rPr>
              <w:t>40 hours</w:t>
            </w:r>
          </w:p>
        </w:tc>
        <w:tc>
          <w:tcPr>
            <w:tcW w:w="0" w:type="auto"/>
            <w:tcBorders>
              <w:top w:val="single" w:color="auto" w:sz="4" w:space="0"/>
              <w:left w:val="single" w:color="auto" w:sz="4" w:space="0"/>
              <w:bottom w:val="single" w:color="auto" w:sz="4" w:space="0"/>
              <w:right w:val="single" w:color="auto" w:sz="4" w:space="0"/>
            </w:tcBorders>
            <w:vAlign w:val="bottom"/>
          </w:tcPr>
          <w:p w:rsidRPr="00BC77DA" w:rsidR="0065195F" w:rsidP="00850967" w:rsidRDefault="00850967" w14:paraId="484744A2" w14:textId="7F780A28">
            <w:pPr>
              <w:spacing w:before="0" w:line="240" w:lineRule="auto"/>
              <w:jc w:val="right"/>
              <w:rPr>
                <w:sz w:val="20"/>
              </w:rPr>
            </w:pPr>
            <w:r w:rsidRPr="00BC77DA">
              <w:rPr>
                <w:sz w:val="20"/>
              </w:rPr>
              <w:t>5,000 hours</w:t>
            </w:r>
          </w:p>
        </w:tc>
        <w:tc>
          <w:tcPr>
            <w:tcW w:w="0" w:type="auto"/>
            <w:tcBorders>
              <w:top w:val="single" w:color="auto" w:sz="4" w:space="0"/>
              <w:left w:val="single" w:color="auto" w:sz="4" w:space="0"/>
              <w:bottom w:val="single" w:color="auto" w:sz="4" w:space="0"/>
              <w:right w:val="single" w:color="auto" w:sz="4" w:space="0"/>
            </w:tcBorders>
            <w:vAlign w:val="bottom"/>
          </w:tcPr>
          <w:p w:rsidRPr="00FC5CEF" w:rsidR="0065195F" w:rsidP="00850967" w:rsidRDefault="00850967" w14:paraId="384E3333" w14:textId="0420502B">
            <w:pPr>
              <w:spacing w:before="0" w:line="240" w:lineRule="auto"/>
              <w:jc w:val="right"/>
              <w:rPr>
                <w:sz w:val="20"/>
                <w:u w:val="single"/>
              </w:rPr>
            </w:pPr>
            <w:r>
              <w:rPr>
                <w:sz w:val="20"/>
                <w:u w:val="single"/>
              </w:rPr>
              <w:t>$3,400</w:t>
            </w:r>
          </w:p>
        </w:tc>
        <w:tc>
          <w:tcPr>
            <w:tcW w:w="0" w:type="auto"/>
            <w:tcBorders>
              <w:top w:val="single" w:color="auto" w:sz="4" w:space="0"/>
              <w:left w:val="single" w:color="auto" w:sz="4" w:space="0"/>
              <w:bottom w:val="single" w:color="auto" w:sz="4" w:space="0"/>
              <w:right w:val="single" w:color="auto" w:sz="4" w:space="0"/>
            </w:tcBorders>
            <w:vAlign w:val="bottom"/>
          </w:tcPr>
          <w:p w:rsidRPr="00FC5CEF" w:rsidR="0065195F" w:rsidP="00850967" w:rsidRDefault="00850967" w14:paraId="788E319E" w14:textId="6466E4FF">
            <w:pPr>
              <w:spacing w:before="0" w:line="240" w:lineRule="auto"/>
              <w:jc w:val="right"/>
              <w:rPr>
                <w:sz w:val="20"/>
                <w:u w:val="single"/>
              </w:rPr>
            </w:pPr>
            <w:r>
              <w:rPr>
                <w:sz w:val="20"/>
                <w:u w:val="single"/>
              </w:rPr>
              <w:t>$425,000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FC5CEF" w:rsidR="0065195F" w:rsidP="00850967" w:rsidRDefault="00850967" w14:paraId="18661369" w14:textId="07786962">
            <w:pPr>
              <w:spacing w:before="0" w:line="240" w:lineRule="auto"/>
              <w:jc w:val="right"/>
              <w:rPr>
                <w:sz w:val="20"/>
                <w:u w:val="single"/>
              </w:rPr>
            </w:pPr>
            <w:r>
              <w:rPr>
                <w:sz w:val="20"/>
                <w:u w:val="single"/>
              </w:rPr>
              <w:t>$3,400</w:t>
            </w:r>
          </w:p>
        </w:tc>
      </w:tr>
      <w:tr w:rsidRPr="00647CF7" w:rsidR="009E2D9D" w:rsidTr="00266212" w14:paraId="57F01406" w14:textId="723F5AA9">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9A4EE6" w:rsidR="0065195F" w:rsidP="001D1CFE" w:rsidRDefault="0065195F" w14:paraId="0D949574" w14:textId="7ED75956">
            <w:pPr>
              <w:pStyle w:val="FERCparanumber"/>
              <w:numPr>
                <w:ilvl w:val="0"/>
                <w:numId w:val="0"/>
              </w:numPr>
              <w:tabs>
                <w:tab w:val="left" w:pos="720"/>
              </w:tabs>
              <w:spacing w:line="240" w:lineRule="auto"/>
              <w:jc w:val="center"/>
              <w:rPr>
                <w:b/>
                <w:bCs/>
                <w:sz w:val="20"/>
                <w:szCs w:val="20"/>
              </w:rPr>
            </w:pPr>
            <w:r w:rsidRPr="009A4EE6">
              <w:rPr>
                <w:b/>
                <w:bCs/>
                <w:sz w:val="20"/>
                <w:szCs w:val="20"/>
              </w:rPr>
              <w:t>Totals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9A4EE6" w:rsidR="0065195F" w:rsidP="001D1CFE" w:rsidRDefault="009A4EE6" w14:paraId="18364CDF" w14:textId="421D6604">
            <w:pPr>
              <w:spacing w:before="0" w:line="240" w:lineRule="auto"/>
              <w:jc w:val="right"/>
              <w:rPr>
                <w:sz w:val="20"/>
              </w:rPr>
            </w:pPr>
            <w:r w:rsidRPr="009A4EE6">
              <w:rPr>
                <w:sz w:val="20"/>
              </w:rPr>
              <w:t>625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9A4EE6" w:rsidR="0065195F" w:rsidP="009A4EE6" w:rsidRDefault="009A4EE6" w14:paraId="244AEE75" w14:textId="77CDD98F">
            <w:pPr>
              <w:spacing w:before="0" w:line="240" w:lineRule="auto"/>
              <w:jc w:val="right"/>
              <w:rPr>
                <w:sz w:val="20"/>
              </w:rPr>
            </w:pPr>
            <w:r>
              <w:rPr>
                <w:sz w:val="20"/>
              </w:rPr>
              <w:t>330 hours</w:t>
            </w:r>
          </w:p>
        </w:tc>
        <w:tc>
          <w:tcPr>
            <w:tcW w:w="0" w:type="auto"/>
            <w:tcBorders>
              <w:top w:val="single" w:color="auto" w:sz="4" w:space="0"/>
              <w:left w:val="single" w:color="auto" w:sz="4" w:space="0"/>
              <w:bottom w:val="single" w:color="auto" w:sz="4" w:space="0"/>
              <w:right w:val="single" w:color="auto" w:sz="4" w:space="0"/>
            </w:tcBorders>
            <w:vAlign w:val="bottom"/>
          </w:tcPr>
          <w:p w:rsidRPr="00BC77DA" w:rsidR="0065195F" w:rsidP="00850967" w:rsidRDefault="00BC77DA" w14:paraId="283D307A" w14:textId="7A6BA29E">
            <w:pPr>
              <w:spacing w:before="0" w:line="240" w:lineRule="auto"/>
              <w:jc w:val="right"/>
              <w:rPr>
                <w:bCs/>
                <w:sz w:val="20"/>
              </w:rPr>
            </w:pPr>
            <w:r w:rsidRPr="00BC77DA">
              <w:rPr>
                <w:bCs/>
                <w:sz w:val="20"/>
              </w:rPr>
              <w:t>41,250 hours</w:t>
            </w:r>
          </w:p>
        </w:tc>
        <w:tc>
          <w:tcPr>
            <w:tcW w:w="0" w:type="auto"/>
            <w:tcBorders>
              <w:top w:val="single" w:color="auto" w:sz="4" w:space="0"/>
              <w:left w:val="single" w:color="auto" w:sz="4" w:space="0"/>
              <w:bottom w:val="single" w:color="auto" w:sz="4" w:space="0"/>
              <w:right w:val="single" w:color="auto" w:sz="4" w:space="0"/>
            </w:tcBorders>
            <w:vAlign w:val="bottom"/>
          </w:tcPr>
          <w:p w:rsidRPr="00BC77DA" w:rsidR="0065195F" w:rsidP="00850967" w:rsidRDefault="00BC77DA" w14:paraId="402FA6D3" w14:textId="141223F9">
            <w:pPr>
              <w:spacing w:before="0" w:line="240" w:lineRule="auto"/>
              <w:jc w:val="right"/>
              <w:rPr>
                <w:bCs/>
                <w:sz w:val="20"/>
              </w:rPr>
            </w:pPr>
            <w:r w:rsidRPr="00BC77DA">
              <w:rPr>
                <w:bCs/>
                <w:sz w:val="20"/>
              </w:rPr>
              <w:t>$28,050</w:t>
            </w:r>
          </w:p>
        </w:tc>
        <w:tc>
          <w:tcPr>
            <w:tcW w:w="0" w:type="auto"/>
            <w:tcBorders>
              <w:top w:val="single" w:color="auto" w:sz="4" w:space="0"/>
              <w:left w:val="single" w:color="auto" w:sz="4" w:space="0"/>
              <w:bottom w:val="single" w:color="auto" w:sz="4" w:space="0"/>
              <w:right w:val="single" w:color="auto" w:sz="4" w:space="0"/>
            </w:tcBorders>
            <w:vAlign w:val="bottom"/>
          </w:tcPr>
          <w:p w:rsidRPr="00BC77DA" w:rsidR="0065195F" w:rsidP="00BC77DA" w:rsidRDefault="00BC77DA" w14:paraId="4D55C5C7" w14:textId="4D92D9A7">
            <w:pPr>
              <w:spacing w:before="0" w:line="240" w:lineRule="auto"/>
              <w:jc w:val="right"/>
              <w:rPr>
                <w:bCs/>
                <w:sz w:val="20"/>
              </w:rPr>
            </w:pPr>
            <w:r w:rsidRPr="00BC77DA">
              <w:rPr>
                <w:bCs/>
                <w:sz w:val="20"/>
              </w:rPr>
              <w:t>$3,506,250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9A4EE6" w:rsidR="0065195F" w:rsidP="00850967" w:rsidRDefault="00BC77DA" w14:paraId="69AAC90E" w14:textId="003E7134">
            <w:pPr>
              <w:spacing w:before="0" w:line="240" w:lineRule="auto"/>
              <w:jc w:val="right"/>
              <w:rPr>
                <w:sz w:val="20"/>
                <w:u w:val="single"/>
              </w:rPr>
            </w:pPr>
            <w:r>
              <w:rPr>
                <w:sz w:val="20"/>
                <w:u w:val="single"/>
              </w:rPr>
              <w:t>$28,050</w:t>
            </w:r>
          </w:p>
        </w:tc>
      </w:tr>
    </w:tbl>
    <w:p w:rsidRPr="00BF4E69" w:rsidR="006C3D15" w:rsidP="00BF4E69" w:rsidRDefault="006C3D15" w14:paraId="47C9A857" w14:textId="1947E1AB">
      <w:pPr>
        <w:spacing w:line="240" w:lineRule="auto"/>
        <w:rPr>
          <w:sz w:val="26"/>
        </w:rPr>
      </w:pPr>
    </w:p>
    <w:p w:rsidRPr="00BC77DA" w:rsidR="00BC77DA" w:rsidP="00BC77DA" w:rsidRDefault="00AB7877" w14:paraId="25766BAC" w14:textId="69AA5D49">
      <w:pPr>
        <w:spacing w:before="0" w:line="240" w:lineRule="auto"/>
        <w:jc w:val="center"/>
        <w:rPr>
          <w:b/>
          <w:bCs/>
          <w:sz w:val="26"/>
        </w:rPr>
      </w:pPr>
      <w:r>
        <w:rPr>
          <w:b/>
          <w:bCs/>
          <w:sz w:val="26"/>
        </w:rPr>
        <w:t>Table 12-2</w:t>
      </w:r>
    </w:p>
    <w:p w:rsidR="00BC77DA" w:rsidP="00BC77DA" w:rsidRDefault="00BC77DA" w14:paraId="4B0D749C" w14:textId="77777777">
      <w:pPr>
        <w:spacing w:before="0" w:line="240" w:lineRule="auto"/>
        <w:jc w:val="center"/>
        <w:rPr>
          <w:b/>
          <w:sz w:val="26"/>
        </w:rPr>
      </w:pPr>
      <w:r>
        <w:rPr>
          <w:b/>
          <w:sz w:val="26"/>
        </w:rPr>
        <w:t>Proposed Revisions of FERC-917 in the NOPR at Docket No. RM21-17:</w:t>
      </w:r>
    </w:p>
    <w:p w:rsidR="00AB7877" w:rsidP="00BC77DA" w:rsidRDefault="00BC77DA" w14:paraId="6464E0E2" w14:textId="08044A26">
      <w:pPr>
        <w:spacing w:before="0" w:line="240" w:lineRule="auto"/>
        <w:jc w:val="center"/>
        <w:rPr>
          <w:b/>
          <w:sz w:val="26"/>
        </w:rPr>
      </w:pPr>
      <w:r>
        <w:rPr>
          <w:b/>
          <w:sz w:val="26"/>
        </w:rPr>
        <w:t>Burden Hours and Costs</w:t>
      </w:r>
    </w:p>
    <w:p w:rsidRPr="001F4CC2" w:rsidR="001F4CC2" w:rsidP="00BC77DA" w:rsidRDefault="001F4CC2" w14:paraId="63034343" w14:textId="4A6A4382">
      <w:pPr>
        <w:spacing w:before="0" w:line="240" w:lineRule="auto"/>
        <w:jc w:val="center"/>
        <w:rPr>
          <w:b/>
          <w:sz w:val="26"/>
          <w:u w:val="single"/>
        </w:rPr>
      </w:pPr>
      <w:r>
        <w:rPr>
          <w:b/>
          <w:sz w:val="26"/>
          <w:u w:val="single"/>
        </w:rPr>
        <w:t>Subsequent Years Reporting Requir</w:t>
      </w:r>
      <w:r w:rsidR="0049643D">
        <w:rPr>
          <w:b/>
          <w:sz w:val="26"/>
          <w:u w:val="single"/>
        </w:rPr>
        <w:t>e</w:t>
      </w:r>
      <w:r>
        <w:rPr>
          <w:b/>
          <w:sz w:val="26"/>
          <w:u w:val="single"/>
        </w:rPr>
        <w:t>ments</w:t>
      </w:r>
    </w:p>
    <w:p w:rsidR="00FD2295" w:rsidP="00FD2295" w:rsidRDefault="00FD2295" w14:paraId="27186099" w14:textId="0E9643F6">
      <w:pPr>
        <w:spacing w:before="0" w:line="240" w:lineRule="auto"/>
        <w:rPr>
          <w:b/>
          <w:sz w:val="26"/>
        </w:rPr>
      </w:pPr>
    </w:p>
    <w:tbl>
      <w:tblPr>
        <w:tblStyle w:val="TableGrid"/>
        <w:tblW w:w="0" w:type="auto"/>
        <w:tblLook w:val="04A0" w:firstRow="1" w:lastRow="0" w:firstColumn="1" w:lastColumn="0" w:noHBand="0" w:noVBand="1"/>
      </w:tblPr>
      <w:tblGrid>
        <w:gridCol w:w="1468"/>
        <w:gridCol w:w="1256"/>
        <w:gridCol w:w="1361"/>
        <w:gridCol w:w="1361"/>
        <w:gridCol w:w="1361"/>
        <w:gridCol w:w="1361"/>
        <w:gridCol w:w="1182"/>
      </w:tblGrid>
      <w:tr w:rsidR="0097376E" w:rsidTr="005D0D0A" w14:paraId="3BE11D01" w14:textId="429DB6AE">
        <w:trPr>
          <w:cantSplit/>
          <w:tblHeader/>
        </w:trPr>
        <w:tc>
          <w:tcPr>
            <w:tcW w:w="0" w:type="auto"/>
            <w:vAlign w:val="bottom"/>
          </w:tcPr>
          <w:p w:rsidRPr="00783D36" w:rsidR="001F4CC2" w:rsidP="001F4CC2" w:rsidRDefault="001F4CC2" w14:paraId="61DC0305" w14:textId="77777777">
            <w:pPr>
              <w:spacing w:before="0" w:line="240" w:lineRule="auto"/>
              <w:jc w:val="center"/>
              <w:rPr>
                <w:b/>
                <w:bCs/>
                <w:sz w:val="20"/>
              </w:rPr>
            </w:pPr>
            <w:r w:rsidRPr="00783D36">
              <w:rPr>
                <w:b/>
                <w:bCs/>
                <w:sz w:val="20"/>
              </w:rPr>
              <w:t>A.</w:t>
            </w:r>
          </w:p>
          <w:p w:rsidRPr="00783D36" w:rsidR="001F4CC2" w:rsidP="001F4CC2" w:rsidRDefault="001F4CC2" w14:paraId="18AA2FCE" w14:textId="506CC76F">
            <w:pPr>
              <w:spacing w:before="0" w:line="240" w:lineRule="auto"/>
              <w:jc w:val="center"/>
              <w:rPr>
                <w:b/>
                <w:sz w:val="20"/>
              </w:rPr>
            </w:pPr>
            <w:r w:rsidRPr="00783D36">
              <w:rPr>
                <w:b/>
                <w:bCs/>
                <w:sz w:val="20"/>
              </w:rPr>
              <w:t>Area of Modification</w:t>
            </w:r>
          </w:p>
        </w:tc>
        <w:tc>
          <w:tcPr>
            <w:tcW w:w="0" w:type="auto"/>
            <w:vAlign w:val="bottom"/>
          </w:tcPr>
          <w:p w:rsidRPr="00783D36" w:rsidR="001F4CC2" w:rsidP="001F4CC2" w:rsidRDefault="001F4CC2" w14:paraId="48C5D653" w14:textId="77777777">
            <w:pPr>
              <w:spacing w:before="0" w:line="240" w:lineRule="auto"/>
              <w:jc w:val="center"/>
              <w:rPr>
                <w:b/>
                <w:sz w:val="20"/>
              </w:rPr>
            </w:pPr>
            <w:r w:rsidRPr="00783D36">
              <w:rPr>
                <w:b/>
                <w:sz w:val="20"/>
              </w:rPr>
              <w:t>B.</w:t>
            </w:r>
          </w:p>
          <w:p w:rsidRPr="00783D36" w:rsidR="001F4CC2" w:rsidP="001F4CC2" w:rsidRDefault="001F4CC2" w14:paraId="53F8BFE9" w14:textId="6E7A13A7">
            <w:pPr>
              <w:spacing w:before="0" w:line="240" w:lineRule="auto"/>
              <w:jc w:val="center"/>
              <w:rPr>
                <w:b/>
                <w:sz w:val="20"/>
              </w:rPr>
            </w:pPr>
            <w:r w:rsidRPr="00783D36">
              <w:rPr>
                <w:b/>
                <w:bCs/>
                <w:sz w:val="20"/>
              </w:rPr>
              <w:t>Annual Number of Respondents and Responses</w:t>
            </w:r>
          </w:p>
        </w:tc>
        <w:tc>
          <w:tcPr>
            <w:tcW w:w="0" w:type="auto"/>
            <w:vAlign w:val="bottom"/>
          </w:tcPr>
          <w:p w:rsidRPr="001F6D8F" w:rsidR="001F4CC2" w:rsidP="001F4CC2" w:rsidRDefault="001F4CC2" w14:paraId="77C9E3C0" w14:textId="77777777">
            <w:pPr>
              <w:spacing w:before="0" w:line="240" w:lineRule="auto"/>
              <w:jc w:val="center"/>
              <w:rPr>
                <w:b/>
                <w:bCs/>
                <w:sz w:val="20"/>
              </w:rPr>
            </w:pPr>
            <w:r>
              <w:rPr>
                <w:b/>
                <w:bCs/>
                <w:sz w:val="20"/>
              </w:rPr>
              <w:t>C</w:t>
            </w:r>
            <w:r w:rsidRPr="001F6D8F">
              <w:rPr>
                <w:b/>
                <w:bCs/>
                <w:sz w:val="20"/>
              </w:rPr>
              <w:t>.</w:t>
            </w:r>
          </w:p>
          <w:p w:rsidRPr="00783D36" w:rsidR="001F4CC2" w:rsidP="001F4CC2" w:rsidRDefault="00480D05" w14:paraId="08E731D4" w14:textId="033A3D3B">
            <w:pPr>
              <w:spacing w:before="0" w:line="240" w:lineRule="auto"/>
              <w:jc w:val="center"/>
              <w:rPr>
                <w:b/>
                <w:sz w:val="20"/>
              </w:rPr>
            </w:pPr>
            <w:r>
              <w:rPr>
                <w:b/>
                <w:bCs/>
                <w:sz w:val="20"/>
              </w:rPr>
              <w:t xml:space="preserve">Annual </w:t>
            </w:r>
            <w:r w:rsidRPr="001F6D8F" w:rsidR="001F4CC2">
              <w:rPr>
                <w:b/>
                <w:bCs/>
                <w:sz w:val="20"/>
              </w:rPr>
              <w:t>Average Burden Hours</w:t>
            </w:r>
            <w:r w:rsidR="001F4CC2">
              <w:rPr>
                <w:b/>
                <w:bCs/>
                <w:sz w:val="20"/>
              </w:rPr>
              <w:t xml:space="preserve"> per Response for Reporting Requirements</w:t>
            </w:r>
          </w:p>
        </w:tc>
        <w:tc>
          <w:tcPr>
            <w:tcW w:w="0" w:type="auto"/>
            <w:vAlign w:val="bottom"/>
          </w:tcPr>
          <w:p w:rsidRPr="00783D36" w:rsidR="001F4CC2" w:rsidP="001F4CC2" w:rsidRDefault="001F4CC2" w14:paraId="412BB38A" w14:textId="77777777">
            <w:pPr>
              <w:spacing w:before="0" w:line="240" w:lineRule="auto"/>
              <w:jc w:val="center"/>
              <w:rPr>
                <w:b/>
                <w:sz w:val="20"/>
              </w:rPr>
            </w:pPr>
            <w:r w:rsidRPr="00783D36">
              <w:rPr>
                <w:b/>
                <w:sz w:val="20"/>
              </w:rPr>
              <w:t>D.</w:t>
            </w:r>
          </w:p>
          <w:p w:rsidRPr="001F6D8F" w:rsidR="00F52296" w:rsidP="00F52296" w:rsidRDefault="00F52296" w14:paraId="711F6F6E" w14:textId="1DCF871B">
            <w:pPr>
              <w:spacing w:before="0" w:line="240" w:lineRule="auto"/>
              <w:jc w:val="center"/>
              <w:rPr>
                <w:b/>
                <w:bCs/>
                <w:sz w:val="20"/>
              </w:rPr>
            </w:pPr>
            <w:r w:rsidRPr="001F6D8F">
              <w:rPr>
                <w:b/>
                <w:bCs/>
                <w:sz w:val="20"/>
              </w:rPr>
              <w:t xml:space="preserve">Total Estimated </w:t>
            </w:r>
            <w:r w:rsidR="00480D05">
              <w:rPr>
                <w:b/>
                <w:bCs/>
                <w:sz w:val="20"/>
              </w:rPr>
              <w:t xml:space="preserve">Annual </w:t>
            </w:r>
            <w:r w:rsidRPr="001F6D8F">
              <w:rPr>
                <w:b/>
                <w:bCs/>
                <w:sz w:val="20"/>
              </w:rPr>
              <w:t>Burden Hours</w:t>
            </w:r>
            <w:r>
              <w:rPr>
                <w:b/>
                <w:bCs/>
                <w:sz w:val="20"/>
              </w:rPr>
              <w:t xml:space="preserve"> for Reporting Requirements</w:t>
            </w:r>
          </w:p>
          <w:p w:rsidRPr="001F6D8F" w:rsidR="00F52296" w:rsidP="00F52296" w:rsidRDefault="00F52296" w14:paraId="5E02C559" w14:textId="77777777">
            <w:pPr>
              <w:spacing w:before="0" w:line="240" w:lineRule="auto"/>
              <w:jc w:val="center"/>
              <w:rPr>
                <w:b/>
                <w:bCs/>
                <w:sz w:val="20"/>
              </w:rPr>
            </w:pPr>
            <w:r w:rsidRPr="001F6D8F">
              <w:rPr>
                <w:b/>
                <w:bCs/>
                <w:sz w:val="20"/>
              </w:rPr>
              <w:t xml:space="preserve">(Column </w:t>
            </w:r>
            <w:r>
              <w:rPr>
                <w:b/>
                <w:bCs/>
                <w:sz w:val="20"/>
              </w:rPr>
              <w:t xml:space="preserve">B </w:t>
            </w:r>
            <w:r w:rsidRPr="001F6D8F">
              <w:rPr>
                <w:b/>
                <w:bCs/>
                <w:sz w:val="20"/>
              </w:rPr>
              <w:t xml:space="preserve"> x</w:t>
            </w:r>
          </w:p>
          <w:p w:rsidRPr="00783D36" w:rsidR="001F4CC2" w:rsidP="00F52296" w:rsidRDefault="00F52296" w14:paraId="286F3FE0" w14:textId="2B59C0DF">
            <w:pPr>
              <w:spacing w:before="0" w:line="240" w:lineRule="auto"/>
              <w:jc w:val="center"/>
              <w:rPr>
                <w:b/>
                <w:sz w:val="20"/>
              </w:rPr>
            </w:pPr>
            <w:r w:rsidRPr="001F6D8F">
              <w:rPr>
                <w:b/>
                <w:bCs/>
                <w:sz w:val="20"/>
              </w:rPr>
              <w:t xml:space="preserve">Column </w:t>
            </w:r>
            <w:r>
              <w:rPr>
                <w:b/>
                <w:bCs/>
                <w:sz w:val="20"/>
              </w:rPr>
              <w:t>C</w:t>
            </w:r>
            <w:r w:rsidRPr="001F6D8F">
              <w:rPr>
                <w:b/>
                <w:bCs/>
                <w:sz w:val="20"/>
              </w:rPr>
              <w:t>)</w:t>
            </w:r>
          </w:p>
        </w:tc>
        <w:tc>
          <w:tcPr>
            <w:tcW w:w="0" w:type="auto"/>
            <w:vAlign w:val="bottom"/>
          </w:tcPr>
          <w:p w:rsidRPr="00783D36" w:rsidR="001F4CC2" w:rsidP="001F4CC2" w:rsidRDefault="001F4CC2" w14:paraId="7A955A7D" w14:textId="77777777">
            <w:pPr>
              <w:spacing w:before="0" w:line="240" w:lineRule="auto"/>
              <w:jc w:val="center"/>
              <w:rPr>
                <w:b/>
                <w:bCs/>
                <w:sz w:val="20"/>
              </w:rPr>
            </w:pPr>
            <w:r>
              <w:rPr>
                <w:b/>
                <w:bCs/>
                <w:sz w:val="20"/>
              </w:rPr>
              <w:t>E.</w:t>
            </w:r>
          </w:p>
          <w:p w:rsidRPr="00783D36" w:rsidR="001F4CC2" w:rsidP="001F4CC2" w:rsidRDefault="00480D05" w14:paraId="4EBD6239" w14:textId="2668E23C">
            <w:pPr>
              <w:spacing w:before="0" w:line="240" w:lineRule="auto"/>
              <w:jc w:val="center"/>
              <w:rPr>
                <w:b/>
                <w:bCs/>
                <w:sz w:val="20"/>
              </w:rPr>
            </w:pPr>
            <w:r>
              <w:rPr>
                <w:b/>
                <w:bCs/>
                <w:sz w:val="20"/>
              </w:rPr>
              <w:t xml:space="preserve">Annual </w:t>
            </w:r>
            <w:r w:rsidRPr="00783D36" w:rsidR="001F4CC2">
              <w:rPr>
                <w:b/>
                <w:bCs/>
                <w:sz w:val="20"/>
              </w:rPr>
              <w:t>Cost per Response for Reporting</w:t>
            </w:r>
            <w:r w:rsidR="001F4CC2">
              <w:rPr>
                <w:b/>
                <w:bCs/>
                <w:sz w:val="20"/>
              </w:rPr>
              <w:t xml:space="preserve"> Requirements</w:t>
            </w:r>
          </w:p>
          <w:p w:rsidR="001F4CC2" w:rsidP="001F4CC2" w:rsidRDefault="001F4CC2" w14:paraId="526E0570" w14:textId="77777777">
            <w:pPr>
              <w:spacing w:before="0" w:line="240" w:lineRule="auto"/>
              <w:jc w:val="center"/>
              <w:rPr>
                <w:b/>
                <w:sz w:val="20"/>
              </w:rPr>
            </w:pPr>
            <w:r w:rsidRPr="00783D36">
              <w:rPr>
                <w:b/>
                <w:sz w:val="20"/>
              </w:rPr>
              <w:t>(</w:t>
            </w:r>
            <w:r>
              <w:rPr>
                <w:b/>
                <w:sz w:val="20"/>
              </w:rPr>
              <w:t>Column C x</w:t>
            </w:r>
          </w:p>
          <w:p w:rsidRPr="00783D36" w:rsidR="001F4CC2" w:rsidP="001F4CC2" w:rsidRDefault="001F4CC2" w14:paraId="4EF22E25" w14:textId="61D386A2">
            <w:pPr>
              <w:spacing w:before="0" w:line="240" w:lineRule="auto"/>
              <w:jc w:val="center"/>
              <w:rPr>
                <w:b/>
                <w:sz w:val="20"/>
              </w:rPr>
            </w:pPr>
            <w:r w:rsidRPr="00783D36">
              <w:rPr>
                <w:b/>
                <w:sz w:val="20"/>
              </w:rPr>
              <w:t>$85 per hour)</w:t>
            </w:r>
          </w:p>
        </w:tc>
        <w:tc>
          <w:tcPr>
            <w:tcW w:w="0" w:type="auto"/>
            <w:vAlign w:val="bottom"/>
          </w:tcPr>
          <w:p w:rsidR="001F4CC2" w:rsidP="001F4CC2" w:rsidRDefault="001F4CC2" w14:paraId="0AE0D2BE" w14:textId="77777777">
            <w:pPr>
              <w:spacing w:before="0" w:line="240" w:lineRule="auto"/>
              <w:jc w:val="center"/>
              <w:rPr>
                <w:b/>
                <w:bCs/>
                <w:sz w:val="20"/>
              </w:rPr>
            </w:pPr>
            <w:r>
              <w:rPr>
                <w:b/>
                <w:bCs/>
                <w:sz w:val="20"/>
              </w:rPr>
              <w:t>F.</w:t>
            </w:r>
          </w:p>
          <w:p w:rsidR="001F4CC2" w:rsidP="001F4CC2" w:rsidRDefault="00480D05" w14:paraId="6E0166FD" w14:textId="6F0CEA85">
            <w:pPr>
              <w:spacing w:before="0" w:line="240" w:lineRule="auto"/>
              <w:jc w:val="center"/>
              <w:rPr>
                <w:b/>
                <w:sz w:val="20"/>
              </w:rPr>
            </w:pPr>
            <w:r>
              <w:rPr>
                <w:b/>
                <w:sz w:val="20"/>
              </w:rPr>
              <w:t xml:space="preserve">Annual </w:t>
            </w:r>
            <w:r w:rsidRPr="00783D36" w:rsidR="001F4CC2">
              <w:rPr>
                <w:b/>
                <w:sz w:val="20"/>
              </w:rPr>
              <w:t>Total Estimated Cost for Reporting</w:t>
            </w:r>
            <w:r w:rsidR="001F4CC2">
              <w:rPr>
                <w:b/>
                <w:sz w:val="20"/>
              </w:rPr>
              <w:t xml:space="preserve"> Requirements</w:t>
            </w:r>
          </w:p>
          <w:p w:rsidRPr="00783D36" w:rsidR="001F4CC2" w:rsidP="001F4CC2" w:rsidRDefault="001F4CC2" w14:paraId="65039DF9" w14:textId="46D8D8F1">
            <w:pPr>
              <w:spacing w:before="0" w:line="240" w:lineRule="auto"/>
              <w:jc w:val="center"/>
              <w:rPr>
                <w:b/>
                <w:sz w:val="20"/>
              </w:rPr>
            </w:pPr>
            <w:r>
              <w:rPr>
                <w:b/>
                <w:bCs/>
                <w:sz w:val="20"/>
              </w:rPr>
              <w:t>(Column D x $85 per hour)</w:t>
            </w:r>
          </w:p>
        </w:tc>
        <w:tc>
          <w:tcPr>
            <w:tcW w:w="0" w:type="auto"/>
            <w:vAlign w:val="bottom"/>
          </w:tcPr>
          <w:p w:rsidRPr="001F6D8F" w:rsidR="001F4CC2" w:rsidP="001F4CC2" w:rsidRDefault="001F4CC2" w14:paraId="0B5DE088" w14:textId="77777777">
            <w:pPr>
              <w:spacing w:before="0" w:line="240" w:lineRule="auto"/>
              <w:jc w:val="center"/>
              <w:rPr>
                <w:b/>
                <w:bCs/>
                <w:sz w:val="20"/>
              </w:rPr>
            </w:pPr>
            <w:r>
              <w:rPr>
                <w:b/>
                <w:bCs/>
                <w:sz w:val="20"/>
              </w:rPr>
              <w:t>G</w:t>
            </w:r>
            <w:r w:rsidRPr="001F6D8F">
              <w:rPr>
                <w:b/>
                <w:bCs/>
                <w:sz w:val="20"/>
              </w:rPr>
              <w:t>.</w:t>
            </w:r>
          </w:p>
          <w:p w:rsidR="001F4CC2" w:rsidP="001F4CC2" w:rsidRDefault="00480D05" w14:paraId="37761BD6" w14:textId="30A90AAC">
            <w:pPr>
              <w:spacing w:before="0" w:line="240" w:lineRule="auto"/>
              <w:jc w:val="center"/>
              <w:rPr>
                <w:b/>
                <w:bCs/>
                <w:sz w:val="20"/>
              </w:rPr>
            </w:pPr>
            <w:r>
              <w:rPr>
                <w:b/>
                <w:bCs/>
                <w:sz w:val="20"/>
              </w:rPr>
              <w:t xml:space="preserve">Annual </w:t>
            </w:r>
            <w:r w:rsidR="001F4CC2">
              <w:rPr>
                <w:b/>
                <w:bCs/>
                <w:sz w:val="20"/>
              </w:rPr>
              <w:t>Cost per Respondent</w:t>
            </w:r>
          </w:p>
        </w:tc>
      </w:tr>
      <w:tr w:rsidR="0097376E" w:rsidTr="002D6C75" w14:paraId="64230F37" w14:textId="3E9AC846">
        <w:trPr>
          <w:cantSplit/>
        </w:trPr>
        <w:tc>
          <w:tcPr>
            <w:tcW w:w="0" w:type="auto"/>
          </w:tcPr>
          <w:p w:rsidR="001F4CC2" w:rsidP="001F4CC2" w:rsidRDefault="001F4CC2" w14:paraId="162AA7C9" w14:textId="77777777">
            <w:pPr>
              <w:spacing w:before="0" w:line="240" w:lineRule="auto"/>
              <w:jc w:val="center"/>
              <w:rPr>
                <w:sz w:val="20"/>
              </w:rPr>
            </w:pPr>
            <w:r w:rsidRPr="001F6D8F">
              <w:rPr>
                <w:sz w:val="20"/>
              </w:rPr>
              <w:t>Participate in Long-Term Regional Transmission Planning, which includes developing Long-Term Scenarios, evaluating the benefits of regional transmission facilities, and establishing criteria in consultation with states to select transmission facilities in the regional transmission plan for purposes of cost allocation</w:t>
            </w:r>
          </w:p>
          <w:p w:rsidRPr="001F4CC2" w:rsidR="001F4CC2" w:rsidP="001F4CC2" w:rsidRDefault="001F4CC2" w14:paraId="253E0B7E" w14:textId="4CDCA444">
            <w:pPr>
              <w:spacing w:before="0" w:line="240" w:lineRule="auto"/>
              <w:jc w:val="center"/>
              <w:rPr>
                <w:sz w:val="20"/>
              </w:rPr>
            </w:pPr>
            <w:r>
              <w:rPr>
                <w:sz w:val="20"/>
              </w:rPr>
              <w:t>(Subsequent Years)</w:t>
            </w:r>
          </w:p>
        </w:tc>
        <w:tc>
          <w:tcPr>
            <w:tcW w:w="0" w:type="auto"/>
            <w:vAlign w:val="bottom"/>
          </w:tcPr>
          <w:p w:rsidRPr="00F52296" w:rsidR="001F4CC2" w:rsidP="00F52296" w:rsidRDefault="00F52296" w14:paraId="584B9BD1" w14:textId="6B4F3D3C">
            <w:pPr>
              <w:spacing w:before="0" w:line="240" w:lineRule="auto"/>
              <w:jc w:val="right"/>
              <w:rPr>
                <w:bCs/>
                <w:sz w:val="20"/>
              </w:rPr>
            </w:pPr>
            <w:r w:rsidRPr="00F52296">
              <w:rPr>
                <w:bCs/>
                <w:sz w:val="20"/>
              </w:rPr>
              <w:t>125</w:t>
            </w:r>
          </w:p>
        </w:tc>
        <w:tc>
          <w:tcPr>
            <w:tcW w:w="0" w:type="auto"/>
            <w:vAlign w:val="bottom"/>
          </w:tcPr>
          <w:p w:rsidRPr="00F52296" w:rsidR="001F4CC2" w:rsidP="00F52296" w:rsidRDefault="00F52296" w14:paraId="67A57FDC" w14:textId="632190CB">
            <w:pPr>
              <w:spacing w:before="0" w:line="240" w:lineRule="auto"/>
              <w:jc w:val="right"/>
              <w:rPr>
                <w:bCs/>
                <w:sz w:val="20"/>
              </w:rPr>
            </w:pPr>
            <w:r>
              <w:rPr>
                <w:bCs/>
                <w:sz w:val="20"/>
              </w:rPr>
              <w:t>40 hours</w:t>
            </w:r>
          </w:p>
        </w:tc>
        <w:tc>
          <w:tcPr>
            <w:tcW w:w="0" w:type="auto"/>
            <w:vAlign w:val="bottom"/>
          </w:tcPr>
          <w:p w:rsidRPr="00F52296" w:rsidR="001F4CC2" w:rsidP="00F52296" w:rsidRDefault="00F52296" w14:paraId="5326FA14" w14:textId="50F12ACC">
            <w:pPr>
              <w:spacing w:before="0" w:line="240" w:lineRule="auto"/>
              <w:jc w:val="right"/>
              <w:rPr>
                <w:bCs/>
                <w:sz w:val="20"/>
              </w:rPr>
            </w:pPr>
            <w:r>
              <w:rPr>
                <w:bCs/>
                <w:sz w:val="20"/>
              </w:rPr>
              <w:t>5</w:t>
            </w:r>
            <w:r w:rsidR="0097376E">
              <w:rPr>
                <w:bCs/>
                <w:sz w:val="20"/>
              </w:rPr>
              <w:t>,</w:t>
            </w:r>
            <w:r>
              <w:rPr>
                <w:bCs/>
                <w:sz w:val="20"/>
              </w:rPr>
              <w:t>00</w:t>
            </w:r>
            <w:r w:rsidR="0097376E">
              <w:rPr>
                <w:bCs/>
                <w:sz w:val="20"/>
              </w:rPr>
              <w:t>0</w:t>
            </w:r>
            <w:r>
              <w:rPr>
                <w:bCs/>
                <w:sz w:val="20"/>
              </w:rPr>
              <w:t xml:space="preserve"> hours</w:t>
            </w:r>
          </w:p>
        </w:tc>
        <w:tc>
          <w:tcPr>
            <w:tcW w:w="0" w:type="auto"/>
            <w:vAlign w:val="bottom"/>
          </w:tcPr>
          <w:p w:rsidRPr="00F52296" w:rsidR="001F4CC2" w:rsidP="00F52296" w:rsidRDefault="00F52296" w14:paraId="1954C555" w14:textId="1DE2D58B">
            <w:pPr>
              <w:spacing w:before="0" w:line="240" w:lineRule="auto"/>
              <w:jc w:val="right"/>
              <w:rPr>
                <w:bCs/>
                <w:sz w:val="20"/>
              </w:rPr>
            </w:pPr>
            <w:r>
              <w:rPr>
                <w:bCs/>
                <w:sz w:val="20"/>
              </w:rPr>
              <w:t>$3,400</w:t>
            </w:r>
          </w:p>
        </w:tc>
        <w:tc>
          <w:tcPr>
            <w:tcW w:w="0" w:type="auto"/>
            <w:vAlign w:val="bottom"/>
          </w:tcPr>
          <w:p w:rsidRPr="00F52296" w:rsidR="001F4CC2" w:rsidP="00F52296" w:rsidRDefault="00F52296" w14:paraId="73E723C6" w14:textId="72367318">
            <w:pPr>
              <w:spacing w:before="0" w:line="240" w:lineRule="auto"/>
              <w:jc w:val="right"/>
              <w:rPr>
                <w:bCs/>
                <w:sz w:val="20"/>
              </w:rPr>
            </w:pPr>
            <w:r>
              <w:rPr>
                <w:bCs/>
                <w:sz w:val="20"/>
              </w:rPr>
              <w:t>$</w:t>
            </w:r>
            <w:r w:rsidR="0097376E">
              <w:rPr>
                <w:bCs/>
                <w:sz w:val="20"/>
              </w:rPr>
              <w:t>425,000</w:t>
            </w:r>
          </w:p>
        </w:tc>
        <w:tc>
          <w:tcPr>
            <w:tcW w:w="0" w:type="auto"/>
            <w:vAlign w:val="bottom"/>
          </w:tcPr>
          <w:p w:rsidRPr="00F52296" w:rsidR="001F4CC2" w:rsidP="00F52296" w:rsidRDefault="00F52296" w14:paraId="530201F7" w14:textId="4C459CDE">
            <w:pPr>
              <w:spacing w:before="0" w:line="240" w:lineRule="auto"/>
              <w:jc w:val="right"/>
              <w:rPr>
                <w:bCs/>
                <w:sz w:val="20"/>
              </w:rPr>
            </w:pPr>
            <w:r>
              <w:rPr>
                <w:bCs/>
                <w:sz w:val="20"/>
              </w:rPr>
              <w:t>$3,400</w:t>
            </w:r>
          </w:p>
        </w:tc>
      </w:tr>
      <w:tr w:rsidR="0097376E" w:rsidTr="002D6C75" w14:paraId="0E9DF6B6" w14:textId="0F124716">
        <w:trPr>
          <w:cantSplit/>
        </w:trPr>
        <w:tc>
          <w:tcPr>
            <w:tcW w:w="0" w:type="auto"/>
            <w:vAlign w:val="center"/>
          </w:tcPr>
          <w:p w:rsidR="00F52296" w:rsidP="00F52296" w:rsidRDefault="00F52296" w14:paraId="17438F6B" w14:textId="58776335">
            <w:pPr>
              <w:spacing w:before="0" w:line="240" w:lineRule="auto"/>
              <w:jc w:val="center"/>
              <w:rPr>
                <w:sz w:val="20"/>
              </w:rPr>
            </w:pPr>
            <w:r w:rsidRPr="00827301">
              <w:rPr>
                <w:sz w:val="20"/>
              </w:rPr>
              <w:t>Revise the regional transmission planning process to enhance transparency of local transmission planning and identifying potential opportunities to right-size replacement transmission facilities</w:t>
            </w:r>
          </w:p>
          <w:p w:rsidR="00F52296" w:rsidP="00F52296" w:rsidRDefault="00F52296" w14:paraId="300B99CE" w14:textId="7F85B35F">
            <w:pPr>
              <w:spacing w:before="0" w:line="240" w:lineRule="auto"/>
              <w:jc w:val="center"/>
              <w:rPr>
                <w:b/>
                <w:sz w:val="26"/>
              </w:rPr>
            </w:pPr>
            <w:r>
              <w:rPr>
                <w:sz w:val="20"/>
              </w:rPr>
              <w:t>(Subsequent Years)</w:t>
            </w:r>
          </w:p>
        </w:tc>
        <w:tc>
          <w:tcPr>
            <w:tcW w:w="0" w:type="auto"/>
            <w:vAlign w:val="bottom"/>
          </w:tcPr>
          <w:p w:rsidRPr="00F52296" w:rsidR="00F52296" w:rsidP="00F52296" w:rsidRDefault="00F52296" w14:paraId="48185218" w14:textId="58F6C776">
            <w:pPr>
              <w:spacing w:before="0" w:line="240" w:lineRule="auto"/>
              <w:jc w:val="right"/>
              <w:rPr>
                <w:bCs/>
                <w:sz w:val="20"/>
              </w:rPr>
            </w:pPr>
            <w:r>
              <w:rPr>
                <w:bCs/>
                <w:sz w:val="20"/>
              </w:rPr>
              <w:t>125</w:t>
            </w:r>
          </w:p>
        </w:tc>
        <w:tc>
          <w:tcPr>
            <w:tcW w:w="0" w:type="auto"/>
            <w:vAlign w:val="bottom"/>
          </w:tcPr>
          <w:p w:rsidRPr="00F52296" w:rsidR="00F52296" w:rsidP="00F52296" w:rsidRDefault="00F52296" w14:paraId="68124FE3" w14:textId="70D07252">
            <w:pPr>
              <w:spacing w:before="0" w:line="240" w:lineRule="auto"/>
              <w:jc w:val="right"/>
              <w:rPr>
                <w:bCs/>
                <w:sz w:val="20"/>
              </w:rPr>
            </w:pPr>
            <w:r>
              <w:rPr>
                <w:bCs/>
                <w:sz w:val="20"/>
              </w:rPr>
              <w:t>40 hours</w:t>
            </w:r>
          </w:p>
        </w:tc>
        <w:tc>
          <w:tcPr>
            <w:tcW w:w="0" w:type="auto"/>
            <w:vAlign w:val="bottom"/>
          </w:tcPr>
          <w:p w:rsidRPr="00F52296" w:rsidR="00F52296" w:rsidP="00F52296" w:rsidRDefault="00F52296" w14:paraId="218FAA42" w14:textId="5BC4CE7B">
            <w:pPr>
              <w:spacing w:before="0" w:line="240" w:lineRule="auto"/>
              <w:jc w:val="right"/>
              <w:rPr>
                <w:bCs/>
                <w:sz w:val="20"/>
              </w:rPr>
            </w:pPr>
            <w:r>
              <w:rPr>
                <w:bCs/>
                <w:sz w:val="20"/>
              </w:rPr>
              <w:t>5</w:t>
            </w:r>
            <w:r w:rsidR="0097376E">
              <w:rPr>
                <w:bCs/>
                <w:sz w:val="20"/>
              </w:rPr>
              <w:t>,</w:t>
            </w:r>
            <w:r>
              <w:rPr>
                <w:bCs/>
                <w:sz w:val="20"/>
              </w:rPr>
              <w:t>00</w:t>
            </w:r>
            <w:r w:rsidR="0097376E">
              <w:rPr>
                <w:bCs/>
                <w:sz w:val="20"/>
              </w:rPr>
              <w:t>0</w:t>
            </w:r>
            <w:r>
              <w:rPr>
                <w:bCs/>
                <w:sz w:val="20"/>
              </w:rPr>
              <w:t xml:space="preserve"> hours</w:t>
            </w:r>
          </w:p>
        </w:tc>
        <w:tc>
          <w:tcPr>
            <w:tcW w:w="0" w:type="auto"/>
            <w:vAlign w:val="bottom"/>
          </w:tcPr>
          <w:p w:rsidRPr="00F52296" w:rsidR="00F52296" w:rsidP="00F52296" w:rsidRDefault="00F52296" w14:paraId="1F8363F2" w14:textId="1B29846C">
            <w:pPr>
              <w:spacing w:before="0" w:line="240" w:lineRule="auto"/>
              <w:jc w:val="right"/>
              <w:rPr>
                <w:bCs/>
                <w:sz w:val="20"/>
              </w:rPr>
            </w:pPr>
            <w:r>
              <w:rPr>
                <w:bCs/>
                <w:sz w:val="20"/>
              </w:rPr>
              <w:t>$3,400</w:t>
            </w:r>
          </w:p>
        </w:tc>
        <w:tc>
          <w:tcPr>
            <w:tcW w:w="0" w:type="auto"/>
            <w:vAlign w:val="bottom"/>
          </w:tcPr>
          <w:p w:rsidRPr="00F52296" w:rsidR="00F52296" w:rsidP="00F52296" w:rsidRDefault="0097376E" w14:paraId="21C1A6B4" w14:textId="3D92ABC6">
            <w:pPr>
              <w:spacing w:before="0" w:line="240" w:lineRule="auto"/>
              <w:jc w:val="right"/>
              <w:rPr>
                <w:bCs/>
                <w:sz w:val="20"/>
              </w:rPr>
            </w:pPr>
            <w:r>
              <w:rPr>
                <w:bCs/>
                <w:sz w:val="20"/>
              </w:rPr>
              <w:t>$425,000</w:t>
            </w:r>
          </w:p>
        </w:tc>
        <w:tc>
          <w:tcPr>
            <w:tcW w:w="0" w:type="auto"/>
            <w:vAlign w:val="bottom"/>
          </w:tcPr>
          <w:p w:rsidRPr="00F52296" w:rsidR="00F52296" w:rsidP="00F52296" w:rsidRDefault="00F52296" w14:paraId="4B3DCF1D" w14:textId="34501504">
            <w:pPr>
              <w:spacing w:before="0" w:line="240" w:lineRule="auto"/>
              <w:jc w:val="right"/>
              <w:rPr>
                <w:bCs/>
                <w:sz w:val="20"/>
              </w:rPr>
            </w:pPr>
            <w:r>
              <w:rPr>
                <w:bCs/>
                <w:sz w:val="20"/>
              </w:rPr>
              <w:t>$3,400</w:t>
            </w:r>
          </w:p>
        </w:tc>
      </w:tr>
      <w:tr w:rsidR="0097376E" w:rsidTr="002D6C75" w14:paraId="52E3E128" w14:textId="1D3F6740">
        <w:trPr>
          <w:cantSplit/>
        </w:trPr>
        <w:tc>
          <w:tcPr>
            <w:tcW w:w="0" w:type="auto"/>
            <w:vAlign w:val="center"/>
          </w:tcPr>
          <w:p w:rsidR="00F52296" w:rsidP="00F52296" w:rsidRDefault="00F52296" w14:paraId="117A93B1" w14:textId="5EFC0D56">
            <w:pPr>
              <w:spacing w:before="0" w:line="240" w:lineRule="auto"/>
              <w:jc w:val="center"/>
              <w:rPr>
                <w:sz w:val="20"/>
              </w:rPr>
            </w:pPr>
            <w:r w:rsidRPr="00094FD3">
              <w:rPr>
                <w:sz w:val="20"/>
              </w:rPr>
              <w:t>In consultation with state entities, establish a Long-Term Regional Transmission Cost Allocation Method and/or a State Agreement Process</w:t>
            </w:r>
          </w:p>
          <w:p w:rsidR="00F52296" w:rsidP="00F52296" w:rsidRDefault="00F52296" w14:paraId="5D0E55A5" w14:textId="589BA1C5">
            <w:pPr>
              <w:spacing w:before="0" w:line="240" w:lineRule="auto"/>
              <w:jc w:val="center"/>
              <w:rPr>
                <w:b/>
                <w:sz w:val="26"/>
              </w:rPr>
            </w:pPr>
            <w:r>
              <w:rPr>
                <w:sz w:val="20"/>
              </w:rPr>
              <w:t>(Subsequent Years)</w:t>
            </w:r>
          </w:p>
        </w:tc>
        <w:tc>
          <w:tcPr>
            <w:tcW w:w="0" w:type="auto"/>
            <w:vAlign w:val="bottom"/>
          </w:tcPr>
          <w:p w:rsidRPr="00F52296" w:rsidR="00F52296" w:rsidP="00F52296" w:rsidRDefault="00F52296" w14:paraId="09F87742" w14:textId="0B864D58">
            <w:pPr>
              <w:spacing w:before="0" w:line="240" w:lineRule="auto"/>
              <w:jc w:val="right"/>
              <w:rPr>
                <w:bCs/>
                <w:sz w:val="20"/>
              </w:rPr>
            </w:pPr>
            <w:r>
              <w:rPr>
                <w:bCs/>
                <w:sz w:val="20"/>
              </w:rPr>
              <w:t>125</w:t>
            </w:r>
          </w:p>
        </w:tc>
        <w:tc>
          <w:tcPr>
            <w:tcW w:w="0" w:type="auto"/>
            <w:vAlign w:val="bottom"/>
          </w:tcPr>
          <w:p w:rsidRPr="00F52296" w:rsidR="00F52296" w:rsidP="00F52296" w:rsidRDefault="00F52296" w14:paraId="1C03CA10" w14:textId="28350E0F">
            <w:pPr>
              <w:spacing w:before="0" w:line="240" w:lineRule="auto"/>
              <w:jc w:val="right"/>
              <w:rPr>
                <w:bCs/>
                <w:sz w:val="20"/>
              </w:rPr>
            </w:pPr>
            <w:r>
              <w:rPr>
                <w:bCs/>
                <w:sz w:val="20"/>
              </w:rPr>
              <w:t>40 hours</w:t>
            </w:r>
          </w:p>
        </w:tc>
        <w:tc>
          <w:tcPr>
            <w:tcW w:w="0" w:type="auto"/>
            <w:vAlign w:val="bottom"/>
          </w:tcPr>
          <w:p w:rsidRPr="00F52296" w:rsidR="00F52296" w:rsidP="00F52296" w:rsidRDefault="00F52296" w14:paraId="586B8C4C" w14:textId="2956237C">
            <w:pPr>
              <w:spacing w:before="0" w:line="240" w:lineRule="auto"/>
              <w:jc w:val="right"/>
              <w:rPr>
                <w:bCs/>
                <w:sz w:val="20"/>
              </w:rPr>
            </w:pPr>
            <w:r>
              <w:rPr>
                <w:bCs/>
                <w:sz w:val="20"/>
              </w:rPr>
              <w:t>5</w:t>
            </w:r>
            <w:r w:rsidR="0097376E">
              <w:rPr>
                <w:bCs/>
                <w:sz w:val="20"/>
              </w:rPr>
              <w:t>,</w:t>
            </w:r>
            <w:r>
              <w:rPr>
                <w:bCs/>
                <w:sz w:val="20"/>
              </w:rPr>
              <w:t>00</w:t>
            </w:r>
            <w:r w:rsidR="0097376E">
              <w:rPr>
                <w:bCs/>
                <w:sz w:val="20"/>
              </w:rPr>
              <w:t>0</w:t>
            </w:r>
            <w:r>
              <w:rPr>
                <w:bCs/>
                <w:sz w:val="20"/>
              </w:rPr>
              <w:t xml:space="preserve"> hours</w:t>
            </w:r>
          </w:p>
        </w:tc>
        <w:tc>
          <w:tcPr>
            <w:tcW w:w="0" w:type="auto"/>
            <w:vAlign w:val="bottom"/>
          </w:tcPr>
          <w:p w:rsidRPr="00F52296" w:rsidR="00F52296" w:rsidP="00F52296" w:rsidRDefault="00F52296" w14:paraId="30F21A33" w14:textId="639434BA">
            <w:pPr>
              <w:spacing w:before="0" w:line="240" w:lineRule="auto"/>
              <w:jc w:val="right"/>
              <w:rPr>
                <w:bCs/>
                <w:sz w:val="20"/>
              </w:rPr>
            </w:pPr>
            <w:r>
              <w:rPr>
                <w:bCs/>
                <w:sz w:val="20"/>
              </w:rPr>
              <w:t>$3,400</w:t>
            </w:r>
          </w:p>
        </w:tc>
        <w:tc>
          <w:tcPr>
            <w:tcW w:w="0" w:type="auto"/>
            <w:vAlign w:val="bottom"/>
          </w:tcPr>
          <w:p w:rsidRPr="00F52296" w:rsidR="00F52296" w:rsidP="00F52296" w:rsidRDefault="0097376E" w14:paraId="59009312" w14:textId="7B1DE7A4">
            <w:pPr>
              <w:spacing w:before="0" w:line="240" w:lineRule="auto"/>
              <w:jc w:val="right"/>
              <w:rPr>
                <w:bCs/>
                <w:sz w:val="20"/>
              </w:rPr>
            </w:pPr>
            <w:r>
              <w:rPr>
                <w:bCs/>
                <w:sz w:val="20"/>
              </w:rPr>
              <w:t>$425,000</w:t>
            </w:r>
          </w:p>
        </w:tc>
        <w:tc>
          <w:tcPr>
            <w:tcW w:w="0" w:type="auto"/>
            <w:vAlign w:val="bottom"/>
          </w:tcPr>
          <w:p w:rsidRPr="00F52296" w:rsidR="00F52296" w:rsidP="00F52296" w:rsidRDefault="00F52296" w14:paraId="2468C251" w14:textId="6AD96E68">
            <w:pPr>
              <w:spacing w:before="0" w:line="240" w:lineRule="auto"/>
              <w:jc w:val="right"/>
              <w:rPr>
                <w:bCs/>
                <w:sz w:val="20"/>
              </w:rPr>
            </w:pPr>
            <w:r>
              <w:rPr>
                <w:bCs/>
                <w:sz w:val="20"/>
              </w:rPr>
              <w:t>$3,400</w:t>
            </w:r>
          </w:p>
        </w:tc>
      </w:tr>
      <w:tr w:rsidR="0097376E" w:rsidTr="002D6C75" w14:paraId="150CCBD6" w14:textId="61F35C83">
        <w:trPr>
          <w:cantSplit/>
        </w:trPr>
        <w:tc>
          <w:tcPr>
            <w:tcW w:w="0" w:type="auto"/>
            <w:vAlign w:val="center"/>
          </w:tcPr>
          <w:p w:rsidR="00F52296" w:rsidP="00F52296" w:rsidRDefault="00F52296" w14:paraId="318D6DFB" w14:textId="6599E77E">
            <w:pPr>
              <w:spacing w:before="0" w:line="240" w:lineRule="auto"/>
              <w:jc w:val="center"/>
              <w:rPr>
                <w:sz w:val="20"/>
              </w:rPr>
            </w:pPr>
            <w:r w:rsidRPr="00FC5CEF">
              <w:rPr>
                <w:sz w:val="20"/>
              </w:rPr>
              <w:t>Consider in the regional transmission planning processes regional transmission facilities that address certain interconnection-related needs</w:t>
            </w:r>
          </w:p>
          <w:p w:rsidR="00F52296" w:rsidP="00F52296" w:rsidRDefault="00F52296" w14:paraId="0B419214" w14:textId="3444B28D">
            <w:pPr>
              <w:spacing w:before="0" w:line="240" w:lineRule="auto"/>
              <w:jc w:val="center"/>
              <w:rPr>
                <w:b/>
                <w:sz w:val="26"/>
              </w:rPr>
            </w:pPr>
            <w:r>
              <w:rPr>
                <w:sz w:val="20"/>
              </w:rPr>
              <w:t>(Subsequent Years)</w:t>
            </w:r>
          </w:p>
        </w:tc>
        <w:tc>
          <w:tcPr>
            <w:tcW w:w="0" w:type="auto"/>
            <w:vAlign w:val="bottom"/>
          </w:tcPr>
          <w:p w:rsidRPr="00F52296" w:rsidR="00F52296" w:rsidP="00F52296" w:rsidRDefault="00F52296" w14:paraId="6D8DB4DF" w14:textId="3A51CE49">
            <w:pPr>
              <w:spacing w:before="0" w:line="240" w:lineRule="auto"/>
              <w:jc w:val="right"/>
              <w:rPr>
                <w:bCs/>
                <w:sz w:val="20"/>
              </w:rPr>
            </w:pPr>
            <w:r>
              <w:rPr>
                <w:bCs/>
                <w:sz w:val="20"/>
              </w:rPr>
              <w:t>0</w:t>
            </w:r>
          </w:p>
        </w:tc>
        <w:tc>
          <w:tcPr>
            <w:tcW w:w="0" w:type="auto"/>
            <w:vAlign w:val="bottom"/>
          </w:tcPr>
          <w:p w:rsidRPr="00F52296" w:rsidR="00F52296" w:rsidP="00F52296" w:rsidRDefault="00F52296" w14:paraId="7060C446" w14:textId="74EC4874">
            <w:pPr>
              <w:spacing w:before="0" w:line="240" w:lineRule="auto"/>
              <w:jc w:val="right"/>
              <w:rPr>
                <w:bCs/>
                <w:sz w:val="20"/>
              </w:rPr>
            </w:pPr>
            <w:r>
              <w:rPr>
                <w:bCs/>
                <w:sz w:val="20"/>
              </w:rPr>
              <w:t>0 hours</w:t>
            </w:r>
          </w:p>
        </w:tc>
        <w:tc>
          <w:tcPr>
            <w:tcW w:w="0" w:type="auto"/>
            <w:vAlign w:val="bottom"/>
          </w:tcPr>
          <w:p w:rsidRPr="00F52296" w:rsidR="00F52296" w:rsidP="00F52296" w:rsidRDefault="00F52296" w14:paraId="4B56959C" w14:textId="768EC910">
            <w:pPr>
              <w:spacing w:before="0" w:line="240" w:lineRule="auto"/>
              <w:jc w:val="right"/>
              <w:rPr>
                <w:bCs/>
                <w:sz w:val="20"/>
              </w:rPr>
            </w:pPr>
            <w:r>
              <w:rPr>
                <w:bCs/>
                <w:sz w:val="20"/>
              </w:rPr>
              <w:t>0 hours</w:t>
            </w:r>
          </w:p>
        </w:tc>
        <w:tc>
          <w:tcPr>
            <w:tcW w:w="0" w:type="auto"/>
            <w:vAlign w:val="bottom"/>
          </w:tcPr>
          <w:p w:rsidRPr="00F52296" w:rsidR="00F52296" w:rsidP="00F52296" w:rsidRDefault="00F52296" w14:paraId="53B655F7" w14:textId="2FA8B3FB">
            <w:pPr>
              <w:spacing w:before="0" w:line="240" w:lineRule="auto"/>
              <w:jc w:val="right"/>
              <w:rPr>
                <w:bCs/>
                <w:sz w:val="20"/>
              </w:rPr>
            </w:pPr>
            <w:r>
              <w:rPr>
                <w:bCs/>
                <w:sz w:val="20"/>
              </w:rPr>
              <w:t>$0</w:t>
            </w:r>
          </w:p>
        </w:tc>
        <w:tc>
          <w:tcPr>
            <w:tcW w:w="0" w:type="auto"/>
            <w:vAlign w:val="bottom"/>
          </w:tcPr>
          <w:p w:rsidRPr="00F52296" w:rsidR="00F52296" w:rsidP="00F52296" w:rsidRDefault="00F52296" w14:paraId="29F25657" w14:textId="7ED39BE8">
            <w:pPr>
              <w:spacing w:before="0" w:line="240" w:lineRule="auto"/>
              <w:jc w:val="right"/>
              <w:rPr>
                <w:bCs/>
                <w:sz w:val="20"/>
              </w:rPr>
            </w:pPr>
            <w:r>
              <w:rPr>
                <w:bCs/>
                <w:sz w:val="20"/>
              </w:rPr>
              <w:t>$0</w:t>
            </w:r>
          </w:p>
        </w:tc>
        <w:tc>
          <w:tcPr>
            <w:tcW w:w="0" w:type="auto"/>
            <w:vAlign w:val="bottom"/>
          </w:tcPr>
          <w:p w:rsidRPr="00F52296" w:rsidR="00F52296" w:rsidP="00F52296" w:rsidRDefault="00F52296" w14:paraId="50310B8B" w14:textId="0752F4B5">
            <w:pPr>
              <w:spacing w:before="0" w:line="240" w:lineRule="auto"/>
              <w:jc w:val="right"/>
              <w:rPr>
                <w:bCs/>
                <w:sz w:val="20"/>
              </w:rPr>
            </w:pPr>
            <w:r>
              <w:rPr>
                <w:bCs/>
                <w:sz w:val="20"/>
              </w:rPr>
              <w:t>$0</w:t>
            </w:r>
          </w:p>
        </w:tc>
      </w:tr>
      <w:tr w:rsidR="0097376E" w:rsidTr="002D6C75" w14:paraId="081B1FD9" w14:textId="0494BA4D">
        <w:trPr>
          <w:cantSplit/>
        </w:trPr>
        <w:tc>
          <w:tcPr>
            <w:tcW w:w="0" w:type="auto"/>
            <w:vAlign w:val="center"/>
          </w:tcPr>
          <w:p w:rsidR="00F52296" w:rsidP="00F52296" w:rsidRDefault="00F52296" w14:paraId="1CFE19F6" w14:textId="4A828EA8">
            <w:pPr>
              <w:spacing w:before="0" w:line="240" w:lineRule="auto"/>
              <w:jc w:val="center"/>
              <w:rPr>
                <w:sz w:val="20"/>
              </w:rPr>
            </w:pPr>
            <w:r w:rsidRPr="00FC5CEF">
              <w:rPr>
                <w:sz w:val="20"/>
              </w:rPr>
              <w:t>Revise interregional transmission coordination procedures to apply them to Long-Term Regional Transmission Planning</w:t>
            </w:r>
          </w:p>
          <w:p w:rsidR="00F52296" w:rsidP="00F52296" w:rsidRDefault="00F52296" w14:paraId="26F481D2" w14:textId="6CAD0496">
            <w:pPr>
              <w:spacing w:before="0" w:line="240" w:lineRule="auto"/>
              <w:jc w:val="center"/>
              <w:rPr>
                <w:b/>
                <w:sz w:val="26"/>
              </w:rPr>
            </w:pPr>
            <w:r>
              <w:rPr>
                <w:sz w:val="20"/>
              </w:rPr>
              <w:t>(Subsequent Years)</w:t>
            </w:r>
          </w:p>
        </w:tc>
        <w:tc>
          <w:tcPr>
            <w:tcW w:w="0" w:type="auto"/>
            <w:vAlign w:val="bottom"/>
          </w:tcPr>
          <w:p w:rsidRPr="00F52296" w:rsidR="00F52296" w:rsidP="00F52296" w:rsidRDefault="00F52296" w14:paraId="0D252E28" w14:textId="089E6382">
            <w:pPr>
              <w:spacing w:before="0" w:line="240" w:lineRule="auto"/>
              <w:jc w:val="right"/>
              <w:rPr>
                <w:bCs/>
                <w:sz w:val="20"/>
              </w:rPr>
            </w:pPr>
            <w:r>
              <w:rPr>
                <w:bCs/>
                <w:sz w:val="20"/>
              </w:rPr>
              <w:t>125</w:t>
            </w:r>
          </w:p>
        </w:tc>
        <w:tc>
          <w:tcPr>
            <w:tcW w:w="0" w:type="auto"/>
            <w:vAlign w:val="bottom"/>
          </w:tcPr>
          <w:p w:rsidRPr="00F52296" w:rsidR="00F52296" w:rsidP="00F52296" w:rsidRDefault="00F52296" w14:paraId="66687857" w14:textId="3353FDAC">
            <w:pPr>
              <w:spacing w:before="0" w:line="240" w:lineRule="auto"/>
              <w:jc w:val="right"/>
              <w:rPr>
                <w:bCs/>
                <w:sz w:val="20"/>
              </w:rPr>
            </w:pPr>
            <w:r>
              <w:rPr>
                <w:bCs/>
                <w:sz w:val="20"/>
              </w:rPr>
              <w:t>20 hours</w:t>
            </w:r>
          </w:p>
        </w:tc>
        <w:tc>
          <w:tcPr>
            <w:tcW w:w="0" w:type="auto"/>
            <w:vAlign w:val="bottom"/>
          </w:tcPr>
          <w:p w:rsidRPr="00F52296" w:rsidR="00F52296" w:rsidP="00F52296" w:rsidRDefault="00F52296" w14:paraId="50DD8A34" w14:textId="49A5844B">
            <w:pPr>
              <w:spacing w:before="0" w:line="240" w:lineRule="auto"/>
              <w:jc w:val="right"/>
              <w:rPr>
                <w:bCs/>
                <w:sz w:val="20"/>
              </w:rPr>
            </w:pPr>
            <w:r>
              <w:rPr>
                <w:bCs/>
                <w:sz w:val="20"/>
              </w:rPr>
              <w:t>2</w:t>
            </w:r>
            <w:r w:rsidR="0097376E">
              <w:rPr>
                <w:bCs/>
                <w:sz w:val="20"/>
              </w:rPr>
              <w:t>,</w:t>
            </w:r>
            <w:r>
              <w:rPr>
                <w:bCs/>
                <w:sz w:val="20"/>
              </w:rPr>
              <w:t>50</w:t>
            </w:r>
            <w:r w:rsidR="0097376E">
              <w:rPr>
                <w:bCs/>
                <w:sz w:val="20"/>
              </w:rPr>
              <w:t>0</w:t>
            </w:r>
            <w:r>
              <w:rPr>
                <w:bCs/>
                <w:sz w:val="20"/>
              </w:rPr>
              <w:t xml:space="preserve"> hours</w:t>
            </w:r>
          </w:p>
        </w:tc>
        <w:tc>
          <w:tcPr>
            <w:tcW w:w="0" w:type="auto"/>
            <w:vAlign w:val="bottom"/>
          </w:tcPr>
          <w:p w:rsidRPr="00F52296" w:rsidR="00F52296" w:rsidP="00F52296" w:rsidRDefault="0097376E" w14:paraId="5E0BDC9B" w14:textId="41A7E355">
            <w:pPr>
              <w:spacing w:before="0" w:line="240" w:lineRule="auto"/>
              <w:jc w:val="right"/>
              <w:rPr>
                <w:bCs/>
                <w:sz w:val="20"/>
              </w:rPr>
            </w:pPr>
            <w:r>
              <w:rPr>
                <w:bCs/>
                <w:sz w:val="20"/>
              </w:rPr>
              <w:t>$1,700</w:t>
            </w:r>
          </w:p>
        </w:tc>
        <w:tc>
          <w:tcPr>
            <w:tcW w:w="0" w:type="auto"/>
            <w:vAlign w:val="bottom"/>
          </w:tcPr>
          <w:p w:rsidRPr="00F52296" w:rsidR="00F52296" w:rsidP="00F52296" w:rsidRDefault="0097376E" w14:paraId="75D08498" w14:textId="03276EFC">
            <w:pPr>
              <w:spacing w:before="0" w:line="240" w:lineRule="auto"/>
              <w:jc w:val="right"/>
              <w:rPr>
                <w:bCs/>
                <w:sz w:val="20"/>
              </w:rPr>
            </w:pPr>
            <w:r>
              <w:rPr>
                <w:bCs/>
                <w:sz w:val="20"/>
              </w:rPr>
              <w:t>$212,500</w:t>
            </w:r>
          </w:p>
        </w:tc>
        <w:tc>
          <w:tcPr>
            <w:tcW w:w="0" w:type="auto"/>
            <w:vAlign w:val="bottom"/>
          </w:tcPr>
          <w:p w:rsidRPr="00F52296" w:rsidR="00F52296" w:rsidP="00F52296" w:rsidRDefault="0097376E" w14:paraId="58BBD78A" w14:textId="4C0337A4">
            <w:pPr>
              <w:spacing w:before="0" w:line="240" w:lineRule="auto"/>
              <w:jc w:val="right"/>
              <w:rPr>
                <w:bCs/>
                <w:sz w:val="20"/>
              </w:rPr>
            </w:pPr>
            <w:r>
              <w:rPr>
                <w:bCs/>
                <w:sz w:val="20"/>
              </w:rPr>
              <w:t>$1,700</w:t>
            </w:r>
          </w:p>
        </w:tc>
      </w:tr>
      <w:tr w:rsidR="0097376E" w:rsidTr="002D6C75" w14:paraId="21A22D09" w14:textId="3948B27C">
        <w:trPr>
          <w:cantSplit/>
        </w:trPr>
        <w:tc>
          <w:tcPr>
            <w:tcW w:w="0" w:type="auto"/>
            <w:vAlign w:val="center"/>
          </w:tcPr>
          <w:p w:rsidR="00F52296" w:rsidP="00F52296" w:rsidRDefault="00F52296" w14:paraId="13A16CC6" w14:textId="5AAD5F54">
            <w:pPr>
              <w:spacing w:before="0" w:line="240" w:lineRule="auto"/>
              <w:jc w:val="center"/>
              <w:rPr>
                <w:b/>
                <w:sz w:val="26"/>
              </w:rPr>
            </w:pPr>
            <w:r w:rsidRPr="009A4EE6">
              <w:rPr>
                <w:b/>
                <w:bCs/>
                <w:sz w:val="20"/>
                <w:szCs w:val="20"/>
              </w:rPr>
              <w:t>Totals</w:t>
            </w:r>
          </w:p>
        </w:tc>
        <w:tc>
          <w:tcPr>
            <w:tcW w:w="0" w:type="auto"/>
            <w:vAlign w:val="bottom"/>
          </w:tcPr>
          <w:p w:rsidRPr="00F52296" w:rsidR="00F52296" w:rsidP="00F52296" w:rsidRDefault="0097376E" w14:paraId="32D6B076" w14:textId="5746F785">
            <w:pPr>
              <w:spacing w:before="0" w:line="240" w:lineRule="auto"/>
              <w:jc w:val="right"/>
              <w:rPr>
                <w:bCs/>
                <w:sz w:val="20"/>
              </w:rPr>
            </w:pPr>
            <w:r>
              <w:rPr>
                <w:bCs/>
                <w:sz w:val="20"/>
              </w:rPr>
              <w:t>500</w:t>
            </w:r>
          </w:p>
        </w:tc>
        <w:tc>
          <w:tcPr>
            <w:tcW w:w="0" w:type="auto"/>
            <w:vAlign w:val="bottom"/>
          </w:tcPr>
          <w:p w:rsidRPr="00F52296" w:rsidR="00F52296" w:rsidP="00F52296" w:rsidRDefault="0097376E" w14:paraId="713C721C" w14:textId="56FB31BA">
            <w:pPr>
              <w:spacing w:before="0" w:line="240" w:lineRule="auto"/>
              <w:jc w:val="right"/>
              <w:rPr>
                <w:bCs/>
                <w:sz w:val="20"/>
              </w:rPr>
            </w:pPr>
            <w:r>
              <w:rPr>
                <w:bCs/>
                <w:sz w:val="20"/>
              </w:rPr>
              <w:t>140 hours</w:t>
            </w:r>
          </w:p>
        </w:tc>
        <w:tc>
          <w:tcPr>
            <w:tcW w:w="0" w:type="auto"/>
            <w:vAlign w:val="bottom"/>
          </w:tcPr>
          <w:p w:rsidRPr="00F52296" w:rsidR="00F52296" w:rsidP="00F52296" w:rsidRDefault="0097376E" w14:paraId="36F294CF" w14:textId="0D146B9F">
            <w:pPr>
              <w:spacing w:before="0" w:line="240" w:lineRule="auto"/>
              <w:jc w:val="right"/>
              <w:rPr>
                <w:bCs/>
                <w:sz w:val="20"/>
              </w:rPr>
            </w:pPr>
            <w:r>
              <w:rPr>
                <w:bCs/>
                <w:sz w:val="20"/>
              </w:rPr>
              <w:t>17,500 hours</w:t>
            </w:r>
          </w:p>
        </w:tc>
        <w:tc>
          <w:tcPr>
            <w:tcW w:w="0" w:type="auto"/>
            <w:vAlign w:val="bottom"/>
          </w:tcPr>
          <w:p w:rsidRPr="00F52296" w:rsidR="00F52296" w:rsidP="00F52296" w:rsidRDefault="0097376E" w14:paraId="13438DC3" w14:textId="49CC23F4">
            <w:pPr>
              <w:spacing w:before="0" w:line="240" w:lineRule="auto"/>
              <w:jc w:val="right"/>
              <w:rPr>
                <w:bCs/>
                <w:sz w:val="20"/>
              </w:rPr>
            </w:pPr>
            <w:r>
              <w:rPr>
                <w:bCs/>
                <w:sz w:val="20"/>
              </w:rPr>
              <w:t>$11,900</w:t>
            </w:r>
          </w:p>
        </w:tc>
        <w:tc>
          <w:tcPr>
            <w:tcW w:w="0" w:type="auto"/>
            <w:vAlign w:val="bottom"/>
          </w:tcPr>
          <w:p w:rsidRPr="00F52296" w:rsidR="00F52296" w:rsidP="00F52296" w:rsidRDefault="009213B2" w14:paraId="5F88812E" w14:textId="6B634376">
            <w:pPr>
              <w:spacing w:before="0" w:line="240" w:lineRule="auto"/>
              <w:jc w:val="right"/>
              <w:rPr>
                <w:bCs/>
                <w:sz w:val="20"/>
              </w:rPr>
            </w:pPr>
            <w:r>
              <w:rPr>
                <w:bCs/>
                <w:sz w:val="20"/>
              </w:rPr>
              <w:t>$1,487,500</w:t>
            </w:r>
          </w:p>
        </w:tc>
        <w:tc>
          <w:tcPr>
            <w:tcW w:w="0" w:type="auto"/>
            <w:vAlign w:val="bottom"/>
          </w:tcPr>
          <w:p w:rsidRPr="00F52296" w:rsidR="00F52296" w:rsidP="00F52296" w:rsidRDefault="0097376E" w14:paraId="34F4015C" w14:textId="40116254">
            <w:pPr>
              <w:spacing w:before="0" w:line="240" w:lineRule="auto"/>
              <w:jc w:val="right"/>
              <w:rPr>
                <w:bCs/>
                <w:sz w:val="20"/>
              </w:rPr>
            </w:pPr>
            <w:r>
              <w:rPr>
                <w:bCs/>
                <w:sz w:val="20"/>
              </w:rPr>
              <w:t>$11,900</w:t>
            </w:r>
          </w:p>
        </w:tc>
      </w:tr>
    </w:tbl>
    <w:p w:rsidR="00EA69E6" w:rsidP="00FD2295" w:rsidRDefault="00EA69E6" w14:paraId="10F6B2C3" w14:textId="5A1FF848">
      <w:pPr>
        <w:spacing w:before="0" w:line="240" w:lineRule="auto"/>
        <w:rPr>
          <w:b/>
          <w:sz w:val="26"/>
        </w:rPr>
      </w:pPr>
    </w:p>
    <w:p w:rsidRPr="009A4EE6" w:rsidR="00286726" w:rsidP="00286726" w:rsidRDefault="00286726" w14:paraId="7BEDF5ED" w14:textId="3EE1B9BA">
      <w:pPr>
        <w:spacing w:line="240" w:lineRule="auto"/>
        <w:rPr>
          <w:bCs/>
          <w:sz w:val="26"/>
          <w:u w:val="single"/>
        </w:rPr>
      </w:pPr>
      <w:r>
        <w:rPr>
          <w:bCs/>
          <w:sz w:val="26"/>
          <w:u w:val="single"/>
        </w:rPr>
        <w:t>Proposed Burden Estimates for FERC-917:  Records Management Requirements in Year 1 and Subsequent Years</w:t>
      </w:r>
    </w:p>
    <w:p w:rsidR="00286726" w:rsidP="00286726" w:rsidRDefault="00286726" w14:paraId="730080E0" w14:textId="0A9D06FC">
      <w:pPr>
        <w:spacing w:line="240" w:lineRule="auto"/>
        <w:rPr>
          <w:bCs/>
          <w:sz w:val="26"/>
        </w:rPr>
      </w:pPr>
      <w:r w:rsidRPr="001B22FA">
        <w:rPr>
          <w:bCs/>
          <w:sz w:val="26"/>
        </w:rPr>
        <w:t xml:space="preserve">The Commission estimates that the NOPR would affect the burden </w:t>
      </w:r>
      <w:r>
        <w:rPr>
          <w:bCs/>
          <w:sz w:val="26"/>
        </w:rPr>
        <w:t>and cost of FERC-917 re</w:t>
      </w:r>
      <w:r w:rsidR="00162D7D">
        <w:rPr>
          <w:bCs/>
          <w:sz w:val="26"/>
        </w:rPr>
        <w:t>cords management</w:t>
      </w:r>
      <w:r>
        <w:rPr>
          <w:bCs/>
          <w:sz w:val="26"/>
        </w:rPr>
        <w:t xml:space="preserve"> requirements in Year 1 as shown in Table 12-</w:t>
      </w:r>
      <w:r w:rsidR="00162D7D">
        <w:rPr>
          <w:bCs/>
          <w:sz w:val="26"/>
        </w:rPr>
        <w:t>3</w:t>
      </w:r>
      <w:r>
        <w:rPr>
          <w:bCs/>
          <w:sz w:val="26"/>
        </w:rPr>
        <w:t>, and in Subsequent Years as shown in Table 12</w:t>
      </w:r>
      <w:r w:rsidR="00162D7D">
        <w:rPr>
          <w:bCs/>
          <w:sz w:val="26"/>
        </w:rPr>
        <w:t>-4</w:t>
      </w:r>
      <w:r>
        <w:rPr>
          <w:bCs/>
          <w:sz w:val="26"/>
        </w:rPr>
        <w:t>, below:</w:t>
      </w:r>
    </w:p>
    <w:p w:rsidR="006C3D15" w:rsidRDefault="006C3D15" w14:paraId="4F9B3020" w14:textId="38B29A29">
      <w:pPr>
        <w:widowControl/>
        <w:autoSpaceDE/>
        <w:autoSpaceDN/>
        <w:adjustRightInd/>
        <w:spacing w:before="0" w:line="240" w:lineRule="auto"/>
        <w:rPr>
          <w:b/>
          <w:sz w:val="26"/>
        </w:rPr>
      </w:pPr>
    </w:p>
    <w:p w:rsidR="00286726" w:rsidP="00286726" w:rsidRDefault="00286726" w14:paraId="0EDFA7DC" w14:textId="1888B52D">
      <w:pPr>
        <w:spacing w:before="0" w:line="240" w:lineRule="auto"/>
        <w:jc w:val="center"/>
        <w:rPr>
          <w:b/>
          <w:sz w:val="26"/>
        </w:rPr>
      </w:pPr>
      <w:r>
        <w:rPr>
          <w:b/>
          <w:sz w:val="26"/>
        </w:rPr>
        <w:t>Table 12-</w:t>
      </w:r>
      <w:r w:rsidR="00162D7D">
        <w:rPr>
          <w:b/>
          <w:sz w:val="26"/>
        </w:rPr>
        <w:t>3</w:t>
      </w:r>
    </w:p>
    <w:p w:rsidR="00286726" w:rsidP="00286726" w:rsidRDefault="00286726" w14:paraId="35376216" w14:textId="77777777">
      <w:pPr>
        <w:spacing w:before="0" w:line="240" w:lineRule="auto"/>
        <w:jc w:val="center"/>
        <w:rPr>
          <w:b/>
          <w:sz w:val="26"/>
        </w:rPr>
      </w:pPr>
      <w:r>
        <w:rPr>
          <w:b/>
          <w:sz w:val="26"/>
        </w:rPr>
        <w:t>Proposed Revisions of FERC-917 in the NOPR at Docket No. RM21-17:</w:t>
      </w:r>
    </w:p>
    <w:p w:rsidR="00286726" w:rsidP="00286726" w:rsidRDefault="00286726" w14:paraId="28BAC48E" w14:textId="77777777">
      <w:pPr>
        <w:spacing w:before="0" w:line="240" w:lineRule="auto"/>
        <w:jc w:val="center"/>
        <w:rPr>
          <w:b/>
          <w:sz w:val="26"/>
        </w:rPr>
      </w:pPr>
      <w:r>
        <w:rPr>
          <w:b/>
          <w:sz w:val="26"/>
        </w:rPr>
        <w:t>Burden Hours and Costs</w:t>
      </w:r>
    </w:p>
    <w:p w:rsidRPr="001F4CC2" w:rsidR="00286726" w:rsidP="00286726" w:rsidRDefault="00286726" w14:paraId="201337E8" w14:textId="4A191B71">
      <w:pPr>
        <w:spacing w:before="0" w:line="240" w:lineRule="auto"/>
        <w:jc w:val="center"/>
        <w:rPr>
          <w:b/>
          <w:sz w:val="26"/>
          <w:u w:val="single"/>
        </w:rPr>
      </w:pPr>
      <w:r>
        <w:rPr>
          <w:b/>
          <w:sz w:val="26"/>
          <w:u w:val="single"/>
        </w:rPr>
        <w:t xml:space="preserve">Year 1 </w:t>
      </w:r>
      <w:r w:rsidR="00162D7D">
        <w:rPr>
          <w:b/>
          <w:sz w:val="26"/>
          <w:u w:val="single"/>
        </w:rPr>
        <w:t>Records Management</w:t>
      </w:r>
      <w:r w:rsidR="0049643D">
        <w:rPr>
          <w:b/>
          <w:sz w:val="26"/>
          <w:u w:val="single"/>
        </w:rPr>
        <w:t xml:space="preserve"> </w:t>
      </w:r>
      <w:r>
        <w:rPr>
          <w:b/>
          <w:sz w:val="26"/>
          <w:u w:val="single"/>
        </w:rPr>
        <w:t>Requirements</w:t>
      </w:r>
    </w:p>
    <w:tbl>
      <w:tblPr>
        <w:tblStyle w:val="TableGrid"/>
        <w:tblW w:w="0" w:type="auto"/>
        <w:tblLook w:val="04A0" w:firstRow="1" w:lastRow="0" w:firstColumn="1" w:lastColumn="0" w:noHBand="0" w:noVBand="1"/>
      </w:tblPr>
      <w:tblGrid>
        <w:gridCol w:w="1465"/>
        <w:gridCol w:w="10"/>
        <w:gridCol w:w="1254"/>
        <w:gridCol w:w="1360"/>
        <w:gridCol w:w="1360"/>
        <w:gridCol w:w="1360"/>
        <w:gridCol w:w="1360"/>
        <w:gridCol w:w="1181"/>
      </w:tblGrid>
      <w:tr w:rsidRPr="000C282F" w:rsidR="00286726" w:rsidTr="00F240CD" w14:paraId="1E3275AD"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286726" w:rsidP="003B24CE" w:rsidRDefault="00286726" w14:paraId="70081F88" w14:textId="77777777">
            <w:pPr>
              <w:spacing w:before="0" w:line="240" w:lineRule="auto"/>
              <w:jc w:val="center"/>
              <w:rPr>
                <w:b/>
                <w:bCs/>
                <w:sz w:val="20"/>
              </w:rPr>
            </w:pPr>
            <w:r w:rsidRPr="001F6D8F">
              <w:rPr>
                <w:b/>
                <w:bCs/>
                <w:sz w:val="20"/>
              </w:rPr>
              <w:t>A.</w:t>
            </w:r>
          </w:p>
          <w:p w:rsidRPr="001F6D8F" w:rsidR="00286726" w:rsidP="003B24CE" w:rsidRDefault="00286726" w14:paraId="02AE9ED8" w14:textId="77777777">
            <w:pPr>
              <w:spacing w:before="0" w:line="240" w:lineRule="auto"/>
              <w:jc w:val="center"/>
              <w:rPr>
                <w:b/>
                <w:bCs/>
                <w:sz w:val="20"/>
              </w:rPr>
            </w:pPr>
            <w:r w:rsidRPr="001F6D8F">
              <w:rPr>
                <w:b/>
                <w:bCs/>
                <w:sz w:val="20"/>
              </w:rPr>
              <w:t>Area of Modification</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bottom"/>
          </w:tcPr>
          <w:p w:rsidRPr="001F6D8F" w:rsidR="00286726" w:rsidP="003B24CE" w:rsidRDefault="00286726" w14:paraId="00107075" w14:textId="77777777">
            <w:pPr>
              <w:spacing w:before="0" w:line="240" w:lineRule="auto"/>
              <w:jc w:val="center"/>
              <w:rPr>
                <w:b/>
                <w:bCs/>
                <w:sz w:val="20"/>
              </w:rPr>
            </w:pPr>
            <w:r w:rsidRPr="001F6D8F">
              <w:rPr>
                <w:b/>
                <w:bCs/>
                <w:sz w:val="20"/>
              </w:rPr>
              <w:t>B.</w:t>
            </w:r>
          </w:p>
          <w:p w:rsidRPr="001F6D8F" w:rsidR="00286726" w:rsidP="003B24CE" w:rsidRDefault="00286726" w14:paraId="11B6DD86" w14:textId="77777777">
            <w:pPr>
              <w:spacing w:before="0" w:line="240" w:lineRule="auto"/>
              <w:jc w:val="center"/>
              <w:rPr>
                <w:b/>
                <w:bCs/>
                <w:sz w:val="20"/>
              </w:rPr>
            </w:pPr>
            <w:r w:rsidRPr="001F6D8F">
              <w:rPr>
                <w:b/>
                <w:bCs/>
                <w:sz w:val="20"/>
              </w:rPr>
              <w:t>Annual Number of Respondents</w:t>
            </w:r>
            <w:r>
              <w:rPr>
                <w:b/>
                <w:bCs/>
                <w:sz w:val="20"/>
              </w:rPr>
              <w:t xml:space="preserve"> and Responses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286726" w:rsidP="003B24CE" w:rsidRDefault="00286726" w14:paraId="2F5D1DD0" w14:textId="77777777">
            <w:pPr>
              <w:spacing w:before="0" w:line="240" w:lineRule="auto"/>
              <w:jc w:val="center"/>
              <w:rPr>
                <w:b/>
                <w:bCs/>
                <w:sz w:val="20"/>
              </w:rPr>
            </w:pPr>
            <w:r>
              <w:rPr>
                <w:b/>
                <w:bCs/>
                <w:sz w:val="20"/>
              </w:rPr>
              <w:t>C</w:t>
            </w:r>
            <w:r w:rsidRPr="001F6D8F">
              <w:rPr>
                <w:b/>
                <w:bCs/>
                <w:sz w:val="20"/>
              </w:rPr>
              <w:t>.</w:t>
            </w:r>
          </w:p>
          <w:p w:rsidRPr="001F6D8F" w:rsidR="00286726" w:rsidP="003B24CE" w:rsidRDefault="00480D05" w14:paraId="224D9004" w14:textId="3C53D93C">
            <w:pPr>
              <w:spacing w:before="0" w:line="240" w:lineRule="auto"/>
              <w:jc w:val="center"/>
              <w:rPr>
                <w:b/>
                <w:bCs/>
                <w:sz w:val="20"/>
              </w:rPr>
            </w:pPr>
            <w:r>
              <w:rPr>
                <w:b/>
                <w:bCs/>
                <w:sz w:val="20"/>
              </w:rPr>
              <w:t xml:space="preserve">Annual </w:t>
            </w:r>
            <w:r w:rsidRPr="001F6D8F" w:rsidR="00286726">
              <w:rPr>
                <w:b/>
                <w:bCs/>
                <w:sz w:val="20"/>
              </w:rPr>
              <w:t>Average Burden Hours</w:t>
            </w:r>
            <w:r w:rsidR="00286726">
              <w:rPr>
                <w:b/>
                <w:bCs/>
                <w:sz w:val="20"/>
              </w:rPr>
              <w:t xml:space="preserve"> per Response for </w:t>
            </w:r>
            <w:r w:rsidR="00AC1F43">
              <w:rPr>
                <w:b/>
                <w:bCs/>
                <w:sz w:val="20"/>
              </w:rPr>
              <w:t>Records Management</w:t>
            </w:r>
            <w:r w:rsidR="00286726">
              <w:rPr>
                <w:b/>
                <w:bCs/>
                <w:sz w:val="20"/>
              </w:rPr>
              <w:t xml:space="preserve"> Requirements</w:t>
            </w:r>
          </w:p>
        </w:tc>
        <w:tc>
          <w:tcPr>
            <w:tcW w:w="0" w:type="auto"/>
            <w:tcBorders>
              <w:top w:val="single" w:color="auto" w:sz="4" w:space="0"/>
              <w:left w:val="single" w:color="auto" w:sz="4" w:space="0"/>
              <w:bottom w:val="single" w:color="auto" w:sz="4" w:space="0"/>
              <w:right w:val="single" w:color="auto" w:sz="4" w:space="0"/>
            </w:tcBorders>
            <w:vAlign w:val="bottom"/>
          </w:tcPr>
          <w:p w:rsidR="00286726" w:rsidP="003B24CE" w:rsidRDefault="00286726" w14:paraId="149AA450" w14:textId="77777777">
            <w:pPr>
              <w:spacing w:before="0" w:line="240" w:lineRule="auto"/>
              <w:jc w:val="center"/>
              <w:rPr>
                <w:b/>
                <w:bCs/>
                <w:sz w:val="20"/>
              </w:rPr>
            </w:pPr>
            <w:r>
              <w:rPr>
                <w:b/>
                <w:bCs/>
                <w:sz w:val="20"/>
              </w:rPr>
              <w:t>D.</w:t>
            </w:r>
          </w:p>
          <w:p w:rsidRPr="001F6D8F" w:rsidR="00286726" w:rsidP="003B24CE" w:rsidRDefault="00480D05" w14:paraId="0B9E4B66" w14:textId="4553D42F">
            <w:pPr>
              <w:spacing w:before="0" w:line="240" w:lineRule="auto"/>
              <w:jc w:val="center"/>
              <w:rPr>
                <w:b/>
                <w:bCs/>
                <w:sz w:val="20"/>
              </w:rPr>
            </w:pPr>
            <w:r>
              <w:rPr>
                <w:b/>
                <w:bCs/>
                <w:sz w:val="20"/>
              </w:rPr>
              <w:t xml:space="preserve">Annual </w:t>
            </w:r>
            <w:r w:rsidRPr="001F6D8F" w:rsidR="00286726">
              <w:rPr>
                <w:b/>
                <w:bCs/>
                <w:sz w:val="20"/>
              </w:rPr>
              <w:t>Total Estimated Burden Hours</w:t>
            </w:r>
            <w:r w:rsidR="00286726">
              <w:rPr>
                <w:b/>
                <w:bCs/>
                <w:sz w:val="20"/>
              </w:rPr>
              <w:t xml:space="preserve"> for </w:t>
            </w:r>
            <w:r w:rsidR="00AC1F43">
              <w:rPr>
                <w:b/>
                <w:bCs/>
                <w:sz w:val="20"/>
              </w:rPr>
              <w:t>Records Management</w:t>
            </w:r>
            <w:r w:rsidR="00286726">
              <w:rPr>
                <w:b/>
                <w:bCs/>
                <w:sz w:val="20"/>
              </w:rPr>
              <w:t xml:space="preserve"> Requirements</w:t>
            </w:r>
          </w:p>
          <w:p w:rsidRPr="001F6D8F" w:rsidR="00286726" w:rsidP="003B24CE" w:rsidRDefault="00286726" w14:paraId="52BF37F8" w14:textId="77777777">
            <w:pPr>
              <w:spacing w:before="0" w:line="240" w:lineRule="auto"/>
              <w:jc w:val="center"/>
              <w:rPr>
                <w:b/>
                <w:bCs/>
                <w:sz w:val="20"/>
              </w:rPr>
            </w:pPr>
            <w:r w:rsidRPr="001F6D8F">
              <w:rPr>
                <w:b/>
                <w:bCs/>
                <w:sz w:val="20"/>
              </w:rPr>
              <w:t xml:space="preserve">(Column </w:t>
            </w:r>
            <w:r>
              <w:rPr>
                <w:b/>
                <w:bCs/>
                <w:sz w:val="20"/>
              </w:rPr>
              <w:t xml:space="preserve">B </w:t>
            </w:r>
            <w:r w:rsidRPr="001F6D8F">
              <w:rPr>
                <w:b/>
                <w:bCs/>
                <w:sz w:val="20"/>
              </w:rPr>
              <w:t xml:space="preserve"> x</w:t>
            </w:r>
          </w:p>
          <w:p w:rsidRPr="001F6D8F" w:rsidR="00286726" w:rsidP="003B24CE" w:rsidRDefault="00286726" w14:paraId="0CD31839" w14:textId="77777777">
            <w:pPr>
              <w:spacing w:before="0" w:line="240" w:lineRule="auto"/>
              <w:jc w:val="center"/>
              <w:rPr>
                <w:b/>
                <w:bCs/>
                <w:sz w:val="20"/>
              </w:rPr>
            </w:pPr>
            <w:r w:rsidRPr="001F6D8F">
              <w:rPr>
                <w:b/>
                <w:bCs/>
                <w:sz w:val="20"/>
              </w:rPr>
              <w:t xml:space="preserve">Column </w:t>
            </w:r>
            <w:r>
              <w:rPr>
                <w:b/>
                <w:bCs/>
                <w:sz w:val="20"/>
              </w:rPr>
              <w:t>C</w:t>
            </w:r>
            <w:r w:rsidRPr="001F6D8F">
              <w:rPr>
                <w:b/>
                <w:bCs/>
                <w:sz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783D36" w:rsidR="00286726" w:rsidP="005957F3" w:rsidRDefault="00286726" w14:paraId="19550CE4" w14:textId="77777777">
            <w:pPr>
              <w:spacing w:before="0" w:line="240" w:lineRule="auto"/>
              <w:jc w:val="center"/>
              <w:rPr>
                <w:b/>
                <w:bCs/>
                <w:sz w:val="20"/>
              </w:rPr>
            </w:pPr>
            <w:r>
              <w:rPr>
                <w:b/>
                <w:bCs/>
                <w:sz w:val="20"/>
              </w:rPr>
              <w:t>E.</w:t>
            </w:r>
          </w:p>
          <w:p w:rsidRPr="00783D36" w:rsidR="00286726" w:rsidP="005957F3" w:rsidRDefault="00480D05" w14:paraId="6EDC338F" w14:textId="26A1455D">
            <w:pPr>
              <w:spacing w:before="0" w:line="240" w:lineRule="auto"/>
              <w:jc w:val="center"/>
              <w:rPr>
                <w:b/>
                <w:bCs/>
                <w:sz w:val="20"/>
              </w:rPr>
            </w:pPr>
            <w:r>
              <w:rPr>
                <w:b/>
                <w:bCs/>
                <w:sz w:val="20"/>
              </w:rPr>
              <w:t xml:space="preserve">Annual </w:t>
            </w:r>
            <w:r w:rsidR="005957F3">
              <w:rPr>
                <w:b/>
                <w:bCs/>
                <w:sz w:val="20"/>
              </w:rPr>
              <w:t>Estimated Co</w:t>
            </w:r>
            <w:r w:rsidRPr="00783D36" w:rsidR="00286726">
              <w:rPr>
                <w:b/>
                <w:bCs/>
                <w:sz w:val="20"/>
              </w:rPr>
              <w:t>st per Response for</w:t>
            </w:r>
            <w:r w:rsidR="00AC1F43">
              <w:rPr>
                <w:b/>
                <w:bCs/>
                <w:sz w:val="20"/>
              </w:rPr>
              <w:t xml:space="preserve"> Records Management</w:t>
            </w:r>
            <w:r w:rsidR="00286726">
              <w:rPr>
                <w:b/>
                <w:bCs/>
                <w:sz w:val="20"/>
              </w:rPr>
              <w:t xml:space="preserve"> Requirements</w:t>
            </w:r>
          </w:p>
          <w:p w:rsidR="00286726" w:rsidP="005957F3" w:rsidRDefault="00286726" w14:paraId="10B2DFA6" w14:textId="77777777">
            <w:pPr>
              <w:spacing w:before="0" w:line="240" w:lineRule="auto"/>
              <w:jc w:val="center"/>
              <w:rPr>
                <w:b/>
                <w:sz w:val="20"/>
              </w:rPr>
            </w:pPr>
            <w:r w:rsidRPr="00783D36">
              <w:rPr>
                <w:b/>
                <w:sz w:val="20"/>
              </w:rPr>
              <w:t>(</w:t>
            </w:r>
            <w:r>
              <w:rPr>
                <w:b/>
                <w:sz w:val="20"/>
              </w:rPr>
              <w:t>Column C x</w:t>
            </w:r>
          </w:p>
          <w:p w:rsidRPr="001F6D8F" w:rsidR="00286726" w:rsidP="005957F3" w:rsidRDefault="00286726" w14:paraId="393AAFF5" w14:textId="1A4D4B93">
            <w:pPr>
              <w:spacing w:before="0" w:line="240" w:lineRule="auto"/>
              <w:jc w:val="center"/>
              <w:rPr>
                <w:b/>
                <w:bCs/>
                <w:sz w:val="20"/>
              </w:rPr>
            </w:pPr>
            <w:r w:rsidRPr="00783D36">
              <w:rPr>
                <w:b/>
                <w:sz w:val="20"/>
              </w:rPr>
              <w:t>$</w:t>
            </w:r>
            <w:r w:rsidR="00FC693D">
              <w:rPr>
                <w:b/>
                <w:sz w:val="20"/>
              </w:rPr>
              <w:t xml:space="preserve">35.83 </w:t>
            </w:r>
            <w:r w:rsidRPr="00783D36">
              <w:rPr>
                <w:b/>
                <w:sz w:val="20"/>
              </w:rPr>
              <w:t>per hour)</w:t>
            </w:r>
          </w:p>
        </w:tc>
        <w:tc>
          <w:tcPr>
            <w:tcW w:w="0" w:type="auto"/>
            <w:tcBorders>
              <w:top w:val="single" w:color="auto" w:sz="4" w:space="0"/>
              <w:left w:val="single" w:color="auto" w:sz="4" w:space="0"/>
              <w:bottom w:val="single" w:color="auto" w:sz="4" w:space="0"/>
              <w:right w:val="single" w:color="auto" w:sz="4" w:space="0"/>
            </w:tcBorders>
            <w:vAlign w:val="bottom"/>
          </w:tcPr>
          <w:p w:rsidR="00286726" w:rsidP="003B24CE" w:rsidRDefault="00286726" w14:paraId="1B7D1CE1" w14:textId="77777777">
            <w:pPr>
              <w:spacing w:before="0" w:line="240" w:lineRule="auto"/>
              <w:jc w:val="center"/>
              <w:rPr>
                <w:b/>
                <w:bCs/>
                <w:sz w:val="20"/>
              </w:rPr>
            </w:pPr>
            <w:r>
              <w:rPr>
                <w:b/>
                <w:bCs/>
                <w:sz w:val="20"/>
              </w:rPr>
              <w:t>F.</w:t>
            </w:r>
          </w:p>
          <w:p w:rsidR="00286726" w:rsidP="003B24CE" w:rsidRDefault="00480D05" w14:paraId="29C9932B" w14:textId="10E52343">
            <w:pPr>
              <w:spacing w:before="0" w:line="240" w:lineRule="auto"/>
              <w:jc w:val="center"/>
              <w:rPr>
                <w:b/>
                <w:sz w:val="20"/>
              </w:rPr>
            </w:pPr>
            <w:r>
              <w:rPr>
                <w:b/>
                <w:sz w:val="20"/>
              </w:rPr>
              <w:t xml:space="preserve">Annual </w:t>
            </w:r>
            <w:r w:rsidRPr="00783D36" w:rsidR="00286726">
              <w:rPr>
                <w:b/>
                <w:sz w:val="20"/>
              </w:rPr>
              <w:t xml:space="preserve">Total Estimated Cost for </w:t>
            </w:r>
            <w:r w:rsidR="00AC1F43">
              <w:rPr>
                <w:b/>
                <w:sz w:val="20"/>
              </w:rPr>
              <w:t>Records Management</w:t>
            </w:r>
            <w:r w:rsidR="00286726">
              <w:rPr>
                <w:b/>
                <w:sz w:val="20"/>
              </w:rPr>
              <w:t xml:space="preserve"> Requirements</w:t>
            </w:r>
          </w:p>
          <w:p w:rsidR="001A11E0" w:rsidP="003B24CE" w:rsidRDefault="00286726" w14:paraId="3CDB93ED" w14:textId="77777777">
            <w:pPr>
              <w:spacing w:before="0" w:line="240" w:lineRule="auto"/>
              <w:jc w:val="center"/>
              <w:rPr>
                <w:b/>
                <w:bCs/>
                <w:sz w:val="20"/>
              </w:rPr>
            </w:pPr>
            <w:r>
              <w:rPr>
                <w:b/>
                <w:bCs/>
                <w:sz w:val="20"/>
              </w:rPr>
              <w:t>(Column D x</w:t>
            </w:r>
          </w:p>
          <w:p w:rsidRPr="001F6D8F" w:rsidR="00286726" w:rsidP="003B24CE" w:rsidRDefault="00286726" w14:paraId="351FB1A3" w14:textId="1F8E9AF6">
            <w:pPr>
              <w:spacing w:before="0" w:line="240" w:lineRule="auto"/>
              <w:jc w:val="center"/>
              <w:rPr>
                <w:b/>
                <w:bCs/>
                <w:sz w:val="20"/>
              </w:rPr>
            </w:pPr>
            <w:r>
              <w:rPr>
                <w:b/>
                <w:bCs/>
                <w:sz w:val="20"/>
              </w:rPr>
              <w:t>$</w:t>
            </w:r>
            <w:r w:rsidR="00FC693D">
              <w:rPr>
                <w:b/>
                <w:bCs/>
                <w:sz w:val="20"/>
              </w:rPr>
              <w:t>35.83</w:t>
            </w:r>
            <w:r>
              <w:rPr>
                <w:b/>
                <w:bCs/>
                <w:sz w:val="20"/>
              </w:rPr>
              <w:t xml:space="preserve"> per hour)</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286726" w:rsidP="003B24CE" w:rsidRDefault="00286726" w14:paraId="1BEE8BF7" w14:textId="77777777">
            <w:pPr>
              <w:spacing w:before="0" w:line="240" w:lineRule="auto"/>
              <w:jc w:val="center"/>
              <w:rPr>
                <w:b/>
                <w:bCs/>
                <w:sz w:val="20"/>
              </w:rPr>
            </w:pPr>
            <w:r>
              <w:rPr>
                <w:b/>
                <w:bCs/>
                <w:sz w:val="20"/>
              </w:rPr>
              <w:t>G</w:t>
            </w:r>
            <w:r w:rsidRPr="001F6D8F">
              <w:rPr>
                <w:b/>
                <w:bCs/>
                <w:sz w:val="20"/>
              </w:rPr>
              <w:t>.</w:t>
            </w:r>
          </w:p>
          <w:p w:rsidRPr="001F6D8F" w:rsidR="00286726" w:rsidP="003B24CE" w:rsidRDefault="00480D05" w14:paraId="297C3CBA" w14:textId="5B448F40">
            <w:pPr>
              <w:spacing w:before="0" w:line="240" w:lineRule="auto"/>
              <w:jc w:val="center"/>
              <w:rPr>
                <w:b/>
                <w:bCs/>
                <w:sz w:val="20"/>
              </w:rPr>
            </w:pPr>
            <w:r>
              <w:rPr>
                <w:b/>
                <w:bCs/>
                <w:sz w:val="20"/>
              </w:rPr>
              <w:t xml:space="preserve">Annual </w:t>
            </w:r>
            <w:r w:rsidR="00286726">
              <w:rPr>
                <w:b/>
                <w:bCs/>
                <w:sz w:val="20"/>
              </w:rPr>
              <w:t>Cost per Respondent</w:t>
            </w:r>
          </w:p>
        </w:tc>
      </w:tr>
      <w:tr w:rsidRPr="000C282F" w:rsidR="0018071E" w:rsidTr="00FC6990" w14:paraId="20836527"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F6D8F" w:rsidR="0018071E" w:rsidP="0018071E" w:rsidRDefault="0018071E" w14:paraId="1AD9D01F" w14:textId="77777777">
            <w:pPr>
              <w:spacing w:before="0" w:line="240" w:lineRule="auto"/>
              <w:jc w:val="center"/>
              <w:rPr>
                <w:sz w:val="20"/>
              </w:rPr>
            </w:pPr>
            <w:r w:rsidRPr="001F6D8F">
              <w:rPr>
                <w:sz w:val="20"/>
              </w:rPr>
              <w:t>Participate in Long-Term Regional Transmission Planning, which includes developing Long-Term Scenarios, evaluating the benefits of regional transmission facilities, and establishing criteria in consultation with states to select transmission facilities in the regional transmission plan for purposes of cost allocation</w:t>
            </w:r>
          </w:p>
          <w:p w:rsidRPr="001F6D8F" w:rsidR="0018071E" w:rsidP="0018071E" w:rsidRDefault="0018071E" w14:paraId="5A29637B" w14:textId="3112043D">
            <w:pPr>
              <w:spacing w:before="0" w:line="240" w:lineRule="auto"/>
              <w:jc w:val="center"/>
              <w:rPr>
                <w:b/>
                <w:bCs/>
                <w:sz w:val="20"/>
              </w:rPr>
            </w:pPr>
            <w:r w:rsidRPr="001F6D8F">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B15EDD" w14:paraId="00DA4C0A" w14:textId="2F40C602">
            <w:pPr>
              <w:spacing w:before="0" w:line="240" w:lineRule="auto"/>
              <w:jc w:val="right"/>
              <w:rPr>
                <w:sz w:val="20"/>
              </w:rPr>
            </w:pPr>
            <w:r w:rsidRPr="00B15EDD">
              <w:rPr>
                <w:sz w:val="20"/>
              </w:rPr>
              <w:t>125</w:t>
            </w:r>
            <w:r w:rsidR="00F006D8">
              <w:rPr>
                <w:sz w:val="20"/>
              </w:rPr>
              <w:t xml:space="preserve"> </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8B46B0" w14:paraId="51A3D3C1" w14:textId="6C630326">
            <w:pPr>
              <w:spacing w:before="0" w:line="240" w:lineRule="auto"/>
              <w:jc w:val="right"/>
              <w:rPr>
                <w:sz w:val="20"/>
              </w:rPr>
            </w:pPr>
            <w:r>
              <w:rPr>
                <w:sz w:val="20"/>
              </w:rPr>
              <w:t>30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DD06C0" w14:paraId="14FF6ED4" w14:textId="76519972">
            <w:pPr>
              <w:spacing w:before="0" w:line="240" w:lineRule="auto"/>
              <w:jc w:val="right"/>
              <w:rPr>
                <w:sz w:val="20"/>
              </w:rPr>
            </w:pPr>
            <w:r>
              <w:rPr>
                <w:sz w:val="20"/>
              </w:rPr>
              <w:t>3,750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8806ED" w14:paraId="264B868C" w14:textId="2327A6D1">
            <w:pPr>
              <w:spacing w:before="0" w:line="240" w:lineRule="auto"/>
              <w:jc w:val="right"/>
              <w:rPr>
                <w:sz w:val="20"/>
              </w:rPr>
            </w:pPr>
            <w:r>
              <w:rPr>
                <w:sz w:val="20"/>
              </w:rPr>
              <w:t>$</w:t>
            </w:r>
            <w:r w:rsidR="00676212">
              <w:rPr>
                <w:sz w:val="20"/>
              </w:rPr>
              <w:t>1,075 (rounded)</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FC6990" w14:paraId="3A755FEF" w14:textId="13AEA707">
            <w:pPr>
              <w:spacing w:before="0" w:line="240" w:lineRule="auto"/>
              <w:jc w:val="right"/>
              <w:rPr>
                <w:sz w:val="20"/>
              </w:rPr>
            </w:pPr>
            <w:r>
              <w:rPr>
                <w:sz w:val="20"/>
              </w:rPr>
              <w:t>$134,363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261FC5" w14:paraId="43EE1AB5" w14:textId="1635DD1A">
            <w:pPr>
              <w:spacing w:before="0" w:line="240" w:lineRule="auto"/>
              <w:jc w:val="right"/>
              <w:rPr>
                <w:sz w:val="20"/>
              </w:rPr>
            </w:pPr>
            <w:r>
              <w:rPr>
                <w:sz w:val="20"/>
              </w:rPr>
              <w:t>$1,075 (rounded)</w:t>
            </w:r>
          </w:p>
        </w:tc>
      </w:tr>
      <w:tr w:rsidRPr="000C282F" w:rsidR="0018071E" w:rsidTr="00FC6990" w14:paraId="29BEBCFA"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27301" w:rsidR="0018071E" w:rsidP="0018071E" w:rsidRDefault="0018071E" w14:paraId="1B395CDF" w14:textId="77777777">
            <w:pPr>
              <w:spacing w:before="0" w:line="240" w:lineRule="auto"/>
              <w:jc w:val="center"/>
              <w:rPr>
                <w:sz w:val="20"/>
              </w:rPr>
            </w:pPr>
            <w:r w:rsidRPr="00827301">
              <w:rPr>
                <w:sz w:val="20"/>
              </w:rPr>
              <w:t>Revise the regional transmission planning process to enhance transparency of local transmission planning and identifying potential opportunities to right-size replacement transmission facilities</w:t>
            </w:r>
          </w:p>
          <w:p w:rsidR="0018071E" w:rsidP="0018071E" w:rsidRDefault="0018071E" w14:paraId="122D6E35" w14:textId="02ACA025">
            <w:pPr>
              <w:spacing w:before="0" w:line="240" w:lineRule="auto"/>
              <w:jc w:val="center"/>
              <w:rPr>
                <w:b/>
                <w:bCs/>
                <w:sz w:val="20"/>
              </w:rPr>
            </w:pPr>
            <w:r w:rsidRPr="00827301">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4708B6" w14:paraId="73E9AE5C" w14:textId="60DF54FA">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353075" w14:paraId="66D2E7B8" w14:textId="31428114">
            <w:pPr>
              <w:spacing w:before="0" w:line="240" w:lineRule="auto"/>
              <w:jc w:val="right"/>
              <w:rPr>
                <w:sz w:val="20"/>
              </w:rPr>
            </w:pPr>
            <w:r>
              <w:rPr>
                <w:sz w:val="20"/>
              </w:rPr>
              <w:t>1</w:t>
            </w:r>
            <w:r w:rsidR="008B46B0">
              <w:rPr>
                <w:sz w:val="20"/>
              </w:rPr>
              <w:t>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353075" w14:paraId="4410780D" w14:textId="6E63A4CD">
            <w:pPr>
              <w:spacing w:before="0" w:line="240" w:lineRule="auto"/>
              <w:jc w:val="right"/>
              <w:rPr>
                <w:sz w:val="20"/>
              </w:rPr>
            </w:pPr>
            <w:r>
              <w:rPr>
                <w:sz w:val="20"/>
              </w:rPr>
              <w:t>1,250</w:t>
            </w:r>
            <w:r w:rsidR="00880F6B">
              <w:rPr>
                <w:sz w:val="20"/>
              </w:rPr>
              <w:t xml:space="preserve">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676212" w14:paraId="46DA6E61" w14:textId="28C0E731">
            <w:pPr>
              <w:spacing w:before="0" w:line="240" w:lineRule="auto"/>
              <w:jc w:val="right"/>
              <w:rPr>
                <w:sz w:val="20"/>
              </w:rPr>
            </w:pPr>
            <w:r>
              <w:rPr>
                <w:sz w:val="20"/>
              </w:rPr>
              <w:t>$</w:t>
            </w:r>
            <w:r w:rsidR="00353075">
              <w:rPr>
                <w:sz w:val="20"/>
              </w:rPr>
              <w:t>358 (rounded)</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261FC5" w14:paraId="44C9490B" w14:textId="332A58C0">
            <w:pPr>
              <w:spacing w:before="0" w:line="240" w:lineRule="auto"/>
              <w:jc w:val="right"/>
              <w:rPr>
                <w:sz w:val="20"/>
              </w:rPr>
            </w:pPr>
            <w:r>
              <w:rPr>
                <w:sz w:val="20"/>
              </w:rPr>
              <w:t>$</w:t>
            </w:r>
            <w:r w:rsidR="00F84006">
              <w:rPr>
                <w:sz w:val="20"/>
              </w:rPr>
              <w:t>44,788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261FC5" w14:paraId="7904019C" w14:textId="3A29C977">
            <w:pPr>
              <w:spacing w:before="0" w:line="240" w:lineRule="auto"/>
              <w:jc w:val="right"/>
              <w:rPr>
                <w:sz w:val="20"/>
              </w:rPr>
            </w:pPr>
            <w:r>
              <w:rPr>
                <w:sz w:val="20"/>
              </w:rPr>
              <w:t>$</w:t>
            </w:r>
            <w:r w:rsidR="00D03FE9">
              <w:rPr>
                <w:sz w:val="20"/>
              </w:rPr>
              <w:t>358 (rounded)</w:t>
            </w:r>
          </w:p>
        </w:tc>
      </w:tr>
      <w:tr w:rsidRPr="000C282F" w:rsidR="0018071E" w:rsidTr="00FC6990" w14:paraId="476AE8A8"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0018071E" w:rsidP="0018071E" w:rsidRDefault="0018071E" w14:paraId="338869B5" w14:textId="77777777">
            <w:pPr>
              <w:spacing w:before="0" w:line="240" w:lineRule="auto"/>
              <w:jc w:val="center"/>
              <w:rPr>
                <w:sz w:val="20"/>
              </w:rPr>
            </w:pPr>
            <w:r w:rsidRPr="00094FD3">
              <w:rPr>
                <w:sz w:val="20"/>
              </w:rPr>
              <w:t>In consultation with state entities, establish a Long-Term Regional Transmission Cost Allocation Method and/or a State Agreement Process.</w:t>
            </w:r>
          </w:p>
          <w:p w:rsidR="0018071E" w:rsidP="0018071E" w:rsidRDefault="0018071E" w14:paraId="348E6C1D" w14:textId="134C1C6D">
            <w:pPr>
              <w:spacing w:before="0" w:line="240" w:lineRule="auto"/>
              <w:jc w:val="center"/>
              <w:rPr>
                <w:b/>
                <w:bCs/>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B15EDD" w14:paraId="56D66DEC" w14:textId="0150B2DA">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DD769D" w14:paraId="7B43EB52" w14:textId="238E4B5D">
            <w:pPr>
              <w:spacing w:before="0" w:line="240" w:lineRule="auto"/>
              <w:jc w:val="right"/>
              <w:rPr>
                <w:sz w:val="20"/>
              </w:rPr>
            </w:pPr>
            <w:r>
              <w:rPr>
                <w:sz w:val="20"/>
              </w:rPr>
              <w:t>30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DD06C0" w14:paraId="77A79AE7" w14:textId="76710952">
            <w:pPr>
              <w:spacing w:before="0" w:line="240" w:lineRule="auto"/>
              <w:jc w:val="right"/>
              <w:rPr>
                <w:sz w:val="20"/>
              </w:rPr>
            </w:pPr>
            <w:r>
              <w:rPr>
                <w:sz w:val="20"/>
              </w:rPr>
              <w:t>3,750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676212" w14:paraId="73EE8255" w14:textId="38FE4EA1">
            <w:pPr>
              <w:spacing w:before="0" w:line="240" w:lineRule="auto"/>
              <w:jc w:val="right"/>
              <w:rPr>
                <w:sz w:val="20"/>
              </w:rPr>
            </w:pPr>
            <w:r>
              <w:rPr>
                <w:sz w:val="20"/>
              </w:rPr>
              <w:t>$1,075 (rounded)</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501F8C" w14:paraId="200ADECF" w14:textId="6884DD7C">
            <w:pPr>
              <w:spacing w:before="0" w:line="240" w:lineRule="auto"/>
              <w:jc w:val="right"/>
              <w:rPr>
                <w:sz w:val="20"/>
              </w:rPr>
            </w:pPr>
            <w:r>
              <w:rPr>
                <w:sz w:val="20"/>
              </w:rPr>
              <w:t>$134</w:t>
            </w:r>
            <w:r w:rsidR="00FC6990">
              <w:rPr>
                <w:sz w:val="20"/>
              </w:rPr>
              <w:t>,363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261FC5" w14:paraId="5C125C47" w14:textId="14C621FD">
            <w:pPr>
              <w:spacing w:before="0" w:line="240" w:lineRule="auto"/>
              <w:jc w:val="right"/>
              <w:rPr>
                <w:sz w:val="20"/>
              </w:rPr>
            </w:pPr>
            <w:r>
              <w:rPr>
                <w:sz w:val="20"/>
              </w:rPr>
              <w:t>$1,075 (rounded)</w:t>
            </w:r>
          </w:p>
        </w:tc>
      </w:tr>
      <w:tr w:rsidRPr="000C282F" w:rsidR="0018071E" w:rsidTr="00FC6990" w14:paraId="47BDC2A6"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0018071E" w:rsidP="0018071E" w:rsidRDefault="0018071E" w14:paraId="69EB39A4" w14:textId="77777777">
            <w:pPr>
              <w:spacing w:before="0" w:line="240" w:lineRule="auto"/>
              <w:jc w:val="center"/>
              <w:rPr>
                <w:sz w:val="20"/>
              </w:rPr>
            </w:pPr>
            <w:r w:rsidRPr="00FC5CEF">
              <w:rPr>
                <w:sz w:val="20"/>
              </w:rPr>
              <w:t>Consider in the regional transmission planning processes regional transmission facilities that address certain interconnection-related needs</w:t>
            </w:r>
          </w:p>
          <w:p w:rsidR="0018071E" w:rsidP="0018071E" w:rsidRDefault="0018071E" w14:paraId="2BD65F34" w14:textId="000F43B1">
            <w:pPr>
              <w:spacing w:before="0" w:line="240" w:lineRule="auto"/>
              <w:jc w:val="center"/>
              <w:rPr>
                <w:b/>
                <w:bCs/>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B15EDD" w14:paraId="5A0F1CA4" w14:textId="52A5A54A">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DD769D" w14:paraId="10CA95C0" w14:textId="69519B41">
            <w:pPr>
              <w:spacing w:before="0" w:line="240" w:lineRule="auto"/>
              <w:jc w:val="right"/>
              <w:rPr>
                <w:sz w:val="20"/>
              </w:rPr>
            </w:pPr>
            <w:r>
              <w:rPr>
                <w:sz w:val="20"/>
              </w:rPr>
              <w:t>10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880F6B" w14:paraId="46DF95E1" w14:textId="140D2730">
            <w:pPr>
              <w:spacing w:before="0" w:line="240" w:lineRule="auto"/>
              <w:jc w:val="right"/>
              <w:rPr>
                <w:sz w:val="20"/>
              </w:rPr>
            </w:pPr>
            <w:r>
              <w:rPr>
                <w:sz w:val="20"/>
              </w:rPr>
              <w:t>1,250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AF4196" w14:paraId="0A85BC3F" w14:textId="7C501381">
            <w:pPr>
              <w:spacing w:before="0" w:line="240" w:lineRule="auto"/>
              <w:jc w:val="right"/>
              <w:rPr>
                <w:sz w:val="20"/>
              </w:rPr>
            </w:pPr>
            <w:r>
              <w:rPr>
                <w:sz w:val="20"/>
              </w:rPr>
              <w:t>$358 (rounded)</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32352D" w14:paraId="479378C1" w14:textId="681FBBAC">
            <w:pPr>
              <w:spacing w:before="0" w:line="240" w:lineRule="auto"/>
              <w:jc w:val="right"/>
              <w:rPr>
                <w:sz w:val="20"/>
              </w:rPr>
            </w:pPr>
            <w:r>
              <w:rPr>
                <w:sz w:val="20"/>
              </w:rPr>
              <w:t>$44,788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261FC5" w14:paraId="7F8C62F8" w14:textId="03081160">
            <w:pPr>
              <w:spacing w:before="0" w:line="240" w:lineRule="auto"/>
              <w:jc w:val="right"/>
              <w:rPr>
                <w:sz w:val="20"/>
              </w:rPr>
            </w:pPr>
            <w:r>
              <w:rPr>
                <w:sz w:val="20"/>
              </w:rPr>
              <w:t>$358 (</w:t>
            </w:r>
            <w:r w:rsidR="00F26032">
              <w:rPr>
                <w:sz w:val="20"/>
              </w:rPr>
              <w:t>rounded)</w:t>
            </w:r>
          </w:p>
        </w:tc>
      </w:tr>
      <w:tr w:rsidRPr="000C282F" w:rsidR="0018071E" w:rsidTr="00FC6990" w14:paraId="1359192F"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0018071E" w:rsidP="0018071E" w:rsidRDefault="0018071E" w14:paraId="64A47B1F" w14:textId="77777777">
            <w:pPr>
              <w:spacing w:before="0" w:line="240" w:lineRule="auto"/>
              <w:jc w:val="center"/>
              <w:rPr>
                <w:sz w:val="20"/>
              </w:rPr>
            </w:pPr>
            <w:r w:rsidRPr="00FC5CEF">
              <w:rPr>
                <w:sz w:val="20"/>
              </w:rPr>
              <w:t>Revise interregional transmission coordination procedures to apply them to Long-Term Regional Transmission Planning</w:t>
            </w:r>
          </w:p>
          <w:p w:rsidR="0018071E" w:rsidP="0018071E" w:rsidRDefault="0018071E" w14:paraId="222BB52B" w14:textId="15143958">
            <w:pPr>
              <w:spacing w:before="0" w:line="240" w:lineRule="auto"/>
              <w:jc w:val="center"/>
              <w:rPr>
                <w:b/>
                <w:bCs/>
                <w:sz w:val="20"/>
              </w:rPr>
            </w:pPr>
            <w:r>
              <w:rPr>
                <w:sz w:val="20"/>
              </w:rPr>
              <w:t>(Year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B15EDD" w14:paraId="01D1EAF9" w14:textId="437C7069">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DD769D" w14:paraId="6D2FF658" w14:textId="005BA5E6">
            <w:pPr>
              <w:spacing w:before="0" w:line="240" w:lineRule="auto"/>
              <w:jc w:val="right"/>
              <w:rPr>
                <w:sz w:val="20"/>
              </w:rPr>
            </w:pPr>
            <w:r>
              <w:rPr>
                <w:sz w:val="20"/>
              </w:rPr>
              <w:t>10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880F6B" w14:paraId="640A8E65" w14:textId="0E0CF0F4">
            <w:pPr>
              <w:spacing w:before="0" w:line="240" w:lineRule="auto"/>
              <w:jc w:val="right"/>
              <w:rPr>
                <w:sz w:val="20"/>
              </w:rPr>
            </w:pPr>
            <w:r>
              <w:rPr>
                <w:sz w:val="20"/>
              </w:rPr>
              <w:t>1,250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6627C7" w14:paraId="0405B65A" w14:textId="29A190ED">
            <w:pPr>
              <w:spacing w:before="0" w:line="240" w:lineRule="auto"/>
              <w:jc w:val="right"/>
              <w:rPr>
                <w:sz w:val="20"/>
              </w:rPr>
            </w:pPr>
            <w:r>
              <w:rPr>
                <w:sz w:val="20"/>
              </w:rPr>
              <w:t>$</w:t>
            </w:r>
            <w:r w:rsidR="00AF4196">
              <w:rPr>
                <w:sz w:val="20"/>
              </w:rPr>
              <w:t>358 (rounded)</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C8315D" w14:paraId="6A313F42" w14:textId="35850A2D">
            <w:pPr>
              <w:spacing w:before="0" w:line="240" w:lineRule="auto"/>
              <w:jc w:val="right"/>
              <w:rPr>
                <w:sz w:val="20"/>
              </w:rPr>
            </w:pPr>
            <w:r>
              <w:rPr>
                <w:sz w:val="20"/>
              </w:rPr>
              <w:t>$44,</w:t>
            </w:r>
            <w:r w:rsidR="0032352D">
              <w:rPr>
                <w:sz w:val="20"/>
              </w:rPr>
              <w:t>788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DC1DB1" w14:paraId="7E54B963" w14:textId="2577815F">
            <w:pPr>
              <w:spacing w:before="0" w:line="240" w:lineRule="auto"/>
              <w:jc w:val="right"/>
              <w:rPr>
                <w:sz w:val="20"/>
              </w:rPr>
            </w:pPr>
            <w:r>
              <w:rPr>
                <w:sz w:val="20"/>
              </w:rPr>
              <w:t>$358 (rounded)</w:t>
            </w:r>
          </w:p>
        </w:tc>
      </w:tr>
      <w:tr w:rsidRPr="000C282F" w:rsidR="0018071E" w:rsidTr="00FC6990" w14:paraId="4758CD9D" w14:textId="77777777">
        <w:trPr>
          <w:cantSplit/>
          <w:tblHeader/>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rsidR="0018071E" w:rsidP="0018071E" w:rsidRDefault="0018071E" w14:paraId="15990DBB" w14:textId="43E8A75B">
            <w:pPr>
              <w:spacing w:before="0" w:line="240" w:lineRule="auto"/>
              <w:jc w:val="center"/>
              <w:rPr>
                <w:b/>
                <w:bCs/>
                <w:sz w:val="20"/>
              </w:rPr>
            </w:pPr>
            <w:r w:rsidRPr="009A4EE6">
              <w:rPr>
                <w:b/>
                <w:bCs/>
                <w:sz w:val="20"/>
                <w:szCs w:val="20"/>
              </w:rPr>
              <w:t>Totals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B15EDD" w14:paraId="2BB076D5" w14:textId="7FF2A890">
            <w:pPr>
              <w:spacing w:before="0" w:line="240" w:lineRule="auto"/>
              <w:jc w:val="right"/>
              <w:rPr>
                <w:sz w:val="20"/>
              </w:rPr>
            </w:pPr>
            <w:r>
              <w:rPr>
                <w:sz w:val="20"/>
              </w:rPr>
              <w:t>625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3501E3" w14:paraId="2BCB9030" w14:textId="048E4D89">
            <w:pPr>
              <w:spacing w:before="0" w:line="240" w:lineRule="auto"/>
              <w:jc w:val="right"/>
              <w:rPr>
                <w:sz w:val="20"/>
              </w:rPr>
            </w:pPr>
            <w:r>
              <w:rPr>
                <w:sz w:val="20"/>
              </w:rPr>
              <w:t>9</w:t>
            </w:r>
            <w:r w:rsidR="00FF11EA">
              <w:rPr>
                <w:sz w:val="20"/>
              </w:rPr>
              <w:t>0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9A11A4" w14:paraId="3B674DDD" w14:textId="1E98A5AE">
            <w:pPr>
              <w:spacing w:before="0" w:line="240" w:lineRule="auto"/>
              <w:jc w:val="right"/>
              <w:rPr>
                <w:sz w:val="20"/>
              </w:rPr>
            </w:pPr>
            <w:r>
              <w:rPr>
                <w:sz w:val="20"/>
              </w:rPr>
              <w:t>1</w:t>
            </w:r>
            <w:r w:rsidR="00372B74">
              <w:rPr>
                <w:sz w:val="20"/>
              </w:rPr>
              <w:t>1,250</w:t>
            </w:r>
            <w:r>
              <w:rPr>
                <w:sz w:val="20"/>
              </w:rPr>
              <w:t xml:space="preserve"> hours</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361AEF" w14:paraId="0522FB9E" w14:textId="0FB48557">
            <w:pPr>
              <w:spacing w:before="0" w:line="240" w:lineRule="auto"/>
              <w:jc w:val="right"/>
              <w:rPr>
                <w:sz w:val="20"/>
              </w:rPr>
            </w:pPr>
            <w:r>
              <w:rPr>
                <w:sz w:val="20"/>
              </w:rPr>
              <w:t>$3</w:t>
            </w:r>
            <w:r w:rsidR="00A61C00">
              <w:rPr>
                <w:sz w:val="20"/>
              </w:rPr>
              <w:t>,</w:t>
            </w:r>
            <w:r>
              <w:rPr>
                <w:sz w:val="20"/>
              </w:rPr>
              <w:t>224</w:t>
            </w:r>
          </w:p>
        </w:tc>
        <w:tc>
          <w:tcPr>
            <w:tcW w:w="0" w:type="auto"/>
            <w:tcBorders>
              <w:top w:val="single" w:color="auto" w:sz="4" w:space="0"/>
              <w:left w:val="single" w:color="auto" w:sz="4" w:space="0"/>
              <w:bottom w:val="single" w:color="auto" w:sz="4" w:space="0"/>
              <w:right w:val="single" w:color="auto" w:sz="4" w:space="0"/>
            </w:tcBorders>
            <w:vAlign w:val="bottom"/>
          </w:tcPr>
          <w:p w:rsidRPr="00B15EDD" w:rsidR="0018071E" w:rsidP="00B15EDD" w:rsidRDefault="002F5F9C" w14:paraId="2A1B9831" w14:textId="41309130">
            <w:pPr>
              <w:spacing w:before="0" w:line="240" w:lineRule="auto"/>
              <w:jc w:val="right"/>
              <w:rPr>
                <w:sz w:val="20"/>
              </w:rPr>
            </w:pPr>
            <w:r>
              <w:rPr>
                <w:sz w:val="20"/>
              </w:rPr>
              <w:t>$</w:t>
            </w:r>
            <w:r w:rsidR="0005780E">
              <w:rPr>
                <w:sz w:val="20"/>
              </w:rPr>
              <w:t>403,090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B15EDD" w:rsidR="0018071E" w:rsidP="00B15EDD" w:rsidRDefault="003D4767" w14:paraId="7FAA67B0" w14:textId="67379DBB">
            <w:pPr>
              <w:spacing w:before="0" w:line="240" w:lineRule="auto"/>
              <w:jc w:val="right"/>
              <w:rPr>
                <w:sz w:val="20"/>
              </w:rPr>
            </w:pPr>
            <w:r>
              <w:rPr>
                <w:sz w:val="20"/>
              </w:rPr>
              <w:t>$2,866</w:t>
            </w:r>
          </w:p>
        </w:tc>
      </w:tr>
    </w:tbl>
    <w:p w:rsidR="009213B2" w:rsidP="00FD2295" w:rsidRDefault="009213B2" w14:paraId="1784CA16" w14:textId="23649AC3">
      <w:pPr>
        <w:spacing w:before="0" w:line="240" w:lineRule="auto"/>
        <w:rPr>
          <w:b/>
          <w:sz w:val="26"/>
          <w:u w:val="single"/>
        </w:rPr>
      </w:pPr>
    </w:p>
    <w:p w:rsidRPr="00BC77DA" w:rsidR="001536E4" w:rsidP="001536E4" w:rsidRDefault="001536E4" w14:paraId="751A5C17" w14:textId="203A9B3B">
      <w:pPr>
        <w:spacing w:before="0" w:line="240" w:lineRule="auto"/>
        <w:jc w:val="center"/>
        <w:rPr>
          <w:b/>
          <w:bCs/>
          <w:sz w:val="26"/>
        </w:rPr>
      </w:pPr>
      <w:r>
        <w:rPr>
          <w:b/>
          <w:bCs/>
          <w:sz w:val="26"/>
        </w:rPr>
        <w:t>Table 12</w:t>
      </w:r>
      <w:r w:rsidR="003D4767">
        <w:rPr>
          <w:b/>
          <w:bCs/>
          <w:sz w:val="26"/>
        </w:rPr>
        <w:t>-</w:t>
      </w:r>
      <w:r>
        <w:rPr>
          <w:b/>
          <w:bCs/>
          <w:sz w:val="26"/>
        </w:rPr>
        <w:t>4</w:t>
      </w:r>
    </w:p>
    <w:p w:rsidR="001536E4" w:rsidP="001536E4" w:rsidRDefault="001536E4" w14:paraId="0F4BD2F2" w14:textId="77777777">
      <w:pPr>
        <w:spacing w:before="0" w:line="240" w:lineRule="auto"/>
        <w:jc w:val="center"/>
        <w:rPr>
          <w:b/>
          <w:sz w:val="26"/>
        </w:rPr>
      </w:pPr>
      <w:r>
        <w:rPr>
          <w:b/>
          <w:sz w:val="26"/>
        </w:rPr>
        <w:t>Proposed Revisions of FERC-917 in the NOPR at Docket No. RM21-17:</w:t>
      </w:r>
    </w:p>
    <w:p w:rsidR="001536E4" w:rsidP="001536E4" w:rsidRDefault="001536E4" w14:paraId="6AE859AA" w14:textId="77777777">
      <w:pPr>
        <w:spacing w:before="0" w:line="240" w:lineRule="auto"/>
        <w:jc w:val="center"/>
        <w:rPr>
          <w:b/>
          <w:sz w:val="26"/>
        </w:rPr>
      </w:pPr>
      <w:r>
        <w:rPr>
          <w:b/>
          <w:sz w:val="26"/>
        </w:rPr>
        <w:t>Burden Hours and Costs</w:t>
      </w:r>
    </w:p>
    <w:p w:rsidRPr="001F4CC2" w:rsidR="001536E4" w:rsidP="001536E4" w:rsidRDefault="001536E4" w14:paraId="6EC4C119" w14:textId="3A567B01">
      <w:pPr>
        <w:spacing w:before="0" w:line="240" w:lineRule="auto"/>
        <w:jc w:val="center"/>
        <w:rPr>
          <w:b/>
          <w:sz w:val="26"/>
          <w:u w:val="single"/>
        </w:rPr>
      </w:pPr>
      <w:r>
        <w:rPr>
          <w:b/>
          <w:sz w:val="26"/>
          <w:u w:val="single"/>
        </w:rPr>
        <w:t>Subsequent Years Records Management Requir</w:t>
      </w:r>
      <w:r w:rsidR="0049643D">
        <w:rPr>
          <w:b/>
          <w:sz w:val="26"/>
          <w:u w:val="single"/>
        </w:rPr>
        <w:t>e</w:t>
      </w:r>
      <w:r>
        <w:rPr>
          <w:b/>
          <w:sz w:val="26"/>
          <w:u w:val="single"/>
        </w:rPr>
        <w:t>ments</w:t>
      </w:r>
    </w:p>
    <w:p w:rsidR="001536E4" w:rsidP="001536E4" w:rsidRDefault="001536E4" w14:paraId="0D30BD1E" w14:textId="77777777">
      <w:pPr>
        <w:spacing w:before="0" w:line="240" w:lineRule="auto"/>
        <w:rPr>
          <w:b/>
          <w:sz w:val="26"/>
        </w:rPr>
      </w:pPr>
    </w:p>
    <w:tbl>
      <w:tblPr>
        <w:tblStyle w:val="TableGrid"/>
        <w:tblW w:w="0" w:type="auto"/>
        <w:tblLook w:val="04A0" w:firstRow="1" w:lastRow="0" w:firstColumn="1" w:lastColumn="0" w:noHBand="0" w:noVBand="1"/>
      </w:tblPr>
      <w:tblGrid>
        <w:gridCol w:w="1468"/>
        <w:gridCol w:w="1256"/>
        <w:gridCol w:w="1361"/>
        <w:gridCol w:w="1361"/>
        <w:gridCol w:w="1361"/>
        <w:gridCol w:w="1361"/>
        <w:gridCol w:w="1182"/>
      </w:tblGrid>
      <w:tr w:rsidR="004D0908" w:rsidTr="00874A9A" w14:paraId="469B1362" w14:textId="77777777">
        <w:trPr>
          <w:cantSplit/>
          <w:tblHeader/>
        </w:trPr>
        <w:tc>
          <w:tcPr>
            <w:tcW w:w="0" w:type="auto"/>
            <w:vAlign w:val="bottom"/>
          </w:tcPr>
          <w:p w:rsidRPr="00783D36" w:rsidR="001536E4" w:rsidP="0078355E" w:rsidRDefault="001536E4" w14:paraId="21D3E411" w14:textId="77777777">
            <w:pPr>
              <w:spacing w:before="0" w:line="240" w:lineRule="auto"/>
              <w:jc w:val="center"/>
              <w:rPr>
                <w:b/>
                <w:bCs/>
                <w:sz w:val="20"/>
              </w:rPr>
            </w:pPr>
            <w:r w:rsidRPr="00783D36">
              <w:rPr>
                <w:b/>
                <w:bCs/>
                <w:sz w:val="20"/>
              </w:rPr>
              <w:t>A.</w:t>
            </w:r>
          </w:p>
          <w:p w:rsidRPr="00783D36" w:rsidR="001536E4" w:rsidP="0078355E" w:rsidRDefault="001536E4" w14:paraId="58E1348B" w14:textId="77777777">
            <w:pPr>
              <w:spacing w:before="0" w:line="240" w:lineRule="auto"/>
              <w:jc w:val="center"/>
              <w:rPr>
                <w:b/>
                <w:sz w:val="20"/>
              </w:rPr>
            </w:pPr>
            <w:r w:rsidRPr="00783D36">
              <w:rPr>
                <w:b/>
                <w:bCs/>
                <w:sz w:val="20"/>
              </w:rPr>
              <w:t>Area of Modification</w:t>
            </w:r>
          </w:p>
        </w:tc>
        <w:tc>
          <w:tcPr>
            <w:tcW w:w="0" w:type="auto"/>
            <w:vAlign w:val="bottom"/>
          </w:tcPr>
          <w:p w:rsidRPr="00783D36" w:rsidR="001536E4" w:rsidP="0078355E" w:rsidRDefault="001536E4" w14:paraId="52A9A691" w14:textId="77777777">
            <w:pPr>
              <w:spacing w:before="0" w:line="240" w:lineRule="auto"/>
              <w:jc w:val="center"/>
              <w:rPr>
                <w:b/>
                <w:sz w:val="20"/>
              </w:rPr>
            </w:pPr>
            <w:r w:rsidRPr="00783D36">
              <w:rPr>
                <w:b/>
                <w:sz w:val="20"/>
              </w:rPr>
              <w:t>B.</w:t>
            </w:r>
          </w:p>
          <w:p w:rsidRPr="00783D36" w:rsidR="001536E4" w:rsidP="0078355E" w:rsidRDefault="001536E4" w14:paraId="5167DBFF" w14:textId="77777777">
            <w:pPr>
              <w:spacing w:before="0" w:line="240" w:lineRule="auto"/>
              <w:jc w:val="center"/>
              <w:rPr>
                <w:b/>
                <w:sz w:val="20"/>
              </w:rPr>
            </w:pPr>
            <w:r w:rsidRPr="00783D36">
              <w:rPr>
                <w:b/>
                <w:bCs/>
                <w:sz w:val="20"/>
              </w:rPr>
              <w:t>Annual Number of Respondents and Responses</w:t>
            </w:r>
          </w:p>
        </w:tc>
        <w:tc>
          <w:tcPr>
            <w:tcW w:w="0" w:type="auto"/>
            <w:vAlign w:val="bottom"/>
          </w:tcPr>
          <w:p w:rsidRPr="001F6D8F" w:rsidR="001536E4" w:rsidP="0078355E" w:rsidRDefault="001536E4" w14:paraId="186F9EE1" w14:textId="77777777">
            <w:pPr>
              <w:spacing w:before="0" w:line="240" w:lineRule="auto"/>
              <w:jc w:val="center"/>
              <w:rPr>
                <w:b/>
                <w:bCs/>
                <w:sz w:val="20"/>
              </w:rPr>
            </w:pPr>
            <w:r>
              <w:rPr>
                <w:b/>
                <w:bCs/>
                <w:sz w:val="20"/>
              </w:rPr>
              <w:t>C</w:t>
            </w:r>
            <w:r w:rsidRPr="001F6D8F">
              <w:rPr>
                <w:b/>
                <w:bCs/>
                <w:sz w:val="20"/>
              </w:rPr>
              <w:t>.</w:t>
            </w:r>
          </w:p>
          <w:p w:rsidRPr="00783D36" w:rsidR="001536E4" w:rsidP="0078355E" w:rsidRDefault="001536E4" w14:paraId="0D2EDE08" w14:textId="5C99926C">
            <w:pPr>
              <w:spacing w:before="0" w:line="240" w:lineRule="auto"/>
              <w:jc w:val="center"/>
              <w:rPr>
                <w:b/>
                <w:sz w:val="20"/>
              </w:rPr>
            </w:pPr>
            <w:r>
              <w:rPr>
                <w:b/>
                <w:bCs/>
                <w:sz w:val="20"/>
              </w:rPr>
              <w:t xml:space="preserve">Annual </w:t>
            </w:r>
            <w:r w:rsidRPr="001F6D8F">
              <w:rPr>
                <w:b/>
                <w:bCs/>
                <w:sz w:val="20"/>
              </w:rPr>
              <w:t>Average Burden Hours</w:t>
            </w:r>
            <w:r>
              <w:rPr>
                <w:b/>
                <w:bCs/>
                <w:sz w:val="20"/>
              </w:rPr>
              <w:t xml:space="preserve"> per Response for </w:t>
            </w:r>
            <w:r w:rsidR="0059373F">
              <w:rPr>
                <w:b/>
                <w:bCs/>
                <w:sz w:val="20"/>
              </w:rPr>
              <w:t>Records Management</w:t>
            </w:r>
            <w:r>
              <w:rPr>
                <w:b/>
                <w:bCs/>
                <w:sz w:val="20"/>
              </w:rPr>
              <w:t xml:space="preserve"> Requirements</w:t>
            </w:r>
          </w:p>
        </w:tc>
        <w:tc>
          <w:tcPr>
            <w:tcW w:w="0" w:type="auto"/>
            <w:vAlign w:val="bottom"/>
          </w:tcPr>
          <w:p w:rsidRPr="00783D36" w:rsidR="001536E4" w:rsidP="0078355E" w:rsidRDefault="001536E4" w14:paraId="5A088689" w14:textId="77777777">
            <w:pPr>
              <w:spacing w:before="0" w:line="240" w:lineRule="auto"/>
              <w:jc w:val="center"/>
              <w:rPr>
                <w:b/>
                <w:sz w:val="20"/>
              </w:rPr>
            </w:pPr>
            <w:r w:rsidRPr="00783D36">
              <w:rPr>
                <w:b/>
                <w:sz w:val="20"/>
              </w:rPr>
              <w:t>D.</w:t>
            </w:r>
          </w:p>
          <w:p w:rsidRPr="001F6D8F" w:rsidR="001536E4" w:rsidP="0078355E" w:rsidRDefault="001536E4" w14:paraId="141E275D" w14:textId="58779EE3">
            <w:pPr>
              <w:spacing w:before="0" w:line="240" w:lineRule="auto"/>
              <w:jc w:val="center"/>
              <w:rPr>
                <w:b/>
                <w:bCs/>
                <w:sz w:val="20"/>
              </w:rPr>
            </w:pPr>
            <w:r w:rsidRPr="001F6D8F">
              <w:rPr>
                <w:b/>
                <w:bCs/>
                <w:sz w:val="20"/>
              </w:rPr>
              <w:t xml:space="preserve">Total Estimated </w:t>
            </w:r>
            <w:r>
              <w:rPr>
                <w:b/>
                <w:bCs/>
                <w:sz w:val="20"/>
              </w:rPr>
              <w:t xml:space="preserve">Annual </w:t>
            </w:r>
            <w:r w:rsidRPr="001F6D8F">
              <w:rPr>
                <w:b/>
                <w:bCs/>
                <w:sz w:val="20"/>
              </w:rPr>
              <w:t>Burden Hours</w:t>
            </w:r>
            <w:r>
              <w:rPr>
                <w:b/>
                <w:bCs/>
                <w:sz w:val="20"/>
              </w:rPr>
              <w:t xml:space="preserve"> for Re</w:t>
            </w:r>
            <w:r w:rsidR="0059373F">
              <w:rPr>
                <w:b/>
                <w:bCs/>
                <w:sz w:val="20"/>
              </w:rPr>
              <w:t>cords Management</w:t>
            </w:r>
            <w:r>
              <w:rPr>
                <w:b/>
                <w:bCs/>
                <w:sz w:val="20"/>
              </w:rPr>
              <w:t xml:space="preserve"> Requirements</w:t>
            </w:r>
          </w:p>
          <w:p w:rsidRPr="001F6D8F" w:rsidR="001536E4" w:rsidP="0078355E" w:rsidRDefault="001536E4" w14:paraId="63D8DC58" w14:textId="77777777">
            <w:pPr>
              <w:spacing w:before="0" w:line="240" w:lineRule="auto"/>
              <w:jc w:val="center"/>
              <w:rPr>
                <w:b/>
                <w:bCs/>
                <w:sz w:val="20"/>
              </w:rPr>
            </w:pPr>
            <w:r w:rsidRPr="001F6D8F">
              <w:rPr>
                <w:b/>
                <w:bCs/>
                <w:sz w:val="20"/>
              </w:rPr>
              <w:t xml:space="preserve">(Column </w:t>
            </w:r>
            <w:r>
              <w:rPr>
                <w:b/>
                <w:bCs/>
                <w:sz w:val="20"/>
              </w:rPr>
              <w:t xml:space="preserve">B </w:t>
            </w:r>
            <w:r w:rsidRPr="001F6D8F">
              <w:rPr>
                <w:b/>
                <w:bCs/>
                <w:sz w:val="20"/>
              </w:rPr>
              <w:t xml:space="preserve"> x</w:t>
            </w:r>
          </w:p>
          <w:p w:rsidRPr="00783D36" w:rsidR="001536E4" w:rsidP="0078355E" w:rsidRDefault="001536E4" w14:paraId="118A19B4" w14:textId="77777777">
            <w:pPr>
              <w:spacing w:before="0" w:line="240" w:lineRule="auto"/>
              <w:jc w:val="center"/>
              <w:rPr>
                <w:b/>
                <w:sz w:val="20"/>
              </w:rPr>
            </w:pPr>
            <w:r w:rsidRPr="001F6D8F">
              <w:rPr>
                <w:b/>
                <w:bCs/>
                <w:sz w:val="20"/>
              </w:rPr>
              <w:t xml:space="preserve">Column </w:t>
            </w:r>
            <w:r>
              <w:rPr>
                <w:b/>
                <w:bCs/>
                <w:sz w:val="20"/>
              </w:rPr>
              <w:t>C</w:t>
            </w:r>
            <w:r w:rsidRPr="001F6D8F">
              <w:rPr>
                <w:b/>
                <w:bCs/>
                <w:sz w:val="20"/>
              </w:rPr>
              <w:t>)</w:t>
            </w:r>
          </w:p>
        </w:tc>
        <w:tc>
          <w:tcPr>
            <w:tcW w:w="0" w:type="auto"/>
            <w:vAlign w:val="bottom"/>
          </w:tcPr>
          <w:p w:rsidRPr="00783D36" w:rsidR="001536E4" w:rsidP="0078355E" w:rsidRDefault="001536E4" w14:paraId="7A08B9EC" w14:textId="77777777">
            <w:pPr>
              <w:spacing w:before="0" w:line="240" w:lineRule="auto"/>
              <w:jc w:val="center"/>
              <w:rPr>
                <w:b/>
                <w:bCs/>
                <w:sz w:val="20"/>
              </w:rPr>
            </w:pPr>
            <w:r>
              <w:rPr>
                <w:b/>
                <w:bCs/>
                <w:sz w:val="20"/>
              </w:rPr>
              <w:t>E.</w:t>
            </w:r>
          </w:p>
          <w:p w:rsidRPr="00783D36" w:rsidR="001536E4" w:rsidP="0078355E" w:rsidRDefault="001536E4" w14:paraId="3BD18108" w14:textId="2C293882">
            <w:pPr>
              <w:spacing w:before="0" w:line="240" w:lineRule="auto"/>
              <w:jc w:val="center"/>
              <w:rPr>
                <w:b/>
                <w:bCs/>
                <w:sz w:val="20"/>
              </w:rPr>
            </w:pPr>
            <w:r>
              <w:rPr>
                <w:b/>
                <w:bCs/>
                <w:sz w:val="20"/>
              </w:rPr>
              <w:t xml:space="preserve">Annual </w:t>
            </w:r>
            <w:r w:rsidRPr="00783D36">
              <w:rPr>
                <w:b/>
                <w:bCs/>
                <w:sz w:val="20"/>
              </w:rPr>
              <w:t xml:space="preserve">Cost per Response for </w:t>
            </w:r>
            <w:r w:rsidR="0059373F">
              <w:rPr>
                <w:b/>
                <w:bCs/>
                <w:sz w:val="20"/>
              </w:rPr>
              <w:t>Records Management</w:t>
            </w:r>
            <w:r>
              <w:rPr>
                <w:b/>
                <w:bCs/>
                <w:sz w:val="20"/>
              </w:rPr>
              <w:t xml:space="preserve"> Requirements</w:t>
            </w:r>
          </w:p>
          <w:p w:rsidR="001536E4" w:rsidP="0078355E" w:rsidRDefault="001536E4" w14:paraId="6F4FD1C4" w14:textId="77777777">
            <w:pPr>
              <w:spacing w:before="0" w:line="240" w:lineRule="auto"/>
              <w:jc w:val="center"/>
              <w:rPr>
                <w:b/>
                <w:sz w:val="20"/>
              </w:rPr>
            </w:pPr>
            <w:r w:rsidRPr="00783D36">
              <w:rPr>
                <w:b/>
                <w:sz w:val="20"/>
              </w:rPr>
              <w:t>(</w:t>
            </w:r>
            <w:r>
              <w:rPr>
                <w:b/>
                <w:sz w:val="20"/>
              </w:rPr>
              <w:t>Column C x</w:t>
            </w:r>
          </w:p>
          <w:p w:rsidRPr="00783D36" w:rsidR="001536E4" w:rsidP="0078355E" w:rsidRDefault="001536E4" w14:paraId="642F3F71" w14:textId="3F659A25">
            <w:pPr>
              <w:spacing w:before="0" w:line="240" w:lineRule="auto"/>
              <w:jc w:val="center"/>
              <w:rPr>
                <w:b/>
                <w:sz w:val="20"/>
              </w:rPr>
            </w:pPr>
            <w:r w:rsidRPr="00783D36">
              <w:rPr>
                <w:b/>
                <w:sz w:val="20"/>
              </w:rPr>
              <w:t>$</w:t>
            </w:r>
            <w:r w:rsidR="00FF11EA">
              <w:rPr>
                <w:b/>
                <w:sz w:val="20"/>
              </w:rPr>
              <w:t>35.83</w:t>
            </w:r>
            <w:r w:rsidRPr="00783D36">
              <w:rPr>
                <w:b/>
                <w:sz w:val="20"/>
              </w:rPr>
              <w:t xml:space="preserve"> per hour)</w:t>
            </w:r>
          </w:p>
        </w:tc>
        <w:tc>
          <w:tcPr>
            <w:tcW w:w="0" w:type="auto"/>
            <w:vAlign w:val="bottom"/>
          </w:tcPr>
          <w:p w:rsidR="001536E4" w:rsidP="0078355E" w:rsidRDefault="001536E4" w14:paraId="03A1B9FB" w14:textId="77777777">
            <w:pPr>
              <w:spacing w:before="0" w:line="240" w:lineRule="auto"/>
              <w:jc w:val="center"/>
              <w:rPr>
                <w:b/>
                <w:bCs/>
                <w:sz w:val="20"/>
              </w:rPr>
            </w:pPr>
            <w:r>
              <w:rPr>
                <w:b/>
                <w:bCs/>
                <w:sz w:val="20"/>
              </w:rPr>
              <w:t>F.</w:t>
            </w:r>
          </w:p>
          <w:p w:rsidR="001536E4" w:rsidP="0078355E" w:rsidRDefault="001536E4" w14:paraId="6E68832F" w14:textId="701FE26B">
            <w:pPr>
              <w:spacing w:before="0" w:line="240" w:lineRule="auto"/>
              <w:jc w:val="center"/>
              <w:rPr>
                <w:b/>
                <w:sz w:val="20"/>
              </w:rPr>
            </w:pPr>
            <w:r>
              <w:rPr>
                <w:b/>
                <w:sz w:val="20"/>
              </w:rPr>
              <w:t xml:space="preserve">Annual </w:t>
            </w:r>
            <w:r w:rsidRPr="00783D36">
              <w:rPr>
                <w:b/>
                <w:sz w:val="20"/>
              </w:rPr>
              <w:t xml:space="preserve">Total Estimated Cost for </w:t>
            </w:r>
            <w:r w:rsidR="0059373F">
              <w:rPr>
                <w:b/>
                <w:sz w:val="20"/>
              </w:rPr>
              <w:t>Records Management Requirements</w:t>
            </w:r>
          </w:p>
          <w:p w:rsidRPr="00783D36" w:rsidR="001536E4" w:rsidP="0078355E" w:rsidRDefault="001536E4" w14:paraId="3A7D9A56" w14:textId="16DAF3DB">
            <w:pPr>
              <w:spacing w:before="0" w:line="240" w:lineRule="auto"/>
              <w:jc w:val="center"/>
              <w:rPr>
                <w:b/>
                <w:sz w:val="20"/>
              </w:rPr>
            </w:pPr>
            <w:r>
              <w:rPr>
                <w:b/>
                <w:bCs/>
                <w:sz w:val="20"/>
              </w:rPr>
              <w:t>(Column D x $</w:t>
            </w:r>
            <w:r w:rsidR="00FF11EA">
              <w:rPr>
                <w:b/>
                <w:bCs/>
                <w:sz w:val="20"/>
              </w:rPr>
              <w:t>35.83</w:t>
            </w:r>
            <w:r>
              <w:rPr>
                <w:b/>
                <w:bCs/>
                <w:sz w:val="20"/>
              </w:rPr>
              <w:t xml:space="preserve"> per hour)</w:t>
            </w:r>
          </w:p>
        </w:tc>
        <w:tc>
          <w:tcPr>
            <w:tcW w:w="0" w:type="auto"/>
            <w:vAlign w:val="bottom"/>
          </w:tcPr>
          <w:p w:rsidRPr="001F6D8F" w:rsidR="001536E4" w:rsidP="0078355E" w:rsidRDefault="001536E4" w14:paraId="7F969D3F" w14:textId="77777777">
            <w:pPr>
              <w:spacing w:before="0" w:line="240" w:lineRule="auto"/>
              <w:jc w:val="center"/>
              <w:rPr>
                <w:b/>
                <w:bCs/>
                <w:sz w:val="20"/>
              </w:rPr>
            </w:pPr>
            <w:r>
              <w:rPr>
                <w:b/>
                <w:bCs/>
                <w:sz w:val="20"/>
              </w:rPr>
              <w:t>G</w:t>
            </w:r>
            <w:r w:rsidRPr="001F6D8F">
              <w:rPr>
                <w:b/>
                <w:bCs/>
                <w:sz w:val="20"/>
              </w:rPr>
              <w:t>.</w:t>
            </w:r>
          </w:p>
          <w:p w:rsidR="001536E4" w:rsidP="0078355E" w:rsidRDefault="001536E4" w14:paraId="501B6914" w14:textId="77777777">
            <w:pPr>
              <w:spacing w:before="0" w:line="240" w:lineRule="auto"/>
              <w:jc w:val="center"/>
              <w:rPr>
                <w:b/>
                <w:bCs/>
                <w:sz w:val="20"/>
              </w:rPr>
            </w:pPr>
            <w:r>
              <w:rPr>
                <w:b/>
                <w:bCs/>
                <w:sz w:val="20"/>
              </w:rPr>
              <w:t>Annual Cost per Respondent</w:t>
            </w:r>
          </w:p>
        </w:tc>
      </w:tr>
      <w:tr w:rsidR="004D0908" w:rsidTr="004D0908" w14:paraId="5875C7DA" w14:textId="77777777">
        <w:trPr>
          <w:cantSplit/>
        </w:trPr>
        <w:tc>
          <w:tcPr>
            <w:tcW w:w="0" w:type="auto"/>
          </w:tcPr>
          <w:p w:rsidR="00903264" w:rsidP="00903264" w:rsidRDefault="00903264" w14:paraId="57CF6CAB" w14:textId="3D2A9120">
            <w:pPr>
              <w:spacing w:before="0" w:line="240" w:lineRule="auto"/>
              <w:jc w:val="center"/>
              <w:rPr>
                <w:sz w:val="20"/>
              </w:rPr>
            </w:pPr>
            <w:r w:rsidRPr="001F6D8F">
              <w:rPr>
                <w:sz w:val="20"/>
              </w:rPr>
              <w:t>Participate in Long-Term Regional Transmission Planning, which includes developing Long-Term Scenarios, evaluating the benefits of regional transmission facilities, and establishing criteria in consultation with states to select transmission facilities in the regional transmission plan for purposes of cost allocation</w:t>
            </w:r>
          </w:p>
          <w:p w:rsidRPr="00783D36" w:rsidR="00903264" w:rsidP="00903264" w:rsidRDefault="00903264" w14:paraId="545F2A23" w14:textId="4B88D19C">
            <w:pPr>
              <w:spacing w:before="0" w:line="240" w:lineRule="auto"/>
              <w:jc w:val="center"/>
              <w:rPr>
                <w:b/>
                <w:bCs/>
                <w:sz w:val="20"/>
              </w:rPr>
            </w:pPr>
            <w:r>
              <w:rPr>
                <w:sz w:val="20"/>
              </w:rPr>
              <w:t>(Subsequent Years)</w:t>
            </w:r>
          </w:p>
        </w:tc>
        <w:tc>
          <w:tcPr>
            <w:tcW w:w="0" w:type="auto"/>
            <w:vAlign w:val="bottom"/>
          </w:tcPr>
          <w:p w:rsidRPr="00E83B7F" w:rsidR="00903264" w:rsidP="00E83B7F" w:rsidRDefault="0059373F" w14:paraId="61E05070" w14:textId="6D17F76F">
            <w:pPr>
              <w:spacing w:before="0" w:line="240" w:lineRule="auto"/>
              <w:jc w:val="right"/>
              <w:rPr>
                <w:bCs/>
                <w:sz w:val="20"/>
              </w:rPr>
            </w:pPr>
            <w:r>
              <w:rPr>
                <w:bCs/>
                <w:sz w:val="20"/>
              </w:rPr>
              <w:t>125</w:t>
            </w:r>
          </w:p>
        </w:tc>
        <w:tc>
          <w:tcPr>
            <w:tcW w:w="0" w:type="auto"/>
            <w:vAlign w:val="bottom"/>
          </w:tcPr>
          <w:p w:rsidRPr="00E83B7F" w:rsidR="00903264" w:rsidP="00E83B7F" w:rsidRDefault="00384475" w14:paraId="757ABCB7" w14:textId="22D9A47A">
            <w:pPr>
              <w:spacing w:before="0" w:line="240" w:lineRule="auto"/>
              <w:jc w:val="right"/>
              <w:rPr>
                <w:bCs/>
                <w:sz w:val="20"/>
              </w:rPr>
            </w:pPr>
            <w:r>
              <w:rPr>
                <w:bCs/>
                <w:sz w:val="20"/>
              </w:rPr>
              <w:t>10 hours</w:t>
            </w:r>
          </w:p>
        </w:tc>
        <w:tc>
          <w:tcPr>
            <w:tcW w:w="0" w:type="auto"/>
            <w:vAlign w:val="bottom"/>
          </w:tcPr>
          <w:p w:rsidRPr="00E83B7F" w:rsidR="00903264" w:rsidP="00E83B7F" w:rsidRDefault="00B37CB9" w14:paraId="00A6A521" w14:textId="5681A390">
            <w:pPr>
              <w:spacing w:before="0" w:line="240" w:lineRule="auto"/>
              <w:jc w:val="right"/>
              <w:rPr>
                <w:bCs/>
                <w:sz w:val="20"/>
              </w:rPr>
            </w:pPr>
            <w:r>
              <w:rPr>
                <w:bCs/>
                <w:sz w:val="20"/>
              </w:rPr>
              <w:t>1,250 hours</w:t>
            </w:r>
          </w:p>
        </w:tc>
        <w:tc>
          <w:tcPr>
            <w:tcW w:w="0" w:type="auto"/>
            <w:vAlign w:val="bottom"/>
          </w:tcPr>
          <w:p w:rsidRPr="00E83B7F" w:rsidR="00903264" w:rsidP="00E83B7F" w:rsidRDefault="00954559" w14:paraId="1419A527" w14:textId="098AFA3B">
            <w:pPr>
              <w:spacing w:before="0" w:line="240" w:lineRule="auto"/>
              <w:jc w:val="right"/>
              <w:rPr>
                <w:bCs/>
                <w:sz w:val="20"/>
              </w:rPr>
            </w:pPr>
            <w:r>
              <w:rPr>
                <w:bCs/>
                <w:sz w:val="20"/>
              </w:rPr>
              <w:t>$</w:t>
            </w:r>
            <w:r w:rsidR="00FA1D3C">
              <w:rPr>
                <w:bCs/>
                <w:sz w:val="20"/>
              </w:rPr>
              <w:t>358 (rounded)</w:t>
            </w:r>
          </w:p>
        </w:tc>
        <w:tc>
          <w:tcPr>
            <w:tcW w:w="0" w:type="auto"/>
            <w:vAlign w:val="bottom"/>
          </w:tcPr>
          <w:p w:rsidRPr="00E83B7F" w:rsidR="00903264" w:rsidP="00E83B7F" w:rsidRDefault="0021297D" w14:paraId="36E18B8E" w14:textId="6F00231C">
            <w:pPr>
              <w:spacing w:before="0" w:line="240" w:lineRule="auto"/>
              <w:jc w:val="right"/>
              <w:rPr>
                <w:bCs/>
                <w:sz w:val="20"/>
              </w:rPr>
            </w:pPr>
            <w:r>
              <w:rPr>
                <w:bCs/>
                <w:sz w:val="20"/>
              </w:rPr>
              <w:t>$44,788 (rounded)</w:t>
            </w:r>
          </w:p>
        </w:tc>
        <w:tc>
          <w:tcPr>
            <w:tcW w:w="0" w:type="auto"/>
            <w:vAlign w:val="bottom"/>
          </w:tcPr>
          <w:p w:rsidRPr="00E83B7F" w:rsidR="00903264" w:rsidP="00E83B7F" w:rsidRDefault="00CA07F3" w14:paraId="05B3A962" w14:textId="61A23EDF">
            <w:pPr>
              <w:spacing w:before="0" w:line="240" w:lineRule="auto"/>
              <w:jc w:val="right"/>
              <w:rPr>
                <w:bCs/>
                <w:sz w:val="20"/>
              </w:rPr>
            </w:pPr>
            <w:r>
              <w:rPr>
                <w:bCs/>
                <w:sz w:val="20"/>
              </w:rPr>
              <w:t>$358 (rounded)</w:t>
            </w:r>
          </w:p>
        </w:tc>
      </w:tr>
      <w:tr w:rsidR="004D0908" w:rsidTr="004D0908" w14:paraId="4AE1E681" w14:textId="77777777">
        <w:trPr>
          <w:cantSplit/>
        </w:trPr>
        <w:tc>
          <w:tcPr>
            <w:tcW w:w="0" w:type="auto"/>
            <w:vAlign w:val="center"/>
          </w:tcPr>
          <w:p w:rsidR="00903264" w:rsidP="00903264" w:rsidRDefault="00903264" w14:paraId="168AAAAE" w14:textId="59761488">
            <w:pPr>
              <w:spacing w:before="0" w:line="240" w:lineRule="auto"/>
              <w:jc w:val="center"/>
              <w:rPr>
                <w:sz w:val="20"/>
              </w:rPr>
            </w:pPr>
            <w:r w:rsidRPr="00827301">
              <w:rPr>
                <w:sz w:val="20"/>
              </w:rPr>
              <w:t>Revise the regional transmission planning process to enhance transparency of local transmission planning and identifying potential opportunities to right-size replacement transmission facilities</w:t>
            </w:r>
          </w:p>
          <w:p w:rsidR="00903264" w:rsidP="00903264" w:rsidRDefault="00903264" w14:paraId="09025652" w14:textId="60C29439">
            <w:pPr>
              <w:spacing w:before="0" w:line="240" w:lineRule="auto"/>
              <w:jc w:val="center"/>
              <w:rPr>
                <w:b/>
                <w:bCs/>
                <w:sz w:val="20"/>
              </w:rPr>
            </w:pPr>
            <w:r>
              <w:rPr>
                <w:sz w:val="20"/>
              </w:rPr>
              <w:t>(Subsequent Years)</w:t>
            </w:r>
          </w:p>
        </w:tc>
        <w:tc>
          <w:tcPr>
            <w:tcW w:w="0" w:type="auto"/>
            <w:vAlign w:val="bottom"/>
          </w:tcPr>
          <w:p w:rsidRPr="00E83B7F" w:rsidR="00903264" w:rsidP="00E83B7F" w:rsidRDefault="0059373F" w14:paraId="39B6453B" w14:textId="36B97C54">
            <w:pPr>
              <w:spacing w:before="0" w:line="240" w:lineRule="auto"/>
              <w:jc w:val="right"/>
              <w:rPr>
                <w:bCs/>
                <w:sz w:val="20"/>
              </w:rPr>
            </w:pPr>
            <w:r>
              <w:rPr>
                <w:bCs/>
                <w:sz w:val="20"/>
              </w:rPr>
              <w:t>125</w:t>
            </w:r>
          </w:p>
        </w:tc>
        <w:tc>
          <w:tcPr>
            <w:tcW w:w="0" w:type="auto"/>
            <w:vAlign w:val="bottom"/>
          </w:tcPr>
          <w:p w:rsidRPr="00E83B7F" w:rsidR="00903264" w:rsidP="00E83B7F" w:rsidRDefault="00384475" w14:paraId="208AC02D" w14:textId="23EEE7E7">
            <w:pPr>
              <w:spacing w:before="0" w:line="240" w:lineRule="auto"/>
              <w:jc w:val="right"/>
              <w:rPr>
                <w:bCs/>
                <w:sz w:val="20"/>
              </w:rPr>
            </w:pPr>
            <w:r>
              <w:rPr>
                <w:bCs/>
                <w:sz w:val="20"/>
              </w:rPr>
              <w:t>10 hours</w:t>
            </w:r>
          </w:p>
        </w:tc>
        <w:tc>
          <w:tcPr>
            <w:tcW w:w="0" w:type="auto"/>
            <w:vAlign w:val="bottom"/>
          </w:tcPr>
          <w:p w:rsidRPr="00E83B7F" w:rsidR="00903264" w:rsidP="00E83B7F" w:rsidRDefault="00B37CB9" w14:paraId="05FB4CBA" w14:textId="0A13BD48">
            <w:pPr>
              <w:spacing w:before="0" w:line="240" w:lineRule="auto"/>
              <w:jc w:val="right"/>
              <w:rPr>
                <w:bCs/>
                <w:sz w:val="20"/>
              </w:rPr>
            </w:pPr>
            <w:r>
              <w:rPr>
                <w:bCs/>
                <w:sz w:val="20"/>
              </w:rPr>
              <w:t>1,250 hours</w:t>
            </w:r>
          </w:p>
        </w:tc>
        <w:tc>
          <w:tcPr>
            <w:tcW w:w="0" w:type="auto"/>
            <w:vAlign w:val="bottom"/>
          </w:tcPr>
          <w:p w:rsidRPr="00E83B7F" w:rsidR="00903264" w:rsidP="00E83B7F" w:rsidRDefault="00FA1D3C" w14:paraId="14BB2EE6" w14:textId="07E631E0">
            <w:pPr>
              <w:spacing w:before="0" w:line="240" w:lineRule="auto"/>
              <w:jc w:val="right"/>
              <w:rPr>
                <w:bCs/>
                <w:sz w:val="20"/>
              </w:rPr>
            </w:pPr>
            <w:r>
              <w:rPr>
                <w:bCs/>
                <w:sz w:val="20"/>
              </w:rPr>
              <w:t>$358 (rounded)</w:t>
            </w:r>
          </w:p>
        </w:tc>
        <w:tc>
          <w:tcPr>
            <w:tcW w:w="0" w:type="auto"/>
            <w:vAlign w:val="bottom"/>
          </w:tcPr>
          <w:p w:rsidRPr="00E83B7F" w:rsidR="00903264" w:rsidP="00E83B7F" w:rsidRDefault="004D0908" w14:paraId="6C02F14A" w14:textId="3FF532DB">
            <w:pPr>
              <w:spacing w:before="0" w:line="240" w:lineRule="auto"/>
              <w:jc w:val="right"/>
              <w:rPr>
                <w:bCs/>
                <w:sz w:val="20"/>
              </w:rPr>
            </w:pPr>
            <w:r>
              <w:rPr>
                <w:bCs/>
                <w:sz w:val="20"/>
              </w:rPr>
              <w:t>$44,788 (rounded)</w:t>
            </w:r>
          </w:p>
        </w:tc>
        <w:tc>
          <w:tcPr>
            <w:tcW w:w="0" w:type="auto"/>
            <w:vAlign w:val="bottom"/>
          </w:tcPr>
          <w:p w:rsidRPr="00E83B7F" w:rsidR="00903264" w:rsidP="00E83B7F" w:rsidRDefault="00CA07F3" w14:paraId="47EF8584" w14:textId="5EB3409E">
            <w:pPr>
              <w:spacing w:before="0" w:line="240" w:lineRule="auto"/>
              <w:jc w:val="right"/>
              <w:rPr>
                <w:bCs/>
                <w:sz w:val="20"/>
              </w:rPr>
            </w:pPr>
            <w:r>
              <w:rPr>
                <w:bCs/>
                <w:sz w:val="20"/>
              </w:rPr>
              <w:t>$358 (rounded)</w:t>
            </w:r>
          </w:p>
        </w:tc>
      </w:tr>
      <w:tr w:rsidR="004D0908" w:rsidTr="004D0908" w14:paraId="7F906CC2" w14:textId="77777777">
        <w:trPr>
          <w:cantSplit/>
        </w:trPr>
        <w:tc>
          <w:tcPr>
            <w:tcW w:w="0" w:type="auto"/>
            <w:vAlign w:val="center"/>
          </w:tcPr>
          <w:p w:rsidR="00903264" w:rsidP="00903264" w:rsidRDefault="00903264" w14:paraId="2F27823A" w14:textId="512FF3F8">
            <w:pPr>
              <w:spacing w:before="0" w:line="240" w:lineRule="auto"/>
              <w:jc w:val="center"/>
              <w:rPr>
                <w:sz w:val="20"/>
              </w:rPr>
            </w:pPr>
            <w:r w:rsidRPr="00094FD3">
              <w:rPr>
                <w:sz w:val="20"/>
              </w:rPr>
              <w:t>In consultation with state entities, establish a Long-Term Regional Transmission Cost Allocation Method and/or a State Agreement Process</w:t>
            </w:r>
          </w:p>
          <w:p w:rsidR="00903264" w:rsidP="00903264" w:rsidRDefault="00903264" w14:paraId="35698C18" w14:textId="19BBA644">
            <w:pPr>
              <w:spacing w:before="0" w:line="240" w:lineRule="auto"/>
              <w:jc w:val="center"/>
              <w:rPr>
                <w:b/>
                <w:bCs/>
                <w:sz w:val="20"/>
              </w:rPr>
            </w:pPr>
            <w:r>
              <w:rPr>
                <w:sz w:val="20"/>
              </w:rPr>
              <w:t>(Subsequent Years)</w:t>
            </w:r>
          </w:p>
        </w:tc>
        <w:tc>
          <w:tcPr>
            <w:tcW w:w="0" w:type="auto"/>
            <w:vAlign w:val="bottom"/>
          </w:tcPr>
          <w:p w:rsidRPr="00E83B7F" w:rsidR="00903264" w:rsidP="00E83B7F" w:rsidRDefault="0059373F" w14:paraId="2D3033A9" w14:textId="00C5A5DA">
            <w:pPr>
              <w:spacing w:before="0" w:line="240" w:lineRule="auto"/>
              <w:jc w:val="right"/>
              <w:rPr>
                <w:bCs/>
                <w:sz w:val="20"/>
              </w:rPr>
            </w:pPr>
            <w:r>
              <w:rPr>
                <w:bCs/>
                <w:sz w:val="20"/>
              </w:rPr>
              <w:t>125</w:t>
            </w:r>
          </w:p>
        </w:tc>
        <w:tc>
          <w:tcPr>
            <w:tcW w:w="0" w:type="auto"/>
            <w:vAlign w:val="bottom"/>
          </w:tcPr>
          <w:p w:rsidRPr="00E83B7F" w:rsidR="00903264" w:rsidP="00E83B7F" w:rsidRDefault="00384475" w14:paraId="2D3AA40D" w14:textId="451E1221">
            <w:pPr>
              <w:spacing w:before="0" w:line="240" w:lineRule="auto"/>
              <w:jc w:val="right"/>
              <w:rPr>
                <w:bCs/>
                <w:sz w:val="20"/>
              </w:rPr>
            </w:pPr>
            <w:r>
              <w:rPr>
                <w:bCs/>
                <w:sz w:val="20"/>
              </w:rPr>
              <w:t>10 hours</w:t>
            </w:r>
          </w:p>
        </w:tc>
        <w:tc>
          <w:tcPr>
            <w:tcW w:w="0" w:type="auto"/>
            <w:vAlign w:val="bottom"/>
          </w:tcPr>
          <w:p w:rsidRPr="00E83B7F" w:rsidR="00903264" w:rsidP="00E83B7F" w:rsidRDefault="00B37CB9" w14:paraId="3DB44F67" w14:textId="29B3705D">
            <w:pPr>
              <w:spacing w:before="0" w:line="240" w:lineRule="auto"/>
              <w:jc w:val="right"/>
              <w:rPr>
                <w:bCs/>
                <w:sz w:val="20"/>
              </w:rPr>
            </w:pPr>
            <w:r>
              <w:rPr>
                <w:bCs/>
                <w:sz w:val="20"/>
              </w:rPr>
              <w:t>1,250 hours</w:t>
            </w:r>
          </w:p>
        </w:tc>
        <w:tc>
          <w:tcPr>
            <w:tcW w:w="0" w:type="auto"/>
            <w:vAlign w:val="bottom"/>
          </w:tcPr>
          <w:p w:rsidRPr="00E83B7F" w:rsidR="00903264" w:rsidP="00E83B7F" w:rsidRDefault="00C252A5" w14:paraId="4957039A" w14:textId="13AB098E">
            <w:pPr>
              <w:spacing w:before="0" w:line="240" w:lineRule="auto"/>
              <w:jc w:val="right"/>
              <w:rPr>
                <w:bCs/>
                <w:sz w:val="20"/>
              </w:rPr>
            </w:pPr>
            <w:r>
              <w:rPr>
                <w:bCs/>
                <w:sz w:val="20"/>
              </w:rPr>
              <w:t>$358 (rounded)</w:t>
            </w:r>
          </w:p>
        </w:tc>
        <w:tc>
          <w:tcPr>
            <w:tcW w:w="0" w:type="auto"/>
            <w:vAlign w:val="bottom"/>
          </w:tcPr>
          <w:p w:rsidRPr="00E83B7F" w:rsidR="00903264" w:rsidP="00E83B7F" w:rsidRDefault="004D0908" w14:paraId="2A31F4FA" w14:textId="5A64727F">
            <w:pPr>
              <w:spacing w:before="0" w:line="240" w:lineRule="auto"/>
              <w:jc w:val="right"/>
              <w:rPr>
                <w:bCs/>
                <w:sz w:val="20"/>
              </w:rPr>
            </w:pPr>
            <w:r>
              <w:rPr>
                <w:bCs/>
                <w:sz w:val="20"/>
              </w:rPr>
              <w:t>$44,788 (rounded)</w:t>
            </w:r>
          </w:p>
        </w:tc>
        <w:tc>
          <w:tcPr>
            <w:tcW w:w="0" w:type="auto"/>
            <w:vAlign w:val="bottom"/>
          </w:tcPr>
          <w:p w:rsidRPr="00E83B7F" w:rsidR="00903264" w:rsidP="00E83B7F" w:rsidRDefault="00CA07F3" w14:paraId="598FDFFA" w14:textId="1E690CA0">
            <w:pPr>
              <w:spacing w:before="0" w:line="240" w:lineRule="auto"/>
              <w:jc w:val="right"/>
              <w:rPr>
                <w:bCs/>
                <w:sz w:val="20"/>
              </w:rPr>
            </w:pPr>
            <w:r>
              <w:rPr>
                <w:bCs/>
                <w:sz w:val="20"/>
              </w:rPr>
              <w:t>$358 (rounded)</w:t>
            </w:r>
          </w:p>
        </w:tc>
      </w:tr>
      <w:tr w:rsidR="004D0908" w:rsidTr="004D0908" w14:paraId="4711BA40" w14:textId="77777777">
        <w:trPr>
          <w:cantSplit/>
        </w:trPr>
        <w:tc>
          <w:tcPr>
            <w:tcW w:w="0" w:type="auto"/>
            <w:vAlign w:val="center"/>
          </w:tcPr>
          <w:p w:rsidR="00903264" w:rsidP="00903264" w:rsidRDefault="00903264" w14:paraId="72F9FF88" w14:textId="25BBFBAA">
            <w:pPr>
              <w:spacing w:before="0" w:line="240" w:lineRule="auto"/>
              <w:jc w:val="center"/>
              <w:rPr>
                <w:sz w:val="20"/>
              </w:rPr>
            </w:pPr>
            <w:r w:rsidRPr="00FC5CEF">
              <w:rPr>
                <w:sz w:val="20"/>
              </w:rPr>
              <w:t>Consider in the regional transmission planning processes regional transmission facilities that address certain interconnection-related needs</w:t>
            </w:r>
          </w:p>
          <w:p w:rsidR="00903264" w:rsidP="00903264" w:rsidRDefault="00903264" w14:paraId="1171B537" w14:textId="7BCCF937">
            <w:pPr>
              <w:spacing w:before="0" w:line="240" w:lineRule="auto"/>
              <w:jc w:val="center"/>
              <w:rPr>
                <w:b/>
                <w:bCs/>
                <w:sz w:val="20"/>
              </w:rPr>
            </w:pPr>
            <w:r>
              <w:rPr>
                <w:sz w:val="20"/>
              </w:rPr>
              <w:t>(Subsequent Years)</w:t>
            </w:r>
          </w:p>
        </w:tc>
        <w:tc>
          <w:tcPr>
            <w:tcW w:w="0" w:type="auto"/>
            <w:vAlign w:val="bottom"/>
          </w:tcPr>
          <w:p w:rsidRPr="00E83B7F" w:rsidR="00903264" w:rsidP="00E83B7F" w:rsidRDefault="0059373F" w14:paraId="5241B2E8" w14:textId="39785B5C">
            <w:pPr>
              <w:spacing w:before="0" w:line="240" w:lineRule="auto"/>
              <w:jc w:val="right"/>
              <w:rPr>
                <w:bCs/>
                <w:sz w:val="20"/>
              </w:rPr>
            </w:pPr>
            <w:r>
              <w:rPr>
                <w:bCs/>
                <w:sz w:val="20"/>
              </w:rPr>
              <w:t>0</w:t>
            </w:r>
          </w:p>
        </w:tc>
        <w:tc>
          <w:tcPr>
            <w:tcW w:w="0" w:type="auto"/>
            <w:vAlign w:val="bottom"/>
          </w:tcPr>
          <w:p w:rsidRPr="00E83B7F" w:rsidR="00903264" w:rsidP="00E83B7F" w:rsidRDefault="00384475" w14:paraId="3D794366" w14:textId="1400C753">
            <w:pPr>
              <w:spacing w:before="0" w:line="240" w:lineRule="auto"/>
              <w:jc w:val="right"/>
              <w:rPr>
                <w:bCs/>
                <w:sz w:val="20"/>
              </w:rPr>
            </w:pPr>
            <w:r>
              <w:rPr>
                <w:bCs/>
                <w:sz w:val="20"/>
              </w:rPr>
              <w:t>0 hours</w:t>
            </w:r>
          </w:p>
        </w:tc>
        <w:tc>
          <w:tcPr>
            <w:tcW w:w="0" w:type="auto"/>
            <w:vAlign w:val="bottom"/>
          </w:tcPr>
          <w:p w:rsidRPr="00E83B7F" w:rsidR="00903264" w:rsidP="00E83B7F" w:rsidRDefault="009A1D76" w14:paraId="701B8714" w14:textId="4C01E0BD">
            <w:pPr>
              <w:spacing w:before="0" w:line="240" w:lineRule="auto"/>
              <w:jc w:val="right"/>
              <w:rPr>
                <w:bCs/>
                <w:sz w:val="20"/>
              </w:rPr>
            </w:pPr>
            <w:r>
              <w:rPr>
                <w:bCs/>
                <w:sz w:val="20"/>
              </w:rPr>
              <w:t>0 hours</w:t>
            </w:r>
          </w:p>
        </w:tc>
        <w:tc>
          <w:tcPr>
            <w:tcW w:w="0" w:type="auto"/>
            <w:vAlign w:val="bottom"/>
          </w:tcPr>
          <w:p w:rsidRPr="00E83B7F" w:rsidR="00903264" w:rsidP="00E83B7F" w:rsidRDefault="00954559" w14:paraId="6B1A0119" w14:textId="3728515D">
            <w:pPr>
              <w:spacing w:before="0" w:line="240" w:lineRule="auto"/>
              <w:jc w:val="right"/>
              <w:rPr>
                <w:bCs/>
                <w:sz w:val="20"/>
              </w:rPr>
            </w:pPr>
            <w:r>
              <w:rPr>
                <w:bCs/>
                <w:sz w:val="20"/>
              </w:rPr>
              <w:t>$0</w:t>
            </w:r>
          </w:p>
        </w:tc>
        <w:tc>
          <w:tcPr>
            <w:tcW w:w="0" w:type="auto"/>
            <w:vAlign w:val="bottom"/>
          </w:tcPr>
          <w:p w:rsidRPr="00E83B7F" w:rsidR="00903264" w:rsidP="00E83B7F" w:rsidRDefault="004D0908" w14:paraId="5FA91F94" w14:textId="1E8AC058">
            <w:pPr>
              <w:spacing w:before="0" w:line="240" w:lineRule="auto"/>
              <w:jc w:val="right"/>
              <w:rPr>
                <w:bCs/>
                <w:sz w:val="20"/>
              </w:rPr>
            </w:pPr>
            <w:r>
              <w:rPr>
                <w:bCs/>
                <w:sz w:val="20"/>
              </w:rPr>
              <w:t>$0</w:t>
            </w:r>
          </w:p>
        </w:tc>
        <w:tc>
          <w:tcPr>
            <w:tcW w:w="0" w:type="auto"/>
            <w:vAlign w:val="bottom"/>
          </w:tcPr>
          <w:p w:rsidRPr="00E83B7F" w:rsidR="00903264" w:rsidP="00E83B7F" w:rsidRDefault="00C252A5" w14:paraId="762D6893" w14:textId="4C38D449">
            <w:pPr>
              <w:spacing w:before="0" w:line="240" w:lineRule="auto"/>
              <w:jc w:val="right"/>
              <w:rPr>
                <w:bCs/>
                <w:sz w:val="20"/>
              </w:rPr>
            </w:pPr>
            <w:r>
              <w:rPr>
                <w:bCs/>
                <w:sz w:val="20"/>
              </w:rPr>
              <w:t>$0</w:t>
            </w:r>
          </w:p>
        </w:tc>
      </w:tr>
      <w:tr w:rsidR="004D0908" w:rsidTr="004D0908" w14:paraId="65C3319F" w14:textId="77777777">
        <w:trPr>
          <w:cantSplit/>
        </w:trPr>
        <w:tc>
          <w:tcPr>
            <w:tcW w:w="0" w:type="auto"/>
            <w:vAlign w:val="center"/>
          </w:tcPr>
          <w:p w:rsidR="00903264" w:rsidP="00903264" w:rsidRDefault="00903264" w14:paraId="68CC57EC" w14:textId="68C35C61">
            <w:pPr>
              <w:spacing w:before="0" w:line="240" w:lineRule="auto"/>
              <w:jc w:val="center"/>
              <w:rPr>
                <w:sz w:val="20"/>
              </w:rPr>
            </w:pPr>
            <w:r w:rsidRPr="00FC5CEF">
              <w:rPr>
                <w:sz w:val="20"/>
              </w:rPr>
              <w:t>Revise interregional transmission coordination procedures to apply them to Long-Term Regional Transmission Planning</w:t>
            </w:r>
          </w:p>
          <w:p w:rsidR="00903264" w:rsidP="00903264" w:rsidRDefault="00903264" w14:paraId="7738A88B" w14:textId="0255DD98">
            <w:pPr>
              <w:spacing w:before="0" w:line="240" w:lineRule="auto"/>
              <w:jc w:val="center"/>
              <w:rPr>
                <w:b/>
                <w:bCs/>
                <w:sz w:val="20"/>
              </w:rPr>
            </w:pPr>
            <w:r>
              <w:rPr>
                <w:sz w:val="20"/>
              </w:rPr>
              <w:t>(Subsequent Years)</w:t>
            </w:r>
          </w:p>
        </w:tc>
        <w:tc>
          <w:tcPr>
            <w:tcW w:w="0" w:type="auto"/>
            <w:vAlign w:val="bottom"/>
          </w:tcPr>
          <w:p w:rsidRPr="00E83B7F" w:rsidR="00903264" w:rsidP="00E83B7F" w:rsidRDefault="0059373F" w14:paraId="53A6DDAC" w14:textId="16102735">
            <w:pPr>
              <w:spacing w:before="0" w:line="240" w:lineRule="auto"/>
              <w:jc w:val="right"/>
              <w:rPr>
                <w:bCs/>
                <w:sz w:val="20"/>
              </w:rPr>
            </w:pPr>
            <w:r>
              <w:rPr>
                <w:bCs/>
                <w:sz w:val="20"/>
              </w:rPr>
              <w:t>125</w:t>
            </w:r>
          </w:p>
        </w:tc>
        <w:tc>
          <w:tcPr>
            <w:tcW w:w="0" w:type="auto"/>
            <w:vAlign w:val="bottom"/>
          </w:tcPr>
          <w:p w:rsidRPr="00E83B7F" w:rsidR="00903264" w:rsidP="00E83B7F" w:rsidRDefault="00B37CB9" w14:paraId="4392EF05" w14:textId="6D4F1C87">
            <w:pPr>
              <w:spacing w:before="0" w:line="240" w:lineRule="auto"/>
              <w:jc w:val="right"/>
              <w:rPr>
                <w:bCs/>
                <w:sz w:val="20"/>
              </w:rPr>
            </w:pPr>
            <w:r>
              <w:rPr>
                <w:bCs/>
                <w:sz w:val="20"/>
              </w:rPr>
              <w:t>5 hours</w:t>
            </w:r>
          </w:p>
        </w:tc>
        <w:tc>
          <w:tcPr>
            <w:tcW w:w="0" w:type="auto"/>
            <w:vAlign w:val="bottom"/>
          </w:tcPr>
          <w:p w:rsidRPr="00E83B7F" w:rsidR="00903264" w:rsidP="00E83B7F" w:rsidRDefault="009A1D76" w14:paraId="76E85CFE" w14:textId="3818467B">
            <w:pPr>
              <w:spacing w:before="0" w:line="240" w:lineRule="auto"/>
              <w:jc w:val="right"/>
              <w:rPr>
                <w:bCs/>
                <w:sz w:val="20"/>
              </w:rPr>
            </w:pPr>
            <w:r>
              <w:rPr>
                <w:bCs/>
                <w:sz w:val="20"/>
              </w:rPr>
              <w:t>625 hours</w:t>
            </w:r>
          </w:p>
        </w:tc>
        <w:tc>
          <w:tcPr>
            <w:tcW w:w="0" w:type="auto"/>
            <w:vAlign w:val="bottom"/>
          </w:tcPr>
          <w:p w:rsidRPr="00E83B7F" w:rsidR="00903264" w:rsidP="00E83B7F" w:rsidRDefault="00C252A5" w14:paraId="4B4475BB" w14:textId="4D2C2790">
            <w:pPr>
              <w:spacing w:before="0" w:line="240" w:lineRule="auto"/>
              <w:jc w:val="right"/>
              <w:rPr>
                <w:bCs/>
                <w:sz w:val="20"/>
              </w:rPr>
            </w:pPr>
            <w:r>
              <w:rPr>
                <w:bCs/>
                <w:sz w:val="20"/>
              </w:rPr>
              <w:t>$179 (rounded)</w:t>
            </w:r>
          </w:p>
        </w:tc>
        <w:tc>
          <w:tcPr>
            <w:tcW w:w="0" w:type="auto"/>
            <w:vAlign w:val="bottom"/>
          </w:tcPr>
          <w:p w:rsidRPr="00E83B7F" w:rsidR="00903264" w:rsidP="00E83B7F" w:rsidRDefault="00D6467F" w14:paraId="1C6571B5" w14:textId="2A11FEA5">
            <w:pPr>
              <w:spacing w:before="0" w:line="240" w:lineRule="auto"/>
              <w:jc w:val="right"/>
              <w:rPr>
                <w:bCs/>
                <w:sz w:val="20"/>
              </w:rPr>
            </w:pPr>
            <w:r>
              <w:rPr>
                <w:bCs/>
                <w:sz w:val="20"/>
              </w:rPr>
              <w:t>$</w:t>
            </w:r>
            <w:r w:rsidR="003B2D31">
              <w:rPr>
                <w:bCs/>
                <w:sz w:val="20"/>
              </w:rPr>
              <w:t>22,394</w:t>
            </w:r>
          </w:p>
        </w:tc>
        <w:tc>
          <w:tcPr>
            <w:tcW w:w="0" w:type="auto"/>
            <w:vAlign w:val="bottom"/>
          </w:tcPr>
          <w:p w:rsidRPr="00E83B7F" w:rsidR="00903264" w:rsidP="00E83B7F" w:rsidRDefault="00C252A5" w14:paraId="7AC8005F" w14:textId="2B626B88">
            <w:pPr>
              <w:spacing w:before="0" w:line="240" w:lineRule="auto"/>
              <w:jc w:val="right"/>
              <w:rPr>
                <w:bCs/>
                <w:sz w:val="20"/>
              </w:rPr>
            </w:pPr>
            <w:r>
              <w:rPr>
                <w:bCs/>
                <w:sz w:val="20"/>
              </w:rPr>
              <w:t>$179 (rounded)</w:t>
            </w:r>
          </w:p>
        </w:tc>
      </w:tr>
      <w:tr w:rsidR="004D0908" w:rsidTr="004D0908" w14:paraId="7D6BA476" w14:textId="77777777">
        <w:trPr>
          <w:cantSplit/>
        </w:trPr>
        <w:tc>
          <w:tcPr>
            <w:tcW w:w="0" w:type="auto"/>
            <w:vAlign w:val="center"/>
          </w:tcPr>
          <w:p w:rsidR="00903264" w:rsidP="00903264" w:rsidRDefault="00903264" w14:paraId="07A84187" w14:textId="516F041E">
            <w:pPr>
              <w:spacing w:before="0" w:line="240" w:lineRule="auto"/>
              <w:jc w:val="center"/>
              <w:rPr>
                <w:b/>
                <w:bCs/>
                <w:sz w:val="20"/>
              </w:rPr>
            </w:pPr>
            <w:r w:rsidRPr="009A4EE6">
              <w:rPr>
                <w:b/>
                <w:bCs/>
                <w:sz w:val="20"/>
                <w:szCs w:val="20"/>
              </w:rPr>
              <w:t>Totals</w:t>
            </w:r>
          </w:p>
        </w:tc>
        <w:tc>
          <w:tcPr>
            <w:tcW w:w="0" w:type="auto"/>
            <w:vAlign w:val="bottom"/>
          </w:tcPr>
          <w:p w:rsidRPr="00E83B7F" w:rsidR="00903264" w:rsidP="00E83B7F" w:rsidRDefault="003B2D31" w14:paraId="5CE681ED" w14:textId="02ACAF27">
            <w:pPr>
              <w:spacing w:before="0" w:line="240" w:lineRule="auto"/>
              <w:jc w:val="right"/>
              <w:rPr>
                <w:bCs/>
                <w:sz w:val="20"/>
              </w:rPr>
            </w:pPr>
            <w:r>
              <w:rPr>
                <w:bCs/>
                <w:sz w:val="20"/>
              </w:rPr>
              <w:t>500</w:t>
            </w:r>
          </w:p>
        </w:tc>
        <w:tc>
          <w:tcPr>
            <w:tcW w:w="0" w:type="auto"/>
            <w:vAlign w:val="bottom"/>
          </w:tcPr>
          <w:p w:rsidRPr="00E83B7F" w:rsidR="00903264" w:rsidP="00E83B7F" w:rsidRDefault="00ED6EA0" w14:paraId="12134F8C" w14:textId="5032E09C">
            <w:pPr>
              <w:spacing w:before="0" w:line="240" w:lineRule="auto"/>
              <w:jc w:val="right"/>
              <w:rPr>
                <w:bCs/>
                <w:sz w:val="20"/>
              </w:rPr>
            </w:pPr>
            <w:r>
              <w:rPr>
                <w:bCs/>
                <w:sz w:val="20"/>
              </w:rPr>
              <w:t>20 hours</w:t>
            </w:r>
          </w:p>
        </w:tc>
        <w:tc>
          <w:tcPr>
            <w:tcW w:w="0" w:type="auto"/>
            <w:vAlign w:val="bottom"/>
          </w:tcPr>
          <w:p w:rsidRPr="00E83B7F" w:rsidR="00903264" w:rsidP="00E83B7F" w:rsidRDefault="00902131" w14:paraId="09DF574C" w14:textId="24D559EC">
            <w:pPr>
              <w:spacing w:before="0" w:line="240" w:lineRule="auto"/>
              <w:jc w:val="right"/>
              <w:rPr>
                <w:bCs/>
                <w:sz w:val="20"/>
              </w:rPr>
            </w:pPr>
            <w:r>
              <w:rPr>
                <w:bCs/>
                <w:sz w:val="20"/>
              </w:rPr>
              <w:t>4,375 hours</w:t>
            </w:r>
          </w:p>
        </w:tc>
        <w:tc>
          <w:tcPr>
            <w:tcW w:w="0" w:type="auto"/>
            <w:vAlign w:val="bottom"/>
          </w:tcPr>
          <w:p w:rsidRPr="00E83B7F" w:rsidR="00903264" w:rsidP="00E83B7F" w:rsidRDefault="00F56085" w14:paraId="5824C33E" w14:textId="4B6BD12B">
            <w:pPr>
              <w:spacing w:before="0" w:line="240" w:lineRule="auto"/>
              <w:jc w:val="right"/>
              <w:rPr>
                <w:bCs/>
                <w:sz w:val="20"/>
              </w:rPr>
            </w:pPr>
            <w:r>
              <w:rPr>
                <w:bCs/>
                <w:sz w:val="20"/>
              </w:rPr>
              <w:t>$1,253</w:t>
            </w:r>
          </w:p>
        </w:tc>
        <w:tc>
          <w:tcPr>
            <w:tcW w:w="0" w:type="auto"/>
            <w:vAlign w:val="bottom"/>
          </w:tcPr>
          <w:p w:rsidRPr="00E83B7F" w:rsidR="00903264" w:rsidP="00E83B7F" w:rsidRDefault="0039075D" w14:paraId="15630A0D" w14:textId="011CFB1A">
            <w:pPr>
              <w:spacing w:before="0" w:line="240" w:lineRule="auto"/>
              <w:jc w:val="right"/>
              <w:rPr>
                <w:bCs/>
                <w:sz w:val="20"/>
              </w:rPr>
            </w:pPr>
            <w:r>
              <w:rPr>
                <w:bCs/>
                <w:sz w:val="20"/>
              </w:rPr>
              <w:t>$156,758</w:t>
            </w:r>
          </w:p>
        </w:tc>
        <w:tc>
          <w:tcPr>
            <w:tcW w:w="0" w:type="auto"/>
            <w:vAlign w:val="bottom"/>
          </w:tcPr>
          <w:p w:rsidRPr="00E83B7F" w:rsidR="00903264" w:rsidP="00E83B7F" w:rsidRDefault="00AB29D5" w14:paraId="1385571D" w14:textId="57F70386">
            <w:pPr>
              <w:spacing w:before="0" w:line="240" w:lineRule="auto"/>
              <w:jc w:val="right"/>
              <w:rPr>
                <w:bCs/>
                <w:sz w:val="20"/>
              </w:rPr>
            </w:pPr>
            <w:r>
              <w:rPr>
                <w:bCs/>
                <w:sz w:val="20"/>
              </w:rPr>
              <w:t>$1,253</w:t>
            </w:r>
          </w:p>
        </w:tc>
      </w:tr>
    </w:tbl>
    <w:p w:rsidR="001536E4" w:rsidP="00FD2295" w:rsidRDefault="001536E4" w14:paraId="6591E0A3" w14:textId="489CF829">
      <w:pPr>
        <w:spacing w:before="0" w:line="240" w:lineRule="auto"/>
        <w:rPr>
          <w:b/>
          <w:sz w:val="26"/>
          <w:u w:val="single"/>
        </w:rPr>
      </w:pPr>
    </w:p>
    <w:p w:rsidR="000C2EFA" w:rsidP="00FD2295" w:rsidRDefault="00A52313" w14:paraId="48E905E0" w14:textId="46B7DAEC">
      <w:pPr>
        <w:spacing w:before="0" w:line="240" w:lineRule="auto"/>
        <w:rPr>
          <w:bCs/>
          <w:sz w:val="26"/>
          <w:u w:val="single"/>
        </w:rPr>
      </w:pPr>
      <w:r>
        <w:rPr>
          <w:bCs/>
          <w:sz w:val="26"/>
          <w:u w:val="single"/>
        </w:rPr>
        <w:t xml:space="preserve">Proposed Burden Estimates for FERC-516F:  Reporting Requirements </w:t>
      </w:r>
      <w:r w:rsidR="00C85F50">
        <w:rPr>
          <w:bCs/>
          <w:sz w:val="26"/>
          <w:u w:val="single"/>
        </w:rPr>
        <w:t xml:space="preserve">and Records Management Requirements </w:t>
      </w:r>
      <w:r>
        <w:rPr>
          <w:bCs/>
          <w:sz w:val="26"/>
          <w:u w:val="single"/>
        </w:rPr>
        <w:t>in Year 1</w:t>
      </w:r>
    </w:p>
    <w:p w:rsidR="008659E4" w:rsidP="00FD2295" w:rsidRDefault="008659E4" w14:paraId="39932F2B" w14:textId="59AECDDD">
      <w:pPr>
        <w:spacing w:before="0" w:line="240" w:lineRule="auto"/>
        <w:rPr>
          <w:bCs/>
          <w:sz w:val="26"/>
          <w:u w:val="single"/>
        </w:rPr>
      </w:pPr>
    </w:p>
    <w:p w:rsidR="00CD53D3" w:rsidP="00FD2295" w:rsidRDefault="008659E4" w14:paraId="157C19A2" w14:textId="46CD8E70">
      <w:pPr>
        <w:spacing w:before="0" w:line="240" w:lineRule="auto"/>
        <w:rPr>
          <w:bCs/>
          <w:sz w:val="26"/>
        </w:rPr>
      </w:pPr>
      <w:r w:rsidRPr="005E4546">
        <w:rPr>
          <w:bCs/>
          <w:sz w:val="26"/>
        </w:rPr>
        <w:t xml:space="preserve">The </w:t>
      </w:r>
      <w:r w:rsidRPr="005E4546" w:rsidR="005E4546">
        <w:rPr>
          <w:bCs/>
          <w:sz w:val="26"/>
        </w:rPr>
        <w:t xml:space="preserve">proposed </w:t>
      </w:r>
      <w:r w:rsidRPr="005E4546">
        <w:rPr>
          <w:bCs/>
          <w:sz w:val="26"/>
        </w:rPr>
        <w:t>estimated burden estimate</w:t>
      </w:r>
      <w:r w:rsidRPr="005E4546" w:rsidR="005E4546">
        <w:rPr>
          <w:bCs/>
          <w:sz w:val="26"/>
        </w:rPr>
        <w:t>s</w:t>
      </w:r>
      <w:r w:rsidRPr="005E4546">
        <w:rPr>
          <w:bCs/>
          <w:sz w:val="26"/>
        </w:rPr>
        <w:t xml:space="preserve"> for FERC-516F </w:t>
      </w:r>
      <w:r w:rsidRPr="005E4546" w:rsidR="005E4546">
        <w:rPr>
          <w:bCs/>
          <w:sz w:val="26"/>
        </w:rPr>
        <w:t xml:space="preserve">would be </w:t>
      </w:r>
      <w:r w:rsidRPr="005E4546">
        <w:rPr>
          <w:bCs/>
          <w:sz w:val="26"/>
        </w:rPr>
        <w:t>for Year 1 only.  There are no</w:t>
      </w:r>
      <w:r w:rsidRPr="005E4546" w:rsidR="005E4546">
        <w:rPr>
          <w:bCs/>
          <w:sz w:val="26"/>
        </w:rPr>
        <w:t xml:space="preserve"> proposed burden estimates for Subsequent Years.</w:t>
      </w:r>
    </w:p>
    <w:p w:rsidR="008659E4" w:rsidP="00A47BFA" w:rsidRDefault="008659E4" w14:paraId="5C15CBBF" w14:textId="75E12645">
      <w:pPr>
        <w:spacing w:line="240" w:lineRule="auto"/>
        <w:rPr>
          <w:bCs/>
          <w:sz w:val="26"/>
        </w:rPr>
      </w:pPr>
      <w:r w:rsidRPr="001B22FA">
        <w:rPr>
          <w:bCs/>
          <w:sz w:val="26"/>
        </w:rPr>
        <w:t>The Commission estimates that the NOPR would affect the burde</w:t>
      </w:r>
      <w:r w:rsidR="00770A96">
        <w:rPr>
          <w:bCs/>
          <w:sz w:val="26"/>
        </w:rPr>
        <w:t>n</w:t>
      </w:r>
      <w:r w:rsidRPr="001B22FA">
        <w:rPr>
          <w:bCs/>
          <w:sz w:val="26"/>
        </w:rPr>
        <w:t xml:space="preserve"> </w:t>
      </w:r>
      <w:r>
        <w:rPr>
          <w:bCs/>
          <w:sz w:val="26"/>
        </w:rPr>
        <w:t>and cost of FERC-516</w:t>
      </w:r>
      <w:r w:rsidR="00A47BFA">
        <w:rPr>
          <w:bCs/>
          <w:sz w:val="26"/>
        </w:rPr>
        <w:t>F</w:t>
      </w:r>
      <w:r>
        <w:rPr>
          <w:bCs/>
          <w:sz w:val="26"/>
        </w:rPr>
        <w:t xml:space="preserve"> reporting requirements in Year 1 as shown in Table 12</w:t>
      </w:r>
      <w:r w:rsidR="00A47BFA">
        <w:rPr>
          <w:bCs/>
          <w:sz w:val="26"/>
        </w:rPr>
        <w:t>-5</w:t>
      </w:r>
      <w:r>
        <w:rPr>
          <w:bCs/>
          <w:sz w:val="26"/>
        </w:rPr>
        <w:t xml:space="preserve">, and </w:t>
      </w:r>
      <w:r w:rsidR="007A6032">
        <w:rPr>
          <w:bCs/>
          <w:sz w:val="26"/>
        </w:rPr>
        <w:t>the estimated burden and costs of FERC-516 records management requirements in Year 1 in Table 12-6, below</w:t>
      </w:r>
      <w:r w:rsidR="00ED3AAF">
        <w:rPr>
          <w:bCs/>
          <w:sz w:val="26"/>
        </w:rPr>
        <w:t>:</w:t>
      </w:r>
    </w:p>
    <w:p w:rsidR="007A6032" w:rsidP="00A47BFA" w:rsidRDefault="007A6032" w14:paraId="7848CDA3" w14:textId="77777777">
      <w:pPr>
        <w:spacing w:line="240" w:lineRule="auto"/>
        <w:rPr>
          <w:bCs/>
          <w:sz w:val="26"/>
        </w:rPr>
      </w:pPr>
    </w:p>
    <w:p w:rsidR="008659E4" w:rsidP="008659E4" w:rsidRDefault="008659E4" w14:paraId="4B364CAE" w14:textId="49F52CC6">
      <w:pPr>
        <w:spacing w:before="0" w:line="240" w:lineRule="auto"/>
        <w:jc w:val="center"/>
        <w:rPr>
          <w:b/>
          <w:sz w:val="26"/>
        </w:rPr>
      </w:pPr>
      <w:r>
        <w:rPr>
          <w:b/>
          <w:sz w:val="26"/>
        </w:rPr>
        <w:t>Table 12-</w:t>
      </w:r>
      <w:r w:rsidR="00401AB3">
        <w:rPr>
          <w:b/>
          <w:sz w:val="26"/>
        </w:rPr>
        <w:t>5</w:t>
      </w:r>
    </w:p>
    <w:p w:rsidR="008659E4" w:rsidP="008659E4" w:rsidRDefault="008659E4" w14:paraId="7D28976F" w14:textId="77777777">
      <w:pPr>
        <w:spacing w:before="0" w:line="240" w:lineRule="auto"/>
        <w:jc w:val="center"/>
        <w:rPr>
          <w:b/>
          <w:sz w:val="26"/>
        </w:rPr>
      </w:pPr>
      <w:r>
        <w:rPr>
          <w:b/>
          <w:sz w:val="26"/>
        </w:rPr>
        <w:t>Proposed Revisions of FERC-917 in the NOPR at Docket No. RM21-17:</w:t>
      </w:r>
    </w:p>
    <w:p w:rsidR="008659E4" w:rsidP="008659E4" w:rsidRDefault="008659E4" w14:paraId="19467091" w14:textId="77777777">
      <w:pPr>
        <w:spacing w:before="0" w:line="240" w:lineRule="auto"/>
        <w:jc w:val="center"/>
        <w:rPr>
          <w:b/>
          <w:sz w:val="26"/>
        </w:rPr>
      </w:pPr>
      <w:r>
        <w:rPr>
          <w:b/>
          <w:sz w:val="26"/>
        </w:rPr>
        <w:t>Burden Hours and Costs</w:t>
      </w:r>
    </w:p>
    <w:p w:rsidRPr="001F4CC2" w:rsidR="008659E4" w:rsidP="008659E4" w:rsidRDefault="008659E4" w14:paraId="3E592C3D" w14:textId="77777777">
      <w:pPr>
        <w:spacing w:before="0" w:line="240" w:lineRule="auto"/>
        <w:jc w:val="center"/>
        <w:rPr>
          <w:b/>
          <w:sz w:val="26"/>
          <w:u w:val="single"/>
        </w:rPr>
      </w:pPr>
      <w:r>
        <w:rPr>
          <w:b/>
          <w:sz w:val="26"/>
          <w:u w:val="single"/>
        </w:rPr>
        <w:t>Year 1 Reporting Requirements</w:t>
      </w:r>
    </w:p>
    <w:p w:rsidRPr="00724481" w:rsidR="008659E4" w:rsidP="008659E4" w:rsidRDefault="008659E4" w14:paraId="7E02F786" w14:textId="77777777">
      <w:pPr>
        <w:spacing w:before="0" w:line="240" w:lineRule="auto"/>
        <w:jc w:val="center"/>
        <w:rPr>
          <w:b/>
          <w:sz w:val="26"/>
        </w:rPr>
      </w:pPr>
    </w:p>
    <w:tbl>
      <w:tblPr>
        <w:tblStyle w:val="TableGrid"/>
        <w:tblW w:w="0" w:type="auto"/>
        <w:tblLook w:val="04A0" w:firstRow="1" w:lastRow="0" w:firstColumn="1" w:lastColumn="0" w:noHBand="0" w:noVBand="1"/>
      </w:tblPr>
      <w:tblGrid>
        <w:gridCol w:w="1571"/>
        <w:gridCol w:w="1240"/>
        <w:gridCol w:w="1343"/>
        <w:gridCol w:w="1343"/>
        <w:gridCol w:w="1343"/>
        <w:gridCol w:w="1343"/>
        <w:gridCol w:w="1167"/>
      </w:tblGrid>
      <w:tr w:rsidRPr="000C282F" w:rsidR="00D75ABD" w:rsidTr="00332714" w14:paraId="5DA7739B"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8659E4" w:rsidP="006C52FF" w:rsidRDefault="008659E4" w14:paraId="52DEC7F0" w14:textId="77777777">
            <w:pPr>
              <w:spacing w:before="0" w:line="240" w:lineRule="auto"/>
              <w:jc w:val="center"/>
              <w:rPr>
                <w:b/>
                <w:bCs/>
                <w:sz w:val="20"/>
              </w:rPr>
            </w:pPr>
            <w:r w:rsidRPr="001F6D8F">
              <w:rPr>
                <w:b/>
                <w:bCs/>
                <w:sz w:val="20"/>
              </w:rPr>
              <w:t>A.</w:t>
            </w:r>
          </w:p>
          <w:p w:rsidRPr="001F6D8F" w:rsidR="008659E4" w:rsidP="006C52FF" w:rsidRDefault="008659E4" w14:paraId="47A9308F" w14:textId="77777777">
            <w:pPr>
              <w:spacing w:before="0" w:line="240" w:lineRule="auto"/>
              <w:jc w:val="center"/>
              <w:rPr>
                <w:b/>
                <w:bCs/>
                <w:sz w:val="20"/>
              </w:rPr>
            </w:pPr>
            <w:r w:rsidRPr="001F6D8F">
              <w:rPr>
                <w:b/>
                <w:bCs/>
                <w:sz w:val="20"/>
              </w:rPr>
              <w:t>Area of Modification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8659E4" w:rsidP="006C52FF" w:rsidRDefault="008659E4" w14:paraId="40B8A6C8" w14:textId="77777777">
            <w:pPr>
              <w:spacing w:before="0" w:line="240" w:lineRule="auto"/>
              <w:jc w:val="center"/>
              <w:rPr>
                <w:b/>
                <w:bCs/>
                <w:sz w:val="20"/>
              </w:rPr>
            </w:pPr>
            <w:r w:rsidRPr="001F6D8F">
              <w:rPr>
                <w:b/>
                <w:bCs/>
                <w:sz w:val="20"/>
              </w:rPr>
              <w:t>B.</w:t>
            </w:r>
          </w:p>
          <w:p w:rsidRPr="001F6D8F" w:rsidR="008659E4" w:rsidP="006C52FF" w:rsidRDefault="008659E4" w14:paraId="06E30F6A" w14:textId="77777777">
            <w:pPr>
              <w:spacing w:before="0" w:line="240" w:lineRule="auto"/>
              <w:jc w:val="center"/>
              <w:rPr>
                <w:b/>
                <w:bCs/>
                <w:sz w:val="20"/>
              </w:rPr>
            </w:pPr>
            <w:r w:rsidRPr="001F6D8F">
              <w:rPr>
                <w:b/>
                <w:bCs/>
                <w:sz w:val="20"/>
              </w:rPr>
              <w:t>Annual Number of Respondents</w:t>
            </w:r>
            <w:r>
              <w:rPr>
                <w:b/>
                <w:bCs/>
                <w:sz w:val="20"/>
              </w:rPr>
              <w:t xml:space="preserve"> and Responses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8659E4" w:rsidP="006C52FF" w:rsidRDefault="008659E4" w14:paraId="4FD3174B" w14:textId="77777777">
            <w:pPr>
              <w:spacing w:before="0" w:line="240" w:lineRule="auto"/>
              <w:jc w:val="center"/>
              <w:rPr>
                <w:b/>
                <w:bCs/>
                <w:sz w:val="20"/>
              </w:rPr>
            </w:pPr>
            <w:r>
              <w:rPr>
                <w:b/>
                <w:bCs/>
                <w:sz w:val="20"/>
              </w:rPr>
              <w:t>C</w:t>
            </w:r>
            <w:r w:rsidRPr="001F6D8F">
              <w:rPr>
                <w:b/>
                <w:bCs/>
                <w:sz w:val="20"/>
              </w:rPr>
              <w:t>.</w:t>
            </w:r>
          </w:p>
          <w:p w:rsidRPr="001F6D8F" w:rsidR="008659E4" w:rsidP="006C52FF" w:rsidRDefault="008659E4" w14:paraId="70318484" w14:textId="77777777">
            <w:pPr>
              <w:spacing w:before="0" w:line="240" w:lineRule="auto"/>
              <w:jc w:val="center"/>
              <w:rPr>
                <w:b/>
                <w:bCs/>
                <w:sz w:val="20"/>
              </w:rPr>
            </w:pPr>
            <w:r>
              <w:rPr>
                <w:b/>
                <w:bCs/>
                <w:sz w:val="20"/>
              </w:rPr>
              <w:t xml:space="preserve">Annual </w:t>
            </w:r>
            <w:r w:rsidRPr="001F6D8F">
              <w:rPr>
                <w:b/>
                <w:bCs/>
                <w:sz w:val="20"/>
              </w:rPr>
              <w:t>Average Burden Hours</w:t>
            </w:r>
            <w:r>
              <w:rPr>
                <w:b/>
                <w:bCs/>
                <w:sz w:val="20"/>
              </w:rPr>
              <w:t xml:space="preserve"> per Response for Reporting Requirements</w:t>
            </w:r>
          </w:p>
        </w:tc>
        <w:tc>
          <w:tcPr>
            <w:tcW w:w="0" w:type="auto"/>
            <w:tcBorders>
              <w:top w:val="single" w:color="auto" w:sz="4" w:space="0"/>
              <w:left w:val="single" w:color="auto" w:sz="4" w:space="0"/>
              <w:bottom w:val="single" w:color="auto" w:sz="4" w:space="0"/>
              <w:right w:val="single" w:color="auto" w:sz="4" w:space="0"/>
            </w:tcBorders>
            <w:vAlign w:val="bottom"/>
          </w:tcPr>
          <w:p w:rsidR="008659E4" w:rsidP="006C52FF" w:rsidRDefault="008659E4" w14:paraId="36B5A7DA" w14:textId="77777777">
            <w:pPr>
              <w:spacing w:before="0" w:line="240" w:lineRule="auto"/>
              <w:jc w:val="center"/>
              <w:rPr>
                <w:b/>
                <w:bCs/>
                <w:sz w:val="20"/>
              </w:rPr>
            </w:pPr>
            <w:r>
              <w:rPr>
                <w:b/>
                <w:bCs/>
                <w:sz w:val="20"/>
              </w:rPr>
              <w:t>D.</w:t>
            </w:r>
          </w:p>
          <w:p w:rsidRPr="001F6D8F" w:rsidR="008659E4" w:rsidP="006C52FF" w:rsidRDefault="008659E4" w14:paraId="71F51F3F" w14:textId="77777777">
            <w:pPr>
              <w:spacing w:before="0" w:line="240" w:lineRule="auto"/>
              <w:jc w:val="center"/>
              <w:rPr>
                <w:b/>
                <w:bCs/>
                <w:sz w:val="20"/>
              </w:rPr>
            </w:pPr>
            <w:r>
              <w:rPr>
                <w:b/>
                <w:bCs/>
                <w:sz w:val="20"/>
              </w:rPr>
              <w:t xml:space="preserve">Annual </w:t>
            </w:r>
            <w:r w:rsidRPr="001F6D8F">
              <w:rPr>
                <w:b/>
                <w:bCs/>
                <w:sz w:val="20"/>
              </w:rPr>
              <w:t>Total Estimated Burden Hours</w:t>
            </w:r>
            <w:r>
              <w:rPr>
                <w:b/>
                <w:bCs/>
                <w:sz w:val="20"/>
              </w:rPr>
              <w:t xml:space="preserve"> for Reporting Requirements</w:t>
            </w:r>
          </w:p>
          <w:p w:rsidRPr="001F6D8F" w:rsidR="008659E4" w:rsidP="006C52FF" w:rsidRDefault="008659E4" w14:paraId="63BCB7E9" w14:textId="77777777">
            <w:pPr>
              <w:spacing w:before="0" w:line="240" w:lineRule="auto"/>
              <w:jc w:val="center"/>
              <w:rPr>
                <w:b/>
                <w:bCs/>
                <w:sz w:val="20"/>
              </w:rPr>
            </w:pPr>
            <w:r w:rsidRPr="001F6D8F">
              <w:rPr>
                <w:b/>
                <w:bCs/>
                <w:sz w:val="20"/>
              </w:rPr>
              <w:t xml:space="preserve">(Column </w:t>
            </w:r>
            <w:r>
              <w:rPr>
                <w:b/>
                <w:bCs/>
                <w:sz w:val="20"/>
              </w:rPr>
              <w:t xml:space="preserve">B </w:t>
            </w:r>
            <w:r w:rsidRPr="001F6D8F">
              <w:rPr>
                <w:b/>
                <w:bCs/>
                <w:sz w:val="20"/>
              </w:rPr>
              <w:t xml:space="preserve"> x</w:t>
            </w:r>
          </w:p>
          <w:p w:rsidRPr="001F6D8F" w:rsidR="008659E4" w:rsidP="006C52FF" w:rsidRDefault="008659E4" w14:paraId="59E84195" w14:textId="77777777">
            <w:pPr>
              <w:spacing w:before="0" w:line="240" w:lineRule="auto"/>
              <w:jc w:val="center"/>
              <w:rPr>
                <w:b/>
                <w:bCs/>
                <w:sz w:val="20"/>
              </w:rPr>
            </w:pPr>
            <w:r w:rsidRPr="001F6D8F">
              <w:rPr>
                <w:b/>
                <w:bCs/>
                <w:sz w:val="20"/>
              </w:rPr>
              <w:t xml:space="preserve">Column </w:t>
            </w:r>
            <w:r>
              <w:rPr>
                <w:b/>
                <w:bCs/>
                <w:sz w:val="20"/>
              </w:rPr>
              <w:t>C</w:t>
            </w:r>
            <w:r w:rsidRPr="001F6D8F">
              <w:rPr>
                <w:b/>
                <w:bCs/>
                <w:sz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783D36" w:rsidR="008659E4" w:rsidP="006C52FF" w:rsidRDefault="008659E4" w14:paraId="3E28C619" w14:textId="77777777">
            <w:pPr>
              <w:spacing w:before="0" w:line="240" w:lineRule="auto"/>
              <w:jc w:val="center"/>
              <w:rPr>
                <w:b/>
                <w:bCs/>
                <w:sz w:val="20"/>
              </w:rPr>
            </w:pPr>
            <w:r>
              <w:rPr>
                <w:b/>
                <w:bCs/>
                <w:sz w:val="20"/>
              </w:rPr>
              <w:t>E.</w:t>
            </w:r>
          </w:p>
          <w:p w:rsidRPr="00783D36" w:rsidR="008659E4" w:rsidP="006C52FF" w:rsidRDefault="008659E4" w14:paraId="3D44862C" w14:textId="77777777">
            <w:pPr>
              <w:spacing w:before="0" w:line="240" w:lineRule="auto"/>
              <w:jc w:val="center"/>
              <w:rPr>
                <w:b/>
                <w:bCs/>
                <w:sz w:val="20"/>
              </w:rPr>
            </w:pPr>
            <w:r>
              <w:rPr>
                <w:b/>
                <w:bCs/>
                <w:sz w:val="20"/>
              </w:rPr>
              <w:t xml:space="preserve">Annual </w:t>
            </w:r>
            <w:r w:rsidRPr="00783D36">
              <w:rPr>
                <w:b/>
                <w:bCs/>
                <w:sz w:val="20"/>
              </w:rPr>
              <w:t>Cost per Response for Reporting</w:t>
            </w:r>
            <w:r>
              <w:rPr>
                <w:b/>
                <w:bCs/>
                <w:sz w:val="20"/>
              </w:rPr>
              <w:t xml:space="preserve"> Requirements</w:t>
            </w:r>
          </w:p>
          <w:p w:rsidR="008659E4" w:rsidP="006C52FF" w:rsidRDefault="008659E4" w14:paraId="08DC1EB4" w14:textId="77777777">
            <w:pPr>
              <w:spacing w:before="0" w:line="240" w:lineRule="auto"/>
              <w:jc w:val="center"/>
              <w:rPr>
                <w:b/>
                <w:sz w:val="20"/>
              </w:rPr>
            </w:pPr>
            <w:r w:rsidRPr="00783D36">
              <w:rPr>
                <w:b/>
                <w:sz w:val="20"/>
              </w:rPr>
              <w:t>(</w:t>
            </w:r>
            <w:r>
              <w:rPr>
                <w:b/>
                <w:sz w:val="20"/>
              </w:rPr>
              <w:t>Column C x</w:t>
            </w:r>
          </w:p>
          <w:p w:rsidRPr="001F6D8F" w:rsidR="008659E4" w:rsidP="006C52FF" w:rsidRDefault="008659E4" w14:paraId="7F929543" w14:textId="77777777">
            <w:pPr>
              <w:spacing w:before="0" w:line="240" w:lineRule="auto"/>
              <w:jc w:val="center"/>
              <w:rPr>
                <w:b/>
                <w:bCs/>
                <w:sz w:val="20"/>
              </w:rPr>
            </w:pPr>
            <w:r w:rsidRPr="00783D36">
              <w:rPr>
                <w:b/>
                <w:sz w:val="20"/>
              </w:rPr>
              <w:t>$85 per hour)</w:t>
            </w:r>
          </w:p>
        </w:tc>
        <w:tc>
          <w:tcPr>
            <w:tcW w:w="0" w:type="auto"/>
            <w:tcBorders>
              <w:top w:val="single" w:color="auto" w:sz="4" w:space="0"/>
              <w:left w:val="single" w:color="auto" w:sz="4" w:space="0"/>
              <w:bottom w:val="single" w:color="auto" w:sz="4" w:space="0"/>
              <w:right w:val="single" w:color="auto" w:sz="4" w:space="0"/>
            </w:tcBorders>
            <w:vAlign w:val="bottom"/>
          </w:tcPr>
          <w:p w:rsidR="008659E4" w:rsidP="006C52FF" w:rsidRDefault="008659E4" w14:paraId="35751C2F" w14:textId="77777777">
            <w:pPr>
              <w:spacing w:before="0" w:line="240" w:lineRule="auto"/>
              <w:jc w:val="center"/>
              <w:rPr>
                <w:b/>
                <w:bCs/>
                <w:sz w:val="20"/>
              </w:rPr>
            </w:pPr>
            <w:r>
              <w:rPr>
                <w:b/>
                <w:bCs/>
                <w:sz w:val="20"/>
              </w:rPr>
              <w:t>F.</w:t>
            </w:r>
          </w:p>
          <w:p w:rsidR="008659E4" w:rsidP="006C52FF" w:rsidRDefault="008659E4" w14:paraId="68C6FFD4" w14:textId="77777777">
            <w:pPr>
              <w:spacing w:before="0" w:line="240" w:lineRule="auto"/>
              <w:jc w:val="center"/>
              <w:rPr>
                <w:b/>
                <w:sz w:val="20"/>
              </w:rPr>
            </w:pPr>
            <w:r>
              <w:rPr>
                <w:b/>
                <w:sz w:val="20"/>
              </w:rPr>
              <w:t xml:space="preserve">Annual </w:t>
            </w:r>
            <w:r w:rsidRPr="00783D36">
              <w:rPr>
                <w:b/>
                <w:sz w:val="20"/>
              </w:rPr>
              <w:t>Total Estimated Cost for Reporting</w:t>
            </w:r>
            <w:r>
              <w:rPr>
                <w:b/>
                <w:sz w:val="20"/>
              </w:rPr>
              <w:t xml:space="preserve"> Requirements</w:t>
            </w:r>
          </w:p>
          <w:p w:rsidRPr="001F6D8F" w:rsidR="008659E4" w:rsidP="006C52FF" w:rsidRDefault="008659E4" w14:paraId="3551502B" w14:textId="77777777">
            <w:pPr>
              <w:spacing w:before="0" w:line="240" w:lineRule="auto"/>
              <w:jc w:val="center"/>
              <w:rPr>
                <w:b/>
                <w:bCs/>
                <w:sz w:val="20"/>
              </w:rPr>
            </w:pPr>
            <w:r>
              <w:rPr>
                <w:b/>
                <w:bCs/>
                <w:sz w:val="20"/>
              </w:rPr>
              <w:t>(Column D x $85 per hour)</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8659E4" w:rsidP="006C52FF" w:rsidRDefault="008659E4" w14:paraId="0B7D4788" w14:textId="77777777">
            <w:pPr>
              <w:spacing w:before="0" w:line="240" w:lineRule="auto"/>
              <w:jc w:val="center"/>
              <w:rPr>
                <w:b/>
                <w:bCs/>
                <w:sz w:val="20"/>
              </w:rPr>
            </w:pPr>
            <w:r>
              <w:rPr>
                <w:b/>
                <w:bCs/>
                <w:sz w:val="20"/>
              </w:rPr>
              <w:t>G</w:t>
            </w:r>
            <w:r w:rsidRPr="001F6D8F">
              <w:rPr>
                <w:b/>
                <w:bCs/>
                <w:sz w:val="20"/>
              </w:rPr>
              <w:t>.</w:t>
            </w:r>
          </w:p>
          <w:p w:rsidRPr="001F6D8F" w:rsidR="008659E4" w:rsidP="006C52FF" w:rsidRDefault="008659E4" w14:paraId="602DF1F0" w14:textId="77777777">
            <w:pPr>
              <w:spacing w:before="0" w:line="240" w:lineRule="auto"/>
              <w:jc w:val="center"/>
              <w:rPr>
                <w:b/>
                <w:bCs/>
                <w:sz w:val="20"/>
              </w:rPr>
            </w:pPr>
            <w:r>
              <w:rPr>
                <w:b/>
                <w:bCs/>
                <w:sz w:val="20"/>
              </w:rPr>
              <w:t>Annual Cost per Respondent</w:t>
            </w:r>
          </w:p>
        </w:tc>
      </w:tr>
      <w:tr w:rsidRPr="000C282F" w:rsidR="00332714" w:rsidTr="00A26434" w14:paraId="57B1DF31"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tcPr>
          <w:p w:rsidRPr="008B3414" w:rsidR="00332714" w:rsidP="00332714" w:rsidRDefault="00332714" w14:paraId="31580DDB" w14:textId="626A8C78">
            <w:pPr>
              <w:spacing w:before="0" w:line="240" w:lineRule="auto"/>
              <w:jc w:val="center"/>
              <w:rPr>
                <w:sz w:val="20"/>
              </w:rPr>
            </w:pPr>
            <w:r>
              <w:rPr>
                <w:sz w:val="22"/>
              </w:rPr>
              <w:t xml:space="preserve">Revise LGIP to indicate the consideration in the </w:t>
            </w:r>
            <w:r w:rsidRPr="00093192">
              <w:rPr>
                <w:sz w:val="22"/>
                <w:szCs w:val="22"/>
              </w:rPr>
              <w:t>regional transmission planning processes</w:t>
            </w:r>
            <w:r>
              <w:rPr>
                <w:sz w:val="22"/>
              </w:rPr>
              <w:t xml:space="preserve"> of </w:t>
            </w:r>
            <w:r w:rsidRPr="00093192">
              <w:rPr>
                <w:sz w:val="22"/>
                <w:szCs w:val="22"/>
              </w:rPr>
              <w:t>regional transmission facilities that address certain interconnection-related needs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E978CC" w:rsidR="00332714" w:rsidP="00332714" w:rsidRDefault="00332714" w14:paraId="1A18593C" w14:textId="59A6BBDC">
            <w:pPr>
              <w:spacing w:before="0" w:line="240" w:lineRule="auto"/>
              <w:jc w:val="right"/>
              <w:rPr>
                <w:sz w:val="20"/>
              </w:rPr>
            </w:pPr>
            <w:r w:rsidRPr="00E978CC">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E978CC" w:rsidR="00332714" w:rsidP="00332714" w:rsidRDefault="00332714" w14:paraId="332421FF" w14:textId="5D24093C">
            <w:pPr>
              <w:spacing w:before="0" w:line="240" w:lineRule="auto"/>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vAlign w:val="bottom"/>
          </w:tcPr>
          <w:p w:rsidRPr="00E978CC" w:rsidR="00332714" w:rsidP="00332714" w:rsidRDefault="00332714" w14:paraId="0C390D41" w14:textId="5864EAE7">
            <w:pPr>
              <w:spacing w:before="0" w:line="240" w:lineRule="auto"/>
              <w:jc w:val="right"/>
              <w:rPr>
                <w:sz w:val="20"/>
              </w:rPr>
            </w:pPr>
            <w:r>
              <w:rPr>
                <w:sz w:val="20"/>
              </w:rPr>
              <w:t>2,500 hours</w:t>
            </w:r>
          </w:p>
        </w:tc>
        <w:tc>
          <w:tcPr>
            <w:tcW w:w="0" w:type="auto"/>
            <w:tcBorders>
              <w:top w:val="single" w:color="auto" w:sz="4" w:space="0"/>
              <w:left w:val="single" w:color="auto" w:sz="4" w:space="0"/>
              <w:bottom w:val="single" w:color="auto" w:sz="4" w:space="0"/>
              <w:right w:val="single" w:color="auto" w:sz="4" w:space="0"/>
            </w:tcBorders>
            <w:vAlign w:val="bottom"/>
          </w:tcPr>
          <w:p w:rsidRPr="00E978CC" w:rsidR="00332714" w:rsidP="00332714" w:rsidRDefault="00332714" w14:paraId="03BE3362" w14:textId="5B66A174">
            <w:pPr>
              <w:spacing w:before="0" w:line="240" w:lineRule="auto"/>
              <w:jc w:val="right"/>
              <w:rPr>
                <w:sz w:val="20"/>
              </w:rPr>
            </w:pPr>
            <w:r>
              <w:rPr>
                <w:sz w:val="20"/>
              </w:rPr>
              <w:t>$1,700</w:t>
            </w:r>
          </w:p>
        </w:tc>
        <w:tc>
          <w:tcPr>
            <w:tcW w:w="0" w:type="auto"/>
            <w:tcBorders>
              <w:top w:val="single" w:color="auto" w:sz="4" w:space="0"/>
              <w:left w:val="single" w:color="auto" w:sz="4" w:space="0"/>
              <w:bottom w:val="single" w:color="auto" w:sz="4" w:space="0"/>
              <w:right w:val="single" w:color="auto" w:sz="4" w:space="0"/>
            </w:tcBorders>
            <w:vAlign w:val="bottom"/>
          </w:tcPr>
          <w:p w:rsidRPr="00E978CC" w:rsidR="00332714" w:rsidP="00332714" w:rsidRDefault="00332714" w14:paraId="32C5F5FE" w14:textId="59EC132F">
            <w:pPr>
              <w:spacing w:before="0" w:line="240" w:lineRule="auto"/>
              <w:jc w:val="right"/>
              <w:rPr>
                <w:sz w:val="20"/>
              </w:rPr>
            </w:pPr>
            <w:r>
              <w:rPr>
                <w:sz w:val="20"/>
              </w:rPr>
              <w:t>$212,500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693DD6" w:rsidR="00332714" w:rsidP="00332714" w:rsidRDefault="00332714" w14:paraId="6F7ADE5F" w14:textId="29C8C592">
            <w:pPr>
              <w:spacing w:before="0" w:line="240" w:lineRule="auto"/>
              <w:jc w:val="right"/>
              <w:rPr>
                <w:sz w:val="20"/>
              </w:rPr>
            </w:pPr>
            <w:r w:rsidRPr="00693DD6">
              <w:rPr>
                <w:sz w:val="20"/>
              </w:rPr>
              <w:t>$1,700</w:t>
            </w:r>
          </w:p>
        </w:tc>
      </w:tr>
    </w:tbl>
    <w:p w:rsidR="008659E4" w:rsidP="00FD2295" w:rsidRDefault="008659E4" w14:paraId="1D28B32C" w14:textId="77777777">
      <w:pPr>
        <w:spacing w:before="0" w:line="240" w:lineRule="auto"/>
        <w:rPr>
          <w:bCs/>
          <w:sz w:val="26"/>
        </w:rPr>
      </w:pPr>
    </w:p>
    <w:p w:rsidR="00401AB3" w:rsidP="00401AB3" w:rsidRDefault="00401AB3" w14:paraId="00F5CEA1" w14:textId="339A30D6">
      <w:pPr>
        <w:spacing w:before="0" w:line="240" w:lineRule="auto"/>
        <w:jc w:val="center"/>
        <w:rPr>
          <w:b/>
          <w:sz w:val="26"/>
        </w:rPr>
      </w:pPr>
      <w:r>
        <w:rPr>
          <w:b/>
          <w:sz w:val="26"/>
        </w:rPr>
        <w:t>Table 12-6</w:t>
      </w:r>
    </w:p>
    <w:p w:rsidR="00401AB3" w:rsidP="00401AB3" w:rsidRDefault="00401AB3" w14:paraId="7104AA69" w14:textId="7E635509">
      <w:pPr>
        <w:spacing w:before="0" w:line="240" w:lineRule="auto"/>
        <w:jc w:val="center"/>
        <w:rPr>
          <w:b/>
          <w:sz w:val="26"/>
        </w:rPr>
      </w:pPr>
      <w:r>
        <w:rPr>
          <w:b/>
          <w:sz w:val="26"/>
        </w:rPr>
        <w:t>Proposed Revisions of FERC-516</w:t>
      </w:r>
      <w:r w:rsidR="008D1A86">
        <w:rPr>
          <w:b/>
          <w:sz w:val="26"/>
        </w:rPr>
        <w:t>F</w:t>
      </w:r>
      <w:r>
        <w:rPr>
          <w:b/>
          <w:sz w:val="26"/>
        </w:rPr>
        <w:t xml:space="preserve"> in the NOPR at Docket No. RM21-17:</w:t>
      </w:r>
    </w:p>
    <w:p w:rsidR="00401AB3" w:rsidP="00401AB3" w:rsidRDefault="00401AB3" w14:paraId="5B0A79A0" w14:textId="77777777">
      <w:pPr>
        <w:spacing w:before="0" w:line="240" w:lineRule="auto"/>
        <w:jc w:val="center"/>
        <w:rPr>
          <w:b/>
          <w:sz w:val="26"/>
        </w:rPr>
      </w:pPr>
      <w:r>
        <w:rPr>
          <w:b/>
          <w:sz w:val="26"/>
        </w:rPr>
        <w:t>Burden Hours and Costs</w:t>
      </w:r>
    </w:p>
    <w:p w:rsidRPr="001F4CC2" w:rsidR="00401AB3" w:rsidP="00401AB3" w:rsidRDefault="00401AB3" w14:paraId="3BE8E1B1" w14:textId="77777777">
      <w:pPr>
        <w:spacing w:before="0" w:line="240" w:lineRule="auto"/>
        <w:jc w:val="center"/>
        <w:rPr>
          <w:b/>
          <w:sz w:val="26"/>
          <w:u w:val="single"/>
        </w:rPr>
      </w:pPr>
      <w:r>
        <w:rPr>
          <w:b/>
          <w:sz w:val="26"/>
          <w:u w:val="single"/>
        </w:rPr>
        <w:t>Year 1 Records Management Requirements</w:t>
      </w:r>
    </w:p>
    <w:p w:rsidRPr="00724481" w:rsidR="00401AB3" w:rsidP="00401AB3" w:rsidRDefault="00401AB3" w14:paraId="702712B9" w14:textId="77777777">
      <w:pPr>
        <w:spacing w:before="0" w:line="240" w:lineRule="auto"/>
        <w:jc w:val="center"/>
        <w:rPr>
          <w:b/>
          <w:sz w:val="26"/>
        </w:rPr>
      </w:pPr>
    </w:p>
    <w:tbl>
      <w:tblPr>
        <w:tblStyle w:val="TableGrid"/>
        <w:tblW w:w="0" w:type="auto"/>
        <w:tblLook w:val="04A0" w:firstRow="1" w:lastRow="0" w:firstColumn="1" w:lastColumn="0" w:noHBand="0" w:noVBand="1"/>
      </w:tblPr>
      <w:tblGrid>
        <w:gridCol w:w="1571"/>
        <w:gridCol w:w="1240"/>
        <w:gridCol w:w="1343"/>
        <w:gridCol w:w="1343"/>
        <w:gridCol w:w="1343"/>
        <w:gridCol w:w="1343"/>
        <w:gridCol w:w="1167"/>
      </w:tblGrid>
      <w:tr w:rsidRPr="000C282F" w:rsidR="00401AB3" w:rsidTr="00D23857" w14:paraId="60C6C93F"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401AB3" w:rsidP="006C52FF" w:rsidRDefault="00401AB3" w14:paraId="260631BA" w14:textId="77777777">
            <w:pPr>
              <w:spacing w:before="0" w:line="240" w:lineRule="auto"/>
              <w:jc w:val="center"/>
              <w:rPr>
                <w:b/>
                <w:bCs/>
                <w:sz w:val="20"/>
              </w:rPr>
            </w:pPr>
            <w:r w:rsidRPr="001F6D8F">
              <w:rPr>
                <w:b/>
                <w:bCs/>
                <w:sz w:val="20"/>
              </w:rPr>
              <w:t>A.</w:t>
            </w:r>
          </w:p>
          <w:p w:rsidRPr="001F6D8F" w:rsidR="00401AB3" w:rsidP="006C52FF" w:rsidRDefault="00401AB3" w14:paraId="56AE8369" w14:textId="77777777">
            <w:pPr>
              <w:spacing w:before="0" w:line="240" w:lineRule="auto"/>
              <w:jc w:val="center"/>
              <w:rPr>
                <w:b/>
                <w:bCs/>
                <w:sz w:val="20"/>
              </w:rPr>
            </w:pPr>
            <w:r w:rsidRPr="001F6D8F">
              <w:rPr>
                <w:b/>
                <w:bCs/>
                <w:sz w:val="20"/>
              </w:rPr>
              <w:t>Area of Modification</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401AB3" w:rsidP="006C52FF" w:rsidRDefault="00401AB3" w14:paraId="7FF440FC" w14:textId="77777777">
            <w:pPr>
              <w:spacing w:before="0" w:line="240" w:lineRule="auto"/>
              <w:jc w:val="center"/>
              <w:rPr>
                <w:b/>
                <w:bCs/>
                <w:sz w:val="20"/>
              </w:rPr>
            </w:pPr>
            <w:r w:rsidRPr="001F6D8F">
              <w:rPr>
                <w:b/>
                <w:bCs/>
                <w:sz w:val="20"/>
              </w:rPr>
              <w:t>B.</w:t>
            </w:r>
          </w:p>
          <w:p w:rsidRPr="001F6D8F" w:rsidR="00401AB3" w:rsidP="006C52FF" w:rsidRDefault="00401AB3" w14:paraId="586E0EB0" w14:textId="77777777">
            <w:pPr>
              <w:spacing w:before="0" w:line="240" w:lineRule="auto"/>
              <w:jc w:val="center"/>
              <w:rPr>
                <w:b/>
                <w:bCs/>
                <w:sz w:val="20"/>
              </w:rPr>
            </w:pPr>
            <w:r w:rsidRPr="001F6D8F">
              <w:rPr>
                <w:b/>
                <w:bCs/>
                <w:sz w:val="20"/>
              </w:rPr>
              <w:t>Annual Number of Respondents</w:t>
            </w:r>
            <w:r>
              <w:rPr>
                <w:b/>
                <w:bCs/>
                <w:sz w:val="20"/>
              </w:rPr>
              <w:t xml:space="preserve"> and Responses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1F6D8F" w:rsidR="00401AB3" w:rsidP="006C52FF" w:rsidRDefault="00401AB3" w14:paraId="11365B9E" w14:textId="77777777">
            <w:pPr>
              <w:spacing w:before="0" w:line="240" w:lineRule="auto"/>
              <w:jc w:val="center"/>
              <w:rPr>
                <w:b/>
                <w:bCs/>
                <w:sz w:val="20"/>
              </w:rPr>
            </w:pPr>
            <w:r>
              <w:rPr>
                <w:b/>
                <w:bCs/>
                <w:sz w:val="20"/>
              </w:rPr>
              <w:t>C</w:t>
            </w:r>
            <w:r w:rsidRPr="001F6D8F">
              <w:rPr>
                <w:b/>
                <w:bCs/>
                <w:sz w:val="20"/>
              </w:rPr>
              <w:t>.</w:t>
            </w:r>
          </w:p>
          <w:p w:rsidRPr="001F6D8F" w:rsidR="00401AB3" w:rsidP="006C52FF" w:rsidRDefault="00401AB3" w14:paraId="6D658287" w14:textId="77777777">
            <w:pPr>
              <w:spacing w:before="0" w:line="240" w:lineRule="auto"/>
              <w:jc w:val="center"/>
              <w:rPr>
                <w:b/>
                <w:bCs/>
                <w:sz w:val="20"/>
              </w:rPr>
            </w:pPr>
            <w:r>
              <w:rPr>
                <w:b/>
                <w:bCs/>
                <w:sz w:val="20"/>
              </w:rPr>
              <w:t xml:space="preserve">Annual </w:t>
            </w:r>
            <w:r w:rsidRPr="001F6D8F">
              <w:rPr>
                <w:b/>
                <w:bCs/>
                <w:sz w:val="20"/>
              </w:rPr>
              <w:t>Average Burden Hours</w:t>
            </w:r>
            <w:r>
              <w:rPr>
                <w:b/>
                <w:bCs/>
                <w:sz w:val="20"/>
              </w:rPr>
              <w:t xml:space="preserve"> per Response for Records Management Requirements</w:t>
            </w:r>
          </w:p>
        </w:tc>
        <w:tc>
          <w:tcPr>
            <w:tcW w:w="0" w:type="auto"/>
            <w:tcBorders>
              <w:top w:val="single" w:color="auto" w:sz="4" w:space="0"/>
              <w:left w:val="single" w:color="auto" w:sz="4" w:space="0"/>
              <w:bottom w:val="single" w:color="auto" w:sz="4" w:space="0"/>
              <w:right w:val="single" w:color="auto" w:sz="4" w:space="0"/>
            </w:tcBorders>
            <w:vAlign w:val="bottom"/>
          </w:tcPr>
          <w:p w:rsidR="00401AB3" w:rsidP="006C52FF" w:rsidRDefault="00401AB3" w14:paraId="6A4D75D8" w14:textId="77777777">
            <w:pPr>
              <w:spacing w:before="0" w:line="240" w:lineRule="auto"/>
              <w:jc w:val="center"/>
              <w:rPr>
                <w:b/>
                <w:bCs/>
                <w:sz w:val="20"/>
              </w:rPr>
            </w:pPr>
            <w:r>
              <w:rPr>
                <w:b/>
                <w:bCs/>
                <w:sz w:val="20"/>
              </w:rPr>
              <w:t>D.</w:t>
            </w:r>
          </w:p>
          <w:p w:rsidRPr="001F6D8F" w:rsidR="00401AB3" w:rsidP="006C52FF" w:rsidRDefault="00401AB3" w14:paraId="38AEC29A" w14:textId="77777777">
            <w:pPr>
              <w:spacing w:before="0" w:line="240" w:lineRule="auto"/>
              <w:jc w:val="center"/>
              <w:rPr>
                <w:b/>
                <w:bCs/>
                <w:sz w:val="20"/>
              </w:rPr>
            </w:pPr>
            <w:r>
              <w:rPr>
                <w:b/>
                <w:bCs/>
                <w:sz w:val="20"/>
              </w:rPr>
              <w:t xml:space="preserve">Annual </w:t>
            </w:r>
            <w:r w:rsidRPr="001F6D8F">
              <w:rPr>
                <w:b/>
                <w:bCs/>
                <w:sz w:val="20"/>
              </w:rPr>
              <w:t>Total Estimated Burden Hours</w:t>
            </w:r>
            <w:r>
              <w:rPr>
                <w:b/>
                <w:bCs/>
                <w:sz w:val="20"/>
              </w:rPr>
              <w:t xml:space="preserve"> for Records Management Requirements</w:t>
            </w:r>
          </w:p>
          <w:p w:rsidRPr="001F6D8F" w:rsidR="00401AB3" w:rsidP="006C52FF" w:rsidRDefault="00401AB3" w14:paraId="236C4D56" w14:textId="77777777">
            <w:pPr>
              <w:spacing w:before="0" w:line="240" w:lineRule="auto"/>
              <w:jc w:val="center"/>
              <w:rPr>
                <w:b/>
                <w:bCs/>
                <w:sz w:val="20"/>
              </w:rPr>
            </w:pPr>
            <w:r w:rsidRPr="001F6D8F">
              <w:rPr>
                <w:b/>
                <w:bCs/>
                <w:sz w:val="20"/>
              </w:rPr>
              <w:t xml:space="preserve">(Column </w:t>
            </w:r>
            <w:r>
              <w:rPr>
                <w:b/>
                <w:bCs/>
                <w:sz w:val="20"/>
              </w:rPr>
              <w:t xml:space="preserve">B </w:t>
            </w:r>
            <w:r w:rsidRPr="001F6D8F">
              <w:rPr>
                <w:b/>
                <w:bCs/>
                <w:sz w:val="20"/>
              </w:rPr>
              <w:t xml:space="preserve"> x</w:t>
            </w:r>
          </w:p>
          <w:p w:rsidRPr="001F6D8F" w:rsidR="00401AB3" w:rsidP="006C52FF" w:rsidRDefault="00401AB3" w14:paraId="0CDFA959" w14:textId="77777777">
            <w:pPr>
              <w:spacing w:before="0" w:line="240" w:lineRule="auto"/>
              <w:jc w:val="center"/>
              <w:rPr>
                <w:b/>
                <w:bCs/>
                <w:sz w:val="20"/>
              </w:rPr>
            </w:pPr>
            <w:r w:rsidRPr="001F6D8F">
              <w:rPr>
                <w:b/>
                <w:bCs/>
                <w:sz w:val="20"/>
              </w:rPr>
              <w:t xml:space="preserve">Column </w:t>
            </w:r>
            <w:r>
              <w:rPr>
                <w:b/>
                <w:bCs/>
                <w:sz w:val="20"/>
              </w:rPr>
              <w:t>C</w:t>
            </w:r>
            <w:r w:rsidRPr="001F6D8F">
              <w:rPr>
                <w:b/>
                <w:bCs/>
                <w:sz w:val="20"/>
              </w:rPr>
              <w:t>)</w:t>
            </w:r>
          </w:p>
        </w:tc>
        <w:tc>
          <w:tcPr>
            <w:tcW w:w="0" w:type="auto"/>
            <w:tcBorders>
              <w:top w:val="single" w:color="auto" w:sz="4" w:space="0"/>
              <w:left w:val="single" w:color="auto" w:sz="4" w:space="0"/>
              <w:bottom w:val="single" w:color="auto" w:sz="4" w:space="0"/>
              <w:right w:val="single" w:color="auto" w:sz="4" w:space="0"/>
            </w:tcBorders>
            <w:vAlign w:val="bottom"/>
          </w:tcPr>
          <w:p w:rsidRPr="00783D36" w:rsidR="00401AB3" w:rsidP="006C52FF" w:rsidRDefault="00401AB3" w14:paraId="7B706B48" w14:textId="77777777">
            <w:pPr>
              <w:spacing w:before="0" w:line="240" w:lineRule="auto"/>
              <w:jc w:val="center"/>
              <w:rPr>
                <w:b/>
                <w:bCs/>
                <w:sz w:val="20"/>
              </w:rPr>
            </w:pPr>
            <w:r>
              <w:rPr>
                <w:b/>
                <w:bCs/>
                <w:sz w:val="20"/>
              </w:rPr>
              <w:t>E.</w:t>
            </w:r>
          </w:p>
          <w:p w:rsidRPr="00783D36" w:rsidR="00401AB3" w:rsidP="006C52FF" w:rsidRDefault="00401AB3" w14:paraId="22D0B2F4" w14:textId="77777777">
            <w:pPr>
              <w:spacing w:before="0" w:line="240" w:lineRule="auto"/>
              <w:jc w:val="center"/>
              <w:rPr>
                <w:b/>
                <w:bCs/>
                <w:sz w:val="20"/>
              </w:rPr>
            </w:pPr>
            <w:r>
              <w:rPr>
                <w:b/>
                <w:bCs/>
                <w:sz w:val="20"/>
              </w:rPr>
              <w:t>Annual Estimated Co</w:t>
            </w:r>
            <w:r w:rsidRPr="00783D36">
              <w:rPr>
                <w:b/>
                <w:bCs/>
                <w:sz w:val="20"/>
              </w:rPr>
              <w:t>st per Response for</w:t>
            </w:r>
            <w:r>
              <w:rPr>
                <w:b/>
                <w:bCs/>
                <w:sz w:val="20"/>
              </w:rPr>
              <w:t xml:space="preserve"> Records Management Requirements</w:t>
            </w:r>
          </w:p>
          <w:p w:rsidR="00401AB3" w:rsidP="006C52FF" w:rsidRDefault="00401AB3" w14:paraId="3B6DEF9E" w14:textId="77777777">
            <w:pPr>
              <w:spacing w:before="0" w:line="240" w:lineRule="auto"/>
              <w:jc w:val="center"/>
              <w:rPr>
                <w:b/>
                <w:sz w:val="20"/>
              </w:rPr>
            </w:pPr>
            <w:r w:rsidRPr="00783D36">
              <w:rPr>
                <w:b/>
                <w:sz w:val="20"/>
              </w:rPr>
              <w:t>(</w:t>
            </w:r>
            <w:r>
              <w:rPr>
                <w:b/>
                <w:sz w:val="20"/>
              </w:rPr>
              <w:t>Column C x</w:t>
            </w:r>
          </w:p>
          <w:p w:rsidRPr="001F6D8F" w:rsidR="00401AB3" w:rsidP="006C52FF" w:rsidRDefault="00401AB3" w14:paraId="038E43FD" w14:textId="77777777">
            <w:pPr>
              <w:spacing w:before="0" w:line="240" w:lineRule="auto"/>
              <w:jc w:val="center"/>
              <w:rPr>
                <w:b/>
                <w:bCs/>
                <w:sz w:val="20"/>
              </w:rPr>
            </w:pPr>
            <w:r w:rsidRPr="00783D36">
              <w:rPr>
                <w:b/>
                <w:sz w:val="20"/>
              </w:rPr>
              <w:t>$</w:t>
            </w:r>
            <w:r>
              <w:rPr>
                <w:b/>
                <w:sz w:val="20"/>
              </w:rPr>
              <w:t xml:space="preserve">35.83 </w:t>
            </w:r>
            <w:r w:rsidRPr="00783D36">
              <w:rPr>
                <w:b/>
                <w:sz w:val="20"/>
              </w:rPr>
              <w:t>per hour)</w:t>
            </w:r>
          </w:p>
        </w:tc>
        <w:tc>
          <w:tcPr>
            <w:tcW w:w="0" w:type="auto"/>
            <w:tcBorders>
              <w:top w:val="single" w:color="auto" w:sz="4" w:space="0"/>
              <w:left w:val="single" w:color="auto" w:sz="4" w:space="0"/>
              <w:bottom w:val="single" w:color="auto" w:sz="4" w:space="0"/>
              <w:right w:val="single" w:color="auto" w:sz="4" w:space="0"/>
            </w:tcBorders>
            <w:vAlign w:val="bottom"/>
          </w:tcPr>
          <w:p w:rsidR="00401AB3" w:rsidP="006C52FF" w:rsidRDefault="00401AB3" w14:paraId="03D2EE3F" w14:textId="77777777">
            <w:pPr>
              <w:spacing w:before="0" w:line="240" w:lineRule="auto"/>
              <w:jc w:val="center"/>
              <w:rPr>
                <w:b/>
                <w:bCs/>
                <w:sz w:val="20"/>
              </w:rPr>
            </w:pPr>
            <w:r>
              <w:rPr>
                <w:b/>
                <w:bCs/>
                <w:sz w:val="20"/>
              </w:rPr>
              <w:t>F.</w:t>
            </w:r>
          </w:p>
          <w:p w:rsidR="00401AB3" w:rsidP="006C52FF" w:rsidRDefault="00401AB3" w14:paraId="4E0A963E" w14:textId="77777777">
            <w:pPr>
              <w:spacing w:before="0" w:line="240" w:lineRule="auto"/>
              <w:jc w:val="center"/>
              <w:rPr>
                <w:b/>
                <w:sz w:val="20"/>
              </w:rPr>
            </w:pPr>
            <w:r>
              <w:rPr>
                <w:b/>
                <w:sz w:val="20"/>
              </w:rPr>
              <w:t xml:space="preserve">Annual </w:t>
            </w:r>
            <w:r w:rsidRPr="00783D36">
              <w:rPr>
                <w:b/>
                <w:sz w:val="20"/>
              </w:rPr>
              <w:t xml:space="preserve">Total Estimated Cost for </w:t>
            </w:r>
            <w:r>
              <w:rPr>
                <w:b/>
                <w:sz w:val="20"/>
              </w:rPr>
              <w:t>Records Management Requirements</w:t>
            </w:r>
          </w:p>
          <w:p w:rsidR="00401AB3" w:rsidP="006C52FF" w:rsidRDefault="00401AB3" w14:paraId="07329A93" w14:textId="77777777">
            <w:pPr>
              <w:spacing w:before="0" w:line="240" w:lineRule="auto"/>
              <w:jc w:val="center"/>
              <w:rPr>
                <w:b/>
                <w:bCs/>
                <w:sz w:val="20"/>
              </w:rPr>
            </w:pPr>
            <w:r>
              <w:rPr>
                <w:b/>
                <w:bCs/>
                <w:sz w:val="20"/>
              </w:rPr>
              <w:t>(Column D x</w:t>
            </w:r>
          </w:p>
          <w:p w:rsidRPr="001F6D8F" w:rsidR="00401AB3" w:rsidP="006C52FF" w:rsidRDefault="00401AB3" w14:paraId="3B60A8E8" w14:textId="77777777">
            <w:pPr>
              <w:spacing w:before="0" w:line="240" w:lineRule="auto"/>
              <w:jc w:val="center"/>
              <w:rPr>
                <w:b/>
                <w:bCs/>
                <w:sz w:val="20"/>
              </w:rPr>
            </w:pPr>
            <w:r>
              <w:rPr>
                <w:b/>
                <w:bCs/>
                <w:sz w:val="20"/>
              </w:rPr>
              <w:t>$35.83 per hour)</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1F6D8F" w:rsidR="00401AB3" w:rsidP="006C52FF" w:rsidRDefault="00401AB3" w14:paraId="063CAC45" w14:textId="77777777">
            <w:pPr>
              <w:spacing w:before="0" w:line="240" w:lineRule="auto"/>
              <w:jc w:val="center"/>
              <w:rPr>
                <w:b/>
                <w:bCs/>
                <w:sz w:val="20"/>
              </w:rPr>
            </w:pPr>
            <w:r>
              <w:rPr>
                <w:b/>
                <w:bCs/>
                <w:sz w:val="20"/>
              </w:rPr>
              <w:t>G</w:t>
            </w:r>
            <w:r w:rsidRPr="001F6D8F">
              <w:rPr>
                <w:b/>
                <w:bCs/>
                <w:sz w:val="20"/>
              </w:rPr>
              <w:t>.</w:t>
            </w:r>
          </w:p>
          <w:p w:rsidRPr="001F6D8F" w:rsidR="00401AB3" w:rsidP="006C52FF" w:rsidRDefault="00401AB3" w14:paraId="60A97A54" w14:textId="77777777">
            <w:pPr>
              <w:spacing w:before="0" w:line="240" w:lineRule="auto"/>
              <w:jc w:val="center"/>
              <w:rPr>
                <w:b/>
                <w:bCs/>
                <w:sz w:val="20"/>
              </w:rPr>
            </w:pPr>
            <w:r>
              <w:rPr>
                <w:b/>
                <w:bCs/>
                <w:sz w:val="20"/>
              </w:rPr>
              <w:t>Annual Cost per Respondent</w:t>
            </w:r>
          </w:p>
        </w:tc>
      </w:tr>
      <w:tr w:rsidRPr="008D1A86" w:rsidR="008D1A86" w:rsidTr="00D23857" w14:paraId="7D495157" w14:textId="77777777">
        <w:trPr>
          <w:cantSplit/>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D1A86" w:rsidR="008D1A86" w:rsidP="008D1A86" w:rsidRDefault="008D1A86" w14:paraId="5193CC11" w14:textId="3A82BD4B">
            <w:pPr>
              <w:spacing w:before="0" w:line="240" w:lineRule="auto"/>
              <w:jc w:val="center"/>
              <w:rPr>
                <w:sz w:val="20"/>
              </w:rPr>
            </w:pPr>
            <w:r>
              <w:rPr>
                <w:sz w:val="22"/>
              </w:rPr>
              <w:t xml:space="preserve">Revise LGIP to indicate the consideration in the </w:t>
            </w:r>
            <w:r w:rsidRPr="00093192">
              <w:rPr>
                <w:sz w:val="22"/>
                <w:szCs w:val="22"/>
              </w:rPr>
              <w:t>regional transmission planning processes</w:t>
            </w:r>
            <w:r>
              <w:rPr>
                <w:sz w:val="22"/>
              </w:rPr>
              <w:t xml:space="preserve"> of </w:t>
            </w:r>
            <w:r w:rsidRPr="00093192">
              <w:rPr>
                <w:sz w:val="22"/>
                <w:szCs w:val="22"/>
              </w:rPr>
              <w:t>regional transmission facilities that address certain interconnection-related needs</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D1A86" w:rsidR="008D1A86" w:rsidP="008D1A86" w:rsidRDefault="008D1A86" w14:paraId="2E088D08" w14:textId="3F2A1900">
            <w:pPr>
              <w:spacing w:before="0" w:line="240" w:lineRule="auto"/>
              <w:jc w:val="right"/>
              <w:rPr>
                <w:sz w:val="20"/>
              </w:rPr>
            </w:pPr>
            <w:r>
              <w:rPr>
                <w:sz w:val="20"/>
              </w:rPr>
              <w:t>125</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D1A86" w:rsidR="008D1A86" w:rsidP="008D1A86" w:rsidRDefault="00856F20" w14:paraId="1917321E" w14:textId="58B09C3A">
            <w:pPr>
              <w:spacing w:before="0" w:line="240" w:lineRule="auto"/>
              <w:jc w:val="right"/>
              <w:rPr>
                <w:sz w:val="20"/>
              </w:rPr>
            </w:pPr>
            <w:r>
              <w:rPr>
                <w:sz w:val="20"/>
              </w:rPr>
              <w:t>10 hours</w:t>
            </w:r>
          </w:p>
        </w:tc>
        <w:tc>
          <w:tcPr>
            <w:tcW w:w="0" w:type="auto"/>
            <w:tcBorders>
              <w:top w:val="single" w:color="auto" w:sz="4" w:space="0"/>
              <w:left w:val="single" w:color="auto" w:sz="4" w:space="0"/>
              <w:bottom w:val="single" w:color="auto" w:sz="4" w:space="0"/>
              <w:right w:val="single" w:color="auto" w:sz="4" w:space="0"/>
            </w:tcBorders>
            <w:vAlign w:val="bottom"/>
          </w:tcPr>
          <w:p w:rsidRPr="008D1A86" w:rsidR="008D1A86" w:rsidP="008D1A86" w:rsidRDefault="00856F20" w14:paraId="29EA63F2" w14:textId="707E5B4B">
            <w:pPr>
              <w:spacing w:before="0" w:line="240" w:lineRule="auto"/>
              <w:jc w:val="right"/>
              <w:rPr>
                <w:sz w:val="20"/>
              </w:rPr>
            </w:pPr>
            <w:r>
              <w:rPr>
                <w:sz w:val="20"/>
              </w:rPr>
              <w:t>1,250 hours</w:t>
            </w:r>
          </w:p>
        </w:tc>
        <w:tc>
          <w:tcPr>
            <w:tcW w:w="0" w:type="auto"/>
            <w:tcBorders>
              <w:top w:val="single" w:color="auto" w:sz="4" w:space="0"/>
              <w:left w:val="single" w:color="auto" w:sz="4" w:space="0"/>
              <w:bottom w:val="single" w:color="auto" w:sz="4" w:space="0"/>
              <w:right w:val="single" w:color="auto" w:sz="4" w:space="0"/>
            </w:tcBorders>
            <w:vAlign w:val="bottom"/>
          </w:tcPr>
          <w:p w:rsidRPr="008D1A86" w:rsidR="008D1A86" w:rsidP="008D1A86" w:rsidRDefault="00763201" w14:paraId="2008F37D" w14:textId="5902CE1B">
            <w:pPr>
              <w:spacing w:before="0" w:line="240" w:lineRule="auto"/>
              <w:jc w:val="right"/>
              <w:rPr>
                <w:sz w:val="20"/>
              </w:rPr>
            </w:pPr>
            <w:r>
              <w:rPr>
                <w:sz w:val="20"/>
              </w:rPr>
              <w:t>$358 (rounded)</w:t>
            </w:r>
          </w:p>
        </w:tc>
        <w:tc>
          <w:tcPr>
            <w:tcW w:w="0" w:type="auto"/>
            <w:tcBorders>
              <w:top w:val="single" w:color="auto" w:sz="4" w:space="0"/>
              <w:left w:val="single" w:color="auto" w:sz="4" w:space="0"/>
              <w:bottom w:val="single" w:color="auto" w:sz="4" w:space="0"/>
              <w:right w:val="single" w:color="auto" w:sz="4" w:space="0"/>
            </w:tcBorders>
            <w:vAlign w:val="bottom"/>
          </w:tcPr>
          <w:p w:rsidRPr="008D1A86" w:rsidR="008D1A86" w:rsidP="008D1A86" w:rsidRDefault="00FB2D30" w14:paraId="1271BB35" w14:textId="7D9489EF">
            <w:pPr>
              <w:spacing w:before="0" w:line="240" w:lineRule="auto"/>
              <w:jc w:val="right"/>
              <w:rPr>
                <w:sz w:val="20"/>
              </w:rPr>
            </w:pPr>
            <w:r>
              <w:rPr>
                <w:sz w:val="20"/>
              </w:rPr>
              <w:t>$</w:t>
            </w:r>
            <w:r w:rsidR="00D23857">
              <w:rPr>
                <w:sz w:val="20"/>
              </w:rPr>
              <w:t>44,788 (rounded)</w:t>
            </w:r>
          </w:p>
        </w:tc>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8D1A86" w:rsidR="008D1A86" w:rsidP="008D1A86" w:rsidRDefault="00D23857" w14:paraId="3027ADF5" w14:textId="0F7A6989">
            <w:pPr>
              <w:spacing w:before="0" w:line="240" w:lineRule="auto"/>
              <w:jc w:val="right"/>
              <w:rPr>
                <w:sz w:val="20"/>
              </w:rPr>
            </w:pPr>
            <w:r>
              <w:rPr>
                <w:sz w:val="20"/>
              </w:rPr>
              <w:t>$358 (rounded)</w:t>
            </w:r>
          </w:p>
        </w:tc>
      </w:tr>
    </w:tbl>
    <w:p w:rsidR="00AF61BA" w:rsidP="000134F4" w:rsidRDefault="00AF61BA" w14:paraId="3FD35D1D" w14:textId="26D94E2B">
      <w:pPr>
        <w:spacing w:before="0" w:line="240" w:lineRule="auto"/>
        <w:rPr>
          <w:b/>
          <w:bCs/>
          <w:sz w:val="26"/>
        </w:rPr>
      </w:pPr>
    </w:p>
    <w:p w:rsidR="000D4913" w:rsidP="004474BA" w:rsidRDefault="000D4913" w14:paraId="79989DEF" w14:textId="584400F7">
      <w:pPr>
        <w:spacing w:before="0" w:line="240" w:lineRule="auto"/>
        <w:jc w:val="center"/>
        <w:rPr>
          <w:b/>
          <w:bCs/>
          <w:sz w:val="26"/>
        </w:rPr>
      </w:pPr>
      <w:r>
        <w:rPr>
          <w:b/>
          <w:bCs/>
          <w:sz w:val="26"/>
        </w:rPr>
        <w:t>Table 12-7</w:t>
      </w:r>
    </w:p>
    <w:p w:rsidRPr="00553ABF" w:rsidR="00553ABF" w:rsidP="00553ABF" w:rsidRDefault="00553ABF" w14:paraId="43E5F399" w14:textId="098F1BA8">
      <w:pPr>
        <w:spacing w:before="0" w:line="240" w:lineRule="auto"/>
        <w:jc w:val="center"/>
        <w:rPr>
          <w:b/>
          <w:sz w:val="26"/>
        </w:rPr>
      </w:pPr>
      <w:r>
        <w:rPr>
          <w:b/>
          <w:sz w:val="26"/>
        </w:rPr>
        <w:t>Proposed Revisions of FERC-</w:t>
      </w:r>
      <w:r w:rsidR="001214DF">
        <w:rPr>
          <w:b/>
          <w:sz w:val="26"/>
        </w:rPr>
        <w:t>917</w:t>
      </w:r>
      <w:r>
        <w:rPr>
          <w:b/>
          <w:sz w:val="26"/>
        </w:rPr>
        <w:t xml:space="preserve"> in the NOPR at Docket No. RM21-17:</w:t>
      </w:r>
    </w:p>
    <w:p w:rsidR="000D4913" w:rsidP="004474BA" w:rsidRDefault="000D4913" w14:paraId="27820C77" w14:textId="12B11C7A">
      <w:pPr>
        <w:spacing w:before="0" w:line="240" w:lineRule="auto"/>
        <w:jc w:val="center"/>
        <w:rPr>
          <w:b/>
          <w:bCs/>
          <w:sz w:val="26"/>
        </w:rPr>
      </w:pPr>
      <w:r>
        <w:rPr>
          <w:b/>
          <w:bCs/>
          <w:sz w:val="26"/>
        </w:rPr>
        <w:t xml:space="preserve">Summary of </w:t>
      </w:r>
      <w:r w:rsidR="004474BA">
        <w:rPr>
          <w:b/>
          <w:bCs/>
          <w:sz w:val="26"/>
        </w:rPr>
        <w:t>Year 1 Burden Hours</w:t>
      </w:r>
    </w:p>
    <w:p w:rsidR="000D4913" w:rsidP="000134F4" w:rsidRDefault="000D4913" w14:paraId="7F685973" w14:textId="455EE9A8">
      <w:pPr>
        <w:spacing w:before="0" w:line="240" w:lineRule="auto"/>
        <w:rPr>
          <w:b/>
          <w:bCs/>
          <w:sz w:val="26"/>
        </w:rPr>
      </w:pPr>
    </w:p>
    <w:tbl>
      <w:tblPr>
        <w:tblStyle w:val="TableGrid"/>
        <w:tblW w:w="0" w:type="auto"/>
        <w:tblLook w:val="04A0" w:firstRow="1" w:lastRow="0" w:firstColumn="1" w:lastColumn="0" w:noHBand="0" w:noVBand="1"/>
      </w:tblPr>
      <w:tblGrid>
        <w:gridCol w:w="4190"/>
        <w:gridCol w:w="1674"/>
        <w:gridCol w:w="1786"/>
        <w:gridCol w:w="1700"/>
      </w:tblGrid>
      <w:tr w:rsidR="00652CF0" w:rsidTr="00AF6644" w14:paraId="1295C9E3" w14:textId="77777777">
        <w:trPr>
          <w:cantSplit/>
          <w:tblHeader/>
        </w:trPr>
        <w:tc>
          <w:tcPr>
            <w:tcW w:w="0" w:type="auto"/>
            <w:vAlign w:val="bottom"/>
          </w:tcPr>
          <w:p w:rsidRPr="000D63DC" w:rsidR="00652CF0" w:rsidP="008B14B2" w:rsidRDefault="00652CF0" w14:paraId="39586BCC" w14:textId="77777777">
            <w:pPr>
              <w:spacing w:before="0" w:line="240" w:lineRule="auto"/>
              <w:jc w:val="center"/>
              <w:rPr>
                <w:b/>
                <w:bCs/>
                <w:sz w:val="20"/>
              </w:rPr>
            </w:pPr>
            <w:r w:rsidRPr="000D63DC">
              <w:rPr>
                <w:b/>
                <w:bCs/>
                <w:sz w:val="20"/>
              </w:rPr>
              <w:t>A.</w:t>
            </w:r>
          </w:p>
          <w:p w:rsidRPr="000D63DC" w:rsidR="00652CF0" w:rsidP="008B14B2" w:rsidRDefault="00652CF0" w14:paraId="5E9FC5B6" w14:textId="102C3F7D">
            <w:pPr>
              <w:spacing w:before="0" w:line="240" w:lineRule="auto"/>
              <w:jc w:val="center"/>
              <w:rPr>
                <w:b/>
                <w:bCs/>
                <w:sz w:val="20"/>
              </w:rPr>
            </w:pPr>
            <w:r w:rsidRPr="000D63DC">
              <w:rPr>
                <w:b/>
                <w:bCs/>
                <w:sz w:val="20"/>
              </w:rPr>
              <w:t>Area of Modification</w:t>
            </w:r>
          </w:p>
        </w:tc>
        <w:tc>
          <w:tcPr>
            <w:tcW w:w="0" w:type="auto"/>
            <w:vAlign w:val="bottom"/>
          </w:tcPr>
          <w:p w:rsidRPr="000D63DC" w:rsidR="00652CF0" w:rsidP="002C5E54" w:rsidRDefault="00652CF0" w14:paraId="1B9B4EEF" w14:textId="11F83669">
            <w:pPr>
              <w:spacing w:before="0" w:line="240" w:lineRule="auto"/>
              <w:jc w:val="center"/>
              <w:rPr>
                <w:b/>
                <w:bCs/>
                <w:sz w:val="20"/>
              </w:rPr>
            </w:pPr>
            <w:r w:rsidRPr="000D63DC">
              <w:rPr>
                <w:b/>
                <w:bCs/>
                <w:sz w:val="20"/>
              </w:rPr>
              <w:t>B.</w:t>
            </w:r>
          </w:p>
          <w:p w:rsidRPr="000D63DC" w:rsidR="00652CF0" w:rsidP="002C5E54" w:rsidRDefault="00652CF0" w14:paraId="1B1F1942" w14:textId="607382E0">
            <w:pPr>
              <w:spacing w:before="0" w:line="240" w:lineRule="auto"/>
              <w:jc w:val="center"/>
              <w:rPr>
                <w:b/>
                <w:bCs/>
                <w:sz w:val="20"/>
              </w:rPr>
            </w:pPr>
            <w:r w:rsidRPr="000D63DC">
              <w:rPr>
                <w:b/>
                <w:bCs/>
                <w:sz w:val="20"/>
              </w:rPr>
              <w:t>Total Hours for Reporting Requirements</w:t>
            </w:r>
          </w:p>
        </w:tc>
        <w:tc>
          <w:tcPr>
            <w:tcW w:w="0" w:type="auto"/>
            <w:vAlign w:val="bottom"/>
          </w:tcPr>
          <w:p w:rsidRPr="000D63DC" w:rsidR="00652CF0" w:rsidP="002C5E54" w:rsidRDefault="00652CF0" w14:paraId="192E77E8" w14:textId="77777777">
            <w:pPr>
              <w:spacing w:before="0" w:line="240" w:lineRule="auto"/>
              <w:jc w:val="center"/>
              <w:rPr>
                <w:b/>
                <w:bCs/>
                <w:sz w:val="20"/>
              </w:rPr>
            </w:pPr>
            <w:r w:rsidRPr="000D63DC">
              <w:rPr>
                <w:b/>
                <w:bCs/>
                <w:sz w:val="20"/>
              </w:rPr>
              <w:t>C.</w:t>
            </w:r>
          </w:p>
          <w:p w:rsidRPr="000D63DC" w:rsidR="00652CF0" w:rsidP="002C5E54" w:rsidRDefault="00652CF0" w14:paraId="1318B479" w14:textId="5CB467A9">
            <w:pPr>
              <w:spacing w:before="0" w:line="240" w:lineRule="auto"/>
              <w:jc w:val="center"/>
              <w:rPr>
                <w:b/>
                <w:bCs/>
                <w:sz w:val="20"/>
              </w:rPr>
            </w:pPr>
            <w:r w:rsidRPr="000D63DC">
              <w:rPr>
                <w:b/>
                <w:bCs/>
                <w:sz w:val="20"/>
              </w:rPr>
              <w:t>Total Hours for Records Management Requirements</w:t>
            </w:r>
          </w:p>
        </w:tc>
        <w:tc>
          <w:tcPr>
            <w:tcW w:w="0" w:type="auto"/>
            <w:vAlign w:val="bottom"/>
          </w:tcPr>
          <w:p w:rsidRPr="000D63DC" w:rsidR="00652CF0" w:rsidP="002C5E54" w:rsidRDefault="00652CF0" w14:paraId="67F24D0A" w14:textId="77777777">
            <w:pPr>
              <w:spacing w:before="0" w:line="240" w:lineRule="auto"/>
              <w:jc w:val="center"/>
              <w:rPr>
                <w:b/>
                <w:bCs/>
                <w:sz w:val="20"/>
              </w:rPr>
            </w:pPr>
            <w:r w:rsidRPr="000D63DC">
              <w:rPr>
                <w:b/>
                <w:bCs/>
                <w:sz w:val="20"/>
              </w:rPr>
              <w:t>D.</w:t>
            </w:r>
          </w:p>
          <w:p w:rsidRPr="000D63DC" w:rsidR="00652CF0" w:rsidP="002C5E54" w:rsidRDefault="00652CF0" w14:paraId="24F0B166" w14:textId="77777777">
            <w:pPr>
              <w:spacing w:before="0" w:line="240" w:lineRule="auto"/>
              <w:jc w:val="center"/>
              <w:rPr>
                <w:b/>
                <w:bCs/>
                <w:sz w:val="20"/>
              </w:rPr>
            </w:pPr>
            <w:r w:rsidRPr="000D63DC">
              <w:rPr>
                <w:b/>
                <w:bCs/>
                <w:sz w:val="20"/>
              </w:rPr>
              <w:t>Total Hours for All Requirements in Year 1</w:t>
            </w:r>
          </w:p>
          <w:p w:rsidRPr="000D63DC" w:rsidR="000D63DC" w:rsidP="002C5E54" w:rsidRDefault="000D63DC" w14:paraId="35D041FA" w14:textId="7C7BED42">
            <w:pPr>
              <w:spacing w:before="0" w:line="240" w:lineRule="auto"/>
              <w:jc w:val="center"/>
              <w:rPr>
                <w:b/>
                <w:bCs/>
                <w:sz w:val="20"/>
              </w:rPr>
            </w:pPr>
            <w:r w:rsidRPr="000D63DC">
              <w:rPr>
                <w:b/>
                <w:bCs/>
                <w:sz w:val="20"/>
              </w:rPr>
              <w:t>(Column B + Column C)</w:t>
            </w:r>
          </w:p>
        </w:tc>
      </w:tr>
      <w:tr w:rsidR="00652CF0" w:rsidTr="001A7E99" w14:paraId="6196DBF5" w14:textId="77777777">
        <w:trPr>
          <w:cantSplit/>
        </w:trPr>
        <w:tc>
          <w:tcPr>
            <w:tcW w:w="0" w:type="auto"/>
            <w:vAlign w:val="center"/>
          </w:tcPr>
          <w:p w:rsidRPr="000D63DC" w:rsidR="00AF6644" w:rsidP="00652CF0" w:rsidRDefault="00652CF0" w14:paraId="46A8FEF5" w14:textId="77777777">
            <w:pPr>
              <w:spacing w:before="0" w:line="240" w:lineRule="auto"/>
              <w:jc w:val="center"/>
              <w:rPr>
                <w:sz w:val="20"/>
              </w:rPr>
            </w:pPr>
            <w:r w:rsidRPr="000D63DC">
              <w:rPr>
                <w:sz w:val="20"/>
              </w:rPr>
              <w:t>Participate in Long-Term Regional Transmission Planning, which includes developing Long-Term Scenarios, evaluating the benefits of regional transmission facilities, and establishing criteria in consultation with states to select transmission facilities in the regional transmission plan for purposes of cost allocation</w:t>
            </w:r>
          </w:p>
          <w:p w:rsidRPr="000D63DC" w:rsidR="00652CF0" w:rsidP="00652CF0" w:rsidRDefault="00652CF0" w14:paraId="2E77579D" w14:textId="0EDCC61D">
            <w:pPr>
              <w:spacing w:before="0" w:line="240" w:lineRule="auto"/>
              <w:jc w:val="center"/>
              <w:rPr>
                <w:b/>
                <w:bCs/>
                <w:sz w:val="20"/>
              </w:rPr>
            </w:pPr>
            <w:r w:rsidRPr="000D63DC">
              <w:rPr>
                <w:sz w:val="20"/>
              </w:rPr>
              <w:t>(Year 1)</w:t>
            </w:r>
          </w:p>
        </w:tc>
        <w:tc>
          <w:tcPr>
            <w:tcW w:w="0" w:type="auto"/>
            <w:vAlign w:val="bottom"/>
          </w:tcPr>
          <w:p w:rsidRPr="00424920" w:rsidR="00652CF0" w:rsidP="00BA6191" w:rsidRDefault="00424920" w14:paraId="176EC389" w14:textId="0B119B34">
            <w:pPr>
              <w:spacing w:before="0" w:line="240" w:lineRule="auto"/>
              <w:jc w:val="right"/>
              <w:rPr>
                <w:sz w:val="20"/>
              </w:rPr>
            </w:pPr>
            <w:r w:rsidRPr="00424920">
              <w:rPr>
                <w:sz w:val="20"/>
              </w:rPr>
              <w:t>15,000 hours</w:t>
            </w:r>
          </w:p>
        </w:tc>
        <w:tc>
          <w:tcPr>
            <w:tcW w:w="0" w:type="auto"/>
            <w:vAlign w:val="bottom"/>
          </w:tcPr>
          <w:p w:rsidRPr="00424920" w:rsidR="00652CF0" w:rsidP="001A7E99" w:rsidRDefault="009A50ED" w14:paraId="0F502FD8" w14:textId="511EF02E">
            <w:pPr>
              <w:spacing w:before="0" w:line="240" w:lineRule="auto"/>
              <w:jc w:val="right"/>
              <w:rPr>
                <w:sz w:val="20"/>
              </w:rPr>
            </w:pPr>
            <w:r>
              <w:rPr>
                <w:sz w:val="20"/>
              </w:rPr>
              <w:t>3,750 hours</w:t>
            </w:r>
          </w:p>
        </w:tc>
        <w:tc>
          <w:tcPr>
            <w:tcW w:w="0" w:type="auto"/>
            <w:vAlign w:val="bottom"/>
          </w:tcPr>
          <w:p w:rsidRPr="00424920" w:rsidR="00652CF0" w:rsidP="001A7E99" w:rsidRDefault="00FC329C" w14:paraId="1248397A" w14:textId="7AFB48A1">
            <w:pPr>
              <w:spacing w:before="0" w:line="240" w:lineRule="auto"/>
              <w:jc w:val="right"/>
              <w:rPr>
                <w:sz w:val="20"/>
              </w:rPr>
            </w:pPr>
            <w:r>
              <w:rPr>
                <w:sz w:val="20"/>
              </w:rPr>
              <w:t>18,750 hours</w:t>
            </w:r>
          </w:p>
        </w:tc>
      </w:tr>
      <w:tr w:rsidR="00652CF0" w:rsidTr="001A7E99" w14:paraId="7ECFF975" w14:textId="77777777">
        <w:trPr>
          <w:cantSplit/>
        </w:trPr>
        <w:tc>
          <w:tcPr>
            <w:tcW w:w="0" w:type="auto"/>
            <w:vAlign w:val="center"/>
          </w:tcPr>
          <w:p w:rsidRPr="000D63DC" w:rsidR="00CB1403" w:rsidP="00CB1403" w:rsidRDefault="00652CF0" w14:paraId="371F1E1C" w14:textId="77777777">
            <w:pPr>
              <w:spacing w:before="0" w:line="240" w:lineRule="auto"/>
              <w:jc w:val="center"/>
              <w:rPr>
                <w:sz w:val="20"/>
              </w:rPr>
            </w:pPr>
            <w:r w:rsidRPr="000D63DC">
              <w:rPr>
                <w:sz w:val="20"/>
              </w:rPr>
              <w:t>Revise the regional transmission planning process to enhance transparency of local transmission planning and identifying potential opportunities to right-size replacement transmission facilities</w:t>
            </w:r>
          </w:p>
          <w:p w:rsidRPr="000D63DC" w:rsidR="00652CF0" w:rsidP="00CB1403" w:rsidRDefault="00652CF0" w14:paraId="22B852AA" w14:textId="7E164341">
            <w:pPr>
              <w:spacing w:before="0" w:line="240" w:lineRule="auto"/>
              <w:jc w:val="center"/>
              <w:rPr>
                <w:b/>
                <w:bCs/>
                <w:sz w:val="20"/>
              </w:rPr>
            </w:pPr>
            <w:r w:rsidRPr="000D63DC">
              <w:rPr>
                <w:sz w:val="20"/>
              </w:rPr>
              <w:t>(Year 1)</w:t>
            </w:r>
          </w:p>
        </w:tc>
        <w:tc>
          <w:tcPr>
            <w:tcW w:w="0" w:type="auto"/>
            <w:vAlign w:val="bottom"/>
          </w:tcPr>
          <w:p w:rsidRPr="00424920" w:rsidR="00652CF0" w:rsidP="00BA6191" w:rsidRDefault="00DF18B6" w14:paraId="7381393E" w14:textId="5844D849">
            <w:pPr>
              <w:spacing w:before="0" w:line="240" w:lineRule="auto"/>
              <w:jc w:val="right"/>
              <w:rPr>
                <w:sz w:val="20"/>
              </w:rPr>
            </w:pPr>
            <w:r>
              <w:rPr>
                <w:sz w:val="20"/>
              </w:rPr>
              <w:t>1,250 hours</w:t>
            </w:r>
          </w:p>
        </w:tc>
        <w:tc>
          <w:tcPr>
            <w:tcW w:w="0" w:type="auto"/>
            <w:vAlign w:val="bottom"/>
          </w:tcPr>
          <w:p w:rsidRPr="00424920" w:rsidR="00652CF0" w:rsidP="001A7E99" w:rsidRDefault="008F4005" w14:paraId="3F7DE74D" w14:textId="7EE621D3">
            <w:pPr>
              <w:spacing w:before="0" w:line="240" w:lineRule="auto"/>
              <w:jc w:val="right"/>
              <w:rPr>
                <w:sz w:val="20"/>
              </w:rPr>
            </w:pPr>
            <w:r>
              <w:rPr>
                <w:sz w:val="20"/>
              </w:rPr>
              <w:t>1,250 hours</w:t>
            </w:r>
          </w:p>
        </w:tc>
        <w:tc>
          <w:tcPr>
            <w:tcW w:w="0" w:type="auto"/>
            <w:vAlign w:val="bottom"/>
          </w:tcPr>
          <w:p w:rsidRPr="00424920" w:rsidR="00652CF0" w:rsidP="001A7E99" w:rsidRDefault="00FC329C" w14:paraId="5C1F3E7A" w14:textId="36F7BF3A">
            <w:pPr>
              <w:spacing w:before="0" w:line="240" w:lineRule="auto"/>
              <w:jc w:val="right"/>
              <w:rPr>
                <w:sz w:val="20"/>
              </w:rPr>
            </w:pPr>
            <w:r>
              <w:rPr>
                <w:sz w:val="20"/>
              </w:rPr>
              <w:t>2,500 hours</w:t>
            </w:r>
          </w:p>
        </w:tc>
      </w:tr>
      <w:tr w:rsidR="00652CF0" w:rsidTr="001A7E99" w14:paraId="0C9AE7D8" w14:textId="77777777">
        <w:trPr>
          <w:cantSplit/>
        </w:trPr>
        <w:tc>
          <w:tcPr>
            <w:tcW w:w="0" w:type="auto"/>
            <w:vAlign w:val="center"/>
          </w:tcPr>
          <w:p w:rsidRPr="000D63DC" w:rsidR="00B10563" w:rsidP="00B10563" w:rsidRDefault="00652CF0" w14:paraId="225AAEF3" w14:textId="77777777">
            <w:pPr>
              <w:spacing w:before="0" w:line="240" w:lineRule="auto"/>
              <w:jc w:val="center"/>
              <w:rPr>
                <w:sz w:val="20"/>
              </w:rPr>
            </w:pPr>
            <w:r w:rsidRPr="000D63DC">
              <w:rPr>
                <w:sz w:val="20"/>
              </w:rPr>
              <w:t>In consultation with state entities, establish a Long-Term Regional Transmission Cost Allocation Method and/or a State Agreement Process</w:t>
            </w:r>
          </w:p>
          <w:p w:rsidRPr="000D63DC" w:rsidR="00652CF0" w:rsidP="00B10563" w:rsidRDefault="00652CF0" w14:paraId="217AB09F" w14:textId="6A60E5BF">
            <w:pPr>
              <w:spacing w:before="0" w:line="240" w:lineRule="auto"/>
              <w:jc w:val="center"/>
              <w:rPr>
                <w:b/>
                <w:bCs/>
                <w:sz w:val="20"/>
              </w:rPr>
            </w:pPr>
            <w:r w:rsidRPr="000D63DC">
              <w:rPr>
                <w:sz w:val="20"/>
              </w:rPr>
              <w:t>(Year 1)</w:t>
            </w:r>
          </w:p>
        </w:tc>
        <w:tc>
          <w:tcPr>
            <w:tcW w:w="0" w:type="auto"/>
            <w:vAlign w:val="bottom"/>
          </w:tcPr>
          <w:p w:rsidRPr="00424920" w:rsidR="00652CF0" w:rsidP="00BA6191" w:rsidRDefault="00B25661" w14:paraId="0BA1F013" w14:textId="06AEEEB7">
            <w:pPr>
              <w:spacing w:before="0" w:line="240" w:lineRule="auto"/>
              <w:jc w:val="right"/>
              <w:rPr>
                <w:sz w:val="20"/>
              </w:rPr>
            </w:pPr>
            <w:r>
              <w:rPr>
                <w:sz w:val="20"/>
              </w:rPr>
              <w:t>1</w:t>
            </w:r>
            <w:r w:rsidR="00DF18B6">
              <w:rPr>
                <w:sz w:val="20"/>
              </w:rPr>
              <w:t>5,000 hours</w:t>
            </w:r>
          </w:p>
        </w:tc>
        <w:tc>
          <w:tcPr>
            <w:tcW w:w="0" w:type="auto"/>
            <w:vAlign w:val="bottom"/>
          </w:tcPr>
          <w:p w:rsidRPr="00424920" w:rsidR="00652CF0" w:rsidP="001A7E99" w:rsidRDefault="008F4005" w14:paraId="5E83B209" w14:textId="1B0EDBF5">
            <w:pPr>
              <w:spacing w:before="0" w:line="240" w:lineRule="auto"/>
              <w:jc w:val="right"/>
              <w:rPr>
                <w:sz w:val="20"/>
              </w:rPr>
            </w:pPr>
            <w:r>
              <w:rPr>
                <w:sz w:val="20"/>
              </w:rPr>
              <w:t>3,750 hours</w:t>
            </w:r>
          </w:p>
        </w:tc>
        <w:tc>
          <w:tcPr>
            <w:tcW w:w="0" w:type="auto"/>
            <w:vAlign w:val="bottom"/>
          </w:tcPr>
          <w:p w:rsidRPr="00424920" w:rsidR="00652CF0" w:rsidP="001A7E99" w:rsidRDefault="0046490B" w14:paraId="7D51F8C1" w14:textId="23B72A51">
            <w:pPr>
              <w:spacing w:before="0" w:line="240" w:lineRule="auto"/>
              <w:jc w:val="right"/>
              <w:rPr>
                <w:sz w:val="20"/>
              </w:rPr>
            </w:pPr>
            <w:r>
              <w:rPr>
                <w:sz w:val="20"/>
              </w:rPr>
              <w:t>1</w:t>
            </w:r>
            <w:r w:rsidR="001539BC">
              <w:rPr>
                <w:sz w:val="20"/>
              </w:rPr>
              <w:t>8</w:t>
            </w:r>
            <w:r>
              <w:rPr>
                <w:sz w:val="20"/>
              </w:rPr>
              <w:t>,750 hours</w:t>
            </w:r>
          </w:p>
        </w:tc>
      </w:tr>
      <w:tr w:rsidR="00652CF0" w:rsidTr="001A7E99" w14:paraId="067553B3" w14:textId="77777777">
        <w:trPr>
          <w:cantSplit/>
        </w:trPr>
        <w:tc>
          <w:tcPr>
            <w:tcW w:w="0" w:type="auto"/>
            <w:vAlign w:val="center"/>
          </w:tcPr>
          <w:p w:rsidRPr="000D63DC" w:rsidR="00B10563" w:rsidP="00B10563" w:rsidRDefault="00652CF0" w14:paraId="05C39853" w14:textId="77777777">
            <w:pPr>
              <w:spacing w:before="0" w:line="240" w:lineRule="auto"/>
              <w:jc w:val="center"/>
              <w:rPr>
                <w:sz w:val="20"/>
              </w:rPr>
            </w:pPr>
            <w:r w:rsidRPr="000D63DC">
              <w:rPr>
                <w:sz w:val="20"/>
              </w:rPr>
              <w:t>Consider in the regional transmission planning processes regional transmission facilities that address certain interconnection-related needs</w:t>
            </w:r>
          </w:p>
          <w:p w:rsidRPr="000D63DC" w:rsidR="00652CF0" w:rsidP="00B10563" w:rsidRDefault="00652CF0" w14:paraId="730E66DE" w14:textId="233A11A4">
            <w:pPr>
              <w:spacing w:before="0" w:line="240" w:lineRule="auto"/>
              <w:jc w:val="center"/>
              <w:rPr>
                <w:b/>
                <w:bCs/>
                <w:sz w:val="20"/>
              </w:rPr>
            </w:pPr>
            <w:r w:rsidRPr="000D63DC">
              <w:rPr>
                <w:sz w:val="20"/>
              </w:rPr>
              <w:t>(Year 1)</w:t>
            </w:r>
          </w:p>
        </w:tc>
        <w:tc>
          <w:tcPr>
            <w:tcW w:w="0" w:type="auto"/>
            <w:vAlign w:val="bottom"/>
          </w:tcPr>
          <w:p w:rsidRPr="00424920" w:rsidR="00652CF0" w:rsidP="00BA6191" w:rsidRDefault="00DF18B6" w14:paraId="2DBCEF9C" w14:textId="674146E9">
            <w:pPr>
              <w:spacing w:before="0" w:line="240" w:lineRule="auto"/>
              <w:jc w:val="right"/>
              <w:rPr>
                <w:sz w:val="20"/>
              </w:rPr>
            </w:pPr>
            <w:r>
              <w:rPr>
                <w:sz w:val="20"/>
              </w:rPr>
              <w:t>5,000 hours</w:t>
            </w:r>
          </w:p>
        </w:tc>
        <w:tc>
          <w:tcPr>
            <w:tcW w:w="0" w:type="auto"/>
            <w:vAlign w:val="bottom"/>
          </w:tcPr>
          <w:p w:rsidRPr="00424920" w:rsidR="00652CF0" w:rsidP="001A7E99" w:rsidRDefault="008F4005" w14:paraId="4440F89B" w14:textId="04E901B0">
            <w:pPr>
              <w:spacing w:before="0" w:line="240" w:lineRule="auto"/>
              <w:jc w:val="right"/>
              <w:rPr>
                <w:sz w:val="20"/>
              </w:rPr>
            </w:pPr>
            <w:r>
              <w:rPr>
                <w:sz w:val="20"/>
              </w:rPr>
              <w:t>1,250 hours</w:t>
            </w:r>
          </w:p>
        </w:tc>
        <w:tc>
          <w:tcPr>
            <w:tcW w:w="0" w:type="auto"/>
            <w:vAlign w:val="bottom"/>
          </w:tcPr>
          <w:p w:rsidRPr="00424920" w:rsidR="00652CF0" w:rsidP="001A7E99" w:rsidRDefault="00EE2B27" w14:paraId="0B8E3059" w14:textId="3954DEFC">
            <w:pPr>
              <w:spacing w:before="0" w:line="240" w:lineRule="auto"/>
              <w:jc w:val="right"/>
              <w:rPr>
                <w:sz w:val="20"/>
              </w:rPr>
            </w:pPr>
            <w:r>
              <w:rPr>
                <w:sz w:val="20"/>
              </w:rPr>
              <w:t>6,250 hours</w:t>
            </w:r>
          </w:p>
        </w:tc>
      </w:tr>
      <w:tr w:rsidR="00652CF0" w:rsidTr="001A7E99" w14:paraId="7B40779D" w14:textId="77777777">
        <w:trPr>
          <w:cantSplit/>
        </w:trPr>
        <w:tc>
          <w:tcPr>
            <w:tcW w:w="0" w:type="auto"/>
            <w:vAlign w:val="center"/>
          </w:tcPr>
          <w:p w:rsidRPr="000D63DC" w:rsidR="00B10563" w:rsidP="00B10563" w:rsidRDefault="00652CF0" w14:paraId="10DCEFC6" w14:textId="77777777">
            <w:pPr>
              <w:spacing w:before="0" w:line="240" w:lineRule="auto"/>
              <w:jc w:val="center"/>
              <w:rPr>
                <w:sz w:val="20"/>
              </w:rPr>
            </w:pPr>
            <w:r w:rsidRPr="000D63DC">
              <w:rPr>
                <w:sz w:val="20"/>
              </w:rPr>
              <w:t>Revise interregional transmission coordination procedures to apply them to Long-Term Regional Transmission Planning</w:t>
            </w:r>
          </w:p>
          <w:p w:rsidRPr="000D63DC" w:rsidR="00652CF0" w:rsidP="00B10563" w:rsidRDefault="00652CF0" w14:paraId="47FBA250" w14:textId="342880AB">
            <w:pPr>
              <w:spacing w:before="0" w:line="240" w:lineRule="auto"/>
              <w:jc w:val="center"/>
              <w:rPr>
                <w:b/>
                <w:bCs/>
                <w:sz w:val="20"/>
              </w:rPr>
            </w:pPr>
            <w:r w:rsidRPr="000D63DC">
              <w:rPr>
                <w:sz w:val="20"/>
              </w:rPr>
              <w:t>(Year 1)</w:t>
            </w:r>
          </w:p>
        </w:tc>
        <w:tc>
          <w:tcPr>
            <w:tcW w:w="0" w:type="auto"/>
            <w:vAlign w:val="bottom"/>
          </w:tcPr>
          <w:p w:rsidRPr="00424920" w:rsidR="00652CF0" w:rsidP="00BA6191" w:rsidRDefault="00DF18B6" w14:paraId="5E18C062" w14:textId="0ED984DA">
            <w:pPr>
              <w:spacing w:before="0" w:line="240" w:lineRule="auto"/>
              <w:jc w:val="right"/>
              <w:rPr>
                <w:sz w:val="20"/>
              </w:rPr>
            </w:pPr>
            <w:r>
              <w:rPr>
                <w:sz w:val="20"/>
              </w:rPr>
              <w:t>5,000 hours</w:t>
            </w:r>
          </w:p>
        </w:tc>
        <w:tc>
          <w:tcPr>
            <w:tcW w:w="0" w:type="auto"/>
            <w:vAlign w:val="bottom"/>
          </w:tcPr>
          <w:p w:rsidRPr="00424920" w:rsidR="00652CF0" w:rsidP="001A7E99" w:rsidRDefault="008F4005" w14:paraId="76995EF1" w14:textId="615D48AC">
            <w:pPr>
              <w:spacing w:before="0" w:line="240" w:lineRule="auto"/>
              <w:jc w:val="right"/>
              <w:rPr>
                <w:sz w:val="20"/>
              </w:rPr>
            </w:pPr>
            <w:r>
              <w:rPr>
                <w:sz w:val="20"/>
              </w:rPr>
              <w:t>1,250 hours</w:t>
            </w:r>
          </w:p>
        </w:tc>
        <w:tc>
          <w:tcPr>
            <w:tcW w:w="0" w:type="auto"/>
            <w:vAlign w:val="bottom"/>
          </w:tcPr>
          <w:p w:rsidRPr="00424920" w:rsidR="00652CF0" w:rsidP="001A7E99" w:rsidRDefault="00EE2B27" w14:paraId="74DC409A" w14:textId="37B27D19">
            <w:pPr>
              <w:spacing w:before="0" w:line="240" w:lineRule="auto"/>
              <w:jc w:val="right"/>
              <w:rPr>
                <w:sz w:val="20"/>
              </w:rPr>
            </w:pPr>
            <w:r>
              <w:rPr>
                <w:sz w:val="20"/>
              </w:rPr>
              <w:t>6,250 hours</w:t>
            </w:r>
          </w:p>
        </w:tc>
      </w:tr>
      <w:tr w:rsidR="00652CF0" w:rsidTr="001A7E99" w14:paraId="443B303D" w14:textId="77777777">
        <w:trPr>
          <w:cantSplit/>
        </w:trPr>
        <w:tc>
          <w:tcPr>
            <w:tcW w:w="0" w:type="auto"/>
            <w:vAlign w:val="bottom"/>
          </w:tcPr>
          <w:p w:rsidRPr="000D63DC" w:rsidR="00652CF0" w:rsidP="00216272" w:rsidRDefault="00652CF0" w14:paraId="72363842" w14:textId="0F73F4E2">
            <w:pPr>
              <w:spacing w:before="0" w:line="240" w:lineRule="auto"/>
              <w:jc w:val="center"/>
              <w:rPr>
                <w:b/>
                <w:bCs/>
                <w:sz w:val="20"/>
              </w:rPr>
            </w:pPr>
            <w:r w:rsidRPr="000D63DC">
              <w:rPr>
                <w:b/>
                <w:bCs/>
                <w:sz w:val="20"/>
                <w:szCs w:val="20"/>
              </w:rPr>
              <w:t>Totals</w:t>
            </w:r>
          </w:p>
        </w:tc>
        <w:tc>
          <w:tcPr>
            <w:tcW w:w="0" w:type="auto"/>
            <w:vAlign w:val="bottom"/>
          </w:tcPr>
          <w:p w:rsidRPr="00424920" w:rsidR="00652CF0" w:rsidP="00BA6191" w:rsidRDefault="00DB7035" w14:paraId="7339AADB" w14:textId="1D53B2D9">
            <w:pPr>
              <w:spacing w:before="0" w:line="240" w:lineRule="auto"/>
              <w:jc w:val="right"/>
              <w:rPr>
                <w:sz w:val="20"/>
              </w:rPr>
            </w:pPr>
            <w:r>
              <w:rPr>
                <w:sz w:val="20"/>
              </w:rPr>
              <w:t>4</w:t>
            </w:r>
            <w:r w:rsidR="00A44326">
              <w:rPr>
                <w:sz w:val="20"/>
              </w:rPr>
              <w:t>1,250 hours</w:t>
            </w:r>
          </w:p>
        </w:tc>
        <w:tc>
          <w:tcPr>
            <w:tcW w:w="0" w:type="auto"/>
            <w:vAlign w:val="bottom"/>
          </w:tcPr>
          <w:p w:rsidRPr="00424920" w:rsidR="00652CF0" w:rsidP="001A7E99" w:rsidRDefault="009B4906" w14:paraId="065C9843" w14:textId="50CDA5C9">
            <w:pPr>
              <w:spacing w:before="0" w:line="240" w:lineRule="auto"/>
              <w:jc w:val="right"/>
              <w:rPr>
                <w:sz w:val="20"/>
              </w:rPr>
            </w:pPr>
            <w:r>
              <w:rPr>
                <w:sz w:val="20"/>
              </w:rPr>
              <w:t>11,250 hours</w:t>
            </w:r>
          </w:p>
        </w:tc>
        <w:tc>
          <w:tcPr>
            <w:tcW w:w="0" w:type="auto"/>
            <w:vAlign w:val="bottom"/>
          </w:tcPr>
          <w:p w:rsidRPr="00424920" w:rsidR="00652CF0" w:rsidP="001A7E99" w:rsidRDefault="005D078D" w14:paraId="2949E9D4" w14:textId="6E05B58A">
            <w:pPr>
              <w:spacing w:before="0" w:line="240" w:lineRule="auto"/>
              <w:jc w:val="right"/>
              <w:rPr>
                <w:sz w:val="20"/>
              </w:rPr>
            </w:pPr>
            <w:r>
              <w:rPr>
                <w:sz w:val="20"/>
              </w:rPr>
              <w:t>52,500 hours</w:t>
            </w:r>
          </w:p>
        </w:tc>
      </w:tr>
    </w:tbl>
    <w:p w:rsidR="00553ABF" w:rsidP="000134F4" w:rsidRDefault="00553ABF" w14:paraId="6536BEE6" w14:textId="69096275">
      <w:pPr>
        <w:spacing w:before="0" w:line="240" w:lineRule="auto"/>
        <w:rPr>
          <w:b/>
          <w:bCs/>
          <w:sz w:val="26"/>
        </w:rPr>
      </w:pPr>
    </w:p>
    <w:p w:rsidR="008C50D2" w:rsidP="008C50D2" w:rsidRDefault="008C50D2" w14:paraId="618D134A" w14:textId="1F6802C7">
      <w:pPr>
        <w:spacing w:before="0" w:line="240" w:lineRule="auto"/>
        <w:jc w:val="center"/>
        <w:rPr>
          <w:b/>
          <w:bCs/>
          <w:sz w:val="26"/>
        </w:rPr>
      </w:pPr>
      <w:r>
        <w:rPr>
          <w:b/>
          <w:bCs/>
          <w:sz w:val="26"/>
        </w:rPr>
        <w:t>Table 12-8</w:t>
      </w:r>
    </w:p>
    <w:p w:rsidRPr="00553ABF" w:rsidR="008C50D2" w:rsidP="008C50D2" w:rsidRDefault="008C50D2" w14:paraId="7C29EFEC" w14:textId="77777777">
      <w:pPr>
        <w:spacing w:before="0" w:line="240" w:lineRule="auto"/>
        <w:jc w:val="center"/>
        <w:rPr>
          <w:b/>
          <w:sz w:val="26"/>
        </w:rPr>
      </w:pPr>
      <w:r>
        <w:rPr>
          <w:b/>
          <w:sz w:val="26"/>
        </w:rPr>
        <w:t>Proposed Revisions of FERC-917 in the NOPR at Docket No. RM21-17:</w:t>
      </w:r>
    </w:p>
    <w:p w:rsidR="00553ABF" w:rsidP="008C50D2" w:rsidRDefault="008C50D2" w14:paraId="281316DF" w14:textId="12B12C4B">
      <w:pPr>
        <w:spacing w:before="0" w:line="240" w:lineRule="auto"/>
        <w:jc w:val="center"/>
        <w:rPr>
          <w:b/>
          <w:bCs/>
          <w:sz w:val="26"/>
        </w:rPr>
      </w:pPr>
      <w:r>
        <w:rPr>
          <w:b/>
          <w:bCs/>
          <w:sz w:val="26"/>
        </w:rPr>
        <w:t xml:space="preserve">Summary of </w:t>
      </w:r>
      <w:r w:rsidR="00A00919">
        <w:rPr>
          <w:b/>
          <w:bCs/>
          <w:sz w:val="26"/>
        </w:rPr>
        <w:t xml:space="preserve">Subsequent Years Annual </w:t>
      </w:r>
      <w:r>
        <w:rPr>
          <w:b/>
          <w:bCs/>
          <w:sz w:val="26"/>
        </w:rPr>
        <w:t>Burden Hours</w:t>
      </w:r>
    </w:p>
    <w:p w:rsidR="008C50D2" w:rsidP="000134F4" w:rsidRDefault="008C50D2" w14:paraId="4971B93F" w14:textId="31FCFF15">
      <w:pPr>
        <w:spacing w:before="0" w:line="240" w:lineRule="auto"/>
        <w:rPr>
          <w:sz w:val="26"/>
        </w:rPr>
      </w:pPr>
    </w:p>
    <w:tbl>
      <w:tblPr>
        <w:tblStyle w:val="TableGrid"/>
        <w:tblW w:w="0" w:type="auto"/>
        <w:tblLook w:val="04A0" w:firstRow="1" w:lastRow="0" w:firstColumn="1" w:lastColumn="0" w:noHBand="0" w:noVBand="1"/>
      </w:tblPr>
      <w:tblGrid>
        <w:gridCol w:w="2337"/>
        <w:gridCol w:w="2337"/>
        <w:gridCol w:w="2338"/>
        <w:gridCol w:w="2338"/>
      </w:tblGrid>
      <w:tr w:rsidR="00DA7F09" w:rsidTr="005B71E1" w14:paraId="440BC1F7" w14:textId="77777777">
        <w:trPr>
          <w:cantSplit/>
          <w:tblHeader/>
        </w:trPr>
        <w:tc>
          <w:tcPr>
            <w:tcW w:w="2337" w:type="dxa"/>
            <w:vAlign w:val="bottom"/>
          </w:tcPr>
          <w:p w:rsidR="00DA7F09" w:rsidP="005B71E1" w:rsidRDefault="00DA7F09" w14:paraId="30476164" w14:textId="70D328A9">
            <w:pPr>
              <w:spacing w:before="0" w:line="240" w:lineRule="auto"/>
              <w:jc w:val="center"/>
              <w:rPr>
                <w:sz w:val="26"/>
              </w:rPr>
            </w:pPr>
          </w:p>
        </w:tc>
        <w:tc>
          <w:tcPr>
            <w:tcW w:w="2337" w:type="dxa"/>
            <w:vAlign w:val="bottom"/>
          </w:tcPr>
          <w:p w:rsidRPr="000D63DC" w:rsidR="00DA7F09" w:rsidP="005B71E1" w:rsidRDefault="00DA7F09" w14:paraId="661EBD99" w14:textId="77777777">
            <w:pPr>
              <w:spacing w:before="0" w:line="240" w:lineRule="auto"/>
              <w:jc w:val="center"/>
              <w:rPr>
                <w:b/>
                <w:bCs/>
                <w:sz w:val="20"/>
              </w:rPr>
            </w:pPr>
            <w:r w:rsidRPr="000D63DC">
              <w:rPr>
                <w:b/>
                <w:bCs/>
                <w:sz w:val="20"/>
              </w:rPr>
              <w:t>B.</w:t>
            </w:r>
          </w:p>
          <w:p w:rsidR="00DA7F09" w:rsidP="005B71E1" w:rsidRDefault="00DA7F09" w14:paraId="3D7000E3" w14:textId="0109A8CF">
            <w:pPr>
              <w:spacing w:before="0" w:line="240" w:lineRule="auto"/>
              <w:jc w:val="center"/>
              <w:rPr>
                <w:sz w:val="26"/>
              </w:rPr>
            </w:pPr>
            <w:r w:rsidRPr="000D63DC">
              <w:rPr>
                <w:b/>
                <w:bCs/>
                <w:sz w:val="20"/>
              </w:rPr>
              <w:t xml:space="preserve">Total </w:t>
            </w:r>
            <w:r w:rsidR="008E782B">
              <w:rPr>
                <w:b/>
                <w:bCs/>
                <w:sz w:val="20"/>
              </w:rPr>
              <w:t xml:space="preserve">Annual </w:t>
            </w:r>
            <w:r w:rsidRPr="000D63DC">
              <w:rPr>
                <w:b/>
                <w:bCs/>
                <w:sz w:val="20"/>
              </w:rPr>
              <w:t>Hours for Reporting Requirements</w:t>
            </w:r>
          </w:p>
        </w:tc>
        <w:tc>
          <w:tcPr>
            <w:tcW w:w="2338" w:type="dxa"/>
            <w:vAlign w:val="bottom"/>
          </w:tcPr>
          <w:p w:rsidRPr="000D63DC" w:rsidR="00DA7F09" w:rsidP="005B71E1" w:rsidRDefault="00DA7F09" w14:paraId="2E81B529" w14:textId="77777777">
            <w:pPr>
              <w:spacing w:before="0" w:line="240" w:lineRule="auto"/>
              <w:jc w:val="center"/>
              <w:rPr>
                <w:b/>
                <w:bCs/>
                <w:sz w:val="20"/>
              </w:rPr>
            </w:pPr>
            <w:r w:rsidRPr="000D63DC">
              <w:rPr>
                <w:b/>
                <w:bCs/>
                <w:sz w:val="20"/>
              </w:rPr>
              <w:t>C.</w:t>
            </w:r>
          </w:p>
          <w:p w:rsidR="00DA7F09" w:rsidP="005B71E1" w:rsidRDefault="00DA7F09" w14:paraId="0CDEC9DA" w14:textId="4FA8D38E">
            <w:pPr>
              <w:spacing w:before="0" w:line="240" w:lineRule="auto"/>
              <w:jc w:val="center"/>
              <w:rPr>
                <w:sz w:val="26"/>
              </w:rPr>
            </w:pPr>
            <w:r w:rsidRPr="000D63DC">
              <w:rPr>
                <w:b/>
                <w:bCs/>
                <w:sz w:val="20"/>
              </w:rPr>
              <w:t xml:space="preserve">Total </w:t>
            </w:r>
            <w:r w:rsidR="008E782B">
              <w:rPr>
                <w:b/>
                <w:bCs/>
                <w:sz w:val="20"/>
              </w:rPr>
              <w:t xml:space="preserve">Annual </w:t>
            </w:r>
            <w:r w:rsidRPr="000D63DC">
              <w:rPr>
                <w:b/>
                <w:bCs/>
                <w:sz w:val="20"/>
              </w:rPr>
              <w:t>Hours for Records Management Requirements</w:t>
            </w:r>
          </w:p>
        </w:tc>
        <w:tc>
          <w:tcPr>
            <w:tcW w:w="2338" w:type="dxa"/>
            <w:vAlign w:val="bottom"/>
          </w:tcPr>
          <w:p w:rsidRPr="000D63DC" w:rsidR="00DA7F09" w:rsidP="005B71E1" w:rsidRDefault="00DA7F09" w14:paraId="108C8B64" w14:textId="77777777">
            <w:pPr>
              <w:spacing w:before="0" w:line="240" w:lineRule="auto"/>
              <w:jc w:val="center"/>
              <w:rPr>
                <w:b/>
                <w:bCs/>
                <w:sz w:val="20"/>
              </w:rPr>
            </w:pPr>
            <w:r w:rsidRPr="000D63DC">
              <w:rPr>
                <w:b/>
                <w:bCs/>
                <w:sz w:val="20"/>
              </w:rPr>
              <w:t>D.</w:t>
            </w:r>
          </w:p>
          <w:p w:rsidRPr="000D63DC" w:rsidR="00DA7F09" w:rsidP="005B71E1" w:rsidRDefault="00DA7F09" w14:paraId="7ACC3758" w14:textId="32F3FE8E">
            <w:pPr>
              <w:spacing w:before="0" w:line="240" w:lineRule="auto"/>
              <w:jc w:val="center"/>
              <w:rPr>
                <w:b/>
                <w:bCs/>
                <w:sz w:val="20"/>
              </w:rPr>
            </w:pPr>
            <w:r w:rsidRPr="000D63DC">
              <w:rPr>
                <w:b/>
                <w:bCs/>
                <w:sz w:val="20"/>
              </w:rPr>
              <w:t xml:space="preserve">Total </w:t>
            </w:r>
            <w:r w:rsidR="00813BD1">
              <w:rPr>
                <w:b/>
                <w:bCs/>
                <w:sz w:val="20"/>
              </w:rPr>
              <w:t xml:space="preserve">Annual </w:t>
            </w:r>
            <w:r w:rsidRPr="000D63DC">
              <w:rPr>
                <w:b/>
                <w:bCs/>
                <w:sz w:val="20"/>
              </w:rPr>
              <w:t>Hours for All Requirements in</w:t>
            </w:r>
            <w:r w:rsidR="00813BD1">
              <w:rPr>
                <w:b/>
                <w:bCs/>
                <w:sz w:val="20"/>
              </w:rPr>
              <w:t xml:space="preserve"> Subsequent Years</w:t>
            </w:r>
          </w:p>
          <w:p w:rsidR="00DA7F09" w:rsidP="005B71E1" w:rsidRDefault="00DA7F09" w14:paraId="59F26B50" w14:textId="077417C5">
            <w:pPr>
              <w:spacing w:before="0" w:line="240" w:lineRule="auto"/>
              <w:jc w:val="center"/>
              <w:rPr>
                <w:sz w:val="26"/>
              </w:rPr>
            </w:pPr>
            <w:r w:rsidRPr="000D63DC">
              <w:rPr>
                <w:b/>
                <w:bCs/>
                <w:sz w:val="20"/>
              </w:rPr>
              <w:t>(Column B + Column C)</w:t>
            </w:r>
          </w:p>
        </w:tc>
      </w:tr>
      <w:tr w:rsidR="00DC4B04" w:rsidTr="00621B81" w14:paraId="481DF3AB" w14:textId="77777777">
        <w:trPr>
          <w:cantSplit/>
        </w:trPr>
        <w:tc>
          <w:tcPr>
            <w:tcW w:w="2337" w:type="dxa"/>
          </w:tcPr>
          <w:p w:rsidR="00DC4B04" w:rsidP="00AC09D2" w:rsidRDefault="00DC4B04" w14:paraId="121CFBC5" w14:textId="46438967">
            <w:pPr>
              <w:spacing w:before="0" w:line="240" w:lineRule="auto"/>
              <w:jc w:val="center"/>
              <w:rPr>
                <w:sz w:val="26"/>
              </w:rPr>
            </w:pPr>
          </w:p>
        </w:tc>
        <w:tc>
          <w:tcPr>
            <w:tcW w:w="2337" w:type="dxa"/>
            <w:vAlign w:val="bottom"/>
          </w:tcPr>
          <w:p w:rsidRPr="002C247B" w:rsidR="00DC4B04" w:rsidP="00621B81" w:rsidRDefault="002C247B" w14:paraId="7CF382A3" w14:textId="03E21D93">
            <w:pPr>
              <w:spacing w:before="0" w:line="240" w:lineRule="auto"/>
              <w:jc w:val="right"/>
              <w:rPr>
                <w:sz w:val="20"/>
              </w:rPr>
            </w:pPr>
            <w:r w:rsidRPr="002C247B">
              <w:rPr>
                <w:sz w:val="20"/>
              </w:rPr>
              <w:t>5,000</w:t>
            </w:r>
            <w:r w:rsidR="00AA279B">
              <w:rPr>
                <w:sz w:val="20"/>
              </w:rPr>
              <w:t xml:space="preserve"> hours</w:t>
            </w:r>
          </w:p>
        </w:tc>
        <w:tc>
          <w:tcPr>
            <w:tcW w:w="2338" w:type="dxa"/>
            <w:vAlign w:val="bottom"/>
          </w:tcPr>
          <w:p w:rsidRPr="002C247B" w:rsidR="00DC4B04" w:rsidP="00621B81" w:rsidRDefault="00AA279B" w14:paraId="24E7B1C2" w14:textId="372B28F5">
            <w:pPr>
              <w:spacing w:before="0" w:line="240" w:lineRule="auto"/>
              <w:jc w:val="right"/>
              <w:rPr>
                <w:sz w:val="20"/>
              </w:rPr>
            </w:pPr>
            <w:r>
              <w:rPr>
                <w:sz w:val="20"/>
              </w:rPr>
              <w:t>1,250 hours</w:t>
            </w:r>
          </w:p>
        </w:tc>
        <w:tc>
          <w:tcPr>
            <w:tcW w:w="2338" w:type="dxa"/>
            <w:vAlign w:val="bottom"/>
          </w:tcPr>
          <w:p w:rsidRPr="002C247B" w:rsidR="00DC4B04" w:rsidP="00621B81" w:rsidRDefault="00AA279B" w14:paraId="679B33C5" w14:textId="622B1915">
            <w:pPr>
              <w:spacing w:before="0" w:line="240" w:lineRule="auto"/>
              <w:jc w:val="right"/>
              <w:rPr>
                <w:sz w:val="20"/>
              </w:rPr>
            </w:pPr>
            <w:r>
              <w:rPr>
                <w:sz w:val="20"/>
              </w:rPr>
              <w:t>6,250 hours</w:t>
            </w:r>
          </w:p>
        </w:tc>
      </w:tr>
      <w:tr w:rsidR="00DC4B04" w:rsidTr="00621B81" w14:paraId="27A2E5BA" w14:textId="77777777">
        <w:trPr>
          <w:cantSplit/>
        </w:trPr>
        <w:tc>
          <w:tcPr>
            <w:tcW w:w="2337" w:type="dxa"/>
            <w:vAlign w:val="center"/>
          </w:tcPr>
          <w:p w:rsidR="00DC4B04" w:rsidP="00DC4B04" w:rsidRDefault="00DC4B04" w14:paraId="54487140" w14:textId="77777777">
            <w:pPr>
              <w:spacing w:before="0" w:line="240" w:lineRule="auto"/>
              <w:jc w:val="center"/>
              <w:rPr>
                <w:sz w:val="20"/>
              </w:rPr>
            </w:pPr>
            <w:r w:rsidRPr="00827301">
              <w:rPr>
                <w:sz w:val="20"/>
              </w:rPr>
              <w:t>Revise the regional transmission planning process to enhance transparency of local transmission planning and identifying potential opportunities to right-size replacement transmission facilities</w:t>
            </w:r>
          </w:p>
          <w:p w:rsidR="00DC4B04" w:rsidP="00AC09D2" w:rsidRDefault="00DC4B04" w14:paraId="4019BE90" w14:textId="7A2D8E1F">
            <w:pPr>
              <w:spacing w:before="0" w:line="240" w:lineRule="auto"/>
              <w:jc w:val="center"/>
              <w:rPr>
                <w:sz w:val="26"/>
              </w:rPr>
            </w:pPr>
            <w:r>
              <w:rPr>
                <w:sz w:val="20"/>
              </w:rPr>
              <w:t>(Subsequent Years)</w:t>
            </w:r>
          </w:p>
        </w:tc>
        <w:tc>
          <w:tcPr>
            <w:tcW w:w="2337" w:type="dxa"/>
            <w:vAlign w:val="bottom"/>
          </w:tcPr>
          <w:p w:rsidRPr="002C247B" w:rsidR="00DC4B04" w:rsidP="00621B81" w:rsidRDefault="001361A1" w14:paraId="36B0732E" w14:textId="026299FB">
            <w:pPr>
              <w:spacing w:before="0" w:line="240" w:lineRule="auto"/>
              <w:jc w:val="right"/>
              <w:rPr>
                <w:sz w:val="20"/>
              </w:rPr>
            </w:pPr>
            <w:r>
              <w:rPr>
                <w:sz w:val="20"/>
              </w:rPr>
              <w:t>5,000 hours</w:t>
            </w:r>
          </w:p>
        </w:tc>
        <w:tc>
          <w:tcPr>
            <w:tcW w:w="2338" w:type="dxa"/>
            <w:vAlign w:val="bottom"/>
          </w:tcPr>
          <w:p w:rsidRPr="002C247B" w:rsidR="00DC4B04" w:rsidP="00621B81" w:rsidRDefault="001361A1" w14:paraId="2A3F6F86" w14:textId="413BB954">
            <w:pPr>
              <w:spacing w:before="0" w:line="240" w:lineRule="auto"/>
              <w:jc w:val="right"/>
              <w:rPr>
                <w:sz w:val="20"/>
              </w:rPr>
            </w:pPr>
            <w:r>
              <w:rPr>
                <w:sz w:val="20"/>
              </w:rPr>
              <w:t>1,250 hours</w:t>
            </w:r>
          </w:p>
        </w:tc>
        <w:tc>
          <w:tcPr>
            <w:tcW w:w="2338" w:type="dxa"/>
            <w:vAlign w:val="bottom"/>
          </w:tcPr>
          <w:p w:rsidRPr="002C247B" w:rsidR="00DC4B04" w:rsidP="00621B81" w:rsidRDefault="00B3043C" w14:paraId="5EA629EA" w14:textId="6287A7DB">
            <w:pPr>
              <w:spacing w:before="0" w:line="240" w:lineRule="auto"/>
              <w:jc w:val="right"/>
              <w:rPr>
                <w:sz w:val="20"/>
              </w:rPr>
            </w:pPr>
            <w:r>
              <w:rPr>
                <w:sz w:val="20"/>
              </w:rPr>
              <w:t>6,250 hours</w:t>
            </w:r>
          </w:p>
        </w:tc>
      </w:tr>
      <w:tr w:rsidR="00DC4B04" w:rsidTr="00621B81" w14:paraId="12DC0D95" w14:textId="77777777">
        <w:trPr>
          <w:cantSplit/>
        </w:trPr>
        <w:tc>
          <w:tcPr>
            <w:tcW w:w="2337" w:type="dxa"/>
            <w:vAlign w:val="center"/>
          </w:tcPr>
          <w:p w:rsidR="00DC4B04" w:rsidP="00DC4B04" w:rsidRDefault="00DC4B04" w14:paraId="40B22E5A" w14:textId="77777777">
            <w:pPr>
              <w:spacing w:before="0" w:line="240" w:lineRule="auto"/>
              <w:jc w:val="center"/>
              <w:rPr>
                <w:sz w:val="20"/>
              </w:rPr>
            </w:pPr>
            <w:r w:rsidRPr="00094FD3">
              <w:rPr>
                <w:sz w:val="20"/>
              </w:rPr>
              <w:t>In consultation with state entities, establish a Long-Term Regional Transmission Cost Allocation Method and/or a State Agreement Process</w:t>
            </w:r>
          </w:p>
          <w:p w:rsidR="00DC4B04" w:rsidP="00AC09D2" w:rsidRDefault="00DC4B04" w14:paraId="2F53E3BE" w14:textId="0EA90C8A">
            <w:pPr>
              <w:spacing w:before="0" w:line="240" w:lineRule="auto"/>
              <w:jc w:val="center"/>
              <w:rPr>
                <w:sz w:val="26"/>
              </w:rPr>
            </w:pPr>
            <w:r>
              <w:rPr>
                <w:sz w:val="20"/>
              </w:rPr>
              <w:t>(Subsequent Years)</w:t>
            </w:r>
          </w:p>
        </w:tc>
        <w:tc>
          <w:tcPr>
            <w:tcW w:w="2337" w:type="dxa"/>
            <w:vAlign w:val="bottom"/>
          </w:tcPr>
          <w:p w:rsidRPr="002C247B" w:rsidR="00DC4B04" w:rsidP="00621B81" w:rsidRDefault="00B3043C" w14:paraId="4054BB54" w14:textId="6AC9B5B1">
            <w:pPr>
              <w:spacing w:before="0" w:line="240" w:lineRule="auto"/>
              <w:jc w:val="right"/>
              <w:rPr>
                <w:sz w:val="20"/>
              </w:rPr>
            </w:pPr>
            <w:r>
              <w:rPr>
                <w:sz w:val="20"/>
              </w:rPr>
              <w:t>5,000 hours</w:t>
            </w:r>
          </w:p>
        </w:tc>
        <w:tc>
          <w:tcPr>
            <w:tcW w:w="2338" w:type="dxa"/>
            <w:vAlign w:val="bottom"/>
          </w:tcPr>
          <w:p w:rsidRPr="002C247B" w:rsidR="00DC4B04" w:rsidP="00621B81" w:rsidRDefault="003777C5" w14:paraId="0DA34E0D" w14:textId="4A4B6107">
            <w:pPr>
              <w:spacing w:before="0" w:line="240" w:lineRule="auto"/>
              <w:jc w:val="right"/>
              <w:rPr>
                <w:sz w:val="20"/>
              </w:rPr>
            </w:pPr>
            <w:r>
              <w:rPr>
                <w:sz w:val="20"/>
              </w:rPr>
              <w:t>1,250 hours</w:t>
            </w:r>
          </w:p>
        </w:tc>
        <w:tc>
          <w:tcPr>
            <w:tcW w:w="2338" w:type="dxa"/>
            <w:vAlign w:val="bottom"/>
          </w:tcPr>
          <w:p w:rsidRPr="002C247B" w:rsidR="00DC4B04" w:rsidP="00621B81" w:rsidRDefault="003777C5" w14:paraId="4CF5F59B" w14:textId="74B0AFDC">
            <w:pPr>
              <w:spacing w:before="0" w:line="240" w:lineRule="auto"/>
              <w:jc w:val="right"/>
              <w:rPr>
                <w:sz w:val="20"/>
              </w:rPr>
            </w:pPr>
            <w:r>
              <w:rPr>
                <w:sz w:val="20"/>
              </w:rPr>
              <w:t>6,250 hours</w:t>
            </w:r>
          </w:p>
        </w:tc>
      </w:tr>
      <w:tr w:rsidR="00DC4B04" w:rsidTr="00621B81" w14:paraId="681F0BA2" w14:textId="77777777">
        <w:trPr>
          <w:cantSplit/>
        </w:trPr>
        <w:tc>
          <w:tcPr>
            <w:tcW w:w="2337" w:type="dxa"/>
            <w:vAlign w:val="center"/>
          </w:tcPr>
          <w:p w:rsidR="00DC4B04" w:rsidP="00DC4B04" w:rsidRDefault="00DC4B04" w14:paraId="0652B572" w14:textId="77777777">
            <w:pPr>
              <w:spacing w:before="0" w:line="240" w:lineRule="auto"/>
              <w:jc w:val="center"/>
              <w:rPr>
                <w:sz w:val="20"/>
              </w:rPr>
            </w:pPr>
            <w:r w:rsidRPr="00FC5CEF">
              <w:rPr>
                <w:sz w:val="20"/>
              </w:rPr>
              <w:t>Consider in the regional transmission planning processes regional transmission facilities that address certain interconnection-related needs</w:t>
            </w:r>
          </w:p>
          <w:p w:rsidR="00DC4B04" w:rsidP="00AC09D2" w:rsidRDefault="00DC4B04" w14:paraId="1F01D18A" w14:textId="2E078971">
            <w:pPr>
              <w:spacing w:before="0" w:line="240" w:lineRule="auto"/>
              <w:jc w:val="center"/>
              <w:rPr>
                <w:sz w:val="26"/>
              </w:rPr>
            </w:pPr>
            <w:r>
              <w:rPr>
                <w:sz w:val="20"/>
              </w:rPr>
              <w:t>(Subsequent Years)</w:t>
            </w:r>
          </w:p>
        </w:tc>
        <w:tc>
          <w:tcPr>
            <w:tcW w:w="2337" w:type="dxa"/>
            <w:vAlign w:val="bottom"/>
          </w:tcPr>
          <w:p w:rsidRPr="002C247B" w:rsidR="00DC4B04" w:rsidP="00621B81" w:rsidRDefault="003A3529" w14:paraId="23D06EC1" w14:textId="71F1689F">
            <w:pPr>
              <w:spacing w:before="0" w:line="240" w:lineRule="auto"/>
              <w:jc w:val="right"/>
              <w:rPr>
                <w:sz w:val="20"/>
              </w:rPr>
            </w:pPr>
            <w:r>
              <w:rPr>
                <w:sz w:val="20"/>
              </w:rPr>
              <w:t>0 hours</w:t>
            </w:r>
          </w:p>
        </w:tc>
        <w:tc>
          <w:tcPr>
            <w:tcW w:w="2338" w:type="dxa"/>
            <w:vAlign w:val="bottom"/>
          </w:tcPr>
          <w:p w:rsidRPr="002C247B" w:rsidR="00DC4B04" w:rsidP="00621B81" w:rsidRDefault="003A3529" w14:paraId="0E35B0DE" w14:textId="0FB959F2">
            <w:pPr>
              <w:spacing w:before="0" w:line="240" w:lineRule="auto"/>
              <w:jc w:val="right"/>
              <w:rPr>
                <w:sz w:val="20"/>
              </w:rPr>
            </w:pPr>
            <w:r>
              <w:rPr>
                <w:sz w:val="20"/>
              </w:rPr>
              <w:t>0 hours</w:t>
            </w:r>
          </w:p>
        </w:tc>
        <w:tc>
          <w:tcPr>
            <w:tcW w:w="2338" w:type="dxa"/>
            <w:vAlign w:val="bottom"/>
          </w:tcPr>
          <w:p w:rsidRPr="002C247B" w:rsidR="00DC4B04" w:rsidP="00621B81" w:rsidRDefault="00540345" w14:paraId="3CCEE474" w14:textId="55B28A64">
            <w:pPr>
              <w:spacing w:before="0" w:line="240" w:lineRule="auto"/>
              <w:jc w:val="right"/>
              <w:rPr>
                <w:sz w:val="20"/>
              </w:rPr>
            </w:pPr>
            <w:r>
              <w:rPr>
                <w:sz w:val="20"/>
              </w:rPr>
              <w:t>0</w:t>
            </w:r>
            <w:r w:rsidR="003A3529">
              <w:rPr>
                <w:sz w:val="20"/>
              </w:rPr>
              <w:t xml:space="preserve"> hours</w:t>
            </w:r>
          </w:p>
        </w:tc>
      </w:tr>
      <w:tr w:rsidR="00DC4B04" w:rsidTr="00621B81" w14:paraId="4248EBCD" w14:textId="77777777">
        <w:trPr>
          <w:cantSplit/>
        </w:trPr>
        <w:tc>
          <w:tcPr>
            <w:tcW w:w="2337" w:type="dxa"/>
            <w:vAlign w:val="center"/>
          </w:tcPr>
          <w:p w:rsidR="00DC4B04" w:rsidP="00DC4B04" w:rsidRDefault="00DC4B04" w14:paraId="72308246" w14:textId="77777777">
            <w:pPr>
              <w:spacing w:before="0" w:line="240" w:lineRule="auto"/>
              <w:jc w:val="center"/>
              <w:rPr>
                <w:sz w:val="20"/>
              </w:rPr>
            </w:pPr>
            <w:r w:rsidRPr="00FC5CEF">
              <w:rPr>
                <w:sz w:val="20"/>
              </w:rPr>
              <w:t>Revise interregional transmission coordination procedures to apply them to Long-Term Regional Transmission Planning</w:t>
            </w:r>
          </w:p>
          <w:p w:rsidR="00DC4B04" w:rsidP="00AC09D2" w:rsidRDefault="00DC4B04" w14:paraId="0A0E295C" w14:textId="4A02A98C">
            <w:pPr>
              <w:spacing w:before="0" w:line="240" w:lineRule="auto"/>
              <w:jc w:val="center"/>
              <w:rPr>
                <w:sz w:val="26"/>
              </w:rPr>
            </w:pPr>
            <w:r>
              <w:rPr>
                <w:sz w:val="20"/>
              </w:rPr>
              <w:t>(Subsequent Years)</w:t>
            </w:r>
          </w:p>
        </w:tc>
        <w:tc>
          <w:tcPr>
            <w:tcW w:w="2337" w:type="dxa"/>
            <w:vAlign w:val="bottom"/>
          </w:tcPr>
          <w:p w:rsidRPr="002C247B" w:rsidR="00DC4B04" w:rsidP="00621B81" w:rsidRDefault="00540345" w14:paraId="5C556A4A" w14:textId="0B7C07E6">
            <w:pPr>
              <w:spacing w:before="0" w:line="240" w:lineRule="auto"/>
              <w:jc w:val="right"/>
              <w:rPr>
                <w:sz w:val="20"/>
              </w:rPr>
            </w:pPr>
            <w:r>
              <w:rPr>
                <w:sz w:val="20"/>
              </w:rPr>
              <w:t>2,500</w:t>
            </w:r>
            <w:r w:rsidR="00646C1A">
              <w:rPr>
                <w:sz w:val="20"/>
              </w:rPr>
              <w:t xml:space="preserve"> hours</w:t>
            </w:r>
          </w:p>
        </w:tc>
        <w:tc>
          <w:tcPr>
            <w:tcW w:w="2338" w:type="dxa"/>
            <w:vAlign w:val="bottom"/>
          </w:tcPr>
          <w:p w:rsidRPr="002C247B" w:rsidR="00DC4B04" w:rsidP="00621B81" w:rsidRDefault="00646C1A" w14:paraId="53DB77BE" w14:textId="56E59D25">
            <w:pPr>
              <w:spacing w:before="0" w:line="240" w:lineRule="auto"/>
              <w:jc w:val="right"/>
              <w:rPr>
                <w:sz w:val="20"/>
              </w:rPr>
            </w:pPr>
            <w:r>
              <w:rPr>
                <w:sz w:val="20"/>
              </w:rPr>
              <w:t>625 hours</w:t>
            </w:r>
          </w:p>
        </w:tc>
        <w:tc>
          <w:tcPr>
            <w:tcW w:w="2338" w:type="dxa"/>
            <w:vAlign w:val="bottom"/>
          </w:tcPr>
          <w:p w:rsidRPr="002C247B" w:rsidR="00DC4B04" w:rsidP="00621B81" w:rsidRDefault="00646C1A" w14:paraId="258D8C37" w14:textId="7EF5F4D7">
            <w:pPr>
              <w:spacing w:before="0" w:line="240" w:lineRule="auto"/>
              <w:jc w:val="right"/>
              <w:rPr>
                <w:sz w:val="20"/>
              </w:rPr>
            </w:pPr>
            <w:r>
              <w:rPr>
                <w:sz w:val="20"/>
              </w:rPr>
              <w:t>3,125 hours</w:t>
            </w:r>
          </w:p>
        </w:tc>
      </w:tr>
      <w:tr w:rsidR="00DC4B04" w:rsidTr="00621B81" w14:paraId="60E5CB11" w14:textId="77777777">
        <w:trPr>
          <w:cantSplit/>
        </w:trPr>
        <w:tc>
          <w:tcPr>
            <w:tcW w:w="2337" w:type="dxa"/>
            <w:vAlign w:val="center"/>
          </w:tcPr>
          <w:p w:rsidRPr="00FC5CEF" w:rsidR="00DC4B04" w:rsidP="00DC4B04" w:rsidRDefault="00DC4B04" w14:paraId="2E5EA2F1" w14:textId="6AAC3B7E">
            <w:pPr>
              <w:spacing w:before="0" w:line="240" w:lineRule="auto"/>
              <w:jc w:val="center"/>
              <w:rPr>
                <w:sz w:val="20"/>
              </w:rPr>
            </w:pPr>
            <w:r w:rsidRPr="009A4EE6">
              <w:rPr>
                <w:b/>
                <w:bCs/>
                <w:sz w:val="20"/>
                <w:szCs w:val="20"/>
              </w:rPr>
              <w:t>Totals</w:t>
            </w:r>
          </w:p>
        </w:tc>
        <w:tc>
          <w:tcPr>
            <w:tcW w:w="2337" w:type="dxa"/>
            <w:vAlign w:val="bottom"/>
          </w:tcPr>
          <w:p w:rsidRPr="002C247B" w:rsidR="00DC4B04" w:rsidP="00621B81" w:rsidRDefault="008E782B" w14:paraId="7F9DBCEE" w14:textId="0261C127">
            <w:pPr>
              <w:spacing w:before="0" w:line="240" w:lineRule="auto"/>
              <w:jc w:val="right"/>
              <w:rPr>
                <w:sz w:val="20"/>
              </w:rPr>
            </w:pPr>
            <w:r>
              <w:rPr>
                <w:sz w:val="20"/>
              </w:rPr>
              <w:t>17,500 hours</w:t>
            </w:r>
          </w:p>
        </w:tc>
        <w:tc>
          <w:tcPr>
            <w:tcW w:w="2338" w:type="dxa"/>
            <w:vAlign w:val="bottom"/>
          </w:tcPr>
          <w:p w:rsidRPr="002C247B" w:rsidR="00DC4B04" w:rsidP="00621B81" w:rsidRDefault="008E782B" w14:paraId="6165FE4E" w14:textId="052D90BC">
            <w:pPr>
              <w:spacing w:before="0" w:line="240" w:lineRule="auto"/>
              <w:jc w:val="right"/>
              <w:rPr>
                <w:sz w:val="20"/>
              </w:rPr>
            </w:pPr>
            <w:r>
              <w:rPr>
                <w:sz w:val="20"/>
              </w:rPr>
              <w:t>4,375 hours</w:t>
            </w:r>
          </w:p>
        </w:tc>
        <w:tc>
          <w:tcPr>
            <w:tcW w:w="2338" w:type="dxa"/>
            <w:vAlign w:val="bottom"/>
          </w:tcPr>
          <w:p w:rsidRPr="002C247B" w:rsidR="00DC4B04" w:rsidP="00621B81" w:rsidRDefault="00646C1A" w14:paraId="20D9DC51" w14:textId="7BC12925">
            <w:pPr>
              <w:spacing w:before="0" w:line="240" w:lineRule="auto"/>
              <w:jc w:val="right"/>
              <w:rPr>
                <w:sz w:val="20"/>
              </w:rPr>
            </w:pPr>
            <w:r>
              <w:rPr>
                <w:sz w:val="20"/>
              </w:rPr>
              <w:t>21,875 hours</w:t>
            </w:r>
          </w:p>
        </w:tc>
      </w:tr>
    </w:tbl>
    <w:p w:rsidRPr="00A00919" w:rsidR="00A00919" w:rsidP="000134F4" w:rsidRDefault="00A00919" w14:paraId="51D28731" w14:textId="77777777">
      <w:pPr>
        <w:spacing w:before="0" w:line="240" w:lineRule="auto"/>
        <w:rPr>
          <w:sz w:val="26"/>
        </w:rPr>
      </w:pPr>
    </w:p>
    <w:p w:rsidRPr="000134F4" w:rsidR="000134F4" w:rsidP="000134F4" w:rsidRDefault="000134F4" w14:paraId="506F699D" w14:textId="4F7E6AC8">
      <w:pPr>
        <w:spacing w:before="0" w:line="240" w:lineRule="auto"/>
        <w:rPr>
          <w:bCs/>
          <w:sz w:val="26"/>
        </w:rPr>
      </w:pPr>
      <w:r w:rsidRPr="000134F4">
        <w:rPr>
          <w:b/>
          <w:bCs/>
          <w:sz w:val="26"/>
        </w:rPr>
        <w:t>13.</w:t>
      </w:r>
      <w:r w:rsidRPr="000134F4">
        <w:rPr>
          <w:b/>
          <w:bCs/>
          <w:sz w:val="26"/>
        </w:rPr>
        <w:tab/>
        <w:t>Provide an estimate of the total annual non-hour cost burden to respondents or recordkeepers resulting from the collection of information. (Do not include the cost of any hour burden already reflected in item 12.)</w:t>
      </w:r>
    </w:p>
    <w:p w:rsidRPr="000134F4" w:rsidR="000134F4" w:rsidP="000134F4" w:rsidRDefault="000134F4" w14:paraId="5D339D53" w14:textId="77777777">
      <w:pPr>
        <w:spacing w:before="0" w:line="240" w:lineRule="auto"/>
        <w:rPr>
          <w:bCs/>
          <w:sz w:val="26"/>
        </w:rPr>
      </w:pPr>
    </w:p>
    <w:p w:rsidRPr="000134F4" w:rsidR="000134F4" w:rsidP="000134F4" w:rsidRDefault="000134F4" w14:paraId="20276B92" w14:textId="77777777">
      <w:pPr>
        <w:spacing w:before="0" w:line="240" w:lineRule="auto"/>
        <w:rPr>
          <w:bCs/>
          <w:sz w:val="26"/>
        </w:rPr>
      </w:pPr>
      <w:r w:rsidRPr="000134F4">
        <w:rPr>
          <w:bCs/>
          <w:sz w:val="26"/>
        </w:rPr>
        <w:t xml:space="preserve">All costs are related to burden hours and are addressed in Question #12 and #15.  There are no non-labor start-up costs.  </w:t>
      </w:r>
    </w:p>
    <w:p w:rsidRPr="000134F4" w:rsidR="000134F4" w:rsidP="000134F4" w:rsidRDefault="000134F4" w14:paraId="23568187" w14:textId="77777777">
      <w:pPr>
        <w:spacing w:before="0" w:line="240" w:lineRule="auto"/>
        <w:rPr>
          <w:bCs/>
          <w:sz w:val="26"/>
        </w:rPr>
      </w:pPr>
    </w:p>
    <w:p w:rsidRPr="000134F4" w:rsidR="000134F4" w:rsidP="000134F4" w:rsidRDefault="000134F4" w14:paraId="48B3E871" w14:textId="77777777">
      <w:pPr>
        <w:spacing w:before="0" w:line="240" w:lineRule="auto"/>
        <w:rPr>
          <w:bCs/>
          <w:sz w:val="26"/>
        </w:rPr>
      </w:pPr>
      <w:r w:rsidRPr="000134F4">
        <w:rPr>
          <w:bCs/>
          <w:sz w:val="26"/>
        </w:rPr>
        <w:t>Total Capital and Start-up cost: $0</w:t>
      </w:r>
    </w:p>
    <w:p w:rsidRPr="000134F4" w:rsidR="000134F4" w:rsidP="000134F4" w:rsidRDefault="000134F4" w14:paraId="38E90D12" w14:textId="77777777">
      <w:pPr>
        <w:spacing w:before="0" w:line="240" w:lineRule="auto"/>
        <w:rPr>
          <w:bCs/>
          <w:sz w:val="26"/>
        </w:rPr>
      </w:pPr>
      <w:r w:rsidRPr="000134F4">
        <w:rPr>
          <w:bCs/>
          <w:sz w:val="26"/>
        </w:rPr>
        <w:t>Total Operation, Maintenance, and Purchase of Services: $0</w:t>
      </w:r>
    </w:p>
    <w:p w:rsidR="00341D5B" w:rsidP="000134F4" w:rsidRDefault="00341D5B" w14:paraId="66A476D0" w14:textId="77777777">
      <w:pPr>
        <w:spacing w:before="0" w:line="240" w:lineRule="auto"/>
        <w:rPr>
          <w:b/>
          <w:bCs/>
          <w:sz w:val="26"/>
        </w:rPr>
      </w:pPr>
    </w:p>
    <w:p w:rsidRPr="000134F4" w:rsidR="000134F4" w:rsidP="000134F4" w:rsidRDefault="000134F4" w14:paraId="5FA73318" w14:textId="733C2D58">
      <w:pPr>
        <w:spacing w:before="0" w:line="240" w:lineRule="auto"/>
        <w:rPr>
          <w:bCs/>
          <w:sz w:val="26"/>
        </w:rPr>
      </w:pPr>
      <w:r w:rsidRPr="000134F4">
        <w:rPr>
          <w:b/>
          <w:bCs/>
          <w:sz w:val="26"/>
        </w:rPr>
        <w:t>14.</w:t>
      </w:r>
      <w:r w:rsidRPr="000134F4">
        <w:rPr>
          <w:b/>
          <w:bCs/>
          <w:sz w:val="26"/>
        </w:rPr>
        <w:tab/>
        <w:t>Provide estimates of annualized cost to the Federal government.</w:t>
      </w:r>
    </w:p>
    <w:p w:rsidRPr="000134F4" w:rsidR="000134F4" w:rsidP="000134F4" w:rsidRDefault="000134F4" w14:paraId="2C600B78" w14:textId="77777777">
      <w:pPr>
        <w:spacing w:before="0" w:line="240" w:lineRule="auto"/>
        <w:rPr>
          <w:bCs/>
          <w:sz w:val="26"/>
        </w:rPr>
      </w:pPr>
    </w:p>
    <w:p w:rsidRPr="000134F4" w:rsidR="000134F4" w:rsidP="000134F4" w:rsidRDefault="000134F4" w14:paraId="7BA4B5B5" w14:textId="77777777">
      <w:pPr>
        <w:spacing w:before="0" w:line="240" w:lineRule="auto"/>
        <w:rPr>
          <w:bCs/>
          <w:sz w:val="26"/>
        </w:rPr>
      </w:pPr>
      <w:r w:rsidRPr="000134F4">
        <w:rPr>
          <w:bCs/>
          <w:sz w:val="26"/>
        </w:rPr>
        <w:t>The estimated annualized cost to the Federal Government for FERC-917 and FERC-516F is shown below:</w:t>
      </w:r>
    </w:p>
    <w:p w:rsidRPr="000134F4" w:rsidR="000134F4" w:rsidP="000134F4" w:rsidRDefault="000134F4" w14:paraId="78DBED04" w14:textId="36565B90">
      <w:pPr>
        <w:spacing w:before="0" w:line="240" w:lineRule="auto"/>
        <w:rPr>
          <w:bCs/>
          <w:sz w:val="26"/>
        </w:rPr>
      </w:pPr>
    </w:p>
    <w:p w:rsidRPr="000134F4" w:rsidR="000134F4" w:rsidP="000134F4" w:rsidRDefault="000134F4" w14:paraId="2820B3DB" w14:textId="77777777">
      <w:pPr>
        <w:spacing w:before="0" w:line="240" w:lineRule="auto"/>
        <w:rPr>
          <w:bCs/>
          <w:sz w:val="26"/>
        </w:rPr>
      </w:pPr>
      <w:r w:rsidRPr="000134F4">
        <w:rPr>
          <w:bCs/>
          <w:sz w:val="26"/>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90"/>
        <w:gridCol w:w="2645"/>
        <w:gridCol w:w="2715"/>
      </w:tblGrid>
      <w:tr w:rsidRPr="000134F4" w:rsidR="000134F4" w:rsidTr="006C52FF" w14:paraId="61418809" w14:textId="77777777">
        <w:tc>
          <w:tcPr>
            <w:tcW w:w="0" w:type="auto"/>
            <w:shd w:val="clear" w:color="auto" w:fill="CCCCCC"/>
          </w:tcPr>
          <w:p w:rsidRPr="000134F4" w:rsidR="000134F4" w:rsidP="000134F4" w:rsidRDefault="000134F4" w14:paraId="09A0A6B6" w14:textId="77777777">
            <w:pPr>
              <w:spacing w:before="0" w:line="240" w:lineRule="auto"/>
              <w:rPr>
                <w:b/>
                <w:bCs/>
                <w:sz w:val="26"/>
              </w:rPr>
            </w:pPr>
            <w:r w:rsidRPr="000134F4">
              <w:rPr>
                <w:b/>
                <w:bCs/>
                <w:sz w:val="26"/>
              </w:rPr>
              <w:t xml:space="preserve">FERC-917 </w:t>
            </w:r>
          </w:p>
        </w:tc>
        <w:tc>
          <w:tcPr>
            <w:tcW w:w="0" w:type="auto"/>
            <w:shd w:val="clear" w:color="auto" w:fill="CCCCCC"/>
          </w:tcPr>
          <w:p w:rsidRPr="000134F4" w:rsidR="000134F4" w:rsidP="000134F4" w:rsidRDefault="000134F4" w14:paraId="732858E6" w14:textId="77777777">
            <w:pPr>
              <w:spacing w:before="0" w:line="240" w:lineRule="auto"/>
              <w:rPr>
                <w:bCs/>
                <w:sz w:val="26"/>
              </w:rPr>
            </w:pPr>
            <w:r w:rsidRPr="000134F4">
              <w:rPr>
                <w:bCs/>
                <w:sz w:val="26"/>
              </w:rPr>
              <w:t>Number of Employees (FTEs)</w:t>
            </w:r>
          </w:p>
        </w:tc>
        <w:tc>
          <w:tcPr>
            <w:tcW w:w="0" w:type="auto"/>
            <w:shd w:val="clear" w:color="auto" w:fill="CCCCCC"/>
          </w:tcPr>
          <w:p w:rsidRPr="000134F4" w:rsidR="000134F4" w:rsidP="000134F4" w:rsidRDefault="000134F4" w14:paraId="6DE76604" w14:textId="77777777">
            <w:pPr>
              <w:spacing w:before="0" w:line="240" w:lineRule="auto"/>
              <w:rPr>
                <w:bCs/>
                <w:sz w:val="26"/>
              </w:rPr>
            </w:pPr>
            <w:r w:rsidRPr="000134F4">
              <w:rPr>
                <w:bCs/>
                <w:sz w:val="26"/>
              </w:rPr>
              <w:t>Estimated Annual Federal Cost</w:t>
            </w:r>
          </w:p>
        </w:tc>
      </w:tr>
      <w:tr w:rsidRPr="000134F4" w:rsidR="000134F4" w:rsidTr="006C52FF" w14:paraId="108C1158" w14:textId="77777777">
        <w:trPr>
          <w:cantSplit/>
        </w:trPr>
        <w:tc>
          <w:tcPr>
            <w:tcW w:w="0" w:type="auto"/>
            <w:shd w:val="clear" w:color="auto" w:fill="auto"/>
          </w:tcPr>
          <w:p w:rsidRPr="000134F4" w:rsidR="000134F4" w:rsidP="000134F4" w:rsidRDefault="000134F4" w14:paraId="2A0CA05B" w14:textId="77777777">
            <w:pPr>
              <w:spacing w:before="0" w:line="240" w:lineRule="auto"/>
              <w:rPr>
                <w:bCs/>
                <w:sz w:val="26"/>
              </w:rPr>
            </w:pPr>
            <w:r w:rsidRPr="000134F4">
              <w:rPr>
                <w:bCs/>
                <w:sz w:val="26"/>
              </w:rPr>
              <w:t>Analysis and Processing of filings</w:t>
            </w:r>
            <w:r w:rsidRPr="000134F4">
              <w:rPr>
                <w:b/>
                <w:bCs/>
                <w:sz w:val="26"/>
                <w:vertAlign w:val="superscript"/>
              </w:rPr>
              <w:footnoteReference w:id="11"/>
            </w:r>
            <w:r w:rsidRPr="000134F4">
              <w:rPr>
                <w:bCs/>
                <w:sz w:val="26"/>
              </w:rPr>
              <w:t xml:space="preserve"> </w:t>
            </w:r>
          </w:p>
        </w:tc>
        <w:tc>
          <w:tcPr>
            <w:tcW w:w="0" w:type="auto"/>
            <w:tcBorders>
              <w:bottom w:val="single" w:color="auto" w:sz="4" w:space="0"/>
            </w:tcBorders>
            <w:shd w:val="clear" w:color="auto" w:fill="auto"/>
            <w:vAlign w:val="bottom"/>
          </w:tcPr>
          <w:p w:rsidRPr="000134F4" w:rsidR="000134F4" w:rsidP="000134F4" w:rsidRDefault="000134F4" w14:paraId="417089CB" w14:textId="77777777">
            <w:pPr>
              <w:spacing w:before="0" w:line="240" w:lineRule="auto"/>
              <w:rPr>
                <w:bCs/>
                <w:sz w:val="26"/>
              </w:rPr>
            </w:pPr>
            <w:r w:rsidRPr="000134F4">
              <w:rPr>
                <w:bCs/>
                <w:sz w:val="26"/>
              </w:rPr>
              <w:t>7</w:t>
            </w:r>
          </w:p>
        </w:tc>
        <w:tc>
          <w:tcPr>
            <w:tcW w:w="0" w:type="auto"/>
            <w:shd w:val="clear" w:color="auto" w:fill="auto"/>
            <w:vAlign w:val="bottom"/>
          </w:tcPr>
          <w:p w:rsidRPr="000134F4" w:rsidR="000134F4" w:rsidP="000134F4" w:rsidRDefault="000134F4" w14:paraId="1562F635" w14:textId="77777777">
            <w:pPr>
              <w:spacing w:before="0" w:line="240" w:lineRule="auto"/>
              <w:rPr>
                <w:bCs/>
                <w:sz w:val="26"/>
              </w:rPr>
            </w:pPr>
            <w:r w:rsidRPr="000134F4">
              <w:rPr>
                <w:bCs/>
                <w:sz w:val="26"/>
              </w:rPr>
              <w:t>$1,264,921</w:t>
            </w:r>
          </w:p>
        </w:tc>
      </w:tr>
      <w:tr w:rsidRPr="000134F4" w:rsidR="000134F4" w:rsidTr="006C52FF" w14:paraId="411FD352" w14:textId="77777777">
        <w:trPr>
          <w:cantSplit/>
        </w:trPr>
        <w:tc>
          <w:tcPr>
            <w:tcW w:w="0" w:type="auto"/>
            <w:shd w:val="clear" w:color="auto" w:fill="auto"/>
          </w:tcPr>
          <w:p w:rsidRPr="000134F4" w:rsidR="000134F4" w:rsidP="000134F4" w:rsidRDefault="000134F4" w14:paraId="68821862" w14:textId="77777777">
            <w:pPr>
              <w:spacing w:before="0" w:line="240" w:lineRule="auto"/>
              <w:rPr>
                <w:bCs/>
                <w:sz w:val="26"/>
              </w:rPr>
            </w:pPr>
            <w:r w:rsidRPr="000134F4">
              <w:rPr>
                <w:bCs/>
                <w:sz w:val="26"/>
              </w:rPr>
              <w:t>Paperwork Reduction Act Administrative Cost</w:t>
            </w:r>
            <w:r w:rsidRPr="000134F4">
              <w:rPr>
                <w:b/>
                <w:bCs/>
                <w:sz w:val="26"/>
                <w:vertAlign w:val="superscript"/>
              </w:rPr>
              <w:footnoteReference w:id="12"/>
            </w:r>
          </w:p>
        </w:tc>
        <w:tc>
          <w:tcPr>
            <w:tcW w:w="0" w:type="auto"/>
            <w:shd w:val="clear" w:color="auto" w:fill="D9D9D9" w:themeFill="background1" w:themeFillShade="D9"/>
            <w:vAlign w:val="bottom"/>
          </w:tcPr>
          <w:p w:rsidRPr="000134F4" w:rsidR="000134F4" w:rsidP="000134F4" w:rsidRDefault="000134F4" w14:paraId="61EE6960" w14:textId="77777777">
            <w:pPr>
              <w:spacing w:before="0" w:line="240" w:lineRule="auto"/>
              <w:rPr>
                <w:bCs/>
                <w:sz w:val="26"/>
              </w:rPr>
            </w:pPr>
          </w:p>
        </w:tc>
        <w:tc>
          <w:tcPr>
            <w:tcW w:w="0" w:type="auto"/>
            <w:shd w:val="clear" w:color="auto" w:fill="auto"/>
            <w:vAlign w:val="bottom"/>
          </w:tcPr>
          <w:p w:rsidRPr="000134F4" w:rsidR="000134F4" w:rsidP="000134F4" w:rsidRDefault="000134F4" w14:paraId="124D78CC" w14:textId="77777777">
            <w:pPr>
              <w:spacing w:before="0" w:line="240" w:lineRule="auto"/>
              <w:rPr>
                <w:bCs/>
                <w:sz w:val="26"/>
              </w:rPr>
            </w:pPr>
            <w:r w:rsidRPr="000134F4">
              <w:rPr>
                <w:bCs/>
                <w:sz w:val="26"/>
              </w:rPr>
              <w:t>$8,279</w:t>
            </w:r>
          </w:p>
        </w:tc>
      </w:tr>
      <w:tr w:rsidRPr="000134F4" w:rsidR="000134F4" w:rsidTr="006C52FF" w14:paraId="1F2C4E9C" w14:textId="77777777">
        <w:trPr>
          <w:cantSplit/>
        </w:trPr>
        <w:tc>
          <w:tcPr>
            <w:tcW w:w="0" w:type="auto"/>
            <w:shd w:val="clear" w:color="auto" w:fill="auto"/>
          </w:tcPr>
          <w:p w:rsidRPr="000134F4" w:rsidR="000134F4" w:rsidP="000134F4" w:rsidRDefault="000134F4" w14:paraId="7CFAC6E1" w14:textId="77777777">
            <w:pPr>
              <w:spacing w:before="0" w:line="240" w:lineRule="auto"/>
              <w:rPr>
                <w:b/>
                <w:bCs/>
                <w:sz w:val="26"/>
              </w:rPr>
            </w:pPr>
            <w:r w:rsidRPr="000134F4">
              <w:rPr>
                <w:b/>
                <w:bCs/>
                <w:sz w:val="26"/>
              </w:rPr>
              <w:t>TOTAL for FERC-917</w:t>
            </w:r>
          </w:p>
        </w:tc>
        <w:tc>
          <w:tcPr>
            <w:tcW w:w="0" w:type="auto"/>
            <w:shd w:val="clear" w:color="auto" w:fill="D9D9D9" w:themeFill="background1" w:themeFillShade="D9"/>
            <w:vAlign w:val="bottom"/>
          </w:tcPr>
          <w:p w:rsidRPr="000134F4" w:rsidR="000134F4" w:rsidP="000134F4" w:rsidRDefault="000134F4" w14:paraId="3BAC9AA1" w14:textId="77777777">
            <w:pPr>
              <w:spacing w:before="0" w:line="240" w:lineRule="auto"/>
              <w:rPr>
                <w:b/>
                <w:bCs/>
                <w:sz w:val="26"/>
              </w:rPr>
            </w:pPr>
          </w:p>
        </w:tc>
        <w:tc>
          <w:tcPr>
            <w:tcW w:w="0" w:type="auto"/>
            <w:shd w:val="clear" w:color="auto" w:fill="auto"/>
            <w:vAlign w:val="bottom"/>
          </w:tcPr>
          <w:p w:rsidRPr="000134F4" w:rsidR="000134F4" w:rsidP="000134F4" w:rsidRDefault="000134F4" w14:paraId="67B4D3C0" w14:textId="77777777">
            <w:pPr>
              <w:spacing w:before="0" w:line="240" w:lineRule="auto"/>
              <w:rPr>
                <w:b/>
                <w:bCs/>
                <w:sz w:val="26"/>
              </w:rPr>
            </w:pPr>
            <w:r w:rsidRPr="000134F4">
              <w:rPr>
                <w:b/>
                <w:bCs/>
                <w:sz w:val="26"/>
              </w:rPr>
              <w:t>$1,273,200</w:t>
            </w:r>
          </w:p>
        </w:tc>
      </w:tr>
      <w:tr w:rsidRPr="000134F4" w:rsidR="000134F4" w:rsidTr="006C52FF" w14:paraId="6F7ACC75" w14:textId="77777777">
        <w:tc>
          <w:tcPr>
            <w:tcW w:w="0" w:type="auto"/>
            <w:shd w:val="clear" w:color="auto" w:fill="CCCCCC"/>
          </w:tcPr>
          <w:p w:rsidRPr="000134F4" w:rsidR="000134F4" w:rsidP="000134F4" w:rsidRDefault="000134F4" w14:paraId="01D072B2" w14:textId="77777777">
            <w:pPr>
              <w:spacing w:before="0" w:line="240" w:lineRule="auto"/>
              <w:rPr>
                <w:b/>
                <w:bCs/>
                <w:sz w:val="26"/>
              </w:rPr>
            </w:pPr>
            <w:r w:rsidRPr="000134F4">
              <w:rPr>
                <w:b/>
                <w:bCs/>
                <w:sz w:val="26"/>
              </w:rPr>
              <w:t>FERC-516F</w:t>
            </w:r>
          </w:p>
        </w:tc>
        <w:tc>
          <w:tcPr>
            <w:tcW w:w="0" w:type="auto"/>
            <w:shd w:val="clear" w:color="auto" w:fill="CCCCCC"/>
          </w:tcPr>
          <w:p w:rsidRPr="000134F4" w:rsidR="000134F4" w:rsidP="000134F4" w:rsidRDefault="000134F4" w14:paraId="34CCB6BC" w14:textId="77777777">
            <w:pPr>
              <w:spacing w:before="0" w:line="240" w:lineRule="auto"/>
              <w:rPr>
                <w:bCs/>
                <w:sz w:val="26"/>
              </w:rPr>
            </w:pPr>
            <w:r w:rsidRPr="000134F4">
              <w:rPr>
                <w:bCs/>
                <w:sz w:val="26"/>
              </w:rPr>
              <w:t>Number of Employees (FTEs)</w:t>
            </w:r>
          </w:p>
        </w:tc>
        <w:tc>
          <w:tcPr>
            <w:tcW w:w="0" w:type="auto"/>
            <w:shd w:val="clear" w:color="auto" w:fill="CCCCCC"/>
          </w:tcPr>
          <w:p w:rsidRPr="000134F4" w:rsidR="000134F4" w:rsidP="000134F4" w:rsidRDefault="000134F4" w14:paraId="2C8B1A40" w14:textId="77777777">
            <w:pPr>
              <w:spacing w:before="0" w:line="240" w:lineRule="auto"/>
              <w:rPr>
                <w:bCs/>
                <w:sz w:val="26"/>
              </w:rPr>
            </w:pPr>
            <w:r w:rsidRPr="000134F4">
              <w:rPr>
                <w:bCs/>
                <w:sz w:val="26"/>
              </w:rPr>
              <w:t>Estimated Annual Federal Cost</w:t>
            </w:r>
          </w:p>
        </w:tc>
      </w:tr>
      <w:tr w:rsidRPr="000134F4" w:rsidR="000134F4" w:rsidTr="006C52FF" w14:paraId="59A7E40A" w14:textId="77777777">
        <w:tc>
          <w:tcPr>
            <w:tcW w:w="0" w:type="auto"/>
            <w:shd w:val="clear" w:color="auto" w:fill="auto"/>
          </w:tcPr>
          <w:p w:rsidRPr="000134F4" w:rsidR="000134F4" w:rsidP="000134F4" w:rsidRDefault="000134F4" w14:paraId="5502A215" w14:textId="77777777">
            <w:pPr>
              <w:spacing w:before="0" w:line="240" w:lineRule="auto"/>
              <w:rPr>
                <w:bCs/>
                <w:sz w:val="26"/>
              </w:rPr>
            </w:pPr>
            <w:r w:rsidRPr="000134F4">
              <w:rPr>
                <w:bCs/>
                <w:sz w:val="26"/>
              </w:rPr>
              <w:t>Analysis and Processing of filings</w:t>
            </w:r>
          </w:p>
        </w:tc>
        <w:tc>
          <w:tcPr>
            <w:tcW w:w="0" w:type="auto"/>
            <w:tcBorders>
              <w:bottom w:val="single" w:color="auto" w:sz="4" w:space="0"/>
            </w:tcBorders>
            <w:shd w:val="clear" w:color="auto" w:fill="auto"/>
            <w:vAlign w:val="bottom"/>
          </w:tcPr>
          <w:p w:rsidRPr="000134F4" w:rsidR="000134F4" w:rsidP="000134F4" w:rsidRDefault="000134F4" w14:paraId="6110E9F3" w14:textId="77777777">
            <w:pPr>
              <w:spacing w:before="0" w:line="240" w:lineRule="auto"/>
              <w:rPr>
                <w:bCs/>
                <w:sz w:val="26"/>
              </w:rPr>
            </w:pPr>
            <w:r w:rsidRPr="000134F4">
              <w:rPr>
                <w:bCs/>
                <w:sz w:val="26"/>
              </w:rPr>
              <w:t>0.25</w:t>
            </w:r>
          </w:p>
        </w:tc>
        <w:tc>
          <w:tcPr>
            <w:tcW w:w="0" w:type="auto"/>
            <w:shd w:val="clear" w:color="auto" w:fill="auto"/>
            <w:vAlign w:val="bottom"/>
          </w:tcPr>
          <w:p w:rsidRPr="000134F4" w:rsidR="000134F4" w:rsidP="000134F4" w:rsidRDefault="000134F4" w14:paraId="60EC05D0" w14:textId="77777777">
            <w:pPr>
              <w:spacing w:before="0" w:line="240" w:lineRule="auto"/>
              <w:rPr>
                <w:bCs/>
                <w:sz w:val="26"/>
              </w:rPr>
            </w:pPr>
            <w:r w:rsidRPr="000134F4">
              <w:rPr>
                <w:bCs/>
                <w:sz w:val="26"/>
              </w:rPr>
              <w:t>$45,176 (rounded)</w:t>
            </w:r>
          </w:p>
        </w:tc>
      </w:tr>
      <w:tr w:rsidRPr="000134F4" w:rsidR="000134F4" w:rsidTr="006C52FF" w14:paraId="3856E6F2" w14:textId="77777777">
        <w:tc>
          <w:tcPr>
            <w:tcW w:w="0" w:type="auto"/>
            <w:shd w:val="clear" w:color="auto" w:fill="auto"/>
          </w:tcPr>
          <w:p w:rsidRPr="000134F4" w:rsidR="000134F4" w:rsidP="000134F4" w:rsidRDefault="000134F4" w14:paraId="18E4278E" w14:textId="77777777">
            <w:pPr>
              <w:spacing w:before="0" w:line="240" w:lineRule="auto"/>
              <w:rPr>
                <w:bCs/>
                <w:sz w:val="26"/>
              </w:rPr>
            </w:pPr>
            <w:r w:rsidRPr="000134F4">
              <w:rPr>
                <w:bCs/>
                <w:sz w:val="26"/>
              </w:rPr>
              <w:t>Paperwork Reduction Act Administrative Cost</w:t>
            </w:r>
          </w:p>
        </w:tc>
        <w:tc>
          <w:tcPr>
            <w:tcW w:w="0" w:type="auto"/>
            <w:shd w:val="clear" w:color="auto" w:fill="D9D9D9" w:themeFill="background1" w:themeFillShade="D9"/>
            <w:vAlign w:val="bottom"/>
          </w:tcPr>
          <w:p w:rsidRPr="000134F4" w:rsidR="000134F4" w:rsidP="000134F4" w:rsidRDefault="000134F4" w14:paraId="03CE36DA" w14:textId="77777777">
            <w:pPr>
              <w:spacing w:before="0" w:line="240" w:lineRule="auto"/>
              <w:rPr>
                <w:bCs/>
                <w:sz w:val="26"/>
              </w:rPr>
            </w:pPr>
          </w:p>
        </w:tc>
        <w:tc>
          <w:tcPr>
            <w:tcW w:w="0" w:type="auto"/>
            <w:shd w:val="clear" w:color="auto" w:fill="auto"/>
            <w:vAlign w:val="bottom"/>
          </w:tcPr>
          <w:p w:rsidRPr="000134F4" w:rsidR="000134F4" w:rsidP="000134F4" w:rsidRDefault="000134F4" w14:paraId="191AE885" w14:textId="77777777">
            <w:pPr>
              <w:spacing w:before="0" w:line="240" w:lineRule="auto"/>
              <w:rPr>
                <w:bCs/>
                <w:sz w:val="26"/>
              </w:rPr>
            </w:pPr>
            <w:r w:rsidRPr="000134F4">
              <w:rPr>
                <w:bCs/>
                <w:sz w:val="26"/>
              </w:rPr>
              <w:t>$8,279</w:t>
            </w:r>
          </w:p>
        </w:tc>
      </w:tr>
      <w:tr w:rsidRPr="000134F4" w:rsidR="000134F4" w:rsidTr="006C52FF" w14:paraId="425CC247" w14:textId="77777777">
        <w:tc>
          <w:tcPr>
            <w:tcW w:w="0" w:type="auto"/>
            <w:shd w:val="clear" w:color="auto" w:fill="auto"/>
          </w:tcPr>
          <w:p w:rsidRPr="000134F4" w:rsidR="000134F4" w:rsidP="000134F4" w:rsidRDefault="000134F4" w14:paraId="78E6A754" w14:textId="77777777">
            <w:pPr>
              <w:spacing w:before="0" w:line="240" w:lineRule="auto"/>
              <w:rPr>
                <w:b/>
                <w:bCs/>
                <w:sz w:val="26"/>
              </w:rPr>
            </w:pPr>
            <w:r w:rsidRPr="000134F4">
              <w:rPr>
                <w:b/>
                <w:bCs/>
                <w:sz w:val="26"/>
              </w:rPr>
              <w:t>TOTAL for FERC-516F</w:t>
            </w:r>
          </w:p>
        </w:tc>
        <w:tc>
          <w:tcPr>
            <w:tcW w:w="0" w:type="auto"/>
            <w:shd w:val="clear" w:color="auto" w:fill="D9D9D9" w:themeFill="background1" w:themeFillShade="D9"/>
            <w:vAlign w:val="bottom"/>
          </w:tcPr>
          <w:p w:rsidRPr="000134F4" w:rsidR="000134F4" w:rsidP="000134F4" w:rsidRDefault="000134F4" w14:paraId="43AE446A" w14:textId="77777777">
            <w:pPr>
              <w:spacing w:before="0" w:line="240" w:lineRule="auto"/>
              <w:rPr>
                <w:bCs/>
                <w:sz w:val="26"/>
              </w:rPr>
            </w:pPr>
          </w:p>
        </w:tc>
        <w:tc>
          <w:tcPr>
            <w:tcW w:w="0" w:type="auto"/>
            <w:shd w:val="clear" w:color="auto" w:fill="auto"/>
            <w:vAlign w:val="bottom"/>
          </w:tcPr>
          <w:p w:rsidRPr="000134F4" w:rsidR="000134F4" w:rsidP="000134F4" w:rsidRDefault="000134F4" w14:paraId="0F837CF0" w14:textId="77777777">
            <w:pPr>
              <w:spacing w:before="0" w:line="240" w:lineRule="auto"/>
              <w:rPr>
                <w:b/>
                <w:bCs/>
                <w:sz w:val="26"/>
              </w:rPr>
            </w:pPr>
            <w:r w:rsidRPr="000134F4">
              <w:rPr>
                <w:b/>
                <w:bCs/>
                <w:sz w:val="26"/>
              </w:rPr>
              <w:t>$53,455</w:t>
            </w:r>
          </w:p>
        </w:tc>
      </w:tr>
      <w:tr w:rsidRPr="000134F4" w:rsidR="000134F4" w:rsidTr="006C52FF" w14:paraId="39263BAF" w14:textId="77777777">
        <w:tc>
          <w:tcPr>
            <w:tcW w:w="0" w:type="auto"/>
            <w:shd w:val="clear" w:color="auto" w:fill="auto"/>
          </w:tcPr>
          <w:p w:rsidRPr="000134F4" w:rsidR="000134F4" w:rsidP="000134F4" w:rsidRDefault="000134F4" w14:paraId="7B95F561" w14:textId="77777777">
            <w:pPr>
              <w:spacing w:before="0" w:line="240" w:lineRule="auto"/>
              <w:rPr>
                <w:b/>
                <w:bCs/>
                <w:sz w:val="26"/>
              </w:rPr>
            </w:pPr>
            <w:r w:rsidRPr="000134F4">
              <w:rPr>
                <w:b/>
                <w:bCs/>
                <w:sz w:val="26"/>
              </w:rPr>
              <w:t>TOTAL for FERC-917 and FERC-516F</w:t>
            </w:r>
          </w:p>
        </w:tc>
        <w:tc>
          <w:tcPr>
            <w:tcW w:w="0" w:type="auto"/>
            <w:shd w:val="clear" w:color="auto" w:fill="D9D9D9" w:themeFill="background1" w:themeFillShade="D9"/>
            <w:vAlign w:val="bottom"/>
          </w:tcPr>
          <w:p w:rsidRPr="000134F4" w:rsidR="000134F4" w:rsidP="000134F4" w:rsidRDefault="000134F4" w14:paraId="42F39767" w14:textId="77777777">
            <w:pPr>
              <w:spacing w:before="0" w:line="240" w:lineRule="auto"/>
              <w:rPr>
                <w:b/>
                <w:bCs/>
                <w:sz w:val="26"/>
              </w:rPr>
            </w:pPr>
          </w:p>
        </w:tc>
        <w:tc>
          <w:tcPr>
            <w:tcW w:w="0" w:type="auto"/>
            <w:shd w:val="clear" w:color="auto" w:fill="auto"/>
            <w:vAlign w:val="bottom"/>
          </w:tcPr>
          <w:p w:rsidRPr="000134F4" w:rsidR="000134F4" w:rsidP="000134F4" w:rsidRDefault="000134F4" w14:paraId="16042C5A" w14:textId="77777777">
            <w:pPr>
              <w:spacing w:before="0" w:line="240" w:lineRule="auto"/>
              <w:rPr>
                <w:b/>
                <w:bCs/>
                <w:sz w:val="26"/>
              </w:rPr>
            </w:pPr>
            <w:r w:rsidRPr="000134F4">
              <w:rPr>
                <w:b/>
                <w:bCs/>
                <w:sz w:val="26"/>
              </w:rPr>
              <w:t>$1,326,655</w:t>
            </w:r>
          </w:p>
        </w:tc>
      </w:tr>
    </w:tbl>
    <w:p w:rsidR="001B667D" w:rsidP="000134F4" w:rsidRDefault="001B667D" w14:paraId="6AC3FEE8" w14:textId="77777777">
      <w:pPr>
        <w:spacing w:before="0" w:line="240" w:lineRule="auto"/>
        <w:rPr>
          <w:b/>
          <w:bCs/>
          <w:sz w:val="26"/>
        </w:rPr>
      </w:pPr>
    </w:p>
    <w:p w:rsidRPr="000134F4" w:rsidR="000134F4" w:rsidP="000134F4" w:rsidRDefault="000134F4" w14:paraId="0ACC6AE4" w14:textId="1D915058">
      <w:pPr>
        <w:spacing w:before="0" w:line="240" w:lineRule="auto"/>
        <w:rPr>
          <w:bCs/>
          <w:sz w:val="26"/>
        </w:rPr>
      </w:pPr>
      <w:r w:rsidRPr="000134F4">
        <w:rPr>
          <w:b/>
          <w:bCs/>
          <w:sz w:val="26"/>
        </w:rPr>
        <w:t>15.</w:t>
      </w:r>
      <w:r w:rsidRPr="000134F4">
        <w:rPr>
          <w:b/>
          <w:bCs/>
          <w:sz w:val="26"/>
        </w:rPr>
        <w:tab/>
        <w:t>Explain the reasons for any program changes or adjustments in hour or cost burden.</w:t>
      </w:r>
    </w:p>
    <w:p w:rsidR="001B667D" w:rsidP="000134F4" w:rsidRDefault="001B667D" w14:paraId="6EA763F7" w14:textId="77777777">
      <w:pPr>
        <w:spacing w:before="0" w:line="240" w:lineRule="auto"/>
        <w:rPr>
          <w:bCs/>
          <w:sz w:val="26"/>
        </w:rPr>
      </w:pPr>
    </w:p>
    <w:p w:rsidR="000134F4" w:rsidP="000134F4" w:rsidRDefault="000134F4" w14:paraId="5F2D56C9" w14:textId="55EC5C17">
      <w:pPr>
        <w:spacing w:before="0" w:line="240" w:lineRule="auto"/>
        <w:rPr>
          <w:bCs/>
          <w:sz w:val="26"/>
        </w:rPr>
      </w:pPr>
      <w:r w:rsidRPr="000134F4">
        <w:rPr>
          <w:bCs/>
          <w:sz w:val="26"/>
        </w:rPr>
        <w:t>All of the PRA activities resulting from the reforms proposed in the NOPR would be program changes that the Commission has determined will assist in fulfilling its statutory obligations under FPA section 206.</w:t>
      </w:r>
    </w:p>
    <w:p w:rsidRPr="000134F4" w:rsidR="00334D9C" w:rsidP="000134F4" w:rsidRDefault="00334D9C" w14:paraId="6795CB99" w14:textId="77777777">
      <w:pPr>
        <w:spacing w:before="0" w:line="240" w:lineRule="auto"/>
        <w:rPr>
          <w:bCs/>
          <w:sz w:val="26"/>
        </w:rPr>
      </w:pPr>
    </w:p>
    <w:p w:rsidR="000134F4" w:rsidP="000134F4" w:rsidRDefault="000134F4" w14:paraId="6967526E" w14:textId="55530F62">
      <w:pPr>
        <w:spacing w:before="0" w:line="240" w:lineRule="auto"/>
        <w:rPr>
          <w:bCs/>
          <w:sz w:val="26"/>
        </w:rPr>
      </w:pPr>
      <w:r w:rsidRPr="000134F4">
        <w:rPr>
          <w:bCs/>
          <w:sz w:val="26"/>
        </w:rPr>
        <w:t xml:space="preserve">Some of the PRA activities in the NOPR would increase the total burden of FERC-917.  At present, the estimated annual burdens for FERC-917 are not differentiated according to whether they are for Year One or for subsequent years.  As shown in ROCIS for the </w:t>
      </w:r>
      <w:r w:rsidRPr="00017347">
        <w:rPr>
          <w:bCs/>
          <w:sz w:val="26"/>
          <w:u w:val="single"/>
        </w:rPr>
        <w:t>currently</w:t>
      </w:r>
      <w:r w:rsidRPr="000134F4">
        <w:rPr>
          <w:bCs/>
          <w:sz w:val="26"/>
        </w:rPr>
        <w:t xml:space="preserve"> active FERC-917 information collection, the approved burdens for FERC-917 are 162 responses and 83,927 hours.  (These totals do not include the totals for FERC-918, which is included in currently active control number 1902-0233, but which is not included in Docket No, RM21-17-000).</w:t>
      </w:r>
    </w:p>
    <w:p w:rsidRPr="000134F4" w:rsidR="001B667D" w:rsidP="000134F4" w:rsidRDefault="001B667D" w14:paraId="6E81F64B" w14:textId="77777777">
      <w:pPr>
        <w:spacing w:before="0" w:line="240" w:lineRule="auto"/>
        <w:rPr>
          <w:bCs/>
          <w:sz w:val="26"/>
        </w:rPr>
      </w:pPr>
    </w:p>
    <w:p w:rsidRPr="000134F4" w:rsidR="000134F4" w:rsidP="000134F4" w:rsidRDefault="000134F4" w14:paraId="3BD23801" w14:textId="77777777">
      <w:pPr>
        <w:spacing w:before="0" w:line="240" w:lineRule="auto"/>
        <w:rPr>
          <w:bCs/>
          <w:sz w:val="26"/>
        </w:rPr>
      </w:pPr>
      <w:r w:rsidRPr="000134F4">
        <w:rPr>
          <w:bCs/>
          <w:sz w:val="26"/>
        </w:rPr>
        <w:t>The proposed rule would affect FERC-917 by adding the cumulative totals of first-year and subsequent-year burdens:  an additional 1,125 responses and an additional 74,375 hours.  The net effect for FERC-917 would be:</w:t>
      </w:r>
    </w:p>
    <w:p w:rsidRPr="000134F4" w:rsidR="000134F4" w:rsidP="000134F4" w:rsidRDefault="000134F4" w14:paraId="0ABB4360" w14:textId="77777777">
      <w:pPr>
        <w:numPr>
          <w:ilvl w:val="0"/>
          <w:numId w:val="28"/>
        </w:numPr>
        <w:spacing w:before="0" w:line="240" w:lineRule="auto"/>
        <w:rPr>
          <w:bCs/>
          <w:sz w:val="26"/>
        </w:rPr>
      </w:pPr>
      <w:r w:rsidRPr="000134F4">
        <w:rPr>
          <w:bCs/>
          <w:sz w:val="26"/>
        </w:rPr>
        <w:t>162 responses plus 1,125 responses =  1,287 responses; and</w:t>
      </w:r>
    </w:p>
    <w:p w:rsidR="000134F4" w:rsidP="000134F4" w:rsidRDefault="000134F4" w14:paraId="4D147884" w14:textId="0F7E6220">
      <w:pPr>
        <w:numPr>
          <w:ilvl w:val="0"/>
          <w:numId w:val="28"/>
        </w:numPr>
        <w:spacing w:before="0" w:line="240" w:lineRule="auto"/>
        <w:rPr>
          <w:bCs/>
          <w:sz w:val="26"/>
        </w:rPr>
      </w:pPr>
      <w:r w:rsidRPr="000134F4">
        <w:rPr>
          <w:bCs/>
          <w:sz w:val="26"/>
        </w:rPr>
        <w:t>83,927 hours plus 74,375 hours = 158,302 hours.</w:t>
      </w:r>
    </w:p>
    <w:p w:rsidRPr="000134F4" w:rsidR="00334D9C" w:rsidP="00334D9C" w:rsidRDefault="00334D9C" w14:paraId="7E8722FD" w14:textId="77777777">
      <w:pPr>
        <w:spacing w:before="0" w:line="240" w:lineRule="auto"/>
        <w:rPr>
          <w:bCs/>
          <w:sz w:val="26"/>
        </w:rPr>
      </w:pPr>
    </w:p>
    <w:p w:rsidRPr="000134F4" w:rsidR="000134F4" w:rsidP="000134F4" w:rsidRDefault="000134F4" w14:paraId="25603419" w14:textId="643DBC03">
      <w:pPr>
        <w:spacing w:before="0" w:line="240" w:lineRule="auto"/>
        <w:rPr>
          <w:bCs/>
          <w:sz w:val="26"/>
        </w:rPr>
      </w:pPr>
      <w:r w:rsidRPr="000134F4">
        <w:rPr>
          <w:bCs/>
          <w:sz w:val="26"/>
        </w:rPr>
        <w:t>The remaining PRA activity involved in this proposed rule, in FERC-516F, would replace the historical inactive burdens that have been combined with the burdens in FERC-516</w:t>
      </w:r>
      <w:r w:rsidR="00F625A3">
        <w:rPr>
          <w:bCs/>
          <w:sz w:val="26"/>
        </w:rPr>
        <w:t xml:space="preserve"> ―and </w:t>
      </w:r>
      <w:r w:rsidR="006362C7">
        <w:rPr>
          <w:bCs/>
          <w:sz w:val="26"/>
        </w:rPr>
        <w:t>therefore are no longer included in FERC-516F</w:t>
      </w:r>
      <w:r w:rsidRPr="000134F4">
        <w:rPr>
          <w:bCs/>
          <w:sz w:val="26"/>
        </w:rPr>
        <w:t>.  The burdens for th</w:t>
      </w:r>
      <w:r w:rsidR="00DC7BFB">
        <w:rPr>
          <w:bCs/>
          <w:sz w:val="26"/>
        </w:rPr>
        <w:t xml:space="preserve">e new, sole </w:t>
      </w:r>
      <w:r w:rsidRPr="000134F4">
        <w:rPr>
          <w:bCs/>
          <w:sz w:val="26"/>
        </w:rPr>
        <w:t>activity</w:t>
      </w:r>
      <w:r w:rsidR="00DC7BFB">
        <w:rPr>
          <w:bCs/>
          <w:sz w:val="26"/>
        </w:rPr>
        <w:t xml:space="preserve"> on FEERC-516F</w:t>
      </w:r>
      <w:r w:rsidRPr="000134F4">
        <w:rPr>
          <w:bCs/>
          <w:sz w:val="26"/>
        </w:rPr>
        <w:t xml:space="preserve"> would be 125 responses and a total of 3,750 hours in Year 1.  There would be no burdens </w:t>
      </w:r>
      <w:r w:rsidR="001A0F8F">
        <w:rPr>
          <w:bCs/>
          <w:sz w:val="26"/>
        </w:rPr>
        <w:t>after Year 1</w:t>
      </w:r>
      <w:r w:rsidR="00666B29">
        <w:rPr>
          <w:bCs/>
          <w:sz w:val="26"/>
        </w:rPr>
        <w:t>.</w:t>
      </w:r>
    </w:p>
    <w:p w:rsidR="001B667D" w:rsidP="000134F4" w:rsidRDefault="001B667D" w14:paraId="59AFF29D" w14:textId="77777777">
      <w:pPr>
        <w:spacing w:before="0" w:line="240" w:lineRule="auto"/>
        <w:rPr>
          <w:b/>
          <w:bCs/>
          <w:sz w:val="26"/>
        </w:rPr>
      </w:pPr>
    </w:p>
    <w:p w:rsidRPr="000134F4" w:rsidR="000134F4" w:rsidP="000134F4" w:rsidRDefault="000134F4" w14:paraId="76BB7C3E" w14:textId="3622374A">
      <w:pPr>
        <w:spacing w:before="0" w:line="240" w:lineRule="auto"/>
        <w:rPr>
          <w:bCs/>
          <w:sz w:val="26"/>
        </w:rPr>
      </w:pPr>
      <w:r w:rsidRPr="000134F4">
        <w:rPr>
          <w:b/>
          <w:bCs/>
          <w:sz w:val="26"/>
        </w:rPr>
        <w:t>16.</w:t>
      </w:r>
      <w:r w:rsidRPr="000134F4">
        <w:rPr>
          <w:b/>
          <w:bCs/>
          <w:sz w:val="26"/>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B667D" w:rsidP="000134F4" w:rsidRDefault="001B667D" w14:paraId="2E3895AF" w14:textId="77777777">
      <w:pPr>
        <w:spacing w:before="0" w:line="240" w:lineRule="auto"/>
        <w:rPr>
          <w:bCs/>
          <w:sz w:val="26"/>
        </w:rPr>
      </w:pPr>
    </w:p>
    <w:p w:rsidRPr="000134F4" w:rsidR="000134F4" w:rsidP="000134F4" w:rsidRDefault="000134F4" w14:paraId="119A5C93" w14:textId="2BAD30DF">
      <w:pPr>
        <w:spacing w:before="0" w:line="240" w:lineRule="auto"/>
        <w:rPr>
          <w:bCs/>
          <w:sz w:val="26"/>
        </w:rPr>
      </w:pPr>
      <w:r w:rsidRPr="000134F4">
        <w:rPr>
          <w:bCs/>
          <w:sz w:val="26"/>
        </w:rPr>
        <w:t>There is no publication of data.</w:t>
      </w:r>
    </w:p>
    <w:p w:rsidR="001B667D" w:rsidP="000134F4" w:rsidRDefault="001B667D" w14:paraId="6045B12C" w14:textId="77777777">
      <w:pPr>
        <w:spacing w:before="0" w:line="240" w:lineRule="auto"/>
        <w:rPr>
          <w:b/>
          <w:bCs/>
          <w:sz w:val="26"/>
        </w:rPr>
      </w:pPr>
    </w:p>
    <w:p w:rsidRPr="000134F4" w:rsidR="000134F4" w:rsidP="000134F4" w:rsidRDefault="000134F4" w14:paraId="69DE253A" w14:textId="763EBF81">
      <w:pPr>
        <w:spacing w:before="0" w:line="240" w:lineRule="auto"/>
        <w:rPr>
          <w:b/>
          <w:bCs/>
          <w:sz w:val="26"/>
        </w:rPr>
      </w:pPr>
      <w:r w:rsidRPr="000134F4">
        <w:rPr>
          <w:b/>
          <w:bCs/>
          <w:sz w:val="26"/>
        </w:rPr>
        <w:t>17.</w:t>
      </w:r>
      <w:r w:rsidRPr="000134F4">
        <w:rPr>
          <w:b/>
          <w:bCs/>
          <w:sz w:val="26"/>
        </w:rPr>
        <w:tab/>
        <w:t>If seeking approval to not display the expiration date for OMB approval of the information collection, explain the reasons that display would be inappropriate.</w:t>
      </w:r>
    </w:p>
    <w:p w:rsidR="001B667D" w:rsidP="000134F4" w:rsidRDefault="001B667D" w14:paraId="0A7315A7" w14:textId="77777777">
      <w:pPr>
        <w:spacing w:before="0" w:line="240" w:lineRule="auto"/>
        <w:rPr>
          <w:bCs/>
          <w:sz w:val="26"/>
        </w:rPr>
      </w:pPr>
    </w:p>
    <w:p w:rsidR="000134F4" w:rsidP="000134F4" w:rsidRDefault="000134F4" w14:paraId="0A471A42" w14:textId="63AC3127">
      <w:pPr>
        <w:spacing w:before="0" w:line="240" w:lineRule="auto"/>
        <w:rPr>
          <w:bCs/>
          <w:sz w:val="26"/>
        </w:rPr>
      </w:pPr>
      <w:r w:rsidRPr="000134F4">
        <w:rPr>
          <w:bCs/>
          <w:sz w:val="26"/>
        </w:rPr>
        <w:t xml:space="preserve">The Commission expects to post the relevant expiration dates at </w:t>
      </w:r>
      <w:hyperlink w:history="1" r:id="rId12">
        <w:r w:rsidRPr="0078518D" w:rsidR="009660F7">
          <w:rPr>
            <w:rStyle w:val="Hyperlink"/>
            <w:bCs/>
            <w:sz w:val="26"/>
          </w:rPr>
          <w:t>https://www.ferc.gov/media/information-collections</w:t>
        </w:r>
      </w:hyperlink>
      <w:r w:rsidR="009660F7">
        <w:rPr>
          <w:bCs/>
          <w:sz w:val="26"/>
        </w:rPr>
        <w:t>.</w:t>
      </w:r>
    </w:p>
    <w:p w:rsidR="001B667D" w:rsidP="000134F4" w:rsidRDefault="001B667D" w14:paraId="7E8763C3" w14:textId="77777777">
      <w:pPr>
        <w:spacing w:before="0" w:line="240" w:lineRule="auto"/>
        <w:rPr>
          <w:b/>
          <w:bCs/>
          <w:sz w:val="26"/>
        </w:rPr>
      </w:pPr>
    </w:p>
    <w:p w:rsidRPr="000134F4" w:rsidR="000134F4" w:rsidP="000134F4" w:rsidRDefault="000134F4" w14:paraId="64C716F0" w14:textId="053C8A04">
      <w:pPr>
        <w:spacing w:before="0" w:line="240" w:lineRule="auto"/>
        <w:rPr>
          <w:b/>
          <w:bCs/>
          <w:sz w:val="26"/>
        </w:rPr>
      </w:pPr>
      <w:r w:rsidRPr="000134F4">
        <w:rPr>
          <w:b/>
          <w:bCs/>
          <w:sz w:val="26"/>
        </w:rPr>
        <w:t>18.</w:t>
      </w:r>
      <w:r w:rsidRPr="000134F4">
        <w:rPr>
          <w:b/>
          <w:bCs/>
          <w:sz w:val="26"/>
        </w:rPr>
        <w:tab/>
        <w:t>Explain each exception to the topics of the certification statement identified in "Certification for Paperwork Reduction Act Submissions."</w:t>
      </w:r>
    </w:p>
    <w:p w:rsidR="001B667D" w:rsidP="000134F4" w:rsidRDefault="001B667D" w14:paraId="21F0B0EA" w14:textId="77777777">
      <w:pPr>
        <w:spacing w:before="0" w:line="240" w:lineRule="auto"/>
        <w:rPr>
          <w:bCs/>
          <w:sz w:val="26"/>
        </w:rPr>
      </w:pPr>
    </w:p>
    <w:p w:rsidRPr="000134F4" w:rsidR="002344E3" w:rsidP="00FD2295" w:rsidRDefault="000134F4" w14:paraId="1060531F" w14:textId="67155124">
      <w:pPr>
        <w:spacing w:before="0" w:line="240" w:lineRule="auto"/>
        <w:rPr>
          <w:bCs/>
          <w:sz w:val="26"/>
        </w:rPr>
      </w:pPr>
      <w:r w:rsidRPr="000134F4">
        <w:rPr>
          <w:bCs/>
          <w:sz w:val="26"/>
        </w:rPr>
        <w:t>There are no exceptions.</w:t>
      </w:r>
    </w:p>
    <w:sectPr w:rsidRPr="000134F4" w:rsidR="002344E3" w:rsidSect="003A2374">
      <w:head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1CA5" w14:textId="77777777" w:rsidR="00E50D5E" w:rsidRDefault="00E50D5E">
      <w:r>
        <w:separator/>
      </w:r>
    </w:p>
  </w:endnote>
  <w:endnote w:type="continuationSeparator" w:id="0">
    <w:p w14:paraId="7F3C58D6" w14:textId="77777777" w:rsidR="00E50D5E" w:rsidRDefault="00E5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7AB9B" w14:textId="77777777" w:rsidR="00E50D5E" w:rsidRDefault="00E50D5E">
      <w:r>
        <w:separator/>
      </w:r>
    </w:p>
  </w:footnote>
  <w:footnote w:type="continuationSeparator" w:id="0">
    <w:p w14:paraId="58F40898" w14:textId="77777777" w:rsidR="00E50D5E" w:rsidRDefault="00E50D5E">
      <w:r>
        <w:continuationSeparator/>
      </w:r>
    </w:p>
  </w:footnote>
  <w:footnote w:id="1">
    <w:p w14:paraId="5B543C78" w14:textId="77777777" w:rsidR="00E73A63" w:rsidRDefault="003E7501" w:rsidP="00315CE2">
      <w:pPr>
        <w:pStyle w:val="FootnoteText"/>
        <w:tabs>
          <w:tab w:val="left" w:pos="1710"/>
        </w:tabs>
        <w:spacing w:before="0" w:line="240" w:lineRule="auto"/>
        <w:rPr>
          <w:sz w:val="26"/>
          <w:szCs w:val="22"/>
        </w:rPr>
      </w:pPr>
      <w:r w:rsidRPr="00315CE2">
        <w:rPr>
          <w:rStyle w:val="FootnoteReference"/>
          <w:sz w:val="26"/>
          <w:szCs w:val="22"/>
          <w:vertAlign w:val="superscript"/>
        </w:rPr>
        <w:footnoteRef/>
      </w:r>
      <w:r w:rsidRPr="00315CE2">
        <w:rPr>
          <w:sz w:val="26"/>
          <w:szCs w:val="22"/>
          <w:vertAlign w:val="superscript"/>
        </w:rPr>
        <w:t xml:space="preserve"> </w:t>
      </w:r>
      <w:r w:rsidRPr="00315CE2">
        <w:rPr>
          <w:sz w:val="26"/>
          <w:szCs w:val="22"/>
        </w:rPr>
        <w:t>16 U.S.C. 824e</w:t>
      </w:r>
    </w:p>
    <w:p w14:paraId="1F7A7873" w14:textId="28A9A859" w:rsidR="003E7501" w:rsidRPr="00315CE2" w:rsidRDefault="003E7501" w:rsidP="00315CE2">
      <w:pPr>
        <w:pStyle w:val="FootnoteText"/>
        <w:tabs>
          <w:tab w:val="left" w:pos="1710"/>
        </w:tabs>
        <w:spacing w:before="0" w:line="240" w:lineRule="auto"/>
        <w:rPr>
          <w:sz w:val="26"/>
          <w:szCs w:val="22"/>
        </w:rPr>
      </w:pPr>
    </w:p>
  </w:footnote>
  <w:footnote w:id="2">
    <w:p w14:paraId="4F9D9337" w14:textId="3CBE4CBE" w:rsidR="00857E8E" w:rsidRDefault="00F80606" w:rsidP="00921506">
      <w:pPr>
        <w:pStyle w:val="FootnoteText"/>
        <w:spacing w:before="0" w:line="240" w:lineRule="auto"/>
        <w:rPr>
          <w:sz w:val="26"/>
        </w:rPr>
      </w:pPr>
      <w:r w:rsidRPr="00C86BFE">
        <w:rPr>
          <w:rStyle w:val="FootnoteReference"/>
          <w:sz w:val="26"/>
          <w:vertAlign w:val="superscript"/>
        </w:rPr>
        <w:footnoteRef/>
      </w:r>
      <w:r w:rsidRPr="00C86BFE">
        <w:rPr>
          <w:sz w:val="26"/>
        </w:rPr>
        <w:t xml:space="preserve"> As defined at 16 U.S.C. 824(e)</w:t>
      </w:r>
      <w:r w:rsidR="00471864">
        <w:rPr>
          <w:sz w:val="26"/>
        </w:rPr>
        <w:t>,</w:t>
      </w:r>
      <w:r w:rsidRPr="00C86BFE">
        <w:rPr>
          <w:sz w:val="26"/>
        </w:rPr>
        <w:t xml:space="preserve"> a “public utility” is any person who owns or operates facilities subject to the jurisdiction of the Comm</w:t>
      </w:r>
      <w:r w:rsidR="00002C89">
        <w:rPr>
          <w:sz w:val="26"/>
        </w:rPr>
        <w:t>i</w:t>
      </w:r>
      <w:r w:rsidRPr="00C86BFE">
        <w:rPr>
          <w:sz w:val="26"/>
        </w:rPr>
        <w:t>ssion under Subchapter</w:t>
      </w:r>
      <w:r w:rsidR="0082075F">
        <w:rPr>
          <w:sz w:val="26"/>
        </w:rPr>
        <w:t>s</w:t>
      </w:r>
      <w:r w:rsidRPr="00C86BFE">
        <w:rPr>
          <w:sz w:val="26"/>
        </w:rPr>
        <w:t xml:space="preserve"> II </w:t>
      </w:r>
      <w:r w:rsidR="0082075F">
        <w:rPr>
          <w:sz w:val="26"/>
        </w:rPr>
        <w:t xml:space="preserve">and III </w:t>
      </w:r>
      <w:r w:rsidRPr="00C86BFE">
        <w:rPr>
          <w:sz w:val="26"/>
        </w:rPr>
        <w:t>of the FPA</w:t>
      </w:r>
      <w:r w:rsidR="008D36F2">
        <w:rPr>
          <w:sz w:val="26"/>
        </w:rPr>
        <w:t>.</w:t>
      </w:r>
    </w:p>
    <w:p w14:paraId="6B92EFE9" w14:textId="77777777" w:rsidR="00E73A63" w:rsidRPr="00C86BFE" w:rsidRDefault="00E73A63" w:rsidP="00921506">
      <w:pPr>
        <w:pStyle w:val="FootnoteText"/>
        <w:spacing w:before="0" w:line="240" w:lineRule="auto"/>
        <w:rPr>
          <w:sz w:val="26"/>
        </w:rPr>
      </w:pPr>
    </w:p>
  </w:footnote>
  <w:footnote w:id="3">
    <w:p w14:paraId="0C21D8A5" w14:textId="3FA6A71A" w:rsidR="00085A9D" w:rsidRPr="00315CE2" w:rsidRDefault="00085A9D" w:rsidP="00085A9D">
      <w:pPr>
        <w:pStyle w:val="FootnoteText"/>
        <w:tabs>
          <w:tab w:val="left" w:pos="1710"/>
        </w:tabs>
        <w:spacing w:before="0" w:line="240" w:lineRule="auto"/>
        <w:rPr>
          <w:sz w:val="26"/>
        </w:rPr>
      </w:pPr>
      <w:r w:rsidRPr="00315CE2">
        <w:rPr>
          <w:rStyle w:val="FootnoteReference"/>
          <w:sz w:val="26"/>
          <w:vertAlign w:val="superscript"/>
        </w:rPr>
        <w:footnoteRef/>
      </w:r>
      <w:r w:rsidRPr="00315CE2">
        <w:rPr>
          <w:sz w:val="26"/>
        </w:rPr>
        <w:t xml:space="preserve"> </w:t>
      </w:r>
      <w:hyperlink r:id="rId1" w:history="1">
        <w:r w:rsidR="008A7E3B" w:rsidRPr="000D12E1">
          <w:rPr>
            <w:rStyle w:val="Hyperlink"/>
            <w:sz w:val="26"/>
          </w:rPr>
          <w:t>https://www.fercgov/media/pro-forma-oatt-effective-march-14-2022</w:t>
        </w:r>
      </w:hyperlink>
    </w:p>
  </w:footnote>
  <w:footnote w:id="4">
    <w:p w14:paraId="029FEF32" w14:textId="36C6FBD8" w:rsidR="00857E8E" w:rsidRDefault="00C24638" w:rsidP="00453931">
      <w:pPr>
        <w:pStyle w:val="FootnoteText"/>
        <w:tabs>
          <w:tab w:val="left" w:pos="1710"/>
        </w:tabs>
        <w:spacing w:before="0" w:line="240" w:lineRule="auto"/>
        <w:rPr>
          <w:rStyle w:val="Hyperlink"/>
          <w:sz w:val="26"/>
        </w:rPr>
      </w:pPr>
      <w:r w:rsidRPr="00315CE2">
        <w:rPr>
          <w:rStyle w:val="FootnoteReference"/>
          <w:sz w:val="26"/>
          <w:vertAlign w:val="superscript"/>
        </w:rPr>
        <w:footnoteRef/>
      </w:r>
      <w:r w:rsidRPr="00315CE2">
        <w:rPr>
          <w:sz w:val="26"/>
        </w:rPr>
        <w:t xml:space="preserve"> </w:t>
      </w:r>
      <w:hyperlink r:id="rId2" w:history="1">
        <w:r w:rsidR="006F7E09" w:rsidRPr="000D12E1">
          <w:rPr>
            <w:rStyle w:val="Hyperlink"/>
            <w:sz w:val="26"/>
          </w:rPr>
          <w:t>https://www.ferc.gov/sites/default/files/2020-04/LGIP-procedures.pdf</w:t>
        </w:r>
      </w:hyperlink>
    </w:p>
    <w:p w14:paraId="0AB85A20" w14:textId="77777777" w:rsidR="00E73A63" w:rsidRPr="00453931" w:rsidRDefault="00E73A63" w:rsidP="00453931">
      <w:pPr>
        <w:pStyle w:val="FootnoteText"/>
        <w:tabs>
          <w:tab w:val="left" w:pos="1710"/>
        </w:tabs>
        <w:spacing w:before="0" w:line="240" w:lineRule="auto"/>
        <w:rPr>
          <w:sz w:val="26"/>
        </w:rPr>
      </w:pPr>
    </w:p>
  </w:footnote>
  <w:footnote w:id="5">
    <w:p w14:paraId="6666E505" w14:textId="2BC12A14" w:rsidR="00266C35" w:rsidRPr="00854F12" w:rsidRDefault="00266C35" w:rsidP="00360C10">
      <w:pPr>
        <w:pStyle w:val="FootnoteText"/>
        <w:spacing w:before="0" w:line="240" w:lineRule="auto"/>
        <w:rPr>
          <w:sz w:val="26"/>
        </w:rPr>
      </w:pPr>
      <w:r w:rsidRPr="00854F12">
        <w:rPr>
          <w:rStyle w:val="FootnoteReference"/>
          <w:sz w:val="26"/>
          <w:vertAlign w:val="superscript"/>
        </w:rPr>
        <w:footnoteRef/>
      </w:r>
      <w:r w:rsidRPr="00854F12">
        <w:rPr>
          <w:sz w:val="26"/>
        </w:rPr>
        <w:t xml:space="preserve"> </w:t>
      </w:r>
      <w:r w:rsidR="00EF1A0C" w:rsidRPr="00854F12">
        <w:rPr>
          <w:sz w:val="26"/>
        </w:rPr>
        <w:t>As defined at 18 CFR 37.3</w:t>
      </w:r>
      <w:r w:rsidR="00360C10" w:rsidRPr="00854F12">
        <w:rPr>
          <w:sz w:val="26"/>
        </w:rPr>
        <w:t>(a)</w:t>
      </w:r>
      <w:r w:rsidR="00EF1A0C" w:rsidRPr="00854F12">
        <w:rPr>
          <w:sz w:val="26"/>
        </w:rPr>
        <w:t xml:space="preserve"> </w:t>
      </w:r>
      <w:r w:rsidR="000A7C34">
        <w:rPr>
          <w:sz w:val="26"/>
        </w:rPr>
        <w:t xml:space="preserve">a </w:t>
      </w:r>
      <w:r w:rsidR="00EF1A0C" w:rsidRPr="00854F12">
        <w:rPr>
          <w:sz w:val="26"/>
        </w:rPr>
        <w:t>“Transmission Provider” is any public utility that owns, operates, or controls facilities for the transmission of electric energy in in</w:t>
      </w:r>
      <w:r w:rsidR="00360C10" w:rsidRPr="00854F12">
        <w:rPr>
          <w:sz w:val="26"/>
        </w:rPr>
        <w:t>terstate commerce.</w:t>
      </w:r>
    </w:p>
  </w:footnote>
  <w:footnote w:id="6">
    <w:p w14:paraId="56BFC3D4" w14:textId="310BCF74" w:rsidR="0012442B" w:rsidRPr="00FB5D0E" w:rsidRDefault="0012442B">
      <w:pPr>
        <w:pStyle w:val="FootnoteText"/>
        <w:rPr>
          <w:sz w:val="26"/>
        </w:rPr>
      </w:pPr>
      <w:r w:rsidRPr="00A42E13">
        <w:rPr>
          <w:rStyle w:val="FootnoteReference"/>
          <w:sz w:val="26"/>
          <w:vertAlign w:val="superscript"/>
        </w:rPr>
        <w:footnoteRef/>
      </w:r>
      <w:r w:rsidRPr="00FB5D0E">
        <w:rPr>
          <w:sz w:val="26"/>
        </w:rPr>
        <w:t xml:space="preserve"> </w:t>
      </w:r>
      <w:r w:rsidR="00CF11C1" w:rsidRPr="00FB5D0E">
        <w:rPr>
          <w:sz w:val="26"/>
        </w:rPr>
        <w:t>Public utility transmission provide</w:t>
      </w:r>
      <w:r w:rsidR="00CC0F27" w:rsidRPr="00FB5D0E">
        <w:rPr>
          <w:sz w:val="26"/>
        </w:rPr>
        <w:t>r</w:t>
      </w:r>
      <w:r w:rsidR="001640BD">
        <w:rPr>
          <w:sz w:val="26"/>
        </w:rPr>
        <w:t>s</w:t>
      </w:r>
      <w:r w:rsidR="00CC0F27" w:rsidRPr="00FB5D0E">
        <w:rPr>
          <w:sz w:val="26"/>
        </w:rPr>
        <w:t xml:space="preserve">, in consultation with stakeholders and affected states, </w:t>
      </w:r>
      <w:r w:rsidR="00DE3757" w:rsidRPr="00FB5D0E">
        <w:rPr>
          <w:sz w:val="26"/>
        </w:rPr>
        <w:t xml:space="preserve">establish transmission planning regions in which they participate for </w:t>
      </w:r>
      <w:r w:rsidR="00FB5D0E" w:rsidRPr="00FB5D0E">
        <w:rPr>
          <w:sz w:val="26"/>
        </w:rPr>
        <w:t>purposes of regional transmission planning and the development of a single regional plan.</w:t>
      </w:r>
      <w:r w:rsidR="00CC0F27" w:rsidRPr="00FB5D0E">
        <w:rPr>
          <w:sz w:val="26"/>
        </w:rPr>
        <w:t xml:space="preserve"> </w:t>
      </w:r>
    </w:p>
  </w:footnote>
  <w:footnote w:id="7">
    <w:p w14:paraId="683070FA" w14:textId="6A2AF0D4" w:rsidR="00C94A6D" w:rsidRPr="00A42E13" w:rsidRDefault="00C94A6D" w:rsidP="00C94A6D">
      <w:pPr>
        <w:pStyle w:val="FootnoteText"/>
        <w:rPr>
          <w:sz w:val="26"/>
        </w:rPr>
      </w:pPr>
      <w:r w:rsidRPr="00BE7AF4">
        <w:rPr>
          <w:rStyle w:val="FootnoteReference"/>
          <w:sz w:val="26"/>
          <w:vertAlign w:val="superscript"/>
        </w:rPr>
        <w:footnoteRef/>
      </w:r>
      <w:r w:rsidRPr="00A42E13">
        <w:rPr>
          <w:sz w:val="26"/>
        </w:rPr>
        <w:t xml:space="preserve"> </w:t>
      </w:r>
      <w:r w:rsidR="00BE7AF4">
        <w:rPr>
          <w:sz w:val="26"/>
        </w:rPr>
        <w:t xml:space="preserve">As used in the </w:t>
      </w:r>
      <w:r w:rsidR="00115747">
        <w:rPr>
          <w:sz w:val="26"/>
        </w:rPr>
        <w:t>NOPR, the term “</w:t>
      </w:r>
      <w:r w:rsidRPr="00A42E13">
        <w:rPr>
          <w:sz w:val="26"/>
        </w:rPr>
        <w:t>Long-Term Scenarios</w:t>
      </w:r>
      <w:r w:rsidR="00115747">
        <w:rPr>
          <w:sz w:val="26"/>
        </w:rPr>
        <w:t xml:space="preserve">” describes </w:t>
      </w:r>
      <w:r w:rsidRPr="00A42E13">
        <w:rPr>
          <w:sz w:val="26"/>
        </w:rPr>
        <w:t>a tool to identify transmission needs driven by changes in the resource mix and demand, and</w:t>
      </w:r>
      <w:r w:rsidR="00230905">
        <w:rPr>
          <w:sz w:val="26"/>
        </w:rPr>
        <w:t xml:space="preserve"> to</w:t>
      </w:r>
      <w:r w:rsidRPr="00A42E13">
        <w:rPr>
          <w:sz w:val="26"/>
        </w:rPr>
        <w:t xml:space="preserve"> enable the evaluation of transmission facilities to meet such needs, across multiple scenarios that incorporate different assumptions about the future electric power system over a sufficiently long-term, forward-looking transmission planning horizon. </w:t>
      </w:r>
    </w:p>
  </w:footnote>
  <w:footnote w:id="8">
    <w:p w14:paraId="5BC68257" w14:textId="3C1BF9D8" w:rsidR="00BB6C7E" w:rsidRPr="00B873FB" w:rsidRDefault="00BB6C7E" w:rsidP="00BB6C7E">
      <w:pPr>
        <w:pStyle w:val="FootnoteText"/>
        <w:rPr>
          <w:sz w:val="26"/>
        </w:rPr>
      </w:pPr>
      <w:r w:rsidRPr="00B13CA1">
        <w:rPr>
          <w:rStyle w:val="FootnoteReference"/>
          <w:sz w:val="26"/>
          <w:vertAlign w:val="superscript"/>
        </w:rPr>
        <w:footnoteRef/>
      </w:r>
      <w:r w:rsidRPr="00B873FB">
        <w:rPr>
          <w:sz w:val="26"/>
        </w:rPr>
        <w:t xml:space="preserve"> 86 FR 40266</w:t>
      </w:r>
      <w:r w:rsidR="003C5D87">
        <w:rPr>
          <w:sz w:val="26"/>
        </w:rPr>
        <w:t>.</w:t>
      </w:r>
    </w:p>
  </w:footnote>
  <w:footnote w:id="9">
    <w:p w14:paraId="24324B85" w14:textId="42E1C569" w:rsidR="00AE11EB" w:rsidRDefault="00AE11EB">
      <w:pPr>
        <w:pStyle w:val="FootnoteText"/>
      </w:pPr>
      <w:r>
        <w:rPr>
          <w:rStyle w:val="FootnoteReference"/>
        </w:rPr>
        <w:footnoteRef/>
      </w:r>
      <w:r w:rsidRPr="002B66EB">
        <w:rPr>
          <w:sz w:val="26"/>
          <w:szCs w:val="26"/>
        </w:rPr>
        <w:t xml:space="preserve"> </w:t>
      </w:r>
      <w:hyperlink r:id="rId3" w:history="1">
        <w:r w:rsidR="003003EC" w:rsidRPr="002B66EB">
          <w:rPr>
            <w:rStyle w:val="Hyperlink"/>
            <w:sz w:val="26"/>
            <w:szCs w:val="26"/>
          </w:rPr>
          <w:t>file:///C:/Users/jnsed34/Downloads/20220420-4001_Final%20Transcript%20-%2011-15-21%20(1).pdf</w:t>
        </w:r>
      </w:hyperlink>
    </w:p>
    <w:p w14:paraId="380313BE" w14:textId="77777777" w:rsidR="003003EC" w:rsidRDefault="003003EC">
      <w:pPr>
        <w:pStyle w:val="FootnoteText"/>
      </w:pPr>
    </w:p>
  </w:footnote>
  <w:footnote w:id="10">
    <w:p w14:paraId="3C991609" w14:textId="77777777" w:rsidR="001B22FA" w:rsidRDefault="001B22FA" w:rsidP="001B22FA">
      <w:pPr>
        <w:pStyle w:val="FootnoteText"/>
      </w:pPr>
      <w:r w:rsidRPr="00AC279B">
        <w:rPr>
          <w:rStyle w:val="FootnoteReference"/>
          <w:sz w:val="26"/>
        </w:rPr>
        <w:footnoteRef/>
      </w:r>
      <w:r w:rsidRPr="00AC279B">
        <w:rPr>
          <w:sz w:val="26"/>
        </w:rPr>
        <w:t xml:space="preserve"> “Burden” is the total time, effort, or financial resources expended by persons to generate, maintain, retain, or disclose or provide information to or for a Federal agency.  </w:t>
      </w:r>
      <w:r w:rsidRPr="00EE3841">
        <w:rPr>
          <w:sz w:val="26"/>
        </w:rPr>
        <w:t>For further explanation of what is included in the information collection burden, refer to 5 CFR 1320.3.</w:t>
      </w:r>
    </w:p>
  </w:footnote>
  <w:footnote w:id="11">
    <w:p w14:paraId="43241145" w14:textId="77777777" w:rsidR="000134F4" w:rsidRPr="00423B4A" w:rsidRDefault="000134F4" w:rsidP="000134F4">
      <w:pPr>
        <w:pStyle w:val="FootnoteText"/>
        <w:rPr>
          <w:sz w:val="26"/>
          <w:szCs w:val="22"/>
        </w:rPr>
      </w:pPr>
      <w:r w:rsidRPr="00A668FA">
        <w:rPr>
          <w:rStyle w:val="FootnoteReference"/>
          <w:sz w:val="26"/>
          <w:szCs w:val="22"/>
          <w:vertAlign w:val="superscript"/>
        </w:rPr>
        <w:footnoteRef/>
      </w:r>
      <w:r w:rsidRPr="00423B4A">
        <w:rPr>
          <w:sz w:val="26"/>
          <w:szCs w:val="22"/>
        </w:rPr>
        <w:t xml:space="preserve"> Based upon FERC’s 2021 FTE average annual salary plus benefits ($180,703).</w:t>
      </w:r>
    </w:p>
  </w:footnote>
  <w:footnote w:id="12">
    <w:p w14:paraId="59B76F5D" w14:textId="77777777" w:rsidR="000134F4" w:rsidRPr="00934F4A" w:rsidRDefault="000134F4" w:rsidP="000134F4">
      <w:pPr>
        <w:pStyle w:val="FootnoteText"/>
        <w:rPr>
          <w:sz w:val="26"/>
        </w:rPr>
      </w:pPr>
      <w:r w:rsidRPr="00934F4A">
        <w:rPr>
          <w:rStyle w:val="FootnoteReference"/>
          <w:sz w:val="26"/>
          <w:vertAlign w:val="superscript"/>
        </w:rPr>
        <w:footnoteRef/>
      </w:r>
      <w:r w:rsidRPr="00934F4A">
        <w:rPr>
          <w:sz w:val="26"/>
          <w:vertAlign w:val="superscript"/>
        </w:rPr>
        <w:t xml:space="preserve"> </w:t>
      </w:r>
      <w:r w:rsidRPr="00934F4A">
        <w:rPr>
          <w:sz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E27" w14:textId="3B305BD8" w:rsidR="00FC4AF3" w:rsidRDefault="00FC4AF3" w:rsidP="00D54533">
    <w:pPr>
      <w:pStyle w:val="Header"/>
      <w:spacing w:before="0" w:line="240" w:lineRule="auto"/>
    </w:pPr>
    <w:r>
      <w:t>Proposed revisions of FERC-51</w:t>
    </w:r>
    <w:r w:rsidR="00866711">
      <w:t>6</w:t>
    </w:r>
    <w:r>
      <w:t xml:space="preserve">F </w:t>
    </w:r>
    <w:r w:rsidR="0011715E" w:rsidRPr="004E533C">
      <w:t>(OMB Control N</w:t>
    </w:r>
    <w:r w:rsidR="0011715E">
      <w:t>o.</w:t>
    </w:r>
    <w:r w:rsidR="0011715E" w:rsidRPr="004E533C">
      <w:t xml:space="preserve"> 1902-0297)</w:t>
    </w:r>
    <w:r w:rsidR="0011715E">
      <w:t xml:space="preserve"> </w:t>
    </w:r>
    <w:r>
      <w:t>and FERC-917</w:t>
    </w:r>
    <w:r w:rsidR="0011715E">
      <w:t xml:space="preserve"> </w:t>
    </w:r>
    <w:r w:rsidR="0011715E" w:rsidRPr="004E533C">
      <w:t>(OMB Control N</w:t>
    </w:r>
    <w:r w:rsidR="007B6475">
      <w:t xml:space="preserve">o. </w:t>
    </w:r>
    <w:r w:rsidR="0011715E" w:rsidRPr="004E533C">
      <w:t xml:space="preserve"> 1902-0233)</w:t>
    </w:r>
  </w:p>
  <w:p w14:paraId="1D3EF5B7" w14:textId="3867AAB3" w:rsidR="006B5685" w:rsidRDefault="006B5685" w:rsidP="006B5685">
    <w:pPr>
      <w:pStyle w:val="Header"/>
      <w:spacing w:before="0" w:line="240" w:lineRule="auto"/>
    </w:pPr>
    <w:r>
      <w:t xml:space="preserve">RM21-17-000, Proposed Rule, </w:t>
    </w:r>
    <w:r w:rsidR="00FC4AF3">
      <w:t xml:space="preserve">“Building for the Future Through Electric Regional Transmission Planning and Cost Allocation and Generator Interconnection,” </w:t>
    </w:r>
    <w:r>
      <w:t>RIN 1902-AF87</w:t>
    </w:r>
  </w:p>
  <w:p w14:paraId="0600B37C" w14:textId="77777777" w:rsidR="00514DFF" w:rsidRDefault="0051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DD8B4DC"/>
    <w:lvl w:ilvl="0">
      <w:numFmt w:val="bullet"/>
      <w:lvlText w:val="*"/>
      <w:lvlJc w:val="left"/>
    </w:lvl>
  </w:abstractNum>
  <w:abstractNum w:abstractNumId="1"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1FC6288"/>
    <w:multiLevelType w:val="hybridMultilevel"/>
    <w:tmpl w:val="9D30E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B7CC3"/>
    <w:multiLevelType w:val="hybridMultilevel"/>
    <w:tmpl w:val="4EE4D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D139A"/>
    <w:multiLevelType w:val="hybridMultilevel"/>
    <w:tmpl w:val="55540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7C50928"/>
    <w:multiLevelType w:val="hybridMultilevel"/>
    <w:tmpl w:val="16D0AC72"/>
    <w:lvl w:ilvl="0" w:tplc="7EA60610">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341C8D"/>
    <w:multiLevelType w:val="hybridMultilevel"/>
    <w:tmpl w:val="0C0ECC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C6FDB"/>
    <w:multiLevelType w:val="hybridMultilevel"/>
    <w:tmpl w:val="D91C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3EB5"/>
    <w:multiLevelType w:val="hybridMultilevel"/>
    <w:tmpl w:val="EE2E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F67C8"/>
    <w:multiLevelType w:val="hybridMultilevel"/>
    <w:tmpl w:val="4E10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B456D"/>
    <w:multiLevelType w:val="hybridMultilevel"/>
    <w:tmpl w:val="7680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FB9"/>
    <w:multiLevelType w:val="hybridMultilevel"/>
    <w:tmpl w:val="7754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030C1"/>
    <w:multiLevelType w:val="hybridMultilevel"/>
    <w:tmpl w:val="AC8E5822"/>
    <w:lvl w:ilvl="0" w:tplc="BC50DC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657A6D"/>
    <w:multiLevelType w:val="hybridMultilevel"/>
    <w:tmpl w:val="0CE0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C5D40"/>
    <w:multiLevelType w:val="hybridMultilevel"/>
    <w:tmpl w:val="543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B353D8"/>
    <w:multiLevelType w:val="hybridMultilevel"/>
    <w:tmpl w:val="CA3C1118"/>
    <w:lvl w:ilvl="0" w:tplc="61C402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C6811"/>
    <w:multiLevelType w:val="hybridMultilevel"/>
    <w:tmpl w:val="0A12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C244C"/>
    <w:multiLevelType w:val="hybridMultilevel"/>
    <w:tmpl w:val="5A90C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8545F"/>
    <w:multiLevelType w:val="hybridMultilevel"/>
    <w:tmpl w:val="142C1A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5562C"/>
    <w:multiLevelType w:val="hybridMultilevel"/>
    <w:tmpl w:val="4F7CB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92094"/>
    <w:multiLevelType w:val="hybridMultilevel"/>
    <w:tmpl w:val="281A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C1895"/>
    <w:multiLevelType w:val="hybridMultilevel"/>
    <w:tmpl w:val="B3F20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654B6"/>
    <w:multiLevelType w:val="hybridMultilevel"/>
    <w:tmpl w:val="80AE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3429F"/>
    <w:multiLevelType w:val="hybridMultilevel"/>
    <w:tmpl w:val="300A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B0FD9"/>
    <w:multiLevelType w:val="hybridMultilevel"/>
    <w:tmpl w:val="05A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51B23"/>
    <w:multiLevelType w:val="hybridMultilevel"/>
    <w:tmpl w:val="C75A4D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5065F"/>
    <w:multiLevelType w:val="hybridMultilevel"/>
    <w:tmpl w:val="132AB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2265A1C"/>
    <w:multiLevelType w:val="hybridMultilevel"/>
    <w:tmpl w:val="CB04D4D8"/>
    <w:lvl w:ilvl="0" w:tplc="4F4A39A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F572F"/>
    <w:multiLevelType w:val="hybridMultilevel"/>
    <w:tmpl w:val="FD1A8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3B09D3"/>
    <w:multiLevelType w:val="hybridMultilevel"/>
    <w:tmpl w:val="34DC4220"/>
    <w:lvl w:ilvl="0" w:tplc="10CCA674">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5"/>
  </w:num>
  <w:num w:numId="3">
    <w:abstractNumId w:val="12"/>
  </w:num>
  <w:num w:numId="4">
    <w:abstractNumId w:val="26"/>
  </w:num>
  <w:num w:numId="5">
    <w:abstractNumId w:val="4"/>
  </w:num>
  <w:num w:numId="6">
    <w:abstractNumId w:val="16"/>
  </w:num>
  <w:num w:numId="7">
    <w:abstractNumId w:val="22"/>
  </w:num>
  <w:num w:numId="8">
    <w:abstractNumId w:val="19"/>
  </w:num>
  <w:num w:numId="9">
    <w:abstractNumId w:val="3"/>
  </w:num>
  <w:num w:numId="10">
    <w:abstractNumId w:val="2"/>
  </w:num>
  <w:num w:numId="11">
    <w:abstractNumId w:val="25"/>
  </w:num>
  <w:num w:numId="12">
    <w:abstractNumId w:val="6"/>
  </w:num>
  <w:num w:numId="13">
    <w:abstractNumId w:val="18"/>
  </w:num>
  <w:num w:numId="14">
    <w:abstractNumId w:val="17"/>
  </w:num>
  <w:num w:numId="15">
    <w:abstractNumId w:val="9"/>
  </w:num>
  <w:num w:numId="16">
    <w:abstractNumId w:val="21"/>
  </w:num>
  <w:num w:numId="17">
    <w:abstractNumId w:val="11"/>
  </w:num>
  <w:num w:numId="18">
    <w:abstractNumId w:val="14"/>
  </w:num>
  <w:num w:numId="19">
    <w:abstractNumId w:val="24"/>
  </w:num>
  <w:num w:numId="20">
    <w:abstractNumId w:val="23"/>
  </w:num>
  <w:num w:numId="21">
    <w:abstractNumId w:val="27"/>
  </w:num>
  <w:num w:numId="22">
    <w:abstractNumId w:val="20"/>
  </w:num>
  <w:num w:numId="23">
    <w:abstractNumId w:val="28"/>
  </w:num>
  <w:num w:numId="2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13"/>
  </w:num>
  <w:num w:numId="28">
    <w:abstractNumId w:val="1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9"/>
    <w:rsid w:val="00000A69"/>
    <w:rsid w:val="00000F46"/>
    <w:rsid w:val="00002C07"/>
    <w:rsid w:val="00002C89"/>
    <w:rsid w:val="00002FA6"/>
    <w:rsid w:val="000032A8"/>
    <w:rsid w:val="00003FBA"/>
    <w:rsid w:val="000059EC"/>
    <w:rsid w:val="00006BAE"/>
    <w:rsid w:val="00006FEB"/>
    <w:rsid w:val="0000739B"/>
    <w:rsid w:val="00007AE1"/>
    <w:rsid w:val="00007EC9"/>
    <w:rsid w:val="00010F29"/>
    <w:rsid w:val="00012DA7"/>
    <w:rsid w:val="000134F4"/>
    <w:rsid w:val="00013EE8"/>
    <w:rsid w:val="000157B8"/>
    <w:rsid w:val="00016783"/>
    <w:rsid w:val="00017347"/>
    <w:rsid w:val="00017C39"/>
    <w:rsid w:val="00020E37"/>
    <w:rsid w:val="00022393"/>
    <w:rsid w:val="00022519"/>
    <w:rsid w:val="00023D84"/>
    <w:rsid w:val="00023EF4"/>
    <w:rsid w:val="00025A8A"/>
    <w:rsid w:val="00025B4D"/>
    <w:rsid w:val="00027EF4"/>
    <w:rsid w:val="00030EE1"/>
    <w:rsid w:val="000342C6"/>
    <w:rsid w:val="00034B3F"/>
    <w:rsid w:val="0003642D"/>
    <w:rsid w:val="0004080E"/>
    <w:rsid w:val="000424D4"/>
    <w:rsid w:val="00042B70"/>
    <w:rsid w:val="00043BDA"/>
    <w:rsid w:val="00043EF1"/>
    <w:rsid w:val="00045080"/>
    <w:rsid w:val="000457F6"/>
    <w:rsid w:val="00047C47"/>
    <w:rsid w:val="00047D4A"/>
    <w:rsid w:val="00050CB0"/>
    <w:rsid w:val="00050E26"/>
    <w:rsid w:val="00051F1B"/>
    <w:rsid w:val="00052C21"/>
    <w:rsid w:val="0005536E"/>
    <w:rsid w:val="0005780E"/>
    <w:rsid w:val="00057B78"/>
    <w:rsid w:val="00061790"/>
    <w:rsid w:val="000645D2"/>
    <w:rsid w:val="00064933"/>
    <w:rsid w:val="00064CBA"/>
    <w:rsid w:val="0006519D"/>
    <w:rsid w:val="00065ABA"/>
    <w:rsid w:val="00066710"/>
    <w:rsid w:val="00066E78"/>
    <w:rsid w:val="00067878"/>
    <w:rsid w:val="00067D75"/>
    <w:rsid w:val="00072474"/>
    <w:rsid w:val="000729F3"/>
    <w:rsid w:val="00074986"/>
    <w:rsid w:val="0007566B"/>
    <w:rsid w:val="000757E1"/>
    <w:rsid w:val="00075960"/>
    <w:rsid w:val="00076577"/>
    <w:rsid w:val="0007728D"/>
    <w:rsid w:val="00077D60"/>
    <w:rsid w:val="0008031E"/>
    <w:rsid w:val="0008092B"/>
    <w:rsid w:val="000816A7"/>
    <w:rsid w:val="00081908"/>
    <w:rsid w:val="00082C1E"/>
    <w:rsid w:val="000837FA"/>
    <w:rsid w:val="000852C1"/>
    <w:rsid w:val="00085A9D"/>
    <w:rsid w:val="00087B7F"/>
    <w:rsid w:val="000911A1"/>
    <w:rsid w:val="00091F1A"/>
    <w:rsid w:val="000920DC"/>
    <w:rsid w:val="000929BE"/>
    <w:rsid w:val="00094BC6"/>
    <w:rsid w:val="00094F82"/>
    <w:rsid w:val="00094FD3"/>
    <w:rsid w:val="00096AF4"/>
    <w:rsid w:val="00096D88"/>
    <w:rsid w:val="000A16C6"/>
    <w:rsid w:val="000A1A3B"/>
    <w:rsid w:val="000A2243"/>
    <w:rsid w:val="000A22AF"/>
    <w:rsid w:val="000A274A"/>
    <w:rsid w:val="000A32C1"/>
    <w:rsid w:val="000A33A8"/>
    <w:rsid w:val="000A4142"/>
    <w:rsid w:val="000A492D"/>
    <w:rsid w:val="000A4EE0"/>
    <w:rsid w:val="000A65E2"/>
    <w:rsid w:val="000A6788"/>
    <w:rsid w:val="000A68B6"/>
    <w:rsid w:val="000A7C34"/>
    <w:rsid w:val="000B07A4"/>
    <w:rsid w:val="000B4066"/>
    <w:rsid w:val="000B4BB8"/>
    <w:rsid w:val="000B5406"/>
    <w:rsid w:val="000B6662"/>
    <w:rsid w:val="000C23BE"/>
    <w:rsid w:val="000C282F"/>
    <w:rsid w:val="000C2E30"/>
    <w:rsid w:val="000C2EFA"/>
    <w:rsid w:val="000C3949"/>
    <w:rsid w:val="000C4007"/>
    <w:rsid w:val="000C4E53"/>
    <w:rsid w:val="000C4EED"/>
    <w:rsid w:val="000C586B"/>
    <w:rsid w:val="000C592B"/>
    <w:rsid w:val="000C712C"/>
    <w:rsid w:val="000D002E"/>
    <w:rsid w:val="000D119A"/>
    <w:rsid w:val="000D1424"/>
    <w:rsid w:val="000D21A9"/>
    <w:rsid w:val="000D420A"/>
    <w:rsid w:val="000D489F"/>
    <w:rsid w:val="000D4913"/>
    <w:rsid w:val="000D4C14"/>
    <w:rsid w:val="000D63DC"/>
    <w:rsid w:val="000D7C04"/>
    <w:rsid w:val="000E1B4B"/>
    <w:rsid w:val="000E29C9"/>
    <w:rsid w:val="000E3F6E"/>
    <w:rsid w:val="000F2A6C"/>
    <w:rsid w:val="000F3003"/>
    <w:rsid w:val="000F62ED"/>
    <w:rsid w:val="000F66AF"/>
    <w:rsid w:val="000F79F2"/>
    <w:rsid w:val="000F7C11"/>
    <w:rsid w:val="00100E73"/>
    <w:rsid w:val="001057FA"/>
    <w:rsid w:val="00105E7A"/>
    <w:rsid w:val="0010680C"/>
    <w:rsid w:val="00106E51"/>
    <w:rsid w:val="00107285"/>
    <w:rsid w:val="001072A0"/>
    <w:rsid w:val="00107985"/>
    <w:rsid w:val="00107B89"/>
    <w:rsid w:val="00107C48"/>
    <w:rsid w:val="0011040A"/>
    <w:rsid w:val="00111BAB"/>
    <w:rsid w:val="00113599"/>
    <w:rsid w:val="00113C49"/>
    <w:rsid w:val="00114831"/>
    <w:rsid w:val="00115747"/>
    <w:rsid w:val="00116523"/>
    <w:rsid w:val="0011715E"/>
    <w:rsid w:val="00120218"/>
    <w:rsid w:val="00121134"/>
    <w:rsid w:val="001214DF"/>
    <w:rsid w:val="00121803"/>
    <w:rsid w:val="00121D4A"/>
    <w:rsid w:val="0012209E"/>
    <w:rsid w:val="00123A40"/>
    <w:rsid w:val="0012427B"/>
    <w:rsid w:val="0012442B"/>
    <w:rsid w:val="00124FE7"/>
    <w:rsid w:val="001259DF"/>
    <w:rsid w:val="00126327"/>
    <w:rsid w:val="00126AA4"/>
    <w:rsid w:val="001273A9"/>
    <w:rsid w:val="001304A2"/>
    <w:rsid w:val="0013084C"/>
    <w:rsid w:val="00133663"/>
    <w:rsid w:val="00133B52"/>
    <w:rsid w:val="001341D2"/>
    <w:rsid w:val="00134BB9"/>
    <w:rsid w:val="0013519E"/>
    <w:rsid w:val="001351F9"/>
    <w:rsid w:val="0013595A"/>
    <w:rsid w:val="00135E62"/>
    <w:rsid w:val="001361A1"/>
    <w:rsid w:val="001421B0"/>
    <w:rsid w:val="001423F3"/>
    <w:rsid w:val="001428D8"/>
    <w:rsid w:val="00142E04"/>
    <w:rsid w:val="00142F82"/>
    <w:rsid w:val="00144F8F"/>
    <w:rsid w:val="001454CD"/>
    <w:rsid w:val="00146469"/>
    <w:rsid w:val="001469AD"/>
    <w:rsid w:val="00147481"/>
    <w:rsid w:val="00147869"/>
    <w:rsid w:val="001508A6"/>
    <w:rsid w:val="001516EF"/>
    <w:rsid w:val="00151783"/>
    <w:rsid w:val="00152324"/>
    <w:rsid w:val="00152CDE"/>
    <w:rsid w:val="001536E4"/>
    <w:rsid w:val="001539BC"/>
    <w:rsid w:val="0015403D"/>
    <w:rsid w:val="0015495B"/>
    <w:rsid w:val="00157295"/>
    <w:rsid w:val="001575EC"/>
    <w:rsid w:val="00157878"/>
    <w:rsid w:val="00160A7B"/>
    <w:rsid w:val="0016126D"/>
    <w:rsid w:val="00162092"/>
    <w:rsid w:val="0016287A"/>
    <w:rsid w:val="00162BD3"/>
    <w:rsid w:val="00162D7D"/>
    <w:rsid w:val="00163A40"/>
    <w:rsid w:val="001640BD"/>
    <w:rsid w:val="00166CFA"/>
    <w:rsid w:val="0017070B"/>
    <w:rsid w:val="001709CB"/>
    <w:rsid w:val="00171036"/>
    <w:rsid w:val="0017157F"/>
    <w:rsid w:val="00171FC7"/>
    <w:rsid w:val="001728E1"/>
    <w:rsid w:val="0017324A"/>
    <w:rsid w:val="00174293"/>
    <w:rsid w:val="00174C19"/>
    <w:rsid w:val="00174CC0"/>
    <w:rsid w:val="0017554A"/>
    <w:rsid w:val="0017618B"/>
    <w:rsid w:val="0018071E"/>
    <w:rsid w:val="00180C79"/>
    <w:rsid w:val="00180FC4"/>
    <w:rsid w:val="00181112"/>
    <w:rsid w:val="00182626"/>
    <w:rsid w:val="00182C0F"/>
    <w:rsid w:val="00183C54"/>
    <w:rsid w:val="00185C83"/>
    <w:rsid w:val="00187D2F"/>
    <w:rsid w:val="00190129"/>
    <w:rsid w:val="001902D9"/>
    <w:rsid w:val="001908EC"/>
    <w:rsid w:val="00190A45"/>
    <w:rsid w:val="00192B82"/>
    <w:rsid w:val="0019724D"/>
    <w:rsid w:val="001A0F8F"/>
    <w:rsid w:val="001A11E0"/>
    <w:rsid w:val="001A4864"/>
    <w:rsid w:val="001A69C1"/>
    <w:rsid w:val="001A7D9B"/>
    <w:rsid w:val="001A7E99"/>
    <w:rsid w:val="001B15BD"/>
    <w:rsid w:val="001B22FA"/>
    <w:rsid w:val="001B2D66"/>
    <w:rsid w:val="001B4FEA"/>
    <w:rsid w:val="001B54EF"/>
    <w:rsid w:val="001B647A"/>
    <w:rsid w:val="001B667D"/>
    <w:rsid w:val="001C05EB"/>
    <w:rsid w:val="001C0E64"/>
    <w:rsid w:val="001C2704"/>
    <w:rsid w:val="001C27AC"/>
    <w:rsid w:val="001C4679"/>
    <w:rsid w:val="001C6211"/>
    <w:rsid w:val="001C65FD"/>
    <w:rsid w:val="001C6D14"/>
    <w:rsid w:val="001D1480"/>
    <w:rsid w:val="001D1CFE"/>
    <w:rsid w:val="001D3855"/>
    <w:rsid w:val="001D3A2D"/>
    <w:rsid w:val="001D3AAC"/>
    <w:rsid w:val="001D479F"/>
    <w:rsid w:val="001D5338"/>
    <w:rsid w:val="001D5C1D"/>
    <w:rsid w:val="001D740C"/>
    <w:rsid w:val="001D7C91"/>
    <w:rsid w:val="001D7EC1"/>
    <w:rsid w:val="001E1060"/>
    <w:rsid w:val="001E146F"/>
    <w:rsid w:val="001E3F02"/>
    <w:rsid w:val="001E41C1"/>
    <w:rsid w:val="001E5E43"/>
    <w:rsid w:val="001E62D0"/>
    <w:rsid w:val="001E75FF"/>
    <w:rsid w:val="001F0445"/>
    <w:rsid w:val="001F0A14"/>
    <w:rsid w:val="001F0D73"/>
    <w:rsid w:val="001F184A"/>
    <w:rsid w:val="001F2EA1"/>
    <w:rsid w:val="001F3F72"/>
    <w:rsid w:val="001F4172"/>
    <w:rsid w:val="001F434E"/>
    <w:rsid w:val="001F4BF3"/>
    <w:rsid w:val="001F4C7E"/>
    <w:rsid w:val="001F4CC2"/>
    <w:rsid w:val="001F4F2A"/>
    <w:rsid w:val="001F6D8F"/>
    <w:rsid w:val="0020156C"/>
    <w:rsid w:val="002036EB"/>
    <w:rsid w:val="00203807"/>
    <w:rsid w:val="00203E5C"/>
    <w:rsid w:val="00204480"/>
    <w:rsid w:val="00204602"/>
    <w:rsid w:val="00205069"/>
    <w:rsid w:val="002051E7"/>
    <w:rsid w:val="00205820"/>
    <w:rsid w:val="00205E62"/>
    <w:rsid w:val="0020667E"/>
    <w:rsid w:val="002101EF"/>
    <w:rsid w:val="0021292D"/>
    <w:rsid w:val="0021297D"/>
    <w:rsid w:val="00212F6A"/>
    <w:rsid w:val="00213260"/>
    <w:rsid w:val="00214644"/>
    <w:rsid w:val="00215805"/>
    <w:rsid w:val="002160AD"/>
    <w:rsid w:val="00216272"/>
    <w:rsid w:val="00216CFF"/>
    <w:rsid w:val="0021730B"/>
    <w:rsid w:val="00217C36"/>
    <w:rsid w:val="00221D52"/>
    <w:rsid w:val="00224F88"/>
    <w:rsid w:val="0022564B"/>
    <w:rsid w:val="0022651F"/>
    <w:rsid w:val="0022686F"/>
    <w:rsid w:val="002273D5"/>
    <w:rsid w:val="00230372"/>
    <w:rsid w:val="002306B8"/>
    <w:rsid w:val="00230905"/>
    <w:rsid w:val="002323C9"/>
    <w:rsid w:val="00232422"/>
    <w:rsid w:val="0023403A"/>
    <w:rsid w:val="002341FF"/>
    <w:rsid w:val="002344E3"/>
    <w:rsid w:val="00235ACF"/>
    <w:rsid w:val="00235C27"/>
    <w:rsid w:val="00236C04"/>
    <w:rsid w:val="002379AF"/>
    <w:rsid w:val="00241D67"/>
    <w:rsid w:val="00244252"/>
    <w:rsid w:val="002442F2"/>
    <w:rsid w:val="00244D18"/>
    <w:rsid w:val="00245551"/>
    <w:rsid w:val="0024611E"/>
    <w:rsid w:val="00247C2E"/>
    <w:rsid w:val="00247FA3"/>
    <w:rsid w:val="00251D90"/>
    <w:rsid w:val="002526B9"/>
    <w:rsid w:val="00252FF0"/>
    <w:rsid w:val="00253B1F"/>
    <w:rsid w:val="00253E25"/>
    <w:rsid w:val="00253F24"/>
    <w:rsid w:val="00254F04"/>
    <w:rsid w:val="00255429"/>
    <w:rsid w:val="00257FD8"/>
    <w:rsid w:val="00260BB5"/>
    <w:rsid w:val="00260BCA"/>
    <w:rsid w:val="00260D6F"/>
    <w:rsid w:val="00261B1F"/>
    <w:rsid w:val="00261FC5"/>
    <w:rsid w:val="00263745"/>
    <w:rsid w:val="00263E79"/>
    <w:rsid w:val="0026420E"/>
    <w:rsid w:val="0026574A"/>
    <w:rsid w:val="002659C7"/>
    <w:rsid w:val="00265FE7"/>
    <w:rsid w:val="00266212"/>
    <w:rsid w:val="00266C35"/>
    <w:rsid w:val="00271FD5"/>
    <w:rsid w:val="0027208D"/>
    <w:rsid w:val="002720CF"/>
    <w:rsid w:val="00273AE7"/>
    <w:rsid w:val="0028056C"/>
    <w:rsid w:val="00280847"/>
    <w:rsid w:val="00280F63"/>
    <w:rsid w:val="00281467"/>
    <w:rsid w:val="002814EE"/>
    <w:rsid w:val="002826B8"/>
    <w:rsid w:val="00282B31"/>
    <w:rsid w:val="0028357F"/>
    <w:rsid w:val="002851D3"/>
    <w:rsid w:val="00285263"/>
    <w:rsid w:val="00285534"/>
    <w:rsid w:val="002857D9"/>
    <w:rsid w:val="00286726"/>
    <w:rsid w:val="002876D8"/>
    <w:rsid w:val="00292923"/>
    <w:rsid w:val="00292BDC"/>
    <w:rsid w:val="00292ED3"/>
    <w:rsid w:val="002937C8"/>
    <w:rsid w:val="002941CD"/>
    <w:rsid w:val="00296A67"/>
    <w:rsid w:val="00296EAC"/>
    <w:rsid w:val="0029725C"/>
    <w:rsid w:val="00297E09"/>
    <w:rsid w:val="002A2E57"/>
    <w:rsid w:val="002A38F3"/>
    <w:rsid w:val="002A3E34"/>
    <w:rsid w:val="002A4407"/>
    <w:rsid w:val="002A64D4"/>
    <w:rsid w:val="002A74F2"/>
    <w:rsid w:val="002B367B"/>
    <w:rsid w:val="002B4F0C"/>
    <w:rsid w:val="002B66EB"/>
    <w:rsid w:val="002B6CE1"/>
    <w:rsid w:val="002B6EF6"/>
    <w:rsid w:val="002B78F1"/>
    <w:rsid w:val="002C0DD6"/>
    <w:rsid w:val="002C0EDB"/>
    <w:rsid w:val="002C218D"/>
    <w:rsid w:val="002C247B"/>
    <w:rsid w:val="002C27B7"/>
    <w:rsid w:val="002C3C69"/>
    <w:rsid w:val="002C4386"/>
    <w:rsid w:val="002C4928"/>
    <w:rsid w:val="002C5E54"/>
    <w:rsid w:val="002C7734"/>
    <w:rsid w:val="002D0A08"/>
    <w:rsid w:val="002D20AD"/>
    <w:rsid w:val="002D22EE"/>
    <w:rsid w:val="002D3C4E"/>
    <w:rsid w:val="002D5CB2"/>
    <w:rsid w:val="002D5FF6"/>
    <w:rsid w:val="002D6C75"/>
    <w:rsid w:val="002D7817"/>
    <w:rsid w:val="002E16A1"/>
    <w:rsid w:val="002E18FF"/>
    <w:rsid w:val="002E19BD"/>
    <w:rsid w:val="002E1F4B"/>
    <w:rsid w:val="002E27FA"/>
    <w:rsid w:val="002E56EA"/>
    <w:rsid w:val="002E609F"/>
    <w:rsid w:val="002E627A"/>
    <w:rsid w:val="002E7A04"/>
    <w:rsid w:val="002F2DFE"/>
    <w:rsid w:val="002F48E6"/>
    <w:rsid w:val="002F4B93"/>
    <w:rsid w:val="002F529A"/>
    <w:rsid w:val="002F5F9C"/>
    <w:rsid w:val="002F7D6D"/>
    <w:rsid w:val="003003EC"/>
    <w:rsid w:val="00302387"/>
    <w:rsid w:val="00302B1F"/>
    <w:rsid w:val="003057C1"/>
    <w:rsid w:val="00305D13"/>
    <w:rsid w:val="003076EC"/>
    <w:rsid w:val="00307707"/>
    <w:rsid w:val="00307CE9"/>
    <w:rsid w:val="00311154"/>
    <w:rsid w:val="00311B5F"/>
    <w:rsid w:val="00311BAC"/>
    <w:rsid w:val="00313895"/>
    <w:rsid w:val="00313F77"/>
    <w:rsid w:val="00315CCB"/>
    <w:rsid w:val="00315CE2"/>
    <w:rsid w:val="0031766B"/>
    <w:rsid w:val="003204BA"/>
    <w:rsid w:val="00321293"/>
    <w:rsid w:val="00321444"/>
    <w:rsid w:val="00322BA6"/>
    <w:rsid w:val="0032352D"/>
    <w:rsid w:val="00331913"/>
    <w:rsid w:val="00332714"/>
    <w:rsid w:val="00332D45"/>
    <w:rsid w:val="00333193"/>
    <w:rsid w:val="00334D9C"/>
    <w:rsid w:val="00334EDF"/>
    <w:rsid w:val="00335852"/>
    <w:rsid w:val="00335A2B"/>
    <w:rsid w:val="0033644D"/>
    <w:rsid w:val="0034021A"/>
    <w:rsid w:val="00340605"/>
    <w:rsid w:val="00341D13"/>
    <w:rsid w:val="00341D5B"/>
    <w:rsid w:val="0034247E"/>
    <w:rsid w:val="00342C80"/>
    <w:rsid w:val="00342CF7"/>
    <w:rsid w:val="003469AD"/>
    <w:rsid w:val="00347ADD"/>
    <w:rsid w:val="00347CBB"/>
    <w:rsid w:val="003501E3"/>
    <w:rsid w:val="003514D7"/>
    <w:rsid w:val="00351B25"/>
    <w:rsid w:val="00353075"/>
    <w:rsid w:val="00353F47"/>
    <w:rsid w:val="00354021"/>
    <w:rsid w:val="0035427F"/>
    <w:rsid w:val="00355164"/>
    <w:rsid w:val="00355965"/>
    <w:rsid w:val="00355A50"/>
    <w:rsid w:val="00356EFC"/>
    <w:rsid w:val="00357D0C"/>
    <w:rsid w:val="003601FC"/>
    <w:rsid w:val="003606B7"/>
    <w:rsid w:val="003606D3"/>
    <w:rsid w:val="00360927"/>
    <w:rsid w:val="00360C10"/>
    <w:rsid w:val="00361AEF"/>
    <w:rsid w:val="00361F41"/>
    <w:rsid w:val="0036200D"/>
    <w:rsid w:val="0036401D"/>
    <w:rsid w:val="003647E8"/>
    <w:rsid w:val="003651ED"/>
    <w:rsid w:val="00365C25"/>
    <w:rsid w:val="003670AF"/>
    <w:rsid w:val="003670C9"/>
    <w:rsid w:val="003676B6"/>
    <w:rsid w:val="003720CF"/>
    <w:rsid w:val="00372B74"/>
    <w:rsid w:val="0037348D"/>
    <w:rsid w:val="00373519"/>
    <w:rsid w:val="00373E2D"/>
    <w:rsid w:val="00374D61"/>
    <w:rsid w:val="00375595"/>
    <w:rsid w:val="00375877"/>
    <w:rsid w:val="00377254"/>
    <w:rsid w:val="003777C5"/>
    <w:rsid w:val="00377D62"/>
    <w:rsid w:val="00381024"/>
    <w:rsid w:val="003819A7"/>
    <w:rsid w:val="003822F2"/>
    <w:rsid w:val="00382E2E"/>
    <w:rsid w:val="00383549"/>
    <w:rsid w:val="003841D9"/>
    <w:rsid w:val="00384475"/>
    <w:rsid w:val="003849F8"/>
    <w:rsid w:val="00386206"/>
    <w:rsid w:val="00386501"/>
    <w:rsid w:val="003874FB"/>
    <w:rsid w:val="00390662"/>
    <w:rsid w:val="0039075D"/>
    <w:rsid w:val="003911B7"/>
    <w:rsid w:val="00391C34"/>
    <w:rsid w:val="003930F0"/>
    <w:rsid w:val="00393740"/>
    <w:rsid w:val="003940E7"/>
    <w:rsid w:val="00396A71"/>
    <w:rsid w:val="003970C0"/>
    <w:rsid w:val="00397186"/>
    <w:rsid w:val="00397B03"/>
    <w:rsid w:val="003A08B6"/>
    <w:rsid w:val="003A09B8"/>
    <w:rsid w:val="003A10F4"/>
    <w:rsid w:val="003A121E"/>
    <w:rsid w:val="003A1AEE"/>
    <w:rsid w:val="003A2374"/>
    <w:rsid w:val="003A275B"/>
    <w:rsid w:val="003A3529"/>
    <w:rsid w:val="003A402C"/>
    <w:rsid w:val="003A4298"/>
    <w:rsid w:val="003A50CD"/>
    <w:rsid w:val="003A584F"/>
    <w:rsid w:val="003A685D"/>
    <w:rsid w:val="003A6A7E"/>
    <w:rsid w:val="003B0DF9"/>
    <w:rsid w:val="003B0FEC"/>
    <w:rsid w:val="003B11EF"/>
    <w:rsid w:val="003B154A"/>
    <w:rsid w:val="003B2D03"/>
    <w:rsid w:val="003B2D31"/>
    <w:rsid w:val="003B32A1"/>
    <w:rsid w:val="003B42DD"/>
    <w:rsid w:val="003B46B9"/>
    <w:rsid w:val="003B514E"/>
    <w:rsid w:val="003B565B"/>
    <w:rsid w:val="003B6B74"/>
    <w:rsid w:val="003B74CA"/>
    <w:rsid w:val="003C081E"/>
    <w:rsid w:val="003C1897"/>
    <w:rsid w:val="003C1CEA"/>
    <w:rsid w:val="003C2433"/>
    <w:rsid w:val="003C2C50"/>
    <w:rsid w:val="003C3D51"/>
    <w:rsid w:val="003C402C"/>
    <w:rsid w:val="003C4543"/>
    <w:rsid w:val="003C5B86"/>
    <w:rsid w:val="003C5D87"/>
    <w:rsid w:val="003C63B8"/>
    <w:rsid w:val="003C7138"/>
    <w:rsid w:val="003C7458"/>
    <w:rsid w:val="003C780C"/>
    <w:rsid w:val="003D024A"/>
    <w:rsid w:val="003D1668"/>
    <w:rsid w:val="003D1D50"/>
    <w:rsid w:val="003D23B9"/>
    <w:rsid w:val="003D24BD"/>
    <w:rsid w:val="003D3104"/>
    <w:rsid w:val="003D3B16"/>
    <w:rsid w:val="003D44CD"/>
    <w:rsid w:val="003D4767"/>
    <w:rsid w:val="003D49B2"/>
    <w:rsid w:val="003D4A8A"/>
    <w:rsid w:val="003D51D8"/>
    <w:rsid w:val="003D6EA1"/>
    <w:rsid w:val="003E167C"/>
    <w:rsid w:val="003E402E"/>
    <w:rsid w:val="003E5270"/>
    <w:rsid w:val="003E5E7D"/>
    <w:rsid w:val="003E7501"/>
    <w:rsid w:val="003F1165"/>
    <w:rsid w:val="003F7214"/>
    <w:rsid w:val="003F75A3"/>
    <w:rsid w:val="0040071E"/>
    <w:rsid w:val="00401AB3"/>
    <w:rsid w:val="00401E0B"/>
    <w:rsid w:val="0040280A"/>
    <w:rsid w:val="00403774"/>
    <w:rsid w:val="0040453F"/>
    <w:rsid w:val="004051AC"/>
    <w:rsid w:val="00405690"/>
    <w:rsid w:val="004061D6"/>
    <w:rsid w:val="00406650"/>
    <w:rsid w:val="004078FF"/>
    <w:rsid w:val="00407A03"/>
    <w:rsid w:val="00411F40"/>
    <w:rsid w:val="004135C2"/>
    <w:rsid w:val="00414993"/>
    <w:rsid w:val="00417E53"/>
    <w:rsid w:val="004202AA"/>
    <w:rsid w:val="004204AF"/>
    <w:rsid w:val="00420BB0"/>
    <w:rsid w:val="00420DB7"/>
    <w:rsid w:val="00423261"/>
    <w:rsid w:val="0042394A"/>
    <w:rsid w:val="00423B4A"/>
    <w:rsid w:val="00424232"/>
    <w:rsid w:val="00424627"/>
    <w:rsid w:val="00424920"/>
    <w:rsid w:val="00425BC0"/>
    <w:rsid w:val="00426452"/>
    <w:rsid w:val="004267BC"/>
    <w:rsid w:val="00426ADC"/>
    <w:rsid w:val="00426B53"/>
    <w:rsid w:val="00427CE3"/>
    <w:rsid w:val="004305E9"/>
    <w:rsid w:val="0043122E"/>
    <w:rsid w:val="0043417A"/>
    <w:rsid w:val="0043458D"/>
    <w:rsid w:val="00435BBF"/>
    <w:rsid w:val="0044256B"/>
    <w:rsid w:val="00442A44"/>
    <w:rsid w:val="00444EC1"/>
    <w:rsid w:val="0044539B"/>
    <w:rsid w:val="004474BA"/>
    <w:rsid w:val="00450AAD"/>
    <w:rsid w:val="00452222"/>
    <w:rsid w:val="004524B4"/>
    <w:rsid w:val="00452AC5"/>
    <w:rsid w:val="00453931"/>
    <w:rsid w:val="00454476"/>
    <w:rsid w:val="0045499A"/>
    <w:rsid w:val="004556D0"/>
    <w:rsid w:val="004558F6"/>
    <w:rsid w:val="00455CB9"/>
    <w:rsid w:val="004568CC"/>
    <w:rsid w:val="00457DF1"/>
    <w:rsid w:val="00460061"/>
    <w:rsid w:val="00461C20"/>
    <w:rsid w:val="00462FA3"/>
    <w:rsid w:val="004643D8"/>
    <w:rsid w:val="0046490B"/>
    <w:rsid w:val="00464A0A"/>
    <w:rsid w:val="00465093"/>
    <w:rsid w:val="00465AB5"/>
    <w:rsid w:val="00465BAE"/>
    <w:rsid w:val="00465CF0"/>
    <w:rsid w:val="00466A25"/>
    <w:rsid w:val="00466FC5"/>
    <w:rsid w:val="00470741"/>
    <w:rsid w:val="004708B6"/>
    <w:rsid w:val="00471864"/>
    <w:rsid w:val="00471C69"/>
    <w:rsid w:val="00477499"/>
    <w:rsid w:val="00480D05"/>
    <w:rsid w:val="00482866"/>
    <w:rsid w:val="004837A5"/>
    <w:rsid w:val="00484A78"/>
    <w:rsid w:val="00485783"/>
    <w:rsid w:val="004865B0"/>
    <w:rsid w:val="0048756B"/>
    <w:rsid w:val="00492ED7"/>
    <w:rsid w:val="004935AE"/>
    <w:rsid w:val="00495A8F"/>
    <w:rsid w:val="00495F45"/>
    <w:rsid w:val="0049643D"/>
    <w:rsid w:val="00496D56"/>
    <w:rsid w:val="00497795"/>
    <w:rsid w:val="004A2ED6"/>
    <w:rsid w:val="004A494F"/>
    <w:rsid w:val="004A5813"/>
    <w:rsid w:val="004A61DE"/>
    <w:rsid w:val="004A65BB"/>
    <w:rsid w:val="004A7E61"/>
    <w:rsid w:val="004B0048"/>
    <w:rsid w:val="004B0708"/>
    <w:rsid w:val="004B1483"/>
    <w:rsid w:val="004B1498"/>
    <w:rsid w:val="004B17CB"/>
    <w:rsid w:val="004B1CDE"/>
    <w:rsid w:val="004B2829"/>
    <w:rsid w:val="004B3480"/>
    <w:rsid w:val="004B374A"/>
    <w:rsid w:val="004B4F65"/>
    <w:rsid w:val="004B6DE1"/>
    <w:rsid w:val="004B7624"/>
    <w:rsid w:val="004B7936"/>
    <w:rsid w:val="004C09EA"/>
    <w:rsid w:val="004C0C7C"/>
    <w:rsid w:val="004C2023"/>
    <w:rsid w:val="004C3071"/>
    <w:rsid w:val="004C4876"/>
    <w:rsid w:val="004C5C14"/>
    <w:rsid w:val="004C7EAC"/>
    <w:rsid w:val="004D0908"/>
    <w:rsid w:val="004D1A4D"/>
    <w:rsid w:val="004D68CE"/>
    <w:rsid w:val="004D6A83"/>
    <w:rsid w:val="004D6FA7"/>
    <w:rsid w:val="004D7269"/>
    <w:rsid w:val="004D7ED8"/>
    <w:rsid w:val="004E1E7C"/>
    <w:rsid w:val="004E274D"/>
    <w:rsid w:val="004E3CD0"/>
    <w:rsid w:val="004E4CD1"/>
    <w:rsid w:val="004E533C"/>
    <w:rsid w:val="004E597A"/>
    <w:rsid w:val="004E6464"/>
    <w:rsid w:val="004E6AB5"/>
    <w:rsid w:val="004F260D"/>
    <w:rsid w:val="004F2966"/>
    <w:rsid w:val="004F2B8F"/>
    <w:rsid w:val="004F30CB"/>
    <w:rsid w:val="004F4E61"/>
    <w:rsid w:val="004F5910"/>
    <w:rsid w:val="004F61BE"/>
    <w:rsid w:val="004F63B1"/>
    <w:rsid w:val="004F7EB7"/>
    <w:rsid w:val="0050114B"/>
    <w:rsid w:val="00501760"/>
    <w:rsid w:val="00501F8C"/>
    <w:rsid w:val="00501FF3"/>
    <w:rsid w:val="00502B82"/>
    <w:rsid w:val="00502D4E"/>
    <w:rsid w:val="00505CC7"/>
    <w:rsid w:val="0050620A"/>
    <w:rsid w:val="00507D83"/>
    <w:rsid w:val="005102D8"/>
    <w:rsid w:val="005109C4"/>
    <w:rsid w:val="00510B2E"/>
    <w:rsid w:val="00510FA7"/>
    <w:rsid w:val="00510FB9"/>
    <w:rsid w:val="005121D4"/>
    <w:rsid w:val="00512CEC"/>
    <w:rsid w:val="00513355"/>
    <w:rsid w:val="00514963"/>
    <w:rsid w:val="00514DFF"/>
    <w:rsid w:val="00516DAA"/>
    <w:rsid w:val="00525D97"/>
    <w:rsid w:val="00525E6F"/>
    <w:rsid w:val="005261B8"/>
    <w:rsid w:val="00526F6C"/>
    <w:rsid w:val="005307AD"/>
    <w:rsid w:val="0053150A"/>
    <w:rsid w:val="00531934"/>
    <w:rsid w:val="005320B4"/>
    <w:rsid w:val="00535E50"/>
    <w:rsid w:val="00535E93"/>
    <w:rsid w:val="005402A7"/>
    <w:rsid w:val="00540345"/>
    <w:rsid w:val="00543CB8"/>
    <w:rsid w:val="005442C6"/>
    <w:rsid w:val="0054496C"/>
    <w:rsid w:val="00545E03"/>
    <w:rsid w:val="00546DDC"/>
    <w:rsid w:val="00550676"/>
    <w:rsid w:val="00552289"/>
    <w:rsid w:val="00552C44"/>
    <w:rsid w:val="00552F30"/>
    <w:rsid w:val="00553ABF"/>
    <w:rsid w:val="00554FAB"/>
    <w:rsid w:val="0055643A"/>
    <w:rsid w:val="005573AD"/>
    <w:rsid w:val="00557AFB"/>
    <w:rsid w:val="00557DDC"/>
    <w:rsid w:val="00557FAA"/>
    <w:rsid w:val="00560327"/>
    <w:rsid w:val="0056082B"/>
    <w:rsid w:val="00560D16"/>
    <w:rsid w:val="0056236F"/>
    <w:rsid w:val="00563687"/>
    <w:rsid w:val="00564792"/>
    <w:rsid w:val="00564817"/>
    <w:rsid w:val="0056497B"/>
    <w:rsid w:val="00564ADE"/>
    <w:rsid w:val="005657C1"/>
    <w:rsid w:val="00565FC4"/>
    <w:rsid w:val="005665AD"/>
    <w:rsid w:val="0056751A"/>
    <w:rsid w:val="005702DD"/>
    <w:rsid w:val="00571474"/>
    <w:rsid w:val="00571504"/>
    <w:rsid w:val="005719BC"/>
    <w:rsid w:val="00572EEA"/>
    <w:rsid w:val="00573B11"/>
    <w:rsid w:val="00574637"/>
    <w:rsid w:val="00574E6B"/>
    <w:rsid w:val="005758D0"/>
    <w:rsid w:val="00575D98"/>
    <w:rsid w:val="00575ED1"/>
    <w:rsid w:val="005764B9"/>
    <w:rsid w:val="005765E8"/>
    <w:rsid w:val="00576BF7"/>
    <w:rsid w:val="0058101E"/>
    <w:rsid w:val="005817FA"/>
    <w:rsid w:val="00582DD9"/>
    <w:rsid w:val="00587932"/>
    <w:rsid w:val="0059069F"/>
    <w:rsid w:val="00591DCE"/>
    <w:rsid w:val="0059211A"/>
    <w:rsid w:val="0059373F"/>
    <w:rsid w:val="00593B23"/>
    <w:rsid w:val="00594614"/>
    <w:rsid w:val="00594C73"/>
    <w:rsid w:val="00594E10"/>
    <w:rsid w:val="0059542D"/>
    <w:rsid w:val="005954DC"/>
    <w:rsid w:val="00595583"/>
    <w:rsid w:val="005957F3"/>
    <w:rsid w:val="005A036C"/>
    <w:rsid w:val="005A0759"/>
    <w:rsid w:val="005A1031"/>
    <w:rsid w:val="005A111D"/>
    <w:rsid w:val="005A1218"/>
    <w:rsid w:val="005A1DF1"/>
    <w:rsid w:val="005A27FA"/>
    <w:rsid w:val="005A3343"/>
    <w:rsid w:val="005A359A"/>
    <w:rsid w:val="005A4846"/>
    <w:rsid w:val="005A4B4C"/>
    <w:rsid w:val="005A54D8"/>
    <w:rsid w:val="005A6473"/>
    <w:rsid w:val="005A66A4"/>
    <w:rsid w:val="005A6FBC"/>
    <w:rsid w:val="005A7D33"/>
    <w:rsid w:val="005B0AE3"/>
    <w:rsid w:val="005B2862"/>
    <w:rsid w:val="005B2FA1"/>
    <w:rsid w:val="005B634A"/>
    <w:rsid w:val="005B6626"/>
    <w:rsid w:val="005B6A16"/>
    <w:rsid w:val="005B6B35"/>
    <w:rsid w:val="005B6E61"/>
    <w:rsid w:val="005B6F0F"/>
    <w:rsid w:val="005B700B"/>
    <w:rsid w:val="005B71E1"/>
    <w:rsid w:val="005C136B"/>
    <w:rsid w:val="005C1379"/>
    <w:rsid w:val="005C1896"/>
    <w:rsid w:val="005C2B0B"/>
    <w:rsid w:val="005C359E"/>
    <w:rsid w:val="005C3C67"/>
    <w:rsid w:val="005C41FE"/>
    <w:rsid w:val="005C5DE1"/>
    <w:rsid w:val="005C6AC1"/>
    <w:rsid w:val="005C6BEA"/>
    <w:rsid w:val="005D078D"/>
    <w:rsid w:val="005D0879"/>
    <w:rsid w:val="005D0B2D"/>
    <w:rsid w:val="005D0D0A"/>
    <w:rsid w:val="005D17A2"/>
    <w:rsid w:val="005D1816"/>
    <w:rsid w:val="005D2252"/>
    <w:rsid w:val="005D29EA"/>
    <w:rsid w:val="005D3180"/>
    <w:rsid w:val="005D4AF1"/>
    <w:rsid w:val="005D6847"/>
    <w:rsid w:val="005D7A18"/>
    <w:rsid w:val="005D7BF5"/>
    <w:rsid w:val="005E087C"/>
    <w:rsid w:val="005E1A05"/>
    <w:rsid w:val="005E2829"/>
    <w:rsid w:val="005E3360"/>
    <w:rsid w:val="005E33A3"/>
    <w:rsid w:val="005E3820"/>
    <w:rsid w:val="005E4546"/>
    <w:rsid w:val="005E48B1"/>
    <w:rsid w:val="005E59CC"/>
    <w:rsid w:val="005E7ED6"/>
    <w:rsid w:val="005F0B87"/>
    <w:rsid w:val="005F13BC"/>
    <w:rsid w:val="005F15DF"/>
    <w:rsid w:val="005F2EE3"/>
    <w:rsid w:val="005F3C81"/>
    <w:rsid w:val="005F4310"/>
    <w:rsid w:val="005F48BA"/>
    <w:rsid w:val="005F5651"/>
    <w:rsid w:val="005F582B"/>
    <w:rsid w:val="005F71DA"/>
    <w:rsid w:val="00601A25"/>
    <w:rsid w:val="006026D2"/>
    <w:rsid w:val="00603C1D"/>
    <w:rsid w:val="00604AFE"/>
    <w:rsid w:val="00605EA0"/>
    <w:rsid w:val="006063FA"/>
    <w:rsid w:val="0060667B"/>
    <w:rsid w:val="00606B5F"/>
    <w:rsid w:val="006122D9"/>
    <w:rsid w:val="00614647"/>
    <w:rsid w:val="00615A93"/>
    <w:rsid w:val="00616545"/>
    <w:rsid w:val="00620295"/>
    <w:rsid w:val="00621239"/>
    <w:rsid w:val="00621B81"/>
    <w:rsid w:val="00622517"/>
    <w:rsid w:val="00622F76"/>
    <w:rsid w:val="006239D7"/>
    <w:rsid w:val="006260F8"/>
    <w:rsid w:val="00626344"/>
    <w:rsid w:val="00626463"/>
    <w:rsid w:val="00627B98"/>
    <w:rsid w:val="0063032A"/>
    <w:rsid w:val="00631BD8"/>
    <w:rsid w:val="00635038"/>
    <w:rsid w:val="0063525B"/>
    <w:rsid w:val="006362C7"/>
    <w:rsid w:val="006368A1"/>
    <w:rsid w:val="00637DD8"/>
    <w:rsid w:val="0064040F"/>
    <w:rsid w:val="006404A2"/>
    <w:rsid w:val="006458D5"/>
    <w:rsid w:val="006465F2"/>
    <w:rsid w:val="00646C1A"/>
    <w:rsid w:val="00646C2E"/>
    <w:rsid w:val="00647CF7"/>
    <w:rsid w:val="00647DAA"/>
    <w:rsid w:val="0065069C"/>
    <w:rsid w:val="0065195F"/>
    <w:rsid w:val="00652070"/>
    <w:rsid w:val="00652CF0"/>
    <w:rsid w:val="00652D4E"/>
    <w:rsid w:val="00652E30"/>
    <w:rsid w:val="00656100"/>
    <w:rsid w:val="006563AC"/>
    <w:rsid w:val="00657BEE"/>
    <w:rsid w:val="00657DDC"/>
    <w:rsid w:val="0066129F"/>
    <w:rsid w:val="00661821"/>
    <w:rsid w:val="006620BC"/>
    <w:rsid w:val="006627C7"/>
    <w:rsid w:val="00663030"/>
    <w:rsid w:val="006651AC"/>
    <w:rsid w:val="006652D0"/>
    <w:rsid w:val="006658FF"/>
    <w:rsid w:val="00665C18"/>
    <w:rsid w:val="00666B29"/>
    <w:rsid w:val="006670C7"/>
    <w:rsid w:val="006672A9"/>
    <w:rsid w:val="0067228E"/>
    <w:rsid w:val="00672FCE"/>
    <w:rsid w:val="0067301B"/>
    <w:rsid w:val="006731E5"/>
    <w:rsid w:val="00673BC3"/>
    <w:rsid w:val="00673D3F"/>
    <w:rsid w:val="00673F5C"/>
    <w:rsid w:val="0067474E"/>
    <w:rsid w:val="00674FB3"/>
    <w:rsid w:val="00676212"/>
    <w:rsid w:val="006766BB"/>
    <w:rsid w:val="006771D2"/>
    <w:rsid w:val="00680BC2"/>
    <w:rsid w:val="00681314"/>
    <w:rsid w:val="00681404"/>
    <w:rsid w:val="00682245"/>
    <w:rsid w:val="00682AE8"/>
    <w:rsid w:val="00682C09"/>
    <w:rsid w:val="0068345C"/>
    <w:rsid w:val="00685341"/>
    <w:rsid w:val="00685845"/>
    <w:rsid w:val="00687A10"/>
    <w:rsid w:val="00690F6D"/>
    <w:rsid w:val="00693DD6"/>
    <w:rsid w:val="00694554"/>
    <w:rsid w:val="006A0ABD"/>
    <w:rsid w:val="006A1DC9"/>
    <w:rsid w:val="006A30A9"/>
    <w:rsid w:val="006A3C4C"/>
    <w:rsid w:val="006A66D1"/>
    <w:rsid w:val="006B0084"/>
    <w:rsid w:val="006B26F6"/>
    <w:rsid w:val="006B35EF"/>
    <w:rsid w:val="006B40EA"/>
    <w:rsid w:val="006B4A99"/>
    <w:rsid w:val="006B5685"/>
    <w:rsid w:val="006C015E"/>
    <w:rsid w:val="006C0BAF"/>
    <w:rsid w:val="006C15CF"/>
    <w:rsid w:val="006C1A3D"/>
    <w:rsid w:val="006C1FB6"/>
    <w:rsid w:val="006C21ED"/>
    <w:rsid w:val="006C3D15"/>
    <w:rsid w:val="006C3FF3"/>
    <w:rsid w:val="006C40A9"/>
    <w:rsid w:val="006C4458"/>
    <w:rsid w:val="006C5BA7"/>
    <w:rsid w:val="006C6C5A"/>
    <w:rsid w:val="006D037F"/>
    <w:rsid w:val="006D07C1"/>
    <w:rsid w:val="006D0BD9"/>
    <w:rsid w:val="006D1E3C"/>
    <w:rsid w:val="006D284C"/>
    <w:rsid w:val="006D2A65"/>
    <w:rsid w:val="006D41BC"/>
    <w:rsid w:val="006D6DA4"/>
    <w:rsid w:val="006D79B8"/>
    <w:rsid w:val="006D7F39"/>
    <w:rsid w:val="006E284A"/>
    <w:rsid w:val="006E2B11"/>
    <w:rsid w:val="006E2B20"/>
    <w:rsid w:val="006E3CCA"/>
    <w:rsid w:val="006E40C8"/>
    <w:rsid w:val="006E46D7"/>
    <w:rsid w:val="006E5824"/>
    <w:rsid w:val="006E5D9D"/>
    <w:rsid w:val="006E6EB8"/>
    <w:rsid w:val="006E7133"/>
    <w:rsid w:val="006F121B"/>
    <w:rsid w:val="006F1A09"/>
    <w:rsid w:val="006F27CB"/>
    <w:rsid w:val="006F2E82"/>
    <w:rsid w:val="006F42C5"/>
    <w:rsid w:val="006F6351"/>
    <w:rsid w:val="006F7CBF"/>
    <w:rsid w:val="006F7E09"/>
    <w:rsid w:val="00700D12"/>
    <w:rsid w:val="00700E0E"/>
    <w:rsid w:val="007011EE"/>
    <w:rsid w:val="00702FD0"/>
    <w:rsid w:val="007030CE"/>
    <w:rsid w:val="00705029"/>
    <w:rsid w:val="007077E5"/>
    <w:rsid w:val="00707DB4"/>
    <w:rsid w:val="0071046D"/>
    <w:rsid w:val="00710E3A"/>
    <w:rsid w:val="00712D8F"/>
    <w:rsid w:val="00713686"/>
    <w:rsid w:val="00713715"/>
    <w:rsid w:val="00714D4A"/>
    <w:rsid w:val="00715E9C"/>
    <w:rsid w:val="00716D9C"/>
    <w:rsid w:val="00716E6F"/>
    <w:rsid w:val="0072003A"/>
    <w:rsid w:val="00724481"/>
    <w:rsid w:val="00724B45"/>
    <w:rsid w:val="00725CD0"/>
    <w:rsid w:val="007274BF"/>
    <w:rsid w:val="00727F2C"/>
    <w:rsid w:val="0073043B"/>
    <w:rsid w:val="00730AC1"/>
    <w:rsid w:val="007311B1"/>
    <w:rsid w:val="00731B31"/>
    <w:rsid w:val="0073497F"/>
    <w:rsid w:val="00734D38"/>
    <w:rsid w:val="00734E40"/>
    <w:rsid w:val="007365A1"/>
    <w:rsid w:val="00737E08"/>
    <w:rsid w:val="00741230"/>
    <w:rsid w:val="00741280"/>
    <w:rsid w:val="007418FA"/>
    <w:rsid w:val="00744557"/>
    <w:rsid w:val="00744FFA"/>
    <w:rsid w:val="007454A9"/>
    <w:rsid w:val="00745EA3"/>
    <w:rsid w:val="0074653A"/>
    <w:rsid w:val="00746EFF"/>
    <w:rsid w:val="007514D5"/>
    <w:rsid w:val="00752625"/>
    <w:rsid w:val="00752BF9"/>
    <w:rsid w:val="00753999"/>
    <w:rsid w:val="00754773"/>
    <w:rsid w:val="0075488A"/>
    <w:rsid w:val="00754D9B"/>
    <w:rsid w:val="00760DB1"/>
    <w:rsid w:val="007617D4"/>
    <w:rsid w:val="0076266C"/>
    <w:rsid w:val="00763201"/>
    <w:rsid w:val="0076487A"/>
    <w:rsid w:val="00765E56"/>
    <w:rsid w:val="00766130"/>
    <w:rsid w:val="00770A96"/>
    <w:rsid w:val="00772121"/>
    <w:rsid w:val="00775B6F"/>
    <w:rsid w:val="00780DFA"/>
    <w:rsid w:val="00781353"/>
    <w:rsid w:val="00781B05"/>
    <w:rsid w:val="00782C7D"/>
    <w:rsid w:val="00783428"/>
    <w:rsid w:val="00783D36"/>
    <w:rsid w:val="007843B2"/>
    <w:rsid w:val="007853B3"/>
    <w:rsid w:val="007868A8"/>
    <w:rsid w:val="007932A0"/>
    <w:rsid w:val="007937F6"/>
    <w:rsid w:val="00794342"/>
    <w:rsid w:val="00795EEA"/>
    <w:rsid w:val="00796738"/>
    <w:rsid w:val="0079734F"/>
    <w:rsid w:val="00797C7E"/>
    <w:rsid w:val="007A0D3F"/>
    <w:rsid w:val="007A1738"/>
    <w:rsid w:val="007A354C"/>
    <w:rsid w:val="007A3C06"/>
    <w:rsid w:val="007A49C2"/>
    <w:rsid w:val="007A6032"/>
    <w:rsid w:val="007A66D3"/>
    <w:rsid w:val="007A7474"/>
    <w:rsid w:val="007A75B7"/>
    <w:rsid w:val="007B0133"/>
    <w:rsid w:val="007B1551"/>
    <w:rsid w:val="007B1A04"/>
    <w:rsid w:val="007B29C0"/>
    <w:rsid w:val="007B2F4D"/>
    <w:rsid w:val="007B308F"/>
    <w:rsid w:val="007B316C"/>
    <w:rsid w:val="007B32FA"/>
    <w:rsid w:val="007B3F2D"/>
    <w:rsid w:val="007B4325"/>
    <w:rsid w:val="007B544E"/>
    <w:rsid w:val="007B6475"/>
    <w:rsid w:val="007B6A10"/>
    <w:rsid w:val="007B6C18"/>
    <w:rsid w:val="007C160F"/>
    <w:rsid w:val="007C24F4"/>
    <w:rsid w:val="007C3DC9"/>
    <w:rsid w:val="007C7CEF"/>
    <w:rsid w:val="007D0948"/>
    <w:rsid w:val="007D0AC7"/>
    <w:rsid w:val="007D1BC1"/>
    <w:rsid w:val="007D2D8F"/>
    <w:rsid w:val="007D3754"/>
    <w:rsid w:val="007D3D91"/>
    <w:rsid w:val="007D5513"/>
    <w:rsid w:val="007D7ADB"/>
    <w:rsid w:val="007E0CA6"/>
    <w:rsid w:val="007E1650"/>
    <w:rsid w:val="007E16E7"/>
    <w:rsid w:val="007E1E45"/>
    <w:rsid w:val="007E1E91"/>
    <w:rsid w:val="007E24F4"/>
    <w:rsid w:val="007E3748"/>
    <w:rsid w:val="007E3813"/>
    <w:rsid w:val="007E46BF"/>
    <w:rsid w:val="007E4C1A"/>
    <w:rsid w:val="007E6295"/>
    <w:rsid w:val="007E62E6"/>
    <w:rsid w:val="007E7F82"/>
    <w:rsid w:val="007F1821"/>
    <w:rsid w:val="007F25AA"/>
    <w:rsid w:val="007F27B3"/>
    <w:rsid w:val="007F3661"/>
    <w:rsid w:val="007F41C9"/>
    <w:rsid w:val="007F6110"/>
    <w:rsid w:val="007F62DE"/>
    <w:rsid w:val="007F6497"/>
    <w:rsid w:val="007F7398"/>
    <w:rsid w:val="00800E2B"/>
    <w:rsid w:val="008012C6"/>
    <w:rsid w:val="0080158E"/>
    <w:rsid w:val="008017E0"/>
    <w:rsid w:val="008025EB"/>
    <w:rsid w:val="0080326A"/>
    <w:rsid w:val="008036F1"/>
    <w:rsid w:val="00804138"/>
    <w:rsid w:val="00806188"/>
    <w:rsid w:val="00806D35"/>
    <w:rsid w:val="00807532"/>
    <w:rsid w:val="00807B48"/>
    <w:rsid w:val="00810B0C"/>
    <w:rsid w:val="00811340"/>
    <w:rsid w:val="00811EFB"/>
    <w:rsid w:val="008130A5"/>
    <w:rsid w:val="00813146"/>
    <w:rsid w:val="0081325B"/>
    <w:rsid w:val="00813A2D"/>
    <w:rsid w:val="00813BD1"/>
    <w:rsid w:val="00814649"/>
    <w:rsid w:val="00814C16"/>
    <w:rsid w:val="00814CBD"/>
    <w:rsid w:val="008158BB"/>
    <w:rsid w:val="00815E5C"/>
    <w:rsid w:val="0081688E"/>
    <w:rsid w:val="00817425"/>
    <w:rsid w:val="00817467"/>
    <w:rsid w:val="00817FB9"/>
    <w:rsid w:val="0082075F"/>
    <w:rsid w:val="0082184C"/>
    <w:rsid w:val="00821A0E"/>
    <w:rsid w:val="00821EF8"/>
    <w:rsid w:val="00822F8F"/>
    <w:rsid w:val="008255BE"/>
    <w:rsid w:val="00825F1B"/>
    <w:rsid w:val="00827301"/>
    <w:rsid w:val="0083020A"/>
    <w:rsid w:val="00830270"/>
    <w:rsid w:val="0083205D"/>
    <w:rsid w:val="00832D98"/>
    <w:rsid w:val="0083409D"/>
    <w:rsid w:val="00834533"/>
    <w:rsid w:val="00835A0E"/>
    <w:rsid w:val="0083624A"/>
    <w:rsid w:val="00841D9C"/>
    <w:rsid w:val="00842474"/>
    <w:rsid w:val="008424A0"/>
    <w:rsid w:val="00842E9A"/>
    <w:rsid w:val="00844071"/>
    <w:rsid w:val="008445D0"/>
    <w:rsid w:val="00844861"/>
    <w:rsid w:val="00846413"/>
    <w:rsid w:val="00847310"/>
    <w:rsid w:val="00847DEC"/>
    <w:rsid w:val="0085077A"/>
    <w:rsid w:val="00850967"/>
    <w:rsid w:val="008517ED"/>
    <w:rsid w:val="00852BA0"/>
    <w:rsid w:val="0085372E"/>
    <w:rsid w:val="00853D3A"/>
    <w:rsid w:val="00854627"/>
    <w:rsid w:val="00854F12"/>
    <w:rsid w:val="00856F20"/>
    <w:rsid w:val="00856F59"/>
    <w:rsid w:val="00857E01"/>
    <w:rsid w:val="00857E8E"/>
    <w:rsid w:val="00860587"/>
    <w:rsid w:val="008614F7"/>
    <w:rsid w:val="00862422"/>
    <w:rsid w:val="00862783"/>
    <w:rsid w:val="00862BF0"/>
    <w:rsid w:val="00863A6D"/>
    <w:rsid w:val="008652FE"/>
    <w:rsid w:val="008659E4"/>
    <w:rsid w:val="008662EC"/>
    <w:rsid w:val="008664AE"/>
    <w:rsid w:val="00866711"/>
    <w:rsid w:val="00866CB5"/>
    <w:rsid w:val="0087060F"/>
    <w:rsid w:val="0087145B"/>
    <w:rsid w:val="00871EE4"/>
    <w:rsid w:val="00872282"/>
    <w:rsid w:val="008724FF"/>
    <w:rsid w:val="00873786"/>
    <w:rsid w:val="008741B7"/>
    <w:rsid w:val="00874A9A"/>
    <w:rsid w:val="0087607E"/>
    <w:rsid w:val="008806ED"/>
    <w:rsid w:val="00880F6B"/>
    <w:rsid w:val="00882C3A"/>
    <w:rsid w:val="0088402D"/>
    <w:rsid w:val="00886862"/>
    <w:rsid w:val="0088693C"/>
    <w:rsid w:val="00892883"/>
    <w:rsid w:val="00892B16"/>
    <w:rsid w:val="00892B3B"/>
    <w:rsid w:val="0089313F"/>
    <w:rsid w:val="008951BF"/>
    <w:rsid w:val="00895881"/>
    <w:rsid w:val="00895C49"/>
    <w:rsid w:val="008968F0"/>
    <w:rsid w:val="00896B31"/>
    <w:rsid w:val="008978E0"/>
    <w:rsid w:val="008A0A56"/>
    <w:rsid w:val="008A17D5"/>
    <w:rsid w:val="008A1ECA"/>
    <w:rsid w:val="008A2BB8"/>
    <w:rsid w:val="008A329B"/>
    <w:rsid w:val="008A4640"/>
    <w:rsid w:val="008A570F"/>
    <w:rsid w:val="008A6820"/>
    <w:rsid w:val="008A684D"/>
    <w:rsid w:val="008A74D5"/>
    <w:rsid w:val="008A7E3B"/>
    <w:rsid w:val="008B14B2"/>
    <w:rsid w:val="008B1CC8"/>
    <w:rsid w:val="008B2E35"/>
    <w:rsid w:val="008B3186"/>
    <w:rsid w:val="008B3414"/>
    <w:rsid w:val="008B3778"/>
    <w:rsid w:val="008B45A3"/>
    <w:rsid w:val="008B46B0"/>
    <w:rsid w:val="008B56D1"/>
    <w:rsid w:val="008B5B2B"/>
    <w:rsid w:val="008B61CB"/>
    <w:rsid w:val="008C04B6"/>
    <w:rsid w:val="008C05B7"/>
    <w:rsid w:val="008C0A84"/>
    <w:rsid w:val="008C2003"/>
    <w:rsid w:val="008C2091"/>
    <w:rsid w:val="008C2492"/>
    <w:rsid w:val="008C361E"/>
    <w:rsid w:val="008C50D2"/>
    <w:rsid w:val="008C53D6"/>
    <w:rsid w:val="008C5A74"/>
    <w:rsid w:val="008C5D68"/>
    <w:rsid w:val="008C5DB6"/>
    <w:rsid w:val="008C6A0C"/>
    <w:rsid w:val="008C7669"/>
    <w:rsid w:val="008C7EE4"/>
    <w:rsid w:val="008D0DA3"/>
    <w:rsid w:val="008D14FC"/>
    <w:rsid w:val="008D1A86"/>
    <w:rsid w:val="008D36F2"/>
    <w:rsid w:val="008D4733"/>
    <w:rsid w:val="008E0FCE"/>
    <w:rsid w:val="008E0FED"/>
    <w:rsid w:val="008E1419"/>
    <w:rsid w:val="008E14AA"/>
    <w:rsid w:val="008E3B1F"/>
    <w:rsid w:val="008E4751"/>
    <w:rsid w:val="008E579E"/>
    <w:rsid w:val="008E6524"/>
    <w:rsid w:val="008E782B"/>
    <w:rsid w:val="008E7C3F"/>
    <w:rsid w:val="008F17A7"/>
    <w:rsid w:val="008F2646"/>
    <w:rsid w:val="008F2D7D"/>
    <w:rsid w:val="008F30C6"/>
    <w:rsid w:val="008F31F8"/>
    <w:rsid w:val="008F3D6C"/>
    <w:rsid w:val="008F4005"/>
    <w:rsid w:val="008F4049"/>
    <w:rsid w:val="008F5EA7"/>
    <w:rsid w:val="008F76A5"/>
    <w:rsid w:val="00901CEB"/>
    <w:rsid w:val="00902131"/>
    <w:rsid w:val="00902B0A"/>
    <w:rsid w:val="00903264"/>
    <w:rsid w:val="00904D79"/>
    <w:rsid w:val="00904EDD"/>
    <w:rsid w:val="0090525B"/>
    <w:rsid w:val="0090622F"/>
    <w:rsid w:val="00906D80"/>
    <w:rsid w:val="009073CC"/>
    <w:rsid w:val="00910ADE"/>
    <w:rsid w:val="0091107C"/>
    <w:rsid w:val="00911FE3"/>
    <w:rsid w:val="00912D29"/>
    <w:rsid w:val="00912EFB"/>
    <w:rsid w:val="00913491"/>
    <w:rsid w:val="009142FE"/>
    <w:rsid w:val="009143F5"/>
    <w:rsid w:val="00915B32"/>
    <w:rsid w:val="00916431"/>
    <w:rsid w:val="00916E21"/>
    <w:rsid w:val="00917795"/>
    <w:rsid w:val="009200A5"/>
    <w:rsid w:val="009213B2"/>
    <w:rsid w:val="00921506"/>
    <w:rsid w:val="00921785"/>
    <w:rsid w:val="00921923"/>
    <w:rsid w:val="00922840"/>
    <w:rsid w:val="009230F2"/>
    <w:rsid w:val="00923858"/>
    <w:rsid w:val="009245F3"/>
    <w:rsid w:val="00925DB6"/>
    <w:rsid w:val="00925DF6"/>
    <w:rsid w:val="00931A7C"/>
    <w:rsid w:val="0093244A"/>
    <w:rsid w:val="00932D10"/>
    <w:rsid w:val="00933207"/>
    <w:rsid w:val="009342A9"/>
    <w:rsid w:val="00934F4A"/>
    <w:rsid w:val="00936276"/>
    <w:rsid w:val="009370CD"/>
    <w:rsid w:val="00937E12"/>
    <w:rsid w:val="009415AB"/>
    <w:rsid w:val="00943295"/>
    <w:rsid w:val="00943F7C"/>
    <w:rsid w:val="0094540A"/>
    <w:rsid w:val="009457D1"/>
    <w:rsid w:val="0094730C"/>
    <w:rsid w:val="009479C0"/>
    <w:rsid w:val="00947AAB"/>
    <w:rsid w:val="00953089"/>
    <w:rsid w:val="00954559"/>
    <w:rsid w:val="0095698D"/>
    <w:rsid w:val="00957487"/>
    <w:rsid w:val="00960590"/>
    <w:rsid w:val="00960CE8"/>
    <w:rsid w:val="009613E4"/>
    <w:rsid w:val="00961CEC"/>
    <w:rsid w:val="00962CA0"/>
    <w:rsid w:val="009637E4"/>
    <w:rsid w:val="00963E87"/>
    <w:rsid w:val="009654B3"/>
    <w:rsid w:val="00965A43"/>
    <w:rsid w:val="009660F7"/>
    <w:rsid w:val="0096613B"/>
    <w:rsid w:val="00966D0A"/>
    <w:rsid w:val="00967588"/>
    <w:rsid w:val="009675BE"/>
    <w:rsid w:val="009712EB"/>
    <w:rsid w:val="00972AC0"/>
    <w:rsid w:val="00972C2E"/>
    <w:rsid w:val="0097376E"/>
    <w:rsid w:val="00973C27"/>
    <w:rsid w:val="00973CAF"/>
    <w:rsid w:val="0097481A"/>
    <w:rsid w:val="00975415"/>
    <w:rsid w:val="00975881"/>
    <w:rsid w:val="00976B2C"/>
    <w:rsid w:val="00982079"/>
    <w:rsid w:val="009836F3"/>
    <w:rsid w:val="00983D79"/>
    <w:rsid w:val="009851CD"/>
    <w:rsid w:val="00985344"/>
    <w:rsid w:val="00986A99"/>
    <w:rsid w:val="00990670"/>
    <w:rsid w:val="00990B1C"/>
    <w:rsid w:val="00992303"/>
    <w:rsid w:val="00993894"/>
    <w:rsid w:val="00993A76"/>
    <w:rsid w:val="00993F2E"/>
    <w:rsid w:val="0099474D"/>
    <w:rsid w:val="0099649B"/>
    <w:rsid w:val="00996540"/>
    <w:rsid w:val="009965E7"/>
    <w:rsid w:val="009A033D"/>
    <w:rsid w:val="009A11A4"/>
    <w:rsid w:val="009A1532"/>
    <w:rsid w:val="009A1545"/>
    <w:rsid w:val="009A17B1"/>
    <w:rsid w:val="009A1D46"/>
    <w:rsid w:val="009A1D76"/>
    <w:rsid w:val="009A41D7"/>
    <w:rsid w:val="009A4EE6"/>
    <w:rsid w:val="009A50ED"/>
    <w:rsid w:val="009A5A23"/>
    <w:rsid w:val="009A6242"/>
    <w:rsid w:val="009A6A09"/>
    <w:rsid w:val="009B07F9"/>
    <w:rsid w:val="009B0C17"/>
    <w:rsid w:val="009B13AF"/>
    <w:rsid w:val="009B13F8"/>
    <w:rsid w:val="009B1E6F"/>
    <w:rsid w:val="009B4388"/>
    <w:rsid w:val="009B4906"/>
    <w:rsid w:val="009B496F"/>
    <w:rsid w:val="009B574C"/>
    <w:rsid w:val="009B5B33"/>
    <w:rsid w:val="009B7027"/>
    <w:rsid w:val="009C037C"/>
    <w:rsid w:val="009C142A"/>
    <w:rsid w:val="009C179B"/>
    <w:rsid w:val="009C2FFA"/>
    <w:rsid w:val="009C4183"/>
    <w:rsid w:val="009C45D5"/>
    <w:rsid w:val="009C4AFB"/>
    <w:rsid w:val="009C4CCC"/>
    <w:rsid w:val="009C5AE9"/>
    <w:rsid w:val="009C5EA5"/>
    <w:rsid w:val="009C7B7A"/>
    <w:rsid w:val="009D133D"/>
    <w:rsid w:val="009D207B"/>
    <w:rsid w:val="009D248F"/>
    <w:rsid w:val="009D257F"/>
    <w:rsid w:val="009D31EE"/>
    <w:rsid w:val="009D7DD3"/>
    <w:rsid w:val="009E1244"/>
    <w:rsid w:val="009E2071"/>
    <w:rsid w:val="009E24B5"/>
    <w:rsid w:val="009E2D9D"/>
    <w:rsid w:val="009E42A1"/>
    <w:rsid w:val="009F056A"/>
    <w:rsid w:val="009F1025"/>
    <w:rsid w:val="009F1465"/>
    <w:rsid w:val="009F2A15"/>
    <w:rsid w:val="009F3990"/>
    <w:rsid w:val="009F52A2"/>
    <w:rsid w:val="009F570E"/>
    <w:rsid w:val="009F69D5"/>
    <w:rsid w:val="00A00919"/>
    <w:rsid w:val="00A01F7C"/>
    <w:rsid w:val="00A0551D"/>
    <w:rsid w:val="00A05656"/>
    <w:rsid w:val="00A07283"/>
    <w:rsid w:val="00A11A57"/>
    <w:rsid w:val="00A124AC"/>
    <w:rsid w:val="00A12D8E"/>
    <w:rsid w:val="00A13233"/>
    <w:rsid w:val="00A13292"/>
    <w:rsid w:val="00A13D11"/>
    <w:rsid w:val="00A156D5"/>
    <w:rsid w:val="00A15F46"/>
    <w:rsid w:val="00A160A4"/>
    <w:rsid w:val="00A16CDD"/>
    <w:rsid w:val="00A175FD"/>
    <w:rsid w:val="00A213E4"/>
    <w:rsid w:val="00A2216F"/>
    <w:rsid w:val="00A238F9"/>
    <w:rsid w:val="00A23BE5"/>
    <w:rsid w:val="00A25252"/>
    <w:rsid w:val="00A25C4F"/>
    <w:rsid w:val="00A25C9D"/>
    <w:rsid w:val="00A262E8"/>
    <w:rsid w:val="00A27587"/>
    <w:rsid w:val="00A27F36"/>
    <w:rsid w:val="00A3050B"/>
    <w:rsid w:val="00A3130B"/>
    <w:rsid w:val="00A31835"/>
    <w:rsid w:val="00A31F8B"/>
    <w:rsid w:val="00A330C9"/>
    <w:rsid w:val="00A34179"/>
    <w:rsid w:val="00A3455F"/>
    <w:rsid w:val="00A35132"/>
    <w:rsid w:val="00A3599A"/>
    <w:rsid w:val="00A36E70"/>
    <w:rsid w:val="00A37677"/>
    <w:rsid w:val="00A37D47"/>
    <w:rsid w:val="00A42274"/>
    <w:rsid w:val="00A4233A"/>
    <w:rsid w:val="00A42E13"/>
    <w:rsid w:val="00A43601"/>
    <w:rsid w:val="00A43A2C"/>
    <w:rsid w:val="00A43BCA"/>
    <w:rsid w:val="00A44326"/>
    <w:rsid w:val="00A45635"/>
    <w:rsid w:val="00A45A88"/>
    <w:rsid w:val="00A46161"/>
    <w:rsid w:val="00A46D32"/>
    <w:rsid w:val="00A47317"/>
    <w:rsid w:val="00A477B6"/>
    <w:rsid w:val="00A47835"/>
    <w:rsid w:val="00A47BFA"/>
    <w:rsid w:val="00A47CE1"/>
    <w:rsid w:val="00A47D55"/>
    <w:rsid w:val="00A50B25"/>
    <w:rsid w:val="00A52081"/>
    <w:rsid w:val="00A52313"/>
    <w:rsid w:val="00A56193"/>
    <w:rsid w:val="00A56245"/>
    <w:rsid w:val="00A617F3"/>
    <w:rsid w:val="00A61A28"/>
    <w:rsid w:val="00A61C00"/>
    <w:rsid w:val="00A625FE"/>
    <w:rsid w:val="00A6525A"/>
    <w:rsid w:val="00A668FA"/>
    <w:rsid w:val="00A67969"/>
    <w:rsid w:val="00A715CE"/>
    <w:rsid w:val="00A72D66"/>
    <w:rsid w:val="00A73104"/>
    <w:rsid w:val="00A73BC0"/>
    <w:rsid w:val="00A742DF"/>
    <w:rsid w:val="00A7452C"/>
    <w:rsid w:val="00A745D4"/>
    <w:rsid w:val="00A75363"/>
    <w:rsid w:val="00A76476"/>
    <w:rsid w:val="00A76D9B"/>
    <w:rsid w:val="00A77FE9"/>
    <w:rsid w:val="00A811AF"/>
    <w:rsid w:val="00A81CA5"/>
    <w:rsid w:val="00A844CC"/>
    <w:rsid w:val="00A847B6"/>
    <w:rsid w:val="00A849E0"/>
    <w:rsid w:val="00A84D22"/>
    <w:rsid w:val="00A84D47"/>
    <w:rsid w:val="00A85C9C"/>
    <w:rsid w:val="00A86E87"/>
    <w:rsid w:val="00A912C0"/>
    <w:rsid w:val="00A91F98"/>
    <w:rsid w:val="00A92962"/>
    <w:rsid w:val="00A92C94"/>
    <w:rsid w:val="00A9380D"/>
    <w:rsid w:val="00A94841"/>
    <w:rsid w:val="00A94A1A"/>
    <w:rsid w:val="00A94FD9"/>
    <w:rsid w:val="00A96A65"/>
    <w:rsid w:val="00A97326"/>
    <w:rsid w:val="00A97AAE"/>
    <w:rsid w:val="00AA0369"/>
    <w:rsid w:val="00AA0370"/>
    <w:rsid w:val="00AA08BE"/>
    <w:rsid w:val="00AA0B2F"/>
    <w:rsid w:val="00AA17B0"/>
    <w:rsid w:val="00AA1827"/>
    <w:rsid w:val="00AA279B"/>
    <w:rsid w:val="00AA288F"/>
    <w:rsid w:val="00AA3577"/>
    <w:rsid w:val="00AA430D"/>
    <w:rsid w:val="00AA47DF"/>
    <w:rsid w:val="00AA49DE"/>
    <w:rsid w:val="00AA77FD"/>
    <w:rsid w:val="00AB0DEF"/>
    <w:rsid w:val="00AB169D"/>
    <w:rsid w:val="00AB1D7A"/>
    <w:rsid w:val="00AB247D"/>
    <w:rsid w:val="00AB262A"/>
    <w:rsid w:val="00AB29D5"/>
    <w:rsid w:val="00AB4494"/>
    <w:rsid w:val="00AB6BFB"/>
    <w:rsid w:val="00AB7877"/>
    <w:rsid w:val="00AB7C60"/>
    <w:rsid w:val="00AC09D2"/>
    <w:rsid w:val="00AC1A54"/>
    <w:rsid w:val="00AC1F43"/>
    <w:rsid w:val="00AC279B"/>
    <w:rsid w:val="00AC285F"/>
    <w:rsid w:val="00AC4019"/>
    <w:rsid w:val="00AC4292"/>
    <w:rsid w:val="00AC4323"/>
    <w:rsid w:val="00AC6D0D"/>
    <w:rsid w:val="00AC7196"/>
    <w:rsid w:val="00AC740B"/>
    <w:rsid w:val="00AD06A0"/>
    <w:rsid w:val="00AD1387"/>
    <w:rsid w:val="00AD153C"/>
    <w:rsid w:val="00AD1B59"/>
    <w:rsid w:val="00AD1E46"/>
    <w:rsid w:val="00AD23CD"/>
    <w:rsid w:val="00AD2409"/>
    <w:rsid w:val="00AD45E1"/>
    <w:rsid w:val="00AE0D7A"/>
    <w:rsid w:val="00AE11EB"/>
    <w:rsid w:val="00AE1E2A"/>
    <w:rsid w:val="00AE4FCB"/>
    <w:rsid w:val="00AE5310"/>
    <w:rsid w:val="00AE5C2C"/>
    <w:rsid w:val="00AE5D50"/>
    <w:rsid w:val="00AE5E64"/>
    <w:rsid w:val="00AE6F43"/>
    <w:rsid w:val="00AE7A3B"/>
    <w:rsid w:val="00AF0E76"/>
    <w:rsid w:val="00AF1698"/>
    <w:rsid w:val="00AF3E6A"/>
    <w:rsid w:val="00AF4196"/>
    <w:rsid w:val="00AF43CC"/>
    <w:rsid w:val="00AF4519"/>
    <w:rsid w:val="00AF5C72"/>
    <w:rsid w:val="00AF61BA"/>
    <w:rsid w:val="00AF6495"/>
    <w:rsid w:val="00AF6644"/>
    <w:rsid w:val="00AF6BDD"/>
    <w:rsid w:val="00B009C7"/>
    <w:rsid w:val="00B00ABC"/>
    <w:rsid w:val="00B0324F"/>
    <w:rsid w:val="00B05194"/>
    <w:rsid w:val="00B06949"/>
    <w:rsid w:val="00B072A2"/>
    <w:rsid w:val="00B07523"/>
    <w:rsid w:val="00B101AA"/>
    <w:rsid w:val="00B102BA"/>
    <w:rsid w:val="00B10563"/>
    <w:rsid w:val="00B114FD"/>
    <w:rsid w:val="00B1194B"/>
    <w:rsid w:val="00B11ED4"/>
    <w:rsid w:val="00B123F6"/>
    <w:rsid w:val="00B12985"/>
    <w:rsid w:val="00B13CA1"/>
    <w:rsid w:val="00B1571C"/>
    <w:rsid w:val="00B15EDD"/>
    <w:rsid w:val="00B163DA"/>
    <w:rsid w:val="00B20AE5"/>
    <w:rsid w:val="00B20E17"/>
    <w:rsid w:val="00B20F9F"/>
    <w:rsid w:val="00B214AC"/>
    <w:rsid w:val="00B21D3A"/>
    <w:rsid w:val="00B2367B"/>
    <w:rsid w:val="00B2407A"/>
    <w:rsid w:val="00B25661"/>
    <w:rsid w:val="00B25F69"/>
    <w:rsid w:val="00B3043C"/>
    <w:rsid w:val="00B30A64"/>
    <w:rsid w:val="00B30D04"/>
    <w:rsid w:val="00B31441"/>
    <w:rsid w:val="00B33361"/>
    <w:rsid w:val="00B34E70"/>
    <w:rsid w:val="00B35205"/>
    <w:rsid w:val="00B36584"/>
    <w:rsid w:val="00B36F8A"/>
    <w:rsid w:val="00B37B80"/>
    <w:rsid w:val="00B37CB9"/>
    <w:rsid w:val="00B406F9"/>
    <w:rsid w:val="00B40C9E"/>
    <w:rsid w:val="00B435AE"/>
    <w:rsid w:val="00B4461F"/>
    <w:rsid w:val="00B452E9"/>
    <w:rsid w:val="00B46662"/>
    <w:rsid w:val="00B470DD"/>
    <w:rsid w:val="00B473EF"/>
    <w:rsid w:val="00B47615"/>
    <w:rsid w:val="00B5063B"/>
    <w:rsid w:val="00B528F8"/>
    <w:rsid w:val="00B539BB"/>
    <w:rsid w:val="00B54867"/>
    <w:rsid w:val="00B56508"/>
    <w:rsid w:val="00B60289"/>
    <w:rsid w:val="00B610B2"/>
    <w:rsid w:val="00B61180"/>
    <w:rsid w:val="00B613DB"/>
    <w:rsid w:val="00B62955"/>
    <w:rsid w:val="00B62B37"/>
    <w:rsid w:val="00B64B25"/>
    <w:rsid w:val="00B64FCA"/>
    <w:rsid w:val="00B65AF1"/>
    <w:rsid w:val="00B67D46"/>
    <w:rsid w:val="00B716F0"/>
    <w:rsid w:val="00B71D7C"/>
    <w:rsid w:val="00B72FBB"/>
    <w:rsid w:val="00B75B65"/>
    <w:rsid w:val="00B7658A"/>
    <w:rsid w:val="00B770CD"/>
    <w:rsid w:val="00B7730F"/>
    <w:rsid w:val="00B77FF1"/>
    <w:rsid w:val="00B80591"/>
    <w:rsid w:val="00B81245"/>
    <w:rsid w:val="00B813E1"/>
    <w:rsid w:val="00B81890"/>
    <w:rsid w:val="00B81990"/>
    <w:rsid w:val="00B83F8A"/>
    <w:rsid w:val="00B845A0"/>
    <w:rsid w:val="00B845A8"/>
    <w:rsid w:val="00B85023"/>
    <w:rsid w:val="00B873FB"/>
    <w:rsid w:val="00B90501"/>
    <w:rsid w:val="00B90662"/>
    <w:rsid w:val="00B922FC"/>
    <w:rsid w:val="00B92321"/>
    <w:rsid w:val="00B934B5"/>
    <w:rsid w:val="00B9357F"/>
    <w:rsid w:val="00B93668"/>
    <w:rsid w:val="00B93B94"/>
    <w:rsid w:val="00B94B7B"/>
    <w:rsid w:val="00B95DBE"/>
    <w:rsid w:val="00B97981"/>
    <w:rsid w:val="00BA1A0A"/>
    <w:rsid w:val="00BA2D06"/>
    <w:rsid w:val="00BA2E50"/>
    <w:rsid w:val="00BA2FE9"/>
    <w:rsid w:val="00BA4CEB"/>
    <w:rsid w:val="00BA616E"/>
    <w:rsid w:val="00BA6191"/>
    <w:rsid w:val="00BB06D0"/>
    <w:rsid w:val="00BB0D32"/>
    <w:rsid w:val="00BB12F7"/>
    <w:rsid w:val="00BB192F"/>
    <w:rsid w:val="00BB26C4"/>
    <w:rsid w:val="00BB336E"/>
    <w:rsid w:val="00BB35E9"/>
    <w:rsid w:val="00BB3FE7"/>
    <w:rsid w:val="00BB49DE"/>
    <w:rsid w:val="00BB6C7E"/>
    <w:rsid w:val="00BC46F0"/>
    <w:rsid w:val="00BC57A9"/>
    <w:rsid w:val="00BC5808"/>
    <w:rsid w:val="00BC5851"/>
    <w:rsid w:val="00BC633A"/>
    <w:rsid w:val="00BC77DA"/>
    <w:rsid w:val="00BC7C67"/>
    <w:rsid w:val="00BD051F"/>
    <w:rsid w:val="00BD059D"/>
    <w:rsid w:val="00BD0A7A"/>
    <w:rsid w:val="00BD4F6D"/>
    <w:rsid w:val="00BD576D"/>
    <w:rsid w:val="00BE0091"/>
    <w:rsid w:val="00BE13CB"/>
    <w:rsid w:val="00BE1669"/>
    <w:rsid w:val="00BE2B1C"/>
    <w:rsid w:val="00BE4E02"/>
    <w:rsid w:val="00BE7517"/>
    <w:rsid w:val="00BE7AF4"/>
    <w:rsid w:val="00BF10CE"/>
    <w:rsid w:val="00BF2303"/>
    <w:rsid w:val="00BF3057"/>
    <w:rsid w:val="00BF3225"/>
    <w:rsid w:val="00BF3CBA"/>
    <w:rsid w:val="00BF3FCB"/>
    <w:rsid w:val="00BF444E"/>
    <w:rsid w:val="00BF44C7"/>
    <w:rsid w:val="00BF4E69"/>
    <w:rsid w:val="00BF4ED9"/>
    <w:rsid w:val="00BF688C"/>
    <w:rsid w:val="00BF7699"/>
    <w:rsid w:val="00C01105"/>
    <w:rsid w:val="00C029D8"/>
    <w:rsid w:val="00C05550"/>
    <w:rsid w:val="00C058A7"/>
    <w:rsid w:val="00C05A2C"/>
    <w:rsid w:val="00C05FFE"/>
    <w:rsid w:val="00C0627C"/>
    <w:rsid w:val="00C06323"/>
    <w:rsid w:val="00C0738A"/>
    <w:rsid w:val="00C07D0F"/>
    <w:rsid w:val="00C10E23"/>
    <w:rsid w:val="00C12E93"/>
    <w:rsid w:val="00C150B2"/>
    <w:rsid w:val="00C15314"/>
    <w:rsid w:val="00C156F4"/>
    <w:rsid w:val="00C165E8"/>
    <w:rsid w:val="00C174BB"/>
    <w:rsid w:val="00C201F1"/>
    <w:rsid w:val="00C22494"/>
    <w:rsid w:val="00C229FA"/>
    <w:rsid w:val="00C23075"/>
    <w:rsid w:val="00C24638"/>
    <w:rsid w:val="00C252A5"/>
    <w:rsid w:val="00C25D5A"/>
    <w:rsid w:val="00C26F1F"/>
    <w:rsid w:val="00C27D67"/>
    <w:rsid w:val="00C3027F"/>
    <w:rsid w:val="00C3045A"/>
    <w:rsid w:val="00C30D56"/>
    <w:rsid w:val="00C33560"/>
    <w:rsid w:val="00C351B5"/>
    <w:rsid w:val="00C3576B"/>
    <w:rsid w:val="00C35FAB"/>
    <w:rsid w:val="00C36B89"/>
    <w:rsid w:val="00C36F2E"/>
    <w:rsid w:val="00C3705D"/>
    <w:rsid w:val="00C41888"/>
    <w:rsid w:val="00C4227E"/>
    <w:rsid w:val="00C43670"/>
    <w:rsid w:val="00C44F80"/>
    <w:rsid w:val="00C47FAC"/>
    <w:rsid w:val="00C51DFE"/>
    <w:rsid w:val="00C528CA"/>
    <w:rsid w:val="00C53B32"/>
    <w:rsid w:val="00C545A4"/>
    <w:rsid w:val="00C54712"/>
    <w:rsid w:val="00C5751D"/>
    <w:rsid w:val="00C60058"/>
    <w:rsid w:val="00C604C3"/>
    <w:rsid w:val="00C604CB"/>
    <w:rsid w:val="00C61000"/>
    <w:rsid w:val="00C6357A"/>
    <w:rsid w:val="00C63E17"/>
    <w:rsid w:val="00C64D60"/>
    <w:rsid w:val="00C65139"/>
    <w:rsid w:val="00C65865"/>
    <w:rsid w:val="00C67DAE"/>
    <w:rsid w:val="00C70E4C"/>
    <w:rsid w:val="00C712BD"/>
    <w:rsid w:val="00C727F7"/>
    <w:rsid w:val="00C72B83"/>
    <w:rsid w:val="00C736B3"/>
    <w:rsid w:val="00C74C2B"/>
    <w:rsid w:val="00C764F7"/>
    <w:rsid w:val="00C76DB7"/>
    <w:rsid w:val="00C76DE5"/>
    <w:rsid w:val="00C770B4"/>
    <w:rsid w:val="00C7725C"/>
    <w:rsid w:val="00C81748"/>
    <w:rsid w:val="00C8315D"/>
    <w:rsid w:val="00C837C5"/>
    <w:rsid w:val="00C83ED8"/>
    <w:rsid w:val="00C84209"/>
    <w:rsid w:val="00C850EC"/>
    <w:rsid w:val="00C85F50"/>
    <w:rsid w:val="00C86BFE"/>
    <w:rsid w:val="00C91B1B"/>
    <w:rsid w:val="00C934C2"/>
    <w:rsid w:val="00C94A6D"/>
    <w:rsid w:val="00C94C9B"/>
    <w:rsid w:val="00C9642C"/>
    <w:rsid w:val="00C9642D"/>
    <w:rsid w:val="00C96749"/>
    <w:rsid w:val="00CA07F3"/>
    <w:rsid w:val="00CA1FF4"/>
    <w:rsid w:val="00CA3424"/>
    <w:rsid w:val="00CA619F"/>
    <w:rsid w:val="00CA69D8"/>
    <w:rsid w:val="00CA6CCD"/>
    <w:rsid w:val="00CA6E97"/>
    <w:rsid w:val="00CB0F47"/>
    <w:rsid w:val="00CB1403"/>
    <w:rsid w:val="00CB2589"/>
    <w:rsid w:val="00CB26B1"/>
    <w:rsid w:val="00CB2ECE"/>
    <w:rsid w:val="00CB4FE6"/>
    <w:rsid w:val="00CB6A9B"/>
    <w:rsid w:val="00CB74AB"/>
    <w:rsid w:val="00CC0899"/>
    <w:rsid w:val="00CC0F27"/>
    <w:rsid w:val="00CC14E1"/>
    <w:rsid w:val="00CC2FC0"/>
    <w:rsid w:val="00CC2FD5"/>
    <w:rsid w:val="00CC37BC"/>
    <w:rsid w:val="00CC4745"/>
    <w:rsid w:val="00CC48B9"/>
    <w:rsid w:val="00CC54CF"/>
    <w:rsid w:val="00CC586D"/>
    <w:rsid w:val="00CC5C5C"/>
    <w:rsid w:val="00CC5FBF"/>
    <w:rsid w:val="00CC67E8"/>
    <w:rsid w:val="00CD0654"/>
    <w:rsid w:val="00CD0F7A"/>
    <w:rsid w:val="00CD299A"/>
    <w:rsid w:val="00CD4943"/>
    <w:rsid w:val="00CD53D3"/>
    <w:rsid w:val="00CD5582"/>
    <w:rsid w:val="00CE038F"/>
    <w:rsid w:val="00CE0F9B"/>
    <w:rsid w:val="00CE140B"/>
    <w:rsid w:val="00CE1A08"/>
    <w:rsid w:val="00CE1F78"/>
    <w:rsid w:val="00CE2E98"/>
    <w:rsid w:val="00CE33EC"/>
    <w:rsid w:val="00CE36A7"/>
    <w:rsid w:val="00CE473D"/>
    <w:rsid w:val="00CE4EB0"/>
    <w:rsid w:val="00CE5F86"/>
    <w:rsid w:val="00CF0248"/>
    <w:rsid w:val="00CF11C1"/>
    <w:rsid w:val="00CF1569"/>
    <w:rsid w:val="00CF24B1"/>
    <w:rsid w:val="00CF3439"/>
    <w:rsid w:val="00CF38C4"/>
    <w:rsid w:val="00CF46CE"/>
    <w:rsid w:val="00CF4B2F"/>
    <w:rsid w:val="00D014F1"/>
    <w:rsid w:val="00D02682"/>
    <w:rsid w:val="00D02BFA"/>
    <w:rsid w:val="00D03FE9"/>
    <w:rsid w:val="00D0504D"/>
    <w:rsid w:val="00D05422"/>
    <w:rsid w:val="00D05A3A"/>
    <w:rsid w:val="00D05B0F"/>
    <w:rsid w:val="00D0691C"/>
    <w:rsid w:val="00D06998"/>
    <w:rsid w:val="00D103BD"/>
    <w:rsid w:val="00D10A05"/>
    <w:rsid w:val="00D1300B"/>
    <w:rsid w:val="00D14796"/>
    <w:rsid w:val="00D15795"/>
    <w:rsid w:val="00D160B5"/>
    <w:rsid w:val="00D167CD"/>
    <w:rsid w:val="00D17766"/>
    <w:rsid w:val="00D20E91"/>
    <w:rsid w:val="00D21BF9"/>
    <w:rsid w:val="00D225F1"/>
    <w:rsid w:val="00D22C6E"/>
    <w:rsid w:val="00D237BB"/>
    <w:rsid w:val="00D23857"/>
    <w:rsid w:val="00D23F4B"/>
    <w:rsid w:val="00D246CF"/>
    <w:rsid w:val="00D25437"/>
    <w:rsid w:val="00D26417"/>
    <w:rsid w:val="00D264CA"/>
    <w:rsid w:val="00D26DB3"/>
    <w:rsid w:val="00D27F19"/>
    <w:rsid w:val="00D30938"/>
    <w:rsid w:val="00D30956"/>
    <w:rsid w:val="00D32CAA"/>
    <w:rsid w:val="00D3581A"/>
    <w:rsid w:val="00D36C5A"/>
    <w:rsid w:val="00D37B81"/>
    <w:rsid w:val="00D37E95"/>
    <w:rsid w:val="00D41030"/>
    <w:rsid w:val="00D41BD3"/>
    <w:rsid w:val="00D42C0E"/>
    <w:rsid w:val="00D44561"/>
    <w:rsid w:val="00D445CA"/>
    <w:rsid w:val="00D44D5D"/>
    <w:rsid w:val="00D45445"/>
    <w:rsid w:val="00D45580"/>
    <w:rsid w:val="00D459FB"/>
    <w:rsid w:val="00D45FF6"/>
    <w:rsid w:val="00D469E9"/>
    <w:rsid w:val="00D47935"/>
    <w:rsid w:val="00D50095"/>
    <w:rsid w:val="00D50A5E"/>
    <w:rsid w:val="00D51891"/>
    <w:rsid w:val="00D52DFE"/>
    <w:rsid w:val="00D52FBC"/>
    <w:rsid w:val="00D53B9C"/>
    <w:rsid w:val="00D54533"/>
    <w:rsid w:val="00D54ACD"/>
    <w:rsid w:val="00D54D2D"/>
    <w:rsid w:val="00D5589D"/>
    <w:rsid w:val="00D5632C"/>
    <w:rsid w:val="00D5659F"/>
    <w:rsid w:val="00D56B00"/>
    <w:rsid w:val="00D60AE0"/>
    <w:rsid w:val="00D60C48"/>
    <w:rsid w:val="00D61F66"/>
    <w:rsid w:val="00D62769"/>
    <w:rsid w:val="00D63B95"/>
    <w:rsid w:val="00D6467F"/>
    <w:rsid w:val="00D65326"/>
    <w:rsid w:val="00D655A4"/>
    <w:rsid w:val="00D6643B"/>
    <w:rsid w:val="00D6661A"/>
    <w:rsid w:val="00D70979"/>
    <w:rsid w:val="00D73B62"/>
    <w:rsid w:val="00D73C0B"/>
    <w:rsid w:val="00D7474E"/>
    <w:rsid w:val="00D75190"/>
    <w:rsid w:val="00D75ABD"/>
    <w:rsid w:val="00D75B63"/>
    <w:rsid w:val="00D77246"/>
    <w:rsid w:val="00D8025C"/>
    <w:rsid w:val="00D81398"/>
    <w:rsid w:val="00D82026"/>
    <w:rsid w:val="00D83155"/>
    <w:rsid w:val="00D83779"/>
    <w:rsid w:val="00D8411F"/>
    <w:rsid w:val="00D84468"/>
    <w:rsid w:val="00D847B7"/>
    <w:rsid w:val="00D8561D"/>
    <w:rsid w:val="00D86490"/>
    <w:rsid w:val="00D86DCB"/>
    <w:rsid w:val="00D871BE"/>
    <w:rsid w:val="00D876AA"/>
    <w:rsid w:val="00D87C27"/>
    <w:rsid w:val="00D87E1C"/>
    <w:rsid w:val="00D90DF0"/>
    <w:rsid w:val="00D915B9"/>
    <w:rsid w:val="00D91D4F"/>
    <w:rsid w:val="00D91FF5"/>
    <w:rsid w:val="00D920FE"/>
    <w:rsid w:val="00D9621B"/>
    <w:rsid w:val="00D967E8"/>
    <w:rsid w:val="00D96BCC"/>
    <w:rsid w:val="00D973A7"/>
    <w:rsid w:val="00DA1D69"/>
    <w:rsid w:val="00DA21BA"/>
    <w:rsid w:val="00DA313B"/>
    <w:rsid w:val="00DA471B"/>
    <w:rsid w:val="00DA6277"/>
    <w:rsid w:val="00DA636B"/>
    <w:rsid w:val="00DA7F09"/>
    <w:rsid w:val="00DB02A2"/>
    <w:rsid w:val="00DB238B"/>
    <w:rsid w:val="00DB2EDD"/>
    <w:rsid w:val="00DB447A"/>
    <w:rsid w:val="00DB6ABB"/>
    <w:rsid w:val="00DB7035"/>
    <w:rsid w:val="00DC0A4C"/>
    <w:rsid w:val="00DC1DB1"/>
    <w:rsid w:val="00DC2BB0"/>
    <w:rsid w:val="00DC31F5"/>
    <w:rsid w:val="00DC4B04"/>
    <w:rsid w:val="00DC5CB6"/>
    <w:rsid w:val="00DC5D57"/>
    <w:rsid w:val="00DC5DC7"/>
    <w:rsid w:val="00DC6091"/>
    <w:rsid w:val="00DC6900"/>
    <w:rsid w:val="00DC7BFB"/>
    <w:rsid w:val="00DD06C0"/>
    <w:rsid w:val="00DD1C67"/>
    <w:rsid w:val="00DD213B"/>
    <w:rsid w:val="00DD28F7"/>
    <w:rsid w:val="00DD3B08"/>
    <w:rsid w:val="00DD4ACA"/>
    <w:rsid w:val="00DD769D"/>
    <w:rsid w:val="00DE0212"/>
    <w:rsid w:val="00DE0804"/>
    <w:rsid w:val="00DE1893"/>
    <w:rsid w:val="00DE2273"/>
    <w:rsid w:val="00DE346F"/>
    <w:rsid w:val="00DE3757"/>
    <w:rsid w:val="00DE5018"/>
    <w:rsid w:val="00DE7E0A"/>
    <w:rsid w:val="00DF0049"/>
    <w:rsid w:val="00DF0714"/>
    <w:rsid w:val="00DF0E2F"/>
    <w:rsid w:val="00DF1435"/>
    <w:rsid w:val="00DF18B6"/>
    <w:rsid w:val="00DF2B01"/>
    <w:rsid w:val="00DF342A"/>
    <w:rsid w:val="00DF3439"/>
    <w:rsid w:val="00DF3E38"/>
    <w:rsid w:val="00DF442F"/>
    <w:rsid w:val="00DF5BD9"/>
    <w:rsid w:val="00DF5CD8"/>
    <w:rsid w:val="00E02B10"/>
    <w:rsid w:val="00E02C95"/>
    <w:rsid w:val="00E06CF3"/>
    <w:rsid w:val="00E07522"/>
    <w:rsid w:val="00E07A64"/>
    <w:rsid w:val="00E1143F"/>
    <w:rsid w:val="00E1194F"/>
    <w:rsid w:val="00E1289E"/>
    <w:rsid w:val="00E12FBD"/>
    <w:rsid w:val="00E137E2"/>
    <w:rsid w:val="00E14E1F"/>
    <w:rsid w:val="00E1607E"/>
    <w:rsid w:val="00E16C6C"/>
    <w:rsid w:val="00E20781"/>
    <w:rsid w:val="00E20D37"/>
    <w:rsid w:val="00E215A9"/>
    <w:rsid w:val="00E21C3C"/>
    <w:rsid w:val="00E23DBA"/>
    <w:rsid w:val="00E246B9"/>
    <w:rsid w:val="00E2557D"/>
    <w:rsid w:val="00E25DD0"/>
    <w:rsid w:val="00E2604A"/>
    <w:rsid w:val="00E2606F"/>
    <w:rsid w:val="00E26586"/>
    <w:rsid w:val="00E27578"/>
    <w:rsid w:val="00E30F26"/>
    <w:rsid w:val="00E31E34"/>
    <w:rsid w:val="00E3351E"/>
    <w:rsid w:val="00E34FF7"/>
    <w:rsid w:val="00E369C8"/>
    <w:rsid w:val="00E407F2"/>
    <w:rsid w:val="00E40EC5"/>
    <w:rsid w:val="00E40FF9"/>
    <w:rsid w:val="00E41368"/>
    <w:rsid w:val="00E41717"/>
    <w:rsid w:val="00E41AFE"/>
    <w:rsid w:val="00E42501"/>
    <w:rsid w:val="00E427A9"/>
    <w:rsid w:val="00E50527"/>
    <w:rsid w:val="00E50D5E"/>
    <w:rsid w:val="00E57890"/>
    <w:rsid w:val="00E6485F"/>
    <w:rsid w:val="00E65355"/>
    <w:rsid w:val="00E659B8"/>
    <w:rsid w:val="00E6601B"/>
    <w:rsid w:val="00E72B66"/>
    <w:rsid w:val="00E73A63"/>
    <w:rsid w:val="00E7462C"/>
    <w:rsid w:val="00E75D71"/>
    <w:rsid w:val="00E76420"/>
    <w:rsid w:val="00E76B6D"/>
    <w:rsid w:val="00E817D8"/>
    <w:rsid w:val="00E81F17"/>
    <w:rsid w:val="00E8212A"/>
    <w:rsid w:val="00E82E09"/>
    <w:rsid w:val="00E8388C"/>
    <w:rsid w:val="00E83B7F"/>
    <w:rsid w:val="00E83E3E"/>
    <w:rsid w:val="00E84DF2"/>
    <w:rsid w:val="00E8512A"/>
    <w:rsid w:val="00E8654B"/>
    <w:rsid w:val="00E8657B"/>
    <w:rsid w:val="00E86A61"/>
    <w:rsid w:val="00E87C4E"/>
    <w:rsid w:val="00E91F8A"/>
    <w:rsid w:val="00E92337"/>
    <w:rsid w:val="00E92401"/>
    <w:rsid w:val="00E92410"/>
    <w:rsid w:val="00E94DAF"/>
    <w:rsid w:val="00E951F7"/>
    <w:rsid w:val="00E95D87"/>
    <w:rsid w:val="00E95DAA"/>
    <w:rsid w:val="00E965DC"/>
    <w:rsid w:val="00E978CC"/>
    <w:rsid w:val="00E97F62"/>
    <w:rsid w:val="00EA261C"/>
    <w:rsid w:val="00EA45A2"/>
    <w:rsid w:val="00EA560B"/>
    <w:rsid w:val="00EA69E6"/>
    <w:rsid w:val="00EA6BC6"/>
    <w:rsid w:val="00EB1832"/>
    <w:rsid w:val="00EB4EAF"/>
    <w:rsid w:val="00EB547C"/>
    <w:rsid w:val="00EB5A68"/>
    <w:rsid w:val="00EB6B87"/>
    <w:rsid w:val="00EB789A"/>
    <w:rsid w:val="00EB7A59"/>
    <w:rsid w:val="00EC083C"/>
    <w:rsid w:val="00EC0844"/>
    <w:rsid w:val="00EC08D5"/>
    <w:rsid w:val="00EC4DF7"/>
    <w:rsid w:val="00EC4F2C"/>
    <w:rsid w:val="00EC6587"/>
    <w:rsid w:val="00EC7E32"/>
    <w:rsid w:val="00ED1B99"/>
    <w:rsid w:val="00ED3193"/>
    <w:rsid w:val="00ED34FA"/>
    <w:rsid w:val="00ED3938"/>
    <w:rsid w:val="00ED3A7F"/>
    <w:rsid w:val="00ED3AAF"/>
    <w:rsid w:val="00ED5331"/>
    <w:rsid w:val="00ED6EA0"/>
    <w:rsid w:val="00ED6EE2"/>
    <w:rsid w:val="00EE07B4"/>
    <w:rsid w:val="00EE0863"/>
    <w:rsid w:val="00EE09FD"/>
    <w:rsid w:val="00EE2432"/>
    <w:rsid w:val="00EE2B27"/>
    <w:rsid w:val="00EE359F"/>
    <w:rsid w:val="00EE3841"/>
    <w:rsid w:val="00EE428A"/>
    <w:rsid w:val="00EE64AB"/>
    <w:rsid w:val="00EE77F6"/>
    <w:rsid w:val="00EF0901"/>
    <w:rsid w:val="00EF1A0C"/>
    <w:rsid w:val="00EF2B8F"/>
    <w:rsid w:val="00EF3394"/>
    <w:rsid w:val="00EF57BB"/>
    <w:rsid w:val="00EF5AAB"/>
    <w:rsid w:val="00EF67F0"/>
    <w:rsid w:val="00EF7148"/>
    <w:rsid w:val="00EF71E2"/>
    <w:rsid w:val="00EF7456"/>
    <w:rsid w:val="00F006D8"/>
    <w:rsid w:val="00F00959"/>
    <w:rsid w:val="00F02E52"/>
    <w:rsid w:val="00F04972"/>
    <w:rsid w:val="00F055DE"/>
    <w:rsid w:val="00F07F63"/>
    <w:rsid w:val="00F1297C"/>
    <w:rsid w:val="00F133FC"/>
    <w:rsid w:val="00F13463"/>
    <w:rsid w:val="00F1440C"/>
    <w:rsid w:val="00F1524B"/>
    <w:rsid w:val="00F17C7B"/>
    <w:rsid w:val="00F22D38"/>
    <w:rsid w:val="00F240CD"/>
    <w:rsid w:val="00F245C4"/>
    <w:rsid w:val="00F24FB6"/>
    <w:rsid w:val="00F2503F"/>
    <w:rsid w:val="00F26032"/>
    <w:rsid w:val="00F27464"/>
    <w:rsid w:val="00F27F3D"/>
    <w:rsid w:val="00F3230D"/>
    <w:rsid w:val="00F326D8"/>
    <w:rsid w:val="00F33992"/>
    <w:rsid w:val="00F3597D"/>
    <w:rsid w:val="00F3795C"/>
    <w:rsid w:val="00F416BA"/>
    <w:rsid w:val="00F428DD"/>
    <w:rsid w:val="00F433EE"/>
    <w:rsid w:val="00F4411D"/>
    <w:rsid w:val="00F4450E"/>
    <w:rsid w:val="00F447F4"/>
    <w:rsid w:val="00F4507B"/>
    <w:rsid w:val="00F45349"/>
    <w:rsid w:val="00F45E25"/>
    <w:rsid w:val="00F47AD0"/>
    <w:rsid w:val="00F51367"/>
    <w:rsid w:val="00F51DC0"/>
    <w:rsid w:val="00F52296"/>
    <w:rsid w:val="00F539E1"/>
    <w:rsid w:val="00F53DD8"/>
    <w:rsid w:val="00F54BEF"/>
    <w:rsid w:val="00F56085"/>
    <w:rsid w:val="00F56E21"/>
    <w:rsid w:val="00F57AB8"/>
    <w:rsid w:val="00F57F9E"/>
    <w:rsid w:val="00F61BF1"/>
    <w:rsid w:val="00F625A3"/>
    <w:rsid w:val="00F62B0D"/>
    <w:rsid w:val="00F63C50"/>
    <w:rsid w:val="00F647B3"/>
    <w:rsid w:val="00F66F71"/>
    <w:rsid w:val="00F70749"/>
    <w:rsid w:val="00F71997"/>
    <w:rsid w:val="00F734B4"/>
    <w:rsid w:val="00F74081"/>
    <w:rsid w:val="00F74234"/>
    <w:rsid w:val="00F74F0C"/>
    <w:rsid w:val="00F75946"/>
    <w:rsid w:val="00F76323"/>
    <w:rsid w:val="00F7703A"/>
    <w:rsid w:val="00F77AC3"/>
    <w:rsid w:val="00F80606"/>
    <w:rsid w:val="00F80B4B"/>
    <w:rsid w:val="00F8116A"/>
    <w:rsid w:val="00F8178E"/>
    <w:rsid w:val="00F825A1"/>
    <w:rsid w:val="00F82E9E"/>
    <w:rsid w:val="00F84006"/>
    <w:rsid w:val="00F87B0A"/>
    <w:rsid w:val="00F9034F"/>
    <w:rsid w:val="00F90B98"/>
    <w:rsid w:val="00F90E1E"/>
    <w:rsid w:val="00F92380"/>
    <w:rsid w:val="00F937AE"/>
    <w:rsid w:val="00F93FA7"/>
    <w:rsid w:val="00F952AE"/>
    <w:rsid w:val="00F95D4D"/>
    <w:rsid w:val="00F96565"/>
    <w:rsid w:val="00F96E01"/>
    <w:rsid w:val="00F97581"/>
    <w:rsid w:val="00FA06F7"/>
    <w:rsid w:val="00FA185A"/>
    <w:rsid w:val="00FA1A20"/>
    <w:rsid w:val="00FA1D3C"/>
    <w:rsid w:val="00FA787E"/>
    <w:rsid w:val="00FB102A"/>
    <w:rsid w:val="00FB2D2E"/>
    <w:rsid w:val="00FB2D30"/>
    <w:rsid w:val="00FB3240"/>
    <w:rsid w:val="00FB3EA5"/>
    <w:rsid w:val="00FB42DC"/>
    <w:rsid w:val="00FB5D0E"/>
    <w:rsid w:val="00FB5DDD"/>
    <w:rsid w:val="00FB6168"/>
    <w:rsid w:val="00FB6D9A"/>
    <w:rsid w:val="00FB7C10"/>
    <w:rsid w:val="00FB7C95"/>
    <w:rsid w:val="00FC045F"/>
    <w:rsid w:val="00FC0F40"/>
    <w:rsid w:val="00FC199F"/>
    <w:rsid w:val="00FC317E"/>
    <w:rsid w:val="00FC329C"/>
    <w:rsid w:val="00FC3E09"/>
    <w:rsid w:val="00FC4AE7"/>
    <w:rsid w:val="00FC4AF3"/>
    <w:rsid w:val="00FC5CEF"/>
    <w:rsid w:val="00FC693D"/>
    <w:rsid w:val="00FC6990"/>
    <w:rsid w:val="00FD04F8"/>
    <w:rsid w:val="00FD0A62"/>
    <w:rsid w:val="00FD15B6"/>
    <w:rsid w:val="00FD1ED3"/>
    <w:rsid w:val="00FD2295"/>
    <w:rsid w:val="00FD2763"/>
    <w:rsid w:val="00FD43FE"/>
    <w:rsid w:val="00FD511B"/>
    <w:rsid w:val="00FD6029"/>
    <w:rsid w:val="00FD7EFE"/>
    <w:rsid w:val="00FE0B27"/>
    <w:rsid w:val="00FE2D33"/>
    <w:rsid w:val="00FE2DB6"/>
    <w:rsid w:val="00FE2F11"/>
    <w:rsid w:val="00FE43FF"/>
    <w:rsid w:val="00FE4ED9"/>
    <w:rsid w:val="00FE5E9D"/>
    <w:rsid w:val="00FE60DE"/>
    <w:rsid w:val="00FE7162"/>
    <w:rsid w:val="00FE7F32"/>
    <w:rsid w:val="00FF00E4"/>
    <w:rsid w:val="00FF04DA"/>
    <w:rsid w:val="00FF0746"/>
    <w:rsid w:val="00FF11EA"/>
    <w:rsid w:val="00FF1694"/>
    <w:rsid w:val="00FF249F"/>
    <w:rsid w:val="00FF3F4A"/>
    <w:rsid w:val="00FF43EA"/>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B6D85EE"/>
  <w15:chartTrackingRefBased/>
  <w15:docId w15:val="{7A1BA7C8-4414-4109-853C-C721DF87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2A"/>
    <w:pPr>
      <w:widowControl w:val="0"/>
      <w:autoSpaceDE w:val="0"/>
      <w:autoSpaceDN w:val="0"/>
      <w:adjustRightInd w:val="0"/>
      <w:spacing w:before="24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style>
  <w:style w:type="paragraph" w:customStyle="1" w:styleId="Level1">
    <w:name w:val="Level 1"/>
    <w:basedOn w:val="Normal"/>
    <w:pPr>
      <w:ind w:left="720" w:hanging="720"/>
    </w:pPr>
  </w:style>
  <w:style w:type="character" w:styleId="Hyperlink">
    <w:name w:val="Hyperlink"/>
    <w:rsid w:val="00016783"/>
    <w:rPr>
      <w:color w:val="0000FF"/>
      <w:u w:val="single"/>
    </w:rPr>
  </w:style>
  <w:style w:type="table" w:styleId="TableGrid">
    <w:name w:val="Table Grid"/>
    <w:basedOn w:val="TableNormal"/>
    <w:rsid w:val="004837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B262A"/>
    <w:rPr>
      <w:sz w:val="16"/>
      <w:szCs w:val="16"/>
    </w:rPr>
  </w:style>
  <w:style w:type="paragraph" w:styleId="CommentText">
    <w:name w:val="annotation text"/>
    <w:basedOn w:val="Normal"/>
    <w:link w:val="CommentTextChar"/>
    <w:uiPriority w:val="99"/>
    <w:unhideWhenUsed/>
    <w:rsid w:val="00AB262A"/>
    <w:rPr>
      <w:sz w:val="20"/>
      <w:szCs w:val="20"/>
    </w:rPr>
  </w:style>
  <w:style w:type="character" w:customStyle="1" w:styleId="CommentTextChar">
    <w:name w:val="Comment Text Char"/>
    <w:link w:val="CommentText"/>
    <w:uiPriority w:val="99"/>
    <w:rsid w:val="00AB262A"/>
    <w:rPr>
      <w:rFonts w:ascii="Courier" w:hAnsi="Courier"/>
    </w:rPr>
  </w:style>
  <w:style w:type="paragraph" w:styleId="CommentSubject">
    <w:name w:val="annotation subject"/>
    <w:basedOn w:val="CommentText"/>
    <w:next w:val="CommentText"/>
    <w:link w:val="CommentSubjectChar"/>
    <w:uiPriority w:val="99"/>
    <w:semiHidden/>
    <w:unhideWhenUsed/>
    <w:rsid w:val="00AB262A"/>
    <w:rPr>
      <w:b/>
      <w:bCs/>
    </w:rPr>
  </w:style>
  <w:style w:type="character" w:customStyle="1" w:styleId="CommentSubjectChar">
    <w:name w:val="Comment Subject Char"/>
    <w:link w:val="CommentSubject"/>
    <w:uiPriority w:val="99"/>
    <w:semiHidden/>
    <w:rsid w:val="00AB262A"/>
    <w:rPr>
      <w:rFonts w:ascii="Courier" w:hAnsi="Courier"/>
      <w:b/>
      <w:bCs/>
    </w:rPr>
  </w:style>
  <w:style w:type="paragraph" w:styleId="BalloonText">
    <w:name w:val="Balloon Text"/>
    <w:basedOn w:val="Normal"/>
    <w:link w:val="BalloonTextChar"/>
    <w:uiPriority w:val="99"/>
    <w:semiHidden/>
    <w:unhideWhenUsed/>
    <w:rsid w:val="00AB262A"/>
    <w:rPr>
      <w:rFonts w:ascii="Tahoma" w:hAnsi="Tahoma" w:cs="Tahoma"/>
      <w:sz w:val="16"/>
      <w:szCs w:val="16"/>
    </w:rPr>
  </w:style>
  <w:style w:type="character" w:customStyle="1" w:styleId="BalloonTextChar">
    <w:name w:val="Balloon Text Char"/>
    <w:link w:val="BalloonText"/>
    <w:uiPriority w:val="99"/>
    <w:semiHidden/>
    <w:rsid w:val="00AB262A"/>
    <w:rPr>
      <w:rFonts w:ascii="Tahoma" w:hAnsi="Tahoma" w:cs="Tahoma"/>
      <w:sz w:val="16"/>
      <w:szCs w:val="16"/>
    </w:rPr>
  </w:style>
  <w:style w:type="character" w:styleId="FollowedHyperlink">
    <w:name w:val="FollowedHyperlink"/>
    <w:uiPriority w:val="99"/>
    <w:semiHidden/>
    <w:unhideWhenUsed/>
    <w:rsid w:val="009A6242"/>
    <w:rPr>
      <w:color w:val="800080"/>
      <w:u w:val="single"/>
    </w:rPr>
  </w:style>
  <w:style w:type="paragraph" w:styleId="NormalWeb">
    <w:name w:val="Normal (Web)"/>
    <w:basedOn w:val="Normal"/>
    <w:uiPriority w:val="99"/>
    <w:unhideWhenUsed/>
    <w:rsid w:val="0031766B"/>
    <w:pPr>
      <w:widowControl/>
      <w:autoSpaceDE/>
      <w:autoSpaceDN/>
      <w:adjustRightInd/>
      <w:spacing w:before="100" w:beforeAutospacing="1" w:after="100" w:afterAutospacing="1"/>
    </w:pPr>
  </w:style>
  <w:style w:type="character" w:styleId="Strong">
    <w:name w:val="Strong"/>
    <w:uiPriority w:val="22"/>
    <w:qFormat/>
    <w:rsid w:val="0031766B"/>
    <w:rPr>
      <w:b/>
      <w:bCs/>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
    <w:qFormat/>
    <w:rsid w:val="0043122E"/>
    <w:rPr>
      <w:sz w:val="20"/>
      <w:szCs w:val="20"/>
    </w:rPr>
  </w:style>
  <w:style w:type="character" w:customStyle="1" w:styleId="FootnoteTextChar">
    <w:name w:val="Footnote Text Char"/>
    <w:aliases w:val="Footnote Text1 Char Char1,Footnote Text Char Ch Char1,Footnote Text Char1 Char1,Footnote Text1 Char1 Char1,Footnote Text Char Ch1 Char1,Footnote Text Char2 Char Char1,Footnote Text Char Char1 Char Char1,ft Char2,fn Char1,ft Char Char1"/>
    <w:basedOn w:val="DefaultParagraphFont"/>
    <w:link w:val="FootnoteText"/>
    <w:rsid w:val="0043122E"/>
  </w:style>
  <w:style w:type="paragraph" w:styleId="Revision">
    <w:name w:val="Revision"/>
    <w:hidden/>
    <w:uiPriority w:val="99"/>
    <w:semiHidden/>
    <w:rsid w:val="007B6A10"/>
    <w:rPr>
      <w:rFonts w:ascii="Courier" w:hAnsi="Courier"/>
      <w:sz w:val="24"/>
      <w:szCs w:val="24"/>
    </w:rPr>
  </w:style>
  <w:style w:type="paragraph" w:styleId="ListParagraph">
    <w:name w:val="List Paragraph"/>
    <w:basedOn w:val="Normal"/>
    <w:uiPriority w:val="34"/>
    <w:qFormat/>
    <w:rsid w:val="00FB5DDD"/>
    <w:pPr>
      <w:ind w:left="720"/>
    </w:pPr>
  </w:style>
  <w:style w:type="character" w:customStyle="1" w:styleId="apple-converted-space">
    <w:name w:val="apple-converted-space"/>
    <w:rsid w:val="007B2F4D"/>
  </w:style>
  <w:style w:type="paragraph" w:styleId="Header">
    <w:name w:val="header"/>
    <w:basedOn w:val="Normal"/>
    <w:link w:val="HeaderChar"/>
    <w:uiPriority w:val="99"/>
    <w:unhideWhenUsed/>
    <w:rsid w:val="00F80B4B"/>
    <w:pPr>
      <w:tabs>
        <w:tab w:val="center" w:pos="4680"/>
        <w:tab w:val="right" w:pos="9360"/>
      </w:tabs>
    </w:pPr>
  </w:style>
  <w:style w:type="character" w:customStyle="1" w:styleId="HeaderChar">
    <w:name w:val="Header Char"/>
    <w:link w:val="Header"/>
    <w:uiPriority w:val="99"/>
    <w:rsid w:val="00F80B4B"/>
    <w:rPr>
      <w:rFonts w:ascii="Courier" w:hAnsi="Courier"/>
      <w:sz w:val="24"/>
      <w:szCs w:val="24"/>
    </w:rPr>
  </w:style>
  <w:style w:type="paragraph" w:styleId="Footer">
    <w:name w:val="footer"/>
    <w:basedOn w:val="Normal"/>
    <w:link w:val="FooterChar"/>
    <w:uiPriority w:val="99"/>
    <w:unhideWhenUsed/>
    <w:rsid w:val="00F80B4B"/>
    <w:pPr>
      <w:tabs>
        <w:tab w:val="center" w:pos="4680"/>
        <w:tab w:val="right" w:pos="9360"/>
      </w:tabs>
    </w:pPr>
  </w:style>
  <w:style w:type="character" w:customStyle="1" w:styleId="FooterChar">
    <w:name w:val="Footer Char"/>
    <w:link w:val="Footer"/>
    <w:uiPriority w:val="99"/>
    <w:rsid w:val="00F80B4B"/>
    <w:rPr>
      <w:rFonts w:ascii="Courier" w:hAnsi="Courier"/>
      <w:sz w:val="24"/>
      <w:szCs w:val="24"/>
    </w:rPr>
  </w:style>
  <w:style w:type="character" w:styleId="UnresolvedMention">
    <w:name w:val="Unresolved Mention"/>
    <w:uiPriority w:val="99"/>
    <w:semiHidden/>
    <w:unhideWhenUsed/>
    <w:rsid w:val="00CD0F7A"/>
    <w:rPr>
      <w:color w:val="605E5C"/>
      <w:shd w:val="clear" w:color="auto" w:fill="E1DFDD"/>
    </w:rPr>
  </w:style>
  <w:style w:type="paragraph" w:styleId="NoSpacing">
    <w:name w:val="No Spacing"/>
    <w:uiPriority w:val="1"/>
    <w:qFormat/>
    <w:rsid w:val="006766BB"/>
    <w:pPr>
      <w:widowControl w:val="0"/>
      <w:autoSpaceDE w:val="0"/>
      <w:autoSpaceDN w:val="0"/>
      <w:adjustRightInd w:val="0"/>
    </w:pPr>
    <w:rPr>
      <w:sz w:val="24"/>
      <w:szCs w:val="24"/>
    </w:rPr>
  </w:style>
  <w:style w:type="paragraph" w:customStyle="1" w:styleId="FERCparanumber">
    <w:name w:val="FERC paranumber"/>
    <w:basedOn w:val="Normal"/>
    <w:link w:val="FERCparanumberChar"/>
    <w:uiPriority w:val="99"/>
    <w:qFormat/>
    <w:rsid w:val="00C64D60"/>
    <w:pPr>
      <w:widowControl/>
      <w:numPr>
        <w:numId w:val="24"/>
      </w:numPr>
      <w:autoSpaceDE/>
      <w:autoSpaceDN/>
      <w:adjustRightInd/>
      <w:spacing w:before="0" w:line="480" w:lineRule="auto"/>
    </w:pPr>
    <w:rPr>
      <w:rFonts w:eastAsiaTheme="minorHAnsi"/>
      <w:sz w:val="26"/>
      <w:szCs w:val="22"/>
    </w:rPr>
  </w:style>
  <w:style w:type="character" w:customStyle="1" w:styleId="FERCparanumberChar">
    <w:name w:val="FERC paranumber Char"/>
    <w:basedOn w:val="DefaultParagraphFont"/>
    <w:link w:val="FERCparanumber"/>
    <w:uiPriority w:val="99"/>
    <w:rsid w:val="00C64D60"/>
    <w:rPr>
      <w:rFonts w:eastAsiaTheme="minorHAnsi"/>
      <w:sz w:val="26"/>
      <w:szCs w:val="22"/>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rsid w:val="00CA6E97"/>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2533">
      <w:bodyDiv w:val="1"/>
      <w:marLeft w:val="0"/>
      <w:marRight w:val="0"/>
      <w:marTop w:val="0"/>
      <w:marBottom w:val="0"/>
      <w:divBdr>
        <w:top w:val="none" w:sz="0" w:space="0" w:color="auto"/>
        <w:left w:val="none" w:sz="0" w:space="0" w:color="auto"/>
        <w:bottom w:val="none" w:sz="0" w:space="0" w:color="auto"/>
        <w:right w:val="none" w:sz="0" w:space="0" w:color="auto"/>
      </w:divBdr>
    </w:div>
    <w:div w:id="116948893">
      <w:bodyDiv w:val="1"/>
      <w:marLeft w:val="0"/>
      <w:marRight w:val="0"/>
      <w:marTop w:val="0"/>
      <w:marBottom w:val="0"/>
      <w:divBdr>
        <w:top w:val="none" w:sz="0" w:space="0" w:color="auto"/>
        <w:left w:val="none" w:sz="0" w:space="0" w:color="auto"/>
        <w:bottom w:val="none" w:sz="0" w:space="0" w:color="auto"/>
        <w:right w:val="none" w:sz="0" w:space="0" w:color="auto"/>
      </w:divBdr>
    </w:div>
    <w:div w:id="153225369">
      <w:bodyDiv w:val="1"/>
      <w:marLeft w:val="0"/>
      <w:marRight w:val="0"/>
      <w:marTop w:val="0"/>
      <w:marBottom w:val="0"/>
      <w:divBdr>
        <w:top w:val="none" w:sz="0" w:space="0" w:color="auto"/>
        <w:left w:val="none" w:sz="0" w:space="0" w:color="auto"/>
        <w:bottom w:val="none" w:sz="0" w:space="0" w:color="auto"/>
        <w:right w:val="none" w:sz="0" w:space="0" w:color="auto"/>
      </w:divBdr>
    </w:div>
    <w:div w:id="493180857">
      <w:bodyDiv w:val="1"/>
      <w:marLeft w:val="0"/>
      <w:marRight w:val="0"/>
      <w:marTop w:val="0"/>
      <w:marBottom w:val="0"/>
      <w:divBdr>
        <w:top w:val="none" w:sz="0" w:space="0" w:color="auto"/>
        <w:left w:val="none" w:sz="0" w:space="0" w:color="auto"/>
        <w:bottom w:val="none" w:sz="0" w:space="0" w:color="auto"/>
        <w:right w:val="none" w:sz="0" w:space="0" w:color="auto"/>
      </w:divBdr>
    </w:div>
    <w:div w:id="551506602">
      <w:bodyDiv w:val="1"/>
      <w:marLeft w:val="0"/>
      <w:marRight w:val="0"/>
      <w:marTop w:val="0"/>
      <w:marBottom w:val="0"/>
      <w:divBdr>
        <w:top w:val="none" w:sz="0" w:space="0" w:color="auto"/>
        <w:left w:val="none" w:sz="0" w:space="0" w:color="auto"/>
        <w:bottom w:val="none" w:sz="0" w:space="0" w:color="auto"/>
        <w:right w:val="none" w:sz="0" w:space="0" w:color="auto"/>
      </w:divBdr>
    </w:div>
    <w:div w:id="619804748">
      <w:bodyDiv w:val="1"/>
      <w:marLeft w:val="0"/>
      <w:marRight w:val="0"/>
      <w:marTop w:val="0"/>
      <w:marBottom w:val="0"/>
      <w:divBdr>
        <w:top w:val="none" w:sz="0" w:space="0" w:color="auto"/>
        <w:left w:val="none" w:sz="0" w:space="0" w:color="auto"/>
        <w:bottom w:val="none" w:sz="0" w:space="0" w:color="auto"/>
        <w:right w:val="none" w:sz="0" w:space="0" w:color="auto"/>
      </w:divBdr>
    </w:div>
    <w:div w:id="715081806">
      <w:bodyDiv w:val="1"/>
      <w:marLeft w:val="0"/>
      <w:marRight w:val="0"/>
      <w:marTop w:val="0"/>
      <w:marBottom w:val="0"/>
      <w:divBdr>
        <w:top w:val="none" w:sz="0" w:space="0" w:color="auto"/>
        <w:left w:val="none" w:sz="0" w:space="0" w:color="auto"/>
        <w:bottom w:val="none" w:sz="0" w:space="0" w:color="auto"/>
        <w:right w:val="none" w:sz="0" w:space="0" w:color="auto"/>
      </w:divBdr>
    </w:div>
    <w:div w:id="729039350">
      <w:bodyDiv w:val="1"/>
      <w:marLeft w:val="0"/>
      <w:marRight w:val="0"/>
      <w:marTop w:val="0"/>
      <w:marBottom w:val="0"/>
      <w:divBdr>
        <w:top w:val="none" w:sz="0" w:space="0" w:color="auto"/>
        <w:left w:val="none" w:sz="0" w:space="0" w:color="auto"/>
        <w:bottom w:val="none" w:sz="0" w:space="0" w:color="auto"/>
        <w:right w:val="none" w:sz="0" w:space="0" w:color="auto"/>
      </w:divBdr>
    </w:div>
    <w:div w:id="836850584">
      <w:bodyDiv w:val="1"/>
      <w:marLeft w:val="0"/>
      <w:marRight w:val="0"/>
      <w:marTop w:val="0"/>
      <w:marBottom w:val="0"/>
      <w:divBdr>
        <w:top w:val="none" w:sz="0" w:space="0" w:color="auto"/>
        <w:left w:val="none" w:sz="0" w:space="0" w:color="auto"/>
        <w:bottom w:val="none" w:sz="0" w:space="0" w:color="auto"/>
        <w:right w:val="none" w:sz="0" w:space="0" w:color="auto"/>
      </w:divBdr>
    </w:div>
    <w:div w:id="850796805">
      <w:bodyDiv w:val="1"/>
      <w:marLeft w:val="0"/>
      <w:marRight w:val="0"/>
      <w:marTop w:val="0"/>
      <w:marBottom w:val="0"/>
      <w:divBdr>
        <w:top w:val="none" w:sz="0" w:space="0" w:color="auto"/>
        <w:left w:val="none" w:sz="0" w:space="0" w:color="auto"/>
        <w:bottom w:val="none" w:sz="0" w:space="0" w:color="auto"/>
        <w:right w:val="none" w:sz="0" w:space="0" w:color="auto"/>
      </w:divBdr>
    </w:div>
    <w:div w:id="1154419632">
      <w:bodyDiv w:val="1"/>
      <w:marLeft w:val="0"/>
      <w:marRight w:val="0"/>
      <w:marTop w:val="0"/>
      <w:marBottom w:val="0"/>
      <w:divBdr>
        <w:top w:val="none" w:sz="0" w:space="0" w:color="auto"/>
        <w:left w:val="none" w:sz="0" w:space="0" w:color="auto"/>
        <w:bottom w:val="none" w:sz="0" w:space="0" w:color="auto"/>
        <w:right w:val="none" w:sz="0" w:space="0" w:color="auto"/>
      </w:divBdr>
    </w:div>
    <w:div w:id="1185946596">
      <w:bodyDiv w:val="1"/>
      <w:marLeft w:val="0"/>
      <w:marRight w:val="0"/>
      <w:marTop w:val="0"/>
      <w:marBottom w:val="0"/>
      <w:divBdr>
        <w:top w:val="none" w:sz="0" w:space="0" w:color="auto"/>
        <w:left w:val="none" w:sz="0" w:space="0" w:color="auto"/>
        <w:bottom w:val="none" w:sz="0" w:space="0" w:color="auto"/>
        <w:right w:val="none" w:sz="0" w:space="0" w:color="auto"/>
      </w:divBdr>
    </w:div>
    <w:div w:id="1261720872">
      <w:bodyDiv w:val="1"/>
      <w:marLeft w:val="0"/>
      <w:marRight w:val="0"/>
      <w:marTop w:val="0"/>
      <w:marBottom w:val="0"/>
      <w:divBdr>
        <w:top w:val="none" w:sz="0" w:space="0" w:color="auto"/>
        <w:left w:val="none" w:sz="0" w:space="0" w:color="auto"/>
        <w:bottom w:val="none" w:sz="0" w:space="0" w:color="auto"/>
        <w:right w:val="none" w:sz="0" w:space="0" w:color="auto"/>
      </w:divBdr>
    </w:div>
    <w:div w:id="1573615570">
      <w:bodyDiv w:val="1"/>
      <w:marLeft w:val="0"/>
      <w:marRight w:val="0"/>
      <w:marTop w:val="0"/>
      <w:marBottom w:val="0"/>
      <w:divBdr>
        <w:top w:val="none" w:sz="0" w:space="0" w:color="auto"/>
        <w:left w:val="none" w:sz="0" w:space="0" w:color="auto"/>
        <w:bottom w:val="none" w:sz="0" w:space="0" w:color="auto"/>
        <w:right w:val="none" w:sz="0" w:space="0" w:color="auto"/>
      </w:divBdr>
    </w:div>
    <w:div w:id="1674650491">
      <w:bodyDiv w:val="1"/>
      <w:marLeft w:val="0"/>
      <w:marRight w:val="0"/>
      <w:marTop w:val="0"/>
      <w:marBottom w:val="0"/>
      <w:divBdr>
        <w:top w:val="none" w:sz="0" w:space="0" w:color="auto"/>
        <w:left w:val="none" w:sz="0" w:space="0" w:color="auto"/>
        <w:bottom w:val="none" w:sz="0" w:space="0" w:color="auto"/>
        <w:right w:val="none" w:sz="0" w:space="0" w:color="auto"/>
      </w:divBdr>
    </w:div>
    <w:div w:id="1883201149">
      <w:bodyDiv w:val="1"/>
      <w:marLeft w:val="0"/>
      <w:marRight w:val="0"/>
      <w:marTop w:val="0"/>
      <w:marBottom w:val="0"/>
      <w:divBdr>
        <w:top w:val="none" w:sz="0" w:space="0" w:color="auto"/>
        <w:left w:val="none" w:sz="0" w:space="0" w:color="auto"/>
        <w:bottom w:val="none" w:sz="0" w:space="0" w:color="auto"/>
        <w:right w:val="none" w:sz="0" w:space="0" w:color="auto"/>
      </w:divBdr>
    </w:div>
    <w:div w:id="20403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rc.gov/media/information-collec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jnsed34/Downloads/20220420-4001_Final%20Transcript%20-%2011-15-21%20(1).pdf" TargetMode="External"/><Relationship Id="rId2" Type="http://schemas.openxmlformats.org/officeDocument/2006/relationships/hyperlink" Target="https://www.ferc.gov/sites/default/files/2020-04/LGIP-procedures.pdf" TargetMode="External"/><Relationship Id="rId1" Type="http://schemas.openxmlformats.org/officeDocument/2006/relationships/hyperlink" Target="https://www.fercgov/media/pro-forma-oatt-effective-march-14-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E0646ADC9494E92BBD4D0F0573F0C" ma:contentTypeVersion="1" ma:contentTypeDescription="Create a new document." ma:contentTypeScope="" ma:versionID="dbcf807ab2d6cd2544e1b957beca086b">
  <xsd:schema xmlns:xsd="http://www.w3.org/2001/XMLSchema" xmlns:xs="http://www.w3.org/2001/XMLSchema" xmlns:p="http://schemas.microsoft.com/office/2006/metadata/properties" xmlns:ns1="http://schemas.microsoft.com/sharepoint/v3" targetNamespace="http://schemas.microsoft.com/office/2006/metadata/properties" ma:root="true" ma:fieldsID="f123579b76ee26b99c3047a32cf8a859" ns1:_="">
    <xsd:import namespace="http://schemas.microsoft.com/sharepoint/v3"/>
    <xsd:element name="properties">
      <xsd:complexType>
        <xsd:sequence>
          <xsd:element name="documentManagement">
            <xsd:complexType>
              <xsd:all>
                <xsd:element ref="ns1:Repor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8"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DDFE3DB-C076-4B76-9287-D9A8AD8D4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327EA-8703-4AA7-9302-82D76A6D73E0}">
  <ds:schemaRefs>
    <ds:schemaRef ds:uri="http://schemas.openxmlformats.org/officeDocument/2006/bibliography"/>
  </ds:schemaRefs>
</ds:datastoreItem>
</file>

<file path=customXml/itemProps3.xml><?xml version="1.0" encoding="utf-8"?>
<ds:datastoreItem xmlns:ds="http://schemas.openxmlformats.org/officeDocument/2006/customXml" ds:itemID="{38D1D61C-664D-4595-9238-3731934441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50D246F-E629-4414-88A5-289F099378E8}">
  <ds:schemaRefs>
    <ds:schemaRef ds:uri="http://schemas.microsoft.com/sharepoint/v3/contenttype/forms"/>
  </ds:schemaRefs>
</ds:datastoreItem>
</file>

<file path=customXml/itemProps5.xml><?xml version="1.0" encoding="utf-8"?>
<ds:datastoreItem xmlns:ds="http://schemas.openxmlformats.org/officeDocument/2006/customXml" ds:itemID="{F6A666DD-75B1-4701-8DBA-E98A2E3D372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6223</Words>
  <Characters>35473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41613</CharactersWithSpaces>
  <SharedDoc>false</SharedDoc>
  <HLinks>
    <vt:vector size="48" baseType="variant">
      <vt:variant>
        <vt:i4>3014779</vt:i4>
      </vt:variant>
      <vt:variant>
        <vt:i4>23</vt:i4>
      </vt:variant>
      <vt:variant>
        <vt:i4>0</vt:i4>
      </vt:variant>
      <vt:variant>
        <vt:i4>5</vt:i4>
      </vt:variant>
      <vt:variant>
        <vt:lpwstr>http://www.reginfo.gov/</vt:lpwstr>
      </vt:variant>
      <vt:variant>
        <vt:lpwstr/>
      </vt:variant>
      <vt:variant>
        <vt:i4>1769560</vt:i4>
      </vt:variant>
      <vt:variant>
        <vt:i4>20</vt:i4>
      </vt:variant>
      <vt:variant>
        <vt:i4>0</vt:i4>
      </vt:variant>
      <vt:variant>
        <vt:i4>5</vt:i4>
      </vt:variant>
      <vt:variant>
        <vt:lpwstr>http://www.bls.gov/news.release/ecec.nr0.htm</vt:lpwstr>
      </vt:variant>
      <vt:variant>
        <vt:lpwstr/>
      </vt:variant>
      <vt:variant>
        <vt:i4>2097153</vt:i4>
      </vt:variant>
      <vt:variant>
        <vt:i4>17</vt:i4>
      </vt:variant>
      <vt:variant>
        <vt:i4>0</vt:i4>
      </vt:variant>
      <vt:variant>
        <vt:i4>5</vt:i4>
      </vt:variant>
      <vt:variant>
        <vt:lpwstr>http://www.opm.gov/policy-data-oversight/pay-leave/salaries-wages/salary-tables/14Tables/html/GS_h.aspx</vt:lpwstr>
      </vt:variant>
      <vt:variant>
        <vt:lpwstr/>
      </vt:variant>
      <vt:variant>
        <vt:i4>5242994</vt:i4>
      </vt:variant>
      <vt:variant>
        <vt:i4>14</vt:i4>
      </vt:variant>
      <vt:variant>
        <vt:i4>0</vt:i4>
      </vt:variant>
      <vt:variant>
        <vt:i4>5</vt:i4>
      </vt:variant>
      <vt:variant>
        <vt:lpwstr>https://www.opm.gov/policy-data-oversight/pay-leave/salaries-wages/salary-tables/pdf/2021/RUS_h.pdf</vt:lpwstr>
      </vt:variant>
      <vt:variant>
        <vt:lpwstr/>
      </vt:variant>
      <vt:variant>
        <vt:i4>1769560</vt:i4>
      </vt:variant>
      <vt:variant>
        <vt:i4>11</vt:i4>
      </vt:variant>
      <vt:variant>
        <vt:i4>0</vt:i4>
      </vt:variant>
      <vt:variant>
        <vt:i4>5</vt:i4>
      </vt:variant>
      <vt:variant>
        <vt:lpwstr>http://www.bls.gov/news.release/ecec.nr0.htm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6422643</vt:i4>
      </vt:variant>
      <vt:variant>
        <vt:i4>5</vt:i4>
      </vt:variant>
      <vt:variant>
        <vt:i4>0</vt:i4>
      </vt:variant>
      <vt:variant>
        <vt:i4>5</vt:i4>
      </vt:variant>
      <vt:variant>
        <vt:lpwstr>https://www.doi.gov/privacy/blm-3-mineral-lease-management</vt:lpwstr>
      </vt:variant>
      <vt:variant>
        <vt:lpwstr/>
      </vt:variant>
      <vt:variant>
        <vt:i4>1310744</vt:i4>
      </vt:variant>
      <vt:variant>
        <vt:i4>2</vt:i4>
      </vt:variant>
      <vt:variant>
        <vt:i4>0</vt:i4>
      </vt:variant>
      <vt:variant>
        <vt:i4>5</vt:i4>
      </vt:variant>
      <vt:variant>
        <vt:lpwstr>https://www.blm.gov/services/electronic-forms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sbeshir</dc:creator>
  <cp:keywords/>
  <cp:lastModifiedBy>Jean Sonneman</cp:lastModifiedBy>
  <cp:revision>98</cp:revision>
  <cp:lastPrinted>2018-03-08T17:25:00Z</cp:lastPrinted>
  <dcterms:created xsi:type="dcterms:W3CDTF">2022-05-19T18:45:00Z</dcterms:created>
  <dcterms:modified xsi:type="dcterms:W3CDTF">2022-05-26T12:37:00Z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2022-02-04T19:52:05Z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1e2116eb-64b5-4988-8ded-b814a6644576</vt:lpwstr>
  </property>
  <property fmtid="{D5CDD505-2E9C-101B-9397-08002B2CF9AE}" pid="8" name="MSIP_Label_6155a89b-0f08-4a93-8ea2-8a916d6643b5_ContentBits">
    <vt:lpwstr>0</vt:lpwstr>
  </property>
  <property fmtid="{D5CDD505-2E9C-101B-9397-08002B2CF9AE}" pid="9" name="ContentTypeId">
    <vt:lpwstr>0x010100501E0646ADC9494E92BBD4D0F0573F0C</vt:lpwstr>
  </property>
</Properties>
</file>