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113C06" w:rsidP="00113C06" w:rsidRDefault="002B45F1" w14:paraId="5B84017C" w14:textId="77777777">
      <w:pPr>
        <w:tabs>
          <w:tab w:val="center" w:pos="5040"/>
        </w:tabs>
        <w:jc w:val="center"/>
        <w:rPr>
          <w:b/>
          <w:bCs/>
          <w:sz w:val="24"/>
        </w:rPr>
      </w:pPr>
      <w:r w:rsidRPr="00F5428B">
        <w:rPr>
          <w:b/>
          <w:bCs/>
          <w:sz w:val="24"/>
        </w:rPr>
        <w:t>FERC-545</w:t>
      </w:r>
      <w:r w:rsidR="00113C06">
        <w:rPr>
          <w:b/>
          <w:bCs/>
          <w:sz w:val="24"/>
        </w:rPr>
        <w:t xml:space="preserve"> </w:t>
      </w:r>
      <w:r w:rsidR="00113C06">
        <w:rPr>
          <w:bCs/>
          <w:sz w:val="24"/>
        </w:rPr>
        <w:t>[</w:t>
      </w:r>
      <w:r w:rsidRPr="00F5428B" w:rsidR="00113C06">
        <w:rPr>
          <w:b/>
          <w:bCs/>
          <w:sz w:val="24"/>
        </w:rPr>
        <w:t xml:space="preserve">(Gas Pipeline Rates: Rate </w:t>
      </w:r>
      <w:r w:rsidR="00113C06">
        <w:rPr>
          <w:b/>
          <w:bCs/>
          <w:sz w:val="24"/>
        </w:rPr>
        <w:t>Change (Non-Formal)]</w:t>
      </w:r>
    </w:p>
    <w:p w:rsidRPr="00F5428B" w:rsidR="002B45F1" w:rsidP="002B45F1" w:rsidRDefault="00113C06" w14:paraId="39A1A94B" w14:textId="3F7505BB">
      <w:pPr>
        <w:tabs>
          <w:tab w:val="center" w:pos="5040"/>
        </w:tabs>
        <w:jc w:val="center"/>
        <w:rPr>
          <w:b/>
          <w:bCs/>
          <w:sz w:val="24"/>
        </w:rPr>
      </w:pPr>
      <w:r>
        <w:rPr>
          <w:b/>
          <w:bCs/>
          <w:sz w:val="24"/>
        </w:rPr>
        <w:t xml:space="preserve"> Modification from Notice of Proposed Rulemaking RM21-18-000</w:t>
      </w:r>
      <w:r w:rsidRPr="00E06116" w:rsidR="002B45F1">
        <w:rPr>
          <w:bCs/>
          <w:sz w:val="24"/>
        </w:rPr>
        <w:t xml:space="preserve"> </w:t>
      </w:r>
    </w:p>
    <w:p w:rsidRPr="00F5428B" w:rsidR="00BC15BE" w:rsidP="00BC15BE" w:rsidRDefault="00BC15BE" w14:paraId="34F6204C" w14:textId="77777777">
      <w:pPr>
        <w:rPr>
          <w:sz w:val="24"/>
        </w:rPr>
      </w:pPr>
    </w:p>
    <w:p w:rsidRPr="008C510C" w:rsidR="002B45F1" w:rsidP="002B45F1" w:rsidRDefault="002B45F1" w14:paraId="35A0048C" w14:textId="73D7384F">
      <w:pPr>
        <w:rPr>
          <w:szCs w:val="26"/>
        </w:rPr>
      </w:pPr>
      <w:r w:rsidRPr="005E5E83">
        <w:t>The Federal Energy Regulatory Commission (Commission or FERC) requests that the Office of Managem</w:t>
      </w:r>
      <w:r w:rsidRPr="005E5E83" w:rsidR="00E06116">
        <w:t>ent and Budget (OMB) review/</w:t>
      </w:r>
      <w:r w:rsidRPr="005E5E83">
        <w:t xml:space="preserve">approve </w:t>
      </w:r>
      <w:r w:rsidRPr="005E5E83" w:rsidR="00E06116">
        <w:t xml:space="preserve">the </w:t>
      </w:r>
      <w:r w:rsidR="009D618F">
        <w:t>modification</w:t>
      </w:r>
      <w:r w:rsidRPr="005E5E83" w:rsidR="00E06116">
        <w:t xml:space="preserve"> of</w:t>
      </w:r>
      <w:r w:rsidRPr="005E5E83">
        <w:t xml:space="preserve"> </w:t>
      </w:r>
      <w:r w:rsidRPr="005E5E83" w:rsidR="00E06116">
        <w:t xml:space="preserve">the </w:t>
      </w:r>
      <w:r w:rsidRPr="005E5E83">
        <w:t>FERC-545</w:t>
      </w:r>
      <w:r w:rsidRPr="005E5E83" w:rsidR="00E06116">
        <w:t xml:space="preserve"> information collection</w:t>
      </w:r>
      <w:r w:rsidRPr="005E5E83">
        <w:t xml:space="preserve"> </w:t>
      </w:r>
      <w:r w:rsidRPr="005E5E83" w:rsidR="00C40086">
        <w:t>[</w:t>
      </w:r>
      <w:r w:rsidRPr="005E5E83">
        <w:t xml:space="preserve">(Gas Pipeline Rates: Rate Change </w:t>
      </w:r>
      <w:r w:rsidRPr="005E5E83" w:rsidR="00C40086">
        <w:t>(</w:t>
      </w:r>
      <w:r w:rsidRPr="005E5E83">
        <w:t>Non-Formal)</w:t>
      </w:r>
      <w:r w:rsidRPr="005E5E83" w:rsidR="00C40086">
        <w:t>]</w:t>
      </w:r>
      <w:r w:rsidRPr="005E5E83">
        <w:rPr>
          <w:i/>
          <w:iCs/>
        </w:rPr>
        <w:t>.</w:t>
      </w:r>
      <w:r w:rsidR="008C510C">
        <w:rPr>
          <w:i/>
          <w:iCs/>
        </w:rPr>
        <w:t xml:space="preserve"> </w:t>
      </w:r>
      <w:r w:rsidR="008C510C">
        <w:rPr>
          <w:szCs w:val="26"/>
        </w:rPr>
        <w:t>The Notice of Proposed Rulemaking (NOPR) RM21-18-000</w:t>
      </w:r>
      <w:r w:rsidR="00E66DDD">
        <w:rPr>
          <w:rStyle w:val="FootnoteReference"/>
        </w:rPr>
        <w:footnoteReference w:id="2"/>
      </w:r>
      <w:r w:rsidR="008C510C">
        <w:rPr>
          <w:szCs w:val="26"/>
        </w:rPr>
        <w:t xml:space="preserve"> only pertains to </w:t>
      </w:r>
      <w:r w:rsidRPr="00D4792E" w:rsidR="008C510C">
        <w:rPr>
          <w:szCs w:val="26"/>
          <w:u w:val="single"/>
        </w:rPr>
        <w:t>section 4</w:t>
      </w:r>
      <w:r w:rsidR="008C510C">
        <w:rPr>
          <w:szCs w:val="26"/>
        </w:rPr>
        <w:t xml:space="preserve"> of the NGA, specifically during rate cases and does not impact sections 5 and </w:t>
      </w:r>
      <w:r w:rsidR="00D10F27">
        <w:rPr>
          <w:szCs w:val="26"/>
        </w:rPr>
        <w:t>1</w:t>
      </w:r>
      <w:r w:rsidR="008C510C">
        <w:rPr>
          <w:szCs w:val="26"/>
        </w:rPr>
        <w:t>6 which are included in FERC-545.</w:t>
      </w:r>
      <w:r w:rsidRPr="00F33E3A" w:rsidR="008C510C">
        <w:rPr>
          <w:szCs w:val="26"/>
        </w:rPr>
        <w:t xml:space="preserve"> </w:t>
      </w:r>
      <w:r w:rsidR="008C510C">
        <w:rPr>
          <w:szCs w:val="26"/>
        </w:rPr>
        <w:t xml:space="preserve"> </w:t>
      </w:r>
    </w:p>
    <w:p w:rsidR="00BC15BE" w:rsidP="00BC15BE" w:rsidRDefault="00BC15BE" w14:paraId="56813438" w14:textId="2462A3CB">
      <w:pPr>
        <w:rPr>
          <w:b/>
        </w:rPr>
      </w:pPr>
    </w:p>
    <w:p w:rsidRPr="00D77FF7" w:rsidR="00D77FF7" w:rsidP="00D77FF7" w:rsidRDefault="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Pr="005E5E83" w:rsidR="00D77FF7" w:rsidP="00BC15BE" w:rsidRDefault="00D77FF7" w14:paraId="77327131" w14:textId="77777777">
      <w:pPr>
        <w:rPr>
          <w:b/>
        </w:rPr>
      </w:pPr>
    </w:p>
    <w:p w:rsidRPr="00F33E3A" w:rsidR="00FF1CCD" w:rsidP="00FF1CCD" w:rsidRDefault="00FF1CCD" w14:paraId="096BF6DD" w14:textId="03F87F7B">
      <w:pPr>
        <w:rPr>
          <w:szCs w:val="26"/>
        </w:rPr>
      </w:pPr>
      <w:r w:rsidRPr="00F33E3A">
        <w:rPr>
          <w:szCs w:val="26"/>
        </w:rPr>
        <w:t>FERC-545 is required to implement sections 4, 5, and 16 of the Natural Gas Act (NGA), (15 USC 717c</w:t>
      </w:r>
      <w:r w:rsidR="006E6438">
        <w:rPr>
          <w:szCs w:val="26"/>
        </w:rPr>
        <w:t>, 717d. and</w:t>
      </w:r>
      <w:r w:rsidRPr="00F33E3A">
        <w:rPr>
          <w:szCs w:val="26"/>
        </w:rPr>
        <w:t xml:space="preserve"> 717o, PL 75 688, 52 Stat. 822 and 830).  NGA Sections 4, 5, and</w:t>
      </w:r>
      <w:r w:rsidR="00D10F27">
        <w:rPr>
          <w:szCs w:val="26"/>
        </w:rPr>
        <w:t xml:space="preserve"> 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p>
    <w:p w:rsidR="008C510C" w:rsidP="00FF1CCD" w:rsidRDefault="008C510C" w14:paraId="40CA7C47" w14:textId="77777777">
      <w:pPr>
        <w:rPr>
          <w:szCs w:val="26"/>
        </w:rPr>
      </w:pPr>
    </w:p>
    <w:p w:rsidRPr="00F33E3A" w:rsidR="00FF1CCD" w:rsidP="00FF1CCD" w:rsidRDefault="008C510C" w14:paraId="6DBB2C0D" w14:textId="1841932E">
      <w:pPr>
        <w:rPr>
          <w:szCs w:val="26"/>
        </w:rPr>
      </w:pPr>
      <w:r>
        <w:rPr>
          <w:szCs w:val="26"/>
        </w:rPr>
        <w:t>T</w:t>
      </w:r>
      <w:r w:rsidRPr="00F33E3A" w:rsidR="00FF1CCD">
        <w:rPr>
          <w:szCs w:val="26"/>
        </w:rPr>
        <w:t>he NG</w:t>
      </w:r>
      <w:r>
        <w:rPr>
          <w:szCs w:val="26"/>
        </w:rPr>
        <w:t>A requires</w:t>
      </w:r>
      <w:r w:rsidRPr="00F33E3A" w:rsidR="00FF1CCD">
        <w:rPr>
          <w:szCs w:val="26"/>
        </w:rPr>
        <w:t xml:space="preserve"> a natural gas company’s rates </w:t>
      </w:r>
      <w:r w:rsidR="001E164E">
        <w:rPr>
          <w:szCs w:val="26"/>
        </w:rPr>
        <w:t>to</w:t>
      </w:r>
      <w:r w:rsidRPr="00F33E3A" w:rsidR="00FF1CCD">
        <w:rPr>
          <w:szCs w:val="26"/>
        </w:rPr>
        <w:t xml:space="preserve">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w:t>
      </w:r>
      <w:r>
        <w:rPr>
          <w:szCs w:val="26"/>
        </w:rPr>
        <w:t xml:space="preserve">, which does not pertain to NOPR RM21-18-000. </w:t>
      </w:r>
      <w:r w:rsidRPr="00F33E3A" w:rsidR="00FF1CCD">
        <w:rPr>
          <w:szCs w:val="26"/>
        </w:rPr>
        <w:t xml:space="preserve"> </w:t>
      </w:r>
    </w:p>
    <w:p w:rsidRPr="00F33E3A" w:rsidR="00FF1CCD" w:rsidP="00FF1CCD" w:rsidRDefault="00FF1CCD" w14:paraId="4095DB38" w14:textId="77777777">
      <w:pPr>
        <w:rPr>
          <w:szCs w:val="26"/>
        </w:rPr>
      </w:pPr>
    </w:p>
    <w:p w:rsidRPr="00F33E3A" w:rsidR="00FF1CCD" w:rsidP="00FF1CCD" w:rsidRDefault="00FF1CCD" w14:paraId="5007CDC8" w14:textId="77777777">
      <w:pPr>
        <w:rPr>
          <w:szCs w:val="26"/>
        </w:rPr>
      </w:pPr>
      <w:r w:rsidRPr="00F33E3A">
        <w:rPr>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Pr="00F33E3A" w:rsidR="00FF1CCD" w:rsidP="00FF1CCD" w:rsidRDefault="00FF1CCD" w14:paraId="566E54B6" w14:textId="77777777">
      <w:pPr>
        <w:rPr>
          <w:szCs w:val="26"/>
        </w:rPr>
      </w:pPr>
    </w:p>
    <w:p w:rsidRPr="00F33E3A" w:rsidR="00FF1CCD" w:rsidP="00FF1CCD" w:rsidRDefault="00FF1CCD" w14:paraId="61B4A8E6" w14:textId="77777777">
      <w:pPr>
        <w:rPr>
          <w:szCs w:val="26"/>
        </w:rPr>
      </w:pPr>
      <w:r w:rsidRPr="00F33E3A">
        <w:rPr>
          <w:szCs w:val="26"/>
        </w:rPr>
        <w:t xml:space="preserve">Pipelines adjust their tariffs to meet market and customer needs.  Commission review of these proposed changes is required to ensure rates remain just and reasonable and that </w:t>
      </w:r>
      <w:r w:rsidRPr="00F33E3A">
        <w:rPr>
          <w:szCs w:val="26"/>
        </w:rPr>
        <w:lastRenderedPageBreak/>
        <w:t xml:space="preserve">services are not provided in an unduly or preferential manner.  The Commission’s regulation in 18 C.F.R. Part 154 specifies what changes are allowed and the procedures for requesting Commission approval.  </w:t>
      </w:r>
    </w:p>
    <w:p w:rsidRPr="00F33E3A" w:rsidR="00FF1CCD" w:rsidP="00FF1CCD" w:rsidRDefault="00FF1CCD" w14:paraId="6AC07723" w14:textId="77777777">
      <w:pPr>
        <w:ind w:firstLine="360"/>
        <w:rPr>
          <w:szCs w:val="26"/>
        </w:rPr>
      </w:pPr>
    </w:p>
    <w:p w:rsidRPr="00F33E3A" w:rsidR="00FF1CCD" w:rsidP="00FF1CCD" w:rsidRDefault="00FF1CCD" w14:paraId="74A77605" w14:textId="0F45D7DD">
      <w:pPr>
        <w:rPr>
          <w:szCs w:val="26"/>
        </w:rPr>
      </w:pPr>
      <w:r w:rsidRPr="00F33E3A">
        <w:rPr>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w:t>
      </w:r>
      <w:r w:rsidR="0041530B">
        <w:rPr>
          <w:szCs w:val="26"/>
        </w:rPr>
        <w:t>a general section 4 rate case</w:t>
      </w:r>
      <w:r w:rsidRPr="00F33E3A">
        <w:rPr>
          <w:szCs w:val="26"/>
        </w:rPr>
        <w:t xml:space="preserve"> proceeding,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p>
    <w:p w:rsidRPr="005E5E83" w:rsidR="00AF37D7" w:rsidP="00BC15BE" w:rsidRDefault="00AF37D7" w14:paraId="7D50F7CC" w14:textId="62470D42"/>
    <w:p w:rsidRPr="00D77FF7" w:rsidR="00D77FF7" w:rsidP="00D77FF7" w:rsidRDefault="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Pr="005E5E83" w:rsidR="00ED2A21" w:rsidP="00D77FF7" w:rsidRDefault="00ED2A21" w14:paraId="2CB06CD0" w14:textId="77777777"/>
    <w:p w:rsidRPr="005E5E83" w:rsidR="00ED2A21" w:rsidP="00ED2A21" w:rsidRDefault="00ED2A21" w14:paraId="5A7D1CB7" w14:textId="77777777">
      <w:r w:rsidRPr="005E5E83">
        <w:t>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there are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Pr="005E5E83" w:rsidR="00ED2A21" w:rsidP="00ED2A21" w:rsidRDefault="00ED2A21" w14:paraId="0CC383A2" w14:textId="77777777">
      <w:pPr>
        <w:ind w:firstLine="360"/>
      </w:pPr>
    </w:p>
    <w:p w:rsidRPr="005E5E83" w:rsidR="00ED2A21" w:rsidP="00ED2A21" w:rsidRDefault="00ED2A21" w14:paraId="7513D2B0" w14:textId="1043624F">
      <w:r w:rsidRPr="005E5E83">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Pr="005E5E83" w:rsidR="00ED2A21" w:rsidP="00ED2A21" w:rsidRDefault="00ED2A21" w14:paraId="041F35F0" w14:textId="77777777"/>
    <w:p w:rsidR="003F0E97" w:rsidP="003F0E97" w:rsidRDefault="0085094B" w14:paraId="52D8ADD2" w14:textId="27E809B3">
      <w:r>
        <w:t xml:space="preserve">Per section 4 of the NGA, </w:t>
      </w:r>
      <w:r w:rsidR="00905ABE">
        <w:t xml:space="preserve">a natural gas company must file a section 4 rate case every time the entity </w:t>
      </w:r>
      <w:r w:rsidR="00FD04C6">
        <w:t>seeks</w:t>
      </w:r>
      <w:r w:rsidR="00905ABE">
        <w:t xml:space="preserve"> to change its rates. The modification to FERC-545 per RM21-18-000 requires entities to submit their rate filings in native format</w:t>
      </w:r>
      <w:r w:rsidR="0041530B">
        <w:t xml:space="preserve">. This </w:t>
      </w:r>
      <w:r w:rsidRPr="0041530B" w:rsidR="0041530B">
        <w:t xml:space="preserve">refers to the software used to create the file.  </w:t>
      </w:r>
      <w:r w:rsidR="0041530B">
        <w:t>For example, w</w:t>
      </w:r>
      <w:r w:rsidRPr="0041530B" w:rsidR="0041530B">
        <w:t>hen a file is submitted in native application format it is submitted in the format of the software used to create the file</w:t>
      </w:r>
      <w:r w:rsidR="001A3B49">
        <w:t xml:space="preserve"> (e.g. Excel)</w:t>
      </w:r>
      <w:r w:rsidR="00905ABE">
        <w:t xml:space="preserve"> with all links and formulas in-tact. </w:t>
      </w:r>
      <w:r w:rsidR="00296D91">
        <w:t xml:space="preserve">The modification will better allow the Commission to analyze a given rate case to be sure that the rates remain just and reasonable. Additionally, by including the native formulas and links, the Commission and other stakeholders within the rate case will not be required to produce their own rate models, thus reducing the level of effort to determine if a rate is just and reasonable. </w:t>
      </w:r>
    </w:p>
    <w:p w:rsidR="0085094B" w:rsidP="003F0E97" w:rsidRDefault="0085094B" w14:paraId="36E84739" w14:textId="08012E6D"/>
    <w:p w:rsidRPr="005E5E83" w:rsidR="0085094B" w:rsidP="003F0E97" w:rsidRDefault="0085094B" w14:paraId="305EC179" w14:textId="77777777"/>
    <w:p w:rsidRPr="005E5E83" w:rsidR="00BC15BE" w:rsidP="00BC15BE" w:rsidRDefault="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Pr="005E5E83" w:rsidR="00573C31" w:rsidP="00F8150C" w:rsidRDefault="00573C31" w14:paraId="69014BD5" w14:textId="77777777"/>
    <w:p w:rsidRPr="00F62CCB" w:rsidR="00F62CCB" w:rsidP="00F62CCB" w:rsidRDefault="00F62CCB" w14:paraId="460CCDBD" w14:textId="77777777">
      <w:r w:rsidRPr="00F62CCB">
        <w:t>The Commission improved the security for submitting electronic tariff filings.</w:t>
      </w:r>
      <w:r w:rsidRPr="00F62CCB">
        <w:rPr>
          <w:b/>
          <w:vertAlign w:val="superscript"/>
        </w:rPr>
        <w:footnoteReference w:id="3"/>
      </w:r>
      <w:r w:rsidRPr="00F62CCB">
        <w:t xml:space="preserve">  In addition, the Commission improved the pipelines’ on-line process of appointing and modifying agents with the authority to make an electronic tariff filing on the pipeline’s behalf.</w:t>
      </w:r>
    </w:p>
    <w:p w:rsidRPr="005E5E83" w:rsidR="00C4337B" w:rsidP="00F8150C" w:rsidRDefault="00C4337B" w14:paraId="4984098A" w14:textId="77777777"/>
    <w:p w:rsidRPr="005E5E83" w:rsidR="00BC15BE" w:rsidP="00D77FF7" w:rsidRDefault="00BC15BE"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Pr="005E5E83" w:rsidR="00BC15BE" w:rsidP="00ED2A21" w:rsidRDefault="00F8150C"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Pr="005E5E83" w:rsidR="00BC15BE" w:rsidP="00BC15BE" w:rsidRDefault="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Pr="005E5E83" w:rsidR="00966D03" w:rsidP="00F8150C" w:rsidRDefault="00966D03" w14:paraId="02FFEA5C" w14:textId="77777777">
      <w:pPr>
        <w:rPr>
          <w:b/>
        </w:rPr>
      </w:pPr>
    </w:p>
    <w:p w:rsidRPr="005E5E83" w:rsidR="00F8150C" w:rsidP="00F8150C" w:rsidRDefault="00F8150C" w14:paraId="2ECE79F4" w14:textId="148583C3">
      <w:r w:rsidRPr="005E5E83">
        <w:t xml:space="preserve">The FERC-545 </w:t>
      </w:r>
      <w:r w:rsidRPr="005E5E83" w:rsidR="000B2C2A">
        <w:t>are</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Pr="005E5E83" w:rsidR="00BC15BE" w:rsidP="00573C31" w:rsidRDefault="00BC15BE" w14:paraId="1CB13102" w14:textId="77777777">
      <w:pPr>
        <w:pStyle w:val="FERCparanumber"/>
        <w:numPr>
          <w:ilvl w:val="0"/>
          <w:numId w:val="0"/>
        </w:numPr>
        <w:autoSpaceDE w:val="0"/>
        <w:autoSpaceDN w:val="0"/>
        <w:adjustRightInd w:val="0"/>
      </w:pPr>
    </w:p>
    <w:p w:rsidRPr="005E5E83" w:rsidR="00BC15BE" w:rsidP="00BC15BE" w:rsidRDefault="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Pr="005E5E83" w:rsidR="001B1135" w:rsidP="00F8150C" w:rsidRDefault="001B1135" w14:paraId="2BA137A1" w14:textId="77777777">
      <w:pPr>
        <w:tabs>
          <w:tab w:val="left" w:pos="0"/>
        </w:tabs>
      </w:pPr>
    </w:p>
    <w:p w:rsidRPr="005E5E83" w:rsidR="00F8150C" w:rsidP="00F8150C" w:rsidRDefault="000B2C2A" w14:paraId="62DFD3E8" w14:textId="79E78E2E">
      <w:pPr>
        <w:tabs>
          <w:tab w:val="left" w:pos="0"/>
        </w:tabs>
      </w:pPr>
      <w:r w:rsidRPr="005E5E83">
        <w:t xml:space="preserve">The </w:t>
      </w:r>
      <w:r w:rsidRPr="005E5E83" w:rsidR="00F8150C">
        <w:t>FERC-545</w:t>
      </w:r>
      <w:r w:rsidRPr="005E5E83" w:rsidR="00573C31">
        <w:t xml:space="preserve"> </w:t>
      </w:r>
      <w:r w:rsidRPr="005E5E83" w:rsidR="00BD6B0B">
        <w:t>is a one-time compliance filing</w:t>
      </w:r>
      <w:r w:rsidR="00D3500C">
        <w:t xml:space="preserve"> if and when an entity subject to the NGA seeks a rate change</w:t>
      </w:r>
      <w:r w:rsidRPr="005E5E83" w:rsidR="00F8150C">
        <w:t xml:space="preserve">.  Failure to collect the information would prohibit </w:t>
      </w:r>
      <w:r w:rsidRPr="005E5E83" w:rsidR="001B1135">
        <w:t xml:space="preserve">the Commission </w:t>
      </w:r>
      <w:r w:rsidRPr="005E5E83" w:rsidR="00F8150C">
        <w:t xml:space="preserve">from properly monitoring and evaluating pipeline transactions and meeting statutory obligations under </w:t>
      </w:r>
      <w:r w:rsidRPr="005E5E83" w:rsidR="001B1135">
        <w:t xml:space="preserve">the </w:t>
      </w:r>
      <w:r w:rsidRPr="005E5E83">
        <w:t>Natural Gas Policy Act and Natural Gas Act</w:t>
      </w:r>
      <w:r w:rsidRPr="005E5E83" w:rsidR="00F8150C">
        <w:t>.</w:t>
      </w:r>
    </w:p>
    <w:p w:rsidRPr="005E5E83" w:rsidR="00BC15BE" w:rsidP="00BC15BE" w:rsidRDefault="00BC15BE" w14:paraId="3FD162DE" w14:textId="77777777">
      <w:pPr>
        <w:pStyle w:val="Level1"/>
        <w:widowControl/>
        <w:numPr>
          <w:ilvl w:val="0"/>
          <w:numId w:val="0"/>
        </w:numPr>
        <w:tabs>
          <w:tab w:val="left" w:pos="-1440"/>
        </w:tabs>
        <w:rPr>
          <w:sz w:val="26"/>
        </w:rPr>
      </w:pPr>
    </w:p>
    <w:p w:rsidRPr="005E5E83" w:rsidR="00BC15BE" w:rsidP="00BC15BE" w:rsidRDefault="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Pr="005E5E83" w:rsidR="00BC15BE" w:rsidP="00BC15BE" w:rsidRDefault="00BC15BE" w14:paraId="217EEBCF" w14:textId="77777777">
      <w:pPr>
        <w:pStyle w:val="Level1"/>
        <w:numPr>
          <w:ilvl w:val="0"/>
          <w:numId w:val="0"/>
        </w:numPr>
        <w:rPr>
          <w:sz w:val="26"/>
        </w:rPr>
      </w:pPr>
    </w:p>
    <w:p w:rsidRPr="005E5E83" w:rsidR="00F8150C" w:rsidP="00BC15BE" w:rsidRDefault="00BD6B0B" w14:paraId="41837890" w14:textId="60426FEE">
      <w:pPr>
        <w:pStyle w:val="Level1"/>
        <w:numPr>
          <w:ilvl w:val="0"/>
          <w:numId w:val="0"/>
        </w:numPr>
        <w:rPr>
          <w:sz w:val="26"/>
        </w:rPr>
      </w:pPr>
      <w:r w:rsidRPr="005E5E83">
        <w:rPr>
          <w:sz w:val="26"/>
        </w:rPr>
        <w:t xml:space="preserve">The FERC-545 </w:t>
      </w:r>
      <w:r w:rsidRPr="005E5E83" w:rsidR="00F8150C">
        <w:rPr>
          <w:sz w:val="26"/>
        </w:rPr>
        <w:t>present</w:t>
      </w:r>
      <w:r w:rsidRPr="005E5E83">
        <w:rPr>
          <w:sz w:val="26"/>
        </w:rPr>
        <w:t>s</w:t>
      </w:r>
      <w:r w:rsidRPr="005E5E83" w:rsidR="00F8150C">
        <w:rPr>
          <w:sz w:val="26"/>
        </w:rPr>
        <w:t xml:space="preserve"> no special circumstances.</w:t>
      </w:r>
    </w:p>
    <w:p w:rsidRPr="005E5E83" w:rsidR="00F45B52" w:rsidP="00BC15BE" w:rsidRDefault="00F45B52" w14:paraId="6BB4F597" w14:textId="77777777">
      <w:pPr>
        <w:pStyle w:val="Level1"/>
        <w:numPr>
          <w:ilvl w:val="0"/>
          <w:numId w:val="0"/>
        </w:numPr>
        <w:rPr>
          <w:sz w:val="26"/>
        </w:rPr>
      </w:pPr>
    </w:p>
    <w:p w:rsidRPr="005E5E83" w:rsidR="00BC15BE" w:rsidP="00BC15BE" w:rsidRDefault="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Pr="005E5E83" w:rsidR="00A5298F" w:rsidP="00BC15BE" w:rsidRDefault="00A5298F" w14:paraId="517D2728" w14:textId="169B5E3F">
      <w:pPr>
        <w:tabs>
          <w:tab w:val="left" w:pos="-1440"/>
        </w:tabs>
      </w:pPr>
    </w:p>
    <w:p w:rsidR="00C14580" w:rsidP="008E08A2" w:rsidRDefault="00C14580" w14:paraId="0898E281" w14:textId="18C10A9C">
      <w:pPr>
        <w:tabs>
          <w:tab w:val="left" w:pos="-1440"/>
        </w:tabs>
      </w:pPr>
      <w:r>
        <w:t xml:space="preserve">The Commission issued the proposed rule following an industry petition </w:t>
      </w:r>
      <w:r w:rsidRPr="00C14580">
        <w:t>on June 24, 2021</w:t>
      </w:r>
      <w:r>
        <w:t xml:space="preserve">.  Firms including the </w:t>
      </w:r>
      <w:r w:rsidRPr="00C14580">
        <w:t>American Gas Association, American Public Gas Association, American Forest &amp; Paper Association, Industrial Energy Consumers of America, Process Gas Consumers Group, and Natural Gas Supply Association</w:t>
      </w:r>
      <w:r>
        <w:t xml:space="preserve"> filed the petition requesting that rate-cases are submitted in native (e.g. Excel) format.</w:t>
      </w:r>
      <w:r>
        <w:rPr>
          <w:rStyle w:val="FootnoteReference"/>
        </w:rPr>
        <w:footnoteReference w:id="4"/>
      </w:r>
    </w:p>
    <w:p w:rsidR="00C14580" w:rsidP="008E08A2" w:rsidRDefault="00C14580" w14:paraId="3CED57E8" w14:textId="77777777">
      <w:pPr>
        <w:tabs>
          <w:tab w:val="left" w:pos="-1440"/>
        </w:tabs>
      </w:pPr>
    </w:p>
    <w:p w:rsidR="00493A45" w:rsidP="008E08A2" w:rsidRDefault="00C14580" w14:paraId="7E1012A5" w14:textId="5F6335E9">
      <w:pPr>
        <w:tabs>
          <w:tab w:val="left" w:pos="-1440"/>
        </w:tabs>
      </w:pPr>
      <w:r>
        <w:t>Additionally, t</w:t>
      </w:r>
      <w:r w:rsidRPr="00D4792E" w:rsidR="003F49D9">
        <w:t>he Commission is open to receiving comments on the NOPR RM21-18-000</w:t>
      </w:r>
      <w:r w:rsidR="0016529D">
        <w:t xml:space="preserve"> for</w:t>
      </w:r>
      <w:r w:rsidR="00786B75">
        <w:t xml:space="preserve"> </w:t>
      </w:r>
      <w:r w:rsidRPr="0034651A" w:rsidR="00786B75">
        <w:t>30 days after the date of publication in the Federal Register.</w:t>
      </w:r>
      <w:r w:rsidR="00786B75">
        <w:rPr>
          <w:b/>
        </w:rPr>
        <w:t xml:space="preserve"> </w:t>
      </w:r>
      <w:r w:rsidRPr="0052272A" w:rsidR="00E66DDD">
        <w:rPr>
          <w:bCs/>
        </w:rPr>
        <w:t>The commission also issued a press release on 5/19/22 to notify the public of the proposed rule.</w:t>
      </w:r>
      <w:r w:rsidR="00E66DDD">
        <w:rPr>
          <w:rStyle w:val="FootnoteReference"/>
          <w:bCs/>
        </w:rPr>
        <w:footnoteReference w:id="5"/>
      </w:r>
    </w:p>
    <w:p w:rsidRPr="005E5E83" w:rsidR="003F49D9" w:rsidP="008E08A2" w:rsidRDefault="003F49D9" w14:paraId="6697E4C9" w14:textId="77777777">
      <w:pPr>
        <w:tabs>
          <w:tab w:val="left" w:pos="-1440"/>
        </w:tabs>
      </w:pPr>
    </w:p>
    <w:p w:rsidRPr="005E5E83" w:rsidR="00BC15BE" w:rsidP="000973F8" w:rsidRDefault="0000597D" w14:paraId="3AD239FD" w14:textId="3EBAB186">
      <w:pPr>
        <w:tabs>
          <w:tab w:val="left" w:pos="-1440"/>
        </w:tabs>
        <w:rPr>
          <w:bCs/>
        </w:rPr>
      </w:pPr>
      <w:r w:rsidRPr="005E5E83">
        <w:rPr>
          <w:b/>
        </w:rPr>
        <w:t xml:space="preserve">9.           </w:t>
      </w:r>
      <w:r w:rsidRPr="005E5E83" w:rsidR="00BC15BE">
        <w:rPr>
          <w:b/>
        </w:rPr>
        <w:t>EXPLAIN ANY PAYMENT OR GIFTS TO RESPONDENTS</w:t>
      </w:r>
    </w:p>
    <w:p w:rsidRPr="005E5E83" w:rsidR="002F39BD" w:rsidP="00BC15BE" w:rsidRDefault="002F39BD" w14:paraId="7051282D" w14:textId="77777777"/>
    <w:p w:rsidRPr="005E5E83" w:rsidR="00BC15BE" w:rsidP="00BC15BE" w:rsidRDefault="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Pr="005E5E83" w:rsidR="00BC15BE" w:rsidP="00BC15BE" w:rsidRDefault="00BC15BE" w14:paraId="519A22C7" w14:textId="77777777">
      <w:pPr>
        <w:ind w:left="720" w:hanging="720"/>
        <w:rPr>
          <w:b/>
          <w:bCs/>
        </w:rPr>
      </w:pPr>
    </w:p>
    <w:p w:rsidRPr="005E5E83" w:rsidR="00BC15BE" w:rsidP="000973F8" w:rsidRDefault="0000597D" w14:paraId="2135200F" w14:textId="7B294BF4">
      <w:pPr>
        <w:pStyle w:val="Level1"/>
        <w:numPr>
          <w:ilvl w:val="0"/>
          <w:numId w:val="18"/>
        </w:numPr>
        <w:rPr>
          <w:b/>
          <w:sz w:val="26"/>
        </w:rPr>
      </w:pPr>
      <w:r w:rsidRPr="005E5E83">
        <w:rPr>
          <w:bCs/>
          <w:sz w:val="26"/>
        </w:rPr>
        <w:t xml:space="preserve"> </w:t>
      </w:r>
      <w:r w:rsidRPr="005E5E83" w:rsidR="00BC15BE">
        <w:rPr>
          <w:b/>
          <w:sz w:val="26"/>
        </w:rPr>
        <w:t>DESCRIBE ANY ASSURANCE OF CONFIDENTIALITY PROVIDED TO RESPONDENTS</w:t>
      </w:r>
    </w:p>
    <w:p w:rsidRPr="005E5E83" w:rsidR="00DF6937" w:rsidP="000973F8" w:rsidRDefault="00DF6937" w14:paraId="7CAC0BB8" w14:textId="77777777">
      <w:pPr>
        <w:pStyle w:val="Level1"/>
        <w:numPr>
          <w:ilvl w:val="0"/>
          <w:numId w:val="0"/>
        </w:numPr>
        <w:ind w:left="720"/>
        <w:rPr>
          <w:b/>
          <w:sz w:val="26"/>
        </w:rPr>
      </w:pPr>
    </w:p>
    <w:p w:rsidR="007502D4" w:rsidP="00BC15BE" w:rsidRDefault="003F49D9" w14:paraId="43033706" w14:textId="498CB5A4">
      <w:r w:rsidRPr="00D4792E">
        <w:t>As natural gas rates are determined to be of general public interest per the NGA</w:t>
      </w:r>
      <w:r w:rsidRPr="00D4792E" w:rsidR="00733F94">
        <w:t>, the section 4 rate case is public</w:t>
      </w:r>
      <w:r w:rsidRPr="00D4792E" w:rsidR="0016529D">
        <w:t xml:space="preserve"> information</w:t>
      </w:r>
      <w:r w:rsidRPr="00D4792E" w:rsidR="00733F94">
        <w:t>.</w:t>
      </w:r>
      <w:r w:rsidRPr="00FA3FAC" w:rsidR="00733F94">
        <w:t xml:space="preserve"> </w:t>
      </w:r>
    </w:p>
    <w:p w:rsidRPr="005E5E83" w:rsidR="003F49D9" w:rsidP="00BC15BE" w:rsidRDefault="003F49D9" w14:paraId="45586E6A" w14:textId="77777777"/>
    <w:p w:rsidRPr="005E5E83" w:rsidR="00BC15BE" w:rsidP="00BC15BE" w:rsidRDefault="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Pr="005E5E83" w:rsidR="00A17430" w:rsidP="00BC15BE" w:rsidRDefault="00A17430" w14:paraId="46AEDFC5" w14:textId="77777777"/>
    <w:p w:rsidRPr="005E5E83" w:rsidR="00BC15BE" w:rsidP="00BC15BE" w:rsidRDefault="00BC15BE" w14:paraId="3DCB60E8" w14:textId="77777777">
      <w:r w:rsidRPr="005E5E83">
        <w:t>There are no questions of a sensitive nature in the reporting requirements.</w:t>
      </w:r>
    </w:p>
    <w:p w:rsidRPr="005E5E83" w:rsidR="00BC15BE" w:rsidP="00BC15BE" w:rsidRDefault="00BC15BE" w14:paraId="3E51840A" w14:textId="77777777"/>
    <w:p w:rsidRPr="005E5E83" w:rsidR="00BC15BE" w:rsidP="00BC15BE" w:rsidRDefault="00BC15BE" w14:paraId="584352B7" w14:textId="77777777">
      <w:pPr>
        <w:pStyle w:val="Level1"/>
        <w:rPr>
          <w:b/>
          <w:sz w:val="26"/>
        </w:rPr>
      </w:pPr>
      <w:r w:rsidRPr="005E5E83">
        <w:rPr>
          <w:b/>
          <w:sz w:val="26"/>
        </w:rPr>
        <w:t>ESTIMATED BURDEN OF COLLECTION OF INFORMATION</w:t>
      </w:r>
    </w:p>
    <w:p w:rsidR="00CB5EFC" w:rsidP="007502D4" w:rsidRDefault="00CB5EFC" w14:paraId="7D707771" w14:textId="2DF39A90"/>
    <w:p w:rsidR="00CB5EFC" w:rsidP="007502D4" w:rsidRDefault="00CB5EFC" w14:paraId="757D63AC" w14:textId="3F62E8A4">
      <w:r>
        <w:t xml:space="preserve">The FERC 545 collection is used for collections related to sections 4, 5, and 16 of the NGA.  However, this NOPR does not change sections 5 and 16 which include burdens related to tarriff filings and rate filings. The costs associated with these filings remain unchanged (Table 2). </w:t>
      </w:r>
    </w:p>
    <w:p w:rsidR="00CB5EFC" w:rsidP="007502D4" w:rsidRDefault="00CB5EFC" w14:paraId="1A78A5CC" w14:textId="5E312EF1"/>
    <w:p w:rsidR="008C1E2B" w:rsidP="007502D4" w:rsidRDefault="007502D4" w14:paraId="2BEBBC6F" w14:textId="2C741C5A">
      <w:r w:rsidRPr="005E5E83">
        <w:t>The Commission estimates the annual public reporting burden and cost for the information collection</w:t>
      </w:r>
      <w:r w:rsidR="00CF033C">
        <w:t xml:space="preserve"> given the proposed changes in RM21-18-000</w:t>
      </w:r>
      <w:r w:rsidRPr="005E5E83">
        <w:t xml:space="preserve"> as follows:</w:t>
      </w:r>
    </w:p>
    <w:p w:rsidR="008C1E2B" w:rsidP="007502D4" w:rsidRDefault="008C1E2B" w14:paraId="3E93641E" w14:textId="4D99B12A"/>
    <w:tbl>
      <w:tblPr>
        <w:tblStyle w:val="TableGrid1"/>
        <w:tblW w:w="11115" w:type="dxa"/>
        <w:tblInd w:w="-885" w:type="dxa"/>
        <w:tblLayout w:type="fixed"/>
        <w:tblLook w:val="04A0" w:firstRow="1" w:lastRow="0" w:firstColumn="1" w:lastColumn="0" w:noHBand="0" w:noVBand="1"/>
      </w:tblPr>
      <w:tblGrid>
        <w:gridCol w:w="1600"/>
        <w:gridCol w:w="1350"/>
        <w:gridCol w:w="1170"/>
        <w:gridCol w:w="1530"/>
        <w:gridCol w:w="1800"/>
        <w:gridCol w:w="2070"/>
        <w:gridCol w:w="1595"/>
      </w:tblGrid>
      <w:tr w:rsidRPr="00CF033C" w:rsidR="00376751" w:rsidTr="00D4792E" w14:paraId="52FD5D8F" w14:textId="7AA18530">
        <w:trPr>
          <w:trHeight w:val="143"/>
        </w:trPr>
        <w:tc>
          <w:tcPr>
            <w:tcW w:w="11115" w:type="dxa"/>
            <w:gridSpan w:val="7"/>
            <w:tcBorders>
              <w:top w:val="single" w:color="auto" w:sz="4" w:space="0"/>
              <w:left w:val="single" w:color="auto" w:sz="4" w:space="0"/>
              <w:bottom w:val="single" w:color="auto" w:sz="4" w:space="0"/>
              <w:right w:val="single" w:color="auto" w:sz="4" w:space="0"/>
            </w:tcBorders>
            <w:shd w:val="clear" w:color="auto" w:fill="BFBFBF"/>
            <w:hideMark/>
          </w:tcPr>
          <w:p w:rsidR="00376751" w:rsidP="00CF033C" w:rsidRDefault="00376751" w14:paraId="217F7A06" w14:textId="1E3E419D">
            <w:pPr>
              <w:widowControl w:val="0"/>
              <w:jc w:val="center"/>
              <w:rPr>
                <w:rFonts w:eastAsia="Calibri"/>
                <w:b/>
                <w:bCs/>
                <w:szCs w:val="22"/>
              </w:rPr>
            </w:pPr>
            <w:r>
              <w:rPr>
                <w:rFonts w:eastAsia="Calibri"/>
                <w:b/>
                <w:bCs/>
                <w:szCs w:val="22"/>
              </w:rPr>
              <w:t xml:space="preserve">Table 1: </w:t>
            </w:r>
            <w:r w:rsidRPr="00CF033C">
              <w:rPr>
                <w:rFonts w:eastAsia="Calibri"/>
                <w:b/>
                <w:bCs/>
                <w:szCs w:val="22"/>
              </w:rPr>
              <w:t>Proposed Modifications to FERC 545 from NOPR in Docket No. RM21-18-000</w:t>
            </w:r>
          </w:p>
        </w:tc>
      </w:tr>
      <w:tr w:rsidRPr="00CF033C" w:rsidR="0013450D" w:rsidTr="00D4792E" w14:paraId="3880E431" w14:textId="32790E20">
        <w:trPr>
          <w:trHeight w:val="197"/>
        </w:trPr>
        <w:tc>
          <w:tcPr>
            <w:tcW w:w="1600" w:type="dxa"/>
            <w:tcBorders>
              <w:top w:val="single" w:color="auto" w:sz="4" w:space="0"/>
              <w:left w:val="single" w:color="auto" w:sz="4" w:space="0"/>
              <w:bottom w:val="single" w:color="auto" w:sz="4" w:space="0"/>
              <w:right w:val="single" w:color="auto" w:sz="4" w:space="0"/>
            </w:tcBorders>
            <w:shd w:val="clear" w:color="auto" w:fill="BFBFBF"/>
            <w:hideMark/>
          </w:tcPr>
          <w:p w:rsidRPr="00CF033C" w:rsidR="0011159F" w:rsidP="00CF033C" w:rsidRDefault="0011159F" w14:paraId="5CFB0DDD" w14:textId="77777777">
            <w:pPr>
              <w:jc w:val="center"/>
              <w:rPr>
                <w:rFonts w:eastAsia="Calibri"/>
                <w:b/>
                <w:bCs/>
                <w:sz w:val="24"/>
                <w:szCs w:val="22"/>
              </w:rPr>
            </w:pPr>
            <w:r w:rsidRPr="00CF033C">
              <w:rPr>
                <w:rFonts w:eastAsia="Calibri"/>
                <w:b/>
                <w:bCs/>
                <w:sz w:val="24"/>
                <w:szCs w:val="22"/>
              </w:rPr>
              <w:t>A.</w:t>
            </w:r>
          </w:p>
          <w:p w:rsidRPr="00CF033C" w:rsidR="0011159F" w:rsidP="00CF033C" w:rsidRDefault="0011159F" w14:paraId="264FCC1A" w14:textId="77777777">
            <w:pPr>
              <w:jc w:val="center"/>
              <w:rPr>
                <w:rFonts w:eastAsia="Calibri"/>
                <w:b/>
                <w:bCs/>
                <w:sz w:val="24"/>
                <w:szCs w:val="22"/>
              </w:rPr>
            </w:pPr>
            <w:r w:rsidRPr="00CF033C">
              <w:rPr>
                <w:rFonts w:eastAsia="Calibri"/>
                <w:b/>
                <w:bCs/>
                <w:sz w:val="24"/>
                <w:szCs w:val="22"/>
              </w:rPr>
              <w:t>Area of Modification</w:t>
            </w:r>
          </w:p>
        </w:tc>
        <w:tc>
          <w:tcPr>
            <w:tcW w:w="1350" w:type="dxa"/>
            <w:tcBorders>
              <w:top w:val="single" w:color="auto" w:sz="4" w:space="0"/>
              <w:left w:val="single" w:color="auto" w:sz="4" w:space="0"/>
              <w:bottom w:val="single" w:color="auto" w:sz="4" w:space="0"/>
              <w:right w:val="single" w:color="auto" w:sz="4" w:space="0"/>
            </w:tcBorders>
            <w:shd w:val="clear" w:color="auto" w:fill="BFBFBF"/>
          </w:tcPr>
          <w:p w:rsidRPr="00CF033C" w:rsidR="0011159F" w:rsidP="00CF033C" w:rsidRDefault="0011159F" w14:paraId="5E55BBBD" w14:textId="77777777">
            <w:pPr>
              <w:jc w:val="center"/>
              <w:rPr>
                <w:rFonts w:eastAsia="Calibri"/>
                <w:b/>
                <w:bCs/>
                <w:sz w:val="24"/>
                <w:szCs w:val="22"/>
              </w:rPr>
            </w:pPr>
            <w:r w:rsidRPr="00CF033C">
              <w:rPr>
                <w:rFonts w:eastAsia="Calibri"/>
                <w:b/>
                <w:bCs/>
                <w:sz w:val="24"/>
                <w:szCs w:val="22"/>
              </w:rPr>
              <w:t>B.</w:t>
            </w:r>
          </w:p>
          <w:p w:rsidRPr="00CF033C" w:rsidR="0011159F" w:rsidP="00CF033C" w:rsidRDefault="0011159F" w14:paraId="1A1027A4" w14:textId="77777777">
            <w:pPr>
              <w:jc w:val="center"/>
              <w:rPr>
                <w:rFonts w:eastAsia="Calibri"/>
                <w:b/>
                <w:bCs/>
                <w:sz w:val="24"/>
                <w:szCs w:val="22"/>
              </w:rPr>
            </w:pPr>
            <w:r w:rsidRPr="00CF033C">
              <w:rPr>
                <w:rFonts w:eastAsia="Calibri"/>
                <w:b/>
                <w:bCs/>
                <w:sz w:val="24"/>
                <w:szCs w:val="22"/>
              </w:rPr>
              <w:t>Number of Respondents</w:t>
            </w:r>
          </w:p>
          <w:p w:rsidRPr="00CF033C" w:rsidR="0011159F" w:rsidP="00CF033C" w:rsidRDefault="0011159F" w14:paraId="78CD7A38" w14:textId="77777777">
            <w:pPr>
              <w:jc w:val="center"/>
              <w:rPr>
                <w:rFonts w:eastAsia="Calibri"/>
                <w:b/>
                <w:bCs/>
                <w:sz w:val="24"/>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BFBFBF"/>
          </w:tcPr>
          <w:p w:rsidRPr="00CF033C" w:rsidR="0011159F" w:rsidP="00CF033C" w:rsidRDefault="0011159F" w14:paraId="7DD6A6A8" w14:textId="77777777">
            <w:pPr>
              <w:jc w:val="center"/>
              <w:rPr>
                <w:rFonts w:eastAsia="Calibri"/>
                <w:b/>
                <w:bCs/>
                <w:sz w:val="24"/>
                <w:szCs w:val="22"/>
              </w:rPr>
            </w:pPr>
            <w:r w:rsidRPr="00CF033C">
              <w:rPr>
                <w:rFonts w:eastAsia="Calibri"/>
                <w:b/>
                <w:bCs/>
                <w:sz w:val="24"/>
                <w:szCs w:val="22"/>
              </w:rPr>
              <w:t>C.</w:t>
            </w:r>
          </w:p>
          <w:p w:rsidRPr="00CF033C" w:rsidR="0011159F" w:rsidP="00CF033C" w:rsidRDefault="0011159F" w14:paraId="2EC48606" w14:textId="77777777">
            <w:pPr>
              <w:jc w:val="center"/>
              <w:rPr>
                <w:rFonts w:eastAsia="Calibri"/>
                <w:b/>
                <w:bCs/>
                <w:sz w:val="24"/>
                <w:szCs w:val="22"/>
              </w:rPr>
            </w:pPr>
            <w:r w:rsidRPr="00CF033C">
              <w:rPr>
                <w:rFonts w:eastAsia="Calibri"/>
                <w:b/>
                <w:bCs/>
                <w:sz w:val="24"/>
                <w:szCs w:val="22"/>
              </w:rPr>
              <w:t>Annual Estimated Number of Responses per Respondent</w:t>
            </w:r>
          </w:p>
          <w:p w:rsidRPr="00CF033C" w:rsidR="0011159F" w:rsidP="00CF033C" w:rsidRDefault="0011159F" w14:paraId="44566BEC" w14:textId="77777777">
            <w:pPr>
              <w:jc w:val="center"/>
              <w:rPr>
                <w:rFonts w:eastAsia="Calibri"/>
                <w:b/>
                <w:bCs/>
                <w:sz w:val="24"/>
                <w:szCs w:val="22"/>
              </w:rPr>
            </w:pPr>
          </w:p>
        </w:tc>
        <w:tc>
          <w:tcPr>
            <w:tcW w:w="1530" w:type="dxa"/>
            <w:tcBorders>
              <w:top w:val="single" w:color="auto" w:sz="4" w:space="0"/>
              <w:left w:val="single" w:color="auto" w:sz="4" w:space="0"/>
              <w:bottom w:val="single" w:color="auto" w:sz="4" w:space="0"/>
              <w:right w:val="single" w:color="auto" w:sz="4" w:space="0"/>
            </w:tcBorders>
            <w:shd w:val="clear" w:color="auto" w:fill="BFBFBF"/>
          </w:tcPr>
          <w:p w:rsidRPr="00CF033C" w:rsidR="0011159F" w:rsidP="00CF033C" w:rsidRDefault="0011159F" w14:paraId="42770B1C" w14:textId="77777777">
            <w:pPr>
              <w:jc w:val="center"/>
              <w:rPr>
                <w:rFonts w:eastAsia="Calibri"/>
                <w:b/>
                <w:bCs/>
                <w:sz w:val="24"/>
                <w:szCs w:val="22"/>
              </w:rPr>
            </w:pPr>
            <w:r w:rsidRPr="00CF033C">
              <w:rPr>
                <w:rFonts w:eastAsia="Calibri"/>
                <w:b/>
                <w:bCs/>
                <w:sz w:val="24"/>
                <w:szCs w:val="22"/>
              </w:rPr>
              <w:t>D.</w:t>
            </w:r>
          </w:p>
          <w:p w:rsidRPr="00CF033C" w:rsidR="0011159F" w:rsidP="00CF033C" w:rsidRDefault="0011159F" w14:paraId="6BF20ADC" w14:textId="77777777">
            <w:pPr>
              <w:jc w:val="center"/>
              <w:rPr>
                <w:rFonts w:eastAsia="Calibri"/>
                <w:b/>
                <w:bCs/>
                <w:sz w:val="24"/>
                <w:szCs w:val="22"/>
              </w:rPr>
            </w:pPr>
            <w:r w:rsidRPr="00CF033C">
              <w:rPr>
                <w:rFonts w:eastAsia="Calibri"/>
                <w:b/>
                <w:bCs/>
                <w:sz w:val="24"/>
                <w:szCs w:val="22"/>
              </w:rPr>
              <w:t>Annual Estimated Number of Responses</w:t>
            </w:r>
          </w:p>
          <w:p w:rsidRPr="00CF033C" w:rsidR="0011159F" w:rsidP="00CF033C" w:rsidRDefault="0011159F" w14:paraId="3F978405" w14:textId="77777777">
            <w:pPr>
              <w:jc w:val="center"/>
              <w:rPr>
                <w:rFonts w:eastAsia="Calibri"/>
                <w:b/>
                <w:bCs/>
                <w:sz w:val="24"/>
                <w:szCs w:val="22"/>
              </w:rPr>
            </w:pPr>
            <w:r w:rsidRPr="00CF033C">
              <w:rPr>
                <w:rFonts w:eastAsia="Calibri"/>
                <w:b/>
                <w:bCs/>
                <w:sz w:val="24"/>
                <w:szCs w:val="22"/>
              </w:rPr>
              <w:t>(Column B X Column C)</w:t>
            </w:r>
          </w:p>
          <w:p w:rsidRPr="00CF033C" w:rsidR="0011159F" w:rsidP="00CF033C" w:rsidRDefault="0011159F" w14:paraId="32B09573" w14:textId="77777777">
            <w:pPr>
              <w:jc w:val="center"/>
              <w:rPr>
                <w:rFonts w:eastAsia="Calibri"/>
                <w:b/>
                <w:bCs/>
                <w:sz w:val="24"/>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BFBFBF"/>
          </w:tcPr>
          <w:p w:rsidRPr="00CF033C" w:rsidR="0011159F" w:rsidP="00CF033C" w:rsidRDefault="0011159F" w14:paraId="3B622A41" w14:textId="77777777">
            <w:pPr>
              <w:jc w:val="center"/>
              <w:rPr>
                <w:rFonts w:eastAsia="Calibri"/>
                <w:b/>
                <w:bCs/>
                <w:sz w:val="24"/>
                <w:szCs w:val="22"/>
              </w:rPr>
            </w:pPr>
            <w:r w:rsidRPr="00CF033C">
              <w:rPr>
                <w:rFonts w:eastAsia="Calibri"/>
                <w:b/>
                <w:bCs/>
                <w:sz w:val="24"/>
                <w:szCs w:val="22"/>
              </w:rPr>
              <w:t>E.</w:t>
            </w:r>
          </w:p>
          <w:p w:rsidRPr="00CF033C" w:rsidR="0011159F" w:rsidP="00CF033C" w:rsidRDefault="0011159F" w14:paraId="3FFBD269" w14:textId="77777777">
            <w:pPr>
              <w:jc w:val="center"/>
              <w:rPr>
                <w:rFonts w:eastAsia="Calibri"/>
                <w:b/>
                <w:bCs/>
                <w:sz w:val="24"/>
                <w:szCs w:val="22"/>
              </w:rPr>
            </w:pPr>
            <w:r w:rsidRPr="00CF033C">
              <w:rPr>
                <w:rFonts w:eastAsia="Calibri"/>
                <w:b/>
                <w:bCs/>
                <w:sz w:val="24"/>
                <w:szCs w:val="22"/>
              </w:rPr>
              <w:t>Average Burden Hours &amp; Cost per Response</w:t>
            </w:r>
          </w:p>
          <w:p w:rsidRPr="00CF033C" w:rsidR="0011159F" w:rsidP="00CF033C" w:rsidRDefault="0011159F" w14:paraId="3AC3D4F8" w14:textId="77777777">
            <w:pPr>
              <w:jc w:val="center"/>
              <w:rPr>
                <w:rFonts w:eastAsia="Calibri"/>
                <w:b/>
                <w:bCs/>
                <w:sz w:val="24"/>
                <w:szCs w:val="22"/>
              </w:rPr>
            </w:pPr>
          </w:p>
        </w:tc>
        <w:tc>
          <w:tcPr>
            <w:tcW w:w="2070" w:type="dxa"/>
            <w:tcBorders>
              <w:top w:val="single" w:color="auto" w:sz="4" w:space="0"/>
              <w:left w:val="single" w:color="auto" w:sz="4" w:space="0"/>
              <w:bottom w:val="single" w:color="auto" w:sz="4" w:space="0"/>
              <w:right w:val="single" w:color="auto" w:sz="4" w:space="0"/>
            </w:tcBorders>
            <w:shd w:val="clear" w:color="auto" w:fill="BFBFBF"/>
            <w:hideMark/>
          </w:tcPr>
          <w:p w:rsidRPr="00CF033C" w:rsidR="0011159F" w:rsidP="00CF033C" w:rsidRDefault="0011159F" w14:paraId="05CE0B3C" w14:textId="77777777">
            <w:pPr>
              <w:jc w:val="center"/>
              <w:rPr>
                <w:rFonts w:eastAsia="Calibri"/>
                <w:b/>
                <w:bCs/>
                <w:sz w:val="24"/>
                <w:szCs w:val="22"/>
              </w:rPr>
            </w:pPr>
            <w:r w:rsidRPr="00CF033C">
              <w:rPr>
                <w:rFonts w:eastAsia="Calibri"/>
                <w:b/>
                <w:bCs/>
                <w:sz w:val="24"/>
                <w:szCs w:val="22"/>
              </w:rPr>
              <w:t>F.</w:t>
            </w:r>
          </w:p>
          <w:p w:rsidRPr="00CF033C" w:rsidR="0011159F" w:rsidP="00CF033C" w:rsidRDefault="0011159F" w14:paraId="4C91A7CE" w14:textId="77777777">
            <w:pPr>
              <w:jc w:val="center"/>
              <w:rPr>
                <w:rFonts w:eastAsia="Calibri"/>
                <w:b/>
                <w:bCs/>
                <w:sz w:val="24"/>
                <w:szCs w:val="22"/>
              </w:rPr>
            </w:pPr>
            <w:r w:rsidRPr="00CF033C">
              <w:rPr>
                <w:rFonts w:eastAsia="Calibri"/>
                <w:b/>
                <w:bCs/>
                <w:sz w:val="24"/>
                <w:szCs w:val="22"/>
              </w:rPr>
              <w:t>Total Estimated Burden Hours &amp; Total Estimated Cost</w:t>
            </w:r>
          </w:p>
          <w:p w:rsidRPr="00CF033C" w:rsidR="0011159F" w:rsidP="00CF033C" w:rsidRDefault="0011159F" w14:paraId="0ADF6DB8" w14:textId="77777777">
            <w:pPr>
              <w:jc w:val="center"/>
              <w:rPr>
                <w:rFonts w:eastAsia="Calibri"/>
                <w:b/>
                <w:bCs/>
                <w:sz w:val="24"/>
                <w:szCs w:val="22"/>
              </w:rPr>
            </w:pPr>
            <w:r w:rsidRPr="00CF033C">
              <w:rPr>
                <w:rFonts w:eastAsia="Calibri"/>
                <w:b/>
                <w:bCs/>
                <w:sz w:val="24"/>
                <w:szCs w:val="22"/>
              </w:rPr>
              <w:t>(Column D x Column E)</w:t>
            </w:r>
          </w:p>
        </w:tc>
        <w:tc>
          <w:tcPr>
            <w:tcW w:w="1595" w:type="dxa"/>
            <w:tcBorders>
              <w:top w:val="single" w:color="auto" w:sz="4" w:space="0"/>
              <w:left w:val="single" w:color="auto" w:sz="4" w:space="0"/>
              <w:bottom w:val="single" w:color="auto" w:sz="4" w:space="0"/>
              <w:right w:val="single" w:color="auto" w:sz="4" w:space="0"/>
            </w:tcBorders>
            <w:shd w:val="clear" w:color="auto" w:fill="BFBFBF"/>
          </w:tcPr>
          <w:p w:rsidR="0011159F" w:rsidP="00CF033C" w:rsidRDefault="0011159F" w14:paraId="397103F2" w14:textId="77777777">
            <w:pPr>
              <w:jc w:val="center"/>
              <w:rPr>
                <w:rFonts w:eastAsia="Calibri"/>
                <w:b/>
                <w:bCs/>
                <w:sz w:val="24"/>
                <w:szCs w:val="22"/>
              </w:rPr>
            </w:pPr>
            <w:r>
              <w:rPr>
                <w:rFonts w:eastAsia="Calibri"/>
                <w:b/>
                <w:bCs/>
                <w:sz w:val="24"/>
                <w:szCs w:val="22"/>
              </w:rPr>
              <w:t xml:space="preserve">G. </w:t>
            </w:r>
          </w:p>
          <w:p w:rsidRPr="00CF033C" w:rsidR="0011159F" w:rsidP="00CF033C" w:rsidRDefault="0011159F" w14:paraId="691FA236" w14:textId="62DAC5CE">
            <w:pPr>
              <w:jc w:val="center"/>
              <w:rPr>
                <w:rFonts w:eastAsia="Calibri"/>
                <w:b/>
                <w:bCs/>
                <w:sz w:val="24"/>
                <w:szCs w:val="22"/>
              </w:rPr>
            </w:pPr>
            <w:r>
              <w:rPr>
                <w:rFonts w:eastAsia="Calibri"/>
                <w:b/>
                <w:bCs/>
                <w:sz w:val="24"/>
                <w:szCs w:val="22"/>
              </w:rPr>
              <w:t>Cost Per Respondent</w:t>
            </w:r>
            <w:r w:rsidR="00376751">
              <w:rPr>
                <w:rFonts w:eastAsia="Calibri"/>
                <w:b/>
                <w:bCs/>
                <w:sz w:val="24"/>
                <w:szCs w:val="22"/>
              </w:rPr>
              <w:t xml:space="preserve"> (Column E / Column B)</w:t>
            </w:r>
          </w:p>
        </w:tc>
      </w:tr>
      <w:tr w:rsidRPr="00CF033C" w:rsidR="0011159F" w:rsidTr="00D4792E" w14:paraId="0FF25127" w14:textId="7D9EE17B">
        <w:trPr>
          <w:trHeight w:val="197"/>
        </w:trPr>
        <w:tc>
          <w:tcPr>
            <w:tcW w:w="9520" w:type="dxa"/>
            <w:gridSpan w:val="6"/>
            <w:tcBorders>
              <w:top w:val="single" w:color="auto" w:sz="4" w:space="0"/>
              <w:left w:val="single" w:color="auto" w:sz="4" w:space="0"/>
              <w:bottom w:val="single" w:color="auto" w:sz="4" w:space="0"/>
              <w:right w:val="single" w:color="auto" w:sz="4" w:space="0"/>
            </w:tcBorders>
            <w:shd w:val="clear" w:color="auto" w:fill="BFBFBF"/>
            <w:vAlign w:val="center"/>
            <w:hideMark/>
          </w:tcPr>
          <w:p w:rsidRPr="00CF033C" w:rsidR="0011159F" w:rsidP="00CF033C" w:rsidRDefault="0011159F" w14:paraId="43BEF60E" w14:textId="77777777">
            <w:pPr>
              <w:jc w:val="center"/>
              <w:rPr>
                <w:rFonts w:eastAsia="Calibri"/>
                <w:b/>
                <w:bCs/>
                <w:sz w:val="24"/>
                <w:szCs w:val="22"/>
              </w:rPr>
            </w:pPr>
            <w:r w:rsidRPr="00CF033C">
              <w:rPr>
                <w:rFonts w:eastAsia="Calibri"/>
                <w:b/>
                <w:bCs/>
                <w:sz w:val="24"/>
                <w:szCs w:val="22"/>
              </w:rPr>
              <w:t>Section 4 Rate Case</w:t>
            </w:r>
          </w:p>
        </w:tc>
        <w:tc>
          <w:tcPr>
            <w:tcW w:w="1595" w:type="dxa"/>
            <w:tcBorders>
              <w:top w:val="single" w:color="auto" w:sz="4" w:space="0"/>
              <w:left w:val="single" w:color="auto" w:sz="4" w:space="0"/>
              <w:bottom w:val="single" w:color="auto" w:sz="4" w:space="0"/>
              <w:right w:val="single" w:color="auto" w:sz="4" w:space="0"/>
            </w:tcBorders>
            <w:shd w:val="clear" w:color="auto" w:fill="BFBFBF"/>
          </w:tcPr>
          <w:p w:rsidRPr="00CF033C" w:rsidR="0011159F" w:rsidP="00CF033C" w:rsidRDefault="0011159F" w14:paraId="533D3327" w14:textId="77777777">
            <w:pPr>
              <w:jc w:val="center"/>
              <w:rPr>
                <w:rFonts w:eastAsia="Calibri"/>
                <w:b/>
                <w:bCs/>
                <w:sz w:val="24"/>
                <w:szCs w:val="22"/>
              </w:rPr>
            </w:pPr>
          </w:p>
        </w:tc>
      </w:tr>
    </w:tbl>
    <w:tbl>
      <w:tblPr>
        <w:tblW w:w="11160" w:type="dxa"/>
        <w:tblInd w:w="-905" w:type="dxa"/>
        <w:tblLayout w:type="fixed"/>
        <w:tblLook w:val="04A0" w:firstRow="1" w:lastRow="0" w:firstColumn="1" w:lastColumn="0" w:noHBand="0" w:noVBand="1"/>
      </w:tblPr>
      <w:tblGrid>
        <w:gridCol w:w="1620"/>
        <w:gridCol w:w="1350"/>
        <w:gridCol w:w="1170"/>
        <w:gridCol w:w="1530"/>
        <w:gridCol w:w="1800"/>
        <w:gridCol w:w="2070"/>
        <w:gridCol w:w="1620"/>
      </w:tblGrid>
      <w:tr w:rsidRPr="00CF033C" w:rsidR="00376751" w:rsidTr="00D4792E" w14:paraId="083352F2" w14:textId="7FA9D396">
        <w:trPr>
          <w:trHeight w:val="1377"/>
        </w:trPr>
        <w:tc>
          <w:tcPr>
            <w:tcW w:w="1620" w:type="dxa"/>
            <w:tcBorders>
              <w:top w:val="nil"/>
              <w:left w:val="single" w:color="auto" w:sz="4" w:space="0"/>
              <w:bottom w:val="single" w:color="auto" w:sz="4" w:space="0"/>
              <w:right w:val="single" w:color="auto" w:sz="4" w:space="0"/>
            </w:tcBorders>
            <w:vAlign w:val="center"/>
            <w:hideMark/>
          </w:tcPr>
          <w:p w:rsidRPr="00CF033C" w:rsidR="00376751" w:rsidP="00CF033C" w:rsidRDefault="00376751" w14:paraId="5E200561" w14:textId="77777777">
            <w:pPr>
              <w:spacing w:after="160" w:line="256" w:lineRule="auto"/>
              <w:rPr>
                <w:color w:val="000000"/>
                <w:sz w:val="24"/>
                <w:szCs w:val="26"/>
              </w:rPr>
            </w:pPr>
            <w:r w:rsidRPr="00CF033C">
              <w:rPr>
                <w:color w:val="000000"/>
                <w:sz w:val="24"/>
                <w:szCs w:val="26"/>
              </w:rPr>
              <w:t>FERC 545: Annual Section 4 Rate Cases</w:t>
            </w:r>
          </w:p>
        </w:tc>
        <w:tc>
          <w:tcPr>
            <w:tcW w:w="1350" w:type="dxa"/>
            <w:tcBorders>
              <w:top w:val="nil"/>
              <w:left w:val="nil"/>
              <w:bottom w:val="single" w:color="auto" w:sz="4" w:space="0"/>
              <w:right w:val="single" w:color="auto" w:sz="4" w:space="0"/>
            </w:tcBorders>
            <w:vAlign w:val="center"/>
            <w:hideMark/>
          </w:tcPr>
          <w:p w:rsidRPr="00CF033C" w:rsidR="00376751" w:rsidP="00CF033C" w:rsidRDefault="00376751" w14:paraId="0D7B4DA2" w14:textId="77777777">
            <w:pPr>
              <w:spacing w:after="160" w:line="256" w:lineRule="auto"/>
              <w:jc w:val="right"/>
              <w:rPr>
                <w:color w:val="000000"/>
                <w:sz w:val="24"/>
                <w:szCs w:val="26"/>
              </w:rPr>
            </w:pPr>
            <w:r w:rsidRPr="00CF033C">
              <w:rPr>
                <w:color w:val="000000"/>
                <w:sz w:val="24"/>
                <w:szCs w:val="26"/>
              </w:rPr>
              <w:t>8</w:t>
            </w:r>
          </w:p>
        </w:tc>
        <w:tc>
          <w:tcPr>
            <w:tcW w:w="1170" w:type="dxa"/>
            <w:tcBorders>
              <w:top w:val="nil"/>
              <w:left w:val="nil"/>
              <w:bottom w:val="single" w:color="auto" w:sz="4" w:space="0"/>
              <w:right w:val="single" w:color="auto" w:sz="4" w:space="0"/>
            </w:tcBorders>
            <w:vAlign w:val="center"/>
            <w:hideMark/>
          </w:tcPr>
          <w:p w:rsidRPr="00CF033C" w:rsidR="00376751" w:rsidP="00CF033C" w:rsidRDefault="00376751" w14:paraId="4E5DE8D6" w14:textId="77777777">
            <w:pPr>
              <w:spacing w:after="160" w:line="256" w:lineRule="auto"/>
              <w:jc w:val="right"/>
              <w:rPr>
                <w:color w:val="000000"/>
                <w:sz w:val="24"/>
                <w:szCs w:val="26"/>
              </w:rPr>
            </w:pPr>
            <w:r w:rsidRPr="00CF033C">
              <w:rPr>
                <w:color w:val="000000"/>
                <w:sz w:val="24"/>
                <w:szCs w:val="26"/>
              </w:rPr>
              <w:t>1</w:t>
            </w:r>
          </w:p>
        </w:tc>
        <w:tc>
          <w:tcPr>
            <w:tcW w:w="1530" w:type="dxa"/>
            <w:tcBorders>
              <w:top w:val="nil"/>
              <w:left w:val="single" w:color="auto" w:sz="4" w:space="0"/>
              <w:bottom w:val="single" w:color="auto" w:sz="4" w:space="0"/>
              <w:right w:val="single" w:color="auto" w:sz="4" w:space="0"/>
            </w:tcBorders>
            <w:vAlign w:val="center"/>
            <w:hideMark/>
          </w:tcPr>
          <w:p w:rsidRPr="00CF033C" w:rsidR="00376751" w:rsidP="00CF033C" w:rsidRDefault="00376751" w14:paraId="03BA414C" w14:textId="77777777">
            <w:pPr>
              <w:spacing w:after="160" w:line="256" w:lineRule="auto"/>
              <w:jc w:val="right"/>
              <w:rPr>
                <w:color w:val="000000"/>
                <w:sz w:val="24"/>
                <w:szCs w:val="26"/>
              </w:rPr>
            </w:pPr>
            <w:r w:rsidRPr="00CF033C">
              <w:rPr>
                <w:color w:val="000000"/>
                <w:sz w:val="24"/>
                <w:szCs w:val="26"/>
              </w:rPr>
              <w:t>8</w:t>
            </w:r>
          </w:p>
        </w:tc>
        <w:tc>
          <w:tcPr>
            <w:tcW w:w="1800" w:type="dxa"/>
            <w:tcBorders>
              <w:top w:val="nil"/>
              <w:left w:val="nil"/>
              <w:bottom w:val="single" w:color="auto" w:sz="4" w:space="0"/>
              <w:right w:val="single" w:color="auto" w:sz="4" w:space="0"/>
            </w:tcBorders>
            <w:vAlign w:val="center"/>
            <w:hideMark/>
          </w:tcPr>
          <w:p w:rsidRPr="00CF033C" w:rsidR="00376751" w:rsidP="00CF033C" w:rsidRDefault="00376751" w14:paraId="1B67B523" w14:textId="77777777">
            <w:pPr>
              <w:spacing w:after="160" w:line="256" w:lineRule="auto"/>
              <w:jc w:val="right"/>
              <w:rPr>
                <w:color w:val="000000"/>
                <w:sz w:val="24"/>
                <w:szCs w:val="26"/>
              </w:rPr>
            </w:pPr>
            <w:r w:rsidRPr="00CF033C">
              <w:rPr>
                <w:color w:val="000000"/>
                <w:sz w:val="24"/>
                <w:szCs w:val="26"/>
              </w:rPr>
              <w:t>100 hours; $9,700</w:t>
            </w:r>
          </w:p>
        </w:tc>
        <w:tc>
          <w:tcPr>
            <w:tcW w:w="2070" w:type="dxa"/>
            <w:tcBorders>
              <w:top w:val="nil"/>
              <w:left w:val="nil"/>
              <w:bottom w:val="single" w:color="auto" w:sz="4" w:space="0"/>
              <w:right w:val="single" w:color="auto" w:sz="4" w:space="0"/>
            </w:tcBorders>
            <w:vAlign w:val="center"/>
            <w:hideMark/>
          </w:tcPr>
          <w:p w:rsidRPr="00CF033C" w:rsidR="00376751" w:rsidP="00CF033C" w:rsidRDefault="00376751" w14:paraId="749CBFDA" w14:textId="77777777">
            <w:pPr>
              <w:spacing w:line="256" w:lineRule="auto"/>
              <w:jc w:val="right"/>
              <w:rPr>
                <w:color w:val="000000"/>
                <w:sz w:val="24"/>
                <w:szCs w:val="26"/>
              </w:rPr>
            </w:pPr>
            <w:r w:rsidRPr="00CF033C">
              <w:rPr>
                <w:color w:val="000000"/>
                <w:sz w:val="24"/>
                <w:szCs w:val="26"/>
              </w:rPr>
              <w:t>800 hours;</w:t>
            </w:r>
          </w:p>
          <w:p w:rsidRPr="00CF033C" w:rsidR="00376751" w:rsidP="00CF033C" w:rsidRDefault="00376751" w14:paraId="3C78FA9E" w14:textId="77777777">
            <w:pPr>
              <w:spacing w:after="100" w:afterAutospacing="1" w:line="256" w:lineRule="auto"/>
              <w:jc w:val="right"/>
              <w:rPr>
                <w:color w:val="000000"/>
                <w:sz w:val="24"/>
                <w:szCs w:val="26"/>
              </w:rPr>
            </w:pPr>
            <w:r w:rsidRPr="00CF033C">
              <w:rPr>
                <w:color w:val="000000"/>
                <w:sz w:val="24"/>
                <w:szCs w:val="26"/>
              </w:rPr>
              <w:t>$77,600</w:t>
            </w:r>
          </w:p>
        </w:tc>
        <w:tc>
          <w:tcPr>
            <w:tcW w:w="1620" w:type="dxa"/>
            <w:tcBorders>
              <w:top w:val="nil"/>
              <w:left w:val="nil"/>
              <w:bottom w:val="single" w:color="auto" w:sz="4" w:space="0"/>
              <w:right w:val="single" w:color="auto" w:sz="4" w:space="0"/>
            </w:tcBorders>
            <w:vAlign w:val="center"/>
          </w:tcPr>
          <w:p w:rsidR="00376751" w:rsidP="00FA3FAC" w:rsidRDefault="00376751" w14:paraId="2A0D13A8" w14:textId="77777777">
            <w:pPr>
              <w:spacing w:line="256" w:lineRule="auto"/>
              <w:jc w:val="right"/>
              <w:rPr>
                <w:color w:val="000000"/>
                <w:sz w:val="24"/>
                <w:szCs w:val="26"/>
              </w:rPr>
            </w:pPr>
            <w:r>
              <w:rPr>
                <w:color w:val="000000"/>
                <w:sz w:val="24"/>
                <w:szCs w:val="26"/>
              </w:rPr>
              <w:t>100 hours;</w:t>
            </w:r>
          </w:p>
          <w:p w:rsidRPr="00CF033C" w:rsidR="00376751" w:rsidRDefault="00376751" w14:paraId="3127254B" w14:textId="51E79DFC">
            <w:pPr>
              <w:spacing w:line="256" w:lineRule="auto"/>
              <w:jc w:val="right"/>
              <w:rPr>
                <w:color w:val="000000"/>
                <w:sz w:val="24"/>
                <w:szCs w:val="26"/>
              </w:rPr>
            </w:pPr>
            <w:r>
              <w:rPr>
                <w:color w:val="000000"/>
                <w:sz w:val="24"/>
                <w:szCs w:val="26"/>
              </w:rPr>
              <w:t>$9,700</w:t>
            </w:r>
          </w:p>
        </w:tc>
      </w:tr>
    </w:tbl>
    <w:p w:rsidR="00CF033C" w:rsidP="007502D4" w:rsidRDefault="00CF033C" w14:paraId="1C2E7CF7" w14:textId="4E184E99"/>
    <w:tbl>
      <w:tblPr>
        <w:tblW w:w="5872" w:type="pct"/>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171"/>
        <w:gridCol w:w="1261"/>
        <w:gridCol w:w="1443"/>
        <w:gridCol w:w="1799"/>
        <w:gridCol w:w="2071"/>
        <w:gridCol w:w="1616"/>
      </w:tblGrid>
      <w:tr w:rsidRPr="00F33E3A" w:rsidR="00FA3FAC" w:rsidTr="0052272A" w14:paraId="4982D782" w14:textId="77777777">
        <w:trPr>
          <w:cantSplit/>
          <w:trHeight w:val="341"/>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D4792E" w:rsidRDefault="00FA3FAC" w14:paraId="27D5A0B4" w14:textId="14C2FB61">
            <w:pPr>
              <w:spacing w:line="256" w:lineRule="auto"/>
              <w:jc w:val="center"/>
              <w:rPr>
                <w:rFonts w:eastAsia="Calibri"/>
                <w:szCs w:val="26"/>
              </w:rPr>
            </w:pPr>
            <w:r w:rsidRPr="00F33E3A">
              <w:rPr>
                <w:rFonts w:eastAsia="Calibri"/>
                <w:b/>
                <w:szCs w:val="26"/>
              </w:rPr>
              <w:t>FERC-545: Gas Pipeline Rates: Rate Change (Non-Formal)</w:t>
            </w:r>
            <w:r w:rsidR="004C76B9">
              <w:rPr>
                <w:rFonts w:eastAsia="Calibri"/>
                <w:b/>
                <w:szCs w:val="26"/>
              </w:rPr>
              <w:t xml:space="preserve"> (No change)</w:t>
            </w:r>
          </w:p>
        </w:tc>
      </w:tr>
      <w:tr w:rsidRPr="00F33E3A" w:rsidR="000411FD" w:rsidTr="000411FD" w14:paraId="5A4461FE" w14:textId="77777777">
        <w:trPr>
          <w:cantSplit/>
          <w:trHeight w:val="962"/>
        </w:trPr>
        <w:tc>
          <w:tcPr>
            <w:tcW w:w="738"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6AB4" w:rsidRDefault="00FA3FAC" w14:paraId="26299787" w14:textId="77777777">
            <w:pPr>
              <w:spacing w:line="256" w:lineRule="auto"/>
              <w:rPr>
                <w:rFonts w:eastAsia="Calibri"/>
                <w:szCs w:val="26"/>
              </w:rPr>
            </w:pPr>
          </w:p>
        </w:tc>
        <w:tc>
          <w:tcPr>
            <w:tcW w:w="533"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6AB4" w:rsidRDefault="00FA3FAC" w14:paraId="24A6EC70" w14:textId="6AC7106D">
            <w:pPr>
              <w:tabs>
                <w:tab w:val="center" w:pos="657"/>
                <w:tab w:val="right" w:pos="1315"/>
              </w:tabs>
              <w:spacing w:line="256" w:lineRule="auto"/>
              <w:jc w:val="right"/>
              <w:rPr>
                <w:rFonts w:eastAsia="Calibri"/>
                <w:szCs w:val="26"/>
              </w:rPr>
            </w:pPr>
            <w:r w:rsidRPr="00F33E3A">
              <w:rPr>
                <w:rFonts w:eastAsia="Calibri"/>
                <w:b/>
                <w:szCs w:val="26"/>
              </w:rPr>
              <w:t>Number of Respondents</w:t>
            </w:r>
            <w:r w:rsidRPr="00F33E3A">
              <w:rPr>
                <w:rFonts w:eastAsia="Calibri"/>
                <w:b/>
                <w:szCs w:val="26"/>
              </w:rPr>
              <w:br/>
              <w:t>(1)</w:t>
            </w:r>
          </w:p>
        </w:tc>
        <w:tc>
          <w:tcPr>
            <w:tcW w:w="574"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3FAC" w:rsidRDefault="00FA3FAC" w14:paraId="5450303C" w14:textId="77777777">
            <w:pPr>
              <w:spacing w:line="256" w:lineRule="auto"/>
              <w:jc w:val="center"/>
              <w:rPr>
                <w:rFonts w:eastAsia="Calibri"/>
                <w:b/>
                <w:szCs w:val="26"/>
              </w:rPr>
            </w:pPr>
            <w:r w:rsidRPr="00F33E3A">
              <w:rPr>
                <w:rFonts w:eastAsia="Calibri"/>
                <w:b/>
                <w:szCs w:val="26"/>
              </w:rPr>
              <w:t>Average Number of Responses per Respondent</w:t>
            </w:r>
          </w:p>
          <w:p w:rsidRPr="00F33E3A" w:rsidR="00FA3FAC" w:rsidP="00FA3FAC" w:rsidRDefault="00FA3FAC" w14:paraId="32C948B9" w14:textId="23574C49">
            <w:pPr>
              <w:spacing w:line="256" w:lineRule="auto"/>
              <w:jc w:val="right"/>
              <w:rPr>
                <w:rFonts w:eastAsia="Calibri"/>
                <w:szCs w:val="26"/>
              </w:rPr>
            </w:pPr>
            <w:r w:rsidRPr="00F33E3A">
              <w:rPr>
                <w:rFonts w:eastAsia="Calibri"/>
                <w:b/>
                <w:szCs w:val="26"/>
              </w:rPr>
              <w:t>(2)</w:t>
            </w:r>
          </w:p>
        </w:tc>
        <w:tc>
          <w:tcPr>
            <w:tcW w:w="657"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6AB4" w:rsidRDefault="00FA3FAC" w14:paraId="6EF7B859" w14:textId="32AD665B">
            <w:pPr>
              <w:spacing w:line="256" w:lineRule="auto"/>
              <w:jc w:val="right"/>
              <w:rPr>
                <w:rFonts w:eastAsia="Calibri"/>
                <w:szCs w:val="26"/>
              </w:rPr>
            </w:pPr>
            <w:r w:rsidRPr="00F33E3A">
              <w:rPr>
                <w:rFonts w:eastAsia="Calibri"/>
                <w:b/>
                <w:szCs w:val="26"/>
              </w:rPr>
              <w:t>Total Number of Responses (1)*(2)=(3)</w:t>
            </w:r>
          </w:p>
        </w:tc>
        <w:tc>
          <w:tcPr>
            <w:tcW w:w="819"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3FAC" w:rsidRDefault="00FA3FAC" w14:paraId="1C963796" w14:textId="77777777">
            <w:pPr>
              <w:spacing w:line="256" w:lineRule="auto"/>
              <w:jc w:val="center"/>
              <w:rPr>
                <w:rFonts w:eastAsia="Calibri"/>
                <w:b/>
                <w:szCs w:val="26"/>
              </w:rPr>
            </w:pPr>
            <w:r w:rsidRPr="00F33E3A">
              <w:rPr>
                <w:rFonts w:eastAsia="Calibri"/>
                <w:b/>
                <w:szCs w:val="26"/>
              </w:rPr>
              <w:t>Average Burden &amp; Cost Per Response</w:t>
            </w:r>
            <w:r w:rsidRPr="00F33E3A">
              <w:rPr>
                <w:rFonts w:eastAsia="Calibri"/>
                <w:b/>
                <w:szCs w:val="26"/>
                <w:vertAlign w:val="superscript"/>
              </w:rPr>
              <w:footnoteReference w:id="6"/>
            </w:r>
          </w:p>
          <w:p w:rsidRPr="00F33E3A" w:rsidR="00FA3FAC" w:rsidP="00FA3FAC" w:rsidRDefault="00FA3FAC" w14:paraId="306811B0" w14:textId="49DF44FE">
            <w:pPr>
              <w:spacing w:line="256" w:lineRule="auto"/>
              <w:jc w:val="right"/>
              <w:rPr>
                <w:rFonts w:eastAsia="Calibri"/>
                <w:szCs w:val="26"/>
              </w:rPr>
            </w:pPr>
            <w:r w:rsidRPr="00F33E3A">
              <w:rPr>
                <w:rFonts w:eastAsia="Calibri"/>
                <w:b/>
                <w:szCs w:val="26"/>
              </w:rPr>
              <w:t>(4)</w:t>
            </w:r>
          </w:p>
        </w:tc>
        <w:tc>
          <w:tcPr>
            <w:tcW w:w="943"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262CA" w:rsidR="00FA3FAC" w:rsidP="00FA3FAC" w:rsidRDefault="00FA3FAC" w14:paraId="48F19442" w14:textId="77777777">
            <w:pPr>
              <w:spacing w:line="256" w:lineRule="auto"/>
              <w:jc w:val="center"/>
              <w:rPr>
                <w:rFonts w:eastAsia="Calibri"/>
                <w:b/>
                <w:szCs w:val="26"/>
              </w:rPr>
            </w:pPr>
            <w:r w:rsidRPr="000262CA">
              <w:rPr>
                <w:rFonts w:eastAsia="Calibri"/>
                <w:b/>
                <w:szCs w:val="26"/>
              </w:rPr>
              <w:t>Total Annual Burden Hours &amp; Total Annual Cost</w:t>
            </w:r>
          </w:p>
          <w:p w:rsidRPr="00F33E3A" w:rsidR="00FA3FAC" w:rsidP="00FA3FAC" w:rsidRDefault="00FA3FAC" w14:paraId="237B6162" w14:textId="76D186E8">
            <w:pPr>
              <w:spacing w:line="256" w:lineRule="auto"/>
              <w:jc w:val="right"/>
              <w:rPr>
                <w:rFonts w:eastAsia="Calibri"/>
                <w:szCs w:val="26"/>
              </w:rPr>
            </w:pPr>
            <w:r w:rsidRPr="000262CA">
              <w:rPr>
                <w:rFonts w:eastAsia="Calibri"/>
                <w:b/>
                <w:szCs w:val="26"/>
              </w:rPr>
              <w:t>(3)*(4)=(5)</w:t>
            </w:r>
          </w:p>
        </w:tc>
        <w:tc>
          <w:tcPr>
            <w:tcW w:w="73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33E3A" w:rsidR="00FA3FAC" w:rsidP="00FA3FAC" w:rsidRDefault="00FA3FAC" w14:paraId="4777058A" w14:textId="77777777">
            <w:pPr>
              <w:spacing w:line="256" w:lineRule="auto"/>
              <w:jc w:val="center"/>
              <w:rPr>
                <w:rFonts w:eastAsia="Calibri"/>
                <w:b/>
                <w:szCs w:val="26"/>
              </w:rPr>
            </w:pPr>
            <w:r w:rsidRPr="00F33E3A">
              <w:rPr>
                <w:rFonts w:eastAsia="Calibri"/>
                <w:b/>
                <w:szCs w:val="26"/>
              </w:rPr>
              <w:t>Cost per Respondent</w:t>
            </w:r>
          </w:p>
          <w:p w:rsidRPr="00F33E3A" w:rsidR="00FA3FAC" w:rsidP="00FA3FAC" w:rsidRDefault="00FA3FAC" w14:paraId="3C1C4A5D" w14:textId="77777777">
            <w:pPr>
              <w:spacing w:line="256" w:lineRule="auto"/>
              <w:jc w:val="center"/>
              <w:rPr>
                <w:rFonts w:eastAsia="Calibri"/>
                <w:b/>
                <w:szCs w:val="26"/>
              </w:rPr>
            </w:pPr>
            <w:r w:rsidRPr="00F33E3A">
              <w:rPr>
                <w:rFonts w:eastAsia="Calibri"/>
                <w:b/>
                <w:szCs w:val="26"/>
              </w:rPr>
              <w:t xml:space="preserve"> ($)</w:t>
            </w:r>
          </w:p>
          <w:p w:rsidRPr="00F33E3A" w:rsidR="00FA3FAC" w:rsidP="00FA3FAC" w:rsidRDefault="00FA3FAC" w14:paraId="4F53BB47" w14:textId="245D9359">
            <w:pPr>
              <w:spacing w:line="256" w:lineRule="auto"/>
              <w:jc w:val="right"/>
              <w:rPr>
                <w:rFonts w:eastAsia="Calibri"/>
                <w:szCs w:val="26"/>
              </w:rPr>
            </w:pPr>
            <w:r w:rsidRPr="00F33E3A">
              <w:rPr>
                <w:rFonts w:eastAsia="Calibri"/>
                <w:b/>
                <w:szCs w:val="26"/>
              </w:rPr>
              <w:t>(5)÷(1)</w:t>
            </w:r>
          </w:p>
        </w:tc>
      </w:tr>
      <w:tr w:rsidRPr="00F33E3A" w:rsidR="000411FD" w:rsidTr="0052272A" w14:paraId="02BB6CBB" w14:textId="77777777">
        <w:trPr>
          <w:cantSplit/>
          <w:trHeight w:val="962"/>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0E686E0E" w14:textId="77777777">
            <w:pPr>
              <w:spacing w:line="256" w:lineRule="auto"/>
              <w:rPr>
                <w:rFonts w:eastAsia="Calibri"/>
                <w:szCs w:val="26"/>
              </w:rPr>
            </w:pPr>
            <w:r w:rsidRPr="00F33E3A">
              <w:rPr>
                <w:rFonts w:eastAsia="Calibri"/>
                <w:szCs w:val="26"/>
              </w:rPr>
              <w:t>Tariff Filings</w:t>
            </w:r>
          </w:p>
        </w:tc>
        <w:tc>
          <w:tcPr>
            <w:tcW w:w="533" w:type="pct"/>
            <w:tcBorders>
              <w:top w:val="single" w:color="auto" w:sz="4" w:space="0"/>
              <w:left w:val="single" w:color="auto" w:sz="4" w:space="0"/>
              <w:bottom w:val="single" w:color="auto" w:sz="4" w:space="0"/>
              <w:right w:val="single" w:color="auto" w:sz="4" w:space="0"/>
            </w:tcBorders>
          </w:tcPr>
          <w:p w:rsidRPr="00F33E3A" w:rsidR="0013450D" w:rsidP="00FA6AB4" w:rsidRDefault="0013450D" w14:paraId="5752B72C" w14:textId="77777777">
            <w:pPr>
              <w:tabs>
                <w:tab w:val="center" w:pos="657"/>
                <w:tab w:val="right" w:pos="1315"/>
              </w:tabs>
              <w:spacing w:line="256" w:lineRule="auto"/>
              <w:jc w:val="right"/>
              <w:rPr>
                <w:rFonts w:eastAsia="Calibri"/>
                <w:szCs w:val="26"/>
              </w:rPr>
            </w:pPr>
            <w:r w:rsidRPr="00F33E3A">
              <w:rPr>
                <w:rFonts w:eastAsia="Calibri"/>
                <w:szCs w:val="26"/>
              </w:rPr>
              <w:t>109</w:t>
            </w:r>
          </w:p>
          <w:p w:rsidRPr="00F33E3A" w:rsidR="0013450D" w:rsidP="00FA6AB4" w:rsidRDefault="0013450D" w14:paraId="1B49F3A5" w14:textId="77777777">
            <w:pPr>
              <w:spacing w:line="256" w:lineRule="auto"/>
              <w:jc w:val="right"/>
              <w:rPr>
                <w:rFonts w:eastAsia="Calibri"/>
                <w:szCs w:val="26"/>
              </w:rPr>
            </w:pP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F14C08D" w14:textId="77777777">
            <w:pPr>
              <w:spacing w:line="256" w:lineRule="auto"/>
              <w:jc w:val="right"/>
              <w:rPr>
                <w:rFonts w:eastAsia="Calibri"/>
                <w:szCs w:val="26"/>
              </w:rPr>
            </w:pPr>
            <w:r w:rsidRPr="00F33E3A">
              <w:rPr>
                <w:rFonts w:eastAsia="Calibri"/>
                <w:szCs w:val="26"/>
              </w:rPr>
              <w:t>2.768</w:t>
            </w:r>
          </w:p>
        </w:tc>
        <w:tc>
          <w:tcPr>
            <w:tcW w:w="657"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A2BE997" w14:textId="77777777">
            <w:pPr>
              <w:spacing w:line="256" w:lineRule="auto"/>
              <w:jc w:val="right"/>
              <w:rPr>
                <w:rFonts w:eastAsia="Calibri"/>
                <w:szCs w:val="26"/>
              </w:rPr>
            </w:pPr>
            <w:r w:rsidRPr="00F33E3A">
              <w:rPr>
                <w:rFonts w:eastAsia="Calibri"/>
                <w:szCs w:val="26"/>
              </w:rPr>
              <w:t>301.712</w:t>
            </w:r>
          </w:p>
        </w:tc>
        <w:tc>
          <w:tcPr>
            <w:tcW w:w="819"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1AD362C" w14:textId="77777777">
            <w:pPr>
              <w:spacing w:line="256" w:lineRule="auto"/>
              <w:jc w:val="right"/>
              <w:rPr>
                <w:rFonts w:eastAsia="Calibri"/>
                <w:szCs w:val="26"/>
              </w:rPr>
            </w:pPr>
            <w:r w:rsidRPr="00F33E3A">
              <w:rPr>
                <w:rFonts w:eastAsia="Calibri"/>
                <w:szCs w:val="26"/>
              </w:rPr>
              <w:t>211 hrs.;</w:t>
            </w:r>
          </w:p>
          <w:p w:rsidRPr="00F33E3A" w:rsidR="0013450D" w:rsidP="00FA6AB4" w:rsidRDefault="0013450D" w14:paraId="4D041A8A" w14:textId="77777777">
            <w:pPr>
              <w:spacing w:line="256" w:lineRule="auto"/>
              <w:jc w:val="right"/>
              <w:rPr>
                <w:rFonts w:eastAsia="Calibri"/>
                <w:szCs w:val="26"/>
              </w:rPr>
            </w:pPr>
            <w:r w:rsidRPr="00F33E3A">
              <w:rPr>
                <w:rFonts w:eastAsia="Calibri"/>
                <w:szCs w:val="26"/>
              </w:rPr>
              <w:t>$20,467</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317AF0D5" w14:textId="77777777">
            <w:pPr>
              <w:spacing w:line="256" w:lineRule="auto"/>
              <w:jc w:val="right"/>
              <w:rPr>
                <w:rFonts w:eastAsia="Calibri"/>
                <w:szCs w:val="26"/>
              </w:rPr>
            </w:pPr>
            <w:r w:rsidRPr="00F33E3A">
              <w:rPr>
                <w:rFonts w:eastAsia="Calibri"/>
                <w:szCs w:val="26"/>
              </w:rPr>
              <w:t>63,661.232 hrs.;</w:t>
            </w:r>
          </w:p>
          <w:p w:rsidRPr="00F33E3A" w:rsidR="0013450D" w:rsidP="00FA6AB4" w:rsidRDefault="0013450D" w14:paraId="5475E6E8" w14:textId="77777777">
            <w:pPr>
              <w:spacing w:line="256" w:lineRule="auto"/>
              <w:jc w:val="right"/>
              <w:rPr>
                <w:rFonts w:eastAsia="Calibri"/>
                <w:szCs w:val="26"/>
              </w:rPr>
            </w:pPr>
            <w:r w:rsidRPr="00F33E3A">
              <w:rPr>
                <w:rFonts w:eastAsia="Calibri"/>
                <w:szCs w:val="26"/>
              </w:rPr>
              <w:t>$6,175,139.50</w:t>
            </w:r>
          </w:p>
        </w:tc>
        <w:tc>
          <w:tcPr>
            <w:tcW w:w="736"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4A282FB7" w14:textId="77777777">
            <w:pPr>
              <w:spacing w:line="256" w:lineRule="auto"/>
              <w:jc w:val="right"/>
              <w:rPr>
                <w:rFonts w:eastAsia="Calibri"/>
                <w:szCs w:val="26"/>
              </w:rPr>
            </w:pPr>
            <w:r w:rsidRPr="00F33E3A">
              <w:rPr>
                <w:rFonts w:eastAsia="Calibri"/>
                <w:szCs w:val="26"/>
              </w:rPr>
              <w:t>$56,652.66</w:t>
            </w:r>
          </w:p>
        </w:tc>
      </w:tr>
      <w:tr w:rsidRPr="00F33E3A" w:rsidR="000411FD" w:rsidTr="0052272A" w14:paraId="79B003F2" w14:textId="77777777">
        <w:trPr>
          <w:cantSplit/>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B46EEF7" w14:textId="77777777">
            <w:pPr>
              <w:spacing w:line="256" w:lineRule="auto"/>
              <w:rPr>
                <w:rFonts w:eastAsia="Calibri"/>
                <w:szCs w:val="26"/>
              </w:rPr>
            </w:pPr>
            <w:r w:rsidRPr="00F33E3A">
              <w:rPr>
                <w:rFonts w:eastAsia="Calibri"/>
                <w:szCs w:val="26"/>
              </w:rPr>
              <w:t>Rate Filings</w:t>
            </w:r>
          </w:p>
        </w:tc>
        <w:tc>
          <w:tcPr>
            <w:tcW w:w="53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1B4A59F1" w14:textId="77777777">
            <w:pPr>
              <w:tabs>
                <w:tab w:val="center" w:pos="657"/>
                <w:tab w:val="right" w:pos="1315"/>
              </w:tabs>
              <w:spacing w:line="256" w:lineRule="auto"/>
              <w:jc w:val="right"/>
              <w:rPr>
                <w:rFonts w:eastAsia="Calibri"/>
                <w:szCs w:val="26"/>
              </w:rPr>
            </w:pPr>
            <w:r w:rsidRPr="00F33E3A">
              <w:rPr>
                <w:rFonts w:eastAsia="Calibri"/>
                <w:szCs w:val="26"/>
              </w:rPr>
              <w:t>32</w:t>
            </w: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0E6945CD" w14:textId="77777777">
            <w:pPr>
              <w:spacing w:line="256" w:lineRule="auto"/>
              <w:jc w:val="right"/>
              <w:rPr>
                <w:rFonts w:eastAsia="Calibri"/>
                <w:szCs w:val="26"/>
              </w:rPr>
            </w:pPr>
            <w:r w:rsidRPr="00F33E3A">
              <w:rPr>
                <w:rFonts w:eastAsia="Calibri"/>
                <w:szCs w:val="26"/>
              </w:rPr>
              <w:t>2</w:t>
            </w:r>
          </w:p>
        </w:tc>
        <w:tc>
          <w:tcPr>
            <w:tcW w:w="657"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7A77561" w14:textId="77777777">
            <w:pPr>
              <w:spacing w:line="256" w:lineRule="auto"/>
              <w:jc w:val="right"/>
              <w:rPr>
                <w:rFonts w:eastAsia="Calibri"/>
                <w:szCs w:val="26"/>
              </w:rPr>
            </w:pPr>
            <w:r w:rsidRPr="00F33E3A">
              <w:rPr>
                <w:rFonts w:eastAsia="Calibri"/>
                <w:szCs w:val="26"/>
              </w:rPr>
              <w:t>64</w:t>
            </w:r>
          </w:p>
        </w:tc>
        <w:tc>
          <w:tcPr>
            <w:tcW w:w="819"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E4EF502" w14:textId="77777777">
            <w:pPr>
              <w:spacing w:line="256" w:lineRule="auto"/>
              <w:jc w:val="right"/>
              <w:rPr>
                <w:rFonts w:eastAsia="Calibri"/>
                <w:szCs w:val="26"/>
              </w:rPr>
            </w:pPr>
            <w:r w:rsidRPr="00F33E3A">
              <w:rPr>
                <w:rFonts w:eastAsia="Calibri"/>
                <w:szCs w:val="26"/>
              </w:rPr>
              <w:t>354 hrs.;</w:t>
            </w:r>
          </w:p>
          <w:p w:rsidRPr="00F33E3A" w:rsidR="0013450D" w:rsidP="00FA6AB4" w:rsidRDefault="0013450D" w14:paraId="661A47C8" w14:textId="77777777">
            <w:pPr>
              <w:spacing w:line="256" w:lineRule="auto"/>
              <w:jc w:val="right"/>
              <w:rPr>
                <w:rFonts w:eastAsia="Calibri"/>
                <w:szCs w:val="26"/>
              </w:rPr>
            </w:pPr>
            <w:r w:rsidRPr="00F33E3A">
              <w:rPr>
                <w:rFonts w:eastAsia="Calibri"/>
                <w:szCs w:val="26"/>
              </w:rPr>
              <w:t>$34,338</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1940BFD1" w14:textId="77777777">
            <w:pPr>
              <w:spacing w:line="256" w:lineRule="auto"/>
              <w:jc w:val="right"/>
              <w:rPr>
                <w:rFonts w:eastAsia="Calibri"/>
                <w:szCs w:val="26"/>
              </w:rPr>
            </w:pPr>
            <w:r w:rsidRPr="00F33E3A">
              <w:rPr>
                <w:rFonts w:eastAsia="Calibri"/>
                <w:szCs w:val="26"/>
              </w:rPr>
              <w:t>22,656 hrs.;</w:t>
            </w:r>
          </w:p>
          <w:p w:rsidRPr="00F33E3A" w:rsidR="0013450D" w:rsidP="00FA6AB4" w:rsidRDefault="0013450D" w14:paraId="640B6793" w14:textId="77777777">
            <w:pPr>
              <w:spacing w:line="256" w:lineRule="auto"/>
              <w:jc w:val="right"/>
              <w:rPr>
                <w:rFonts w:eastAsia="Calibri"/>
                <w:szCs w:val="26"/>
              </w:rPr>
            </w:pPr>
            <w:r w:rsidRPr="00F33E3A">
              <w:rPr>
                <w:rFonts w:eastAsia="Calibri"/>
                <w:szCs w:val="26"/>
              </w:rPr>
              <w:t>$2,197,632</w:t>
            </w:r>
          </w:p>
        </w:tc>
        <w:tc>
          <w:tcPr>
            <w:tcW w:w="736"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24916A84" w14:textId="77777777">
            <w:pPr>
              <w:spacing w:line="256" w:lineRule="auto"/>
              <w:jc w:val="right"/>
              <w:rPr>
                <w:rFonts w:eastAsia="Calibri"/>
                <w:szCs w:val="26"/>
              </w:rPr>
            </w:pPr>
            <w:r w:rsidRPr="00F33E3A">
              <w:rPr>
                <w:rFonts w:eastAsia="Calibri"/>
                <w:szCs w:val="26"/>
              </w:rPr>
              <w:t>$</w:t>
            </w:r>
            <w:r>
              <w:rPr>
                <w:rFonts w:eastAsia="Calibri"/>
                <w:szCs w:val="26"/>
              </w:rPr>
              <w:t>68,676</w:t>
            </w:r>
            <w:r w:rsidRPr="00F33E3A">
              <w:rPr>
                <w:rFonts w:eastAsia="Calibri"/>
                <w:szCs w:val="26"/>
              </w:rPr>
              <w:t xml:space="preserve"> </w:t>
            </w:r>
          </w:p>
        </w:tc>
      </w:tr>
      <w:tr w:rsidRPr="00F33E3A" w:rsidR="000411FD" w:rsidTr="0052272A" w14:paraId="2B2A19B1" w14:textId="77777777">
        <w:trPr>
          <w:cantSplit/>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0944B61" w14:textId="77777777">
            <w:pPr>
              <w:spacing w:line="256" w:lineRule="auto"/>
              <w:rPr>
                <w:rFonts w:eastAsia="Calibri"/>
                <w:szCs w:val="26"/>
              </w:rPr>
            </w:pPr>
            <w:r w:rsidRPr="00F33E3A">
              <w:rPr>
                <w:rFonts w:eastAsia="Calibri"/>
                <w:szCs w:val="26"/>
              </w:rPr>
              <w:t>Informational Reports</w:t>
            </w:r>
          </w:p>
        </w:tc>
        <w:tc>
          <w:tcPr>
            <w:tcW w:w="53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041CBACF" w14:textId="77777777">
            <w:pPr>
              <w:spacing w:line="256" w:lineRule="auto"/>
              <w:jc w:val="right"/>
              <w:rPr>
                <w:rFonts w:eastAsia="Calibri"/>
                <w:szCs w:val="26"/>
              </w:rPr>
            </w:pPr>
            <w:r w:rsidRPr="00F33E3A">
              <w:rPr>
                <w:rFonts w:eastAsia="Calibri"/>
                <w:szCs w:val="26"/>
              </w:rPr>
              <w:t>100</w:t>
            </w: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D374055" w14:textId="77777777">
            <w:pPr>
              <w:spacing w:line="256" w:lineRule="auto"/>
              <w:jc w:val="right"/>
              <w:rPr>
                <w:rFonts w:eastAsia="Calibri"/>
                <w:szCs w:val="26"/>
              </w:rPr>
            </w:pPr>
            <w:r w:rsidRPr="00F33E3A">
              <w:rPr>
                <w:rFonts w:eastAsia="Calibri"/>
                <w:szCs w:val="26"/>
              </w:rPr>
              <w:t>1.770</w:t>
            </w:r>
          </w:p>
        </w:tc>
        <w:tc>
          <w:tcPr>
            <w:tcW w:w="657"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2BABF25E" w14:textId="77777777">
            <w:pPr>
              <w:spacing w:line="256" w:lineRule="auto"/>
              <w:jc w:val="right"/>
              <w:rPr>
                <w:rFonts w:eastAsia="Calibri"/>
                <w:szCs w:val="26"/>
              </w:rPr>
            </w:pPr>
            <w:r w:rsidRPr="00F33E3A">
              <w:rPr>
                <w:rFonts w:eastAsia="Calibri"/>
                <w:szCs w:val="26"/>
              </w:rPr>
              <w:t>177</w:t>
            </w:r>
          </w:p>
        </w:tc>
        <w:tc>
          <w:tcPr>
            <w:tcW w:w="819"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E7DD2CA" w14:textId="77777777">
            <w:pPr>
              <w:spacing w:line="256" w:lineRule="auto"/>
              <w:jc w:val="right"/>
              <w:rPr>
                <w:rFonts w:eastAsia="Calibri"/>
                <w:szCs w:val="26"/>
              </w:rPr>
            </w:pPr>
            <w:r w:rsidRPr="00F33E3A">
              <w:rPr>
                <w:rFonts w:eastAsia="Calibri"/>
                <w:szCs w:val="26"/>
              </w:rPr>
              <w:t>235 hrs.;</w:t>
            </w:r>
          </w:p>
          <w:p w:rsidRPr="00F33E3A" w:rsidR="0013450D" w:rsidP="00FA6AB4" w:rsidRDefault="0013450D" w14:paraId="3C0C9CFF" w14:textId="77777777">
            <w:pPr>
              <w:spacing w:line="256" w:lineRule="auto"/>
              <w:jc w:val="right"/>
              <w:rPr>
                <w:rFonts w:eastAsia="Calibri"/>
                <w:szCs w:val="26"/>
              </w:rPr>
            </w:pPr>
            <w:r w:rsidRPr="00F33E3A">
              <w:rPr>
                <w:rFonts w:eastAsia="Calibri"/>
                <w:szCs w:val="26"/>
              </w:rPr>
              <w:t>$22,795</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4AEFC82A" w14:textId="77777777">
            <w:pPr>
              <w:spacing w:line="256" w:lineRule="auto"/>
              <w:jc w:val="right"/>
              <w:rPr>
                <w:rFonts w:eastAsia="Calibri"/>
                <w:szCs w:val="26"/>
              </w:rPr>
            </w:pPr>
            <w:r w:rsidRPr="00F33E3A">
              <w:rPr>
                <w:rFonts w:eastAsia="Calibri"/>
                <w:szCs w:val="26"/>
              </w:rPr>
              <w:t>41,595 hrs.;</w:t>
            </w:r>
          </w:p>
          <w:p w:rsidRPr="00F33E3A" w:rsidR="0013450D" w:rsidP="00FA6AB4" w:rsidRDefault="0013450D" w14:paraId="6BDED1D1" w14:textId="77777777">
            <w:pPr>
              <w:spacing w:line="256" w:lineRule="auto"/>
              <w:jc w:val="right"/>
              <w:rPr>
                <w:rFonts w:eastAsia="Calibri"/>
                <w:szCs w:val="26"/>
              </w:rPr>
            </w:pPr>
            <w:r w:rsidRPr="00F33E3A">
              <w:rPr>
                <w:rFonts w:eastAsia="Calibri"/>
                <w:szCs w:val="26"/>
              </w:rPr>
              <w:t>$4,034,715</w:t>
            </w:r>
          </w:p>
        </w:tc>
        <w:tc>
          <w:tcPr>
            <w:tcW w:w="736"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E24219B" w14:textId="77777777">
            <w:pPr>
              <w:spacing w:line="256" w:lineRule="auto"/>
              <w:jc w:val="right"/>
              <w:rPr>
                <w:rFonts w:eastAsia="Calibri"/>
                <w:szCs w:val="26"/>
              </w:rPr>
            </w:pPr>
            <w:r w:rsidRPr="00F33E3A">
              <w:rPr>
                <w:rFonts w:eastAsia="Calibri"/>
                <w:szCs w:val="26"/>
              </w:rPr>
              <w:t>$40,347.15</w:t>
            </w:r>
          </w:p>
        </w:tc>
      </w:tr>
      <w:tr w:rsidRPr="00F33E3A" w:rsidR="000411FD" w:rsidTr="0052272A" w14:paraId="796F353A" w14:textId="77777777">
        <w:trPr>
          <w:cantSplit/>
          <w:trHeight w:val="485"/>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092861BD" w14:textId="77777777">
            <w:pPr>
              <w:spacing w:line="256" w:lineRule="auto"/>
              <w:rPr>
                <w:rFonts w:eastAsia="Calibri"/>
                <w:szCs w:val="26"/>
              </w:rPr>
            </w:pPr>
            <w:r w:rsidRPr="00F33E3A">
              <w:rPr>
                <w:rFonts w:eastAsia="Calibri"/>
                <w:szCs w:val="26"/>
              </w:rPr>
              <w:t>Negotiated Rates &amp; Non-Conforming Agreement Filings</w:t>
            </w:r>
          </w:p>
        </w:tc>
        <w:tc>
          <w:tcPr>
            <w:tcW w:w="53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D3A393E" w14:textId="77777777">
            <w:pPr>
              <w:spacing w:line="256" w:lineRule="auto"/>
              <w:jc w:val="right"/>
              <w:rPr>
                <w:rFonts w:eastAsia="Calibri"/>
                <w:szCs w:val="26"/>
              </w:rPr>
            </w:pPr>
            <w:r w:rsidRPr="00F33E3A">
              <w:rPr>
                <w:rFonts w:eastAsia="Calibri"/>
                <w:szCs w:val="26"/>
              </w:rPr>
              <w:t>69</w:t>
            </w: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DB2F875" w14:textId="77777777">
            <w:pPr>
              <w:spacing w:line="256" w:lineRule="auto"/>
              <w:jc w:val="right"/>
              <w:rPr>
                <w:rFonts w:eastAsia="Calibri"/>
                <w:szCs w:val="26"/>
              </w:rPr>
            </w:pPr>
            <w:r w:rsidRPr="00F33E3A">
              <w:rPr>
                <w:rFonts w:eastAsia="Calibri"/>
                <w:szCs w:val="26"/>
              </w:rPr>
              <w:t>11</w:t>
            </w:r>
          </w:p>
        </w:tc>
        <w:tc>
          <w:tcPr>
            <w:tcW w:w="657"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05F280F1" w14:textId="77777777">
            <w:pPr>
              <w:spacing w:line="256" w:lineRule="auto"/>
              <w:jc w:val="right"/>
              <w:rPr>
                <w:rFonts w:eastAsia="Calibri"/>
                <w:szCs w:val="26"/>
              </w:rPr>
            </w:pPr>
            <w:r w:rsidRPr="00F33E3A">
              <w:rPr>
                <w:rFonts w:eastAsia="Calibri"/>
                <w:szCs w:val="26"/>
              </w:rPr>
              <w:t>759</w:t>
            </w:r>
          </w:p>
        </w:tc>
        <w:tc>
          <w:tcPr>
            <w:tcW w:w="819"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43494856" w14:textId="77777777">
            <w:pPr>
              <w:spacing w:line="256" w:lineRule="auto"/>
              <w:jc w:val="right"/>
              <w:rPr>
                <w:rFonts w:eastAsia="Calibri"/>
                <w:szCs w:val="26"/>
              </w:rPr>
            </w:pPr>
            <w:r w:rsidRPr="00F33E3A">
              <w:rPr>
                <w:rFonts w:eastAsia="Calibri"/>
                <w:szCs w:val="26"/>
              </w:rPr>
              <w:t>233 hrs.;</w:t>
            </w:r>
          </w:p>
          <w:p w:rsidRPr="00F33E3A" w:rsidR="0013450D" w:rsidP="00FA6AB4" w:rsidRDefault="0013450D" w14:paraId="6D68DA37" w14:textId="77777777">
            <w:pPr>
              <w:spacing w:line="256" w:lineRule="auto"/>
              <w:jc w:val="right"/>
              <w:rPr>
                <w:rFonts w:eastAsia="Calibri"/>
                <w:szCs w:val="26"/>
              </w:rPr>
            </w:pPr>
            <w:r w:rsidRPr="00F33E3A">
              <w:rPr>
                <w:rFonts w:eastAsia="Calibri"/>
                <w:szCs w:val="26"/>
              </w:rPr>
              <w:t>$22,601</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A885B0D" w14:textId="77777777">
            <w:pPr>
              <w:spacing w:line="256" w:lineRule="auto"/>
              <w:jc w:val="right"/>
              <w:rPr>
                <w:rFonts w:eastAsia="Calibri"/>
                <w:szCs w:val="26"/>
              </w:rPr>
            </w:pPr>
            <w:r w:rsidRPr="00F33E3A">
              <w:rPr>
                <w:rFonts w:eastAsia="Calibri"/>
                <w:szCs w:val="26"/>
              </w:rPr>
              <w:t>176,847 hrs.;</w:t>
            </w:r>
          </w:p>
          <w:p w:rsidRPr="00F33E3A" w:rsidR="0013450D" w:rsidP="00FA6AB4" w:rsidRDefault="0013450D" w14:paraId="0C19F14B" w14:textId="77777777">
            <w:pPr>
              <w:spacing w:line="256" w:lineRule="auto"/>
              <w:jc w:val="right"/>
              <w:rPr>
                <w:rFonts w:eastAsia="Calibri"/>
                <w:szCs w:val="26"/>
              </w:rPr>
            </w:pPr>
            <w:r w:rsidRPr="00F33E3A">
              <w:rPr>
                <w:rFonts w:eastAsia="Calibri"/>
                <w:szCs w:val="26"/>
              </w:rPr>
              <w:t>$17,154,159</w:t>
            </w:r>
          </w:p>
        </w:tc>
        <w:tc>
          <w:tcPr>
            <w:tcW w:w="736"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A4A8F7B" w14:textId="77777777">
            <w:pPr>
              <w:spacing w:line="256" w:lineRule="auto"/>
              <w:jc w:val="right"/>
              <w:rPr>
                <w:rFonts w:eastAsia="Calibri"/>
                <w:szCs w:val="26"/>
              </w:rPr>
            </w:pPr>
            <w:r w:rsidRPr="00F33E3A">
              <w:rPr>
                <w:rFonts w:eastAsia="Calibri"/>
                <w:szCs w:val="26"/>
              </w:rPr>
              <w:t>$248,611</w:t>
            </w:r>
          </w:p>
        </w:tc>
      </w:tr>
      <w:tr w:rsidRPr="00F33E3A" w:rsidR="000411FD" w:rsidTr="0052272A" w14:paraId="36337DE1" w14:textId="77777777">
        <w:trPr>
          <w:cantSplit/>
          <w:trHeight w:val="485"/>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3A59E037" w14:textId="77777777">
            <w:pPr>
              <w:spacing w:line="256" w:lineRule="auto"/>
              <w:rPr>
                <w:rFonts w:eastAsia="Calibri"/>
                <w:szCs w:val="26"/>
              </w:rPr>
            </w:pPr>
            <w:r w:rsidRPr="00F33E3A">
              <w:rPr>
                <w:rFonts w:eastAsia="Calibri"/>
                <w:szCs w:val="26"/>
              </w:rPr>
              <w:t>Market-Base Rates for Storage Filings</w:t>
            </w:r>
          </w:p>
        </w:tc>
        <w:tc>
          <w:tcPr>
            <w:tcW w:w="53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24FB786C" w14:textId="77777777">
            <w:pPr>
              <w:spacing w:line="256" w:lineRule="auto"/>
              <w:jc w:val="right"/>
              <w:rPr>
                <w:rFonts w:eastAsia="Calibri"/>
                <w:szCs w:val="26"/>
              </w:rPr>
            </w:pPr>
            <w:r w:rsidRPr="00F33E3A">
              <w:rPr>
                <w:rFonts w:eastAsia="Calibri"/>
                <w:szCs w:val="26"/>
              </w:rPr>
              <w:t>2</w:t>
            </w: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E4783ED" w14:textId="77777777">
            <w:pPr>
              <w:spacing w:line="256" w:lineRule="auto"/>
              <w:jc w:val="right"/>
              <w:rPr>
                <w:rFonts w:eastAsia="Calibri"/>
                <w:szCs w:val="26"/>
              </w:rPr>
            </w:pPr>
            <w:r w:rsidRPr="00F33E3A">
              <w:rPr>
                <w:rFonts w:eastAsia="Calibri"/>
                <w:szCs w:val="26"/>
              </w:rPr>
              <w:t>1</w:t>
            </w:r>
          </w:p>
        </w:tc>
        <w:tc>
          <w:tcPr>
            <w:tcW w:w="657"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89CF9E1" w14:textId="77777777">
            <w:pPr>
              <w:spacing w:line="256" w:lineRule="auto"/>
              <w:jc w:val="right"/>
              <w:rPr>
                <w:rFonts w:eastAsia="Calibri"/>
                <w:szCs w:val="26"/>
              </w:rPr>
            </w:pPr>
            <w:r w:rsidRPr="00F33E3A">
              <w:rPr>
                <w:rFonts w:eastAsia="Calibri"/>
                <w:szCs w:val="26"/>
              </w:rPr>
              <w:t>2</w:t>
            </w:r>
          </w:p>
        </w:tc>
        <w:tc>
          <w:tcPr>
            <w:tcW w:w="819"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392B2453" w14:textId="77777777">
            <w:pPr>
              <w:spacing w:line="256" w:lineRule="auto"/>
              <w:jc w:val="right"/>
              <w:rPr>
                <w:rFonts w:eastAsia="Calibri"/>
                <w:szCs w:val="26"/>
              </w:rPr>
            </w:pPr>
            <w:r w:rsidRPr="00F33E3A">
              <w:rPr>
                <w:rFonts w:eastAsia="Calibri"/>
                <w:szCs w:val="26"/>
              </w:rPr>
              <w:t>230 hrs.;</w:t>
            </w:r>
          </w:p>
          <w:p w:rsidRPr="00F33E3A" w:rsidR="0013450D" w:rsidP="00FA6AB4" w:rsidRDefault="0013450D" w14:paraId="471D5A18" w14:textId="77777777">
            <w:pPr>
              <w:spacing w:line="256" w:lineRule="auto"/>
              <w:jc w:val="right"/>
              <w:rPr>
                <w:rFonts w:eastAsia="Calibri"/>
                <w:szCs w:val="26"/>
              </w:rPr>
            </w:pPr>
            <w:r w:rsidRPr="00F33E3A">
              <w:rPr>
                <w:rFonts w:eastAsia="Calibri"/>
                <w:szCs w:val="26"/>
              </w:rPr>
              <w:t>$22,310</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4C1631AB" w14:textId="77777777">
            <w:pPr>
              <w:spacing w:line="256" w:lineRule="auto"/>
              <w:jc w:val="right"/>
              <w:rPr>
                <w:rFonts w:eastAsia="Calibri"/>
                <w:szCs w:val="26"/>
              </w:rPr>
            </w:pPr>
            <w:r w:rsidRPr="00F33E3A">
              <w:rPr>
                <w:rFonts w:eastAsia="Calibri"/>
                <w:szCs w:val="26"/>
              </w:rPr>
              <w:t>460 hrs.;</w:t>
            </w:r>
          </w:p>
          <w:p w:rsidRPr="00F33E3A" w:rsidR="0013450D" w:rsidP="00FA6AB4" w:rsidRDefault="0013450D" w14:paraId="0A7C5CFE" w14:textId="77777777">
            <w:pPr>
              <w:spacing w:line="256" w:lineRule="auto"/>
              <w:jc w:val="right"/>
              <w:rPr>
                <w:rFonts w:eastAsia="Calibri"/>
                <w:szCs w:val="26"/>
              </w:rPr>
            </w:pPr>
            <w:r w:rsidRPr="00F33E3A">
              <w:rPr>
                <w:rFonts w:eastAsia="Calibri"/>
                <w:szCs w:val="26"/>
              </w:rPr>
              <w:t>$44,620</w:t>
            </w:r>
          </w:p>
        </w:tc>
        <w:tc>
          <w:tcPr>
            <w:tcW w:w="736"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60083704" w14:textId="77777777">
            <w:pPr>
              <w:spacing w:line="256" w:lineRule="auto"/>
              <w:jc w:val="right"/>
              <w:rPr>
                <w:rFonts w:eastAsia="Calibri"/>
                <w:szCs w:val="26"/>
              </w:rPr>
            </w:pPr>
            <w:r w:rsidRPr="00F33E3A">
              <w:rPr>
                <w:rFonts w:eastAsia="Calibri"/>
                <w:szCs w:val="26"/>
              </w:rPr>
              <w:t>$22,310</w:t>
            </w:r>
          </w:p>
        </w:tc>
      </w:tr>
      <w:tr w:rsidRPr="00F33E3A" w:rsidR="000411FD" w:rsidTr="0052272A" w14:paraId="58ACCC56" w14:textId="77777777">
        <w:trPr>
          <w:cantSplit/>
          <w:trHeight w:val="485"/>
        </w:trPr>
        <w:tc>
          <w:tcPr>
            <w:tcW w:w="738"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7070EA04" w14:textId="77777777">
            <w:pPr>
              <w:spacing w:line="256" w:lineRule="auto"/>
              <w:rPr>
                <w:rFonts w:eastAsia="Calibri"/>
                <w:szCs w:val="26"/>
              </w:rPr>
            </w:pPr>
            <w:r w:rsidRPr="00F33E3A">
              <w:rPr>
                <w:rFonts w:eastAsia="Calibri"/>
                <w:szCs w:val="26"/>
              </w:rPr>
              <w:t>NAESB (version 3.2) one time over 3 years carried over from RM96-1-42</w:t>
            </w:r>
            <w:r w:rsidRPr="00F33E3A">
              <w:rPr>
                <w:rStyle w:val="FootnoteReference"/>
                <w:rFonts w:eastAsia="Calibri"/>
              </w:rPr>
              <w:footnoteReference w:id="7"/>
            </w:r>
          </w:p>
        </w:tc>
        <w:tc>
          <w:tcPr>
            <w:tcW w:w="53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36CE8E05" w14:textId="77777777">
            <w:pPr>
              <w:spacing w:line="256" w:lineRule="auto"/>
              <w:jc w:val="right"/>
              <w:rPr>
                <w:rFonts w:eastAsia="Calibri"/>
                <w:szCs w:val="26"/>
              </w:rPr>
            </w:pPr>
            <w:r w:rsidRPr="00F33E3A">
              <w:rPr>
                <w:rFonts w:eastAsia="Calibri"/>
                <w:szCs w:val="26"/>
              </w:rPr>
              <w:t>59</w:t>
            </w:r>
          </w:p>
        </w:tc>
        <w:tc>
          <w:tcPr>
            <w:tcW w:w="574"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2D2B2551" w14:textId="77777777">
            <w:pPr>
              <w:spacing w:line="256" w:lineRule="auto"/>
              <w:jc w:val="right"/>
              <w:rPr>
                <w:rFonts w:eastAsia="Calibri"/>
                <w:szCs w:val="26"/>
              </w:rPr>
            </w:pPr>
            <w:r w:rsidRPr="00F33E3A">
              <w:rPr>
                <w:rFonts w:eastAsia="Calibri"/>
                <w:szCs w:val="26"/>
              </w:rPr>
              <w:t>1</w:t>
            </w:r>
          </w:p>
        </w:tc>
        <w:tc>
          <w:tcPr>
            <w:tcW w:w="657" w:type="pct"/>
            <w:tcBorders>
              <w:top w:val="single" w:color="auto" w:sz="4" w:space="0"/>
              <w:left w:val="single" w:color="auto" w:sz="4" w:space="0"/>
              <w:bottom w:val="single" w:color="auto" w:sz="4" w:space="0"/>
              <w:right w:val="single" w:color="auto" w:sz="4" w:space="0"/>
            </w:tcBorders>
            <w:hideMark/>
          </w:tcPr>
          <w:p w:rsidRPr="000262CA" w:rsidR="0013450D" w:rsidP="00FA6AB4" w:rsidRDefault="0013450D" w14:paraId="6B43638C" w14:textId="77777777">
            <w:pPr>
              <w:spacing w:line="256" w:lineRule="auto"/>
              <w:jc w:val="right"/>
              <w:rPr>
                <w:rFonts w:eastAsia="Calibri"/>
                <w:szCs w:val="26"/>
              </w:rPr>
            </w:pPr>
            <w:r w:rsidRPr="000262CA">
              <w:rPr>
                <w:rFonts w:eastAsia="Calibri"/>
                <w:szCs w:val="26"/>
              </w:rPr>
              <w:t>59</w:t>
            </w:r>
          </w:p>
        </w:tc>
        <w:tc>
          <w:tcPr>
            <w:tcW w:w="819" w:type="pct"/>
            <w:tcBorders>
              <w:top w:val="single" w:color="auto" w:sz="4" w:space="0"/>
              <w:left w:val="single" w:color="auto" w:sz="4" w:space="0"/>
              <w:bottom w:val="single" w:color="auto" w:sz="4" w:space="0"/>
              <w:right w:val="single" w:color="auto" w:sz="4" w:space="0"/>
            </w:tcBorders>
            <w:hideMark/>
          </w:tcPr>
          <w:p w:rsidRPr="000262CA" w:rsidR="0013450D" w:rsidP="00FA6AB4" w:rsidRDefault="0013450D" w14:paraId="134EEADF" w14:textId="77777777">
            <w:pPr>
              <w:spacing w:line="256" w:lineRule="auto"/>
              <w:jc w:val="right"/>
              <w:rPr>
                <w:rFonts w:eastAsia="Calibri"/>
                <w:szCs w:val="26"/>
              </w:rPr>
            </w:pPr>
            <w:r>
              <w:rPr>
                <w:rFonts w:eastAsia="Calibri"/>
                <w:szCs w:val="26"/>
              </w:rPr>
              <w:t>10</w:t>
            </w:r>
            <w:r w:rsidRPr="000262CA">
              <w:rPr>
                <w:rFonts w:eastAsia="Calibri"/>
                <w:szCs w:val="26"/>
              </w:rPr>
              <w:t xml:space="preserve"> hrs.; $</w:t>
            </w:r>
            <w:r>
              <w:rPr>
                <w:rFonts w:eastAsia="Calibri"/>
                <w:szCs w:val="26"/>
              </w:rPr>
              <w:t>970</w:t>
            </w: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13450D" w14:paraId="55952DF9" w14:textId="77777777">
            <w:pPr>
              <w:spacing w:line="256" w:lineRule="auto"/>
              <w:jc w:val="right"/>
              <w:rPr>
                <w:rFonts w:eastAsia="Calibri"/>
                <w:szCs w:val="26"/>
              </w:rPr>
            </w:pPr>
            <w:r w:rsidRPr="00F33E3A">
              <w:rPr>
                <w:rFonts w:eastAsia="Calibri"/>
                <w:szCs w:val="26"/>
              </w:rPr>
              <w:t>59</w:t>
            </w:r>
            <w:r>
              <w:rPr>
                <w:rFonts w:eastAsia="Calibri"/>
                <w:szCs w:val="26"/>
              </w:rPr>
              <w:t>3.33</w:t>
            </w:r>
            <w:r w:rsidRPr="00F33E3A">
              <w:rPr>
                <w:rFonts w:eastAsia="Calibri"/>
                <w:szCs w:val="26"/>
              </w:rPr>
              <w:t xml:space="preserve"> hrs.; $57,</w:t>
            </w:r>
            <w:r>
              <w:rPr>
                <w:rFonts w:eastAsia="Calibri"/>
                <w:szCs w:val="26"/>
              </w:rPr>
              <w:t>553.33</w:t>
            </w:r>
          </w:p>
        </w:tc>
        <w:tc>
          <w:tcPr>
            <w:tcW w:w="736" w:type="pct"/>
            <w:tcBorders>
              <w:top w:val="single" w:color="auto" w:sz="4" w:space="0"/>
              <w:left w:val="single" w:color="auto" w:sz="4" w:space="0"/>
              <w:bottom w:val="single" w:color="auto" w:sz="4" w:space="0"/>
              <w:right w:val="single" w:color="auto" w:sz="4" w:space="0"/>
            </w:tcBorders>
            <w:hideMark/>
          </w:tcPr>
          <w:p w:rsidRPr="000262CA" w:rsidR="0013450D" w:rsidP="00FA6AB4" w:rsidRDefault="0013450D" w14:paraId="571195CD" w14:textId="77777777">
            <w:pPr>
              <w:spacing w:line="256" w:lineRule="auto"/>
              <w:jc w:val="right"/>
              <w:rPr>
                <w:rFonts w:eastAsia="Calibri"/>
                <w:szCs w:val="26"/>
              </w:rPr>
            </w:pPr>
            <w:r w:rsidRPr="00F33E3A">
              <w:rPr>
                <w:rFonts w:eastAsia="Calibri"/>
                <w:szCs w:val="26"/>
              </w:rPr>
              <w:t>$</w:t>
            </w:r>
            <w:r>
              <w:rPr>
                <w:rFonts w:eastAsia="Calibri"/>
                <w:szCs w:val="26"/>
              </w:rPr>
              <w:t>970</w:t>
            </w:r>
          </w:p>
        </w:tc>
      </w:tr>
      <w:tr w:rsidRPr="00F33E3A" w:rsidR="000411FD" w:rsidTr="0052272A" w14:paraId="025D1D1F" w14:textId="77777777">
        <w:trPr>
          <w:cantSplit/>
          <w:trHeight w:val="485"/>
        </w:trPr>
        <w:tc>
          <w:tcPr>
            <w:tcW w:w="738" w:type="pct"/>
            <w:tcBorders>
              <w:top w:val="single" w:color="auto" w:sz="4" w:space="0"/>
              <w:left w:val="single" w:color="auto" w:sz="4" w:space="0"/>
              <w:bottom w:val="single" w:color="auto" w:sz="4" w:space="0"/>
              <w:right w:val="single" w:color="auto" w:sz="4" w:space="0"/>
            </w:tcBorders>
            <w:hideMark/>
          </w:tcPr>
          <w:p w:rsidR="0013450D" w:rsidP="00FA6AB4" w:rsidRDefault="0013450D" w14:paraId="127E51D4" w14:textId="77777777">
            <w:pPr>
              <w:spacing w:line="256" w:lineRule="auto"/>
              <w:rPr>
                <w:rFonts w:eastAsia="Calibri"/>
                <w:b/>
                <w:szCs w:val="26"/>
              </w:rPr>
            </w:pPr>
            <w:r w:rsidRPr="00F33E3A">
              <w:rPr>
                <w:rFonts w:eastAsia="Calibri"/>
                <w:b/>
                <w:szCs w:val="26"/>
              </w:rPr>
              <w:t>TOTAL</w:t>
            </w:r>
          </w:p>
          <w:p w:rsidRPr="00D4792E" w:rsidR="007D3BA4" w:rsidP="00FA6AB4" w:rsidRDefault="007D3BA4" w14:paraId="7827EA89" w14:textId="6D41D268">
            <w:pPr>
              <w:spacing w:line="256" w:lineRule="auto"/>
              <w:rPr>
                <w:rFonts w:eastAsia="Calibri"/>
                <w:bCs/>
                <w:szCs w:val="26"/>
              </w:rPr>
            </w:pPr>
            <w:r w:rsidRPr="00D4792E">
              <w:rPr>
                <w:rFonts w:eastAsia="Calibri"/>
                <w:bCs/>
                <w:szCs w:val="26"/>
              </w:rPr>
              <w:t>(Including Section 4 Rate Cases)</w:t>
            </w:r>
          </w:p>
        </w:tc>
        <w:tc>
          <w:tcPr>
            <w:tcW w:w="1107" w:type="pct"/>
            <w:gridSpan w:val="2"/>
            <w:tcBorders>
              <w:top w:val="single" w:color="auto" w:sz="4" w:space="0"/>
              <w:left w:val="single" w:color="auto" w:sz="4" w:space="0"/>
              <w:bottom w:val="single" w:color="auto" w:sz="4" w:space="0"/>
              <w:right w:val="single" w:color="auto" w:sz="4" w:space="0"/>
            </w:tcBorders>
            <w:shd w:val="clear" w:color="auto" w:fill="D9D9D9"/>
          </w:tcPr>
          <w:p w:rsidRPr="00F33E3A" w:rsidR="0013450D" w:rsidP="00FA6AB4" w:rsidRDefault="0013450D" w14:paraId="2E5D8E2B" w14:textId="77777777">
            <w:pPr>
              <w:spacing w:line="256" w:lineRule="auto"/>
              <w:jc w:val="right"/>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hideMark/>
          </w:tcPr>
          <w:p w:rsidRPr="000262CA" w:rsidR="0013450D" w:rsidP="00FA6AB4" w:rsidRDefault="0013450D" w14:paraId="5623DFF6" w14:textId="795A683D">
            <w:pPr>
              <w:spacing w:line="256" w:lineRule="auto"/>
              <w:jc w:val="right"/>
              <w:rPr>
                <w:rFonts w:eastAsia="Calibri"/>
                <w:b/>
                <w:szCs w:val="26"/>
              </w:rPr>
            </w:pPr>
            <w:r w:rsidRPr="00F33E3A">
              <w:rPr>
                <w:rFonts w:eastAsia="Calibri"/>
                <w:b/>
                <w:szCs w:val="26"/>
              </w:rPr>
              <w:t>1,3</w:t>
            </w:r>
            <w:r w:rsidR="00BD1E82">
              <w:rPr>
                <w:rFonts w:eastAsia="Calibri"/>
                <w:b/>
                <w:szCs w:val="26"/>
              </w:rPr>
              <w:t>70</w:t>
            </w:r>
            <w:r>
              <w:rPr>
                <w:rFonts w:eastAsia="Calibri"/>
                <w:b/>
                <w:szCs w:val="26"/>
              </w:rPr>
              <w:t>.712</w:t>
            </w:r>
          </w:p>
        </w:tc>
        <w:tc>
          <w:tcPr>
            <w:tcW w:w="819" w:type="pct"/>
            <w:tcBorders>
              <w:top w:val="single" w:color="auto" w:sz="4" w:space="0"/>
              <w:left w:val="single" w:color="auto" w:sz="4" w:space="0"/>
              <w:bottom w:val="single" w:color="auto" w:sz="4" w:space="0"/>
              <w:right w:val="single" w:color="auto" w:sz="4" w:space="0"/>
            </w:tcBorders>
            <w:shd w:val="clear" w:color="auto" w:fill="D9D9D9"/>
          </w:tcPr>
          <w:p w:rsidRPr="000262CA" w:rsidR="0013450D" w:rsidP="00FA6AB4" w:rsidRDefault="0013450D" w14:paraId="3953C020" w14:textId="77777777">
            <w:pPr>
              <w:spacing w:line="256" w:lineRule="auto"/>
              <w:jc w:val="right"/>
              <w:rPr>
                <w:rFonts w:eastAsia="Calibri"/>
                <w:szCs w:val="26"/>
              </w:rPr>
            </w:pPr>
          </w:p>
        </w:tc>
        <w:tc>
          <w:tcPr>
            <w:tcW w:w="943" w:type="pct"/>
            <w:tcBorders>
              <w:top w:val="single" w:color="auto" w:sz="4" w:space="0"/>
              <w:left w:val="single" w:color="auto" w:sz="4" w:space="0"/>
              <w:bottom w:val="single" w:color="auto" w:sz="4" w:space="0"/>
              <w:right w:val="single" w:color="auto" w:sz="4" w:space="0"/>
            </w:tcBorders>
            <w:hideMark/>
          </w:tcPr>
          <w:p w:rsidRPr="00F33E3A" w:rsidR="0013450D" w:rsidP="00FA6AB4" w:rsidRDefault="00BD1E82" w14:paraId="5CFE6AB5" w14:textId="75DFF500">
            <w:pPr>
              <w:spacing w:line="256" w:lineRule="auto"/>
              <w:jc w:val="right"/>
              <w:rPr>
                <w:rFonts w:eastAsia="Calibri"/>
                <w:b/>
                <w:szCs w:val="26"/>
              </w:rPr>
            </w:pPr>
            <w:r w:rsidRPr="00BD1E82">
              <w:rPr>
                <w:rFonts w:eastAsia="Calibri"/>
                <w:b/>
                <w:szCs w:val="26"/>
              </w:rPr>
              <w:t>306,612.56</w:t>
            </w:r>
            <w:r w:rsidR="0020397B">
              <w:rPr>
                <w:rFonts w:eastAsia="Calibri"/>
                <w:b/>
                <w:szCs w:val="26"/>
              </w:rPr>
              <w:t xml:space="preserve"> </w:t>
            </w:r>
            <w:r w:rsidRPr="000262CA" w:rsidR="0013450D">
              <w:rPr>
                <w:rFonts w:eastAsia="Calibri"/>
                <w:b/>
                <w:szCs w:val="26"/>
              </w:rPr>
              <w:t>hrs.;</w:t>
            </w:r>
          </w:p>
          <w:p w:rsidRPr="000262CA" w:rsidR="0013450D" w:rsidP="00FA6AB4" w:rsidRDefault="0013450D" w14:paraId="27508EDA" w14:textId="1E47C73D">
            <w:pPr>
              <w:spacing w:line="256" w:lineRule="auto"/>
              <w:jc w:val="right"/>
              <w:rPr>
                <w:rFonts w:eastAsia="Calibri"/>
                <w:b/>
                <w:szCs w:val="26"/>
              </w:rPr>
            </w:pPr>
            <w:r w:rsidRPr="00F33E3A">
              <w:rPr>
                <w:rFonts w:eastAsia="Calibri"/>
                <w:b/>
                <w:szCs w:val="26"/>
              </w:rPr>
              <w:t>$</w:t>
            </w:r>
            <w:r w:rsidRPr="00F33E3A" w:rsidR="00BD1E82">
              <w:rPr>
                <w:rFonts w:eastAsia="Calibri"/>
                <w:b/>
                <w:szCs w:val="26"/>
              </w:rPr>
              <w:t>29,663,</w:t>
            </w:r>
            <w:r w:rsidR="00BD1E82">
              <w:rPr>
                <w:rFonts w:eastAsia="Calibri"/>
                <w:b/>
                <w:szCs w:val="26"/>
              </w:rPr>
              <w:t>818.51</w:t>
            </w:r>
          </w:p>
        </w:tc>
        <w:tc>
          <w:tcPr>
            <w:tcW w:w="736" w:type="pct"/>
            <w:tcBorders>
              <w:top w:val="single" w:color="auto" w:sz="4" w:space="0"/>
              <w:left w:val="single" w:color="auto" w:sz="4" w:space="0"/>
              <w:bottom w:val="single" w:color="auto" w:sz="4" w:space="0"/>
              <w:right w:val="single" w:color="auto" w:sz="4" w:space="0"/>
            </w:tcBorders>
            <w:shd w:val="clear" w:color="auto" w:fill="D9D9D9"/>
          </w:tcPr>
          <w:p w:rsidRPr="000262CA" w:rsidR="0013450D" w:rsidP="00FA6AB4" w:rsidRDefault="0013450D" w14:paraId="588506A7" w14:textId="77777777">
            <w:pPr>
              <w:spacing w:line="256" w:lineRule="auto"/>
              <w:jc w:val="right"/>
              <w:rPr>
                <w:rFonts w:eastAsia="Calibri"/>
                <w:b/>
                <w:szCs w:val="26"/>
              </w:rPr>
            </w:pPr>
          </w:p>
        </w:tc>
      </w:tr>
    </w:tbl>
    <w:p w:rsidR="007502D4" w:rsidP="00ED367B" w:rsidRDefault="007502D4" w14:paraId="028AF640" w14:textId="19837B0E">
      <w:pPr>
        <w:spacing w:after="160" w:line="259" w:lineRule="auto"/>
        <w:rPr>
          <w:b/>
          <w:bCs/>
        </w:rPr>
      </w:pPr>
    </w:p>
    <w:p w:rsidRPr="00D4792E" w:rsidR="00D4792E" w:rsidP="00D4792E" w:rsidRDefault="00D4792E" w14:paraId="56CA5F89" w14:textId="7D245EEA">
      <w:pPr>
        <w:spacing w:after="160" w:line="259" w:lineRule="auto"/>
        <w:rPr>
          <w:b/>
          <w:bCs/>
        </w:rPr>
      </w:pPr>
      <w:r w:rsidRPr="00D4792E">
        <w:rPr>
          <w:b/>
          <w:bCs/>
        </w:rPr>
        <w:t>Responses= 1,3</w:t>
      </w:r>
      <w:r>
        <w:rPr>
          <w:b/>
          <w:bCs/>
        </w:rPr>
        <w:t>70</w:t>
      </w:r>
      <w:r w:rsidRPr="00D4792E">
        <w:rPr>
          <w:b/>
          <w:bCs/>
        </w:rPr>
        <w:t>.712 (1,3</w:t>
      </w:r>
      <w:r>
        <w:rPr>
          <w:b/>
          <w:bCs/>
        </w:rPr>
        <w:t>71</w:t>
      </w:r>
      <w:r w:rsidRPr="00D4792E">
        <w:rPr>
          <w:b/>
          <w:bCs/>
        </w:rPr>
        <w:t xml:space="preserve"> rounded) </w:t>
      </w:r>
    </w:p>
    <w:p w:rsidRPr="005E5E83" w:rsidR="00D4792E" w:rsidP="00ED367B" w:rsidRDefault="00D4792E" w14:paraId="64147BC9" w14:textId="567A117F">
      <w:pPr>
        <w:spacing w:after="160" w:line="259" w:lineRule="auto"/>
        <w:rPr>
          <w:b/>
          <w:bCs/>
        </w:rPr>
      </w:pPr>
      <w:r w:rsidRPr="00D4792E">
        <w:rPr>
          <w:b/>
          <w:bCs/>
        </w:rPr>
        <w:t>Burden Hours=</w:t>
      </w:r>
      <w:r w:rsidRPr="00BD1E82">
        <w:rPr>
          <w:rFonts w:eastAsia="Calibri"/>
          <w:b/>
          <w:szCs w:val="26"/>
        </w:rPr>
        <w:t>306,612.56</w:t>
      </w:r>
      <w:r w:rsidRPr="00D4792E">
        <w:rPr>
          <w:b/>
          <w:bCs/>
        </w:rPr>
        <w:t xml:space="preserve"> (30</w:t>
      </w:r>
      <w:r>
        <w:rPr>
          <w:b/>
          <w:bCs/>
        </w:rPr>
        <w:t>6,613</w:t>
      </w:r>
      <w:r w:rsidRPr="00D4792E">
        <w:rPr>
          <w:b/>
          <w:bCs/>
        </w:rPr>
        <w:t xml:space="preserve"> hrs.</w:t>
      </w:r>
      <w:r>
        <w:rPr>
          <w:b/>
          <w:bCs/>
        </w:rPr>
        <w:t xml:space="preserve"> rounded</w:t>
      </w:r>
      <w:r w:rsidRPr="00D4792E">
        <w:rPr>
          <w:b/>
          <w:bCs/>
        </w:rPr>
        <w:t>)</w:t>
      </w:r>
    </w:p>
    <w:p w:rsidRPr="005E5E83" w:rsidR="00B67787" w:rsidP="001B60BF" w:rsidRDefault="00B67787" w14:paraId="4B0B1AE0" w14:textId="553E3E98">
      <w:pPr>
        <w:rPr>
          <w:rFonts w:eastAsia="Calibri"/>
        </w:rPr>
      </w:pPr>
      <w:bookmarkStart w:name="_Hlk91458928" w:id="0"/>
      <w:r w:rsidRPr="005E5E83">
        <w:t xml:space="preserve">The Commission’s burden estimates for </w:t>
      </w:r>
      <w:r w:rsidR="001B60BF">
        <w:t xml:space="preserve">the modification of FERC-545 are calculated on the average number of rate cases received on an annual basis. </w:t>
      </w:r>
      <w:r w:rsidR="00CB5EFC">
        <w:t xml:space="preserve">However, the number of rate cases (respondents) is slightly higher than the average number of cases received by the Commission.  This was intentional as to anticipate the possibility of additional rate cases being submitted in the future. </w:t>
      </w:r>
    </w:p>
    <w:bookmarkEnd w:id="0"/>
    <w:p w:rsidRPr="00F33E3A" w:rsidR="00F90719" w:rsidP="00F90719" w:rsidRDefault="00F90719" w14:paraId="7D8DABE0" w14:textId="77777777">
      <w:pPr>
        <w:pStyle w:val="FERCparanumber"/>
        <w:numPr>
          <w:ilvl w:val="0"/>
          <w:numId w:val="0"/>
        </w:numPr>
      </w:pPr>
    </w:p>
    <w:p w:rsidRPr="005E5E83" w:rsidR="00BC15BE" w:rsidP="00BC15BE" w:rsidRDefault="00BC15BE" w14:paraId="2D5A5365" w14:textId="77777777">
      <w:pPr>
        <w:pStyle w:val="Level1"/>
        <w:rPr>
          <w:b/>
          <w:sz w:val="26"/>
        </w:rPr>
      </w:pPr>
      <w:r w:rsidRPr="005E5E83">
        <w:rPr>
          <w:b/>
          <w:sz w:val="26"/>
        </w:rPr>
        <w:t>ESTIMATE OF THE TOTAL ANNUAL COST BURDEN TO RESPONDENTS</w:t>
      </w:r>
    </w:p>
    <w:p w:rsidRPr="005E5E83" w:rsidR="008F65E6" w:rsidP="00BC15BE" w:rsidRDefault="008F65E6" w14:paraId="42F2561B" w14:textId="77777777"/>
    <w:p w:rsidRPr="005E5E83" w:rsidR="00BC15BE" w:rsidP="00BC15BE" w:rsidRDefault="00F8150C" w14:paraId="65DE3541" w14:textId="7E685D58">
      <w:r w:rsidRPr="005E5E83">
        <w:t xml:space="preserve">There are no capital or start-up costs for </w:t>
      </w:r>
      <w:r w:rsidRPr="005E5E83" w:rsidR="003808AD">
        <w:t xml:space="preserve">FERC-545.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Pr="005E5E83" w:rsidR="00F8150C" w:rsidP="00BC15BE" w:rsidRDefault="00F8150C" w14:paraId="18ADEA96" w14:textId="77777777"/>
    <w:p w:rsidRPr="005E5E83" w:rsidR="00BC15BE" w:rsidP="00BC15BE" w:rsidRDefault="00BC15BE" w14:paraId="630D4C84" w14:textId="77777777">
      <w:pPr>
        <w:pStyle w:val="Level1"/>
        <w:rPr>
          <w:b/>
          <w:sz w:val="26"/>
        </w:rPr>
      </w:pPr>
      <w:r w:rsidRPr="005E5E83">
        <w:rPr>
          <w:b/>
          <w:sz w:val="26"/>
        </w:rPr>
        <w:t>ESTIMATED ANNUALIZED COST TO FEDERAL GOVERNMENT</w:t>
      </w:r>
    </w:p>
    <w:p w:rsidRPr="005E5E83" w:rsidR="002C118D" w:rsidP="002C118D" w:rsidRDefault="002C118D" w14:paraId="24E448B3" w14:textId="77777777"/>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33E3A" w:rsidR="002C118D" w:rsidTr="00573C31" w14:paraId="76270073" w14:textId="77777777">
        <w:tc>
          <w:tcPr>
            <w:tcW w:w="3148" w:type="dxa"/>
            <w:shd w:val="clear" w:color="auto" w:fill="CCCCCC"/>
          </w:tcPr>
          <w:p w:rsidRPr="005E5E83" w:rsidR="002C118D" w:rsidP="008D4689" w:rsidRDefault="002C118D" w14:paraId="64C5C7C1" w14:textId="77777777"/>
        </w:tc>
        <w:tc>
          <w:tcPr>
            <w:tcW w:w="3101" w:type="dxa"/>
            <w:shd w:val="clear" w:color="auto" w:fill="CCCCCC"/>
            <w:vAlign w:val="bottom"/>
          </w:tcPr>
          <w:p w:rsidRPr="005E5E83" w:rsidR="002C118D" w:rsidP="008D4689" w:rsidRDefault="002C118D" w14:paraId="128D10F5" w14:textId="77777777">
            <w:pPr>
              <w:jc w:val="center"/>
              <w:rPr>
                <w:b/>
              </w:rPr>
            </w:pPr>
            <w:r w:rsidRPr="005E5E83">
              <w:rPr>
                <w:b/>
              </w:rPr>
              <w:t>Number of Hours or FTE’s</w:t>
            </w:r>
          </w:p>
        </w:tc>
        <w:tc>
          <w:tcPr>
            <w:tcW w:w="3196" w:type="dxa"/>
            <w:shd w:val="clear" w:color="auto" w:fill="CCCCCC"/>
            <w:vAlign w:val="bottom"/>
          </w:tcPr>
          <w:p w:rsidRPr="005E5E83" w:rsidR="002C118D" w:rsidP="008D4689" w:rsidRDefault="002C118D" w14:paraId="48D03250" w14:textId="77777777">
            <w:pPr>
              <w:jc w:val="center"/>
              <w:rPr>
                <w:b/>
              </w:rPr>
            </w:pPr>
            <w:r w:rsidRPr="005E5E83">
              <w:rPr>
                <w:b/>
              </w:rPr>
              <w:t>Estimated Annual Federal Cost ($)</w:t>
            </w:r>
            <w:r w:rsidRPr="005E5E83">
              <w:rPr>
                <w:vertAlign w:val="superscript"/>
              </w:rPr>
              <w:footnoteReference w:id="8"/>
            </w:r>
            <w:r w:rsidRPr="005E5E83">
              <w:rPr>
                <w:b/>
              </w:rPr>
              <w:t xml:space="preserve"> </w:t>
            </w:r>
          </w:p>
        </w:tc>
      </w:tr>
      <w:tr w:rsidRPr="00F33E3A" w:rsidR="002C118D" w:rsidTr="00573C31" w14:paraId="5823F039" w14:textId="77777777">
        <w:tc>
          <w:tcPr>
            <w:tcW w:w="3148" w:type="dxa"/>
          </w:tcPr>
          <w:p w:rsidRPr="005E5E83" w:rsidR="002C118D" w:rsidP="008D4689" w:rsidRDefault="002C118D" w14:paraId="5149305D" w14:textId="659DC968">
            <w:r w:rsidRPr="005E5E83">
              <w:t>PRA</w:t>
            </w:r>
            <w:r w:rsidRPr="005E5E83">
              <w:rPr>
                <w:rStyle w:val="FootnoteReference"/>
                <w:szCs w:val="24"/>
              </w:rPr>
              <w:footnoteReference w:id="9"/>
            </w:r>
            <w:r w:rsidRPr="005E5E83">
              <w:t xml:space="preserve"> Administration Cost</w:t>
            </w:r>
            <w:r w:rsidRPr="005E5E83">
              <w:rPr>
                <w:vertAlign w:val="superscript"/>
              </w:rPr>
              <w:footnoteReference w:id="10"/>
            </w:r>
          </w:p>
        </w:tc>
        <w:tc>
          <w:tcPr>
            <w:tcW w:w="3101" w:type="dxa"/>
            <w:shd w:val="clear" w:color="auto" w:fill="FFFFFF"/>
            <w:vAlign w:val="bottom"/>
          </w:tcPr>
          <w:p w:rsidRPr="005E5E83" w:rsidR="002C118D" w:rsidP="008D4689" w:rsidRDefault="002C118D" w14:paraId="7FD151E6" w14:textId="77777777">
            <w:pPr>
              <w:jc w:val="right"/>
            </w:pPr>
            <w:r w:rsidRPr="005E5E83">
              <w:t>-</w:t>
            </w:r>
          </w:p>
        </w:tc>
        <w:tc>
          <w:tcPr>
            <w:tcW w:w="3196" w:type="dxa"/>
            <w:vAlign w:val="bottom"/>
          </w:tcPr>
          <w:p w:rsidRPr="005E5E83" w:rsidR="002C118D" w:rsidP="008D4689" w:rsidRDefault="00565AA0" w14:paraId="1C3FD6E6" w14:textId="11382025">
            <w:pPr>
              <w:jc w:val="right"/>
            </w:pPr>
            <w:r w:rsidRPr="005E5E83">
              <w:t>$</w:t>
            </w:r>
            <w:r w:rsidRPr="005E5E83" w:rsidR="00FB3579">
              <w:t>8,279</w:t>
            </w:r>
            <w:r w:rsidRPr="00F33E3A" w:rsidR="00A277D4">
              <w:rPr>
                <w:rStyle w:val="FootnoteReference"/>
                <w:b w:val="0"/>
              </w:rPr>
              <w:footnoteReference w:id="11"/>
            </w:r>
          </w:p>
        </w:tc>
      </w:tr>
      <w:tr w:rsidRPr="00F33E3A" w:rsidR="002E510C" w:rsidTr="00573C31" w14:paraId="69BB6999" w14:textId="77777777">
        <w:tc>
          <w:tcPr>
            <w:tcW w:w="3148" w:type="dxa"/>
            <w:vAlign w:val="bottom"/>
          </w:tcPr>
          <w:p w:rsidRPr="005E5E83" w:rsidR="002E510C" w:rsidP="008D4689" w:rsidRDefault="002E510C" w14:paraId="75C39D29" w14:textId="77777777">
            <w:pPr>
              <w:ind w:left="720"/>
              <w:jc w:val="right"/>
              <w:rPr>
                <w:i/>
              </w:rPr>
            </w:pPr>
            <w:r w:rsidRPr="005E5E83">
              <w:t>Data Processing and Analysis, Sub-Total</w:t>
            </w:r>
            <w:r w:rsidRPr="005E5E83">
              <w:rPr>
                <w:rStyle w:val="FootnoteReference"/>
                <w:b w:val="0"/>
                <w:szCs w:val="24"/>
              </w:rPr>
              <w:footnoteReference w:id="12"/>
            </w:r>
          </w:p>
        </w:tc>
        <w:tc>
          <w:tcPr>
            <w:tcW w:w="3101" w:type="dxa"/>
            <w:shd w:val="clear" w:color="auto" w:fill="FFFFFF" w:themeFill="background1"/>
            <w:vAlign w:val="bottom"/>
          </w:tcPr>
          <w:p w:rsidRPr="005E5E83" w:rsidR="002E510C" w:rsidP="008D4689" w:rsidRDefault="002E510C" w14:paraId="6C7121A8" w14:textId="1F7EE5E5">
            <w:pPr>
              <w:jc w:val="right"/>
            </w:pPr>
            <w:r w:rsidRPr="005E5E83">
              <w:t>0.75</w:t>
            </w:r>
          </w:p>
        </w:tc>
        <w:tc>
          <w:tcPr>
            <w:tcW w:w="3196" w:type="dxa"/>
            <w:vAlign w:val="bottom"/>
          </w:tcPr>
          <w:p w:rsidRPr="005E5E83" w:rsidR="002E510C" w:rsidDel="00423194" w:rsidP="008D4689" w:rsidRDefault="002E510C" w14:paraId="4B251C4C" w14:textId="1C12F300">
            <w:pPr>
              <w:jc w:val="right"/>
            </w:pPr>
            <w:r w:rsidRPr="005E5E83">
              <w:t>$1</w:t>
            </w:r>
            <w:r w:rsidRPr="005E5E83" w:rsidR="00FB3579">
              <w:t>35,527.25</w:t>
            </w:r>
          </w:p>
        </w:tc>
      </w:tr>
      <w:tr w:rsidRPr="00F33E3A" w:rsidR="002E510C" w:rsidTr="00294038" w14:paraId="16E4597A" w14:textId="77777777">
        <w:tc>
          <w:tcPr>
            <w:tcW w:w="3148" w:type="dxa"/>
          </w:tcPr>
          <w:p w:rsidRPr="005E5E83" w:rsidR="002E510C" w:rsidP="008D4689" w:rsidRDefault="002E510C" w14:paraId="55CEF231" w14:textId="0F969E6E">
            <w:pPr>
              <w:ind w:left="720"/>
              <w:jc w:val="right"/>
              <w:rPr>
                <w:i/>
              </w:rPr>
            </w:pPr>
            <w:r w:rsidRPr="005E5E83">
              <w:rPr>
                <w:b/>
              </w:rPr>
              <w:t>FERC Total for FERC-545</w:t>
            </w:r>
          </w:p>
        </w:tc>
        <w:tc>
          <w:tcPr>
            <w:tcW w:w="3101" w:type="dxa"/>
            <w:vAlign w:val="bottom"/>
          </w:tcPr>
          <w:p w:rsidRPr="005E5E83" w:rsidR="002E510C" w:rsidP="008D4689" w:rsidRDefault="002E510C" w14:paraId="7F2E12F2" w14:textId="6156C8B7">
            <w:pPr>
              <w:jc w:val="right"/>
              <w:rPr>
                <w:i/>
              </w:rPr>
            </w:pPr>
          </w:p>
        </w:tc>
        <w:tc>
          <w:tcPr>
            <w:tcW w:w="3196" w:type="dxa"/>
            <w:vAlign w:val="bottom"/>
          </w:tcPr>
          <w:p w:rsidRPr="005E5E83" w:rsidR="00FB3579" w:rsidP="00FB3579" w:rsidRDefault="002E510C" w14:paraId="2599C341" w14:textId="261B8457">
            <w:pPr>
              <w:jc w:val="right"/>
            </w:pPr>
            <w:r w:rsidRPr="005E5E83">
              <w:t>$1</w:t>
            </w:r>
            <w:r w:rsidRPr="005E5E83" w:rsidR="00FB3579">
              <w:t>43,806.25</w:t>
            </w:r>
          </w:p>
        </w:tc>
      </w:tr>
    </w:tbl>
    <w:p w:rsidRPr="005E5E83" w:rsidR="00BC15BE" w:rsidP="00BC15BE" w:rsidRDefault="00BC15BE" w14:paraId="2ED17E47" w14:textId="77777777"/>
    <w:p w:rsidRPr="005E5E83" w:rsidR="00AC5B84" w:rsidP="00AC5B84" w:rsidRDefault="00BC15BE" w14:paraId="116A3679" w14:textId="229E72D9">
      <w:pPr>
        <w:pStyle w:val="Level1"/>
        <w:rPr>
          <w:b/>
          <w:sz w:val="26"/>
        </w:rPr>
      </w:pPr>
      <w:r w:rsidRPr="005E5E83">
        <w:rPr>
          <w:b/>
          <w:sz w:val="26"/>
        </w:rPr>
        <w:t>REASONS FOR CHANGES IN BURDEN INCLUDING THE NEED FOR ANY INCREASE</w:t>
      </w:r>
    </w:p>
    <w:p w:rsidRPr="005E5E83" w:rsidR="00573C31" w:rsidP="00573C31" w:rsidRDefault="00573C31" w14:paraId="33A8BD82" w14:textId="77777777">
      <w:pPr>
        <w:pStyle w:val="Level1"/>
        <w:numPr>
          <w:ilvl w:val="0"/>
          <w:numId w:val="0"/>
        </w:numPr>
        <w:rPr>
          <w:b/>
          <w:sz w:val="26"/>
        </w:rPr>
      </w:pPr>
    </w:p>
    <w:p w:rsidRPr="005E5E83" w:rsidR="00A14FC1" w:rsidP="00A14FC1" w:rsidRDefault="00CF71FF" w14:paraId="1B903790" w14:textId="4E26DEED">
      <w:pPr>
        <w:rPr>
          <w:rFonts w:eastAsia="Calibri"/>
        </w:rPr>
      </w:pPr>
      <w:r>
        <w:t>The proposed rule</w:t>
      </w:r>
      <w:r w:rsidR="00697A15">
        <w:t xml:space="preserve"> RM21-18-000</w:t>
      </w:r>
      <w:r>
        <w:t xml:space="preserve"> seeks to require submissions for section 4 rate cases to be submitted in native file format with links and formulas. The Commission</w:t>
      </w:r>
      <w:r w:rsidR="0013450D">
        <w:t xml:space="preserve"> estimates a increase in </w:t>
      </w:r>
      <w:r w:rsidR="004C76B9">
        <w:t xml:space="preserve">total </w:t>
      </w:r>
      <w:r w:rsidR="0013450D">
        <w:t>burden</w:t>
      </w:r>
      <w:r w:rsidR="00754A71">
        <w:t xml:space="preserve"> of 800 hours</w:t>
      </w:r>
      <w:r w:rsidR="0013450D">
        <w:t xml:space="preserve"> since </w:t>
      </w:r>
      <w:r>
        <w:t xml:space="preserve">the new rate cases would use the native format submissions. </w:t>
      </w:r>
    </w:p>
    <w:p w:rsidRPr="005E5E83" w:rsidR="002C118D" w:rsidP="002C118D" w:rsidRDefault="002C118D" w14:paraId="2A77D060" w14:textId="77777777"/>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F33E3A" w:rsidR="002C118D" w:rsidTr="003F1AE2" w14:paraId="5CE990D0" w14:textId="77777777">
        <w:trPr>
          <w:trHeight w:val="870"/>
        </w:trPr>
        <w:tc>
          <w:tcPr>
            <w:tcW w:w="2679" w:type="dxa"/>
            <w:tcBorders>
              <w:bottom w:val="single" w:color="auto" w:sz="4" w:space="0"/>
            </w:tcBorders>
            <w:shd w:val="clear" w:color="auto" w:fill="D9D9D9"/>
            <w:vAlign w:val="bottom"/>
          </w:tcPr>
          <w:p w:rsidRPr="005E5E83" w:rsidR="002C118D" w:rsidP="008D4689" w:rsidRDefault="002C118D" w14:paraId="5181CF69" w14:textId="77777777">
            <w:pPr>
              <w:jc w:val="center"/>
              <w:rPr>
                <w:rFonts w:eastAsia="Calibri"/>
                <w:b/>
              </w:rPr>
            </w:pPr>
          </w:p>
        </w:tc>
        <w:tc>
          <w:tcPr>
            <w:tcW w:w="1461" w:type="dxa"/>
            <w:tcBorders>
              <w:bottom w:val="single" w:color="auto" w:sz="4" w:space="0"/>
            </w:tcBorders>
            <w:shd w:val="clear" w:color="auto" w:fill="D9D9D9"/>
            <w:vAlign w:val="bottom"/>
          </w:tcPr>
          <w:p w:rsidRPr="005E5E83" w:rsidR="002C118D" w:rsidP="008D4689" w:rsidRDefault="002C118D" w14:paraId="7BFED57E" w14:textId="77777777">
            <w:pPr>
              <w:jc w:val="center"/>
              <w:rPr>
                <w:rFonts w:eastAsia="Calibri"/>
                <w:b/>
              </w:rPr>
            </w:pPr>
            <w:r w:rsidRPr="005E5E83">
              <w:rPr>
                <w:rFonts w:eastAsia="Calibri"/>
                <w:b/>
              </w:rPr>
              <w:t>Total Request</w:t>
            </w:r>
          </w:p>
        </w:tc>
        <w:tc>
          <w:tcPr>
            <w:tcW w:w="1620" w:type="dxa"/>
            <w:tcBorders>
              <w:bottom w:val="single" w:color="auto" w:sz="4" w:space="0"/>
            </w:tcBorders>
            <w:shd w:val="clear" w:color="auto" w:fill="D9D9D9"/>
            <w:vAlign w:val="bottom"/>
          </w:tcPr>
          <w:p w:rsidRPr="005E5E83" w:rsidR="002C118D" w:rsidP="008D4689" w:rsidRDefault="002C118D" w14:paraId="7A51479E" w14:textId="77777777">
            <w:pPr>
              <w:jc w:val="center"/>
              <w:rPr>
                <w:rFonts w:eastAsia="Calibri"/>
                <w:b/>
              </w:rPr>
            </w:pPr>
            <w:r w:rsidRPr="005E5E83">
              <w:rPr>
                <w:rFonts w:eastAsia="Calibri"/>
                <w:b/>
              </w:rPr>
              <w:t>Previously Approved</w:t>
            </w:r>
          </w:p>
        </w:tc>
        <w:tc>
          <w:tcPr>
            <w:tcW w:w="1800" w:type="dxa"/>
            <w:tcBorders>
              <w:bottom w:val="single" w:color="auto" w:sz="4" w:space="0"/>
            </w:tcBorders>
            <w:shd w:val="clear" w:color="auto" w:fill="D9D9D9"/>
            <w:vAlign w:val="bottom"/>
          </w:tcPr>
          <w:p w:rsidRPr="005E5E83" w:rsidR="002C118D" w:rsidP="008D4689" w:rsidRDefault="002C118D" w14:paraId="1B357A8D" w14:textId="77777777">
            <w:pPr>
              <w:jc w:val="center"/>
              <w:rPr>
                <w:rFonts w:eastAsia="Calibri"/>
                <w:b/>
              </w:rPr>
            </w:pPr>
            <w:r w:rsidRPr="005E5E83">
              <w:rPr>
                <w:rFonts w:eastAsia="Calibri"/>
                <w:b/>
              </w:rPr>
              <w:t>Change due to Adjustment in Estimate</w:t>
            </w:r>
          </w:p>
        </w:tc>
        <w:tc>
          <w:tcPr>
            <w:tcW w:w="1957" w:type="dxa"/>
            <w:tcBorders>
              <w:bottom w:val="single" w:color="auto" w:sz="4" w:space="0"/>
            </w:tcBorders>
            <w:shd w:val="clear" w:color="auto" w:fill="D9D9D9"/>
            <w:vAlign w:val="bottom"/>
          </w:tcPr>
          <w:p w:rsidRPr="005E5E83" w:rsidR="002C118D" w:rsidP="008D4689" w:rsidRDefault="002C118D" w14:paraId="6DAB3A54" w14:textId="77777777">
            <w:pPr>
              <w:jc w:val="center"/>
              <w:rPr>
                <w:rFonts w:eastAsia="Calibri"/>
                <w:b/>
              </w:rPr>
            </w:pPr>
            <w:r w:rsidRPr="005E5E83">
              <w:rPr>
                <w:rFonts w:eastAsia="Calibri"/>
                <w:b/>
              </w:rPr>
              <w:t>Change Due to Agency Discretion</w:t>
            </w:r>
          </w:p>
        </w:tc>
      </w:tr>
      <w:tr w:rsidRPr="00F33E3A" w:rsidR="002C118D" w:rsidTr="003F1AE2" w14:paraId="5A63EA38" w14:textId="77777777">
        <w:trPr>
          <w:trHeight w:val="431"/>
        </w:trPr>
        <w:tc>
          <w:tcPr>
            <w:tcW w:w="9517" w:type="dxa"/>
            <w:gridSpan w:val="5"/>
            <w:shd w:val="clear" w:color="auto" w:fill="C6D9F1" w:themeFill="text2" w:themeFillTint="33"/>
            <w:vAlign w:val="bottom"/>
          </w:tcPr>
          <w:p w:rsidRPr="005E5E83" w:rsidR="002C118D" w:rsidP="008D4689" w:rsidRDefault="005228C3" w14:paraId="076575C6" w14:textId="77777777">
            <w:pPr>
              <w:jc w:val="center"/>
              <w:rPr>
                <w:b/>
                <w:bCs/>
              </w:rPr>
            </w:pPr>
            <w:r w:rsidRPr="005E5E83">
              <w:rPr>
                <w:b/>
                <w:bCs/>
              </w:rPr>
              <w:t>FERC-545</w:t>
            </w:r>
          </w:p>
        </w:tc>
      </w:tr>
      <w:tr w:rsidRPr="00F33E3A" w:rsidR="002C118D" w:rsidTr="003F1AE2" w14:paraId="05D53088" w14:textId="77777777">
        <w:trPr>
          <w:trHeight w:val="591"/>
        </w:trPr>
        <w:tc>
          <w:tcPr>
            <w:tcW w:w="2679" w:type="dxa"/>
            <w:shd w:val="clear" w:color="auto" w:fill="auto"/>
          </w:tcPr>
          <w:p w:rsidRPr="005E5E83" w:rsidR="002C118D" w:rsidP="008D4689" w:rsidRDefault="002C118D" w14:paraId="461D5683" w14:textId="77777777">
            <w:pPr>
              <w:jc w:val="center"/>
              <w:rPr>
                <w:rFonts w:eastAsia="Calibri"/>
              </w:rPr>
            </w:pPr>
            <w:r w:rsidRPr="005E5E83">
              <w:rPr>
                <w:rFonts w:eastAsia="Calibri"/>
              </w:rPr>
              <w:t>Annual Number of Responses</w:t>
            </w:r>
          </w:p>
        </w:tc>
        <w:tc>
          <w:tcPr>
            <w:tcW w:w="1461" w:type="dxa"/>
            <w:shd w:val="clear" w:color="auto" w:fill="auto"/>
            <w:vAlign w:val="bottom"/>
          </w:tcPr>
          <w:p w:rsidRPr="005E5E83" w:rsidR="002C118D" w:rsidP="00862E03" w:rsidRDefault="00ED367B" w14:paraId="6E8CB634" w14:textId="7D62F51F">
            <w:pPr>
              <w:jc w:val="center"/>
              <w:rPr>
                <w:rFonts w:eastAsia="Calibri"/>
              </w:rPr>
            </w:pPr>
            <w:r w:rsidRPr="005E5E83">
              <w:rPr>
                <w:rFonts w:eastAsia="Calibri"/>
              </w:rPr>
              <w:t>1,3</w:t>
            </w:r>
            <w:r w:rsidR="00BD1E82">
              <w:rPr>
                <w:rFonts w:eastAsia="Calibri"/>
              </w:rPr>
              <w:t>71</w:t>
            </w:r>
          </w:p>
        </w:tc>
        <w:tc>
          <w:tcPr>
            <w:tcW w:w="1620" w:type="dxa"/>
            <w:shd w:val="clear" w:color="auto" w:fill="auto"/>
            <w:vAlign w:val="bottom"/>
          </w:tcPr>
          <w:p w:rsidRPr="005E5E83" w:rsidR="002C118D" w:rsidP="00862E03" w:rsidRDefault="003F1AE2" w14:paraId="2736E832" w14:textId="5862B141">
            <w:pPr>
              <w:jc w:val="center"/>
              <w:rPr>
                <w:rFonts w:eastAsia="Calibri"/>
              </w:rPr>
            </w:pPr>
            <w:r w:rsidRPr="005E5E83">
              <w:rPr>
                <w:rFonts w:eastAsia="Calibri"/>
              </w:rPr>
              <w:t>1</w:t>
            </w:r>
            <w:r w:rsidRPr="005E5E83" w:rsidR="001D5A3B">
              <w:rPr>
                <w:rFonts w:eastAsia="Calibri"/>
              </w:rPr>
              <w:t>,</w:t>
            </w:r>
            <w:r w:rsidR="00C120AD">
              <w:rPr>
                <w:rFonts w:eastAsia="Calibri"/>
              </w:rPr>
              <w:t>363</w:t>
            </w:r>
          </w:p>
        </w:tc>
        <w:tc>
          <w:tcPr>
            <w:tcW w:w="1800" w:type="dxa"/>
            <w:shd w:val="clear" w:color="auto" w:fill="auto"/>
            <w:vAlign w:val="bottom"/>
          </w:tcPr>
          <w:p w:rsidRPr="005E5E83" w:rsidR="002C118D" w:rsidP="00ED367B" w:rsidRDefault="00C120AD" w14:paraId="00769106" w14:textId="1D968B70">
            <w:pPr>
              <w:jc w:val="center"/>
              <w:rPr>
                <w:rFonts w:eastAsia="Calibri"/>
              </w:rPr>
            </w:pPr>
            <w:r>
              <w:rPr>
                <w:rFonts w:eastAsia="Calibri"/>
              </w:rPr>
              <w:t>0</w:t>
            </w:r>
          </w:p>
        </w:tc>
        <w:tc>
          <w:tcPr>
            <w:tcW w:w="1957" w:type="dxa"/>
            <w:shd w:val="clear" w:color="auto" w:fill="auto"/>
            <w:vAlign w:val="bottom"/>
          </w:tcPr>
          <w:p w:rsidRPr="005E5E83" w:rsidR="002C118D" w:rsidP="00862E03" w:rsidRDefault="00C120AD" w14:paraId="5FA631E6" w14:textId="336FFB04">
            <w:pPr>
              <w:jc w:val="center"/>
              <w:rPr>
                <w:rFonts w:eastAsia="Calibri"/>
              </w:rPr>
            </w:pPr>
            <w:r>
              <w:rPr>
                <w:rFonts w:eastAsia="Calibri"/>
              </w:rPr>
              <w:t>8</w:t>
            </w:r>
          </w:p>
        </w:tc>
      </w:tr>
      <w:tr w:rsidRPr="00F33E3A" w:rsidR="002C118D" w:rsidTr="003F1AE2" w14:paraId="4B89B22C" w14:textId="77777777">
        <w:trPr>
          <w:trHeight w:val="575"/>
        </w:trPr>
        <w:tc>
          <w:tcPr>
            <w:tcW w:w="2679" w:type="dxa"/>
            <w:shd w:val="clear" w:color="auto" w:fill="auto"/>
          </w:tcPr>
          <w:p w:rsidRPr="005E5E83" w:rsidR="002C118D" w:rsidP="008D4689" w:rsidRDefault="002C118D" w14:paraId="5EB38687" w14:textId="77777777">
            <w:pPr>
              <w:jc w:val="center"/>
              <w:rPr>
                <w:rFonts w:eastAsia="Calibri"/>
              </w:rPr>
            </w:pPr>
            <w:r w:rsidRPr="005E5E83">
              <w:rPr>
                <w:rFonts w:eastAsia="Calibri"/>
              </w:rPr>
              <w:t>Annual Time Burden (Hr.)</w:t>
            </w:r>
          </w:p>
        </w:tc>
        <w:tc>
          <w:tcPr>
            <w:tcW w:w="1461" w:type="dxa"/>
            <w:shd w:val="clear" w:color="auto" w:fill="auto"/>
            <w:vAlign w:val="bottom"/>
          </w:tcPr>
          <w:p w:rsidRPr="00D4792E" w:rsidR="002C118D" w:rsidP="00862E03" w:rsidRDefault="00BD1E82" w14:paraId="283CE0EE" w14:textId="50D87A66">
            <w:pPr>
              <w:jc w:val="center"/>
              <w:rPr>
                <w:rFonts w:eastAsia="Calibri"/>
                <w:bCs/>
              </w:rPr>
            </w:pPr>
            <w:r w:rsidRPr="00D4792E">
              <w:rPr>
                <w:rFonts w:eastAsia="Calibri"/>
                <w:bCs/>
                <w:szCs w:val="26"/>
              </w:rPr>
              <w:t>306,61</w:t>
            </w:r>
            <w:r w:rsidR="00DB4316">
              <w:rPr>
                <w:rFonts w:eastAsia="Calibri"/>
                <w:bCs/>
                <w:szCs w:val="26"/>
              </w:rPr>
              <w:t>3</w:t>
            </w:r>
          </w:p>
        </w:tc>
        <w:tc>
          <w:tcPr>
            <w:tcW w:w="1620" w:type="dxa"/>
            <w:shd w:val="clear" w:color="auto" w:fill="auto"/>
            <w:vAlign w:val="bottom"/>
          </w:tcPr>
          <w:p w:rsidRPr="005E5E83" w:rsidR="002C118D" w:rsidP="00862E03" w:rsidRDefault="00C120AD" w14:paraId="428DD5EA" w14:textId="2C7D2F0A">
            <w:pPr>
              <w:jc w:val="center"/>
              <w:rPr>
                <w:rFonts w:eastAsia="Calibri"/>
              </w:rPr>
            </w:pPr>
            <w:r>
              <w:rPr>
                <w:rFonts w:eastAsia="Calibri"/>
              </w:rPr>
              <w:t>305,812</w:t>
            </w:r>
          </w:p>
        </w:tc>
        <w:tc>
          <w:tcPr>
            <w:tcW w:w="1800" w:type="dxa"/>
            <w:shd w:val="clear" w:color="auto" w:fill="auto"/>
            <w:vAlign w:val="bottom"/>
          </w:tcPr>
          <w:p w:rsidRPr="005E5E83" w:rsidR="002C118D" w:rsidP="00862E03" w:rsidRDefault="00C120AD" w14:paraId="56544879" w14:textId="7A435E3D">
            <w:pPr>
              <w:jc w:val="center"/>
              <w:rPr>
                <w:rFonts w:eastAsia="Calibri"/>
              </w:rPr>
            </w:pPr>
            <w:r>
              <w:rPr>
                <w:rFonts w:eastAsia="Calibri"/>
              </w:rPr>
              <w:t>0</w:t>
            </w:r>
          </w:p>
        </w:tc>
        <w:tc>
          <w:tcPr>
            <w:tcW w:w="1957" w:type="dxa"/>
            <w:shd w:val="clear" w:color="auto" w:fill="auto"/>
            <w:vAlign w:val="bottom"/>
          </w:tcPr>
          <w:p w:rsidRPr="005E5E83" w:rsidR="002C118D" w:rsidP="00862E03" w:rsidRDefault="00C120AD" w14:paraId="7A6D3B52" w14:textId="1808DDF3">
            <w:pPr>
              <w:jc w:val="center"/>
              <w:rPr>
                <w:rFonts w:eastAsia="Calibri"/>
              </w:rPr>
            </w:pPr>
            <w:r>
              <w:rPr>
                <w:rFonts w:eastAsia="Calibri"/>
              </w:rPr>
              <w:t>80</w:t>
            </w:r>
            <w:r w:rsidR="00754A71">
              <w:rPr>
                <w:rFonts w:eastAsia="Calibri"/>
              </w:rPr>
              <w:t>1</w:t>
            </w:r>
            <w:r w:rsidR="009F598C">
              <w:rPr>
                <w:rStyle w:val="FootnoteReference"/>
                <w:rFonts w:eastAsia="Calibri"/>
              </w:rPr>
              <w:footnoteReference w:id="13"/>
            </w:r>
          </w:p>
        </w:tc>
      </w:tr>
      <w:tr w:rsidRPr="00F33E3A" w:rsidR="002C118D" w:rsidTr="003F1AE2" w14:paraId="3CC2CB67" w14:textId="77777777">
        <w:trPr>
          <w:trHeight w:val="295"/>
        </w:trPr>
        <w:tc>
          <w:tcPr>
            <w:tcW w:w="2679" w:type="dxa"/>
            <w:tcBorders>
              <w:bottom w:val="single" w:color="auto" w:sz="4" w:space="0"/>
            </w:tcBorders>
            <w:shd w:val="clear" w:color="auto" w:fill="auto"/>
          </w:tcPr>
          <w:p w:rsidRPr="005E5E83" w:rsidR="002C118D" w:rsidP="008D4689" w:rsidRDefault="002C118D" w14:paraId="7C8525B6" w14:textId="77777777">
            <w:pPr>
              <w:jc w:val="center"/>
              <w:rPr>
                <w:rFonts w:eastAsia="Calibri"/>
              </w:rPr>
            </w:pPr>
            <w:r w:rsidRPr="005E5E83">
              <w:rPr>
                <w:rFonts w:eastAsia="Calibri"/>
              </w:rPr>
              <w:t>Annual Cost Burden ($)</w:t>
            </w:r>
          </w:p>
        </w:tc>
        <w:tc>
          <w:tcPr>
            <w:tcW w:w="1461" w:type="dxa"/>
            <w:tcBorders>
              <w:bottom w:val="single" w:color="auto" w:sz="4" w:space="0"/>
            </w:tcBorders>
            <w:shd w:val="clear" w:color="auto" w:fill="auto"/>
            <w:vAlign w:val="bottom"/>
          </w:tcPr>
          <w:p w:rsidRPr="005E5E83" w:rsidR="002C118D" w:rsidP="00862E03" w:rsidRDefault="002C118D" w14:paraId="1B04AE41" w14:textId="77777777">
            <w:pPr>
              <w:jc w:val="center"/>
              <w:rPr>
                <w:rFonts w:eastAsia="Calibri"/>
                <w:highlight w:val="yellow"/>
              </w:rPr>
            </w:pPr>
            <w:r w:rsidRPr="005E5E83">
              <w:rPr>
                <w:rFonts w:eastAsia="Calibri"/>
              </w:rPr>
              <w:t>$0</w:t>
            </w:r>
          </w:p>
        </w:tc>
        <w:tc>
          <w:tcPr>
            <w:tcW w:w="1620" w:type="dxa"/>
            <w:tcBorders>
              <w:bottom w:val="single" w:color="auto" w:sz="4" w:space="0"/>
            </w:tcBorders>
            <w:shd w:val="clear" w:color="auto" w:fill="auto"/>
            <w:vAlign w:val="bottom"/>
          </w:tcPr>
          <w:p w:rsidRPr="005E5E83" w:rsidR="002C118D" w:rsidP="00862E03" w:rsidRDefault="002C118D" w14:paraId="1D9DC643" w14:textId="77777777">
            <w:pPr>
              <w:jc w:val="center"/>
              <w:rPr>
                <w:rFonts w:eastAsia="Calibri"/>
              </w:rPr>
            </w:pPr>
            <w:r w:rsidRPr="005E5E83">
              <w:rPr>
                <w:rFonts w:eastAsia="Calibri"/>
              </w:rPr>
              <w:t>$0</w:t>
            </w:r>
          </w:p>
        </w:tc>
        <w:tc>
          <w:tcPr>
            <w:tcW w:w="1800" w:type="dxa"/>
            <w:tcBorders>
              <w:bottom w:val="single" w:color="auto" w:sz="4" w:space="0"/>
            </w:tcBorders>
            <w:shd w:val="clear" w:color="auto" w:fill="auto"/>
            <w:vAlign w:val="bottom"/>
          </w:tcPr>
          <w:p w:rsidRPr="005E5E83" w:rsidR="002C118D" w:rsidP="00862E03" w:rsidRDefault="002C118D" w14:paraId="48CBB93A" w14:textId="77777777">
            <w:pPr>
              <w:jc w:val="center"/>
              <w:rPr>
                <w:rFonts w:eastAsia="Calibri"/>
              </w:rPr>
            </w:pPr>
            <w:r w:rsidRPr="005E5E83">
              <w:rPr>
                <w:rFonts w:eastAsia="Calibri"/>
              </w:rPr>
              <w:t>$0</w:t>
            </w:r>
          </w:p>
        </w:tc>
        <w:tc>
          <w:tcPr>
            <w:tcW w:w="1957" w:type="dxa"/>
            <w:tcBorders>
              <w:bottom w:val="single" w:color="auto" w:sz="4" w:space="0"/>
            </w:tcBorders>
            <w:shd w:val="clear" w:color="auto" w:fill="auto"/>
            <w:vAlign w:val="bottom"/>
          </w:tcPr>
          <w:p w:rsidRPr="005E5E83" w:rsidR="002C118D" w:rsidP="00862E03" w:rsidRDefault="002C118D" w14:paraId="4A8DCB73" w14:textId="77777777">
            <w:pPr>
              <w:jc w:val="center"/>
              <w:rPr>
                <w:rFonts w:eastAsia="Calibri"/>
              </w:rPr>
            </w:pPr>
            <w:r w:rsidRPr="005E5E83">
              <w:rPr>
                <w:rFonts w:eastAsia="Calibri"/>
              </w:rPr>
              <w:t>$0</w:t>
            </w:r>
          </w:p>
        </w:tc>
      </w:tr>
    </w:tbl>
    <w:p w:rsidRPr="005E5E83" w:rsidR="002C118D" w:rsidP="00E443F9" w:rsidRDefault="002C118D" w14:paraId="1801F2FB" w14:textId="55B8E21A">
      <w:pPr>
        <w:jc w:val="center"/>
      </w:pPr>
    </w:p>
    <w:p w:rsidRPr="005E5E83" w:rsidR="00BC15BE" w:rsidP="00BC15BE" w:rsidRDefault="00BC15BE" w14:paraId="1DD34261" w14:textId="77777777">
      <w:pPr>
        <w:pStyle w:val="Level1"/>
        <w:rPr>
          <w:b/>
          <w:sz w:val="26"/>
        </w:rPr>
      </w:pPr>
      <w:r w:rsidRPr="005E5E83">
        <w:rPr>
          <w:b/>
          <w:sz w:val="26"/>
        </w:rPr>
        <w:t>TIME SCHEDULE FOR PUBLICATION OF DATA</w:t>
      </w:r>
    </w:p>
    <w:p w:rsidRPr="005E5E83" w:rsidR="003808AD" w:rsidP="00DF6937" w:rsidRDefault="003808AD" w14:paraId="4315C849" w14:textId="77777777"/>
    <w:p w:rsidRPr="005E5E83" w:rsidR="00DF6937" w:rsidP="00DF6937" w:rsidRDefault="003808AD" w14:paraId="7E8CED75" w14:textId="35B15FA1">
      <w:r w:rsidRPr="005E5E83">
        <w:t>D</w:t>
      </w:r>
      <w:r w:rsidRPr="005E5E83" w:rsidR="005E583F">
        <w:t>espite the fact that FERC-545 data are publicly available,</w:t>
      </w:r>
      <w:r w:rsidRPr="005E5E83" w:rsidR="00DF6937">
        <w:t xml:space="preserve"> there </w:t>
      </w:r>
      <w:r w:rsidRPr="005E5E83" w:rsidR="005E583F">
        <w:t>are</w:t>
      </w:r>
      <w:r w:rsidRPr="005E5E83" w:rsidR="00DF6937">
        <w:t xml:space="preserve"> no tabulating, statistical or publication plans.</w:t>
      </w:r>
    </w:p>
    <w:p w:rsidRPr="005E5E83" w:rsidR="00DF6937" w:rsidP="00BC15BE" w:rsidRDefault="00DF6937" w14:paraId="78111E1E" w14:textId="77777777"/>
    <w:p w:rsidRPr="005E5E83" w:rsidR="00BC15BE" w:rsidP="00BC15BE" w:rsidRDefault="00BC15BE" w14:paraId="02004AD4" w14:textId="77777777"/>
    <w:p w:rsidRPr="005E5E83" w:rsidR="00BC15BE" w:rsidP="00BC15BE" w:rsidRDefault="00BC15BE" w14:paraId="604362A8" w14:textId="77777777">
      <w:pPr>
        <w:pStyle w:val="Level1"/>
        <w:rPr>
          <w:b/>
          <w:sz w:val="26"/>
        </w:rPr>
      </w:pPr>
      <w:r w:rsidRPr="005E5E83">
        <w:rPr>
          <w:b/>
          <w:sz w:val="26"/>
        </w:rPr>
        <w:t>DISPLAY OF EXPIRATION DATE</w:t>
      </w:r>
    </w:p>
    <w:p w:rsidRPr="005E5E83" w:rsidR="000C0189" w:rsidP="00BC15BE" w:rsidRDefault="000C0189" w14:paraId="3EFB0E76" w14:textId="77777777"/>
    <w:p w:rsidRPr="005E5E83" w:rsidR="00ED2A21" w:rsidP="00ED2A21" w:rsidRDefault="00ED2A21" w14:paraId="4E3662B7" w14:textId="77777777">
      <w:pPr>
        <w:rPr>
          <w:rFonts w:eastAsiaTheme="minorHAnsi"/>
        </w:rPr>
      </w:pPr>
      <w:r w:rsidRPr="005E5E83">
        <w:rPr>
          <w:rFonts w:eastAsiaTheme="minorHAnsi"/>
        </w:rPr>
        <w:t xml:space="preserve">The expiration date is displayed in a table posted on ferc.gov at </w:t>
      </w:r>
      <w:hyperlink w:history="1" r:id="rId12">
        <w:r w:rsidRPr="005E5E83">
          <w:rPr>
            <w:rFonts w:eastAsiaTheme="minorHAnsi"/>
            <w:color w:val="0000FF"/>
            <w:u w:val="single"/>
          </w:rPr>
          <w:t>https://www.ferc.gov/information-collections</w:t>
        </w:r>
      </w:hyperlink>
    </w:p>
    <w:p w:rsidRPr="005E5E83" w:rsidR="00BC15BE" w:rsidP="00BC15BE" w:rsidRDefault="00BC15BE" w14:paraId="39DDEEB5" w14:textId="77777777"/>
    <w:p w:rsidRPr="005E5E83" w:rsidR="00BC15BE" w:rsidP="00BC15BE" w:rsidRDefault="00BC15BE" w14:paraId="121B55AC" w14:textId="77777777">
      <w:pPr>
        <w:pStyle w:val="Level1"/>
        <w:rPr>
          <w:b/>
          <w:sz w:val="26"/>
        </w:rPr>
      </w:pPr>
      <w:r w:rsidRPr="005E5E83">
        <w:rPr>
          <w:b/>
          <w:sz w:val="26"/>
        </w:rPr>
        <w:t>EXCEPTIONS TO THE CERTIFICATION STATEMENT</w:t>
      </w:r>
    </w:p>
    <w:p w:rsidRPr="005E5E83" w:rsidR="000C0189" w:rsidP="00BC15BE" w:rsidRDefault="000C0189" w14:paraId="4508C369" w14:textId="77777777"/>
    <w:p w:rsidRPr="005E5E83" w:rsidR="00BC15BE" w:rsidP="00BC15BE" w:rsidRDefault="00BC15BE" w14:paraId="7C3D7C44" w14:textId="77777777">
      <w:r w:rsidRPr="005E5E83">
        <w:t>There are no exceptions.</w:t>
      </w:r>
    </w:p>
    <w:p w:rsidRPr="005E5E83" w:rsidR="0010764F" w:rsidRDefault="0010764F" w14:paraId="5DD536D6" w14:textId="77777777"/>
    <w:sectPr w:rsidRPr="005E5E83" w:rsidR="0010764F" w:rsidSect="008D4689">
      <w:headerReference w:type="default" r:id="rId13"/>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9468" w14:textId="77777777" w:rsidR="000F3D1A" w:rsidRDefault="000F3D1A" w:rsidP="00BC15BE">
      <w:r>
        <w:separator/>
      </w:r>
    </w:p>
  </w:endnote>
  <w:endnote w:type="continuationSeparator" w:id="0">
    <w:p w14:paraId="52D1F245" w14:textId="77777777" w:rsidR="000F3D1A" w:rsidRDefault="000F3D1A" w:rsidP="00BC15BE">
      <w:r>
        <w:continuationSeparator/>
      </w:r>
    </w:p>
  </w:endnote>
  <w:endnote w:type="continuationNotice" w:id="1">
    <w:p w14:paraId="78374835" w14:textId="77777777" w:rsidR="000F3D1A" w:rsidRDefault="000F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DFA1" w14:textId="77777777" w:rsidR="000F3D1A" w:rsidRDefault="000F3D1A" w:rsidP="00BC15BE">
      <w:r>
        <w:separator/>
      </w:r>
    </w:p>
  </w:footnote>
  <w:footnote w:type="continuationSeparator" w:id="0">
    <w:p w14:paraId="47C0CC88" w14:textId="77777777" w:rsidR="000F3D1A" w:rsidRDefault="000F3D1A" w:rsidP="00BC15BE">
      <w:r>
        <w:continuationSeparator/>
      </w:r>
    </w:p>
  </w:footnote>
  <w:footnote w:type="continuationNotice" w:id="1">
    <w:p w14:paraId="4699158A" w14:textId="77777777" w:rsidR="000F3D1A" w:rsidRDefault="000F3D1A"/>
  </w:footnote>
  <w:footnote w:id="2">
    <w:p w14:paraId="22981F2B" w14:textId="6BBA7CD1" w:rsidR="00E66DDD" w:rsidRDefault="00E66DDD">
      <w:pPr>
        <w:pStyle w:val="FootnoteText"/>
      </w:pPr>
      <w:r>
        <w:rPr>
          <w:rStyle w:val="FootnoteReference"/>
        </w:rPr>
        <w:footnoteRef/>
      </w:r>
      <w:r>
        <w:t xml:space="preserve"> </w:t>
      </w:r>
      <w:r w:rsidRPr="00EE39BE">
        <w:rPr>
          <w:sz w:val="26"/>
          <w:szCs w:val="26"/>
        </w:rPr>
        <w:t xml:space="preserve">Federal Register </w:t>
      </w:r>
      <w:hyperlink r:id="rId1" w:history="1">
        <w:r w:rsidRPr="003A344E">
          <w:rPr>
            <w:rStyle w:val="Hyperlink"/>
            <w:sz w:val="26"/>
            <w:szCs w:val="26"/>
          </w:rPr>
          <w:t xml:space="preserve">87 FR </w:t>
        </w:r>
        <w:r w:rsidR="003A344E" w:rsidRPr="003A344E">
          <w:rPr>
            <w:rStyle w:val="Hyperlink"/>
            <w:sz w:val="26"/>
            <w:szCs w:val="26"/>
          </w:rPr>
          <w:t>31783</w:t>
        </w:r>
      </w:hyperlink>
    </w:p>
  </w:footnote>
  <w:footnote w:id="3">
    <w:p w14:paraId="743DA93E" w14:textId="77777777" w:rsidR="00F62CCB" w:rsidRDefault="00F62CCB" w:rsidP="00F62CCB">
      <w:pPr>
        <w:pStyle w:val="FootnoteText"/>
      </w:pPr>
      <w:r>
        <w:rPr>
          <w:rStyle w:val="FootnoteReference"/>
        </w:rPr>
        <w:footnoteRef/>
      </w:r>
      <w:r>
        <w:t xml:space="preserve"> </w:t>
      </w:r>
      <w:r>
        <w:rPr>
          <w:sz w:val="24"/>
          <w:szCs w:val="24"/>
        </w:rPr>
        <w:t xml:space="preserve">Please refer to Appendix A on last page of the Supporting Statement or refer to the link </w:t>
      </w:r>
      <w:hyperlink r:id="rId2" w:history="1">
        <w:r>
          <w:rPr>
            <w:rStyle w:val="Hyperlink"/>
            <w:sz w:val="24"/>
            <w:szCs w:val="24"/>
          </w:rPr>
          <w:t>https://ferconline.ferc.gov/FERCOnline.aspx</w:t>
        </w:r>
      </w:hyperlink>
    </w:p>
    <w:p w14:paraId="7C92AAB4" w14:textId="77777777" w:rsidR="00F62CCB" w:rsidRDefault="00F62CCB" w:rsidP="00F62CCB">
      <w:pPr>
        <w:pStyle w:val="FootnoteText"/>
      </w:pPr>
    </w:p>
  </w:footnote>
  <w:footnote w:id="4">
    <w:p w14:paraId="500CE7C0" w14:textId="138FD93B" w:rsidR="00C14580" w:rsidRDefault="00C14580">
      <w:pPr>
        <w:pStyle w:val="FootnoteText"/>
      </w:pPr>
      <w:r>
        <w:rPr>
          <w:rStyle w:val="FootnoteReference"/>
        </w:rPr>
        <w:footnoteRef/>
      </w:r>
      <w:r>
        <w:t xml:space="preserve"> </w:t>
      </w:r>
      <w:r w:rsidR="001A3B49" w:rsidRPr="001A3B49">
        <w:rPr>
          <w:sz w:val="26"/>
          <w:szCs w:val="26"/>
        </w:rPr>
        <w:t>Petition for Rulemaking to Update Pipeline Filing Requirements:</w:t>
      </w:r>
      <w:r w:rsidR="001A3B49">
        <w:t xml:space="preserve"> </w:t>
      </w:r>
      <w:hyperlink r:id="rId3" w:history="1">
        <w:r w:rsidR="001A3B49" w:rsidRPr="001A3B49">
          <w:rPr>
            <w:rStyle w:val="Hyperlink"/>
            <w:sz w:val="26"/>
            <w:szCs w:val="26"/>
          </w:rPr>
          <w:t>https://elibrary.ferc.gov/eLibrary/search</w:t>
        </w:r>
      </w:hyperlink>
      <w:r w:rsidR="001A3B49">
        <w:t xml:space="preserve"> </w:t>
      </w:r>
    </w:p>
  </w:footnote>
  <w:footnote w:id="5">
    <w:p w14:paraId="27F8F57C" w14:textId="74818B9B" w:rsidR="00E66DDD" w:rsidRDefault="00E66DDD">
      <w:pPr>
        <w:pStyle w:val="FootnoteText"/>
      </w:pPr>
      <w:r>
        <w:rPr>
          <w:rStyle w:val="FootnoteReference"/>
        </w:rPr>
        <w:footnoteRef/>
      </w:r>
      <w:r>
        <w:t xml:space="preserve"> </w:t>
      </w:r>
      <w:r w:rsidRPr="004C76B9">
        <w:rPr>
          <w:sz w:val="26"/>
          <w:szCs w:val="26"/>
        </w:rPr>
        <w:t xml:space="preserve">Issued on 5/19/22: </w:t>
      </w:r>
      <w:hyperlink r:id="rId4" w:history="1">
        <w:r w:rsidRPr="004C76B9">
          <w:rPr>
            <w:rStyle w:val="Hyperlink"/>
            <w:sz w:val="26"/>
            <w:szCs w:val="26"/>
          </w:rPr>
          <w:t>eLibrary | File List (ferc.gov)</w:t>
        </w:r>
      </w:hyperlink>
      <w:r>
        <w:t xml:space="preserve"> </w:t>
      </w:r>
    </w:p>
  </w:footnote>
  <w:footnote w:id="6">
    <w:p w14:paraId="15669367" w14:textId="77777777" w:rsidR="00FA3FAC" w:rsidRPr="000262CA" w:rsidRDefault="00FA3FAC" w:rsidP="00FA3FAC">
      <w:pPr>
        <w:pStyle w:val="FootnoteText"/>
        <w:rPr>
          <w:sz w:val="26"/>
          <w:szCs w:val="26"/>
        </w:rPr>
      </w:pPr>
      <w:r w:rsidRPr="00F33E3A">
        <w:rPr>
          <w:rStyle w:val="FootnoteReference"/>
        </w:rPr>
        <w:footnoteRef/>
      </w:r>
      <w:r w:rsidRPr="00F33E3A">
        <w:rPr>
          <w:sz w:val="26"/>
          <w:szCs w:val="26"/>
        </w:rPr>
        <w:t xml:space="preserve"> The estimated hourly cost (salary plus benefits) provided in this section is based on the salary figures f</w:t>
      </w:r>
      <w:r w:rsidRPr="000262CA">
        <w:rPr>
          <w:sz w:val="26"/>
          <w:szCs w:val="26"/>
        </w:rPr>
        <w:t xml:space="preserve">or May 2021 posted by the Bureau of Labor Statistics for the Utilities sector (available at </w:t>
      </w:r>
      <w:hyperlink r:id="rId5" w:history="1">
        <w:r w:rsidRPr="00F33E3A">
          <w:rPr>
            <w:rStyle w:val="Hyperlink"/>
            <w:sz w:val="26"/>
            <w:szCs w:val="26"/>
          </w:rPr>
          <w:t>https://www.bls.gov/oes/current/naics3_221000.htm</w:t>
        </w:r>
      </w:hyperlink>
      <w:r w:rsidRPr="00F33E3A">
        <w:rPr>
          <w:sz w:val="26"/>
          <w:szCs w:val="26"/>
        </w:rPr>
        <w:t>) and scaled to reflect benefits using the relati</w:t>
      </w:r>
      <w:r w:rsidRPr="000262CA">
        <w:rPr>
          <w:sz w:val="26"/>
          <w:szCs w:val="26"/>
        </w:rPr>
        <w:t xml:space="preserve">ve importance of employer costs for employee compensation from June 2021 (available at </w:t>
      </w:r>
      <w:hyperlink r:id="rId6" w:history="1">
        <w:r w:rsidRPr="00F33E3A">
          <w:rPr>
            <w:rStyle w:val="Hyperlink"/>
            <w:sz w:val="26"/>
            <w:szCs w:val="26"/>
          </w:rPr>
          <w:t>https://www.bls.gov/news.release/ecec.nr0.htm</w:t>
        </w:r>
      </w:hyperlink>
      <w:r w:rsidRPr="00F33E3A">
        <w:rPr>
          <w:sz w:val="26"/>
          <w:szCs w:val="26"/>
        </w:rPr>
        <w:t xml:space="preserve">).  The hourly estimates for salary plus benefits are: </w:t>
      </w:r>
    </w:p>
    <w:p w14:paraId="1B3182B4" w14:textId="77777777" w:rsidR="00FA3FAC" w:rsidRPr="000262CA" w:rsidRDefault="00FA3FAC" w:rsidP="00FA3FAC">
      <w:pPr>
        <w:pStyle w:val="FootnoteText"/>
        <w:rPr>
          <w:rFonts w:eastAsia="Calibri"/>
          <w:sz w:val="26"/>
          <w:szCs w:val="26"/>
        </w:rPr>
      </w:pPr>
      <w:r w:rsidRPr="000262CA">
        <w:rPr>
          <w:rFonts w:eastAsia="Calibri"/>
          <w:sz w:val="26"/>
          <w:szCs w:val="26"/>
        </w:rPr>
        <w:t>Computer and Information Systems Manager (Occupation Code: 11-3021), $103.61</w:t>
      </w:r>
    </w:p>
    <w:p w14:paraId="556FF447" w14:textId="77777777" w:rsidR="00FA3FAC" w:rsidRPr="00F33E3A" w:rsidRDefault="00FA3FAC" w:rsidP="00FA3FAC">
      <w:pPr>
        <w:pStyle w:val="FootnoteText"/>
        <w:rPr>
          <w:rFonts w:eastAsia="Calibri"/>
          <w:sz w:val="26"/>
          <w:szCs w:val="26"/>
        </w:rPr>
      </w:pPr>
      <w:r w:rsidRPr="00F33E3A">
        <w:rPr>
          <w:rFonts w:eastAsia="Calibri"/>
          <w:sz w:val="26"/>
          <w:szCs w:val="26"/>
        </w:rPr>
        <w:t>Computer and Information Analysts (Occupation Code:  15-1120(1221), $67.99</w:t>
      </w:r>
    </w:p>
    <w:p w14:paraId="42FB2D2C" w14:textId="77777777" w:rsidR="00FA3FAC" w:rsidRPr="00F33E3A" w:rsidRDefault="00FA3FAC" w:rsidP="00FA3FAC">
      <w:pPr>
        <w:pStyle w:val="FootnoteText"/>
        <w:rPr>
          <w:rFonts w:eastAsia="Calibri"/>
          <w:sz w:val="26"/>
          <w:szCs w:val="26"/>
        </w:rPr>
      </w:pPr>
      <w:r w:rsidRPr="00F33E3A">
        <w:rPr>
          <w:rFonts w:eastAsia="Calibri"/>
          <w:sz w:val="26"/>
          <w:szCs w:val="26"/>
        </w:rPr>
        <w:t>Electrical Engineer (Occupation Code: 17-2071), $72.15</w:t>
      </w:r>
    </w:p>
    <w:p w14:paraId="3900C19C" w14:textId="77777777" w:rsidR="00FA3FAC" w:rsidRPr="00F33E3A" w:rsidRDefault="00FA3FAC" w:rsidP="00FA3FAC">
      <w:pPr>
        <w:pStyle w:val="FootnoteText"/>
        <w:rPr>
          <w:rFonts w:eastAsia="Calibri"/>
          <w:sz w:val="26"/>
          <w:szCs w:val="26"/>
        </w:rPr>
      </w:pPr>
      <w:r w:rsidRPr="00F33E3A">
        <w:rPr>
          <w:rFonts w:eastAsia="Calibri"/>
          <w:sz w:val="26"/>
          <w:szCs w:val="26"/>
        </w:rPr>
        <w:t>Legal (Occupation Code: 23-0000), $142.25</w:t>
      </w:r>
    </w:p>
    <w:p w14:paraId="6D10423B" w14:textId="77777777" w:rsidR="00FA3FAC" w:rsidRPr="00F33E3A" w:rsidRDefault="00FA3FAC" w:rsidP="00FA3FAC">
      <w:pPr>
        <w:pStyle w:val="FootnoteText"/>
        <w:rPr>
          <w:sz w:val="26"/>
          <w:szCs w:val="26"/>
        </w:rPr>
      </w:pPr>
      <w:r w:rsidRPr="00F33E3A">
        <w:rPr>
          <w:sz w:val="26"/>
          <w:szCs w:val="26"/>
        </w:rPr>
        <w:t>The average hourly cost (salary plus benefits), weighting all of these skill sets evenly, is $96.50.  We round it to $97/hour.</w:t>
      </w:r>
    </w:p>
    <w:p w14:paraId="23C9B2FE" w14:textId="77777777" w:rsidR="00FA3FAC" w:rsidRPr="005E5E83" w:rsidRDefault="00FA3FAC" w:rsidP="00FA3FAC">
      <w:pPr>
        <w:pStyle w:val="FootnoteText"/>
        <w:rPr>
          <w:sz w:val="26"/>
        </w:rPr>
      </w:pPr>
    </w:p>
  </w:footnote>
  <w:footnote w:id="7">
    <w:p w14:paraId="1965DB0A" w14:textId="77777777" w:rsidR="0013450D" w:rsidRPr="005E5E83" w:rsidRDefault="0013450D" w:rsidP="0013450D">
      <w:pPr>
        <w:pStyle w:val="FootnoteText"/>
        <w:rPr>
          <w:sz w:val="26"/>
        </w:rPr>
      </w:pPr>
      <w:r w:rsidRPr="00216196">
        <w:rPr>
          <w:rStyle w:val="FootnoteReference"/>
        </w:rPr>
        <w:footnoteRef/>
      </w:r>
      <w:r w:rsidRPr="005E5E83">
        <w:rPr>
          <w:sz w:val="26"/>
        </w:rPr>
        <w:t xml:space="preserve"> The final rule in Docket No. RM96-1-042 was published in the Federal Register on August 10, 2021 (86 FR 43590).  OMB approved the information collection aspects of the rule, including revisions of FERC-545, in November of 2021.</w:t>
      </w:r>
    </w:p>
  </w:footnote>
  <w:footnote w:id="8">
    <w:p w14:paraId="1AA21F48" w14:textId="18660A2C" w:rsidR="00D36F12" w:rsidRPr="005E5E83" w:rsidRDefault="00D36F12" w:rsidP="002567E4">
      <w:pPr>
        <w:pStyle w:val="FootnoteText"/>
        <w:rPr>
          <w:sz w:val="26"/>
          <w:szCs w:val="24"/>
        </w:rPr>
      </w:pPr>
      <w:r w:rsidRPr="005E5E83">
        <w:rPr>
          <w:rStyle w:val="FootnoteReference"/>
          <w:szCs w:val="24"/>
        </w:rPr>
        <w:footnoteRef/>
      </w:r>
      <w:r w:rsidRPr="005E5E83">
        <w:rPr>
          <w:sz w:val="26"/>
          <w:szCs w:val="24"/>
        </w:rPr>
        <w:t xml:space="preserve"> Based on FERC’s Fiscal Year 20</w:t>
      </w:r>
      <w:r w:rsidR="00FB3579" w:rsidRPr="005E5E83">
        <w:rPr>
          <w:sz w:val="26"/>
          <w:szCs w:val="24"/>
        </w:rPr>
        <w:t>21</w:t>
      </w:r>
      <w:r w:rsidRPr="005E5E83">
        <w:rPr>
          <w:sz w:val="26"/>
          <w:szCs w:val="24"/>
        </w:rPr>
        <w:t xml:space="preserve"> average cost per FTE (salary plus benefits) of $1</w:t>
      </w:r>
      <w:r w:rsidR="00FB3579" w:rsidRPr="005E5E83">
        <w:rPr>
          <w:sz w:val="26"/>
          <w:szCs w:val="24"/>
        </w:rPr>
        <w:t>80</w:t>
      </w:r>
      <w:r w:rsidR="00573C31" w:rsidRPr="005E5E83">
        <w:rPr>
          <w:sz w:val="26"/>
          <w:szCs w:val="24"/>
        </w:rPr>
        <w:t>,</w:t>
      </w:r>
      <w:r w:rsidR="00FB3579" w:rsidRPr="005E5E83">
        <w:rPr>
          <w:sz w:val="26"/>
          <w:szCs w:val="24"/>
        </w:rPr>
        <w:t>703</w:t>
      </w:r>
      <w:r w:rsidRPr="005E5E83">
        <w:rPr>
          <w:sz w:val="26"/>
          <w:szCs w:val="24"/>
        </w:rPr>
        <w:t xml:space="preserve"> per year (or 2,080 work hours), rounded to $</w:t>
      </w:r>
      <w:r w:rsidR="00F90719" w:rsidRPr="005E5E83">
        <w:rPr>
          <w:sz w:val="26"/>
          <w:szCs w:val="24"/>
        </w:rPr>
        <w:t>8</w:t>
      </w:r>
      <w:r w:rsidR="00FB3579" w:rsidRPr="005E5E83">
        <w:rPr>
          <w:sz w:val="26"/>
          <w:szCs w:val="24"/>
        </w:rPr>
        <w:t>7</w:t>
      </w:r>
      <w:r w:rsidRPr="005E5E83">
        <w:rPr>
          <w:sz w:val="26"/>
          <w:szCs w:val="24"/>
        </w:rPr>
        <w:t xml:space="preserve">.00 per hour. </w:t>
      </w:r>
    </w:p>
  </w:footnote>
  <w:footnote w:id="9">
    <w:p w14:paraId="5896C281" w14:textId="77777777" w:rsidR="00D36F12" w:rsidRPr="005E5E83" w:rsidRDefault="00D36F12" w:rsidP="002567E4">
      <w:pPr>
        <w:pStyle w:val="FootnoteText"/>
        <w:rPr>
          <w:sz w:val="26"/>
          <w:szCs w:val="24"/>
        </w:rPr>
      </w:pPr>
      <w:r w:rsidRPr="005E5E83">
        <w:rPr>
          <w:rStyle w:val="FootnoteReference"/>
          <w:szCs w:val="24"/>
        </w:rPr>
        <w:footnoteRef/>
      </w:r>
      <w:r w:rsidRPr="005E5E83">
        <w:rPr>
          <w:sz w:val="26"/>
          <w:szCs w:val="24"/>
        </w:rPr>
        <w:t xml:space="preserve"> Paperwork Reduction Act of 1995 (PRA)</w:t>
      </w:r>
    </w:p>
  </w:footnote>
  <w:footnote w:id="10">
    <w:p w14:paraId="2AB0B54B" w14:textId="4AA87054" w:rsidR="00D36F12" w:rsidRPr="005E5E83" w:rsidRDefault="00D36F12" w:rsidP="002567E4">
      <w:pPr>
        <w:pStyle w:val="FootnoteText"/>
        <w:rPr>
          <w:sz w:val="26"/>
          <w:szCs w:val="24"/>
        </w:rPr>
      </w:pPr>
      <w:r w:rsidRPr="005E5E83">
        <w:rPr>
          <w:rStyle w:val="FootnoteReference"/>
          <w:szCs w:val="24"/>
        </w:rPr>
        <w:footnoteRef/>
      </w:r>
      <w:r w:rsidRPr="005E5E83">
        <w:rPr>
          <w:sz w:val="26"/>
          <w:szCs w:val="24"/>
        </w:rPr>
        <w:t xml:space="preserve"> The PRA Administration Cost is $ </w:t>
      </w:r>
      <w:r w:rsidR="00FB3579" w:rsidRPr="005E5E83">
        <w:rPr>
          <w:sz w:val="26"/>
          <w:szCs w:val="24"/>
        </w:rPr>
        <w:t>8,279</w:t>
      </w:r>
      <w:r w:rsidRPr="005E5E83">
        <w:rPr>
          <w:sz w:val="26"/>
          <w:szCs w:val="24"/>
        </w:rPr>
        <w:t>, and includes preparing supporting statements, notices, and other activities associated with P</w:t>
      </w:r>
      <w:r w:rsidR="008B59AE" w:rsidRPr="005E5E83">
        <w:rPr>
          <w:sz w:val="26"/>
          <w:szCs w:val="24"/>
        </w:rPr>
        <w:t xml:space="preserve">RA </w:t>
      </w:r>
      <w:r w:rsidRPr="005E5E83">
        <w:rPr>
          <w:sz w:val="26"/>
          <w:szCs w:val="24"/>
        </w:rPr>
        <w:t>compliance.</w:t>
      </w:r>
    </w:p>
  </w:footnote>
  <w:footnote w:id="11">
    <w:p w14:paraId="26909FBA" w14:textId="517F3546" w:rsidR="00A277D4" w:rsidRPr="005E5E83" w:rsidRDefault="00A277D4" w:rsidP="002567E4">
      <w:pPr>
        <w:pStyle w:val="FootnoteText"/>
        <w:rPr>
          <w:sz w:val="26"/>
          <w:szCs w:val="24"/>
        </w:rPr>
      </w:pPr>
      <w:r w:rsidRPr="005E5E83">
        <w:rPr>
          <w:rStyle w:val="FootnoteReference"/>
          <w:szCs w:val="24"/>
        </w:rPr>
        <w:footnoteRef/>
      </w:r>
      <w:r w:rsidRPr="005E5E83">
        <w:rPr>
          <w:sz w:val="26"/>
          <w:szCs w:val="24"/>
        </w:rPr>
        <w:t xml:space="preserve"> This cost will be applied to the FERC-545 </w:t>
      </w:r>
      <w:r w:rsidR="004D5056" w:rsidRPr="005E5E83">
        <w:rPr>
          <w:sz w:val="26"/>
          <w:szCs w:val="24"/>
        </w:rPr>
        <w:t xml:space="preserve">information </w:t>
      </w:r>
      <w:r w:rsidR="00FB3579" w:rsidRPr="005E5E83">
        <w:rPr>
          <w:sz w:val="26"/>
          <w:szCs w:val="24"/>
        </w:rPr>
        <w:t>collection.</w:t>
      </w:r>
    </w:p>
  </w:footnote>
  <w:footnote w:id="12">
    <w:p w14:paraId="5827BD56" w14:textId="22C9CC13" w:rsidR="002E510C" w:rsidRPr="00397DBA" w:rsidRDefault="002E510C" w:rsidP="002567E4">
      <w:pPr>
        <w:pStyle w:val="FootnoteText"/>
        <w:rPr>
          <w:sz w:val="24"/>
          <w:szCs w:val="24"/>
        </w:rPr>
      </w:pPr>
      <w:r w:rsidRPr="005E5E83">
        <w:rPr>
          <w:rStyle w:val="FootnoteReference"/>
          <w:szCs w:val="24"/>
        </w:rPr>
        <w:footnoteRef/>
      </w:r>
      <w:r w:rsidRPr="005E5E83">
        <w:rPr>
          <w:sz w:val="26"/>
          <w:szCs w:val="24"/>
        </w:rPr>
        <w:t xml:space="preserve"> The estimate of federal FTE’s and the indicated split between FERC-545 is based on staff’s experience and the fact that the FERC-545 filings are one-time filings.</w:t>
      </w:r>
    </w:p>
  </w:footnote>
  <w:footnote w:id="13">
    <w:p w14:paraId="27376508" w14:textId="2DE39DE9" w:rsidR="009F598C" w:rsidRDefault="009F598C">
      <w:pPr>
        <w:pStyle w:val="FootnoteText"/>
      </w:pPr>
      <w:r>
        <w:rPr>
          <w:rStyle w:val="FootnoteReference"/>
        </w:rPr>
        <w:footnoteRef/>
      </w:r>
      <w:r>
        <w:t xml:space="preserve"> </w:t>
      </w:r>
      <w:r w:rsidRPr="006453D3">
        <w:rPr>
          <w:sz w:val="26"/>
          <w:szCs w:val="26"/>
        </w:rPr>
        <w:t xml:space="preserve">Due to rounding of the current 545 collection, the estimate increased 801 hours. </w:t>
      </w:r>
      <w:r w:rsidR="006453D3">
        <w:rPr>
          <w:sz w:val="26"/>
          <w:szCs w:val="26"/>
        </w:rPr>
        <w:t xml:space="preserve">However, since ROCIS already completed rounded the existing ICs it reflects 800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2FA6C4C5" w:rsidR="00D36F12" w:rsidRDefault="00D36F12" w:rsidP="002B45F1">
    <w:pPr>
      <w:pStyle w:val="Header"/>
    </w:pPr>
    <w:r w:rsidRPr="00A873E5">
      <w:t>FERC-545 (OMB Control No. 1902-0154)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27B7B"/>
    <w:multiLevelType w:val="hybridMultilevel"/>
    <w:tmpl w:val="205A7DE6"/>
    <w:lvl w:ilvl="0" w:tplc="6B88AB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7B921E5"/>
    <w:multiLevelType w:val="hybridMultilevel"/>
    <w:tmpl w:val="3904A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655DC0"/>
    <w:multiLevelType w:val="hybridMultilevel"/>
    <w:tmpl w:val="98F2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E4AC2"/>
    <w:multiLevelType w:val="hybridMultilevel"/>
    <w:tmpl w:val="6CEC06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8612251"/>
    <w:multiLevelType w:val="hybridMultilevel"/>
    <w:tmpl w:val="5A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7C9E"/>
    <w:multiLevelType w:val="hybridMultilevel"/>
    <w:tmpl w:val="FE2A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5118E"/>
    <w:multiLevelType w:val="hybridMultilevel"/>
    <w:tmpl w:val="54BAE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AB47FD"/>
    <w:multiLevelType w:val="hybridMultilevel"/>
    <w:tmpl w:val="0AEA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43E19"/>
    <w:multiLevelType w:val="hybridMultilevel"/>
    <w:tmpl w:val="EE58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973A4"/>
    <w:multiLevelType w:val="hybridMultilevel"/>
    <w:tmpl w:val="7064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3">
    <w:abstractNumId w:val="0"/>
    <w:lvlOverride w:ilvl="0">
      <w:startOverride w:val="11"/>
      <w:lvl w:ilvl="0">
        <w:start w:val="11"/>
        <w:numFmt w:val="decimal"/>
        <w:pStyle w:val="Level1"/>
        <w:lvlText w:val="%1."/>
        <w:lvlJc w:val="left"/>
      </w:lvl>
    </w:lvlOverride>
  </w:num>
  <w:num w:numId="4">
    <w:abstractNumId w:val="17"/>
  </w:num>
  <w:num w:numId="5">
    <w:abstractNumId w:val="6"/>
  </w:num>
  <w:num w:numId="6">
    <w:abstractNumId w:val="24"/>
  </w:num>
  <w:num w:numId="7">
    <w:abstractNumId w:val="3"/>
  </w:num>
  <w:num w:numId="8">
    <w:abstractNumId w:val="1"/>
  </w:num>
  <w:num w:numId="9">
    <w:abstractNumId w:val="12"/>
  </w:num>
  <w:num w:numId="10">
    <w:abstractNumId w:val="16"/>
  </w:num>
  <w:num w:numId="11">
    <w:abstractNumId w:val="21"/>
  </w:num>
  <w:num w:numId="12">
    <w:abstractNumId w:val="2"/>
  </w:num>
  <w:num w:numId="13">
    <w:abstractNumId w:val="20"/>
  </w:num>
  <w:num w:numId="14">
    <w:abstractNumId w:val="23"/>
  </w:num>
  <w:num w:numId="15">
    <w:abstractNumId w:val="18"/>
  </w:num>
  <w:num w:numId="16">
    <w:abstractNumId w:val="10"/>
  </w:num>
  <w:num w:numId="17">
    <w:abstractNumId w:val="7"/>
  </w:num>
  <w:num w:numId="18">
    <w:abstractNumId w:val="0"/>
    <w:lvlOverride w:ilvl="0">
      <w:startOverride w:val="10"/>
      <w:lvl w:ilvl="0">
        <w:start w:val="10"/>
        <w:numFmt w:val="decimal"/>
        <w:pStyle w:val="Level1"/>
        <w:lvlText w:val="%1."/>
        <w:lvlJc w:val="left"/>
      </w:lvl>
    </w:lvlOverride>
  </w:num>
  <w:num w:numId="19">
    <w:abstractNumId w:val="22"/>
  </w:num>
  <w:num w:numId="20">
    <w:abstractNumId w:val="13"/>
  </w:num>
  <w:num w:numId="21">
    <w:abstractNumId w:val="8"/>
  </w:num>
  <w:num w:numId="22">
    <w:abstractNumId w:val="4"/>
  </w:num>
  <w:num w:numId="23">
    <w:abstractNumId w:val="19"/>
  </w:num>
  <w:num w:numId="24">
    <w:abstractNumId w:val="11"/>
  </w:num>
  <w:num w:numId="25">
    <w:abstractNumId w:val="5"/>
  </w:num>
  <w:num w:numId="26">
    <w:abstractNumId w:val="15"/>
  </w:num>
  <w:num w:numId="27">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8">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5DA5"/>
    <w:rsid w:val="00023257"/>
    <w:rsid w:val="000262CA"/>
    <w:rsid w:val="000313DC"/>
    <w:rsid w:val="000326C9"/>
    <w:rsid w:val="00035182"/>
    <w:rsid w:val="000411FD"/>
    <w:rsid w:val="000524C2"/>
    <w:rsid w:val="00052AF3"/>
    <w:rsid w:val="000652A8"/>
    <w:rsid w:val="00074EFD"/>
    <w:rsid w:val="00095B57"/>
    <w:rsid w:val="000973F8"/>
    <w:rsid w:val="000A1ED1"/>
    <w:rsid w:val="000B19C0"/>
    <w:rsid w:val="000B2C2A"/>
    <w:rsid w:val="000C0189"/>
    <w:rsid w:val="000C4030"/>
    <w:rsid w:val="000C5550"/>
    <w:rsid w:val="000D03CF"/>
    <w:rsid w:val="000E2C3C"/>
    <w:rsid w:val="000E71C5"/>
    <w:rsid w:val="000F3D1A"/>
    <w:rsid w:val="000F7D78"/>
    <w:rsid w:val="00103C09"/>
    <w:rsid w:val="00106624"/>
    <w:rsid w:val="00106AB4"/>
    <w:rsid w:val="0010764F"/>
    <w:rsid w:val="0011159F"/>
    <w:rsid w:val="00113C06"/>
    <w:rsid w:val="001235FD"/>
    <w:rsid w:val="00132E7B"/>
    <w:rsid w:val="00133C8D"/>
    <w:rsid w:val="0013450D"/>
    <w:rsid w:val="001361B9"/>
    <w:rsid w:val="00141E40"/>
    <w:rsid w:val="00143797"/>
    <w:rsid w:val="001456AE"/>
    <w:rsid w:val="00153E29"/>
    <w:rsid w:val="00157642"/>
    <w:rsid w:val="00162EBD"/>
    <w:rsid w:val="0016529D"/>
    <w:rsid w:val="001839B0"/>
    <w:rsid w:val="00185817"/>
    <w:rsid w:val="001906DD"/>
    <w:rsid w:val="00190CD4"/>
    <w:rsid w:val="001915FB"/>
    <w:rsid w:val="001A3B49"/>
    <w:rsid w:val="001A535C"/>
    <w:rsid w:val="001B1135"/>
    <w:rsid w:val="001B60BF"/>
    <w:rsid w:val="001D5A3B"/>
    <w:rsid w:val="001E164E"/>
    <w:rsid w:val="001F1E2C"/>
    <w:rsid w:val="0020397B"/>
    <w:rsid w:val="0020662B"/>
    <w:rsid w:val="00212D57"/>
    <w:rsid w:val="00215D6C"/>
    <w:rsid w:val="00216196"/>
    <w:rsid w:val="00225E85"/>
    <w:rsid w:val="00241C42"/>
    <w:rsid w:val="00253848"/>
    <w:rsid w:val="00256088"/>
    <w:rsid w:val="002567E4"/>
    <w:rsid w:val="00261F73"/>
    <w:rsid w:val="00275D69"/>
    <w:rsid w:val="0027779E"/>
    <w:rsid w:val="0028518C"/>
    <w:rsid w:val="0028706A"/>
    <w:rsid w:val="00290492"/>
    <w:rsid w:val="00292218"/>
    <w:rsid w:val="00292691"/>
    <w:rsid w:val="00295055"/>
    <w:rsid w:val="00296D91"/>
    <w:rsid w:val="002978F1"/>
    <w:rsid w:val="002A2273"/>
    <w:rsid w:val="002A2AFD"/>
    <w:rsid w:val="002A4EBF"/>
    <w:rsid w:val="002B4415"/>
    <w:rsid w:val="002B45F1"/>
    <w:rsid w:val="002C118D"/>
    <w:rsid w:val="002C65F2"/>
    <w:rsid w:val="002C7122"/>
    <w:rsid w:val="002D1A59"/>
    <w:rsid w:val="002D4D89"/>
    <w:rsid w:val="002D7F3A"/>
    <w:rsid w:val="002E2010"/>
    <w:rsid w:val="002E510C"/>
    <w:rsid w:val="002E6CFA"/>
    <w:rsid w:val="002E7150"/>
    <w:rsid w:val="002E7DA9"/>
    <w:rsid w:val="002F301B"/>
    <w:rsid w:val="002F39BD"/>
    <w:rsid w:val="002F6758"/>
    <w:rsid w:val="0034651A"/>
    <w:rsid w:val="00353A27"/>
    <w:rsid w:val="0037023D"/>
    <w:rsid w:val="00376751"/>
    <w:rsid w:val="003808AD"/>
    <w:rsid w:val="00382D44"/>
    <w:rsid w:val="00382FF3"/>
    <w:rsid w:val="00385B39"/>
    <w:rsid w:val="00387011"/>
    <w:rsid w:val="00395CA7"/>
    <w:rsid w:val="00397DBA"/>
    <w:rsid w:val="003A22B3"/>
    <w:rsid w:val="003A344E"/>
    <w:rsid w:val="003A6CBA"/>
    <w:rsid w:val="003B6C0A"/>
    <w:rsid w:val="003D2136"/>
    <w:rsid w:val="003E0393"/>
    <w:rsid w:val="003F0E97"/>
    <w:rsid w:val="003F1AE2"/>
    <w:rsid w:val="003F49D9"/>
    <w:rsid w:val="00402714"/>
    <w:rsid w:val="00413B83"/>
    <w:rsid w:val="0041530B"/>
    <w:rsid w:val="00416822"/>
    <w:rsid w:val="004266B7"/>
    <w:rsid w:val="00435E3C"/>
    <w:rsid w:val="00440A6C"/>
    <w:rsid w:val="0044738C"/>
    <w:rsid w:val="00461547"/>
    <w:rsid w:val="00462F10"/>
    <w:rsid w:val="00467965"/>
    <w:rsid w:val="00467A1C"/>
    <w:rsid w:val="004700DA"/>
    <w:rsid w:val="004714B2"/>
    <w:rsid w:val="00476985"/>
    <w:rsid w:val="00481661"/>
    <w:rsid w:val="004832CE"/>
    <w:rsid w:val="00486D73"/>
    <w:rsid w:val="00492073"/>
    <w:rsid w:val="00493A45"/>
    <w:rsid w:val="004A0929"/>
    <w:rsid w:val="004A4DF1"/>
    <w:rsid w:val="004B16C8"/>
    <w:rsid w:val="004C76B9"/>
    <w:rsid w:val="004D5056"/>
    <w:rsid w:val="004F15B2"/>
    <w:rsid w:val="00504150"/>
    <w:rsid w:val="00504229"/>
    <w:rsid w:val="00507D06"/>
    <w:rsid w:val="0052272A"/>
    <w:rsid w:val="005228C3"/>
    <w:rsid w:val="00530CC0"/>
    <w:rsid w:val="00531B60"/>
    <w:rsid w:val="00533037"/>
    <w:rsid w:val="005409EE"/>
    <w:rsid w:val="00551CA9"/>
    <w:rsid w:val="00552843"/>
    <w:rsid w:val="00554171"/>
    <w:rsid w:val="0056066E"/>
    <w:rsid w:val="00565AA0"/>
    <w:rsid w:val="005703D3"/>
    <w:rsid w:val="00573C31"/>
    <w:rsid w:val="00577E07"/>
    <w:rsid w:val="005A77A4"/>
    <w:rsid w:val="005B305F"/>
    <w:rsid w:val="005C31E9"/>
    <w:rsid w:val="005C6925"/>
    <w:rsid w:val="005D286C"/>
    <w:rsid w:val="005E3C93"/>
    <w:rsid w:val="005E583F"/>
    <w:rsid w:val="005E5E83"/>
    <w:rsid w:val="005E7DE0"/>
    <w:rsid w:val="005F2E53"/>
    <w:rsid w:val="00602497"/>
    <w:rsid w:val="006071DF"/>
    <w:rsid w:val="0060764A"/>
    <w:rsid w:val="00613D99"/>
    <w:rsid w:val="00622554"/>
    <w:rsid w:val="006453D3"/>
    <w:rsid w:val="006462AD"/>
    <w:rsid w:val="006463BF"/>
    <w:rsid w:val="006512E7"/>
    <w:rsid w:val="00652747"/>
    <w:rsid w:val="00653765"/>
    <w:rsid w:val="0065564D"/>
    <w:rsid w:val="00671BA2"/>
    <w:rsid w:val="00676E88"/>
    <w:rsid w:val="00681128"/>
    <w:rsid w:val="00681600"/>
    <w:rsid w:val="00684BD1"/>
    <w:rsid w:val="00691DF4"/>
    <w:rsid w:val="00693FC9"/>
    <w:rsid w:val="006943C1"/>
    <w:rsid w:val="00697A15"/>
    <w:rsid w:val="006B2EAB"/>
    <w:rsid w:val="006B7B80"/>
    <w:rsid w:val="006B7EB4"/>
    <w:rsid w:val="006C2E0E"/>
    <w:rsid w:val="006E49AD"/>
    <w:rsid w:val="006E6438"/>
    <w:rsid w:val="006F3568"/>
    <w:rsid w:val="007051A1"/>
    <w:rsid w:val="00710313"/>
    <w:rsid w:val="00714BD9"/>
    <w:rsid w:val="00725D1D"/>
    <w:rsid w:val="00733F94"/>
    <w:rsid w:val="0073773B"/>
    <w:rsid w:val="00741AE3"/>
    <w:rsid w:val="007502D4"/>
    <w:rsid w:val="00754A71"/>
    <w:rsid w:val="00755C82"/>
    <w:rsid w:val="0076212B"/>
    <w:rsid w:val="007777B4"/>
    <w:rsid w:val="00786B75"/>
    <w:rsid w:val="00786B8A"/>
    <w:rsid w:val="00790B4E"/>
    <w:rsid w:val="00790F34"/>
    <w:rsid w:val="007973BC"/>
    <w:rsid w:val="007A42A3"/>
    <w:rsid w:val="007A7CD6"/>
    <w:rsid w:val="007B7E0C"/>
    <w:rsid w:val="007C083D"/>
    <w:rsid w:val="007C35D1"/>
    <w:rsid w:val="007D0453"/>
    <w:rsid w:val="007D3BA4"/>
    <w:rsid w:val="007E1376"/>
    <w:rsid w:val="007F1802"/>
    <w:rsid w:val="007F2B47"/>
    <w:rsid w:val="007F3726"/>
    <w:rsid w:val="007F4D97"/>
    <w:rsid w:val="007F5A9F"/>
    <w:rsid w:val="00800B4C"/>
    <w:rsid w:val="00805CDD"/>
    <w:rsid w:val="00817FF3"/>
    <w:rsid w:val="0085094B"/>
    <w:rsid w:val="00860043"/>
    <w:rsid w:val="008611ED"/>
    <w:rsid w:val="00862E03"/>
    <w:rsid w:val="00863189"/>
    <w:rsid w:val="00863D5C"/>
    <w:rsid w:val="00866355"/>
    <w:rsid w:val="0087618D"/>
    <w:rsid w:val="00886043"/>
    <w:rsid w:val="00895DFE"/>
    <w:rsid w:val="008A250D"/>
    <w:rsid w:val="008A357B"/>
    <w:rsid w:val="008B0BC4"/>
    <w:rsid w:val="008B59AE"/>
    <w:rsid w:val="008C1E2B"/>
    <w:rsid w:val="008C510C"/>
    <w:rsid w:val="008D3989"/>
    <w:rsid w:val="008D4689"/>
    <w:rsid w:val="008D6559"/>
    <w:rsid w:val="008E08A2"/>
    <w:rsid w:val="008E47FF"/>
    <w:rsid w:val="008F65E6"/>
    <w:rsid w:val="008F718E"/>
    <w:rsid w:val="00905ABE"/>
    <w:rsid w:val="00910DCD"/>
    <w:rsid w:val="0094085E"/>
    <w:rsid w:val="00950A2F"/>
    <w:rsid w:val="00966D03"/>
    <w:rsid w:val="00971F55"/>
    <w:rsid w:val="00980CA7"/>
    <w:rsid w:val="00986AA7"/>
    <w:rsid w:val="009878A3"/>
    <w:rsid w:val="00995243"/>
    <w:rsid w:val="009B43B6"/>
    <w:rsid w:val="009B640A"/>
    <w:rsid w:val="009C3D22"/>
    <w:rsid w:val="009C4F99"/>
    <w:rsid w:val="009C5ED8"/>
    <w:rsid w:val="009D1B59"/>
    <w:rsid w:val="009D618F"/>
    <w:rsid w:val="009E1DF1"/>
    <w:rsid w:val="009E442F"/>
    <w:rsid w:val="009F020C"/>
    <w:rsid w:val="009F598C"/>
    <w:rsid w:val="00A14FC1"/>
    <w:rsid w:val="00A17430"/>
    <w:rsid w:val="00A1752A"/>
    <w:rsid w:val="00A22959"/>
    <w:rsid w:val="00A235E8"/>
    <w:rsid w:val="00A277D4"/>
    <w:rsid w:val="00A4633A"/>
    <w:rsid w:val="00A5298F"/>
    <w:rsid w:val="00A55A48"/>
    <w:rsid w:val="00A560CE"/>
    <w:rsid w:val="00A714CD"/>
    <w:rsid w:val="00A720A5"/>
    <w:rsid w:val="00A75096"/>
    <w:rsid w:val="00A873E5"/>
    <w:rsid w:val="00A93CA6"/>
    <w:rsid w:val="00AA2983"/>
    <w:rsid w:val="00AA44F5"/>
    <w:rsid w:val="00AC1033"/>
    <w:rsid w:val="00AC5B84"/>
    <w:rsid w:val="00AD3668"/>
    <w:rsid w:val="00AF37D7"/>
    <w:rsid w:val="00B072EC"/>
    <w:rsid w:val="00B116C5"/>
    <w:rsid w:val="00B2471C"/>
    <w:rsid w:val="00B27F3C"/>
    <w:rsid w:val="00B3074E"/>
    <w:rsid w:val="00B33CE5"/>
    <w:rsid w:val="00B33E93"/>
    <w:rsid w:val="00B3775B"/>
    <w:rsid w:val="00B37E87"/>
    <w:rsid w:val="00B51119"/>
    <w:rsid w:val="00B572D2"/>
    <w:rsid w:val="00B6435E"/>
    <w:rsid w:val="00B67787"/>
    <w:rsid w:val="00B70817"/>
    <w:rsid w:val="00B719A3"/>
    <w:rsid w:val="00B83849"/>
    <w:rsid w:val="00B83CB7"/>
    <w:rsid w:val="00B90ECF"/>
    <w:rsid w:val="00B96244"/>
    <w:rsid w:val="00BA3975"/>
    <w:rsid w:val="00BB1744"/>
    <w:rsid w:val="00BC15BE"/>
    <w:rsid w:val="00BD1E82"/>
    <w:rsid w:val="00BD6B0B"/>
    <w:rsid w:val="00BE7994"/>
    <w:rsid w:val="00BF47F2"/>
    <w:rsid w:val="00C002D1"/>
    <w:rsid w:val="00C120AD"/>
    <w:rsid w:val="00C132B3"/>
    <w:rsid w:val="00C14580"/>
    <w:rsid w:val="00C152C8"/>
    <w:rsid w:val="00C16812"/>
    <w:rsid w:val="00C20093"/>
    <w:rsid w:val="00C2286B"/>
    <w:rsid w:val="00C34573"/>
    <w:rsid w:val="00C375B5"/>
    <w:rsid w:val="00C40086"/>
    <w:rsid w:val="00C4337B"/>
    <w:rsid w:val="00C50902"/>
    <w:rsid w:val="00C51371"/>
    <w:rsid w:val="00C60DEA"/>
    <w:rsid w:val="00C6428D"/>
    <w:rsid w:val="00C74820"/>
    <w:rsid w:val="00C82FB6"/>
    <w:rsid w:val="00C91AC4"/>
    <w:rsid w:val="00C950E3"/>
    <w:rsid w:val="00C95983"/>
    <w:rsid w:val="00CB5EFC"/>
    <w:rsid w:val="00CC5223"/>
    <w:rsid w:val="00CC6A49"/>
    <w:rsid w:val="00CE28C4"/>
    <w:rsid w:val="00CE4075"/>
    <w:rsid w:val="00CF033C"/>
    <w:rsid w:val="00CF2FD7"/>
    <w:rsid w:val="00CF57C2"/>
    <w:rsid w:val="00CF71FF"/>
    <w:rsid w:val="00D008ED"/>
    <w:rsid w:val="00D019E6"/>
    <w:rsid w:val="00D10F27"/>
    <w:rsid w:val="00D226A1"/>
    <w:rsid w:val="00D25A7D"/>
    <w:rsid w:val="00D3500C"/>
    <w:rsid w:val="00D36F12"/>
    <w:rsid w:val="00D43303"/>
    <w:rsid w:val="00D4792E"/>
    <w:rsid w:val="00D53DB5"/>
    <w:rsid w:val="00D60724"/>
    <w:rsid w:val="00D60C6C"/>
    <w:rsid w:val="00D61738"/>
    <w:rsid w:val="00D64990"/>
    <w:rsid w:val="00D77FF7"/>
    <w:rsid w:val="00D81DD0"/>
    <w:rsid w:val="00D856B0"/>
    <w:rsid w:val="00D93F72"/>
    <w:rsid w:val="00D94EDA"/>
    <w:rsid w:val="00DA0302"/>
    <w:rsid w:val="00DA678D"/>
    <w:rsid w:val="00DB4316"/>
    <w:rsid w:val="00DB4B59"/>
    <w:rsid w:val="00DB7A1E"/>
    <w:rsid w:val="00DC1D42"/>
    <w:rsid w:val="00DC399D"/>
    <w:rsid w:val="00DD0DF0"/>
    <w:rsid w:val="00DD57F6"/>
    <w:rsid w:val="00DD588F"/>
    <w:rsid w:val="00DE3723"/>
    <w:rsid w:val="00DE3EE7"/>
    <w:rsid w:val="00DE6187"/>
    <w:rsid w:val="00DF11CA"/>
    <w:rsid w:val="00DF17B3"/>
    <w:rsid w:val="00DF624B"/>
    <w:rsid w:val="00DF6937"/>
    <w:rsid w:val="00E06116"/>
    <w:rsid w:val="00E111A5"/>
    <w:rsid w:val="00E133F3"/>
    <w:rsid w:val="00E17288"/>
    <w:rsid w:val="00E2173D"/>
    <w:rsid w:val="00E34C4E"/>
    <w:rsid w:val="00E37BB0"/>
    <w:rsid w:val="00E42F90"/>
    <w:rsid w:val="00E443F9"/>
    <w:rsid w:val="00E44AA6"/>
    <w:rsid w:val="00E57C05"/>
    <w:rsid w:val="00E639DE"/>
    <w:rsid w:val="00E64A43"/>
    <w:rsid w:val="00E66DDD"/>
    <w:rsid w:val="00E83E38"/>
    <w:rsid w:val="00EB1E1A"/>
    <w:rsid w:val="00EB7781"/>
    <w:rsid w:val="00EC2AAF"/>
    <w:rsid w:val="00EC646E"/>
    <w:rsid w:val="00ED09DA"/>
    <w:rsid w:val="00ED2A21"/>
    <w:rsid w:val="00ED367B"/>
    <w:rsid w:val="00EE39BE"/>
    <w:rsid w:val="00EE3E11"/>
    <w:rsid w:val="00EF3830"/>
    <w:rsid w:val="00F33E3A"/>
    <w:rsid w:val="00F35E8E"/>
    <w:rsid w:val="00F370DE"/>
    <w:rsid w:val="00F4226F"/>
    <w:rsid w:val="00F45B52"/>
    <w:rsid w:val="00F513B7"/>
    <w:rsid w:val="00F52DA0"/>
    <w:rsid w:val="00F5428B"/>
    <w:rsid w:val="00F55615"/>
    <w:rsid w:val="00F56F9C"/>
    <w:rsid w:val="00F6250A"/>
    <w:rsid w:val="00F62CCB"/>
    <w:rsid w:val="00F66FF0"/>
    <w:rsid w:val="00F8150C"/>
    <w:rsid w:val="00F86954"/>
    <w:rsid w:val="00F90719"/>
    <w:rsid w:val="00F959E9"/>
    <w:rsid w:val="00FA0BA0"/>
    <w:rsid w:val="00FA3FAC"/>
    <w:rsid w:val="00FA7C25"/>
    <w:rsid w:val="00FB3579"/>
    <w:rsid w:val="00FB3975"/>
    <w:rsid w:val="00FB7921"/>
    <w:rsid w:val="00FD04C6"/>
    <w:rsid w:val="00FD7DF0"/>
    <w:rsid w:val="00FE6EB5"/>
    <w:rsid w:val="00FF1CCD"/>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Char,fn1,fn3"/>
    <w:basedOn w:val="Normal"/>
    <w:link w:val="FootnoteTextChar2"/>
    <w:qFormat/>
    <w:rsid w:val="007A42A3"/>
    <w:rPr>
      <w:sz w:val="20"/>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 w:type="table" w:customStyle="1" w:styleId="TableGrid1">
    <w:name w:val="Table Grid1"/>
    <w:basedOn w:val="TableNormal"/>
    <w:uiPriority w:val="39"/>
    <w:rsid w:val="00CF03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2589">
      <w:bodyDiv w:val="1"/>
      <w:marLeft w:val="0"/>
      <w:marRight w:val="0"/>
      <w:marTop w:val="0"/>
      <w:marBottom w:val="0"/>
      <w:divBdr>
        <w:top w:val="none" w:sz="0" w:space="0" w:color="auto"/>
        <w:left w:val="none" w:sz="0" w:space="0" w:color="auto"/>
        <w:bottom w:val="none" w:sz="0" w:space="0" w:color="auto"/>
        <w:right w:val="none" w:sz="0" w:space="0" w:color="auto"/>
      </w:divBdr>
    </w:div>
    <w:div w:id="193350639">
      <w:bodyDiv w:val="1"/>
      <w:marLeft w:val="0"/>
      <w:marRight w:val="0"/>
      <w:marTop w:val="0"/>
      <w:marBottom w:val="0"/>
      <w:divBdr>
        <w:top w:val="none" w:sz="0" w:space="0" w:color="auto"/>
        <w:left w:val="none" w:sz="0" w:space="0" w:color="auto"/>
        <w:bottom w:val="none" w:sz="0" w:space="0" w:color="auto"/>
        <w:right w:val="none" w:sz="0" w:space="0" w:color="auto"/>
      </w:divBdr>
    </w:div>
    <w:div w:id="194078594">
      <w:bodyDiv w:val="1"/>
      <w:marLeft w:val="0"/>
      <w:marRight w:val="0"/>
      <w:marTop w:val="0"/>
      <w:marBottom w:val="0"/>
      <w:divBdr>
        <w:top w:val="none" w:sz="0" w:space="0" w:color="auto"/>
        <w:left w:val="none" w:sz="0" w:space="0" w:color="auto"/>
        <w:bottom w:val="none" w:sz="0" w:space="0" w:color="auto"/>
        <w:right w:val="none" w:sz="0" w:space="0" w:color="auto"/>
      </w:divBdr>
    </w:div>
    <w:div w:id="569464085">
      <w:bodyDiv w:val="1"/>
      <w:marLeft w:val="0"/>
      <w:marRight w:val="0"/>
      <w:marTop w:val="0"/>
      <w:marBottom w:val="0"/>
      <w:divBdr>
        <w:top w:val="none" w:sz="0" w:space="0" w:color="auto"/>
        <w:left w:val="none" w:sz="0" w:space="0" w:color="auto"/>
        <w:bottom w:val="none" w:sz="0" w:space="0" w:color="auto"/>
        <w:right w:val="none" w:sz="0" w:space="0" w:color="auto"/>
      </w:divBdr>
    </w:div>
    <w:div w:id="879391592">
      <w:bodyDiv w:val="1"/>
      <w:marLeft w:val="0"/>
      <w:marRight w:val="0"/>
      <w:marTop w:val="0"/>
      <w:marBottom w:val="0"/>
      <w:divBdr>
        <w:top w:val="none" w:sz="0" w:space="0" w:color="auto"/>
        <w:left w:val="none" w:sz="0" w:space="0" w:color="auto"/>
        <w:bottom w:val="none" w:sz="0" w:space="0" w:color="auto"/>
        <w:right w:val="none" w:sz="0" w:space="0" w:color="auto"/>
      </w:divBdr>
    </w:div>
    <w:div w:id="1123961909">
      <w:bodyDiv w:val="1"/>
      <w:marLeft w:val="0"/>
      <w:marRight w:val="0"/>
      <w:marTop w:val="0"/>
      <w:marBottom w:val="0"/>
      <w:divBdr>
        <w:top w:val="none" w:sz="0" w:space="0" w:color="auto"/>
        <w:left w:val="none" w:sz="0" w:space="0" w:color="auto"/>
        <w:bottom w:val="none" w:sz="0" w:space="0" w:color="auto"/>
        <w:right w:val="none" w:sz="0" w:space="0" w:color="auto"/>
      </w:divBdr>
    </w:div>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5465">
      <w:bodyDiv w:val="1"/>
      <w:marLeft w:val="0"/>
      <w:marRight w:val="0"/>
      <w:marTop w:val="0"/>
      <w:marBottom w:val="0"/>
      <w:divBdr>
        <w:top w:val="none" w:sz="0" w:space="0" w:color="auto"/>
        <w:left w:val="none" w:sz="0" w:space="0" w:color="auto"/>
        <w:bottom w:val="none" w:sz="0" w:space="0" w:color="auto"/>
        <w:right w:val="none" w:sz="0" w:space="0" w:color="auto"/>
      </w:divBdr>
    </w:div>
    <w:div w:id="19771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rc.gov/information-colle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eLibrary/search" TargetMode="External"/><Relationship Id="rId2" Type="http://schemas.openxmlformats.org/officeDocument/2006/relationships/hyperlink" Target="https://ferconline.ferc.gov/FERCOnline.aspx" TargetMode="External"/><Relationship Id="rId1" Type="http://schemas.openxmlformats.org/officeDocument/2006/relationships/hyperlink" Target="https://www.federalregister.gov/documents/2022/05/25/2022-11243/revised-filing-and-reporting-requirements-for-interstate-natural-gas-company-rate-schedules-and" TargetMode="External"/><Relationship Id="rId6" Type="http://schemas.openxmlformats.org/officeDocument/2006/relationships/hyperlink" Target="https://www.bls.gov/news.release/ecec.nr0.htm" TargetMode="External"/><Relationship Id="rId5" Type="http://schemas.openxmlformats.org/officeDocument/2006/relationships/hyperlink" Target="https://www.bls.gov/oes/current/naics3_221000.htm" TargetMode="External"/><Relationship Id="rId4" Type="http://schemas.openxmlformats.org/officeDocument/2006/relationships/hyperlink" Target="https://elibrary.ferc.gov/eLibrary/filelist?accession_num=20220519-3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36B2A-A3B6-4563-8E3C-A5BE52785E9F}">
  <ds:schemaRefs>
    <ds:schemaRef ds:uri="Microsoft.SharePoint.Taxonomy.ContentTypeSync"/>
  </ds:schemaRefs>
</ds:datastoreItem>
</file>

<file path=customXml/itemProps2.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8BB6AC-519C-4B6E-8124-4DFC1F60C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5.xml><?xml version="1.0" encoding="utf-8"?>
<ds:datastoreItem xmlns:ds="http://schemas.openxmlformats.org/officeDocument/2006/customXml" ds:itemID="{358C3B1B-D3A1-4D23-881C-01A45536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Oscar Santillana</dc:creator>
  <cp:keywords/>
  <dc:description/>
  <cp:lastModifiedBy>Jean Sonneman</cp:lastModifiedBy>
  <cp:revision>4</cp:revision>
  <dcterms:created xsi:type="dcterms:W3CDTF">2022-06-02T13:56:00Z</dcterms:created>
  <dcterms:modified xsi:type="dcterms:W3CDTF">2022-06-02T13:57:00Z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0x0101006C62E1DFB6D69D4983BED8CA804A90D7</vt:lpwstr>
  </property>
  <property fmtid="{D5CDD505-2E9C-101B-9397-08002B2CF9AE}" pid="3" name="MSIP_Label_6155a89b-0f08-4a93-8ea2-8a916d6643b5_Enabled">
    <vt:lpwstr>true</vt:lpwstr>
  </property>
  <property fmtid="{D5CDD505-2E9C-101B-9397-08002B2CF9AE}" pid="4" name="MSIP_Label_6155a89b-0f08-4a93-8ea2-8a916d6643b5_SetDate">
    <vt:lpwstr>2021-09-27T12:07:54Z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ae0499c6-ecec-428b-aa41-a06398d5bd4a</vt:lpwstr>
  </property>
  <property fmtid="{D5CDD505-2E9C-101B-9397-08002B2CF9AE}" pid="9" name="MSIP_Label_6155a89b-0f08-4a93-8ea2-8a916d6643b5_ContentBits">
    <vt:lpwstr>0</vt:lpwstr>
  </property>
</Properties>
</file>