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51926" w:rsidR="00F53486" w:rsidP="00F53486" w:rsidRDefault="00F53486" w14:paraId="614979E0" w14:textId="77777777">
      <w:pPr>
        <w:widowControl/>
        <w:tabs>
          <w:tab w:val="center" w:pos="5040"/>
        </w:tabs>
        <w:jc w:val="center"/>
        <w:rPr>
          <w:sz w:val="26"/>
          <w:szCs w:val="26"/>
        </w:rPr>
      </w:pPr>
      <w:r w:rsidRPr="00951926">
        <w:rPr>
          <w:sz w:val="26"/>
          <w:szCs w:val="26"/>
        </w:rPr>
        <w:t>Supporting</w:t>
      </w:r>
      <w:r w:rsidRPr="00951926" w:rsidR="00C42FEF">
        <w:rPr>
          <w:sz w:val="26"/>
          <w:szCs w:val="26"/>
        </w:rPr>
        <w:t xml:space="preserve"> </w:t>
      </w:r>
      <w:r w:rsidRPr="00951926">
        <w:rPr>
          <w:sz w:val="26"/>
          <w:szCs w:val="26"/>
        </w:rPr>
        <w:t>Statement</w:t>
      </w:r>
      <w:r w:rsidRPr="00951926" w:rsidR="00AA373D">
        <w:rPr>
          <w:sz w:val="26"/>
          <w:szCs w:val="26"/>
        </w:rPr>
        <w:t xml:space="preserve"> for</w:t>
      </w:r>
    </w:p>
    <w:p w:rsidRPr="00951926" w:rsidR="009A7D21" w:rsidP="009A7D21" w:rsidRDefault="009A7D21" w14:paraId="5AD579D7" w14:textId="77777777">
      <w:pPr>
        <w:jc w:val="center"/>
        <w:rPr>
          <w:b/>
          <w:sz w:val="26"/>
          <w:szCs w:val="26"/>
        </w:rPr>
      </w:pPr>
      <w:r w:rsidRPr="00951926">
        <w:rPr>
          <w:b/>
          <w:sz w:val="26"/>
          <w:szCs w:val="26"/>
        </w:rPr>
        <w:t>FERC-912, PURPA Section 210(m) Notification Requirements Applicable to Cogeneration and Small Power Production Facilities</w:t>
      </w:r>
    </w:p>
    <w:p w:rsidRPr="00951926" w:rsidR="00AA373D" w:rsidP="00AA373D" w:rsidRDefault="00AA373D" w14:paraId="4AB0036C" w14:textId="77777777">
      <w:pPr>
        <w:widowControl/>
        <w:tabs>
          <w:tab w:val="center" w:pos="5040"/>
        </w:tabs>
        <w:jc w:val="center"/>
        <w:rPr>
          <w:b/>
          <w:bCs/>
          <w:sz w:val="26"/>
          <w:szCs w:val="26"/>
        </w:rPr>
      </w:pPr>
    </w:p>
    <w:p w:rsidRPr="00951926" w:rsidR="00F53486" w:rsidP="004A2FCF" w:rsidRDefault="00AA373D" w14:paraId="5D8029AA" w14:textId="77777777">
      <w:pPr>
        <w:rPr>
          <w:b/>
          <w:sz w:val="26"/>
          <w:szCs w:val="26"/>
        </w:rPr>
      </w:pPr>
      <w:r w:rsidRPr="00951926">
        <w:rPr>
          <w:sz w:val="26"/>
          <w:szCs w:val="26"/>
        </w:rPr>
        <w:t xml:space="preserve">The Federal Energy Regulatory Commission (Commission or FERC) requests that the Office of Management and Budget (OMB) review and approve </w:t>
      </w:r>
      <w:r w:rsidRPr="007126D4" w:rsidR="009A7D21">
        <w:rPr>
          <w:sz w:val="26"/>
          <w:szCs w:val="26"/>
        </w:rPr>
        <w:t>FERC-912</w:t>
      </w:r>
      <w:r w:rsidRPr="007126D4" w:rsidR="003E742E">
        <w:rPr>
          <w:sz w:val="26"/>
          <w:szCs w:val="26"/>
        </w:rPr>
        <w:t xml:space="preserve">, </w:t>
      </w:r>
      <w:r w:rsidRPr="007126D4" w:rsidR="009A7D21">
        <w:rPr>
          <w:sz w:val="26"/>
          <w:szCs w:val="26"/>
        </w:rPr>
        <w:t>PURPA Section 210(m) Notification Requirements Applicable to Cogeneration and Small Power Production Facilities</w:t>
      </w:r>
      <w:r w:rsidRPr="007126D4">
        <w:rPr>
          <w:bCs/>
          <w:sz w:val="26"/>
          <w:szCs w:val="26"/>
        </w:rPr>
        <w:t>,</w:t>
      </w:r>
      <w:r w:rsidRPr="00951926">
        <w:rPr>
          <w:b/>
          <w:bCs/>
          <w:sz w:val="26"/>
          <w:szCs w:val="26"/>
        </w:rPr>
        <w:t xml:space="preserve"> </w:t>
      </w:r>
      <w:r w:rsidRPr="00951926">
        <w:rPr>
          <w:sz w:val="26"/>
          <w:szCs w:val="26"/>
        </w:rPr>
        <w:t>for a three</w:t>
      </w:r>
      <w:r w:rsidR="00155CF8">
        <w:rPr>
          <w:sz w:val="26"/>
          <w:szCs w:val="26"/>
        </w:rPr>
        <w:t>-</w:t>
      </w:r>
      <w:r w:rsidRPr="00951926">
        <w:rPr>
          <w:sz w:val="26"/>
          <w:szCs w:val="26"/>
        </w:rPr>
        <w:t>year period.  FER</w:t>
      </w:r>
      <w:r w:rsidRPr="00951926" w:rsidR="009A7D21">
        <w:rPr>
          <w:sz w:val="26"/>
          <w:szCs w:val="26"/>
        </w:rPr>
        <w:t>C-912 (OMB Control No. 1902-0237</w:t>
      </w:r>
      <w:r w:rsidRPr="00951926">
        <w:rPr>
          <w:sz w:val="26"/>
          <w:szCs w:val="26"/>
        </w:rPr>
        <w:t>) is an existing Commission data collection, as stated by 18 Code o</w:t>
      </w:r>
      <w:r w:rsidRPr="00951926" w:rsidR="008B7AEA">
        <w:rPr>
          <w:sz w:val="26"/>
          <w:szCs w:val="26"/>
        </w:rPr>
        <w:t>f Federal Regulations</w:t>
      </w:r>
      <w:r w:rsidRPr="00951926" w:rsidR="00894FE3">
        <w:rPr>
          <w:sz w:val="26"/>
          <w:szCs w:val="26"/>
        </w:rPr>
        <w:t xml:space="preserve"> (CFR)</w:t>
      </w:r>
      <w:r w:rsidRPr="00951926" w:rsidR="0020642E">
        <w:rPr>
          <w:sz w:val="26"/>
          <w:szCs w:val="26"/>
        </w:rPr>
        <w:t xml:space="preserve"> </w:t>
      </w:r>
      <w:r w:rsidRPr="00951926" w:rsidR="00690EC3">
        <w:rPr>
          <w:sz w:val="26"/>
          <w:szCs w:val="26"/>
        </w:rPr>
        <w:t xml:space="preserve">Part </w:t>
      </w:r>
      <w:r w:rsidRPr="00951926" w:rsidR="009A7D21">
        <w:rPr>
          <w:sz w:val="26"/>
          <w:szCs w:val="26"/>
        </w:rPr>
        <w:t>292.</w:t>
      </w:r>
    </w:p>
    <w:p w:rsidR="00F53486" w:rsidP="00F53486" w:rsidRDefault="00F53486" w14:paraId="18CB3A06" w14:textId="77777777">
      <w:pPr>
        <w:widowControl/>
        <w:rPr>
          <w:sz w:val="26"/>
          <w:szCs w:val="26"/>
        </w:rPr>
      </w:pPr>
    </w:p>
    <w:p w:rsidR="00155CF8" w:rsidP="00F53486" w:rsidRDefault="00155CF8" w14:paraId="477DB4CC" w14:textId="6F67C4DF">
      <w:pPr>
        <w:widowControl/>
        <w:rPr>
          <w:sz w:val="26"/>
        </w:rPr>
      </w:pPr>
      <w:r>
        <w:rPr>
          <w:sz w:val="26"/>
          <w:szCs w:val="26"/>
        </w:rPr>
        <w:t xml:space="preserve">FERC Form 912 was </w:t>
      </w:r>
      <w:r w:rsidR="00B83C14">
        <w:rPr>
          <w:sz w:val="26"/>
          <w:szCs w:val="26"/>
        </w:rPr>
        <w:t xml:space="preserve">previously </w:t>
      </w:r>
      <w:r>
        <w:rPr>
          <w:sz w:val="26"/>
          <w:szCs w:val="26"/>
        </w:rPr>
        <w:t xml:space="preserve">modified in Docket No. RM19-15-000 which revised the Commission’s regulations in </w:t>
      </w:r>
      <w:r w:rsidRPr="00155CF8">
        <w:rPr>
          <w:sz w:val="26"/>
        </w:rPr>
        <w:t>18 CFR 292.309 – 292.31</w:t>
      </w:r>
      <w:r>
        <w:rPr>
          <w:sz w:val="26"/>
        </w:rPr>
        <w:t xml:space="preserve">3 to account for industry changes. </w:t>
      </w:r>
      <w:r w:rsidR="00600DCD">
        <w:rPr>
          <w:sz w:val="26"/>
        </w:rPr>
        <w:t xml:space="preserve"> </w:t>
      </w:r>
      <w:r w:rsidR="00B83C14">
        <w:rPr>
          <w:sz w:val="26"/>
        </w:rPr>
        <w:t xml:space="preserve">However, this renewal does not change the existing collection. </w:t>
      </w:r>
    </w:p>
    <w:p w:rsidRPr="00951926" w:rsidR="00155CF8" w:rsidP="00F53486" w:rsidRDefault="00155CF8" w14:paraId="3C8DCDED" w14:textId="77777777">
      <w:pPr>
        <w:widowControl/>
        <w:rPr>
          <w:sz w:val="26"/>
          <w:szCs w:val="26"/>
        </w:rPr>
      </w:pPr>
    </w:p>
    <w:p w:rsidRPr="00951926" w:rsidR="00F53486" w:rsidP="007129A6" w:rsidRDefault="00F53486" w14:paraId="2721D271" w14:textId="77777777">
      <w:pPr>
        <w:widowControl/>
        <w:numPr>
          <w:ilvl w:val="0"/>
          <w:numId w:val="9"/>
        </w:numPr>
        <w:tabs>
          <w:tab w:val="clear" w:pos="1080"/>
          <w:tab w:val="num" w:pos="720"/>
          <w:tab w:val="left" w:pos="1800"/>
        </w:tabs>
        <w:ind w:left="720" w:hanging="720"/>
        <w:rPr>
          <w:b/>
          <w:sz w:val="26"/>
          <w:szCs w:val="26"/>
        </w:rPr>
      </w:pPr>
      <w:r w:rsidRPr="00951926">
        <w:rPr>
          <w:b/>
          <w:sz w:val="26"/>
          <w:szCs w:val="26"/>
        </w:rPr>
        <w:t>CIRCUMSTANCES THAT MAKE THE COLLECTION OF INFORMATION NECESSARY</w:t>
      </w:r>
    </w:p>
    <w:p w:rsidR="000B2D7B" w:rsidP="000B2D7B" w:rsidRDefault="000B2D7B" w14:paraId="57930E9E" w14:textId="77777777">
      <w:pPr>
        <w:widowControl/>
        <w:tabs>
          <w:tab w:val="left" w:pos="1800"/>
        </w:tabs>
        <w:rPr>
          <w:b/>
          <w:sz w:val="26"/>
          <w:szCs w:val="26"/>
        </w:rPr>
      </w:pPr>
    </w:p>
    <w:p w:rsidRPr="004A2FCF" w:rsidR="004A2FCF" w:rsidP="004A2FCF" w:rsidRDefault="004A2FCF" w14:paraId="3FA4ADDF" w14:textId="77777777">
      <w:pPr>
        <w:widowControl/>
        <w:tabs>
          <w:tab w:val="left" w:pos="1800"/>
        </w:tabs>
        <w:rPr>
          <w:bCs/>
          <w:sz w:val="26"/>
          <w:szCs w:val="26"/>
        </w:rPr>
      </w:pPr>
      <w:r w:rsidRPr="004A2FCF">
        <w:rPr>
          <w:bCs/>
          <w:sz w:val="26"/>
          <w:szCs w:val="26"/>
        </w:rPr>
        <w:t xml:space="preserve">The Public Utility Regulatory Policies Act of 1978 (PURPA) was enacted in 1978 as part of a package of legislative proposals intended to reduce the country’s dependence on oil and natural gas, which at the time were in short supply and subject to dramatic price increases.  PURPA sets forth a framework to encourage the development of alternative generation resources that do not rely on traditional fossil fuels (i.e., oil, natural gas, and coal) and cogeneration facilities that make more efficient use of the heat produced from the fossil fuels that were then commonly used in the production of electricity.  </w:t>
      </w:r>
    </w:p>
    <w:p w:rsidRPr="004A2FCF" w:rsidR="004A2FCF" w:rsidP="004A2FCF" w:rsidRDefault="004A2FCF" w14:paraId="2BAF2220" w14:textId="77777777">
      <w:pPr>
        <w:widowControl/>
        <w:tabs>
          <w:tab w:val="left" w:pos="1800"/>
        </w:tabs>
        <w:rPr>
          <w:bCs/>
          <w:sz w:val="26"/>
          <w:szCs w:val="26"/>
        </w:rPr>
      </w:pPr>
    </w:p>
    <w:p w:rsidRPr="004A2FCF" w:rsidR="004A2FCF" w:rsidP="004A2FCF" w:rsidRDefault="004A2FCF" w14:paraId="78BCDE7E" w14:textId="77777777">
      <w:pPr>
        <w:widowControl/>
        <w:tabs>
          <w:tab w:val="left" w:pos="1800"/>
        </w:tabs>
        <w:rPr>
          <w:bCs/>
          <w:sz w:val="26"/>
          <w:szCs w:val="26"/>
        </w:rPr>
      </w:pPr>
      <w:r w:rsidRPr="004A2FCF">
        <w:rPr>
          <w:bCs/>
          <w:sz w:val="26"/>
          <w:szCs w:val="26"/>
        </w:rPr>
        <w:t>To accomplish this goal, PURPA section 210(a) directs that the Commission “prescribe, and from time to time thereafter revise, such rules as [the Commission] determines necessary to encourage cogeneration and small power production,” including rules requiring electric utilities to offer to sell electricity to, and purchase electricity from, QFs.  PURPA section 210(f) required each state regulatory authority and nonregulated electric utility (together, states) to implement the Commission’s rules.</w:t>
      </w:r>
    </w:p>
    <w:p w:rsidR="004A2FCF" w:rsidP="004A2FCF" w:rsidRDefault="004A2FCF" w14:paraId="00B082CF" w14:textId="77777777">
      <w:pPr>
        <w:widowControl/>
        <w:tabs>
          <w:tab w:val="left" w:pos="1800"/>
        </w:tabs>
        <w:rPr>
          <w:b/>
          <w:sz w:val="26"/>
          <w:szCs w:val="26"/>
        </w:rPr>
      </w:pPr>
    </w:p>
    <w:p w:rsidRPr="00155CF8" w:rsidR="00155CF8" w:rsidP="00155CF8" w:rsidRDefault="00155CF8" w14:paraId="0E96FC92" w14:textId="77777777">
      <w:pPr>
        <w:widowControl/>
        <w:autoSpaceDE/>
        <w:autoSpaceDN/>
        <w:adjustRightInd/>
        <w:rPr>
          <w:sz w:val="26"/>
        </w:rPr>
      </w:pPr>
      <w:r w:rsidRPr="00155CF8">
        <w:rPr>
          <w:sz w:val="26"/>
        </w:rPr>
        <w:t>In 2019</w:t>
      </w:r>
      <w:r w:rsidR="00467728">
        <w:rPr>
          <w:sz w:val="26"/>
        </w:rPr>
        <w:t>,</w:t>
      </w:r>
      <w:r w:rsidRPr="00155CF8">
        <w:rPr>
          <w:sz w:val="26"/>
        </w:rPr>
        <w:t xml:space="preserve"> the Commission revised its regulations in 18 CFR 292.309 – 292.313 in Docket No. RM19-15-000 to account for industry changes.  These industry changes include: the decrease in reliance on oil and natural gas, the increase of natural gas supply due to access of shale reserves, and the decreasing costs of renewable energy sources. </w:t>
      </w:r>
      <w:r>
        <w:rPr>
          <w:sz w:val="26"/>
        </w:rPr>
        <w:t xml:space="preserve"> </w:t>
      </w:r>
      <w:r w:rsidRPr="00155CF8">
        <w:rPr>
          <w:sz w:val="26"/>
        </w:rPr>
        <w:t>Due to the modifications in the rulemaking, the Commission revised its information collection requirements.  The Commission now collects the following information on FERC Form 912:</w:t>
      </w:r>
    </w:p>
    <w:p w:rsidRPr="00155CF8" w:rsidR="00155CF8" w:rsidDel="000F32D3" w:rsidP="00155CF8" w:rsidRDefault="00155CF8" w14:paraId="51641773" w14:textId="77777777">
      <w:pPr>
        <w:widowControl/>
        <w:numPr>
          <w:ilvl w:val="0"/>
          <w:numId w:val="18"/>
        </w:numPr>
        <w:autoSpaceDE/>
        <w:autoSpaceDN/>
        <w:adjustRightInd/>
        <w:spacing w:line="276" w:lineRule="auto"/>
        <w:contextualSpacing/>
        <w:rPr>
          <w:sz w:val="26"/>
          <w:szCs w:val="26"/>
        </w:rPr>
      </w:pPr>
      <w:r w:rsidRPr="00155CF8" w:rsidDel="000F32D3">
        <w:rPr>
          <w:sz w:val="26"/>
          <w:szCs w:val="26"/>
        </w:rPr>
        <w:t xml:space="preserve">§292.310: an electric utility’s application for the </w:t>
      </w:r>
      <w:r w:rsidRPr="00155CF8" w:rsidDel="000F32D3">
        <w:rPr>
          <w:sz w:val="26"/>
          <w:szCs w:val="26"/>
          <w:u w:val="single"/>
        </w:rPr>
        <w:t>termination of its obligation</w:t>
      </w:r>
      <w:r w:rsidRPr="00155CF8" w:rsidDel="000F32D3">
        <w:rPr>
          <w:sz w:val="26"/>
          <w:szCs w:val="26"/>
        </w:rPr>
        <w:t xml:space="preserve"> to purchase energy from a QF,</w:t>
      </w:r>
    </w:p>
    <w:p w:rsidRPr="00155CF8" w:rsidR="00155CF8" w:rsidDel="000F32D3" w:rsidP="00155CF8" w:rsidRDefault="00155CF8" w14:paraId="07E474C7" w14:textId="77777777">
      <w:pPr>
        <w:widowControl/>
        <w:numPr>
          <w:ilvl w:val="0"/>
          <w:numId w:val="18"/>
        </w:numPr>
        <w:autoSpaceDE/>
        <w:autoSpaceDN/>
        <w:adjustRightInd/>
        <w:spacing w:line="276" w:lineRule="auto"/>
        <w:contextualSpacing/>
        <w:rPr>
          <w:sz w:val="26"/>
          <w:szCs w:val="26"/>
        </w:rPr>
      </w:pPr>
      <w:r w:rsidRPr="00155CF8" w:rsidDel="000F32D3">
        <w:rPr>
          <w:sz w:val="26"/>
          <w:szCs w:val="26"/>
        </w:rPr>
        <w:lastRenderedPageBreak/>
        <w:t xml:space="preserve">§292.311: an affected entity or person’s application to the Commission for an order </w:t>
      </w:r>
      <w:r w:rsidRPr="00155CF8" w:rsidDel="000F32D3">
        <w:rPr>
          <w:sz w:val="26"/>
          <w:szCs w:val="26"/>
          <w:u w:val="single"/>
        </w:rPr>
        <w:t>reinstating the electric utility’s obligation</w:t>
      </w:r>
      <w:r w:rsidRPr="00155CF8" w:rsidDel="000F32D3">
        <w:rPr>
          <w:sz w:val="26"/>
          <w:szCs w:val="26"/>
        </w:rPr>
        <w:t xml:space="preserve"> to purchase energy from a QF,</w:t>
      </w:r>
    </w:p>
    <w:p w:rsidRPr="00155CF8" w:rsidR="00155CF8" w:rsidDel="000F32D3" w:rsidP="00155CF8" w:rsidRDefault="00155CF8" w14:paraId="6260B7EE" w14:textId="77777777">
      <w:pPr>
        <w:widowControl/>
        <w:numPr>
          <w:ilvl w:val="0"/>
          <w:numId w:val="18"/>
        </w:numPr>
        <w:autoSpaceDE/>
        <w:autoSpaceDN/>
        <w:adjustRightInd/>
        <w:spacing w:line="276" w:lineRule="auto"/>
        <w:contextualSpacing/>
        <w:rPr>
          <w:sz w:val="26"/>
          <w:szCs w:val="26"/>
        </w:rPr>
      </w:pPr>
      <w:r w:rsidRPr="00155CF8" w:rsidDel="000F32D3">
        <w:rPr>
          <w:sz w:val="26"/>
          <w:szCs w:val="26"/>
        </w:rPr>
        <w:t xml:space="preserve">§292.312: an electric utility’s application for the </w:t>
      </w:r>
      <w:r w:rsidRPr="00155CF8" w:rsidDel="000F32D3">
        <w:rPr>
          <w:sz w:val="26"/>
          <w:szCs w:val="26"/>
          <w:u w:val="single"/>
        </w:rPr>
        <w:t>termination of its obligation</w:t>
      </w:r>
      <w:r w:rsidRPr="00155CF8" w:rsidDel="000F32D3">
        <w:rPr>
          <w:sz w:val="26"/>
          <w:szCs w:val="26"/>
        </w:rPr>
        <w:t xml:space="preserve"> to sell energy and capacity to QFs, and</w:t>
      </w:r>
    </w:p>
    <w:p w:rsidRPr="00155CF8" w:rsidR="00155CF8" w:rsidP="00155CF8" w:rsidRDefault="00155CF8" w14:paraId="337D03CC" w14:textId="77777777">
      <w:pPr>
        <w:widowControl/>
        <w:numPr>
          <w:ilvl w:val="0"/>
          <w:numId w:val="18"/>
        </w:numPr>
        <w:autoSpaceDE/>
        <w:autoSpaceDN/>
        <w:adjustRightInd/>
        <w:rPr>
          <w:sz w:val="26"/>
        </w:rPr>
      </w:pPr>
      <w:r w:rsidRPr="00155CF8" w:rsidDel="000F32D3">
        <w:rPr>
          <w:sz w:val="26"/>
          <w:szCs w:val="26"/>
        </w:rPr>
        <w:t xml:space="preserve">§292.313: an affected entity or person’s application to the Commission for an order </w:t>
      </w:r>
      <w:r w:rsidRPr="00155CF8" w:rsidDel="000F32D3">
        <w:rPr>
          <w:sz w:val="26"/>
          <w:szCs w:val="26"/>
          <w:u w:val="single"/>
        </w:rPr>
        <w:t>reinstating the electric utility’s obligation</w:t>
      </w:r>
      <w:r w:rsidRPr="00155CF8" w:rsidDel="000F32D3">
        <w:rPr>
          <w:sz w:val="26"/>
          <w:szCs w:val="26"/>
        </w:rPr>
        <w:t xml:space="preserve"> to sell energy and capacity to QFs</w:t>
      </w:r>
      <w:r w:rsidRPr="00155CF8">
        <w:rPr>
          <w:sz w:val="26"/>
        </w:rPr>
        <w:t>.</w:t>
      </w:r>
      <w:r w:rsidRPr="00155CF8">
        <w:rPr>
          <w:sz w:val="26"/>
          <w:szCs w:val="26"/>
          <w:vertAlign w:val="superscript"/>
        </w:rPr>
        <w:footnoteReference w:id="2"/>
      </w:r>
    </w:p>
    <w:p w:rsidRPr="00951926" w:rsidR="00155CF8" w:rsidP="000B2D7B" w:rsidRDefault="00155CF8" w14:paraId="5E0776E2" w14:textId="77777777">
      <w:pPr>
        <w:widowControl/>
        <w:tabs>
          <w:tab w:val="left" w:pos="1800"/>
        </w:tabs>
        <w:rPr>
          <w:b/>
          <w:sz w:val="26"/>
          <w:szCs w:val="26"/>
        </w:rPr>
      </w:pPr>
    </w:p>
    <w:p w:rsidRPr="00951926" w:rsidR="009A7D21" w:rsidP="004A2FCF" w:rsidRDefault="009A7D21" w14:paraId="5F68AAC5" w14:textId="77777777">
      <w:pPr>
        <w:rPr>
          <w:sz w:val="26"/>
          <w:szCs w:val="26"/>
        </w:rPr>
      </w:pPr>
      <w:r w:rsidRPr="00951926">
        <w:rPr>
          <w:sz w:val="26"/>
          <w:szCs w:val="26"/>
        </w:rPr>
        <w:t xml:space="preserve">The use of FERC-912 is necessary to provide the Commission with the information needed to determine whether an order is appropriate to either terminate or reinstate the purchasing or selling of energy </w:t>
      </w:r>
      <w:r w:rsidRPr="00951926" w:rsidR="00B94DE6">
        <w:rPr>
          <w:sz w:val="26"/>
          <w:szCs w:val="26"/>
        </w:rPr>
        <w:t xml:space="preserve">PURPA </w:t>
      </w:r>
      <w:r w:rsidR="003924EB">
        <w:rPr>
          <w:sz w:val="26"/>
          <w:szCs w:val="26"/>
        </w:rPr>
        <w:t>s</w:t>
      </w:r>
      <w:r w:rsidRPr="00951926">
        <w:rPr>
          <w:sz w:val="26"/>
          <w:szCs w:val="26"/>
        </w:rPr>
        <w:t xml:space="preserve">ection 210(m). </w:t>
      </w:r>
    </w:p>
    <w:p w:rsidRPr="00951926" w:rsidR="0020642E" w:rsidP="0020642E" w:rsidRDefault="0020642E" w14:paraId="4D6C2C45" w14:textId="77777777">
      <w:pPr>
        <w:rPr>
          <w:sz w:val="26"/>
          <w:szCs w:val="26"/>
        </w:rPr>
      </w:pPr>
    </w:p>
    <w:p w:rsidRPr="00951926" w:rsidR="00F53486" w:rsidP="007129A6" w:rsidRDefault="00F53486" w14:paraId="49EB31B3" w14:textId="77777777">
      <w:pPr>
        <w:widowControl/>
        <w:numPr>
          <w:ilvl w:val="0"/>
          <w:numId w:val="2"/>
        </w:numPr>
        <w:tabs>
          <w:tab w:val="clear" w:pos="1815"/>
          <w:tab w:val="num" w:pos="720"/>
        </w:tabs>
        <w:ind w:left="720" w:hanging="720"/>
        <w:rPr>
          <w:b/>
          <w:sz w:val="26"/>
          <w:szCs w:val="26"/>
        </w:rPr>
      </w:pPr>
      <w:r w:rsidRPr="00951926">
        <w:rPr>
          <w:b/>
          <w:sz w:val="26"/>
          <w:szCs w:val="26"/>
        </w:rPr>
        <w:t xml:space="preserve">HOW, BY WHOM AND FOR WHAT PURPOSE IS THE INFORMATION TO BE USED AND THE CONSEQUENCES OF NOT COLLECTING THE INFORMATION </w:t>
      </w:r>
    </w:p>
    <w:p w:rsidRPr="00951926" w:rsidR="00F53486" w:rsidP="00F53486" w:rsidRDefault="00F53486" w14:paraId="5EDE89AD" w14:textId="77777777">
      <w:pPr>
        <w:widowControl/>
        <w:ind w:left="1440"/>
        <w:rPr>
          <w:sz w:val="26"/>
          <w:szCs w:val="26"/>
        </w:rPr>
      </w:pPr>
    </w:p>
    <w:p w:rsidRPr="00951926" w:rsidR="00F53486" w:rsidP="004A2FCF" w:rsidRDefault="009A7D21" w14:paraId="1A549009" w14:textId="77777777">
      <w:pPr>
        <w:rPr>
          <w:sz w:val="26"/>
          <w:szCs w:val="26"/>
        </w:rPr>
      </w:pPr>
      <w:r w:rsidRPr="00951926">
        <w:rPr>
          <w:sz w:val="26"/>
          <w:szCs w:val="26"/>
        </w:rPr>
        <w:t>The Commission uses the information collected by FERC-912 to determine if an order is appropriate and required under PURPA section 210(m)</w:t>
      </w:r>
      <w:r w:rsidR="0084487F">
        <w:rPr>
          <w:sz w:val="26"/>
          <w:szCs w:val="26"/>
        </w:rPr>
        <w:t>.</w:t>
      </w:r>
      <w:r w:rsidRPr="00951926">
        <w:rPr>
          <w:rStyle w:val="FootnoteReference"/>
        </w:rPr>
        <w:footnoteReference w:id="3"/>
      </w:r>
      <w:r w:rsidRPr="00951926">
        <w:rPr>
          <w:sz w:val="26"/>
          <w:szCs w:val="26"/>
        </w:rPr>
        <w:t xml:space="preserve">  Without this collection of information, the Commission would not be able to carry out its obligations under PURPA section 210(m).</w:t>
      </w:r>
    </w:p>
    <w:p w:rsidRPr="00951926" w:rsidR="00821D54" w:rsidP="00541EB8" w:rsidRDefault="00821D54" w14:paraId="3926691C" w14:textId="77777777">
      <w:pPr>
        <w:tabs>
          <w:tab w:val="left" w:pos="720"/>
        </w:tabs>
        <w:rPr>
          <w:sz w:val="26"/>
          <w:szCs w:val="26"/>
        </w:rPr>
      </w:pPr>
    </w:p>
    <w:p w:rsidRPr="00951926" w:rsidR="00F53486" w:rsidP="007129A6" w:rsidRDefault="00F53486" w14:paraId="119B27B9" w14:textId="77777777">
      <w:pPr>
        <w:widowControl/>
        <w:numPr>
          <w:ilvl w:val="0"/>
          <w:numId w:val="2"/>
        </w:numPr>
        <w:tabs>
          <w:tab w:val="clear" w:pos="1815"/>
        </w:tabs>
        <w:ind w:left="720" w:hanging="720"/>
        <w:rPr>
          <w:sz w:val="26"/>
          <w:szCs w:val="26"/>
        </w:rPr>
      </w:pPr>
      <w:r w:rsidRPr="00951926">
        <w:rPr>
          <w:b/>
          <w:sz w:val="26"/>
          <w:szCs w:val="26"/>
        </w:rPr>
        <w:t>DESCRIBE ANY CONSIDERATION OF THE USE OF IMPROVED INFORMATION TECHNOLOGY TO REDUCE BURDEN AND THE TECHNICAL OR LEGAL OBSTACLES TO REDUCING BURDEN</w:t>
      </w:r>
    </w:p>
    <w:p w:rsidRPr="00951926" w:rsidR="00577AB2" w:rsidP="00577AB2" w:rsidRDefault="00577AB2" w14:paraId="084FA1CD" w14:textId="77777777">
      <w:pPr>
        <w:widowControl/>
        <w:rPr>
          <w:sz w:val="26"/>
          <w:szCs w:val="26"/>
        </w:rPr>
      </w:pPr>
    </w:p>
    <w:p w:rsidRPr="00951926" w:rsidR="002835ED" w:rsidP="00807473" w:rsidRDefault="009A7D21" w14:paraId="71FEF4C9" w14:textId="77777777">
      <w:pPr>
        <w:rPr>
          <w:sz w:val="26"/>
          <w:szCs w:val="26"/>
        </w:rPr>
      </w:pPr>
      <w:r w:rsidRPr="00951926">
        <w:rPr>
          <w:sz w:val="26"/>
          <w:szCs w:val="26"/>
        </w:rPr>
        <w:t xml:space="preserve">FERC-912 applicants use the </w:t>
      </w:r>
      <w:proofErr w:type="spellStart"/>
      <w:r w:rsidRPr="00951926">
        <w:rPr>
          <w:sz w:val="26"/>
          <w:szCs w:val="26"/>
        </w:rPr>
        <w:t>eFiling</w:t>
      </w:r>
      <w:proofErr w:type="spellEnd"/>
      <w:r w:rsidRPr="00951926">
        <w:rPr>
          <w:sz w:val="26"/>
          <w:szCs w:val="26"/>
        </w:rPr>
        <w:t xml:space="preserve"> system to file the required information to the Commission.  Applicants should visit the </w:t>
      </w:r>
      <w:proofErr w:type="spellStart"/>
      <w:r w:rsidRPr="00951926">
        <w:rPr>
          <w:sz w:val="26"/>
          <w:szCs w:val="26"/>
        </w:rPr>
        <w:t>eFiling</w:t>
      </w:r>
      <w:proofErr w:type="spellEnd"/>
      <w:r w:rsidRPr="00951926">
        <w:rPr>
          <w:sz w:val="26"/>
          <w:szCs w:val="26"/>
        </w:rPr>
        <w:t xml:space="preserve"> website (</w:t>
      </w:r>
      <w:hyperlink w:history="1" r:id="rId13">
        <w:r w:rsidRPr="00951926">
          <w:rPr>
            <w:rStyle w:val="Hyperlink"/>
            <w:sz w:val="26"/>
            <w:szCs w:val="26"/>
          </w:rPr>
          <w:t>http://www.ferc.gov/docs-filing/efiling.asp</w:t>
        </w:r>
      </w:hyperlink>
      <w:r w:rsidRPr="00951926">
        <w:rPr>
          <w:sz w:val="26"/>
          <w:szCs w:val="26"/>
        </w:rPr>
        <w:t>) to find information on what file formats are acceptable</w:t>
      </w:r>
      <w:r w:rsidRPr="00951926" w:rsidR="002835ED">
        <w:rPr>
          <w:sz w:val="26"/>
          <w:szCs w:val="26"/>
        </w:rPr>
        <w:t>.</w:t>
      </w:r>
    </w:p>
    <w:p w:rsidRPr="00951926" w:rsidR="00F53486" w:rsidP="00F53486" w:rsidRDefault="00F53486" w14:paraId="5D01AF84" w14:textId="77777777">
      <w:pPr>
        <w:widowControl/>
        <w:rPr>
          <w:sz w:val="26"/>
          <w:szCs w:val="26"/>
        </w:rPr>
      </w:pPr>
    </w:p>
    <w:p w:rsidRPr="00951926" w:rsidR="00F53486" w:rsidP="007129A6" w:rsidRDefault="00F53486" w14:paraId="24B73565" w14:textId="77777777">
      <w:pPr>
        <w:widowControl/>
        <w:tabs>
          <w:tab w:val="left" w:pos="720"/>
        </w:tabs>
        <w:ind w:left="720" w:hanging="720"/>
        <w:rPr>
          <w:b/>
          <w:sz w:val="26"/>
          <w:szCs w:val="26"/>
        </w:rPr>
      </w:pPr>
      <w:r w:rsidRPr="00951926">
        <w:rPr>
          <w:b/>
          <w:sz w:val="26"/>
          <w:szCs w:val="26"/>
        </w:rPr>
        <w:t>4.</w:t>
      </w:r>
      <w:r w:rsidRPr="00951926">
        <w:rPr>
          <w:b/>
          <w:sz w:val="26"/>
          <w:szCs w:val="26"/>
        </w:rPr>
        <w:tab/>
        <w:t>DESCRIBE EFFORTS TO IDENTIFY DUPLICATION AND SHOW SPECIFICALLY WHY ANY SIMILAR INFORMATION ALREADY AVAILABLE CANNOT BE USED OR MODIFIED FOR USE FOR THE PURPOSE(S) DESCRIBED IN INSTRUCTION NO. 2.</w:t>
      </w:r>
    </w:p>
    <w:p w:rsidRPr="00951926" w:rsidR="000A1237" w:rsidP="000A1237" w:rsidRDefault="000A1237" w14:paraId="23882063" w14:textId="77777777">
      <w:pPr>
        <w:widowControl/>
        <w:ind w:firstLine="720"/>
        <w:rPr>
          <w:b/>
          <w:sz w:val="26"/>
          <w:szCs w:val="26"/>
        </w:rPr>
      </w:pPr>
    </w:p>
    <w:p w:rsidRPr="00951926" w:rsidR="009A7D21" w:rsidP="00807473" w:rsidRDefault="009A7D21" w14:paraId="384F2E63" w14:textId="77777777">
      <w:pPr>
        <w:rPr>
          <w:sz w:val="26"/>
          <w:szCs w:val="26"/>
        </w:rPr>
      </w:pPr>
      <w:r w:rsidRPr="00951926">
        <w:rPr>
          <w:sz w:val="26"/>
          <w:szCs w:val="26"/>
        </w:rPr>
        <w:t xml:space="preserve">The information filed in FERC-912 is unique in the universe of publicly available electric energy information.  Commission staff searched for other sources of this </w:t>
      </w:r>
      <w:r w:rsidRPr="00465DEC">
        <w:rPr>
          <w:sz w:val="26"/>
          <w:szCs w:val="26"/>
        </w:rPr>
        <w:t xml:space="preserve">information and found none.  </w:t>
      </w:r>
    </w:p>
    <w:p w:rsidRPr="00951926" w:rsidR="00F53486" w:rsidP="00F53486" w:rsidRDefault="00F53486" w14:paraId="50B35D30" w14:textId="77777777">
      <w:pPr>
        <w:rPr>
          <w:sz w:val="26"/>
          <w:szCs w:val="26"/>
        </w:rPr>
      </w:pPr>
    </w:p>
    <w:p w:rsidRPr="00951926" w:rsidR="00F53486" w:rsidP="007129A6" w:rsidRDefault="00F53486" w14:paraId="0C0AD062" w14:textId="77777777">
      <w:pPr>
        <w:widowControl/>
        <w:tabs>
          <w:tab w:val="left" w:pos="720"/>
        </w:tabs>
        <w:ind w:left="720" w:hanging="720"/>
        <w:rPr>
          <w:sz w:val="26"/>
          <w:szCs w:val="26"/>
        </w:rPr>
      </w:pPr>
      <w:r w:rsidRPr="00951926">
        <w:rPr>
          <w:b/>
          <w:sz w:val="26"/>
          <w:szCs w:val="26"/>
        </w:rPr>
        <w:lastRenderedPageBreak/>
        <w:t>5.</w:t>
      </w:r>
      <w:r w:rsidRPr="00951926">
        <w:rPr>
          <w:sz w:val="26"/>
          <w:szCs w:val="26"/>
        </w:rPr>
        <w:t xml:space="preserve"> </w:t>
      </w:r>
      <w:r w:rsidRPr="00951926">
        <w:rPr>
          <w:sz w:val="26"/>
          <w:szCs w:val="26"/>
        </w:rPr>
        <w:tab/>
      </w:r>
      <w:r w:rsidRPr="00951926">
        <w:rPr>
          <w:b/>
          <w:sz w:val="26"/>
          <w:szCs w:val="26"/>
        </w:rPr>
        <w:t>METHODS USED TO MINIMIZE BURDEN IN COLLECTION OF INFORMATION INVOLVING SMALL ENTITIES</w:t>
      </w:r>
      <w:r w:rsidRPr="00951926">
        <w:rPr>
          <w:sz w:val="26"/>
          <w:szCs w:val="26"/>
        </w:rPr>
        <w:t xml:space="preserve"> </w:t>
      </w:r>
    </w:p>
    <w:p w:rsidRPr="00951926" w:rsidR="00F53486" w:rsidP="00F53486" w:rsidRDefault="00F53486" w14:paraId="15E90031" w14:textId="77777777">
      <w:pPr>
        <w:widowControl/>
        <w:ind w:left="1440" w:hanging="720"/>
        <w:rPr>
          <w:sz w:val="26"/>
          <w:szCs w:val="26"/>
        </w:rPr>
      </w:pPr>
    </w:p>
    <w:p w:rsidRPr="00951926" w:rsidR="009A7D21" w:rsidP="000D7B14" w:rsidRDefault="00BC4898" w14:paraId="26B9214F" w14:textId="77777777">
      <w:pPr>
        <w:rPr>
          <w:sz w:val="26"/>
          <w:szCs w:val="26"/>
        </w:rPr>
      </w:pPr>
      <w:r>
        <w:rPr>
          <w:sz w:val="26"/>
          <w:szCs w:val="26"/>
        </w:rPr>
        <w:t>Resulting from</w:t>
      </w:r>
      <w:r w:rsidRPr="00951926" w:rsidR="009A7D21">
        <w:rPr>
          <w:sz w:val="26"/>
          <w:szCs w:val="26"/>
        </w:rPr>
        <w:t xml:space="preserve"> Order No. 671, the Commission established a rebuttable blanket presumption that all QFs with a net capacity less than or equal to 20 MW do not have nondiscriminatory access to wholesale markets described in section 210(m</w:t>
      </w:r>
      <w:r w:rsidRPr="00951926" w:rsidR="007770C8">
        <w:rPr>
          <w:sz w:val="26"/>
          <w:szCs w:val="26"/>
        </w:rPr>
        <w:t>).</w:t>
      </w:r>
    </w:p>
    <w:p w:rsidRPr="00951926" w:rsidR="00F53486" w:rsidP="00736942" w:rsidRDefault="00F53486" w14:paraId="273F8E72" w14:textId="77777777">
      <w:pPr>
        <w:widowControl/>
        <w:ind w:left="1440"/>
        <w:jc w:val="right"/>
        <w:rPr>
          <w:sz w:val="26"/>
          <w:szCs w:val="26"/>
        </w:rPr>
      </w:pPr>
    </w:p>
    <w:p w:rsidRPr="00951926" w:rsidR="007E2455" w:rsidP="007129A6" w:rsidRDefault="00F53486" w14:paraId="4C486E79" w14:textId="77777777">
      <w:pPr>
        <w:widowControl/>
        <w:numPr>
          <w:ilvl w:val="0"/>
          <w:numId w:val="3"/>
        </w:numPr>
        <w:tabs>
          <w:tab w:val="clear" w:pos="1080"/>
          <w:tab w:val="num" w:pos="720"/>
        </w:tabs>
        <w:ind w:left="720" w:hanging="720"/>
        <w:rPr>
          <w:b/>
          <w:sz w:val="26"/>
          <w:szCs w:val="26"/>
        </w:rPr>
      </w:pPr>
      <w:r w:rsidRPr="00951926">
        <w:rPr>
          <w:b/>
          <w:sz w:val="26"/>
          <w:szCs w:val="26"/>
        </w:rPr>
        <w:t>CONSEQUENCE TO FEDERAL PROGRAM IF COLLECTION WERE CONDUCTED LESS FREQUENTLY</w:t>
      </w:r>
    </w:p>
    <w:p w:rsidRPr="00951926" w:rsidR="007C11A8" w:rsidP="007C11A8" w:rsidRDefault="007C11A8" w14:paraId="11C3079A" w14:textId="77777777">
      <w:pPr>
        <w:widowControl/>
        <w:rPr>
          <w:b/>
          <w:sz w:val="26"/>
          <w:szCs w:val="26"/>
        </w:rPr>
      </w:pPr>
    </w:p>
    <w:p w:rsidRPr="00951926" w:rsidR="009A7D21" w:rsidP="00807473" w:rsidRDefault="009A7D21" w14:paraId="02076B27" w14:textId="77777777">
      <w:pPr>
        <w:tabs>
          <w:tab w:val="left" w:pos="0"/>
        </w:tabs>
        <w:rPr>
          <w:sz w:val="26"/>
          <w:szCs w:val="26"/>
        </w:rPr>
      </w:pPr>
      <w:r w:rsidRPr="00951926">
        <w:rPr>
          <w:sz w:val="26"/>
          <w:szCs w:val="26"/>
        </w:rPr>
        <w:t xml:space="preserve">Respondents file the FERC-912 information only when circumstances in 18 CFR Part 292 </w:t>
      </w:r>
      <w:r w:rsidRPr="00951926" w:rsidR="00951926">
        <w:rPr>
          <w:sz w:val="26"/>
          <w:szCs w:val="26"/>
        </w:rPr>
        <w:t>require the filing</w:t>
      </w:r>
      <w:r w:rsidRPr="00951926">
        <w:rPr>
          <w:sz w:val="26"/>
          <w:szCs w:val="26"/>
        </w:rPr>
        <w:t xml:space="preserve">.  This is not a recurring </w:t>
      </w:r>
      <w:r w:rsidR="009B7CA2">
        <w:rPr>
          <w:sz w:val="26"/>
          <w:szCs w:val="26"/>
        </w:rPr>
        <w:t>collection</w:t>
      </w:r>
      <w:r w:rsidRPr="00951926">
        <w:rPr>
          <w:sz w:val="26"/>
          <w:szCs w:val="26"/>
        </w:rPr>
        <w:t>.  The Commission cannot co</w:t>
      </w:r>
      <w:r w:rsidR="00807473">
        <w:rPr>
          <w:sz w:val="26"/>
          <w:szCs w:val="26"/>
        </w:rPr>
        <w:t>llect</w:t>
      </w:r>
      <w:r w:rsidRPr="00951926">
        <w:rPr>
          <w:sz w:val="26"/>
          <w:szCs w:val="26"/>
        </w:rPr>
        <w:t xml:space="preserve"> this information less frequently.  The only way to conduct this collection less frequently would be to discontinue it.  That would result in the Commission failing to meet its statutory mandates.  </w:t>
      </w:r>
    </w:p>
    <w:p w:rsidRPr="00951926" w:rsidR="00F53486" w:rsidP="00056B57" w:rsidRDefault="00F53486" w14:paraId="71A6603A" w14:textId="77777777">
      <w:pPr>
        <w:widowControl/>
        <w:rPr>
          <w:sz w:val="26"/>
          <w:szCs w:val="26"/>
        </w:rPr>
      </w:pPr>
    </w:p>
    <w:p w:rsidRPr="00951926" w:rsidR="00F53486" w:rsidP="007129A6" w:rsidRDefault="00F53486" w14:paraId="16C67F98" w14:textId="77777777">
      <w:pPr>
        <w:widowControl/>
        <w:tabs>
          <w:tab w:val="left" w:pos="720"/>
        </w:tabs>
        <w:ind w:left="720" w:hanging="720"/>
        <w:rPr>
          <w:b/>
          <w:sz w:val="26"/>
          <w:szCs w:val="26"/>
        </w:rPr>
      </w:pPr>
      <w:r w:rsidRPr="00951926">
        <w:rPr>
          <w:b/>
          <w:sz w:val="26"/>
          <w:szCs w:val="26"/>
        </w:rPr>
        <w:t>7</w:t>
      </w:r>
      <w:r w:rsidRPr="00951926">
        <w:rPr>
          <w:sz w:val="26"/>
          <w:szCs w:val="26"/>
        </w:rPr>
        <w:t>.</w:t>
      </w:r>
      <w:r w:rsidRPr="00951926">
        <w:rPr>
          <w:sz w:val="26"/>
          <w:szCs w:val="26"/>
        </w:rPr>
        <w:tab/>
      </w:r>
      <w:r w:rsidRPr="00951926">
        <w:rPr>
          <w:b/>
          <w:sz w:val="26"/>
          <w:szCs w:val="26"/>
        </w:rPr>
        <w:t>EXPLAIN ANY SPECIAL CIRCUMSTANCES RELATING TO THE INFORMATION</w:t>
      </w:r>
    </w:p>
    <w:p w:rsidRPr="00951926" w:rsidR="00C90BA2" w:rsidP="00DA3CB6" w:rsidRDefault="00C90BA2" w14:paraId="5819B1A0" w14:textId="77777777">
      <w:pPr>
        <w:widowControl/>
        <w:ind w:firstLine="720"/>
        <w:rPr>
          <w:b/>
          <w:sz w:val="26"/>
          <w:szCs w:val="26"/>
        </w:rPr>
      </w:pPr>
    </w:p>
    <w:p w:rsidRPr="00951926" w:rsidR="009A7D21" w:rsidP="00807473" w:rsidRDefault="009A7D21" w14:paraId="6CC024EF" w14:textId="77777777">
      <w:pPr>
        <w:rPr>
          <w:sz w:val="26"/>
          <w:szCs w:val="26"/>
        </w:rPr>
      </w:pPr>
      <w:r w:rsidRPr="00951926">
        <w:rPr>
          <w:sz w:val="26"/>
          <w:szCs w:val="26"/>
        </w:rPr>
        <w:t>The</w:t>
      </w:r>
      <w:r w:rsidR="006A338D">
        <w:rPr>
          <w:sz w:val="26"/>
          <w:szCs w:val="26"/>
        </w:rPr>
        <w:t xml:space="preserve">re are no special circumstances relating to the information collection. </w:t>
      </w:r>
    </w:p>
    <w:p w:rsidRPr="00951926" w:rsidR="00390518" w:rsidP="00F53486" w:rsidRDefault="00390518" w14:paraId="2255CE8D" w14:textId="77777777">
      <w:pPr>
        <w:widowControl/>
        <w:rPr>
          <w:sz w:val="26"/>
          <w:szCs w:val="26"/>
        </w:rPr>
      </w:pPr>
    </w:p>
    <w:p w:rsidRPr="00951926" w:rsidR="00F53486" w:rsidP="00A86DC2" w:rsidRDefault="00C42FEF" w14:paraId="50E1B616" w14:textId="77777777">
      <w:pPr>
        <w:widowControl/>
        <w:tabs>
          <w:tab w:val="left" w:pos="720"/>
        </w:tabs>
        <w:ind w:left="720" w:hanging="720"/>
        <w:rPr>
          <w:b/>
          <w:sz w:val="26"/>
          <w:szCs w:val="26"/>
        </w:rPr>
      </w:pPr>
      <w:r w:rsidRPr="00951926">
        <w:rPr>
          <w:b/>
          <w:sz w:val="26"/>
          <w:szCs w:val="26"/>
        </w:rPr>
        <w:t xml:space="preserve">8.  </w:t>
      </w:r>
      <w:r w:rsidRPr="00951926" w:rsidR="00A86DC2">
        <w:rPr>
          <w:b/>
          <w:sz w:val="26"/>
          <w:szCs w:val="26"/>
        </w:rPr>
        <w:tab/>
      </w:r>
      <w:r w:rsidRPr="00951926" w:rsidR="00F53486">
        <w:rPr>
          <w:b/>
          <w:sz w:val="26"/>
          <w:szCs w:val="26"/>
        </w:rPr>
        <w:t>DESCRIBE EFFORTS TO CONSULT OUTSIDE THE AGENC</w:t>
      </w:r>
      <w:r w:rsidRPr="00951926" w:rsidR="00DA3CB6">
        <w:rPr>
          <w:b/>
          <w:sz w:val="26"/>
          <w:szCs w:val="26"/>
        </w:rPr>
        <w:t xml:space="preserve">Y:  </w:t>
      </w:r>
      <w:r w:rsidRPr="00951926" w:rsidR="00F53486">
        <w:rPr>
          <w:b/>
          <w:sz w:val="26"/>
          <w:szCs w:val="26"/>
        </w:rPr>
        <w:t>SUMMARIZE PUBLIC COMMENTS AND THE AGENCY’S RESPONSE TO THESE COMMENTS</w:t>
      </w:r>
    </w:p>
    <w:p w:rsidRPr="00951926" w:rsidR="00F53486" w:rsidP="00F53486" w:rsidRDefault="00F53486" w14:paraId="7E13530A" w14:textId="77777777">
      <w:pPr>
        <w:widowControl/>
        <w:ind w:firstLine="720"/>
        <w:rPr>
          <w:sz w:val="26"/>
          <w:szCs w:val="26"/>
        </w:rPr>
      </w:pPr>
    </w:p>
    <w:p w:rsidRPr="00951926" w:rsidR="00F53486" w:rsidP="00807473" w:rsidRDefault="1C82F3C9" w14:paraId="466599CC" w14:textId="3B28E2AE">
      <w:pPr>
        <w:pStyle w:val="LegalFormat"/>
        <w:ind w:firstLine="0"/>
      </w:pPr>
      <w:r w:rsidRPr="00951926">
        <w:t>The</w:t>
      </w:r>
      <w:r w:rsidRPr="00951926" w:rsidR="02B70192">
        <w:t xml:space="preserve"> Commission </w:t>
      </w:r>
      <w:r w:rsidRPr="00951926">
        <w:t xml:space="preserve">issued a </w:t>
      </w:r>
      <w:r w:rsidRPr="006A338D">
        <w:t>60-day Notice</w:t>
      </w:r>
      <w:r w:rsidRPr="006A338D" w:rsidR="00690EC3">
        <w:rPr>
          <w:rStyle w:val="FootnoteReference"/>
        </w:rPr>
        <w:footnoteReference w:id="4"/>
      </w:r>
      <w:r w:rsidRPr="00951926">
        <w:t xml:space="preserve"> in Docket No. IC</w:t>
      </w:r>
      <w:r w:rsidR="1B7D0C99">
        <w:t>22</w:t>
      </w:r>
      <w:r w:rsidRPr="00951926">
        <w:t>-</w:t>
      </w:r>
      <w:r w:rsidR="1B7D0C99">
        <w:t>9</w:t>
      </w:r>
      <w:r w:rsidRPr="00951926">
        <w:t xml:space="preserve">-000 on </w:t>
      </w:r>
      <w:r w:rsidR="1B7D0C99">
        <w:t>3</w:t>
      </w:r>
      <w:r w:rsidRPr="00951926">
        <w:t>/</w:t>
      </w:r>
      <w:r w:rsidR="1B7D0C99">
        <w:t>23</w:t>
      </w:r>
      <w:r w:rsidRPr="00951926">
        <w:t>/20</w:t>
      </w:r>
      <w:r w:rsidR="1B7D0C99">
        <w:t>22</w:t>
      </w:r>
      <w:r w:rsidR="00314A3D">
        <w:t xml:space="preserve"> (published in Federal Register on 3/29/2022 (87 FR1</w:t>
      </w:r>
      <w:r w:rsidR="00DF58C0">
        <w:t>8009)</w:t>
      </w:r>
      <w:r w:rsidRPr="00951926">
        <w:t xml:space="preserve">.  </w:t>
      </w:r>
      <w:r w:rsidRPr="00465DEC" w:rsidR="02B70192">
        <w:t>No comments were received</w:t>
      </w:r>
      <w:r w:rsidR="1B7D0C99">
        <w:t xml:space="preserve"> on the 60</w:t>
      </w:r>
      <w:r w:rsidR="0149BDBB">
        <w:t>-</w:t>
      </w:r>
      <w:r w:rsidR="1B7D0C99">
        <w:t xml:space="preserve">day notice.  The Commission also </w:t>
      </w:r>
      <w:r w:rsidR="00DF58C0">
        <w:t>published</w:t>
      </w:r>
      <w:r w:rsidR="1B7D0C99">
        <w:t xml:space="preserve"> a 30</w:t>
      </w:r>
      <w:r w:rsidR="00484598">
        <w:t>-</w:t>
      </w:r>
      <w:r w:rsidR="1B7D0C99">
        <w:t>day notice</w:t>
      </w:r>
      <w:r w:rsidR="00692505">
        <w:rPr>
          <w:rStyle w:val="FootnoteReference"/>
        </w:rPr>
        <w:footnoteReference w:id="5"/>
      </w:r>
      <w:r w:rsidR="00314A3D">
        <w:t xml:space="preserve"> in the Federal Register (87 FR 36121) on 6/15/2022.</w:t>
      </w:r>
    </w:p>
    <w:p w:rsidRPr="00951926" w:rsidR="00CB20FD" w:rsidP="00DF58C0" w:rsidRDefault="00CB20FD" w14:paraId="5B4A9463" w14:textId="77777777">
      <w:pPr>
        <w:pStyle w:val="LegalFormat"/>
        <w:ind w:firstLine="0"/>
      </w:pPr>
    </w:p>
    <w:p w:rsidRPr="00951926" w:rsidR="00F53486" w:rsidP="00A86DC2" w:rsidRDefault="00F53486" w14:paraId="572B8B68" w14:textId="77777777">
      <w:pPr>
        <w:widowControl/>
        <w:tabs>
          <w:tab w:val="left" w:pos="720"/>
        </w:tabs>
        <w:ind w:left="720" w:hanging="720"/>
        <w:rPr>
          <w:b/>
          <w:sz w:val="26"/>
          <w:szCs w:val="26"/>
        </w:rPr>
      </w:pPr>
      <w:r w:rsidRPr="00951926">
        <w:rPr>
          <w:b/>
          <w:sz w:val="26"/>
          <w:szCs w:val="26"/>
        </w:rPr>
        <w:t>9.</w:t>
      </w:r>
      <w:r w:rsidRPr="00951926">
        <w:rPr>
          <w:sz w:val="26"/>
          <w:szCs w:val="26"/>
        </w:rPr>
        <w:t xml:space="preserve"> </w:t>
      </w:r>
      <w:r w:rsidRPr="00951926">
        <w:rPr>
          <w:sz w:val="26"/>
          <w:szCs w:val="26"/>
        </w:rPr>
        <w:tab/>
      </w:r>
      <w:r w:rsidRPr="00951926">
        <w:rPr>
          <w:b/>
          <w:sz w:val="26"/>
          <w:szCs w:val="26"/>
        </w:rPr>
        <w:t>EXPLAIN ANY PAYMENT OR GIFTS TO RESPONDENTS</w:t>
      </w:r>
    </w:p>
    <w:p w:rsidRPr="00951926" w:rsidR="00F53486" w:rsidP="00F53486" w:rsidRDefault="00F53486" w14:paraId="3C8FEEC5" w14:textId="77777777">
      <w:pPr>
        <w:widowControl/>
        <w:ind w:firstLine="720"/>
        <w:rPr>
          <w:b/>
          <w:sz w:val="26"/>
          <w:szCs w:val="26"/>
        </w:rPr>
      </w:pPr>
    </w:p>
    <w:p w:rsidRPr="00951926" w:rsidR="00CB20FD" w:rsidP="00807473" w:rsidRDefault="00CB20FD" w14:paraId="78C7DB2C" w14:textId="77777777">
      <w:pPr>
        <w:rPr>
          <w:sz w:val="26"/>
          <w:szCs w:val="26"/>
        </w:rPr>
      </w:pPr>
      <w:r w:rsidRPr="00951926">
        <w:rPr>
          <w:sz w:val="26"/>
          <w:szCs w:val="26"/>
        </w:rPr>
        <w:t xml:space="preserve">There are </w:t>
      </w:r>
      <w:r w:rsidRPr="00951926" w:rsidR="00135FB3">
        <w:rPr>
          <w:sz w:val="26"/>
          <w:szCs w:val="26"/>
        </w:rPr>
        <w:t>n</w:t>
      </w:r>
      <w:r w:rsidRPr="00951926" w:rsidR="009A7D21">
        <w:rPr>
          <w:sz w:val="26"/>
          <w:szCs w:val="26"/>
        </w:rPr>
        <w:t xml:space="preserve">o payments or gifts to </w:t>
      </w:r>
      <w:r w:rsidRPr="00951926">
        <w:rPr>
          <w:sz w:val="26"/>
          <w:szCs w:val="26"/>
        </w:rPr>
        <w:t>respondents.</w:t>
      </w:r>
    </w:p>
    <w:p w:rsidRPr="00951926" w:rsidR="00F53486" w:rsidP="00F53486" w:rsidRDefault="00F53486" w14:paraId="26301E7F" w14:textId="77777777">
      <w:pPr>
        <w:widowControl/>
        <w:ind w:firstLine="720"/>
        <w:rPr>
          <w:sz w:val="26"/>
          <w:szCs w:val="26"/>
        </w:rPr>
      </w:pPr>
    </w:p>
    <w:p w:rsidRPr="00951926" w:rsidR="00F53486" w:rsidP="00A86DC2" w:rsidRDefault="00F53486" w14:paraId="1F0EBD30" w14:textId="77777777">
      <w:pPr>
        <w:widowControl/>
        <w:tabs>
          <w:tab w:val="left" w:pos="720"/>
        </w:tabs>
        <w:ind w:left="720" w:hanging="720"/>
        <w:rPr>
          <w:b/>
          <w:sz w:val="26"/>
          <w:szCs w:val="26"/>
        </w:rPr>
      </w:pPr>
      <w:r w:rsidRPr="00951926">
        <w:rPr>
          <w:b/>
          <w:sz w:val="26"/>
          <w:szCs w:val="26"/>
        </w:rPr>
        <w:t>10.</w:t>
      </w:r>
      <w:r w:rsidRPr="00951926">
        <w:rPr>
          <w:b/>
          <w:sz w:val="26"/>
          <w:szCs w:val="26"/>
        </w:rPr>
        <w:tab/>
      </w:r>
      <w:r w:rsidRPr="00951926" w:rsidR="000F0C44">
        <w:rPr>
          <w:b/>
          <w:sz w:val="26"/>
          <w:szCs w:val="26"/>
        </w:rPr>
        <w:t xml:space="preserve"> </w:t>
      </w:r>
      <w:r w:rsidRPr="00951926">
        <w:rPr>
          <w:b/>
          <w:sz w:val="26"/>
          <w:szCs w:val="26"/>
        </w:rPr>
        <w:t>DESCRIBE ANY ASSURANCE OF CONFIDENTIALITY</w:t>
      </w:r>
      <w:r w:rsidRPr="00951926" w:rsidR="009A7A06">
        <w:rPr>
          <w:b/>
          <w:sz w:val="26"/>
          <w:szCs w:val="26"/>
        </w:rPr>
        <w:t xml:space="preserve"> </w:t>
      </w:r>
      <w:r w:rsidRPr="00951926">
        <w:rPr>
          <w:b/>
          <w:sz w:val="26"/>
          <w:szCs w:val="26"/>
        </w:rPr>
        <w:t>PROVIDED TO RESPONDENTS</w:t>
      </w:r>
    </w:p>
    <w:p w:rsidRPr="00951926" w:rsidR="00F53486" w:rsidP="00F53486" w:rsidRDefault="00F53486" w14:paraId="137CA61E" w14:textId="77777777">
      <w:pPr>
        <w:widowControl/>
        <w:ind w:firstLine="720"/>
        <w:rPr>
          <w:b/>
          <w:sz w:val="26"/>
          <w:szCs w:val="26"/>
        </w:rPr>
      </w:pPr>
    </w:p>
    <w:p w:rsidRPr="00951926" w:rsidR="009A7D21" w:rsidP="00807473" w:rsidRDefault="009A7D21" w14:paraId="2FFD91E9" w14:textId="77777777">
      <w:pPr>
        <w:rPr>
          <w:sz w:val="26"/>
          <w:szCs w:val="26"/>
        </w:rPr>
      </w:pPr>
      <w:r w:rsidRPr="00951926">
        <w:rPr>
          <w:sz w:val="26"/>
          <w:szCs w:val="26"/>
        </w:rPr>
        <w:lastRenderedPageBreak/>
        <w:t xml:space="preserve">The Commission does not consider the information collected in FERC-912 filings to be confidential.  However, the filer may request privileged treatment of a filing that may contain information harmful to the competitive posture of the applicant if released to the </w:t>
      </w:r>
      <w:r w:rsidRPr="00951926" w:rsidR="005E503A">
        <w:rPr>
          <w:sz w:val="26"/>
          <w:szCs w:val="26"/>
        </w:rPr>
        <w:t>public</w:t>
      </w:r>
      <w:r w:rsidRPr="00951926">
        <w:rPr>
          <w:sz w:val="26"/>
          <w:szCs w:val="26"/>
        </w:rPr>
        <w:t>.</w:t>
      </w:r>
      <w:r w:rsidRPr="00951926">
        <w:rPr>
          <w:rStyle w:val="FootnoteReference"/>
        </w:rPr>
        <w:footnoteReference w:id="6"/>
      </w:r>
      <w:r w:rsidRPr="00951926">
        <w:rPr>
          <w:sz w:val="26"/>
          <w:szCs w:val="26"/>
        </w:rPr>
        <w:t xml:space="preserve">  </w:t>
      </w:r>
    </w:p>
    <w:p w:rsidRPr="00951926" w:rsidR="00986B0D" w:rsidP="00C90BA2" w:rsidRDefault="00986B0D" w14:paraId="2DD35649" w14:textId="77777777">
      <w:pPr>
        <w:widowControl/>
        <w:rPr>
          <w:sz w:val="26"/>
          <w:szCs w:val="26"/>
        </w:rPr>
      </w:pPr>
    </w:p>
    <w:p w:rsidRPr="00951926" w:rsidR="00F53486" w:rsidP="00A86DC2" w:rsidRDefault="00F53486" w14:paraId="1FA202AB" w14:textId="77777777">
      <w:pPr>
        <w:widowControl/>
        <w:tabs>
          <w:tab w:val="left" w:pos="720"/>
        </w:tabs>
        <w:ind w:left="720" w:hanging="720"/>
        <w:rPr>
          <w:b/>
          <w:sz w:val="26"/>
          <w:szCs w:val="26"/>
        </w:rPr>
      </w:pPr>
      <w:r w:rsidRPr="00951926">
        <w:rPr>
          <w:b/>
          <w:sz w:val="26"/>
          <w:szCs w:val="26"/>
        </w:rPr>
        <w:t>11.</w:t>
      </w:r>
      <w:r w:rsidRPr="00951926">
        <w:rPr>
          <w:b/>
          <w:sz w:val="26"/>
          <w:szCs w:val="26"/>
        </w:rPr>
        <w:tab/>
      </w:r>
      <w:r w:rsidRPr="00951926" w:rsidR="000F0C44">
        <w:rPr>
          <w:b/>
          <w:sz w:val="26"/>
          <w:szCs w:val="26"/>
        </w:rPr>
        <w:t xml:space="preserve"> </w:t>
      </w:r>
      <w:r w:rsidRPr="00951926" w:rsidR="00A701B9">
        <w:rPr>
          <w:b/>
          <w:sz w:val="26"/>
          <w:szCs w:val="26"/>
        </w:rPr>
        <w:t>PROVIDE ADDITIONAL JUSTIFICATION FOR ANY QUESTIONS OF A SENSITIVE NATURE, SUCH AS SEXUAL BEHAVIOR AND ATTITUDES, RELIGIOUS BELIEFS, AND OTHER MATTERS THAT ARE COMMONLY CONSIDERED PRIVATE</w:t>
      </w:r>
    </w:p>
    <w:p w:rsidRPr="00951926" w:rsidR="00F53486" w:rsidP="00F53486" w:rsidRDefault="00F53486" w14:paraId="254D0CED" w14:textId="77777777">
      <w:pPr>
        <w:widowControl/>
        <w:rPr>
          <w:b/>
          <w:sz w:val="26"/>
          <w:szCs w:val="26"/>
        </w:rPr>
      </w:pPr>
    </w:p>
    <w:p w:rsidRPr="00951926" w:rsidR="009A7D21" w:rsidP="00807473" w:rsidRDefault="009A7D21" w14:paraId="17F5996C" w14:textId="77777777">
      <w:pPr>
        <w:rPr>
          <w:sz w:val="26"/>
          <w:szCs w:val="26"/>
        </w:rPr>
      </w:pPr>
      <w:r w:rsidRPr="00951926">
        <w:rPr>
          <w:sz w:val="26"/>
          <w:szCs w:val="26"/>
        </w:rPr>
        <w:t xml:space="preserve">The questions </w:t>
      </w:r>
      <w:r w:rsidRPr="00951926" w:rsidR="00003F89">
        <w:rPr>
          <w:sz w:val="26"/>
          <w:szCs w:val="26"/>
        </w:rPr>
        <w:t>are not</w:t>
      </w:r>
      <w:r w:rsidRPr="00951926">
        <w:rPr>
          <w:sz w:val="26"/>
          <w:szCs w:val="26"/>
        </w:rPr>
        <w:t xml:space="preserve"> sensitive in nature or private.</w:t>
      </w:r>
    </w:p>
    <w:p w:rsidRPr="00951926" w:rsidR="00F53486" w:rsidP="009E54E0" w:rsidRDefault="00B66750" w14:paraId="440B75FD" w14:textId="77777777">
      <w:pPr>
        <w:widowControl/>
        <w:tabs>
          <w:tab w:val="left" w:pos="720"/>
        </w:tabs>
        <w:rPr>
          <w:b/>
          <w:sz w:val="26"/>
          <w:szCs w:val="26"/>
        </w:rPr>
      </w:pPr>
      <w:r w:rsidRPr="00951926">
        <w:rPr>
          <w:sz w:val="26"/>
          <w:szCs w:val="26"/>
        </w:rPr>
        <w:br w:type="page"/>
      </w:r>
      <w:r w:rsidRPr="00951926" w:rsidR="00F53486">
        <w:rPr>
          <w:b/>
          <w:sz w:val="26"/>
          <w:szCs w:val="26"/>
        </w:rPr>
        <w:lastRenderedPageBreak/>
        <w:t>12.</w:t>
      </w:r>
      <w:r w:rsidRPr="00951926" w:rsidR="00F53486">
        <w:rPr>
          <w:b/>
          <w:sz w:val="26"/>
          <w:szCs w:val="26"/>
        </w:rPr>
        <w:tab/>
      </w:r>
      <w:r w:rsidRPr="00951926" w:rsidR="00FF5CA4">
        <w:rPr>
          <w:b/>
          <w:sz w:val="26"/>
          <w:szCs w:val="26"/>
        </w:rPr>
        <w:t xml:space="preserve"> </w:t>
      </w:r>
      <w:r w:rsidRPr="00951926" w:rsidR="00F53486">
        <w:rPr>
          <w:b/>
          <w:sz w:val="26"/>
          <w:szCs w:val="26"/>
        </w:rPr>
        <w:t>ESTIMATED BURDEN OF COLLECTION OF INFORMATION</w:t>
      </w:r>
    </w:p>
    <w:p w:rsidRPr="00951926" w:rsidR="00F53486" w:rsidP="00F53486" w:rsidRDefault="00F53486" w14:paraId="06BA35C4" w14:textId="77777777">
      <w:pPr>
        <w:rPr>
          <w:sz w:val="26"/>
          <w:szCs w:val="26"/>
        </w:rPr>
      </w:pPr>
    </w:p>
    <w:p w:rsidR="00AF2652" w:rsidP="00E56DC3" w:rsidRDefault="009237E8" w14:paraId="30AD654A" w14:textId="77777777">
      <w:pPr>
        <w:widowControl/>
        <w:tabs>
          <w:tab w:val="left" w:pos="-1440"/>
        </w:tabs>
        <w:ind w:firstLine="360"/>
        <w:rPr>
          <w:sz w:val="26"/>
          <w:szCs w:val="26"/>
        </w:rPr>
      </w:pPr>
      <w:r w:rsidRPr="00951926">
        <w:rPr>
          <w:sz w:val="26"/>
          <w:szCs w:val="26"/>
        </w:rPr>
        <w:t xml:space="preserve">The Commission estimates the </w:t>
      </w:r>
      <w:r w:rsidRPr="00951926" w:rsidR="00BE7553">
        <w:rPr>
          <w:sz w:val="26"/>
          <w:szCs w:val="26"/>
        </w:rPr>
        <w:t xml:space="preserve">annual </w:t>
      </w:r>
      <w:r w:rsidRPr="00951926" w:rsidR="005C65DF">
        <w:rPr>
          <w:sz w:val="26"/>
          <w:szCs w:val="26"/>
        </w:rPr>
        <w:t>burden and cost</w:t>
      </w:r>
      <w:r w:rsidRPr="00951926" w:rsidR="0094596E">
        <w:rPr>
          <w:sz w:val="26"/>
          <w:szCs w:val="26"/>
        </w:rPr>
        <w:t>, as follows</w:t>
      </w:r>
      <w:r w:rsidR="0015003E">
        <w:rPr>
          <w:sz w:val="26"/>
          <w:szCs w:val="26"/>
        </w:rPr>
        <w:t>:</w:t>
      </w:r>
      <w:r w:rsidRPr="007126D4" w:rsidR="005C65DF">
        <w:rPr>
          <w:rStyle w:val="FootnoteReference"/>
          <w:b w:val="0"/>
        </w:rPr>
        <w:footnoteReference w:id="7"/>
      </w:r>
    </w:p>
    <w:p w:rsidRPr="00951926" w:rsidR="0015003E" w:rsidP="00E56DC3" w:rsidRDefault="0015003E" w14:paraId="07138D7F" w14:textId="77777777">
      <w:pPr>
        <w:widowControl/>
        <w:tabs>
          <w:tab w:val="left" w:pos="-1440"/>
        </w:tabs>
        <w:ind w:firstLine="360"/>
        <w:rPr>
          <w:sz w:val="26"/>
          <w:szCs w:val="26"/>
        </w:rPr>
      </w:pPr>
    </w:p>
    <w:tbl>
      <w:tblPr>
        <w:tblW w:w="10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67"/>
        <w:gridCol w:w="1321"/>
        <w:gridCol w:w="1530"/>
        <w:gridCol w:w="1440"/>
        <w:gridCol w:w="1712"/>
        <w:gridCol w:w="1800"/>
        <w:gridCol w:w="1345"/>
      </w:tblGrid>
      <w:tr w:rsidRPr="005F1BF9" w:rsidR="0015003E" w:rsidTr="0050214B" w14:paraId="5A676DA6" w14:textId="77777777">
        <w:trPr>
          <w:trHeight w:val="347"/>
          <w:jc w:val="center"/>
        </w:trPr>
        <w:tc>
          <w:tcPr>
            <w:tcW w:w="10615" w:type="dxa"/>
            <w:gridSpan w:val="7"/>
            <w:shd w:val="clear" w:color="auto" w:fill="D9D9D9"/>
            <w:vAlign w:val="center"/>
          </w:tcPr>
          <w:p w:rsidRPr="005F1BF9" w:rsidR="0015003E" w:rsidP="0027664D" w:rsidRDefault="0015003E" w14:paraId="1427EACD" w14:textId="77777777">
            <w:pPr>
              <w:jc w:val="center"/>
              <w:rPr>
                <w:b/>
                <w:smallCaps/>
                <w:sz w:val="20"/>
                <w:szCs w:val="20"/>
              </w:rPr>
            </w:pPr>
            <w:r w:rsidRPr="005F1BF9">
              <w:rPr>
                <w:b/>
                <w:smallCaps/>
                <w:sz w:val="20"/>
                <w:szCs w:val="20"/>
              </w:rPr>
              <w:t>FERC-912 (IC22-9-000):</w:t>
            </w:r>
            <w:r w:rsidRPr="005F1BF9">
              <w:rPr>
                <w:b/>
                <w:sz w:val="20"/>
                <w:szCs w:val="20"/>
              </w:rPr>
              <w:t xml:space="preserve">  Cogeneration and Small Power Production, PURPA Section 210(m) Regulations for Termination or Reinstatement of Obligation to Purchase or Sell</w:t>
            </w:r>
          </w:p>
        </w:tc>
      </w:tr>
      <w:tr w:rsidRPr="005F1BF9" w:rsidR="0083455F" w:rsidTr="0050214B" w14:paraId="12C49B15" w14:textId="77777777">
        <w:trPr>
          <w:trHeight w:val="638"/>
          <w:jc w:val="center"/>
        </w:trPr>
        <w:tc>
          <w:tcPr>
            <w:tcW w:w="1467" w:type="dxa"/>
            <w:shd w:val="clear" w:color="auto" w:fill="D9D9D9"/>
            <w:vAlign w:val="center"/>
          </w:tcPr>
          <w:p w:rsidRPr="005F1BF9" w:rsidR="0015003E" w:rsidP="0027664D" w:rsidRDefault="0015003E" w14:paraId="4CE65577" w14:textId="77777777">
            <w:pPr>
              <w:jc w:val="center"/>
              <w:rPr>
                <w:b/>
                <w:sz w:val="20"/>
                <w:szCs w:val="20"/>
              </w:rPr>
            </w:pPr>
          </w:p>
        </w:tc>
        <w:tc>
          <w:tcPr>
            <w:tcW w:w="1321" w:type="dxa"/>
            <w:shd w:val="clear" w:color="auto" w:fill="D9D9D9"/>
            <w:vAlign w:val="center"/>
          </w:tcPr>
          <w:p w:rsidRPr="005F1BF9" w:rsidR="0015003E" w:rsidP="0027664D" w:rsidRDefault="0015003E" w14:paraId="3B69A01B" w14:textId="77777777">
            <w:pPr>
              <w:jc w:val="center"/>
              <w:rPr>
                <w:b/>
                <w:sz w:val="20"/>
                <w:szCs w:val="20"/>
              </w:rPr>
            </w:pPr>
          </w:p>
          <w:p w:rsidRPr="005F1BF9" w:rsidR="0015003E" w:rsidP="0027664D" w:rsidRDefault="0015003E" w14:paraId="5E2FF889" w14:textId="77777777">
            <w:pPr>
              <w:jc w:val="center"/>
              <w:rPr>
                <w:b/>
                <w:sz w:val="20"/>
                <w:szCs w:val="20"/>
              </w:rPr>
            </w:pPr>
          </w:p>
          <w:p w:rsidRPr="005F1BF9" w:rsidR="0015003E" w:rsidP="0027664D" w:rsidRDefault="0015003E" w14:paraId="715E799B" w14:textId="77777777">
            <w:pPr>
              <w:jc w:val="center"/>
              <w:rPr>
                <w:b/>
                <w:sz w:val="20"/>
                <w:szCs w:val="20"/>
              </w:rPr>
            </w:pPr>
            <w:r w:rsidRPr="005F1BF9">
              <w:rPr>
                <w:b/>
                <w:sz w:val="20"/>
                <w:szCs w:val="20"/>
              </w:rPr>
              <w:t>Number of Respondents</w:t>
            </w:r>
          </w:p>
          <w:p w:rsidRPr="005F1BF9" w:rsidR="0015003E" w:rsidP="0027664D" w:rsidRDefault="0015003E" w14:paraId="506C2758" w14:textId="77777777">
            <w:pPr>
              <w:jc w:val="center"/>
              <w:rPr>
                <w:b/>
                <w:sz w:val="20"/>
                <w:szCs w:val="20"/>
              </w:rPr>
            </w:pPr>
          </w:p>
          <w:p w:rsidRPr="005F1BF9" w:rsidR="0015003E" w:rsidP="0027664D" w:rsidRDefault="0015003E" w14:paraId="602E3482" w14:textId="77777777">
            <w:pPr>
              <w:jc w:val="center"/>
              <w:rPr>
                <w:b/>
                <w:sz w:val="20"/>
                <w:szCs w:val="20"/>
              </w:rPr>
            </w:pPr>
            <w:r w:rsidRPr="005F1BF9">
              <w:rPr>
                <w:b/>
                <w:sz w:val="20"/>
                <w:szCs w:val="20"/>
              </w:rPr>
              <w:t>(1)</w:t>
            </w:r>
          </w:p>
        </w:tc>
        <w:tc>
          <w:tcPr>
            <w:tcW w:w="1530" w:type="dxa"/>
            <w:shd w:val="clear" w:color="auto" w:fill="D9D9D9"/>
            <w:vAlign w:val="center"/>
          </w:tcPr>
          <w:p w:rsidRPr="005F1BF9" w:rsidR="0015003E" w:rsidP="0027664D" w:rsidRDefault="0015003E" w14:paraId="67A13B63" w14:textId="77777777">
            <w:pPr>
              <w:jc w:val="center"/>
              <w:rPr>
                <w:b/>
                <w:sz w:val="20"/>
                <w:szCs w:val="20"/>
              </w:rPr>
            </w:pPr>
          </w:p>
          <w:p w:rsidRPr="005F1BF9" w:rsidR="0015003E" w:rsidP="0027664D" w:rsidRDefault="0015003E" w14:paraId="2F702ED7" w14:textId="77777777">
            <w:pPr>
              <w:jc w:val="center"/>
              <w:rPr>
                <w:b/>
                <w:sz w:val="20"/>
                <w:szCs w:val="20"/>
              </w:rPr>
            </w:pPr>
            <w:r w:rsidRPr="005F1BF9">
              <w:rPr>
                <w:b/>
                <w:sz w:val="20"/>
                <w:szCs w:val="20"/>
              </w:rPr>
              <w:t>Number of Responses Per Respondent</w:t>
            </w:r>
          </w:p>
          <w:p w:rsidRPr="005F1BF9" w:rsidR="0015003E" w:rsidP="0027664D" w:rsidRDefault="0015003E" w14:paraId="7DC1BAD4" w14:textId="77777777">
            <w:pPr>
              <w:jc w:val="center"/>
              <w:rPr>
                <w:b/>
                <w:sz w:val="20"/>
                <w:szCs w:val="20"/>
              </w:rPr>
            </w:pPr>
          </w:p>
          <w:p w:rsidRPr="005F1BF9" w:rsidR="0015003E" w:rsidP="0027664D" w:rsidRDefault="0015003E" w14:paraId="0C295739" w14:textId="77777777">
            <w:pPr>
              <w:jc w:val="center"/>
              <w:rPr>
                <w:b/>
                <w:sz w:val="20"/>
                <w:szCs w:val="20"/>
              </w:rPr>
            </w:pPr>
            <w:r w:rsidRPr="005F1BF9">
              <w:rPr>
                <w:b/>
                <w:sz w:val="20"/>
                <w:szCs w:val="20"/>
              </w:rPr>
              <w:t>(2)</w:t>
            </w:r>
          </w:p>
        </w:tc>
        <w:tc>
          <w:tcPr>
            <w:tcW w:w="1440" w:type="dxa"/>
            <w:shd w:val="clear" w:color="auto" w:fill="D9D9D9"/>
            <w:vAlign w:val="center"/>
          </w:tcPr>
          <w:p w:rsidRPr="005F1BF9" w:rsidR="0015003E" w:rsidP="0027664D" w:rsidRDefault="0015003E" w14:paraId="2903D118" w14:textId="77777777">
            <w:pPr>
              <w:jc w:val="center"/>
              <w:rPr>
                <w:b/>
                <w:sz w:val="20"/>
                <w:szCs w:val="20"/>
              </w:rPr>
            </w:pPr>
          </w:p>
          <w:p w:rsidRPr="005F1BF9" w:rsidR="0015003E" w:rsidP="0027664D" w:rsidRDefault="0015003E" w14:paraId="12793FB7" w14:textId="77777777">
            <w:pPr>
              <w:jc w:val="center"/>
              <w:rPr>
                <w:b/>
                <w:sz w:val="20"/>
                <w:szCs w:val="20"/>
              </w:rPr>
            </w:pPr>
          </w:p>
          <w:p w:rsidRPr="005F1BF9" w:rsidR="0015003E" w:rsidP="0027664D" w:rsidRDefault="0015003E" w14:paraId="508E1995" w14:textId="77777777">
            <w:pPr>
              <w:jc w:val="center"/>
              <w:rPr>
                <w:b/>
                <w:sz w:val="20"/>
                <w:szCs w:val="20"/>
              </w:rPr>
            </w:pPr>
            <w:r w:rsidRPr="005F1BF9">
              <w:rPr>
                <w:b/>
                <w:sz w:val="20"/>
                <w:szCs w:val="20"/>
              </w:rPr>
              <w:t>Total Number of Responses</w:t>
            </w:r>
          </w:p>
          <w:p w:rsidRPr="005F1BF9" w:rsidR="0015003E" w:rsidP="0027664D" w:rsidRDefault="0015003E" w14:paraId="76785B9E" w14:textId="77777777">
            <w:pPr>
              <w:jc w:val="center"/>
              <w:rPr>
                <w:b/>
                <w:sz w:val="20"/>
                <w:szCs w:val="20"/>
              </w:rPr>
            </w:pPr>
          </w:p>
          <w:p w:rsidRPr="005F1BF9" w:rsidR="0015003E" w:rsidP="0027664D" w:rsidRDefault="0015003E" w14:paraId="025FAB39" w14:textId="77777777">
            <w:pPr>
              <w:ind w:left="72"/>
              <w:jc w:val="center"/>
              <w:rPr>
                <w:b/>
                <w:sz w:val="20"/>
                <w:szCs w:val="20"/>
              </w:rPr>
            </w:pPr>
            <w:r w:rsidRPr="005F1BF9">
              <w:rPr>
                <w:b/>
                <w:sz w:val="20"/>
                <w:szCs w:val="20"/>
              </w:rPr>
              <w:t>(1) x (2) = (3)</w:t>
            </w:r>
          </w:p>
        </w:tc>
        <w:tc>
          <w:tcPr>
            <w:tcW w:w="1712" w:type="dxa"/>
            <w:shd w:val="clear" w:color="auto" w:fill="D9D9D9"/>
            <w:vAlign w:val="center"/>
          </w:tcPr>
          <w:p w:rsidRPr="005F1BF9" w:rsidR="0015003E" w:rsidP="0027664D" w:rsidRDefault="0015003E" w14:paraId="2B384FB3" w14:textId="77777777">
            <w:pPr>
              <w:jc w:val="center"/>
              <w:rPr>
                <w:b/>
                <w:sz w:val="20"/>
                <w:szCs w:val="20"/>
              </w:rPr>
            </w:pPr>
            <w:r w:rsidRPr="50BE3313">
              <w:rPr>
                <w:b/>
                <w:bCs/>
                <w:sz w:val="20"/>
                <w:szCs w:val="20"/>
              </w:rPr>
              <w:t>Average Burden Hours &amp; Average Cost per Response ($)</w:t>
            </w:r>
            <w:r w:rsidRPr="50BE3313">
              <w:rPr>
                <w:rFonts w:eastAsia="Calibri"/>
                <w:vertAlign w:val="superscript"/>
              </w:rPr>
              <w:footnoteReference w:id="8"/>
            </w:r>
          </w:p>
          <w:p w:rsidRPr="005F1BF9" w:rsidR="0015003E" w:rsidP="0027664D" w:rsidRDefault="0015003E" w14:paraId="2A563D07" w14:textId="77777777">
            <w:pPr>
              <w:jc w:val="center"/>
              <w:rPr>
                <w:b/>
                <w:sz w:val="20"/>
                <w:szCs w:val="20"/>
              </w:rPr>
            </w:pPr>
          </w:p>
          <w:p w:rsidRPr="005F1BF9" w:rsidR="0015003E" w:rsidP="0027664D" w:rsidRDefault="0015003E" w14:paraId="49700C76" w14:textId="77777777">
            <w:pPr>
              <w:jc w:val="center"/>
              <w:rPr>
                <w:b/>
                <w:sz w:val="20"/>
                <w:szCs w:val="20"/>
              </w:rPr>
            </w:pPr>
            <w:r w:rsidRPr="005F1BF9">
              <w:rPr>
                <w:b/>
                <w:sz w:val="20"/>
                <w:szCs w:val="20"/>
              </w:rPr>
              <w:t>(4)</w:t>
            </w:r>
          </w:p>
        </w:tc>
        <w:tc>
          <w:tcPr>
            <w:tcW w:w="1800" w:type="dxa"/>
            <w:shd w:val="clear" w:color="auto" w:fill="D9D9D9"/>
            <w:vAlign w:val="center"/>
          </w:tcPr>
          <w:p w:rsidRPr="005F1BF9" w:rsidR="0015003E" w:rsidP="0027664D" w:rsidRDefault="0015003E" w14:paraId="6A9AD951" w14:textId="77777777">
            <w:pPr>
              <w:jc w:val="center"/>
              <w:rPr>
                <w:b/>
                <w:sz w:val="20"/>
                <w:szCs w:val="20"/>
              </w:rPr>
            </w:pPr>
            <w:r w:rsidRPr="005F1BF9">
              <w:rPr>
                <w:b/>
                <w:sz w:val="20"/>
                <w:szCs w:val="20"/>
              </w:rPr>
              <w:t>Total Annual Burden Hours &amp; Total Annual Cost ($)</w:t>
            </w:r>
          </w:p>
          <w:p w:rsidRPr="005F1BF9" w:rsidR="0015003E" w:rsidP="0027664D" w:rsidRDefault="0015003E" w14:paraId="518FD915" w14:textId="77777777">
            <w:pPr>
              <w:jc w:val="center"/>
              <w:rPr>
                <w:b/>
                <w:sz w:val="20"/>
                <w:szCs w:val="20"/>
              </w:rPr>
            </w:pPr>
          </w:p>
          <w:p w:rsidRPr="005F1BF9" w:rsidR="0015003E" w:rsidP="0027664D" w:rsidRDefault="0015003E" w14:paraId="1687E09C" w14:textId="77777777">
            <w:pPr>
              <w:jc w:val="center"/>
              <w:rPr>
                <w:b/>
                <w:sz w:val="20"/>
                <w:szCs w:val="20"/>
              </w:rPr>
            </w:pPr>
            <w:r w:rsidRPr="005F1BF9">
              <w:rPr>
                <w:b/>
                <w:sz w:val="20"/>
                <w:szCs w:val="20"/>
              </w:rPr>
              <w:t>(3) x (4) = (5)</w:t>
            </w:r>
          </w:p>
        </w:tc>
        <w:tc>
          <w:tcPr>
            <w:tcW w:w="1345" w:type="dxa"/>
            <w:shd w:val="clear" w:color="auto" w:fill="D9D9D9"/>
            <w:vAlign w:val="center"/>
          </w:tcPr>
          <w:p w:rsidRPr="005F1BF9" w:rsidR="0015003E" w:rsidP="0027664D" w:rsidRDefault="0015003E" w14:paraId="75C07C50" w14:textId="77777777">
            <w:pPr>
              <w:jc w:val="center"/>
              <w:rPr>
                <w:b/>
                <w:sz w:val="20"/>
                <w:szCs w:val="20"/>
              </w:rPr>
            </w:pPr>
          </w:p>
          <w:p w:rsidRPr="005F1BF9" w:rsidR="0015003E" w:rsidP="0027664D" w:rsidRDefault="0015003E" w14:paraId="746DF961" w14:textId="77777777">
            <w:pPr>
              <w:jc w:val="center"/>
              <w:rPr>
                <w:b/>
                <w:sz w:val="20"/>
                <w:szCs w:val="20"/>
              </w:rPr>
            </w:pPr>
          </w:p>
          <w:p w:rsidRPr="005F1BF9" w:rsidR="0015003E" w:rsidP="0027664D" w:rsidRDefault="0015003E" w14:paraId="3A04E2DE" w14:textId="77777777">
            <w:pPr>
              <w:jc w:val="center"/>
              <w:rPr>
                <w:b/>
                <w:sz w:val="20"/>
                <w:szCs w:val="20"/>
              </w:rPr>
            </w:pPr>
            <w:r w:rsidRPr="005F1BF9">
              <w:rPr>
                <w:b/>
                <w:sz w:val="20"/>
                <w:szCs w:val="20"/>
              </w:rPr>
              <w:t>Cost per Respondent ($)</w:t>
            </w:r>
          </w:p>
          <w:p w:rsidRPr="005F1BF9" w:rsidR="0015003E" w:rsidP="0027664D" w:rsidRDefault="0015003E" w14:paraId="68803663" w14:textId="77777777">
            <w:pPr>
              <w:jc w:val="center"/>
              <w:rPr>
                <w:b/>
                <w:sz w:val="20"/>
                <w:szCs w:val="20"/>
              </w:rPr>
            </w:pPr>
          </w:p>
          <w:p w:rsidRPr="005F1BF9" w:rsidR="0015003E" w:rsidP="0027664D" w:rsidRDefault="0015003E" w14:paraId="19B368B5" w14:textId="77777777">
            <w:pPr>
              <w:jc w:val="center"/>
              <w:rPr>
                <w:b/>
                <w:sz w:val="20"/>
                <w:szCs w:val="20"/>
              </w:rPr>
            </w:pPr>
            <w:r w:rsidRPr="005F1BF9">
              <w:rPr>
                <w:b/>
                <w:sz w:val="20"/>
                <w:szCs w:val="20"/>
              </w:rPr>
              <w:t>(5)</w:t>
            </w:r>
            <w:r w:rsidRPr="005F1BF9">
              <w:rPr>
                <w:rFonts w:eastAsia="Calibri"/>
                <w:b/>
                <w:sz w:val="20"/>
                <w:szCs w:val="20"/>
              </w:rPr>
              <w:t xml:space="preserve"> ÷ (1) = (6)</w:t>
            </w:r>
          </w:p>
        </w:tc>
      </w:tr>
      <w:tr w:rsidRPr="005F1BF9" w:rsidR="0015003E" w:rsidTr="50BE3313" w14:paraId="6EF0D1B0" w14:textId="77777777">
        <w:trPr>
          <w:jc w:val="center"/>
        </w:trPr>
        <w:tc>
          <w:tcPr>
            <w:tcW w:w="1467" w:type="dxa"/>
            <w:vAlign w:val="center"/>
          </w:tcPr>
          <w:p w:rsidRPr="005F1BF9" w:rsidR="0015003E" w:rsidP="0027664D" w:rsidRDefault="0015003E" w14:paraId="1B7E385E" w14:textId="77777777">
            <w:pPr>
              <w:rPr>
                <w:sz w:val="20"/>
                <w:szCs w:val="20"/>
              </w:rPr>
            </w:pPr>
            <w:r w:rsidRPr="005F1BF9">
              <w:rPr>
                <w:sz w:val="20"/>
                <w:szCs w:val="20"/>
              </w:rPr>
              <w:t>Termination of obligation to purchase</w:t>
            </w:r>
          </w:p>
        </w:tc>
        <w:tc>
          <w:tcPr>
            <w:tcW w:w="1321" w:type="dxa"/>
            <w:vAlign w:val="center"/>
          </w:tcPr>
          <w:p w:rsidRPr="005F1BF9" w:rsidR="0015003E" w:rsidP="0027664D" w:rsidRDefault="0015003E" w14:paraId="5445296A" w14:textId="77777777">
            <w:pPr>
              <w:spacing w:line="276" w:lineRule="auto"/>
              <w:jc w:val="right"/>
              <w:rPr>
                <w:sz w:val="20"/>
                <w:szCs w:val="20"/>
              </w:rPr>
            </w:pPr>
            <w:r w:rsidRPr="005F1BF9">
              <w:rPr>
                <w:sz w:val="20"/>
                <w:szCs w:val="20"/>
              </w:rPr>
              <w:t>10</w:t>
            </w:r>
          </w:p>
        </w:tc>
        <w:tc>
          <w:tcPr>
            <w:tcW w:w="1530" w:type="dxa"/>
            <w:vAlign w:val="center"/>
          </w:tcPr>
          <w:p w:rsidRPr="005F1BF9" w:rsidR="0015003E" w:rsidP="0027664D" w:rsidRDefault="0015003E" w14:paraId="7C52BB58" w14:textId="77777777">
            <w:pPr>
              <w:spacing w:line="276" w:lineRule="auto"/>
              <w:jc w:val="right"/>
              <w:rPr>
                <w:sz w:val="20"/>
                <w:szCs w:val="20"/>
              </w:rPr>
            </w:pPr>
            <w:r w:rsidRPr="005F1BF9">
              <w:rPr>
                <w:sz w:val="20"/>
                <w:szCs w:val="20"/>
              </w:rPr>
              <w:t>1.5</w:t>
            </w:r>
          </w:p>
        </w:tc>
        <w:tc>
          <w:tcPr>
            <w:tcW w:w="1440" w:type="dxa"/>
            <w:vAlign w:val="center"/>
          </w:tcPr>
          <w:p w:rsidRPr="005F1BF9" w:rsidR="0015003E" w:rsidP="0027664D" w:rsidRDefault="0015003E" w14:paraId="0CEA1822" w14:textId="77777777">
            <w:pPr>
              <w:spacing w:line="276" w:lineRule="auto"/>
              <w:jc w:val="right"/>
              <w:rPr>
                <w:sz w:val="20"/>
                <w:szCs w:val="20"/>
              </w:rPr>
            </w:pPr>
            <w:r w:rsidRPr="005F1BF9">
              <w:rPr>
                <w:sz w:val="20"/>
                <w:szCs w:val="20"/>
              </w:rPr>
              <w:t>15</w:t>
            </w:r>
          </w:p>
        </w:tc>
        <w:tc>
          <w:tcPr>
            <w:tcW w:w="1712" w:type="dxa"/>
            <w:vAlign w:val="center"/>
          </w:tcPr>
          <w:p w:rsidRPr="005F1BF9" w:rsidR="0015003E" w:rsidP="0027664D" w:rsidRDefault="0015003E" w14:paraId="0BAC78E4" w14:textId="77777777">
            <w:pPr>
              <w:spacing w:line="276" w:lineRule="auto"/>
              <w:jc w:val="right"/>
              <w:rPr>
                <w:sz w:val="20"/>
                <w:szCs w:val="20"/>
              </w:rPr>
            </w:pPr>
            <w:r w:rsidRPr="005F1BF9">
              <w:rPr>
                <w:sz w:val="20"/>
                <w:szCs w:val="20"/>
              </w:rPr>
              <w:t>12</w:t>
            </w:r>
          </w:p>
          <w:p w:rsidRPr="005F1BF9" w:rsidR="0015003E" w:rsidP="0027664D" w:rsidRDefault="0015003E" w14:paraId="72A68091" w14:textId="77777777">
            <w:pPr>
              <w:spacing w:line="276" w:lineRule="auto"/>
              <w:jc w:val="right"/>
              <w:rPr>
                <w:sz w:val="20"/>
                <w:szCs w:val="20"/>
              </w:rPr>
            </w:pPr>
            <w:r w:rsidRPr="005F1BF9">
              <w:rPr>
                <w:sz w:val="20"/>
                <w:szCs w:val="20"/>
              </w:rPr>
              <w:t>$1,044</w:t>
            </w:r>
          </w:p>
        </w:tc>
        <w:tc>
          <w:tcPr>
            <w:tcW w:w="1800" w:type="dxa"/>
            <w:vAlign w:val="center"/>
          </w:tcPr>
          <w:p w:rsidRPr="005F1BF9" w:rsidR="0015003E" w:rsidP="0027664D" w:rsidRDefault="0015003E" w14:paraId="789F2E49" w14:textId="77777777">
            <w:pPr>
              <w:spacing w:line="276" w:lineRule="auto"/>
              <w:jc w:val="right"/>
              <w:rPr>
                <w:sz w:val="20"/>
                <w:szCs w:val="20"/>
              </w:rPr>
            </w:pPr>
            <w:r w:rsidRPr="005F1BF9">
              <w:rPr>
                <w:sz w:val="20"/>
                <w:szCs w:val="20"/>
              </w:rPr>
              <w:t>180</w:t>
            </w:r>
          </w:p>
          <w:p w:rsidRPr="005F1BF9" w:rsidR="0015003E" w:rsidP="0027664D" w:rsidRDefault="0015003E" w14:paraId="0DBFB137" w14:textId="77777777">
            <w:pPr>
              <w:spacing w:line="276" w:lineRule="auto"/>
              <w:jc w:val="right"/>
              <w:rPr>
                <w:sz w:val="20"/>
                <w:szCs w:val="20"/>
              </w:rPr>
            </w:pPr>
            <w:r w:rsidRPr="005F1BF9">
              <w:rPr>
                <w:sz w:val="20"/>
                <w:szCs w:val="20"/>
              </w:rPr>
              <w:t>$15,660</w:t>
            </w:r>
          </w:p>
        </w:tc>
        <w:tc>
          <w:tcPr>
            <w:tcW w:w="1345" w:type="dxa"/>
            <w:vAlign w:val="center"/>
          </w:tcPr>
          <w:p w:rsidRPr="005F1BF9" w:rsidR="0015003E" w:rsidP="0027664D" w:rsidRDefault="0015003E" w14:paraId="0DFE46DA" w14:textId="77777777">
            <w:pPr>
              <w:spacing w:line="276" w:lineRule="auto"/>
              <w:jc w:val="right"/>
              <w:rPr>
                <w:sz w:val="20"/>
                <w:szCs w:val="20"/>
              </w:rPr>
            </w:pPr>
            <w:r w:rsidRPr="005F1BF9">
              <w:rPr>
                <w:sz w:val="20"/>
                <w:szCs w:val="20"/>
              </w:rPr>
              <w:t>$1,566</w:t>
            </w:r>
          </w:p>
        </w:tc>
      </w:tr>
      <w:tr w:rsidRPr="005F1BF9" w:rsidR="0015003E" w:rsidTr="50BE3313" w14:paraId="0F9FBB9F" w14:textId="77777777">
        <w:trPr>
          <w:jc w:val="center"/>
        </w:trPr>
        <w:tc>
          <w:tcPr>
            <w:tcW w:w="1467" w:type="dxa"/>
            <w:vAlign w:val="center"/>
          </w:tcPr>
          <w:p w:rsidRPr="005F1BF9" w:rsidR="0015003E" w:rsidP="0027664D" w:rsidRDefault="0015003E" w14:paraId="241F40F2" w14:textId="77777777">
            <w:pPr>
              <w:rPr>
                <w:sz w:val="20"/>
                <w:szCs w:val="20"/>
              </w:rPr>
            </w:pPr>
            <w:r w:rsidRPr="005F1BF9">
              <w:rPr>
                <w:sz w:val="20"/>
                <w:szCs w:val="20"/>
              </w:rPr>
              <w:t>Termination of obligation to sell</w:t>
            </w:r>
          </w:p>
        </w:tc>
        <w:tc>
          <w:tcPr>
            <w:tcW w:w="1321" w:type="dxa"/>
            <w:vAlign w:val="center"/>
          </w:tcPr>
          <w:p w:rsidRPr="005F1BF9" w:rsidR="0015003E" w:rsidP="0027664D" w:rsidRDefault="0015003E" w14:paraId="5E0B4194" w14:textId="77777777">
            <w:pPr>
              <w:spacing w:line="276" w:lineRule="auto"/>
              <w:jc w:val="right"/>
              <w:rPr>
                <w:sz w:val="20"/>
                <w:szCs w:val="20"/>
              </w:rPr>
            </w:pPr>
            <w:r w:rsidRPr="005F1BF9">
              <w:rPr>
                <w:sz w:val="20"/>
                <w:szCs w:val="20"/>
              </w:rPr>
              <w:t>2</w:t>
            </w:r>
          </w:p>
        </w:tc>
        <w:tc>
          <w:tcPr>
            <w:tcW w:w="1530" w:type="dxa"/>
            <w:vAlign w:val="center"/>
          </w:tcPr>
          <w:p w:rsidRPr="005F1BF9" w:rsidR="0015003E" w:rsidP="0027664D" w:rsidRDefault="0015003E" w14:paraId="70DFB769" w14:textId="77777777">
            <w:pPr>
              <w:spacing w:line="276" w:lineRule="auto"/>
              <w:jc w:val="right"/>
              <w:rPr>
                <w:sz w:val="20"/>
                <w:szCs w:val="20"/>
              </w:rPr>
            </w:pPr>
            <w:r w:rsidRPr="005F1BF9">
              <w:rPr>
                <w:sz w:val="20"/>
                <w:szCs w:val="20"/>
              </w:rPr>
              <w:t>1</w:t>
            </w:r>
          </w:p>
        </w:tc>
        <w:tc>
          <w:tcPr>
            <w:tcW w:w="1440" w:type="dxa"/>
            <w:vAlign w:val="center"/>
          </w:tcPr>
          <w:p w:rsidRPr="005F1BF9" w:rsidR="0015003E" w:rsidP="0027664D" w:rsidRDefault="0015003E" w14:paraId="518C1F85" w14:textId="77777777">
            <w:pPr>
              <w:spacing w:line="276" w:lineRule="auto"/>
              <w:jc w:val="right"/>
              <w:rPr>
                <w:sz w:val="20"/>
                <w:szCs w:val="20"/>
              </w:rPr>
            </w:pPr>
            <w:r w:rsidRPr="005F1BF9">
              <w:rPr>
                <w:sz w:val="20"/>
                <w:szCs w:val="20"/>
              </w:rPr>
              <w:t>2</w:t>
            </w:r>
          </w:p>
        </w:tc>
        <w:tc>
          <w:tcPr>
            <w:tcW w:w="1712" w:type="dxa"/>
            <w:vAlign w:val="center"/>
          </w:tcPr>
          <w:p w:rsidRPr="005F1BF9" w:rsidR="0015003E" w:rsidP="0027664D" w:rsidRDefault="0015003E" w14:paraId="07A20C35" w14:textId="77777777">
            <w:pPr>
              <w:spacing w:line="276" w:lineRule="auto"/>
              <w:jc w:val="right"/>
              <w:rPr>
                <w:sz w:val="20"/>
                <w:szCs w:val="20"/>
              </w:rPr>
            </w:pPr>
            <w:r w:rsidRPr="005F1BF9">
              <w:rPr>
                <w:sz w:val="20"/>
                <w:szCs w:val="20"/>
              </w:rPr>
              <w:t>8</w:t>
            </w:r>
          </w:p>
          <w:p w:rsidRPr="005F1BF9" w:rsidR="0015003E" w:rsidP="0027664D" w:rsidRDefault="0015003E" w14:paraId="6EBB0D64" w14:textId="77777777">
            <w:pPr>
              <w:spacing w:line="276" w:lineRule="auto"/>
              <w:jc w:val="right"/>
              <w:rPr>
                <w:sz w:val="20"/>
                <w:szCs w:val="20"/>
              </w:rPr>
            </w:pPr>
            <w:r w:rsidRPr="005F1BF9">
              <w:rPr>
                <w:sz w:val="20"/>
                <w:szCs w:val="20"/>
              </w:rPr>
              <w:t>$696</w:t>
            </w:r>
          </w:p>
        </w:tc>
        <w:tc>
          <w:tcPr>
            <w:tcW w:w="1800" w:type="dxa"/>
            <w:vAlign w:val="center"/>
          </w:tcPr>
          <w:p w:rsidRPr="005F1BF9" w:rsidR="0015003E" w:rsidP="0027664D" w:rsidRDefault="0015003E" w14:paraId="18FDA1C1" w14:textId="77777777">
            <w:pPr>
              <w:spacing w:line="276" w:lineRule="auto"/>
              <w:jc w:val="right"/>
              <w:rPr>
                <w:sz w:val="20"/>
                <w:szCs w:val="20"/>
              </w:rPr>
            </w:pPr>
            <w:r w:rsidRPr="005F1BF9">
              <w:rPr>
                <w:sz w:val="20"/>
                <w:szCs w:val="20"/>
              </w:rPr>
              <w:t>16</w:t>
            </w:r>
          </w:p>
          <w:p w:rsidRPr="005F1BF9" w:rsidR="0015003E" w:rsidP="0027664D" w:rsidRDefault="0015003E" w14:paraId="5533164B" w14:textId="77777777">
            <w:pPr>
              <w:spacing w:line="276" w:lineRule="auto"/>
              <w:jc w:val="right"/>
              <w:rPr>
                <w:sz w:val="20"/>
                <w:szCs w:val="20"/>
              </w:rPr>
            </w:pPr>
            <w:r w:rsidRPr="005F1BF9">
              <w:rPr>
                <w:sz w:val="20"/>
                <w:szCs w:val="20"/>
              </w:rPr>
              <w:t>$1,392</w:t>
            </w:r>
          </w:p>
        </w:tc>
        <w:tc>
          <w:tcPr>
            <w:tcW w:w="1345" w:type="dxa"/>
            <w:vAlign w:val="center"/>
          </w:tcPr>
          <w:p w:rsidRPr="005F1BF9" w:rsidR="0015003E" w:rsidP="0027664D" w:rsidRDefault="0015003E" w14:paraId="23EB2965" w14:textId="77777777">
            <w:pPr>
              <w:spacing w:line="276" w:lineRule="auto"/>
              <w:jc w:val="right"/>
              <w:rPr>
                <w:sz w:val="20"/>
                <w:szCs w:val="20"/>
              </w:rPr>
            </w:pPr>
            <w:r w:rsidRPr="005F1BF9">
              <w:rPr>
                <w:sz w:val="20"/>
                <w:szCs w:val="20"/>
              </w:rPr>
              <w:t>$696</w:t>
            </w:r>
          </w:p>
        </w:tc>
      </w:tr>
      <w:tr w:rsidRPr="005F1BF9" w:rsidR="00A13857" w:rsidTr="50BE3313" w14:paraId="669C7601" w14:textId="77777777">
        <w:trPr>
          <w:trHeight w:val="443"/>
          <w:jc w:val="center"/>
        </w:trPr>
        <w:tc>
          <w:tcPr>
            <w:tcW w:w="1467" w:type="dxa"/>
            <w:vAlign w:val="center"/>
          </w:tcPr>
          <w:p w:rsidRPr="005F1BF9" w:rsidR="00A13857" w:rsidP="0027664D" w:rsidRDefault="00A13857" w14:paraId="2C36AF45" w14:textId="77777777">
            <w:pPr>
              <w:rPr>
                <w:b/>
                <w:sz w:val="20"/>
                <w:szCs w:val="20"/>
              </w:rPr>
            </w:pPr>
            <w:r w:rsidRPr="005F1BF9">
              <w:rPr>
                <w:b/>
                <w:sz w:val="20"/>
                <w:szCs w:val="20"/>
              </w:rPr>
              <w:t>Total</w:t>
            </w:r>
          </w:p>
        </w:tc>
        <w:tc>
          <w:tcPr>
            <w:tcW w:w="2851" w:type="dxa"/>
            <w:gridSpan w:val="2"/>
            <w:vAlign w:val="center"/>
          </w:tcPr>
          <w:p w:rsidRPr="005F1BF9" w:rsidR="00A13857" w:rsidP="0027664D" w:rsidRDefault="00A13857" w14:paraId="48EEAABB" w14:textId="77777777">
            <w:pPr>
              <w:jc w:val="right"/>
              <w:rPr>
                <w:b/>
                <w:sz w:val="20"/>
                <w:szCs w:val="20"/>
              </w:rPr>
            </w:pPr>
          </w:p>
        </w:tc>
        <w:tc>
          <w:tcPr>
            <w:tcW w:w="1440" w:type="dxa"/>
            <w:vAlign w:val="center"/>
          </w:tcPr>
          <w:p w:rsidRPr="005F1BF9" w:rsidR="00A13857" w:rsidP="0027664D" w:rsidRDefault="00A13857" w14:paraId="07189869" w14:textId="77777777">
            <w:pPr>
              <w:jc w:val="right"/>
              <w:rPr>
                <w:b/>
                <w:sz w:val="20"/>
                <w:szCs w:val="20"/>
              </w:rPr>
            </w:pPr>
            <w:r>
              <w:rPr>
                <w:b/>
                <w:sz w:val="20"/>
                <w:szCs w:val="20"/>
              </w:rPr>
              <w:t>17</w:t>
            </w:r>
          </w:p>
        </w:tc>
        <w:tc>
          <w:tcPr>
            <w:tcW w:w="1712" w:type="dxa"/>
            <w:vAlign w:val="center"/>
          </w:tcPr>
          <w:p w:rsidRPr="005F1BF9" w:rsidR="00A13857" w:rsidP="0027664D" w:rsidRDefault="00A13857" w14:paraId="559BAAC4" w14:textId="77777777">
            <w:pPr>
              <w:jc w:val="right"/>
              <w:rPr>
                <w:b/>
                <w:sz w:val="20"/>
                <w:szCs w:val="20"/>
              </w:rPr>
            </w:pPr>
          </w:p>
        </w:tc>
        <w:tc>
          <w:tcPr>
            <w:tcW w:w="1800" w:type="dxa"/>
            <w:vAlign w:val="center"/>
          </w:tcPr>
          <w:p w:rsidRPr="005F1BF9" w:rsidR="00A13857" w:rsidP="0027664D" w:rsidRDefault="00A13857" w14:paraId="4FF30B00" w14:textId="77777777">
            <w:pPr>
              <w:jc w:val="right"/>
              <w:rPr>
                <w:b/>
                <w:sz w:val="20"/>
                <w:szCs w:val="20"/>
              </w:rPr>
            </w:pPr>
            <w:r w:rsidRPr="005F1BF9">
              <w:rPr>
                <w:b/>
                <w:sz w:val="20"/>
                <w:szCs w:val="20"/>
              </w:rPr>
              <w:t>196 hours</w:t>
            </w:r>
          </w:p>
          <w:p w:rsidRPr="005F1BF9" w:rsidR="00A13857" w:rsidP="0027664D" w:rsidRDefault="00A13857" w14:paraId="39F9EB1F" w14:textId="77777777">
            <w:pPr>
              <w:jc w:val="right"/>
              <w:rPr>
                <w:b/>
                <w:sz w:val="20"/>
                <w:szCs w:val="20"/>
              </w:rPr>
            </w:pPr>
            <w:r w:rsidRPr="005F1BF9">
              <w:rPr>
                <w:b/>
                <w:sz w:val="20"/>
                <w:szCs w:val="20"/>
              </w:rPr>
              <w:t>$17,052</w:t>
            </w:r>
          </w:p>
        </w:tc>
        <w:tc>
          <w:tcPr>
            <w:tcW w:w="1345" w:type="dxa"/>
            <w:vAlign w:val="center"/>
          </w:tcPr>
          <w:p w:rsidRPr="005F1BF9" w:rsidR="00A13857" w:rsidP="0027664D" w:rsidRDefault="00A13857" w14:paraId="43BDE239" w14:textId="77777777">
            <w:pPr>
              <w:jc w:val="right"/>
              <w:rPr>
                <w:b/>
                <w:sz w:val="20"/>
                <w:szCs w:val="20"/>
              </w:rPr>
            </w:pPr>
            <w:r w:rsidRPr="005F1BF9">
              <w:rPr>
                <w:b/>
                <w:sz w:val="20"/>
                <w:szCs w:val="20"/>
              </w:rPr>
              <w:t>$2,262</w:t>
            </w:r>
          </w:p>
        </w:tc>
      </w:tr>
    </w:tbl>
    <w:p w:rsidRPr="00951926" w:rsidR="0094596E" w:rsidP="004573E9" w:rsidRDefault="0094596E" w14:paraId="1B67E147" w14:textId="77777777">
      <w:pPr>
        <w:widowControl/>
        <w:rPr>
          <w:sz w:val="26"/>
          <w:szCs w:val="26"/>
        </w:rPr>
      </w:pPr>
    </w:p>
    <w:p w:rsidRPr="00951926" w:rsidR="0094596E" w:rsidP="004573E9" w:rsidRDefault="0094596E" w14:paraId="7B3A1D42" w14:textId="77777777">
      <w:pPr>
        <w:widowControl/>
        <w:rPr>
          <w:sz w:val="26"/>
          <w:szCs w:val="26"/>
        </w:rPr>
      </w:pPr>
    </w:p>
    <w:p w:rsidRPr="00951926" w:rsidR="004573E9" w:rsidP="00935892" w:rsidRDefault="0033665C" w14:paraId="7F815D37" w14:textId="77777777">
      <w:pPr>
        <w:widowControl/>
        <w:rPr>
          <w:sz w:val="26"/>
          <w:szCs w:val="26"/>
        </w:rPr>
      </w:pPr>
      <w:r w:rsidRPr="00951926">
        <w:rPr>
          <w:sz w:val="26"/>
          <w:szCs w:val="26"/>
        </w:rPr>
        <w:t xml:space="preserve">(See #15 for an explanation of the rows showing 0 filings </w:t>
      </w:r>
      <w:r w:rsidRPr="00951926" w:rsidR="00A304DB">
        <w:rPr>
          <w:sz w:val="26"/>
          <w:szCs w:val="26"/>
        </w:rPr>
        <w:t xml:space="preserve">which </w:t>
      </w:r>
      <w:r w:rsidRPr="00951926">
        <w:rPr>
          <w:sz w:val="26"/>
          <w:szCs w:val="26"/>
        </w:rPr>
        <w:t>are expected in the next 3 years.)</w:t>
      </w:r>
    </w:p>
    <w:p w:rsidRPr="00951926" w:rsidR="0033665C" w:rsidP="00F53486" w:rsidRDefault="0033665C" w14:paraId="20E20B15" w14:textId="77777777">
      <w:pPr>
        <w:widowControl/>
        <w:ind w:firstLine="720"/>
        <w:rPr>
          <w:sz w:val="26"/>
          <w:szCs w:val="26"/>
        </w:rPr>
      </w:pPr>
    </w:p>
    <w:p w:rsidRPr="00951926" w:rsidR="00F53486" w:rsidP="00B05B7C" w:rsidRDefault="00FF5CA4" w14:paraId="1ACFE119" w14:textId="77777777">
      <w:pPr>
        <w:widowControl/>
        <w:numPr>
          <w:ilvl w:val="0"/>
          <w:numId w:val="4"/>
        </w:numPr>
        <w:tabs>
          <w:tab w:val="left" w:pos="720"/>
        </w:tabs>
        <w:ind w:left="720" w:hanging="720"/>
        <w:rPr>
          <w:b/>
          <w:sz w:val="26"/>
          <w:szCs w:val="26"/>
        </w:rPr>
      </w:pPr>
      <w:r w:rsidRPr="00951926">
        <w:rPr>
          <w:b/>
          <w:sz w:val="26"/>
          <w:szCs w:val="26"/>
        </w:rPr>
        <w:t xml:space="preserve"> </w:t>
      </w:r>
      <w:r w:rsidRPr="00951926" w:rsidR="00F53486">
        <w:rPr>
          <w:b/>
          <w:sz w:val="26"/>
          <w:szCs w:val="26"/>
        </w:rPr>
        <w:t>ESTIMATE OF</w:t>
      </w:r>
      <w:r w:rsidRPr="00951926">
        <w:rPr>
          <w:b/>
          <w:sz w:val="26"/>
          <w:szCs w:val="26"/>
        </w:rPr>
        <w:t xml:space="preserve"> TOTAL ANNUAL COST OF BURDEN TO</w:t>
      </w:r>
    </w:p>
    <w:p w:rsidRPr="00951926" w:rsidR="00F53486" w:rsidP="00B05B7C" w:rsidRDefault="00B05B7C" w14:paraId="33FB45F6" w14:textId="77777777">
      <w:pPr>
        <w:widowControl/>
        <w:tabs>
          <w:tab w:val="left" w:pos="720"/>
        </w:tabs>
        <w:rPr>
          <w:b/>
          <w:sz w:val="26"/>
          <w:szCs w:val="26"/>
        </w:rPr>
      </w:pPr>
      <w:r w:rsidRPr="00951926">
        <w:rPr>
          <w:b/>
          <w:sz w:val="26"/>
          <w:szCs w:val="26"/>
        </w:rPr>
        <w:tab/>
        <w:t xml:space="preserve"> </w:t>
      </w:r>
      <w:r w:rsidRPr="00951926" w:rsidR="00F53486">
        <w:rPr>
          <w:b/>
          <w:sz w:val="26"/>
          <w:szCs w:val="26"/>
        </w:rPr>
        <w:t>RESPONDENTS</w:t>
      </w:r>
    </w:p>
    <w:p w:rsidRPr="00951926" w:rsidR="005B500A" w:rsidP="00305758" w:rsidRDefault="005B500A" w14:paraId="49B7CBF4" w14:textId="77777777">
      <w:pPr>
        <w:widowControl/>
        <w:rPr>
          <w:sz w:val="26"/>
          <w:szCs w:val="26"/>
        </w:rPr>
      </w:pPr>
    </w:p>
    <w:p w:rsidRPr="00951926" w:rsidR="00505DF2" w:rsidP="00935892" w:rsidRDefault="00A7570B" w14:paraId="2B182476" w14:textId="77777777">
      <w:pPr>
        <w:widowControl/>
        <w:rPr>
          <w:sz w:val="26"/>
          <w:szCs w:val="26"/>
        </w:rPr>
      </w:pPr>
      <w:r w:rsidRPr="00951926">
        <w:rPr>
          <w:sz w:val="26"/>
          <w:szCs w:val="26"/>
        </w:rPr>
        <w:t xml:space="preserve">There </w:t>
      </w:r>
      <w:r w:rsidRPr="00951926" w:rsidR="00181B23">
        <w:rPr>
          <w:sz w:val="26"/>
          <w:szCs w:val="26"/>
        </w:rPr>
        <w:t xml:space="preserve">are no non-labor start-up costs. </w:t>
      </w:r>
      <w:r w:rsidR="006B7D47">
        <w:rPr>
          <w:sz w:val="26"/>
          <w:szCs w:val="26"/>
        </w:rPr>
        <w:t xml:space="preserve"> </w:t>
      </w:r>
      <w:r w:rsidRPr="00951926" w:rsidR="00181B23">
        <w:rPr>
          <w:sz w:val="26"/>
          <w:szCs w:val="26"/>
        </w:rPr>
        <w:t>All costs are related to burden hours and are addressed in Questions #12 and #15.</w:t>
      </w:r>
    </w:p>
    <w:p w:rsidRPr="00951926" w:rsidR="00181B23" w:rsidP="00181B23" w:rsidRDefault="00181B23" w14:paraId="583B8E05" w14:textId="77777777">
      <w:pPr>
        <w:widowControl/>
        <w:rPr>
          <w:b/>
          <w:sz w:val="26"/>
          <w:szCs w:val="26"/>
        </w:rPr>
      </w:pPr>
    </w:p>
    <w:p w:rsidRPr="00951926" w:rsidR="00F53486" w:rsidP="00B05B7C" w:rsidRDefault="00F53486" w14:paraId="7FC436C5" w14:textId="77777777">
      <w:pPr>
        <w:widowControl/>
        <w:tabs>
          <w:tab w:val="left" w:pos="720"/>
        </w:tabs>
        <w:ind w:left="720" w:hanging="720"/>
        <w:rPr>
          <w:b/>
          <w:sz w:val="26"/>
          <w:szCs w:val="26"/>
        </w:rPr>
      </w:pPr>
      <w:r w:rsidRPr="00951926">
        <w:rPr>
          <w:b/>
          <w:sz w:val="26"/>
          <w:szCs w:val="26"/>
        </w:rPr>
        <w:t>14.</w:t>
      </w:r>
      <w:r w:rsidRPr="00951926">
        <w:rPr>
          <w:sz w:val="26"/>
          <w:szCs w:val="26"/>
        </w:rPr>
        <w:tab/>
      </w:r>
      <w:r w:rsidRPr="00951926">
        <w:rPr>
          <w:b/>
          <w:sz w:val="26"/>
          <w:szCs w:val="26"/>
        </w:rPr>
        <w:t>ESTIM</w:t>
      </w:r>
      <w:r w:rsidRPr="00951926" w:rsidR="00FF5CA4">
        <w:rPr>
          <w:b/>
          <w:sz w:val="26"/>
          <w:szCs w:val="26"/>
        </w:rPr>
        <w:t>ATED ANNUALIZED COST TO FEDERAL</w:t>
      </w:r>
      <w:r w:rsidR="00951926">
        <w:rPr>
          <w:b/>
          <w:sz w:val="26"/>
          <w:szCs w:val="26"/>
        </w:rPr>
        <w:t xml:space="preserve"> </w:t>
      </w:r>
      <w:r w:rsidRPr="00951926" w:rsidR="00A7570B">
        <w:rPr>
          <w:b/>
          <w:sz w:val="26"/>
          <w:szCs w:val="26"/>
        </w:rPr>
        <w:t>GOVERNMENT</w:t>
      </w:r>
    </w:p>
    <w:p w:rsidRPr="00951926" w:rsidR="00F53486" w:rsidP="00F53486" w:rsidRDefault="00F53486" w14:paraId="2576256B" w14:textId="77777777">
      <w:pPr>
        <w:tabs>
          <w:tab w:val="left" w:pos="-1440"/>
        </w:tabs>
        <w:ind w:left="5040" w:hanging="4320"/>
        <w:rPr>
          <w:sz w:val="26"/>
          <w:szCs w:val="26"/>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38"/>
        <w:gridCol w:w="2953"/>
        <w:gridCol w:w="2965"/>
      </w:tblGrid>
      <w:tr w:rsidRPr="00951926" w:rsidR="0053577B" w:rsidTr="50BE3313" w14:paraId="266A97ED" w14:textId="77777777">
        <w:trPr>
          <w:jc w:val="center"/>
        </w:trPr>
        <w:tc>
          <w:tcPr>
            <w:tcW w:w="2938" w:type="dxa"/>
            <w:shd w:val="clear" w:color="auto" w:fill="CCCCCC"/>
          </w:tcPr>
          <w:p w:rsidRPr="00951926" w:rsidR="0053577B" w:rsidP="0053577B" w:rsidRDefault="0053577B" w14:paraId="40864B78" w14:textId="77777777">
            <w:pPr>
              <w:rPr>
                <w:sz w:val="26"/>
                <w:szCs w:val="26"/>
              </w:rPr>
            </w:pPr>
          </w:p>
        </w:tc>
        <w:tc>
          <w:tcPr>
            <w:tcW w:w="2953" w:type="dxa"/>
            <w:shd w:val="clear" w:color="auto" w:fill="CCCCCC"/>
          </w:tcPr>
          <w:p w:rsidRPr="00951926" w:rsidR="0053577B" w:rsidP="0053577B" w:rsidRDefault="0053577B" w14:paraId="7B0A0D03" w14:textId="77777777">
            <w:pPr>
              <w:rPr>
                <w:b/>
                <w:sz w:val="26"/>
                <w:szCs w:val="26"/>
              </w:rPr>
            </w:pPr>
            <w:r w:rsidRPr="00951926">
              <w:rPr>
                <w:b/>
                <w:sz w:val="26"/>
                <w:szCs w:val="26"/>
              </w:rPr>
              <w:t>Number of Employees (FTEs)</w:t>
            </w:r>
          </w:p>
        </w:tc>
        <w:tc>
          <w:tcPr>
            <w:tcW w:w="2965" w:type="dxa"/>
            <w:shd w:val="clear" w:color="auto" w:fill="CCCCCC"/>
          </w:tcPr>
          <w:p w:rsidRPr="00951926" w:rsidR="0053577B" w:rsidP="0053577B" w:rsidRDefault="0053577B" w14:paraId="4BA224CD" w14:textId="77777777">
            <w:pPr>
              <w:rPr>
                <w:b/>
                <w:sz w:val="26"/>
                <w:szCs w:val="26"/>
              </w:rPr>
            </w:pPr>
            <w:r w:rsidRPr="00951926">
              <w:rPr>
                <w:b/>
                <w:sz w:val="26"/>
                <w:szCs w:val="26"/>
              </w:rPr>
              <w:t>Estimated Annual Federal Cost</w:t>
            </w:r>
          </w:p>
        </w:tc>
      </w:tr>
      <w:tr w:rsidRPr="00951926" w:rsidR="007822C4" w:rsidTr="50BE3313" w14:paraId="5FAEBF29" w14:textId="77777777">
        <w:trPr>
          <w:jc w:val="center"/>
        </w:trPr>
        <w:tc>
          <w:tcPr>
            <w:tcW w:w="2938" w:type="dxa"/>
            <w:shd w:val="clear" w:color="auto" w:fill="auto"/>
          </w:tcPr>
          <w:p w:rsidRPr="00951926" w:rsidR="007822C4" w:rsidP="00951926" w:rsidRDefault="00181B23" w14:paraId="62533590" w14:textId="77777777">
            <w:pPr>
              <w:rPr>
                <w:sz w:val="26"/>
                <w:szCs w:val="26"/>
              </w:rPr>
            </w:pPr>
            <w:r w:rsidRPr="00951926">
              <w:rPr>
                <w:sz w:val="26"/>
                <w:szCs w:val="26"/>
              </w:rPr>
              <w:t>PRA</w:t>
            </w:r>
            <w:r w:rsidRPr="00697C54">
              <w:rPr>
                <w:rStyle w:val="FootnoteReference"/>
              </w:rPr>
              <w:footnoteReference w:id="9"/>
            </w:r>
            <w:r w:rsidRPr="50BE3313">
              <w:rPr>
                <w:b/>
                <w:bCs/>
                <w:sz w:val="26"/>
                <w:szCs w:val="26"/>
              </w:rPr>
              <w:t xml:space="preserve"> </w:t>
            </w:r>
            <w:r w:rsidRPr="00951926">
              <w:rPr>
                <w:sz w:val="26"/>
                <w:szCs w:val="26"/>
              </w:rPr>
              <w:t xml:space="preserve">Administration </w:t>
            </w:r>
            <w:r w:rsidRPr="00951926">
              <w:rPr>
                <w:sz w:val="26"/>
                <w:szCs w:val="26"/>
              </w:rPr>
              <w:lastRenderedPageBreak/>
              <w:t xml:space="preserve">Cost </w:t>
            </w:r>
          </w:p>
        </w:tc>
        <w:tc>
          <w:tcPr>
            <w:tcW w:w="2953" w:type="dxa"/>
            <w:shd w:val="clear" w:color="auto" w:fill="auto"/>
          </w:tcPr>
          <w:p w:rsidRPr="00951926" w:rsidR="007822C4" w:rsidP="00083FCE" w:rsidRDefault="007822C4" w14:paraId="2D3AC6AE" w14:textId="77777777">
            <w:pPr>
              <w:jc w:val="right"/>
              <w:rPr>
                <w:sz w:val="26"/>
                <w:szCs w:val="26"/>
              </w:rPr>
            </w:pPr>
          </w:p>
        </w:tc>
        <w:tc>
          <w:tcPr>
            <w:tcW w:w="2965" w:type="dxa"/>
            <w:shd w:val="clear" w:color="auto" w:fill="auto"/>
          </w:tcPr>
          <w:p w:rsidRPr="00951926" w:rsidR="007822C4" w:rsidP="00951926" w:rsidRDefault="005939C1" w14:paraId="42E4D43B" w14:textId="77777777">
            <w:pPr>
              <w:jc w:val="right"/>
              <w:rPr>
                <w:sz w:val="26"/>
                <w:szCs w:val="26"/>
              </w:rPr>
            </w:pPr>
            <w:r w:rsidRPr="00951926">
              <w:rPr>
                <w:sz w:val="26"/>
                <w:szCs w:val="26"/>
              </w:rPr>
              <w:t>$</w:t>
            </w:r>
            <w:r w:rsidR="00807473">
              <w:rPr>
                <w:sz w:val="26"/>
                <w:szCs w:val="26"/>
              </w:rPr>
              <w:t>8</w:t>
            </w:r>
            <w:r w:rsidRPr="00951926" w:rsidR="009A7A57">
              <w:rPr>
                <w:sz w:val="26"/>
                <w:szCs w:val="26"/>
              </w:rPr>
              <w:t>,</w:t>
            </w:r>
            <w:r w:rsidR="00807473">
              <w:rPr>
                <w:sz w:val="26"/>
                <w:szCs w:val="26"/>
              </w:rPr>
              <w:t>279</w:t>
            </w:r>
          </w:p>
        </w:tc>
      </w:tr>
      <w:tr w:rsidRPr="00951926" w:rsidR="00181B23" w:rsidTr="50BE3313" w14:paraId="4F94838E" w14:textId="77777777">
        <w:trPr>
          <w:jc w:val="center"/>
        </w:trPr>
        <w:tc>
          <w:tcPr>
            <w:tcW w:w="2938" w:type="dxa"/>
            <w:shd w:val="clear" w:color="auto" w:fill="auto"/>
          </w:tcPr>
          <w:p w:rsidRPr="00951926" w:rsidR="00181B23" w:rsidP="0053577B" w:rsidRDefault="00181B23" w14:paraId="4DE87F08" w14:textId="77777777">
            <w:pPr>
              <w:rPr>
                <w:sz w:val="26"/>
                <w:szCs w:val="26"/>
              </w:rPr>
            </w:pPr>
            <w:r w:rsidRPr="00951926">
              <w:rPr>
                <w:sz w:val="26"/>
                <w:szCs w:val="26"/>
              </w:rPr>
              <w:t>Data Processing and Analysis</w:t>
            </w:r>
            <w:r w:rsidRPr="00951926" w:rsidR="009A7A57">
              <w:rPr>
                <w:rStyle w:val="FootnoteReference"/>
              </w:rPr>
              <w:footnoteReference w:id="10"/>
            </w:r>
          </w:p>
        </w:tc>
        <w:tc>
          <w:tcPr>
            <w:tcW w:w="2953" w:type="dxa"/>
            <w:shd w:val="clear" w:color="auto" w:fill="auto"/>
          </w:tcPr>
          <w:p w:rsidRPr="00951926" w:rsidR="00181B23" w:rsidP="0053577B" w:rsidRDefault="00181B23" w14:paraId="6B5E2866" w14:textId="77777777">
            <w:pPr>
              <w:jc w:val="right"/>
              <w:rPr>
                <w:sz w:val="26"/>
                <w:szCs w:val="26"/>
              </w:rPr>
            </w:pPr>
            <w:r w:rsidRPr="00951926">
              <w:rPr>
                <w:sz w:val="26"/>
                <w:szCs w:val="26"/>
              </w:rPr>
              <w:t>0</w:t>
            </w:r>
            <w:r w:rsidRPr="00951926" w:rsidR="00900190">
              <w:rPr>
                <w:sz w:val="26"/>
                <w:szCs w:val="26"/>
              </w:rPr>
              <w:t>.</w:t>
            </w:r>
            <w:r w:rsidR="003924EB">
              <w:rPr>
                <w:sz w:val="26"/>
                <w:szCs w:val="26"/>
              </w:rPr>
              <w:t>5</w:t>
            </w:r>
          </w:p>
        </w:tc>
        <w:tc>
          <w:tcPr>
            <w:tcW w:w="2965" w:type="dxa"/>
            <w:shd w:val="clear" w:color="auto" w:fill="auto"/>
          </w:tcPr>
          <w:p w:rsidRPr="00951926" w:rsidR="00181B23" w:rsidP="00951926" w:rsidRDefault="6A5C554C" w14:paraId="1640D0BC" w14:textId="035A4D5D">
            <w:pPr>
              <w:jc w:val="right"/>
              <w:rPr>
                <w:sz w:val="26"/>
                <w:szCs w:val="26"/>
              </w:rPr>
            </w:pPr>
            <w:r w:rsidRPr="0551F102">
              <w:rPr>
                <w:sz w:val="26"/>
                <w:szCs w:val="26"/>
              </w:rPr>
              <w:t>$</w:t>
            </w:r>
            <w:r w:rsidRPr="0551F102" w:rsidR="33D496D2">
              <w:rPr>
                <w:sz w:val="26"/>
                <w:szCs w:val="26"/>
              </w:rPr>
              <w:t>90,351</w:t>
            </w:r>
          </w:p>
        </w:tc>
      </w:tr>
      <w:tr w:rsidRPr="00951926" w:rsidR="00181B23" w:rsidTr="0050214B" w14:paraId="131A52C4" w14:textId="77777777">
        <w:trPr>
          <w:jc w:val="center"/>
        </w:trPr>
        <w:tc>
          <w:tcPr>
            <w:tcW w:w="2938" w:type="dxa"/>
            <w:shd w:val="clear" w:color="auto" w:fill="auto"/>
          </w:tcPr>
          <w:p w:rsidRPr="00951926" w:rsidR="00181B23" w:rsidP="0053577B" w:rsidRDefault="00181B23" w14:paraId="0F87AE76" w14:textId="77777777">
            <w:pPr>
              <w:rPr>
                <w:sz w:val="26"/>
                <w:szCs w:val="26"/>
              </w:rPr>
            </w:pPr>
            <w:r w:rsidRPr="00951926">
              <w:rPr>
                <w:sz w:val="26"/>
                <w:szCs w:val="26"/>
              </w:rPr>
              <w:t>FERC Total</w:t>
            </w:r>
          </w:p>
        </w:tc>
        <w:tc>
          <w:tcPr>
            <w:tcW w:w="2953" w:type="dxa"/>
            <w:tcBorders>
              <w:bottom w:val="single" w:color="auto" w:sz="4" w:space="0"/>
            </w:tcBorders>
            <w:shd w:val="clear" w:color="auto" w:fill="BFBFBF"/>
          </w:tcPr>
          <w:p w:rsidRPr="00951926" w:rsidR="00181B23" w:rsidP="0053577B" w:rsidRDefault="00181B23" w14:paraId="633CB078" w14:textId="77777777">
            <w:pPr>
              <w:jc w:val="right"/>
              <w:rPr>
                <w:sz w:val="26"/>
                <w:szCs w:val="26"/>
              </w:rPr>
            </w:pPr>
          </w:p>
        </w:tc>
        <w:tc>
          <w:tcPr>
            <w:tcW w:w="2965" w:type="dxa"/>
            <w:shd w:val="clear" w:color="auto" w:fill="auto"/>
          </w:tcPr>
          <w:p w:rsidRPr="00951926" w:rsidR="00181B23" w:rsidP="00951926" w:rsidRDefault="00505DF2" w14:paraId="2A4AD000" w14:textId="77777777">
            <w:pPr>
              <w:jc w:val="right"/>
              <w:rPr>
                <w:sz w:val="26"/>
                <w:szCs w:val="26"/>
              </w:rPr>
            </w:pPr>
            <w:r w:rsidRPr="00951926">
              <w:rPr>
                <w:sz w:val="26"/>
                <w:szCs w:val="26"/>
              </w:rPr>
              <w:t>$</w:t>
            </w:r>
            <w:r w:rsidR="00087A12">
              <w:rPr>
                <w:sz w:val="26"/>
                <w:szCs w:val="26"/>
              </w:rPr>
              <w:t>98,630</w:t>
            </w:r>
          </w:p>
        </w:tc>
      </w:tr>
    </w:tbl>
    <w:p w:rsidRPr="00951926" w:rsidR="00F53486" w:rsidP="00F53486" w:rsidRDefault="00F53486" w14:paraId="73E5D69B" w14:textId="77777777">
      <w:pPr>
        <w:widowControl/>
        <w:rPr>
          <w:sz w:val="26"/>
          <w:szCs w:val="26"/>
        </w:rPr>
      </w:pPr>
    </w:p>
    <w:p w:rsidRPr="00951926" w:rsidR="009237E8" w:rsidP="00807473" w:rsidRDefault="004F1164" w14:paraId="5366FB5B" w14:textId="77777777">
      <w:pPr>
        <w:tabs>
          <w:tab w:val="center" w:pos="4680"/>
        </w:tabs>
        <w:rPr>
          <w:sz w:val="26"/>
          <w:szCs w:val="26"/>
        </w:rPr>
      </w:pPr>
      <w:r w:rsidRPr="00951926">
        <w:rPr>
          <w:sz w:val="26"/>
          <w:szCs w:val="26"/>
        </w:rPr>
        <w:t>The Commission bases its estimate of the “</w:t>
      </w:r>
      <w:r w:rsidRPr="00951926" w:rsidR="00EA28D2">
        <w:rPr>
          <w:sz w:val="26"/>
          <w:szCs w:val="26"/>
        </w:rPr>
        <w:t xml:space="preserve">Data </w:t>
      </w:r>
      <w:r w:rsidRPr="00951926">
        <w:rPr>
          <w:sz w:val="26"/>
          <w:szCs w:val="26"/>
        </w:rPr>
        <w:t xml:space="preserve">Processing </w:t>
      </w:r>
      <w:r w:rsidRPr="00951926" w:rsidR="00EA28D2">
        <w:rPr>
          <w:sz w:val="26"/>
          <w:szCs w:val="26"/>
        </w:rPr>
        <w:t>and Analysis”</w:t>
      </w:r>
      <w:r w:rsidRPr="00951926">
        <w:rPr>
          <w:sz w:val="26"/>
          <w:szCs w:val="26"/>
        </w:rPr>
        <w:t xml:space="preserve"> cost to the Federal Government on salaries and benefits for professional and clerical support.  This estimated cost represents staff analysis, decision making, and review of actual filings.</w:t>
      </w:r>
      <w:r w:rsidRPr="00951926" w:rsidR="009237E8">
        <w:rPr>
          <w:sz w:val="26"/>
          <w:szCs w:val="26"/>
        </w:rPr>
        <w:t xml:space="preserve">  </w:t>
      </w:r>
    </w:p>
    <w:p w:rsidRPr="00951926" w:rsidR="009F673D" w:rsidP="00E56DC3" w:rsidRDefault="009F673D" w14:paraId="30C5C66C" w14:textId="77777777">
      <w:pPr>
        <w:tabs>
          <w:tab w:val="center" w:pos="4680"/>
        </w:tabs>
        <w:ind w:firstLine="360"/>
        <w:rPr>
          <w:sz w:val="26"/>
          <w:szCs w:val="26"/>
        </w:rPr>
      </w:pPr>
    </w:p>
    <w:p w:rsidRPr="00951926" w:rsidR="009F673D" w:rsidP="00807473" w:rsidRDefault="009F673D" w14:paraId="2E59FA72" w14:textId="77777777">
      <w:pPr>
        <w:tabs>
          <w:tab w:val="center" w:pos="4680"/>
        </w:tabs>
        <w:rPr>
          <w:sz w:val="26"/>
          <w:szCs w:val="26"/>
        </w:rPr>
      </w:pPr>
      <w:r w:rsidRPr="00951926">
        <w:rPr>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Pr="00951926" w:rsidR="00F53486" w:rsidP="00F53486" w:rsidRDefault="00F53486" w14:paraId="4CE9BFC1" w14:textId="77777777">
      <w:pPr>
        <w:rPr>
          <w:sz w:val="26"/>
          <w:szCs w:val="26"/>
        </w:rPr>
      </w:pPr>
    </w:p>
    <w:p w:rsidRPr="00951926" w:rsidR="00F53486" w:rsidP="00A941B2" w:rsidRDefault="00F53486" w14:paraId="3E6E2EDF" w14:textId="77777777">
      <w:pPr>
        <w:widowControl/>
        <w:tabs>
          <w:tab w:val="left" w:pos="720"/>
        </w:tabs>
        <w:ind w:left="720" w:hanging="720"/>
        <w:rPr>
          <w:b/>
          <w:sz w:val="26"/>
          <w:szCs w:val="26"/>
        </w:rPr>
      </w:pPr>
      <w:r w:rsidRPr="00951926">
        <w:rPr>
          <w:b/>
          <w:sz w:val="26"/>
          <w:szCs w:val="26"/>
        </w:rPr>
        <w:t>15.</w:t>
      </w:r>
      <w:r w:rsidRPr="00951926">
        <w:rPr>
          <w:b/>
          <w:sz w:val="26"/>
          <w:szCs w:val="26"/>
        </w:rPr>
        <w:tab/>
        <w:t>REASONS FOR CHANGES IN BURDEN INCLUDING THE NEED FOR ANY INCREASE</w:t>
      </w:r>
    </w:p>
    <w:p w:rsidRPr="00951926" w:rsidR="00CA23F7" w:rsidP="00CB1FF1" w:rsidRDefault="00CA23F7" w14:paraId="24090019" w14:textId="77777777">
      <w:pPr>
        <w:widowControl/>
        <w:rPr>
          <w:b/>
          <w:sz w:val="26"/>
          <w:szCs w:val="26"/>
        </w:rPr>
      </w:pPr>
    </w:p>
    <w:p w:rsidRPr="00951926" w:rsidR="009E7B1C" w:rsidP="00807473" w:rsidRDefault="00CB1FF1" w14:paraId="085585D1" w14:textId="77777777">
      <w:pPr>
        <w:rPr>
          <w:sz w:val="26"/>
          <w:szCs w:val="26"/>
        </w:rPr>
      </w:pPr>
      <w:r>
        <w:rPr>
          <w:sz w:val="26"/>
          <w:szCs w:val="26"/>
        </w:rPr>
        <w:t>Over the past three years, there have not been any filings</w:t>
      </w:r>
      <w:r w:rsidRPr="00951926" w:rsidR="00736942">
        <w:rPr>
          <w:sz w:val="26"/>
          <w:szCs w:val="26"/>
        </w:rPr>
        <w:t xml:space="preserve"> for the reinstatement of the obligation to purchase and for the reinstatement of the obligation to sell.  </w:t>
      </w:r>
      <w:r w:rsidRPr="00951926" w:rsidR="009E7B1C">
        <w:rPr>
          <w:sz w:val="26"/>
          <w:szCs w:val="26"/>
        </w:rPr>
        <w:t xml:space="preserve">The regulations remain active and part of this OMB Control No., but staff does not expect any filings to be made in the next </w:t>
      </w:r>
      <w:r>
        <w:rPr>
          <w:sz w:val="26"/>
          <w:szCs w:val="26"/>
        </w:rPr>
        <w:t>three</w:t>
      </w:r>
      <w:r w:rsidRPr="00951926" w:rsidR="009E7B1C">
        <w:rPr>
          <w:sz w:val="26"/>
          <w:szCs w:val="26"/>
        </w:rPr>
        <w:t xml:space="preserve"> years in those areas.  (Question #12 shows </w:t>
      </w:r>
      <w:r>
        <w:rPr>
          <w:sz w:val="26"/>
          <w:szCs w:val="26"/>
        </w:rPr>
        <w:t>zero</w:t>
      </w:r>
      <w:r w:rsidRPr="00951926" w:rsidR="009E7B1C">
        <w:rPr>
          <w:sz w:val="26"/>
          <w:szCs w:val="26"/>
        </w:rPr>
        <w:t xml:space="preserve"> filings expected for those areas.)</w:t>
      </w:r>
    </w:p>
    <w:p w:rsidRPr="00951926" w:rsidR="009E7B1C" w:rsidP="00E56DC3" w:rsidRDefault="009E7B1C" w14:paraId="53FB6862" w14:textId="77777777">
      <w:pPr>
        <w:ind w:firstLine="360"/>
        <w:rPr>
          <w:sz w:val="26"/>
          <w:szCs w:val="26"/>
        </w:rPr>
      </w:pPr>
    </w:p>
    <w:p w:rsidRPr="00951926" w:rsidR="00736942" w:rsidP="00807473" w:rsidRDefault="00736942" w14:paraId="6EE0600D" w14:textId="77777777">
      <w:pPr>
        <w:rPr>
          <w:sz w:val="26"/>
          <w:szCs w:val="26"/>
        </w:rPr>
      </w:pPr>
      <w:r w:rsidRPr="00951926">
        <w:rPr>
          <w:sz w:val="26"/>
          <w:szCs w:val="26"/>
        </w:rPr>
        <w:t>Over the past three years, the Commission</w:t>
      </w:r>
      <w:r w:rsidRPr="00951926" w:rsidR="00A243C4">
        <w:rPr>
          <w:sz w:val="26"/>
          <w:szCs w:val="26"/>
        </w:rPr>
        <w:t xml:space="preserve"> has</w:t>
      </w:r>
      <w:r w:rsidRPr="00951926">
        <w:rPr>
          <w:sz w:val="26"/>
          <w:szCs w:val="26"/>
        </w:rPr>
        <w:t xml:space="preserve"> received a</w:t>
      </w:r>
      <w:r w:rsidR="00CB1FF1">
        <w:rPr>
          <w:sz w:val="26"/>
          <w:szCs w:val="26"/>
        </w:rPr>
        <w:t xml:space="preserve"> total </w:t>
      </w:r>
      <w:r w:rsidRPr="00951926">
        <w:rPr>
          <w:sz w:val="26"/>
          <w:szCs w:val="26"/>
        </w:rPr>
        <w:t xml:space="preserve">average of </w:t>
      </w:r>
      <w:r w:rsidR="00087A12">
        <w:rPr>
          <w:sz w:val="26"/>
          <w:szCs w:val="26"/>
        </w:rPr>
        <w:t>10</w:t>
      </w:r>
      <w:r w:rsidRPr="00951926" w:rsidR="00CB1FF1">
        <w:rPr>
          <w:sz w:val="26"/>
          <w:szCs w:val="26"/>
        </w:rPr>
        <w:t xml:space="preserve"> </w:t>
      </w:r>
      <w:r w:rsidRPr="00951926">
        <w:rPr>
          <w:sz w:val="26"/>
          <w:szCs w:val="26"/>
        </w:rPr>
        <w:t>filings per year for the termination of the obligation to purchase</w:t>
      </w:r>
      <w:r w:rsidR="00CB1FF1">
        <w:rPr>
          <w:sz w:val="26"/>
          <w:szCs w:val="26"/>
        </w:rPr>
        <w:t xml:space="preserve"> and the termination of the obligation to sell</w:t>
      </w:r>
      <w:r w:rsidRPr="00951926">
        <w:rPr>
          <w:sz w:val="26"/>
          <w:szCs w:val="26"/>
        </w:rPr>
        <w:t>, thus warranting the numbers seen in the tables.  The changes are due to normal business fluctuations in energy markets.</w:t>
      </w:r>
    </w:p>
    <w:p w:rsidRPr="00951926" w:rsidR="00505DF2" w:rsidP="00181B23" w:rsidRDefault="00505DF2" w14:paraId="30D1B481" w14:textId="77777777">
      <w:pPr>
        <w:rPr>
          <w:sz w:val="26"/>
          <w:szCs w:val="26"/>
        </w:rPr>
      </w:pPr>
    </w:p>
    <w:p w:rsidRPr="00951926" w:rsidR="00181B23" w:rsidP="00807473" w:rsidRDefault="00807473" w14:paraId="78069459" w14:textId="77777777">
      <w:pPr>
        <w:rPr>
          <w:sz w:val="26"/>
          <w:szCs w:val="26"/>
        </w:rPr>
      </w:pPr>
      <w:r>
        <w:rPr>
          <w:sz w:val="26"/>
          <w:szCs w:val="26"/>
        </w:rPr>
        <w:t>T</w:t>
      </w:r>
      <w:r w:rsidRPr="00951926" w:rsidR="00181B23">
        <w:rPr>
          <w:sz w:val="26"/>
          <w:szCs w:val="26"/>
        </w:rPr>
        <w:t>he following table shows the total burden of the collection of information.  The format, labels, and definitions of the table follow the ROCIS submission system’s “Information Collection Request Summary of Burden” for the metadata.</w:t>
      </w:r>
    </w:p>
    <w:p w:rsidRPr="00951926" w:rsidR="00CA23F7" w:rsidP="00F53486" w:rsidRDefault="00CA23F7" w14:paraId="2F761238" w14:textId="77777777">
      <w:pPr>
        <w:widowControl/>
        <w:ind w:firstLine="720"/>
        <w:rPr>
          <w:b/>
          <w:sz w:val="26"/>
          <w:szCs w:val="26"/>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160"/>
        <w:gridCol w:w="1779"/>
        <w:gridCol w:w="1959"/>
        <w:gridCol w:w="1958"/>
        <w:gridCol w:w="1504"/>
      </w:tblGrid>
      <w:tr w:rsidRPr="00951926" w:rsidR="00CA23F7" w:rsidTr="00CA23F7" w14:paraId="495F085F" w14:textId="77777777">
        <w:trPr>
          <w:trHeight w:val="870"/>
        </w:trPr>
        <w:tc>
          <w:tcPr>
            <w:tcW w:w="2160" w:type="dxa"/>
            <w:shd w:val="clear" w:color="auto" w:fill="D9D9D9"/>
            <w:vAlign w:val="bottom"/>
          </w:tcPr>
          <w:p w:rsidRPr="00951926" w:rsidR="00CA23F7" w:rsidP="00CA23F7" w:rsidRDefault="00CA23F7" w14:paraId="5FA5B9CC" w14:textId="77777777">
            <w:pPr>
              <w:jc w:val="center"/>
              <w:rPr>
                <w:b/>
                <w:sz w:val="26"/>
                <w:szCs w:val="26"/>
              </w:rPr>
            </w:pPr>
            <w:r w:rsidRPr="00951926">
              <w:rPr>
                <w:b/>
                <w:sz w:val="26"/>
                <w:szCs w:val="26"/>
              </w:rPr>
              <w:t>F</w:t>
            </w:r>
            <w:r w:rsidRPr="00951926" w:rsidR="00505DF2">
              <w:rPr>
                <w:b/>
                <w:sz w:val="26"/>
                <w:szCs w:val="26"/>
              </w:rPr>
              <w:t>ERC-912</w:t>
            </w:r>
          </w:p>
        </w:tc>
        <w:tc>
          <w:tcPr>
            <w:tcW w:w="1779" w:type="dxa"/>
            <w:shd w:val="clear" w:color="auto" w:fill="D9D9D9"/>
            <w:vAlign w:val="bottom"/>
          </w:tcPr>
          <w:p w:rsidRPr="00951926" w:rsidR="00CA23F7" w:rsidP="00CA23F7" w:rsidRDefault="00CA23F7" w14:paraId="73D59D93" w14:textId="77777777">
            <w:pPr>
              <w:jc w:val="center"/>
              <w:rPr>
                <w:b/>
                <w:sz w:val="26"/>
                <w:szCs w:val="26"/>
              </w:rPr>
            </w:pPr>
            <w:r w:rsidRPr="00951926">
              <w:rPr>
                <w:b/>
                <w:sz w:val="26"/>
                <w:szCs w:val="26"/>
              </w:rPr>
              <w:t>Total Request</w:t>
            </w:r>
          </w:p>
        </w:tc>
        <w:tc>
          <w:tcPr>
            <w:tcW w:w="1959" w:type="dxa"/>
            <w:shd w:val="clear" w:color="auto" w:fill="D9D9D9"/>
            <w:vAlign w:val="bottom"/>
          </w:tcPr>
          <w:p w:rsidRPr="00951926" w:rsidR="00CA23F7" w:rsidP="00CA23F7" w:rsidRDefault="00CA23F7" w14:paraId="650B01C4" w14:textId="77777777">
            <w:pPr>
              <w:jc w:val="center"/>
              <w:rPr>
                <w:b/>
                <w:sz w:val="26"/>
                <w:szCs w:val="26"/>
              </w:rPr>
            </w:pPr>
            <w:r w:rsidRPr="00951926">
              <w:rPr>
                <w:b/>
                <w:sz w:val="26"/>
                <w:szCs w:val="26"/>
              </w:rPr>
              <w:t>Previously Approved</w:t>
            </w:r>
          </w:p>
        </w:tc>
        <w:tc>
          <w:tcPr>
            <w:tcW w:w="1958" w:type="dxa"/>
            <w:shd w:val="clear" w:color="auto" w:fill="D9D9D9"/>
            <w:vAlign w:val="bottom"/>
          </w:tcPr>
          <w:p w:rsidRPr="00951926" w:rsidR="00CA23F7" w:rsidP="00CA23F7" w:rsidRDefault="00CA23F7" w14:paraId="724FB5A9" w14:textId="77777777">
            <w:pPr>
              <w:jc w:val="center"/>
              <w:rPr>
                <w:b/>
                <w:sz w:val="26"/>
                <w:szCs w:val="26"/>
              </w:rPr>
            </w:pPr>
            <w:r w:rsidRPr="00951926">
              <w:rPr>
                <w:b/>
                <w:sz w:val="26"/>
                <w:szCs w:val="26"/>
              </w:rPr>
              <w:t>Change due to Adjustment in Estimate</w:t>
            </w:r>
          </w:p>
        </w:tc>
        <w:tc>
          <w:tcPr>
            <w:tcW w:w="1504" w:type="dxa"/>
            <w:shd w:val="clear" w:color="auto" w:fill="D9D9D9"/>
            <w:vAlign w:val="bottom"/>
          </w:tcPr>
          <w:p w:rsidRPr="00951926" w:rsidR="00CA23F7" w:rsidP="00CA23F7" w:rsidRDefault="00CA23F7" w14:paraId="76F8FF17" w14:textId="77777777">
            <w:pPr>
              <w:jc w:val="center"/>
              <w:rPr>
                <w:b/>
                <w:sz w:val="26"/>
                <w:szCs w:val="26"/>
              </w:rPr>
            </w:pPr>
            <w:r w:rsidRPr="00951926">
              <w:rPr>
                <w:b/>
                <w:sz w:val="26"/>
                <w:szCs w:val="26"/>
              </w:rPr>
              <w:t>Change Due to Agency Discretion</w:t>
            </w:r>
          </w:p>
        </w:tc>
      </w:tr>
      <w:tr w:rsidRPr="00951926" w:rsidR="00807473" w:rsidTr="00CA23F7" w14:paraId="690D7AEE" w14:textId="77777777">
        <w:trPr>
          <w:trHeight w:val="591"/>
        </w:trPr>
        <w:tc>
          <w:tcPr>
            <w:tcW w:w="2160" w:type="dxa"/>
            <w:shd w:val="clear" w:color="auto" w:fill="auto"/>
          </w:tcPr>
          <w:p w:rsidRPr="00951926" w:rsidR="00807473" w:rsidP="00807473" w:rsidRDefault="00807473" w14:paraId="5DD0F775" w14:textId="77777777">
            <w:pPr>
              <w:jc w:val="center"/>
              <w:rPr>
                <w:sz w:val="26"/>
                <w:szCs w:val="26"/>
              </w:rPr>
            </w:pPr>
            <w:r w:rsidRPr="00951926">
              <w:rPr>
                <w:sz w:val="26"/>
                <w:szCs w:val="26"/>
              </w:rPr>
              <w:t>Annual Number of Responses</w:t>
            </w:r>
          </w:p>
        </w:tc>
        <w:tc>
          <w:tcPr>
            <w:tcW w:w="1779" w:type="dxa"/>
            <w:shd w:val="clear" w:color="auto" w:fill="auto"/>
            <w:vAlign w:val="center"/>
          </w:tcPr>
          <w:p w:rsidRPr="00951926" w:rsidR="00807473" w:rsidP="00807473" w:rsidRDefault="00807473" w14:paraId="34B22044" w14:textId="77777777">
            <w:pPr>
              <w:jc w:val="right"/>
              <w:rPr>
                <w:sz w:val="26"/>
                <w:szCs w:val="26"/>
              </w:rPr>
            </w:pPr>
            <w:r>
              <w:rPr>
                <w:sz w:val="26"/>
                <w:szCs w:val="26"/>
              </w:rPr>
              <w:t>1</w:t>
            </w:r>
            <w:r w:rsidR="00D65A54">
              <w:rPr>
                <w:sz w:val="26"/>
                <w:szCs w:val="26"/>
              </w:rPr>
              <w:t>7</w:t>
            </w:r>
          </w:p>
        </w:tc>
        <w:tc>
          <w:tcPr>
            <w:tcW w:w="1959" w:type="dxa"/>
            <w:shd w:val="clear" w:color="auto" w:fill="auto"/>
            <w:vAlign w:val="center"/>
          </w:tcPr>
          <w:p w:rsidRPr="00951926" w:rsidR="00807473" w:rsidP="00807473" w:rsidRDefault="00AE54FE" w14:paraId="308CA599" w14:textId="77777777">
            <w:pPr>
              <w:jc w:val="right"/>
              <w:rPr>
                <w:sz w:val="26"/>
                <w:szCs w:val="26"/>
              </w:rPr>
            </w:pPr>
            <w:r>
              <w:rPr>
                <w:sz w:val="26"/>
                <w:szCs w:val="26"/>
              </w:rPr>
              <w:t>39</w:t>
            </w:r>
          </w:p>
        </w:tc>
        <w:tc>
          <w:tcPr>
            <w:tcW w:w="1958" w:type="dxa"/>
            <w:shd w:val="clear" w:color="auto" w:fill="auto"/>
            <w:vAlign w:val="center"/>
          </w:tcPr>
          <w:p w:rsidRPr="00951926" w:rsidR="00807473" w:rsidP="00807473" w:rsidRDefault="00D65A54" w14:paraId="1EB9B0B5" w14:textId="77777777">
            <w:pPr>
              <w:jc w:val="right"/>
              <w:rPr>
                <w:sz w:val="26"/>
                <w:szCs w:val="26"/>
              </w:rPr>
            </w:pPr>
            <w:r>
              <w:rPr>
                <w:sz w:val="26"/>
                <w:szCs w:val="26"/>
              </w:rPr>
              <w:t>-2</w:t>
            </w:r>
            <w:r w:rsidR="0056194A">
              <w:rPr>
                <w:sz w:val="26"/>
                <w:szCs w:val="26"/>
              </w:rPr>
              <w:t>2</w:t>
            </w:r>
          </w:p>
        </w:tc>
        <w:tc>
          <w:tcPr>
            <w:tcW w:w="1504" w:type="dxa"/>
            <w:shd w:val="clear" w:color="auto" w:fill="auto"/>
            <w:vAlign w:val="center"/>
          </w:tcPr>
          <w:p w:rsidRPr="00951926" w:rsidR="00807473" w:rsidP="00807473" w:rsidRDefault="00807473" w14:paraId="54BCC63A" w14:textId="77777777">
            <w:pPr>
              <w:jc w:val="right"/>
              <w:rPr>
                <w:sz w:val="26"/>
                <w:szCs w:val="26"/>
              </w:rPr>
            </w:pPr>
            <w:r w:rsidRPr="00951926">
              <w:rPr>
                <w:sz w:val="26"/>
                <w:szCs w:val="26"/>
              </w:rPr>
              <w:t>0</w:t>
            </w:r>
          </w:p>
        </w:tc>
      </w:tr>
      <w:tr w:rsidRPr="00951926" w:rsidR="00807473" w:rsidTr="00CA23F7" w14:paraId="589E6B3E" w14:textId="77777777">
        <w:trPr>
          <w:trHeight w:val="575"/>
        </w:trPr>
        <w:tc>
          <w:tcPr>
            <w:tcW w:w="2160" w:type="dxa"/>
            <w:shd w:val="clear" w:color="auto" w:fill="auto"/>
          </w:tcPr>
          <w:p w:rsidRPr="00951926" w:rsidR="00807473" w:rsidP="00807473" w:rsidRDefault="00807473" w14:paraId="4531F0D3" w14:textId="77777777">
            <w:pPr>
              <w:jc w:val="center"/>
              <w:rPr>
                <w:sz w:val="26"/>
                <w:szCs w:val="26"/>
              </w:rPr>
            </w:pPr>
            <w:r w:rsidRPr="00951926">
              <w:rPr>
                <w:sz w:val="26"/>
                <w:szCs w:val="26"/>
              </w:rPr>
              <w:lastRenderedPageBreak/>
              <w:t>Annual Time Burden (Hr.)</w:t>
            </w:r>
          </w:p>
        </w:tc>
        <w:tc>
          <w:tcPr>
            <w:tcW w:w="1779" w:type="dxa"/>
            <w:shd w:val="clear" w:color="auto" w:fill="auto"/>
            <w:vAlign w:val="center"/>
          </w:tcPr>
          <w:p w:rsidRPr="00951926" w:rsidR="00807473" w:rsidP="00807473" w:rsidRDefault="00807473" w14:paraId="27F0ABDD" w14:textId="77777777">
            <w:pPr>
              <w:jc w:val="right"/>
              <w:rPr>
                <w:sz w:val="26"/>
                <w:szCs w:val="26"/>
              </w:rPr>
            </w:pPr>
            <w:r>
              <w:rPr>
                <w:sz w:val="26"/>
                <w:szCs w:val="26"/>
              </w:rPr>
              <w:t>196</w:t>
            </w:r>
          </w:p>
        </w:tc>
        <w:tc>
          <w:tcPr>
            <w:tcW w:w="1959" w:type="dxa"/>
            <w:shd w:val="clear" w:color="auto" w:fill="auto"/>
            <w:vAlign w:val="center"/>
          </w:tcPr>
          <w:p w:rsidRPr="00951926" w:rsidR="00807473" w:rsidP="00807473" w:rsidRDefault="00AE54FE" w14:paraId="56FE15A0" w14:textId="77777777">
            <w:pPr>
              <w:jc w:val="right"/>
              <w:rPr>
                <w:sz w:val="26"/>
                <w:szCs w:val="26"/>
              </w:rPr>
            </w:pPr>
            <w:r>
              <w:rPr>
                <w:sz w:val="26"/>
                <w:szCs w:val="26"/>
              </w:rPr>
              <w:t>460</w:t>
            </w:r>
          </w:p>
        </w:tc>
        <w:tc>
          <w:tcPr>
            <w:tcW w:w="1958" w:type="dxa"/>
            <w:shd w:val="clear" w:color="auto" w:fill="auto"/>
            <w:vAlign w:val="center"/>
          </w:tcPr>
          <w:p w:rsidRPr="00951926" w:rsidR="00807473" w:rsidP="00807473" w:rsidRDefault="00B83C14" w14:paraId="6C907AE2" w14:textId="77777777">
            <w:pPr>
              <w:jc w:val="right"/>
              <w:rPr>
                <w:sz w:val="26"/>
                <w:szCs w:val="26"/>
              </w:rPr>
            </w:pPr>
            <w:r>
              <w:rPr>
                <w:sz w:val="26"/>
                <w:szCs w:val="26"/>
              </w:rPr>
              <w:t>-</w:t>
            </w:r>
            <w:r w:rsidR="001C2B43">
              <w:rPr>
                <w:sz w:val="26"/>
                <w:szCs w:val="26"/>
              </w:rPr>
              <w:t>264</w:t>
            </w:r>
          </w:p>
        </w:tc>
        <w:tc>
          <w:tcPr>
            <w:tcW w:w="1504" w:type="dxa"/>
            <w:shd w:val="clear" w:color="auto" w:fill="auto"/>
            <w:vAlign w:val="center"/>
          </w:tcPr>
          <w:p w:rsidRPr="00951926" w:rsidR="00807473" w:rsidP="00807473" w:rsidRDefault="00807473" w14:paraId="7DC70F2F" w14:textId="77777777">
            <w:pPr>
              <w:jc w:val="right"/>
              <w:rPr>
                <w:sz w:val="26"/>
                <w:szCs w:val="26"/>
              </w:rPr>
            </w:pPr>
            <w:r w:rsidRPr="00951926">
              <w:rPr>
                <w:sz w:val="26"/>
                <w:szCs w:val="26"/>
              </w:rPr>
              <w:t>0</w:t>
            </w:r>
          </w:p>
        </w:tc>
      </w:tr>
      <w:tr w:rsidRPr="00951926" w:rsidR="00807473" w:rsidTr="00CA23F7" w14:paraId="729F6898" w14:textId="77777777">
        <w:trPr>
          <w:trHeight w:val="295"/>
        </w:trPr>
        <w:tc>
          <w:tcPr>
            <w:tcW w:w="2160" w:type="dxa"/>
            <w:tcBorders>
              <w:bottom w:val="single" w:color="auto" w:sz="4" w:space="0"/>
            </w:tcBorders>
            <w:shd w:val="clear" w:color="auto" w:fill="auto"/>
          </w:tcPr>
          <w:p w:rsidRPr="00951926" w:rsidR="00807473" w:rsidP="00807473" w:rsidRDefault="00807473" w14:paraId="50851C63" w14:textId="77777777">
            <w:pPr>
              <w:jc w:val="center"/>
              <w:rPr>
                <w:sz w:val="26"/>
                <w:szCs w:val="26"/>
              </w:rPr>
            </w:pPr>
            <w:r w:rsidRPr="00951926">
              <w:rPr>
                <w:sz w:val="26"/>
                <w:szCs w:val="26"/>
              </w:rPr>
              <w:t>Annual Cost Burden ($)</w:t>
            </w:r>
          </w:p>
        </w:tc>
        <w:tc>
          <w:tcPr>
            <w:tcW w:w="1779" w:type="dxa"/>
            <w:tcBorders>
              <w:bottom w:val="single" w:color="auto" w:sz="4" w:space="0"/>
            </w:tcBorders>
            <w:shd w:val="clear" w:color="auto" w:fill="auto"/>
            <w:vAlign w:val="center"/>
          </w:tcPr>
          <w:p w:rsidRPr="00951926" w:rsidR="00807473" w:rsidP="00807473" w:rsidRDefault="00807473" w14:paraId="1D9EED44" w14:textId="77777777">
            <w:pPr>
              <w:jc w:val="right"/>
              <w:rPr>
                <w:sz w:val="26"/>
                <w:szCs w:val="26"/>
              </w:rPr>
            </w:pPr>
            <w:r>
              <w:rPr>
                <w:sz w:val="26"/>
                <w:szCs w:val="26"/>
              </w:rPr>
              <w:t>0</w:t>
            </w:r>
          </w:p>
        </w:tc>
        <w:tc>
          <w:tcPr>
            <w:tcW w:w="1959" w:type="dxa"/>
            <w:tcBorders>
              <w:bottom w:val="single" w:color="auto" w:sz="4" w:space="0"/>
            </w:tcBorders>
            <w:shd w:val="clear" w:color="auto" w:fill="auto"/>
            <w:vAlign w:val="center"/>
          </w:tcPr>
          <w:p w:rsidRPr="00951926" w:rsidR="00807473" w:rsidP="00807473" w:rsidRDefault="00807473" w14:paraId="7501015F" w14:textId="77777777">
            <w:pPr>
              <w:jc w:val="right"/>
              <w:rPr>
                <w:sz w:val="26"/>
                <w:szCs w:val="26"/>
              </w:rPr>
            </w:pPr>
            <w:r w:rsidRPr="00951926">
              <w:rPr>
                <w:sz w:val="26"/>
                <w:szCs w:val="26"/>
              </w:rPr>
              <w:t>0</w:t>
            </w:r>
          </w:p>
        </w:tc>
        <w:tc>
          <w:tcPr>
            <w:tcW w:w="1958" w:type="dxa"/>
            <w:tcBorders>
              <w:bottom w:val="single" w:color="auto" w:sz="4" w:space="0"/>
            </w:tcBorders>
            <w:shd w:val="clear" w:color="auto" w:fill="auto"/>
            <w:vAlign w:val="center"/>
          </w:tcPr>
          <w:p w:rsidRPr="00951926" w:rsidR="00807473" w:rsidP="00807473" w:rsidRDefault="00807473" w14:paraId="429E9824" w14:textId="77777777">
            <w:pPr>
              <w:jc w:val="right"/>
              <w:rPr>
                <w:sz w:val="26"/>
                <w:szCs w:val="26"/>
              </w:rPr>
            </w:pPr>
            <w:r w:rsidRPr="00951926">
              <w:rPr>
                <w:sz w:val="26"/>
                <w:szCs w:val="26"/>
              </w:rPr>
              <w:t>0</w:t>
            </w:r>
          </w:p>
        </w:tc>
        <w:tc>
          <w:tcPr>
            <w:tcW w:w="1504" w:type="dxa"/>
            <w:tcBorders>
              <w:bottom w:val="single" w:color="auto" w:sz="4" w:space="0"/>
            </w:tcBorders>
            <w:shd w:val="clear" w:color="auto" w:fill="auto"/>
            <w:vAlign w:val="center"/>
          </w:tcPr>
          <w:p w:rsidRPr="00951926" w:rsidR="00807473" w:rsidP="00807473" w:rsidRDefault="00807473" w14:paraId="593F7604" w14:textId="77777777">
            <w:pPr>
              <w:jc w:val="right"/>
              <w:rPr>
                <w:sz w:val="26"/>
                <w:szCs w:val="26"/>
              </w:rPr>
            </w:pPr>
            <w:r w:rsidRPr="00951926">
              <w:rPr>
                <w:sz w:val="26"/>
                <w:szCs w:val="26"/>
              </w:rPr>
              <w:t>0</w:t>
            </w:r>
          </w:p>
        </w:tc>
      </w:tr>
    </w:tbl>
    <w:p w:rsidRPr="00951926" w:rsidR="00CA23F7" w:rsidP="00C90BA2" w:rsidRDefault="00CA23F7" w14:paraId="687C73B2" w14:textId="77777777">
      <w:pPr>
        <w:widowControl/>
        <w:rPr>
          <w:sz w:val="26"/>
          <w:szCs w:val="26"/>
        </w:rPr>
      </w:pPr>
    </w:p>
    <w:p w:rsidRPr="00951926" w:rsidR="00CA23F7" w:rsidP="00CA23F7" w:rsidRDefault="00CA23F7" w14:paraId="096F63D6" w14:textId="77777777">
      <w:pPr>
        <w:rPr>
          <w:b/>
          <w:bCs/>
          <w:sz w:val="26"/>
          <w:szCs w:val="26"/>
        </w:rPr>
      </w:pPr>
      <w:r w:rsidRPr="00951926">
        <w:rPr>
          <w:bCs/>
          <w:sz w:val="26"/>
          <w:szCs w:val="26"/>
        </w:rPr>
        <w:t>The format, labels, and definitions of the table above follow the ROCIS system’s “ICR Summary of Burden” for the metadata.</w:t>
      </w:r>
      <w:r w:rsidRPr="00951926">
        <w:rPr>
          <w:b/>
          <w:bCs/>
          <w:sz w:val="26"/>
          <w:szCs w:val="26"/>
        </w:rPr>
        <w:tab/>
      </w:r>
    </w:p>
    <w:p w:rsidRPr="00951926" w:rsidR="000C12A0" w:rsidP="00FA7A8F" w:rsidRDefault="000C12A0" w14:paraId="1155B900" w14:textId="77777777">
      <w:pPr>
        <w:widowControl/>
        <w:rPr>
          <w:sz w:val="26"/>
          <w:szCs w:val="26"/>
        </w:rPr>
      </w:pPr>
    </w:p>
    <w:p w:rsidRPr="00951926" w:rsidR="00F53486" w:rsidP="00A941B2" w:rsidRDefault="00FF5CA4" w14:paraId="20A6E794" w14:textId="77777777">
      <w:pPr>
        <w:widowControl/>
        <w:numPr>
          <w:ilvl w:val="0"/>
          <w:numId w:val="5"/>
        </w:numPr>
        <w:tabs>
          <w:tab w:val="clear" w:pos="1080"/>
          <w:tab w:val="num" w:pos="720"/>
        </w:tabs>
        <w:ind w:left="720" w:hanging="720"/>
        <w:rPr>
          <w:b/>
          <w:sz w:val="26"/>
          <w:szCs w:val="26"/>
        </w:rPr>
      </w:pPr>
      <w:r w:rsidRPr="00951926">
        <w:rPr>
          <w:b/>
          <w:sz w:val="26"/>
          <w:szCs w:val="26"/>
        </w:rPr>
        <w:t xml:space="preserve"> </w:t>
      </w:r>
      <w:r w:rsidRPr="00951926" w:rsidR="00F53486">
        <w:rPr>
          <w:b/>
          <w:sz w:val="26"/>
          <w:szCs w:val="26"/>
        </w:rPr>
        <w:t>TIME SCHEDULE FOR PUBLICATION OF DATA</w:t>
      </w:r>
    </w:p>
    <w:p w:rsidRPr="00951926" w:rsidR="00F53486" w:rsidP="00F53486" w:rsidRDefault="00F53486" w14:paraId="3E0EE38B" w14:textId="77777777">
      <w:pPr>
        <w:widowControl/>
        <w:ind w:left="720"/>
        <w:rPr>
          <w:b/>
          <w:sz w:val="26"/>
          <w:szCs w:val="26"/>
        </w:rPr>
      </w:pPr>
    </w:p>
    <w:p w:rsidRPr="00951926" w:rsidR="00801837" w:rsidP="00807473" w:rsidRDefault="00801837" w14:paraId="5C3C2FF9" w14:textId="77777777">
      <w:pPr>
        <w:tabs>
          <w:tab w:val="center" w:pos="4680"/>
        </w:tabs>
        <w:rPr>
          <w:sz w:val="26"/>
          <w:szCs w:val="26"/>
        </w:rPr>
      </w:pPr>
      <w:r w:rsidRPr="00951926">
        <w:rPr>
          <w:sz w:val="26"/>
          <w:szCs w:val="26"/>
        </w:rPr>
        <w:t xml:space="preserve">There </w:t>
      </w:r>
      <w:r w:rsidR="00E57626">
        <w:rPr>
          <w:sz w:val="26"/>
          <w:szCs w:val="26"/>
        </w:rPr>
        <w:t>is</w:t>
      </w:r>
      <w:r w:rsidRPr="00951926">
        <w:rPr>
          <w:sz w:val="26"/>
          <w:szCs w:val="26"/>
        </w:rPr>
        <w:t xml:space="preserve"> no tabulating, statistical or tabulating analysis or publication plans for the collection of information.  The data are used for regulatory purposes only.</w:t>
      </w:r>
    </w:p>
    <w:p w:rsidRPr="00951926" w:rsidR="00F53486" w:rsidP="00F53486" w:rsidRDefault="00F53486" w14:paraId="0C09538E" w14:textId="77777777">
      <w:pPr>
        <w:widowControl/>
        <w:ind w:firstLine="720"/>
        <w:rPr>
          <w:sz w:val="26"/>
          <w:szCs w:val="26"/>
        </w:rPr>
      </w:pPr>
    </w:p>
    <w:p w:rsidRPr="00951926" w:rsidR="00F53486" w:rsidP="00A941B2" w:rsidRDefault="00F53486" w14:paraId="5CD717DF" w14:textId="77777777">
      <w:pPr>
        <w:widowControl/>
        <w:tabs>
          <w:tab w:val="left" w:pos="720"/>
        </w:tabs>
        <w:ind w:left="720" w:hanging="720"/>
        <w:rPr>
          <w:b/>
          <w:sz w:val="26"/>
          <w:szCs w:val="26"/>
        </w:rPr>
      </w:pPr>
      <w:r w:rsidRPr="00951926">
        <w:rPr>
          <w:b/>
          <w:sz w:val="26"/>
          <w:szCs w:val="26"/>
        </w:rPr>
        <w:t>17.</w:t>
      </w:r>
      <w:r w:rsidRPr="00951926">
        <w:rPr>
          <w:sz w:val="26"/>
          <w:szCs w:val="26"/>
        </w:rPr>
        <w:tab/>
      </w:r>
      <w:r w:rsidRPr="00951926" w:rsidR="00FF5CA4">
        <w:rPr>
          <w:sz w:val="26"/>
          <w:szCs w:val="26"/>
        </w:rPr>
        <w:t xml:space="preserve"> </w:t>
      </w:r>
      <w:r w:rsidRPr="00951926">
        <w:rPr>
          <w:b/>
          <w:sz w:val="26"/>
          <w:szCs w:val="26"/>
        </w:rPr>
        <w:t>DISPLAY OF EXPIRATION DATE</w:t>
      </w:r>
    </w:p>
    <w:p w:rsidRPr="00951926" w:rsidR="00F53486" w:rsidP="00F53486" w:rsidRDefault="00F53486" w14:paraId="42BBA313" w14:textId="77777777">
      <w:pPr>
        <w:widowControl/>
        <w:ind w:firstLine="720"/>
        <w:rPr>
          <w:b/>
          <w:sz w:val="26"/>
          <w:szCs w:val="26"/>
        </w:rPr>
      </w:pPr>
    </w:p>
    <w:p w:rsidRPr="00951926" w:rsidR="00F53486" w:rsidP="00807473" w:rsidRDefault="008854B8" w14:paraId="336BDA4F" w14:textId="77777777">
      <w:pPr>
        <w:tabs>
          <w:tab w:val="center" w:pos="4680"/>
        </w:tabs>
        <w:rPr>
          <w:sz w:val="26"/>
          <w:szCs w:val="26"/>
        </w:rPr>
      </w:pPr>
      <w:r w:rsidRPr="00951926">
        <w:rPr>
          <w:sz w:val="26"/>
          <w:szCs w:val="26"/>
        </w:rPr>
        <w:t xml:space="preserve">The OMB expiration dates are posted on </w:t>
      </w:r>
      <w:hyperlink w:history="1" r:id="rId14">
        <w:r w:rsidRPr="00951926">
          <w:rPr>
            <w:rStyle w:val="Hyperlink"/>
            <w:sz w:val="26"/>
            <w:szCs w:val="26"/>
          </w:rPr>
          <w:t>http://www.ferc.gov/docs-filing/info-collections.asp</w:t>
        </w:r>
      </w:hyperlink>
      <w:r w:rsidRPr="00951926" w:rsidR="00397224">
        <w:rPr>
          <w:sz w:val="26"/>
          <w:szCs w:val="26"/>
        </w:rPr>
        <w:t>.</w:t>
      </w:r>
    </w:p>
    <w:p w:rsidRPr="00951926" w:rsidR="00397224" w:rsidP="00F53486" w:rsidRDefault="00397224" w14:paraId="4BA2CA56" w14:textId="77777777">
      <w:pPr>
        <w:widowControl/>
        <w:ind w:firstLine="720"/>
        <w:rPr>
          <w:sz w:val="26"/>
          <w:szCs w:val="26"/>
        </w:rPr>
      </w:pPr>
    </w:p>
    <w:p w:rsidRPr="00951926" w:rsidR="00F53486" w:rsidP="00A941B2" w:rsidRDefault="00F53486" w14:paraId="3F392394" w14:textId="77777777">
      <w:pPr>
        <w:widowControl/>
        <w:numPr>
          <w:ilvl w:val="0"/>
          <w:numId w:val="6"/>
        </w:numPr>
        <w:tabs>
          <w:tab w:val="clear" w:pos="1080"/>
          <w:tab w:val="num" w:pos="720"/>
        </w:tabs>
        <w:ind w:left="720" w:hanging="720"/>
        <w:rPr>
          <w:b/>
          <w:sz w:val="26"/>
          <w:szCs w:val="26"/>
        </w:rPr>
      </w:pPr>
      <w:r w:rsidRPr="00951926">
        <w:rPr>
          <w:b/>
          <w:sz w:val="26"/>
          <w:szCs w:val="26"/>
        </w:rPr>
        <w:t xml:space="preserve"> EXCEPTIONS TO THE CERTIFICATION STATEMENT</w:t>
      </w:r>
    </w:p>
    <w:p w:rsidRPr="00951926" w:rsidR="00F53486" w:rsidP="00F53486" w:rsidRDefault="00F53486" w14:paraId="0E16B28B" w14:textId="77777777">
      <w:pPr>
        <w:widowControl/>
        <w:ind w:left="720"/>
        <w:rPr>
          <w:b/>
          <w:sz w:val="26"/>
          <w:szCs w:val="26"/>
        </w:rPr>
      </w:pPr>
    </w:p>
    <w:p w:rsidRPr="00951926" w:rsidR="00801837" w:rsidP="00807473" w:rsidRDefault="00181B23" w14:paraId="17CC46CE" w14:textId="77777777">
      <w:pPr>
        <w:tabs>
          <w:tab w:val="center" w:pos="4680"/>
        </w:tabs>
        <w:rPr>
          <w:sz w:val="26"/>
          <w:szCs w:val="26"/>
        </w:rPr>
      </w:pPr>
      <w:r w:rsidRPr="00951926">
        <w:rPr>
          <w:sz w:val="26"/>
          <w:szCs w:val="26"/>
        </w:rPr>
        <w:t>There are no exceptions.</w:t>
      </w:r>
    </w:p>
    <w:p w:rsidRPr="00951926" w:rsidR="00112165" w:rsidP="00801837" w:rsidRDefault="00112165" w14:paraId="12C50B2E" w14:textId="77777777">
      <w:pPr>
        <w:widowControl/>
        <w:ind w:firstLine="720"/>
        <w:rPr>
          <w:sz w:val="26"/>
          <w:szCs w:val="26"/>
        </w:rPr>
      </w:pPr>
    </w:p>
    <w:sectPr w:rsidRPr="00951926" w:rsidR="00112165" w:rsidSect="00FC754F">
      <w:headerReference w:type="default" r:id="rId15"/>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D0024" w14:textId="77777777" w:rsidR="0006082A" w:rsidRDefault="0006082A">
      <w:r>
        <w:separator/>
      </w:r>
    </w:p>
  </w:endnote>
  <w:endnote w:type="continuationSeparator" w:id="0">
    <w:p w14:paraId="5AC586A7" w14:textId="77777777" w:rsidR="0006082A" w:rsidRDefault="0006082A">
      <w:r>
        <w:continuationSeparator/>
      </w:r>
    </w:p>
  </w:endnote>
  <w:endnote w:type="continuationNotice" w:id="1">
    <w:p w14:paraId="2B2F5701" w14:textId="77777777" w:rsidR="0006082A" w:rsidRDefault="000608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104C5" w14:textId="77777777" w:rsidR="00A7570B" w:rsidRDefault="00A7570B" w:rsidP="00F53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90C863" w14:textId="77777777" w:rsidR="00A7570B" w:rsidRDefault="00A7570B" w:rsidP="00F534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783AF" w14:textId="77777777" w:rsidR="00A7570B" w:rsidRDefault="00A7570B" w:rsidP="00F534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5AB4">
      <w:rPr>
        <w:rStyle w:val="PageNumber"/>
        <w:noProof/>
      </w:rPr>
      <w:t>1</w:t>
    </w:r>
    <w:r>
      <w:rPr>
        <w:rStyle w:val="PageNumber"/>
      </w:rPr>
      <w:fldChar w:fldCharType="end"/>
    </w:r>
  </w:p>
  <w:p w14:paraId="5E136EB2" w14:textId="77777777" w:rsidR="00A7570B" w:rsidRDefault="00A7570B" w:rsidP="00F534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761EF" w14:textId="77777777" w:rsidR="0006082A" w:rsidRDefault="0006082A">
      <w:r>
        <w:separator/>
      </w:r>
    </w:p>
  </w:footnote>
  <w:footnote w:type="continuationSeparator" w:id="0">
    <w:p w14:paraId="0635A148" w14:textId="77777777" w:rsidR="0006082A" w:rsidRDefault="0006082A">
      <w:r>
        <w:continuationSeparator/>
      </w:r>
    </w:p>
  </w:footnote>
  <w:footnote w:type="continuationNotice" w:id="1">
    <w:p w14:paraId="05483522" w14:textId="77777777" w:rsidR="0006082A" w:rsidRDefault="0006082A"/>
  </w:footnote>
  <w:footnote w:id="2">
    <w:p w14:paraId="35ED265D" w14:textId="77777777" w:rsidR="00155CF8" w:rsidRDefault="00155CF8" w:rsidP="00807473">
      <w:pPr>
        <w:pStyle w:val="FootnoteText"/>
        <w:tabs>
          <w:tab w:val="left" w:pos="6090"/>
        </w:tabs>
        <w:ind w:firstLine="0"/>
        <w:rPr>
          <w:b/>
          <w:sz w:val="26"/>
          <w:szCs w:val="26"/>
        </w:rPr>
      </w:pPr>
      <w:r>
        <w:rPr>
          <w:rStyle w:val="FootnoteReference"/>
        </w:rPr>
        <w:footnoteRef/>
      </w:r>
      <w:r>
        <w:rPr>
          <w:b/>
          <w:sz w:val="26"/>
          <w:szCs w:val="26"/>
        </w:rPr>
        <w:t xml:space="preserve"> </w:t>
      </w:r>
      <w:r>
        <w:rPr>
          <w:sz w:val="26"/>
          <w:szCs w:val="26"/>
        </w:rPr>
        <w:t>18 CFR 292.311 and 292.313.</w:t>
      </w:r>
    </w:p>
  </w:footnote>
  <w:footnote w:id="3">
    <w:p w14:paraId="65E59094" w14:textId="77777777" w:rsidR="009A7D21" w:rsidRPr="00951926" w:rsidRDefault="009A7D21" w:rsidP="00C62244">
      <w:pPr>
        <w:pStyle w:val="FootnoteText"/>
        <w:spacing w:after="0"/>
        <w:ind w:firstLine="0"/>
        <w:rPr>
          <w:sz w:val="26"/>
          <w:szCs w:val="26"/>
        </w:rPr>
      </w:pPr>
      <w:r w:rsidRPr="00951926">
        <w:rPr>
          <w:rStyle w:val="FootnoteReference"/>
        </w:rPr>
        <w:footnoteRef/>
      </w:r>
      <w:r w:rsidRPr="00951926">
        <w:rPr>
          <w:sz w:val="26"/>
          <w:szCs w:val="26"/>
        </w:rPr>
        <w:t xml:space="preserve"> </w:t>
      </w:r>
      <w:r w:rsidR="00857351" w:rsidRPr="00951926">
        <w:rPr>
          <w:sz w:val="26"/>
          <w:szCs w:val="26"/>
        </w:rPr>
        <w:t xml:space="preserve">As amended by </w:t>
      </w:r>
      <w:r w:rsidRPr="00951926">
        <w:rPr>
          <w:sz w:val="26"/>
          <w:szCs w:val="26"/>
        </w:rPr>
        <w:t>P.L. 109-58 Section 1253</w:t>
      </w:r>
      <w:r w:rsidR="009D76F1" w:rsidRPr="00951926">
        <w:rPr>
          <w:sz w:val="26"/>
          <w:szCs w:val="26"/>
        </w:rPr>
        <w:t xml:space="preserve"> (EPAct 2005)</w:t>
      </w:r>
      <w:r w:rsidR="0084487F">
        <w:rPr>
          <w:sz w:val="26"/>
          <w:szCs w:val="26"/>
        </w:rPr>
        <w:t>.</w:t>
      </w:r>
    </w:p>
  </w:footnote>
  <w:footnote w:id="4">
    <w:p w14:paraId="32E872F4" w14:textId="77777777" w:rsidR="00690EC3" w:rsidRPr="00951926" w:rsidRDefault="00690EC3" w:rsidP="00951926">
      <w:pPr>
        <w:pStyle w:val="FootnoteText"/>
        <w:spacing w:after="0"/>
        <w:ind w:firstLine="0"/>
        <w:rPr>
          <w:sz w:val="26"/>
          <w:szCs w:val="26"/>
        </w:rPr>
      </w:pPr>
      <w:r w:rsidRPr="00951926">
        <w:rPr>
          <w:rStyle w:val="FootnoteReference"/>
        </w:rPr>
        <w:footnoteRef/>
      </w:r>
      <w:r w:rsidRPr="00951926">
        <w:rPr>
          <w:sz w:val="26"/>
          <w:szCs w:val="26"/>
        </w:rPr>
        <w:t xml:space="preserve"> The 60-day Notice was posted on </w:t>
      </w:r>
      <w:r w:rsidR="006A338D">
        <w:rPr>
          <w:sz w:val="26"/>
          <w:szCs w:val="26"/>
        </w:rPr>
        <w:t>3</w:t>
      </w:r>
      <w:r w:rsidRPr="00951926">
        <w:rPr>
          <w:sz w:val="26"/>
          <w:szCs w:val="26"/>
        </w:rPr>
        <w:t>/</w:t>
      </w:r>
      <w:r w:rsidR="006A338D">
        <w:rPr>
          <w:sz w:val="26"/>
          <w:szCs w:val="26"/>
        </w:rPr>
        <w:t>23</w:t>
      </w:r>
      <w:r w:rsidRPr="00951926">
        <w:rPr>
          <w:sz w:val="26"/>
          <w:szCs w:val="26"/>
        </w:rPr>
        <w:t>/20</w:t>
      </w:r>
      <w:r w:rsidR="006A338D">
        <w:rPr>
          <w:sz w:val="26"/>
          <w:szCs w:val="26"/>
        </w:rPr>
        <w:t>22</w:t>
      </w:r>
      <w:r w:rsidRPr="00951926">
        <w:rPr>
          <w:sz w:val="26"/>
          <w:szCs w:val="26"/>
        </w:rPr>
        <w:t xml:space="preserve"> in FERC’s eLibrary at</w:t>
      </w:r>
      <w:r w:rsidR="006A338D">
        <w:rPr>
          <w:sz w:val="26"/>
          <w:szCs w:val="26"/>
        </w:rPr>
        <w:t xml:space="preserve">: </w:t>
      </w:r>
      <w:hyperlink r:id="rId1" w:history="1">
        <w:r w:rsidR="006A338D" w:rsidRPr="00363CEE">
          <w:rPr>
            <w:rStyle w:val="Hyperlink"/>
            <w:sz w:val="26"/>
            <w:szCs w:val="26"/>
          </w:rPr>
          <w:t>https://elibrary.ferc.gov/eLibrary/docinfo?accession_number=20220323-3003</w:t>
        </w:r>
      </w:hyperlink>
      <w:r w:rsidR="006A338D">
        <w:rPr>
          <w:sz w:val="26"/>
          <w:szCs w:val="26"/>
        </w:rPr>
        <w:t xml:space="preserve"> </w:t>
      </w:r>
    </w:p>
  </w:footnote>
  <w:footnote w:id="5">
    <w:p w14:paraId="1F9C9BD8" w14:textId="09D3F53F" w:rsidR="00692505" w:rsidRDefault="00692505" w:rsidP="00484598">
      <w:pPr>
        <w:pStyle w:val="FootnoteText"/>
        <w:ind w:firstLine="0"/>
      </w:pPr>
      <w:r>
        <w:rPr>
          <w:rStyle w:val="FootnoteReference"/>
        </w:rPr>
        <w:footnoteRef/>
      </w:r>
      <w:r>
        <w:t xml:space="preserve"> </w:t>
      </w:r>
      <w:r w:rsidR="00314A3D">
        <w:t>87</w:t>
      </w:r>
      <w:r w:rsidR="00A66AEB">
        <w:t xml:space="preserve"> FR </w:t>
      </w:r>
      <w:r w:rsidR="00484598">
        <w:t xml:space="preserve">36121: </w:t>
      </w:r>
      <w:hyperlink r:id="rId2" w:history="1">
        <w:r w:rsidR="00484598" w:rsidRPr="00484598">
          <w:rPr>
            <w:rStyle w:val="Hyperlink"/>
          </w:rPr>
          <w:t>Federal Register : Commission Information Collection Activities (FERC-912); Comment Request; Extension</w:t>
        </w:r>
      </w:hyperlink>
    </w:p>
  </w:footnote>
  <w:footnote w:id="6">
    <w:p w14:paraId="1A8ED7C7" w14:textId="77777777" w:rsidR="009A7D21" w:rsidRPr="00C62244" w:rsidRDefault="009A7D21" w:rsidP="00951926">
      <w:pPr>
        <w:pStyle w:val="FootnoteText"/>
        <w:spacing w:after="0"/>
        <w:ind w:firstLine="0"/>
        <w:rPr>
          <w:sz w:val="20"/>
        </w:rPr>
      </w:pPr>
      <w:r w:rsidRPr="00951926">
        <w:rPr>
          <w:rStyle w:val="FootnoteReference"/>
        </w:rPr>
        <w:footnoteRef/>
      </w:r>
      <w:r w:rsidRPr="00951926">
        <w:rPr>
          <w:sz w:val="26"/>
          <w:szCs w:val="26"/>
        </w:rPr>
        <w:t xml:space="preserve"> 18 CFR 388.112</w:t>
      </w:r>
      <w:r w:rsidR="0084487F">
        <w:rPr>
          <w:sz w:val="26"/>
          <w:szCs w:val="26"/>
        </w:rPr>
        <w:t>.</w:t>
      </w:r>
    </w:p>
  </w:footnote>
  <w:footnote w:id="7">
    <w:p w14:paraId="74F8BEAA" w14:textId="77777777" w:rsidR="005C65DF" w:rsidRPr="00951926" w:rsidRDefault="005C65DF" w:rsidP="00951926">
      <w:pPr>
        <w:pStyle w:val="FootnoteText"/>
        <w:spacing w:after="0"/>
        <w:ind w:firstLine="0"/>
        <w:rPr>
          <w:sz w:val="26"/>
          <w:szCs w:val="26"/>
        </w:rPr>
      </w:pPr>
      <w:r w:rsidRPr="00951926">
        <w:rPr>
          <w:rStyle w:val="FootnoteReference"/>
        </w:rPr>
        <w:footnoteRef/>
      </w:r>
      <w:r w:rsidRPr="00951926">
        <w:rPr>
          <w:sz w:val="26"/>
          <w:szCs w:val="26"/>
        </w:rPr>
        <w:t xml:space="preserve"> </w:t>
      </w:r>
      <w:r w:rsidR="006B7D47" w:rsidRPr="00F077B1">
        <w:rPr>
          <w:sz w:val="26"/>
          <w:szCs w:val="26"/>
        </w:rPr>
        <w:t>The estimates for cost per response are derived using the following formula: Average Burden Hours per Response * $</w:t>
      </w:r>
      <w:r w:rsidR="006B7D47" w:rsidRPr="000F7DFC">
        <w:rPr>
          <w:sz w:val="26"/>
          <w:szCs w:val="26"/>
        </w:rPr>
        <w:t>87.00</w:t>
      </w:r>
      <w:r w:rsidR="006B7D47" w:rsidRPr="00F077B1">
        <w:rPr>
          <w:sz w:val="26"/>
          <w:szCs w:val="26"/>
        </w:rPr>
        <w:t xml:space="preserve"> per Hour = Average Cost per Response.</w:t>
      </w:r>
      <w:r w:rsidR="006B7D47">
        <w:rPr>
          <w:sz w:val="26"/>
          <w:szCs w:val="26"/>
        </w:rPr>
        <w:t xml:space="preserve"> </w:t>
      </w:r>
      <w:r w:rsidR="006B7D47" w:rsidRPr="00F077B1">
        <w:rPr>
          <w:sz w:val="26"/>
          <w:szCs w:val="26"/>
        </w:rPr>
        <w:t xml:space="preserve"> The hourly cost figure comes from the FERC average salary ($1</w:t>
      </w:r>
      <w:r w:rsidR="006B7D47">
        <w:rPr>
          <w:sz w:val="26"/>
          <w:szCs w:val="26"/>
        </w:rPr>
        <w:t>80</w:t>
      </w:r>
      <w:r w:rsidR="006B7D47" w:rsidRPr="00F077B1">
        <w:rPr>
          <w:sz w:val="26"/>
          <w:szCs w:val="26"/>
        </w:rPr>
        <w:t>,</w:t>
      </w:r>
      <w:r w:rsidR="006B7D47">
        <w:rPr>
          <w:sz w:val="26"/>
          <w:szCs w:val="26"/>
        </w:rPr>
        <w:t>702</w:t>
      </w:r>
      <w:r w:rsidR="006B7D47" w:rsidRPr="00F077B1">
        <w:rPr>
          <w:sz w:val="26"/>
          <w:szCs w:val="26"/>
        </w:rPr>
        <w:t xml:space="preserve">/year). </w:t>
      </w:r>
      <w:r w:rsidR="006B7D47">
        <w:rPr>
          <w:sz w:val="26"/>
          <w:szCs w:val="26"/>
        </w:rPr>
        <w:t xml:space="preserve"> </w:t>
      </w:r>
      <w:r w:rsidR="006B7D47" w:rsidRPr="00F077B1">
        <w:rPr>
          <w:sz w:val="26"/>
          <w:szCs w:val="26"/>
        </w:rPr>
        <w:t>Commission staff believes th</w:t>
      </w:r>
      <w:r w:rsidR="006B7D47">
        <w:rPr>
          <w:sz w:val="26"/>
          <w:szCs w:val="26"/>
        </w:rPr>
        <w:t>e 2021 FERC</w:t>
      </w:r>
      <w:r w:rsidR="006B7D47" w:rsidRPr="00F077B1">
        <w:rPr>
          <w:sz w:val="26"/>
          <w:szCs w:val="26"/>
        </w:rPr>
        <w:t xml:space="preserve"> average salary to be </w:t>
      </w:r>
      <w:r w:rsidR="006B7D47">
        <w:rPr>
          <w:sz w:val="26"/>
          <w:szCs w:val="26"/>
        </w:rPr>
        <w:t xml:space="preserve">a </w:t>
      </w:r>
      <w:r w:rsidR="006B7D47" w:rsidRPr="00F077B1">
        <w:rPr>
          <w:sz w:val="26"/>
          <w:szCs w:val="26"/>
        </w:rPr>
        <w:t>representative wage for industry respondents.</w:t>
      </w:r>
    </w:p>
  </w:footnote>
  <w:footnote w:id="8">
    <w:p w14:paraId="05B763A4" w14:textId="77777777" w:rsidR="00CE4649" w:rsidRDefault="00CE4649"/>
    <w:p w14:paraId="677642FF" w14:textId="77777777" w:rsidR="0015003E" w:rsidRPr="00F077B1" w:rsidRDefault="0015003E" w:rsidP="006B7D47">
      <w:pPr>
        <w:pStyle w:val="FootnoteText"/>
        <w:ind w:firstLine="0"/>
        <w:rPr>
          <w:sz w:val="26"/>
          <w:szCs w:val="26"/>
        </w:rPr>
      </w:pPr>
    </w:p>
  </w:footnote>
  <w:footnote w:id="9">
    <w:p w14:paraId="3EF52839" w14:textId="77777777" w:rsidR="00181B23" w:rsidRPr="007C1B27" w:rsidRDefault="00181B23" w:rsidP="00C62244">
      <w:pPr>
        <w:pStyle w:val="FootnoteText"/>
        <w:spacing w:after="0"/>
        <w:ind w:firstLine="0"/>
        <w:rPr>
          <w:sz w:val="26"/>
          <w:szCs w:val="26"/>
        </w:rPr>
      </w:pPr>
      <w:r w:rsidRPr="0084487F">
        <w:rPr>
          <w:rStyle w:val="FootnoteReference"/>
        </w:rPr>
        <w:footnoteRef/>
      </w:r>
      <w:r w:rsidRPr="007C1B27">
        <w:rPr>
          <w:sz w:val="26"/>
          <w:szCs w:val="26"/>
        </w:rPr>
        <w:t xml:space="preserve"> Paperwork Reduction Act of 1995 (PRA).</w:t>
      </w:r>
    </w:p>
  </w:footnote>
  <w:footnote w:id="10">
    <w:p w14:paraId="5E14E8A6" w14:textId="77777777" w:rsidR="009A7A57" w:rsidRDefault="009A7A57" w:rsidP="007C1B27">
      <w:pPr>
        <w:pStyle w:val="FootnoteText"/>
        <w:ind w:firstLine="0"/>
      </w:pPr>
      <w:r w:rsidRPr="0084487F">
        <w:rPr>
          <w:rStyle w:val="FootnoteReference"/>
        </w:rPr>
        <w:footnoteRef/>
      </w:r>
      <w:r w:rsidRPr="007C1B27">
        <w:rPr>
          <w:b/>
          <w:sz w:val="26"/>
          <w:szCs w:val="26"/>
        </w:rPr>
        <w:t xml:space="preserve"> </w:t>
      </w:r>
      <w:r w:rsidRPr="007C1B27">
        <w:rPr>
          <w:sz w:val="26"/>
          <w:szCs w:val="26"/>
        </w:rPr>
        <w:t xml:space="preserve">The </w:t>
      </w:r>
      <w:r w:rsidR="007C1B27">
        <w:rPr>
          <w:sz w:val="26"/>
          <w:szCs w:val="26"/>
        </w:rPr>
        <w:t xml:space="preserve">FERC </w:t>
      </w:r>
      <w:r w:rsidRPr="007C1B27">
        <w:rPr>
          <w:sz w:val="26"/>
          <w:szCs w:val="26"/>
        </w:rPr>
        <w:t>20</w:t>
      </w:r>
      <w:r w:rsidR="00807473">
        <w:rPr>
          <w:sz w:val="26"/>
          <w:szCs w:val="26"/>
        </w:rPr>
        <w:t>21</w:t>
      </w:r>
      <w:r w:rsidRPr="007C1B27">
        <w:rPr>
          <w:sz w:val="26"/>
          <w:szCs w:val="26"/>
        </w:rPr>
        <w:t xml:space="preserve"> average salary plus benefits for one FTE $</w:t>
      </w:r>
      <w:r w:rsidR="00807473">
        <w:rPr>
          <w:sz w:val="26"/>
          <w:szCs w:val="26"/>
        </w:rPr>
        <w:t>180</w:t>
      </w:r>
      <w:r w:rsidRPr="007C1B27">
        <w:rPr>
          <w:sz w:val="26"/>
          <w:szCs w:val="26"/>
        </w:rPr>
        <w:t>,</w:t>
      </w:r>
      <w:r w:rsidR="00807473">
        <w:rPr>
          <w:sz w:val="26"/>
          <w:szCs w:val="26"/>
        </w:rPr>
        <w:t>702</w:t>
      </w:r>
      <w:r w:rsidRPr="007C1B27">
        <w:rPr>
          <w:sz w:val="26"/>
          <w:szCs w:val="26"/>
        </w:rPr>
        <w:t>/year (or $</w:t>
      </w:r>
      <w:r w:rsidR="00807473">
        <w:rPr>
          <w:sz w:val="26"/>
          <w:szCs w:val="26"/>
        </w:rPr>
        <w:t>87</w:t>
      </w:r>
      <w:r w:rsidR="00CB1FF1">
        <w:rPr>
          <w:sz w:val="26"/>
          <w:szCs w:val="26"/>
        </w:rPr>
        <w:t>.00</w:t>
      </w:r>
      <w:r w:rsidRPr="007C1B27">
        <w:rPr>
          <w:sz w:val="26"/>
          <w:szCs w:val="26"/>
        </w:rPr>
        <w:t>/hour)</w:t>
      </w:r>
      <w:r w:rsidR="007C1B27">
        <w:rPr>
          <w:sz w:val="26"/>
          <w:szCs w:val="2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B47B1" w14:textId="77777777" w:rsidR="00A7570B" w:rsidRDefault="00A7570B">
    <w:pPr>
      <w:spacing w:line="240" w:lineRule="exact"/>
      <w:rPr>
        <w:sz w:val="26"/>
        <w:szCs w:val="26"/>
      </w:rPr>
    </w:pPr>
    <w:r>
      <w:rPr>
        <w:sz w:val="26"/>
        <w:szCs w:val="26"/>
      </w:rPr>
      <w:t>FER</w:t>
    </w:r>
    <w:r w:rsidR="009A7D21">
      <w:rPr>
        <w:sz w:val="26"/>
        <w:szCs w:val="26"/>
      </w:rPr>
      <w:t>C-912 (OMB Control No. 1902-0237</w:t>
    </w:r>
    <w:r>
      <w:rPr>
        <w:sz w:val="26"/>
        <w:szCs w:val="26"/>
      </w:rPr>
      <w:t>)</w:t>
    </w:r>
  </w:p>
  <w:p w14:paraId="369A32EF" w14:textId="77777777" w:rsidR="00073BDD" w:rsidRDefault="00073BDD">
    <w:pPr>
      <w:spacing w:line="240" w:lineRule="exact"/>
      <w:rPr>
        <w:sz w:val="26"/>
        <w:szCs w:val="26"/>
      </w:rPr>
    </w:pPr>
    <w:r>
      <w:rPr>
        <w:sz w:val="26"/>
        <w:szCs w:val="26"/>
      </w:rPr>
      <w:t>Docket No. IC22-9-000</w:t>
    </w:r>
  </w:p>
</w:hdr>
</file>

<file path=word/intelligence.xml><?xml version="1.0" encoding="utf-8"?>
<int:Intelligence xmlns:int="http://schemas.microsoft.com/office/intelligence/2019/intelligence">
  <int:IntelligenceSettings/>
  <int:Manifest>
    <int:WordHash hashCode="ns8v4oh7xEZmMj" id="oOt4sqSJ"/>
  </int:Manifest>
  <int:Observations>
    <int:Content id="oOt4sqSJ">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2AE7EA"/>
    <w:multiLevelType w:val="hybridMultilevel"/>
    <w:tmpl w:val="C3A138A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0C552D5"/>
    <w:multiLevelType w:val="hybridMultilevel"/>
    <w:tmpl w:val="001BB74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651A1B"/>
    <w:multiLevelType w:val="hybridMultilevel"/>
    <w:tmpl w:val="734EEF40"/>
    <w:lvl w:ilvl="0" w:tplc="A0DA6B22">
      <w:start w:val="13"/>
      <w:numFmt w:val="decimal"/>
      <w:lvlText w:val="%1."/>
      <w:lvlJc w:val="left"/>
      <w:pPr>
        <w:tabs>
          <w:tab w:val="num" w:pos="24840"/>
        </w:tabs>
        <w:ind w:left="24840" w:hanging="360"/>
      </w:pPr>
      <w:rPr>
        <w:rFonts w:hint="default"/>
      </w:rPr>
    </w:lvl>
    <w:lvl w:ilvl="1" w:tplc="04090019" w:tentative="1">
      <w:start w:val="1"/>
      <w:numFmt w:val="lowerLetter"/>
      <w:lvlText w:val="%2."/>
      <w:lvlJc w:val="left"/>
      <w:pPr>
        <w:tabs>
          <w:tab w:val="num" w:pos="25560"/>
        </w:tabs>
        <w:ind w:left="25560" w:hanging="360"/>
      </w:pPr>
    </w:lvl>
    <w:lvl w:ilvl="2" w:tplc="0409001B" w:tentative="1">
      <w:start w:val="1"/>
      <w:numFmt w:val="lowerRoman"/>
      <w:lvlText w:val="%3."/>
      <w:lvlJc w:val="right"/>
      <w:pPr>
        <w:tabs>
          <w:tab w:val="num" w:pos="26280"/>
        </w:tabs>
        <w:ind w:left="26280" w:hanging="180"/>
      </w:pPr>
    </w:lvl>
    <w:lvl w:ilvl="3" w:tplc="0409000F" w:tentative="1">
      <w:start w:val="1"/>
      <w:numFmt w:val="decimal"/>
      <w:lvlText w:val="%4."/>
      <w:lvlJc w:val="left"/>
      <w:pPr>
        <w:tabs>
          <w:tab w:val="num" w:pos="27000"/>
        </w:tabs>
        <w:ind w:left="27000" w:hanging="360"/>
      </w:pPr>
    </w:lvl>
    <w:lvl w:ilvl="4" w:tplc="04090019" w:tentative="1">
      <w:start w:val="1"/>
      <w:numFmt w:val="lowerLetter"/>
      <w:lvlText w:val="%5."/>
      <w:lvlJc w:val="left"/>
      <w:pPr>
        <w:tabs>
          <w:tab w:val="num" w:pos="27720"/>
        </w:tabs>
        <w:ind w:left="27720" w:hanging="360"/>
      </w:pPr>
    </w:lvl>
    <w:lvl w:ilvl="5" w:tplc="0409001B" w:tentative="1">
      <w:start w:val="1"/>
      <w:numFmt w:val="lowerRoman"/>
      <w:lvlText w:val="%6."/>
      <w:lvlJc w:val="right"/>
      <w:pPr>
        <w:tabs>
          <w:tab w:val="num" w:pos="28440"/>
        </w:tabs>
        <w:ind w:left="28440" w:hanging="180"/>
      </w:pPr>
    </w:lvl>
    <w:lvl w:ilvl="6" w:tplc="0409000F" w:tentative="1">
      <w:start w:val="1"/>
      <w:numFmt w:val="decimal"/>
      <w:lvlText w:val="%7."/>
      <w:lvlJc w:val="left"/>
      <w:pPr>
        <w:tabs>
          <w:tab w:val="num" w:pos="29160"/>
        </w:tabs>
        <w:ind w:left="29160" w:hanging="360"/>
      </w:pPr>
    </w:lvl>
    <w:lvl w:ilvl="7" w:tplc="04090019" w:tentative="1">
      <w:start w:val="1"/>
      <w:numFmt w:val="lowerLetter"/>
      <w:lvlText w:val="%8."/>
      <w:lvlJc w:val="left"/>
      <w:pPr>
        <w:tabs>
          <w:tab w:val="num" w:pos="29880"/>
        </w:tabs>
        <w:ind w:left="29880" w:hanging="360"/>
      </w:pPr>
    </w:lvl>
    <w:lvl w:ilvl="8" w:tplc="0409001B" w:tentative="1">
      <w:start w:val="1"/>
      <w:numFmt w:val="lowerRoman"/>
      <w:lvlText w:val="%9."/>
      <w:lvlJc w:val="right"/>
      <w:pPr>
        <w:tabs>
          <w:tab w:val="num" w:pos="30600"/>
        </w:tabs>
        <w:ind w:left="30600" w:hanging="180"/>
      </w:pPr>
    </w:lvl>
  </w:abstractNum>
  <w:abstractNum w:abstractNumId="3" w15:restartNumberingAfterBreak="0">
    <w:nsid w:val="15FF140A"/>
    <w:multiLevelType w:val="hybridMultilevel"/>
    <w:tmpl w:val="DECA9992"/>
    <w:lvl w:ilvl="0" w:tplc="F0EE7DE2">
      <w:start w:val="1"/>
      <w:numFmt w:val="lowerLetter"/>
      <w:lvlText w:val="%1."/>
      <w:lvlJc w:val="left"/>
      <w:pPr>
        <w:tabs>
          <w:tab w:val="num" w:pos="2520"/>
        </w:tabs>
        <w:ind w:left="2520" w:hanging="360"/>
      </w:pPr>
      <w:rPr>
        <w:rFonts w:hint="default"/>
        <w:b/>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18D601BA"/>
    <w:multiLevelType w:val="hybridMultilevel"/>
    <w:tmpl w:val="6F6CE4EA"/>
    <w:lvl w:ilvl="0" w:tplc="F594DBE4">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0285AF5"/>
    <w:multiLevelType w:val="hybridMultilevel"/>
    <w:tmpl w:val="BF769E0E"/>
    <w:lvl w:ilvl="0" w:tplc="DDE889B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70A5E69"/>
    <w:multiLevelType w:val="hybridMultilevel"/>
    <w:tmpl w:val="3D80A4D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2C5152ED"/>
    <w:multiLevelType w:val="hybridMultilevel"/>
    <w:tmpl w:val="48B0E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3306C"/>
    <w:multiLevelType w:val="hybridMultilevel"/>
    <w:tmpl w:val="9C609F50"/>
    <w:lvl w:ilvl="0" w:tplc="57027DC0">
      <w:start w:val="2"/>
      <w:numFmt w:val="decimal"/>
      <w:lvlText w:val="%1."/>
      <w:lvlJc w:val="left"/>
      <w:pPr>
        <w:tabs>
          <w:tab w:val="num" w:pos="1815"/>
        </w:tabs>
        <w:ind w:left="1815" w:hanging="1095"/>
      </w:pPr>
      <w:rPr>
        <w:rFonts w:hint="default"/>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4387D0C"/>
    <w:multiLevelType w:val="hybridMultilevel"/>
    <w:tmpl w:val="21622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1D11FF3"/>
    <w:multiLevelType w:val="hybridMultilevel"/>
    <w:tmpl w:val="D29B6F6A"/>
    <w:lvl w:ilvl="0" w:tplc="CDB4F922">
      <w:start w:val="1"/>
      <w:numFmt w:val="ideographDigital"/>
      <w:lvlText w:val=""/>
      <w:lvlJc w:val="left"/>
    </w:lvl>
    <w:lvl w:ilvl="1" w:tplc="0EB44AF8">
      <w:numFmt w:val="decimal"/>
      <w:lvlText w:val=""/>
      <w:lvlJc w:val="left"/>
    </w:lvl>
    <w:lvl w:ilvl="2" w:tplc="7820E4AA">
      <w:numFmt w:val="decimal"/>
      <w:lvlText w:val=""/>
      <w:lvlJc w:val="left"/>
    </w:lvl>
    <w:lvl w:ilvl="3" w:tplc="F76A47EE">
      <w:numFmt w:val="decimal"/>
      <w:lvlText w:val=""/>
      <w:lvlJc w:val="left"/>
    </w:lvl>
    <w:lvl w:ilvl="4" w:tplc="DF4CF17A">
      <w:numFmt w:val="decimal"/>
      <w:lvlText w:val=""/>
      <w:lvlJc w:val="left"/>
    </w:lvl>
    <w:lvl w:ilvl="5" w:tplc="8B26A580">
      <w:numFmt w:val="decimal"/>
      <w:lvlText w:val=""/>
      <w:lvlJc w:val="left"/>
    </w:lvl>
    <w:lvl w:ilvl="6" w:tplc="9B3A7912">
      <w:numFmt w:val="decimal"/>
      <w:lvlText w:val=""/>
      <w:lvlJc w:val="left"/>
    </w:lvl>
    <w:lvl w:ilvl="7" w:tplc="36D4F1FE">
      <w:numFmt w:val="decimal"/>
      <w:lvlText w:val=""/>
      <w:lvlJc w:val="left"/>
    </w:lvl>
    <w:lvl w:ilvl="8" w:tplc="487077DA">
      <w:numFmt w:val="decimal"/>
      <w:lvlText w:val=""/>
      <w:lvlJc w:val="left"/>
    </w:lvl>
  </w:abstractNum>
  <w:abstractNum w:abstractNumId="11" w15:restartNumberingAfterBreak="0">
    <w:nsid w:val="48F803E2"/>
    <w:multiLevelType w:val="hybridMultilevel"/>
    <w:tmpl w:val="0BE239CA"/>
    <w:lvl w:ilvl="0" w:tplc="B2B2D938">
      <w:start w:val="18"/>
      <w:numFmt w:val="decimal"/>
      <w:lvlText w:val="%1."/>
      <w:lvlJc w:val="left"/>
      <w:pPr>
        <w:tabs>
          <w:tab w:val="num" w:pos="1080"/>
        </w:tabs>
        <w:ind w:left="1080" w:hanging="360"/>
      </w:pPr>
      <w:rPr>
        <w:rFonts w:hint="default"/>
      </w:rPr>
    </w:lvl>
    <w:lvl w:ilvl="1" w:tplc="EA7E7A20" w:tentative="1">
      <w:start w:val="1"/>
      <w:numFmt w:val="lowerLetter"/>
      <w:lvlText w:val="%2."/>
      <w:lvlJc w:val="left"/>
      <w:pPr>
        <w:tabs>
          <w:tab w:val="num" w:pos="1800"/>
        </w:tabs>
        <w:ind w:left="1800" w:hanging="360"/>
      </w:pPr>
    </w:lvl>
    <w:lvl w:ilvl="2" w:tplc="855C88DA" w:tentative="1">
      <w:start w:val="1"/>
      <w:numFmt w:val="lowerRoman"/>
      <w:lvlText w:val="%3."/>
      <w:lvlJc w:val="right"/>
      <w:pPr>
        <w:tabs>
          <w:tab w:val="num" w:pos="2520"/>
        </w:tabs>
        <w:ind w:left="2520" w:hanging="180"/>
      </w:pPr>
    </w:lvl>
    <w:lvl w:ilvl="3" w:tplc="9D7C1A8E" w:tentative="1">
      <w:start w:val="1"/>
      <w:numFmt w:val="decimal"/>
      <w:lvlText w:val="%4."/>
      <w:lvlJc w:val="left"/>
      <w:pPr>
        <w:tabs>
          <w:tab w:val="num" w:pos="3240"/>
        </w:tabs>
        <w:ind w:left="3240" w:hanging="360"/>
      </w:pPr>
    </w:lvl>
    <w:lvl w:ilvl="4" w:tplc="127A3180" w:tentative="1">
      <w:start w:val="1"/>
      <w:numFmt w:val="lowerLetter"/>
      <w:lvlText w:val="%5."/>
      <w:lvlJc w:val="left"/>
      <w:pPr>
        <w:tabs>
          <w:tab w:val="num" w:pos="3960"/>
        </w:tabs>
        <w:ind w:left="3960" w:hanging="360"/>
      </w:pPr>
    </w:lvl>
    <w:lvl w:ilvl="5" w:tplc="4B0A386A" w:tentative="1">
      <w:start w:val="1"/>
      <w:numFmt w:val="lowerRoman"/>
      <w:lvlText w:val="%6."/>
      <w:lvlJc w:val="right"/>
      <w:pPr>
        <w:tabs>
          <w:tab w:val="num" w:pos="4680"/>
        </w:tabs>
        <w:ind w:left="4680" w:hanging="180"/>
      </w:pPr>
    </w:lvl>
    <w:lvl w:ilvl="6" w:tplc="96EEC476" w:tentative="1">
      <w:start w:val="1"/>
      <w:numFmt w:val="decimal"/>
      <w:lvlText w:val="%7."/>
      <w:lvlJc w:val="left"/>
      <w:pPr>
        <w:tabs>
          <w:tab w:val="num" w:pos="5400"/>
        </w:tabs>
        <w:ind w:left="5400" w:hanging="360"/>
      </w:pPr>
    </w:lvl>
    <w:lvl w:ilvl="7" w:tplc="7DBC09DC" w:tentative="1">
      <w:start w:val="1"/>
      <w:numFmt w:val="lowerLetter"/>
      <w:lvlText w:val="%8."/>
      <w:lvlJc w:val="left"/>
      <w:pPr>
        <w:tabs>
          <w:tab w:val="num" w:pos="6120"/>
        </w:tabs>
        <w:ind w:left="6120" w:hanging="360"/>
      </w:pPr>
    </w:lvl>
    <w:lvl w:ilvl="8" w:tplc="78688CDC" w:tentative="1">
      <w:start w:val="1"/>
      <w:numFmt w:val="lowerRoman"/>
      <w:lvlText w:val="%9."/>
      <w:lvlJc w:val="right"/>
      <w:pPr>
        <w:tabs>
          <w:tab w:val="num" w:pos="6840"/>
        </w:tabs>
        <w:ind w:left="6840" w:hanging="180"/>
      </w:pPr>
    </w:lvl>
  </w:abstractNum>
  <w:abstractNum w:abstractNumId="12" w15:restartNumberingAfterBreak="0">
    <w:nsid w:val="54381D49"/>
    <w:multiLevelType w:val="hybridMultilevel"/>
    <w:tmpl w:val="56A090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F06CC6"/>
    <w:multiLevelType w:val="hybridMultilevel"/>
    <w:tmpl w:val="A038F154"/>
    <w:lvl w:ilvl="0" w:tplc="FFFFFFFF">
      <w:start w:val="1"/>
      <w:numFmt w:val="decimal"/>
      <w:lvlText w:val="(%1)"/>
      <w:lvlJc w:val="left"/>
      <w:pPr>
        <w:tabs>
          <w:tab w:val="num" w:pos="1155"/>
        </w:tabs>
        <w:ind w:left="1155" w:hanging="435"/>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4" w15:restartNumberingAfterBreak="0">
    <w:nsid w:val="59E7312B"/>
    <w:multiLevelType w:val="hybridMultilevel"/>
    <w:tmpl w:val="2C68D9A6"/>
    <w:lvl w:ilvl="0" w:tplc="D3700D42">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EE719D3"/>
    <w:multiLevelType w:val="hybridMultilevel"/>
    <w:tmpl w:val="B9A2F77C"/>
    <w:lvl w:ilvl="0" w:tplc="1472AE6A">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CE18228"/>
    <w:multiLevelType w:val="hybridMultilevel"/>
    <w:tmpl w:val="9A7EF4B6"/>
    <w:lvl w:ilvl="0" w:tplc="042ECDC8">
      <w:start w:val="1"/>
      <w:numFmt w:val="ideographDigit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abstractNum w:abstractNumId="17" w15:restartNumberingAfterBreak="0">
    <w:nsid w:val="7E4A5A00"/>
    <w:multiLevelType w:val="hybridMultilevel"/>
    <w:tmpl w:val="E267F0BF"/>
    <w:lvl w:ilvl="0" w:tplc="E4FAF836">
      <w:start w:val="1"/>
      <w:numFmt w:val="ideographDigital"/>
      <w:lvlText w:val=""/>
      <w:lvlJc w:val="left"/>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lvl>
    <w:lvl w:ilvl="8" w:tplc="0409001B">
      <w:numFmt w:val="decimal"/>
      <w:lvlText w:val=""/>
      <w:lvlJc w:val="left"/>
    </w:lvl>
  </w:abstractNum>
  <w:num w:numId="1">
    <w:abstractNumId w:val="15"/>
  </w:num>
  <w:num w:numId="2">
    <w:abstractNumId w:val="8"/>
  </w:num>
  <w:num w:numId="3">
    <w:abstractNumId w:val="14"/>
  </w:num>
  <w:num w:numId="4">
    <w:abstractNumId w:val="2"/>
  </w:num>
  <w:num w:numId="5">
    <w:abstractNumId w:val="4"/>
  </w:num>
  <w:num w:numId="6">
    <w:abstractNumId w:val="11"/>
  </w:num>
  <w:num w:numId="7">
    <w:abstractNumId w:val="3"/>
  </w:num>
  <w:num w:numId="8">
    <w:abstractNumId w:val="13"/>
  </w:num>
  <w:num w:numId="9">
    <w:abstractNumId w:val="5"/>
  </w:num>
  <w:num w:numId="10">
    <w:abstractNumId w:val="16"/>
  </w:num>
  <w:num w:numId="11">
    <w:abstractNumId w:val="17"/>
  </w:num>
  <w:num w:numId="12">
    <w:abstractNumId w:val="0"/>
  </w:num>
  <w:num w:numId="13">
    <w:abstractNumId w:val="1"/>
  </w:num>
  <w:num w:numId="14">
    <w:abstractNumId w:val="10"/>
  </w:num>
  <w:num w:numId="15">
    <w:abstractNumId w:val="12"/>
  </w:num>
  <w:num w:numId="16">
    <w:abstractNumId w:val="6"/>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1B"/>
    <w:rsid w:val="00000363"/>
    <w:rsid w:val="00000E56"/>
    <w:rsid w:val="00001A60"/>
    <w:rsid w:val="00002B47"/>
    <w:rsid w:val="00002FFB"/>
    <w:rsid w:val="00003EBF"/>
    <w:rsid w:val="00003F89"/>
    <w:rsid w:val="00004715"/>
    <w:rsid w:val="00005A6A"/>
    <w:rsid w:val="0000646C"/>
    <w:rsid w:val="00007461"/>
    <w:rsid w:val="00010709"/>
    <w:rsid w:val="00010F9E"/>
    <w:rsid w:val="00012456"/>
    <w:rsid w:val="00012C95"/>
    <w:rsid w:val="00012F33"/>
    <w:rsid w:val="00013533"/>
    <w:rsid w:val="00016043"/>
    <w:rsid w:val="000178F8"/>
    <w:rsid w:val="00021144"/>
    <w:rsid w:val="00021C4B"/>
    <w:rsid w:val="000222D5"/>
    <w:rsid w:val="00027DC3"/>
    <w:rsid w:val="0003097E"/>
    <w:rsid w:val="000317A1"/>
    <w:rsid w:val="00033652"/>
    <w:rsid w:val="000356C4"/>
    <w:rsid w:val="00040B30"/>
    <w:rsid w:val="00041919"/>
    <w:rsid w:val="0004311B"/>
    <w:rsid w:val="0004337C"/>
    <w:rsid w:val="00043F30"/>
    <w:rsid w:val="000446C0"/>
    <w:rsid w:val="00045684"/>
    <w:rsid w:val="00045AB4"/>
    <w:rsid w:val="00046D56"/>
    <w:rsid w:val="000505EB"/>
    <w:rsid w:val="0005088D"/>
    <w:rsid w:val="0005159C"/>
    <w:rsid w:val="000515DB"/>
    <w:rsid w:val="000521BF"/>
    <w:rsid w:val="00052C67"/>
    <w:rsid w:val="00056B57"/>
    <w:rsid w:val="00060041"/>
    <w:rsid w:val="0006082A"/>
    <w:rsid w:val="00060E67"/>
    <w:rsid w:val="0006213B"/>
    <w:rsid w:val="00062746"/>
    <w:rsid w:val="000637B3"/>
    <w:rsid w:val="00066332"/>
    <w:rsid w:val="00073BDD"/>
    <w:rsid w:val="00076AE2"/>
    <w:rsid w:val="000818B7"/>
    <w:rsid w:val="00081E83"/>
    <w:rsid w:val="00082F14"/>
    <w:rsid w:val="00083FCE"/>
    <w:rsid w:val="000841A8"/>
    <w:rsid w:val="0008557F"/>
    <w:rsid w:val="00087A12"/>
    <w:rsid w:val="00087FF0"/>
    <w:rsid w:val="000903C1"/>
    <w:rsid w:val="00092F27"/>
    <w:rsid w:val="00094779"/>
    <w:rsid w:val="0009760A"/>
    <w:rsid w:val="000A0764"/>
    <w:rsid w:val="000A1237"/>
    <w:rsid w:val="000B2D7B"/>
    <w:rsid w:val="000B2F75"/>
    <w:rsid w:val="000B48AE"/>
    <w:rsid w:val="000B603A"/>
    <w:rsid w:val="000B746B"/>
    <w:rsid w:val="000C0490"/>
    <w:rsid w:val="000C12A0"/>
    <w:rsid w:val="000C3447"/>
    <w:rsid w:val="000C4A6B"/>
    <w:rsid w:val="000C772D"/>
    <w:rsid w:val="000D62B6"/>
    <w:rsid w:val="000D65EF"/>
    <w:rsid w:val="000D6A7D"/>
    <w:rsid w:val="000D7294"/>
    <w:rsid w:val="000D7724"/>
    <w:rsid w:val="000D7B14"/>
    <w:rsid w:val="000D7C85"/>
    <w:rsid w:val="000E0677"/>
    <w:rsid w:val="000E10F7"/>
    <w:rsid w:val="000E25FE"/>
    <w:rsid w:val="000E3740"/>
    <w:rsid w:val="000E3C9A"/>
    <w:rsid w:val="000F0336"/>
    <w:rsid w:val="000F0C44"/>
    <w:rsid w:val="000F2028"/>
    <w:rsid w:val="000F285F"/>
    <w:rsid w:val="000F4D2A"/>
    <w:rsid w:val="000F6ED1"/>
    <w:rsid w:val="000F7368"/>
    <w:rsid w:val="00105DF4"/>
    <w:rsid w:val="001117C2"/>
    <w:rsid w:val="00111D7B"/>
    <w:rsid w:val="00112165"/>
    <w:rsid w:val="0011326F"/>
    <w:rsid w:val="001178F6"/>
    <w:rsid w:val="00120591"/>
    <w:rsid w:val="0012164F"/>
    <w:rsid w:val="0012166C"/>
    <w:rsid w:val="001216AC"/>
    <w:rsid w:val="00121B59"/>
    <w:rsid w:val="00124C55"/>
    <w:rsid w:val="001261D4"/>
    <w:rsid w:val="00126CA1"/>
    <w:rsid w:val="00130B16"/>
    <w:rsid w:val="00130E0A"/>
    <w:rsid w:val="00135FB3"/>
    <w:rsid w:val="00140B74"/>
    <w:rsid w:val="0014112C"/>
    <w:rsid w:val="0014123A"/>
    <w:rsid w:val="00142A35"/>
    <w:rsid w:val="00143007"/>
    <w:rsid w:val="00143200"/>
    <w:rsid w:val="00144F33"/>
    <w:rsid w:val="001465D9"/>
    <w:rsid w:val="0014696E"/>
    <w:rsid w:val="00147084"/>
    <w:rsid w:val="0015003E"/>
    <w:rsid w:val="001502E2"/>
    <w:rsid w:val="00150BC2"/>
    <w:rsid w:val="00151456"/>
    <w:rsid w:val="00152123"/>
    <w:rsid w:val="00152AFE"/>
    <w:rsid w:val="00152F33"/>
    <w:rsid w:val="00152FA5"/>
    <w:rsid w:val="00153FA1"/>
    <w:rsid w:val="00155CF8"/>
    <w:rsid w:val="00156B00"/>
    <w:rsid w:val="00156B03"/>
    <w:rsid w:val="0015749E"/>
    <w:rsid w:val="001612F8"/>
    <w:rsid w:val="00162E14"/>
    <w:rsid w:val="001630DC"/>
    <w:rsid w:val="001644A0"/>
    <w:rsid w:val="001644A3"/>
    <w:rsid w:val="0016491A"/>
    <w:rsid w:val="00166462"/>
    <w:rsid w:val="00171CB2"/>
    <w:rsid w:val="00173047"/>
    <w:rsid w:val="0018066C"/>
    <w:rsid w:val="001809C5"/>
    <w:rsid w:val="00181179"/>
    <w:rsid w:val="001817AD"/>
    <w:rsid w:val="00181B23"/>
    <w:rsid w:val="001827BF"/>
    <w:rsid w:val="00182E32"/>
    <w:rsid w:val="001873FE"/>
    <w:rsid w:val="0018747B"/>
    <w:rsid w:val="00192270"/>
    <w:rsid w:val="00196226"/>
    <w:rsid w:val="00196651"/>
    <w:rsid w:val="00197F8F"/>
    <w:rsid w:val="001A007E"/>
    <w:rsid w:val="001A35BC"/>
    <w:rsid w:val="001A496C"/>
    <w:rsid w:val="001A6698"/>
    <w:rsid w:val="001A76AB"/>
    <w:rsid w:val="001A76CF"/>
    <w:rsid w:val="001B00E6"/>
    <w:rsid w:val="001B06D4"/>
    <w:rsid w:val="001B15A7"/>
    <w:rsid w:val="001B4702"/>
    <w:rsid w:val="001B5147"/>
    <w:rsid w:val="001B7A77"/>
    <w:rsid w:val="001C0C2E"/>
    <w:rsid w:val="001C103A"/>
    <w:rsid w:val="001C2B43"/>
    <w:rsid w:val="001C7E97"/>
    <w:rsid w:val="001D4A35"/>
    <w:rsid w:val="001D4E11"/>
    <w:rsid w:val="001D7CA4"/>
    <w:rsid w:val="001E00FC"/>
    <w:rsid w:val="001E10EA"/>
    <w:rsid w:val="001E1A33"/>
    <w:rsid w:val="001E4E81"/>
    <w:rsid w:val="001E6077"/>
    <w:rsid w:val="001F22E7"/>
    <w:rsid w:val="001F4264"/>
    <w:rsid w:val="00204BD0"/>
    <w:rsid w:val="0020642E"/>
    <w:rsid w:val="00206639"/>
    <w:rsid w:val="002069A8"/>
    <w:rsid w:val="00206BB3"/>
    <w:rsid w:val="00207676"/>
    <w:rsid w:val="00207C5A"/>
    <w:rsid w:val="00207DC8"/>
    <w:rsid w:val="00211146"/>
    <w:rsid w:val="002119FB"/>
    <w:rsid w:val="00213D41"/>
    <w:rsid w:val="00214318"/>
    <w:rsid w:val="00214610"/>
    <w:rsid w:val="002154BE"/>
    <w:rsid w:val="00217BBB"/>
    <w:rsid w:val="00222CFC"/>
    <w:rsid w:val="00224F71"/>
    <w:rsid w:val="00226598"/>
    <w:rsid w:val="00226D28"/>
    <w:rsid w:val="00230220"/>
    <w:rsid w:val="002323AB"/>
    <w:rsid w:val="0023772B"/>
    <w:rsid w:val="00240632"/>
    <w:rsid w:val="0024121D"/>
    <w:rsid w:val="00242D03"/>
    <w:rsid w:val="0024436C"/>
    <w:rsid w:val="00244CC1"/>
    <w:rsid w:val="00245529"/>
    <w:rsid w:val="00246703"/>
    <w:rsid w:val="00252D14"/>
    <w:rsid w:val="002561B9"/>
    <w:rsid w:val="00260F32"/>
    <w:rsid w:val="00261F7F"/>
    <w:rsid w:val="00263093"/>
    <w:rsid w:val="0026611F"/>
    <w:rsid w:val="002677EF"/>
    <w:rsid w:val="00267849"/>
    <w:rsid w:val="00270F2B"/>
    <w:rsid w:val="0027117C"/>
    <w:rsid w:val="0027232A"/>
    <w:rsid w:val="00274C0D"/>
    <w:rsid w:val="0027664D"/>
    <w:rsid w:val="00280494"/>
    <w:rsid w:val="0028075E"/>
    <w:rsid w:val="002832DA"/>
    <w:rsid w:val="002835ED"/>
    <w:rsid w:val="00283D03"/>
    <w:rsid w:val="002850FF"/>
    <w:rsid w:val="002861B6"/>
    <w:rsid w:val="00293003"/>
    <w:rsid w:val="0029437C"/>
    <w:rsid w:val="0029499F"/>
    <w:rsid w:val="002A028B"/>
    <w:rsid w:val="002A2918"/>
    <w:rsid w:val="002A43A4"/>
    <w:rsid w:val="002A64EE"/>
    <w:rsid w:val="002A756F"/>
    <w:rsid w:val="002B552F"/>
    <w:rsid w:val="002B62A0"/>
    <w:rsid w:val="002B6CE1"/>
    <w:rsid w:val="002C0D75"/>
    <w:rsid w:val="002C0ECB"/>
    <w:rsid w:val="002C12FC"/>
    <w:rsid w:val="002C1DAC"/>
    <w:rsid w:val="002C48E7"/>
    <w:rsid w:val="002C558A"/>
    <w:rsid w:val="002D006E"/>
    <w:rsid w:val="002D2879"/>
    <w:rsid w:val="002D46F0"/>
    <w:rsid w:val="002D4EC2"/>
    <w:rsid w:val="002E069A"/>
    <w:rsid w:val="002E1BC3"/>
    <w:rsid w:val="002E3D93"/>
    <w:rsid w:val="002E51DE"/>
    <w:rsid w:val="002E57FB"/>
    <w:rsid w:val="002E768D"/>
    <w:rsid w:val="002E7CF3"/>
    <w:rsid w:val="002F05EC"/>
    <w:rsid w:val="002F0A06"/>
    <w:rsid w:val="002F0BD5"/>
    <w:rsid w:val="002F1A9A"/>
    <w:rsid w:val="002F28D4"/>
    <w:rsid w:val="002F6E9E"/>
    <w:rsid w:val="002F7433"/>
    <w:rsid w:val="00302481"/>
    <w:rsid w:val="00302B8E"/>
    <w:rsid w:val="00303779"/>
    <w:rsid w:val="00305758"/>
    <w:rsid w:val="003063A4"/>
    <w:rsid w:val="003078D4"/>
    <w:rsid w:val="003078DD"/>
    <w:rsid w:val="003147E9"/>
    <w:rsid w:val="00314A3D"/>
    <w:rsid w:val="003153C4"/>
    <w:rsid w:val="00317F6A"/>
    <w:rsid w:val="003200B8"/>
    <w:rsid w:val="003215A7"/>
    <w:rsid w:val="003217CF"/>
    <w:rsid w:val="00322511"/>
    <w:rsid w:val="00327CFE"/>
    <w:rsid w:val="0033665C"/>
    <w:rsid w:val="0033774F"/>
    <w:rsid w:val="003377D5"/>
    <w:rsid w:val="00337993"/>
    <w:rsid w:val="003421DE"/>
    <w:rsid w:val="00344460"/>
    <w:rsid w:val="00345D0C"/>
    <w:rsid w:val="003517F8"/>
    <w:rsid w:val="00353F93"/>
    <w:rsid w:val="003558D2"/>
    <w:rsid w:val="003564A5"/>
    <w:rsid w:val="00356954"/>
    <w:rsid w:val="00357C43"/>
    <w:rsid w:val="003600A3"/>
    <w:rsid w:val="00363D30"/>
    <w:rsid w:val="003641A4"/>
    <w:rsid w:val="00365167"/>
    <w:rsid w:val="003660A1"/>
    <w:rsid w:val="00366330"/>
    <w:rsid w:val="00367FD7"/>
    <w:rsid w:val="00370613"/>
    <w:rsid w:val="003707BE"/>
    <w:rsid w:val="003714DE"/>
    <w:rsid w:val="00371FE9"/>
    <w:rsid w:val="003735B7"/>
    <w:rsid w:val="00374325"/>
    <w:rsid w:val="003747FD"/>
    <w:rsid w:val="00375625"/>
    <w:rsid w:val="00376893"/>
    <w:rsid w:val="00377DAF"/>
    <w:rsid w:val="00377FD7"/>
    <w:rsid w:val="00380A8B"/>
    <w:rsid w:val="00383565"/>
    <w:rsid w:val="003840C6"/>
    <w:rsid w:val="0038566B"/>
    <w:rsid w:val="0038584E"/>
    <w:rsid w:val="00387D9F"/>
    <w:rsid w:val="00390518"/>
    <w:rsid w:val="003910C0"/>
    <w:rsid w:val="00391F34"/>
    <w:rsid w:val="003924EB"/>
    <w:rsid w:val="003950FD"/>
    <w:rsid w:val="00396D51"/>
    <w:rsid w:val="00397224"/>
    <w:rsid w:val="003A1D7A"/>
    <w:rsid w:val="003A2F16"/>
    <w:rsid w:val="003A3F41"/>
    <w:rsid w:val="003A429A"/>
    <w:rsid w:val="003A7313"/>
    <w:rsid w:val="003B0489"/>
    <w:rsid w:val="003B2E64"/>
    <w:rsid w:val="003B7EED"/>
    <w:rsid w:val="003C120B"/>
    <w:rsid w:val="003C1F91"/>
    <w:rsid w:val="003C43FB"/>
    <w:rsid w:val="003C5BBF"/>
    <w:rsid w:val="003D3040"/>
    <w:rsid w:val="003E19AF"/>
    <w:rsid w:val="003E3C0C"/>
    <w:rsid w:val="003E3C7E"/>
    <w:rsid w:val="003E5AEE"/>
    <w:rsid w:val="003E742E"/>
    <w:rsid w:val="003F0178"/>
    <w:rsid w:val="003F3330"/>
    <w:rsid w:val="003F35D5"/>
    <w:rsid w:val="003F4092"/>
    <w:rsid w:val="003F4AAC"/>
    <w:rsid w:val="00400101"/>
    <w:rsid w:val="00400271"/>
    <w:rsid w:val="00405933"/>
    <w:rsid w:val="00405A82"/>
    <w:rsid w:val="004063CE"/>
    <w:rsid w:val="00406959"/>
    <w:rsid w:val="00406DBA"/>
    <w:rsid w:val="00407010"/>
    <w:rsid w:val="004103A0"/>
    <w:rsid w:val="00411626"/>
    <w:rsid w:val="00412248"/>
    <w:rsid w:val="004127D0"/>
    <w:rsid w:val="00412EC0"/>
    <w:rsid w:val="0041485E"/>
    <w:rsid w:val="0041677A"/>
    <w:rsid w:val="004179C8"/>
    <w:rsid w:val="00420560"/>
    <w:rsid w:val="0042183B"/>
    <w:rsid w:val="004237DF"/>
    <w:rsid w:val="00426BD5"/>
    <w:rsid w:val="0042746E"/>
    <w:rsid w:val="00427BBB"/>
    <w:rsid w:val="00431982"/>
    <w:rsid w:val="00435FF2"/>
    <w:rsid w:val="004405BF"/>
    <w:rsid w:val="00441AA9"/>
    <w:rsid w:val="0044342B"/>
    <w:rsid w:val="00443646"/>
    <w:rsid w:val="00444881"/>
    <w:rsid w:val="00450921"/>
    <w:rsid w:val="0045481D"/>
    <w:rsid w:val="00454F4D"/>
    <w:rsid w:val="004573E9"/>
    <w:rsid w:val="0046023F"/>
    <w:rsid w:val="0046046E"/>
    <w:rsid w:val="0046104B"/>
    <w:rsid w:val="004620FA"/>
    <w:rsid w:val="00464372"/>
    <w:rsid w:val="00465410"/>
    <w:rsid w:val="00465DEC"/>
    <w:rsid w:val="00467728"/>
    <w:rsid w:val="00470CBD"/>
    <w:rsid w:val="00470DC8"/>
    <w:rsid w:val="00472307"/>
    <w:rsid w:val="00477831"/>
    <w:rsid w:val="004808E2"/>
    <w:rsid w:val="004814E2"/>
    <w:rsid w:val="00481A3E"/>
    <w:rsid w:val="0048375B"/>
    <w:rsid w:val="00483D2D"/>
    <w:rsid w:val="00484598"/>
    <w:rsid w:val="00484A3B"/>
    <w:rsid w:val="00484B8A"/>
    <w:rsid w:val="00486CFB"/>
    <w:rsid w:val="00487256"/>
    <w:rsid w:val="00487C5C"/>
    <w:rsid w:val="004926FF"/>
    <w:rsid w:val="00493995"/>
    <w:rsid w:val="0049446B"/>
    <w:rsid w:val="00495050"/>
    <w:rsid w:val="00495552"/>
    <w:rsid w:val="004956D8"/>
    <w:rsid w:val="00495A55"/>
    <w:rsid w:val="0049657A"/>
    <w:rsid w:val="00496EA8"/>
    <w:rsid w:val="004A00E2"/>
    <w:rsid w:val="004A1358"/>
    <w:rsid w:val="004A1449"/>
    <w:rsid w:val="004A2F0F"/>
    <w:rsid w:val="004A2FCF"/>
    <w:rsid w:val="004A362D"/>
    <w:rsid w:val="004A43CC"/>
    <w:rsid w:val="004B05F7"/>
    <w:rsid w:val="004B0791"/>
    <w:rsid w:val="004B46A3"/>
    <w:rsid w:val="004B4EF4"/>
    <w:rsid w:val="004C11C4"/>
    <w:rsid w:val="004C352A"/>
    <w:rsid w:val="004C6CC5"/>
    <w:rsid w:val="004C715D"/>
    <w:rsid w:val="004D1FFC"/>
    <w:rsid w:val="004D5C73"/>
    <w:rsid w:val="004D7C68"/>
    <w:rsid w:val="004E0D31"/>
    <w:rsid w:val="004E2BF1"/>
    <w:rsid w:val="004E5D48"/>
    <w:rsid w:val="004E7782"/>
    <w:rsid w:val="004F1164"/>
    <w:rsid w:val="004F15BA"/>
    <w:rsid w:val="004F27C4"/>
    <w:rsid w:val="004F3304"/>
    <w:rsid w:val="004F5B8F"/>
    <w:rsid w:val="004F67DA"/>
    <w:rsid w:val="004F782A"/>
    <w:rsid w:val="00501B2D"/>
    <w:rsid w:val="0050214B"/>
    <w:rsid w:val="00504289"/>
    <w:rsid w:val="005046D7"/>
    <w:rsid w:val="00504E4E"/>
    <w:rsid w:val="00505DF2"/>
    <w:rsid w:val="00506EC4"/>
    <w:rsid w:val="005134C9"/>
    <w:rsid w:val="00513DBF"/>
    <w:rsid w:val="005154D6"/>
    <w:rsid w:val="005172C6"/>
    <w:rsid w:val="005175F7"/>
    <w:rsid w:val="005219CF"/>
    <w:rsid w:val="00523E93"/>
    <w:rsid w:val="00524507"/>
    <w:rsid w:val="00524ACB"/>
    <w:rsid w:val="00525B7E"/>
    <w:rsid w:val="00532DB1"/>
    <w:rsid w:val="00532DDA"/>
    <w:rsid w:val="0053310C"/>
    <w:rsid w:val="00533E86"/>
    <w:rsid w:val="0053474F"/>
    <w:rsid w:val="0053542D"/>
    <w:rsid w:val="0053577B"/>
    <w:rsid w:val="00536065"/>
    <w:rsid w:val="0054022C"/>
    <w:rsid w:val="0054122A"/>
    <w:rsid w:val="00541EB8"/>
    <w:rsid w:val="00543D6D"/>
    <w:rsid w:val="0054477B"/>
    <w:rsid w:val="005448D8"/>
    <w:rsid w:val="005463DB"/>
    <w:rsid w:val="005475F7"/>
    <w:rsid w:val="00556AC8"/>
    <w:rsid w:val="005573F3"/>
    <w:rsid w:val="0056046D"/>
    <w:rsid w:val="005607C9"/>
    <w:rsid w:val="005611A6"/>
    <w:rsid w:val="00561335"/>
    <w:rsid w:val="0056194A"/>
    <w:rsid w:val="00562389"/>
    <w:rsid w:val="0056274A"/>
    <w:rsid w:val="00563876"/>
    <w:rsid w:val="00563F43"/>
    <w:rsid w:val="005643C5"/>
    <w:rsid w:val="0056623B"/>
    <w:rsid w:val="00567FC5"/>
    <w:rsid w:val="005738A0"/>
    <w:rsid w:val="00576897"/>
    <w:rsid w:val="0057746D"/>
    <w:rsid w:val="00577AB2"/>
    <w:rsid w:val="0058061F"/>
    <w:rsid w:val="005820A9"/>
    <w:rsid w:val="005838B4"/>
    <w:rsid w:val="00583E7C"/>
    <w:rsid w:val="00584833"/>
    <w:rsid w:val="00584E02"/>
    <w:rsid w:val="005916D2"/>
    <w:rsid w:val="005939C1"/>
    <w:rsid w:val="00593A8A"/>
    <w:rsid w:val="00596032"/>
    <w:rsid w:val="00596216"/>
    <w:rsid w:val="005A4901"/>
    <w:rsid w:val="005A675D"/>
    <w:rsid w:val="005B3DE7"/>
    <w:rsid w:val="005B500A"/>
    <w:rsid w:val="005B5E21"/>
    <w:rsid w:val="005B629A"/>
    <w:rsid w:val="005B774B"/>
    <w:rsid w:val="005C0E05"/>
    <w:rsid w:val="005C10C9"/>
    <w:rsid w:val="005C12A4"/>
    <w:rsid w:val="005C1AED"/>
    <w:rsid w:val="005C1C67"/>
    <w:rsid w:val="005C55ED"/>
    <w:rsid w:val="005C65DF"/>
    <w:rsid w:val="005C68CA"/>
    <w:rsid w:val="005C6B50"/>
    <w:rsid w:val="005D0285"/>
    <w:rsid w:val="005D0CDE"/>
    <w:rsid w:val="005D3558"/>
    <w:rsid w:val="005D3C29"/>
    <w:rsid w:val="005E01D4"/>
    <w:rsid w:val="005E503A"/>
    <w:rsid w:val="005E513B"/>
    <w:rsid w:val="005F1A32"/>
    <w:rsid w:val="005F2929"/>
    <w:rsid w:val="005F2DDF"/>
    <w:rsid w:val="005F320D"/>
    <w:rsid w:val="005F4A17"/>
    <w:rsid w:val="005F5746"/>
    <w:rsid w:val="005F5B69"/>
    <w:rsid w:val="005F6C60"/>
    <w:rsid w:val="005F700E"/>
    <w:rsid w:val="005F796A"/>
    <w:rsid w:val="006006AC"/>
    <w:rsid w:val="00600DCD"/>
    <w:rsid w:val="006016BF"/>
    <w:rsid w:val="006022D7"/>
    <w:rsid w:val="00602606"/>
    <w:rsid w:val="00604A67"/>
    <w:rsid w:val="00604DA0"/>
    <w:rsid w:val="00604E58"/>
    <w:rsid w:val="006071F8"/>
    <w:rsid w:val="00612C90"/>
    <w:rsid w:val="00615E89"/>
    <w:rsid w:val="00617678"/>
    <w:rsid w:val="00620FD4"/>
    <w:rsid w:val="00623688"/>
    <w:rsid w:val="0062370A"/>
    <w:rsid w:val="00623F94"/>
    <w:rsid w:val="006243CC"/>
    <w:rsid w:val="00625C24"/>
    <w:rsid w:val="00625E46"/>
    <w:rsid w:val="0063011A"/>
    <w:rsid w:val="006322DD"/>
    <w:rsid w:val="006336DF"/>
    <w:rsid w:val="00633A78"/>
    <w:rsid w:val="006347C0"/>
    <w:rsid w:val="0063541B"/>
    <w:rsid w:val="0063624B"/>
    <w:rsid w:val="0063692D"/>
    <w:rsid w:val="00637DDD"/>
    <w:rsid w:val="0064053F"/>
    <w:rsid w:val="006436C8"/>
    <w:rsid w:val="0064704F"/>
    <w:rsid w:val="00647951"/>
    <w:rsid w:val="00650ACC"/>
    <w:rsid w:val="006531D6"/>
    <w:rsid w:val="00653DCD"/>
    <w:rsid w:val="006562D9"/>
    <w:rsid w:val="006571FF"/>
    <w:rsid w:val="0066040D"/>
    <w:rsid w:val="00660E00"/>
    <w:rsid w:val="00661999"/>
    <w:rsid w:val="00661EED"/>
    <w:rsid w:val="0066711C"/>
    <w:rsid w:val="00670B59"/>
    <w:rsid w:val="00671B10"/>
    <w:rsid w:val="0067250E"/>
    <w:rsid w:val="006728B1"/>
    <w:rsid w:val="00674A7C"/>
    <w:rsid w:val="00683538"/>
    <w:rsid w:val="006861E1"/>
    <w:rsid w:val="00686250"/>
    <w:rsid w:val="00690A8D"/>
    <w:rsid w:val="00690EC3"/>
    <w:rsid w:val="006914F3"/>
    <w:rsid w:val="00692505"/>
    <w:rsid w:val="0069287A"/>
    <w:rsid w:val="00692EFE"/>
    <w:rsid w:val="00693BAF"/>
    <w:rsid w:val="0069412C"/>
    <w:rsid w:val="00694A73"/>
    <w:rsid w:val="006965F8"/>
    <w:rsid w:val="00696BDA"/>
    <w:rsid w:val="00697B54"/>
    <w:rsid w:val="00697C54"/>
    <w:rsid w:val="006A338D"/>
    <w:rsid w:val="006A4285"/>
    <w:rsid w:val="006A53D8"/>
    <w:rsid w:val="006A5B53"/>
    <w:rsid w:val="006A5BFE"/>
    <w:rsid w:val="006A6533"/>
    <w:rsid w:val="006B0131"/>
    <w:rsid w:val="006B0205"/>
    <w:rsid w:val="006B0402"/>
    <w:rsid w:val="006B11A4"/>
    <w:rsid w:val="006B200C"/>
    <w:rsid w:val="006B2BE2"/>
    <w:rsid w:val="006B4206"/>
    <w:rsid w:val="006B4C3F"/>
    <w:rsid w:val="006B5EA9"/>
    <w:rsid w:val="006B6A9B"/>
    <w:rsid w:val="006B70DF"/>
    <w:rsid w:val="006B71A4"/>
    <w:rsid w:val="006B7800"/>
    <w:rsid w:val="006B7D47"/>
    <w:rsid w:val="006C3153"/>
    <w:rsid w:val="006C31BD"/>
    <w:rsid w:val="006C4690"/>
    <w:rsid w:val="006C5B7B"/>
    <w:rsid w:val="006C6BC8"/>
    <w:rsid w:val="006C7D65"/>
    <w:rsid w:val="006D5678"/>
    <w:rsid w:val="006D5CDC"/>
    <w:rsid w:val="006D6F07"/>
    <w:rsid w:val="006E2736"/>
    <w:rsid w:val="006E56E7"/>
    <w:rsid w:val="006F17A9"/>
    <w:rsid w:val="006F2ED9"/>
    <w:rsid w:val="006F5682"/>
    <w:rsid w:val="006F5C74"/>
    <w:rsid w:val="006F6478"/>
    <w:rsid w:val="006F76E1"/>
    <w:rsid w:val="006F7C84"/>
    <w:rsid w:val="006F7DA9"/>
    <w:rsid w:val="006F7F61"/>
    <w:rsid w:val="007028B3"/>
    <w:rsid w:val="00702A4D"/>
    <w:rsid w:val="0070318D"/>
    <w:rsid w:val="00703292"/>
    <w:rsid w:val="00703CD0"/>
    <w:rsid w:val="007052BD"/>
    <w:rsid w:val="0070582B"/>
    <w:rsid w:val="00706590"/>
    <w:rsid w:val="00706D2B"/>
    <w:rsid w:val="00707D32"/>
    <w:rsid w:val="00710C5B"/>
    <w:rsid w:val="007119F7"/>
    <w:rsid w:val="007126D4"/>
    <w:rsid w:val="007129A6"/>
    <w:rsid w:val="00714D85"/>
    <w:rsid w:val="007152BF"/>
    <w:rsid w:val="00721C06"/>
    <w:rsid w:val="007239F5"/>
    <w:rsid w:val="007251C2"/>
    <w:rsid w:val="00726047"/>
    <w:rsid w:val="007261EA"/>
    <w:rsid w:val="0072643A"/>
    <w:rsid w:val="00730FBC"/>
    <w:rsid w:val="00731CBD"/>
    <w:rsid w:val="00732235"/>
    <w:rsid w:val="00732E8E"/>
    <w:rsid w:val="00733C05"/>
    <w:rsid w:val="00736942"/>
    <w:rsid w:val="00737F36"/>
    <w:rsid w:val="00741864"/>
    <w:rsid w:val="00742267"/>
    <w:rsid w:val="00743859"/>
    <w:rsid w:val="00744765"/>
    <w:rsid w:val="00744FF8"/>
    <w:rsid w:val="0074688A"/>
    <w:rsid w:val="0075010F"/>
    <w:rsid w:val="007503D1"/>
    <w:rsid w:val="00751054"/>
    <w:rsid w:val="00751D4F"/>
    <w:rsid w:val="007531D9"/>
    <w:rsid w:val="007546C3"/>
    <w:rsid w:val="00757ABF"/>
    <w:rsid w:val="00757B8C"/>
    <w:rsid w:val="00760E29"/>
    <w:rsid w:val="00764BA4"/>
    <w:rsid w:val="007653B0"/>
    <w:rsid w:val="00765980"/>
    <w:rsid w:val="00766850"/>
    <w:rsid w:val="00767146"/>
    <w:rsid w:val="00767464"/>
    <w:rsid w:val="007676F9"/>
    <w:rsid w:val="00772A21"/>
    <w:rsid w:val="00773922"/>
    <w:rsid w:val="00775B42"/>
    <w:rsid w:val="00775E68"/>
    <w:rsid w:val="007767A9"/>
    <w:rsid w:val="007770C8"/>
    <w:rsid w:val="00777446"/>
    <w:rsid w:val="007776A6"/>
    <w:rsid w:val="00780DD6"/>
    <w:rsid w:val="007822C4"/>
    <w:rsid w:val="0078241C"/>
    <w:rsid w:val="00791B70"/>
    <w:rsid w:val="007924A3"/>
    <w:rsid w:val="00793159"/>
    <w:rsid w:val="00793699"/>
    <w:rsid w:val="007941E5"/>
    <w:rsid w:val="00794D00"/>
    <w:rsid w:val="00795FED"/>
    <w:rsid w:val="007965C3"/>
    <w:rsid w:val="007965FF"/>
    <w:rsid w:val="007A0C6E"/>
    <w:rsid w:val="007A22B7"/>
    <w:rsid w:val="007A416A"/>
    <w:rsid w:val="007A5F1B"/>
    <w:rsid w:val="007A73C2"/>
    <w:rsid w:val="007A7FA8"/>
    <w:rsid w:val="007B059B"/>
    <w:rsid w:val="007B160B"/>
    <w:rsid w:val="007B241B"/>
    <w:rsid w:val="007B26EC"/>
    <w:rsid w:val="007B4CFB"/>
    <w:rsid w:val="007B501F"/>
    <w:rsid w:val="007B5683"/>
    <w:rsid w:val="007B5FA4"/>
    <w:rsid w:val="007B6040"/>
    <w:rsid w:val="007B742B"/>
    <w:rsid w:val="007C0665"/>
    <w:rsid w:val="007C0750"/>
    <w:rsid w:val="007C11A8"/>
    <w:rsid w:val="007C1B27"/>
    <w:rsid w:val="007C3607"/>
    <w:rsid w:val="007C3BD7"/>
    <w:rsid w:val="007C5354"/>
    <w:rsid w:val="007C559A"/>
    <w:rsid w:val="007C6DBF"/>
    <w:rsid w:val="007D26E5"/>
    <w:rsid w:val="007D3283"/>
    <w:rsid w:val="007D6A14"/>
    <w:rsid w:val="007D73E2"/>
    <w:rsid w:val="007E181A"/>
    <w:rsid w:val="007E1DA0"/>
    <w:rsid w:val="007E1EF1"/>
    <w:rsid w:val="007E2455"/>
    <w:rsid w:val="007E68EB"/>
    <w:rsid w:val="007F1BCD"/>
    <w:rsid w:val="007F774D"/>
    <w:rsid w:val="00801837"/>
    <w:rsid w:val="008031F9"/>
    <w:rsid w:val="00803BA3"/>
    <w:rsid w:val="00804657"/>
    <w:rsid w:val="008059B1"/>
    <w:rsid w:val="008059F5"/>
    <w:rsid w:val="00807473"/>
    <w:rsid w:val="00807B11"/>
    <w:rsid w:val="00807EE8"/>
    <w:rsid w:val="008141E2"/>
    <w:rsid w:val="008143F7"/>
    <w:rsid w:val="00815A3F"/>
    <w:rsid w:val="0082030A"/>
    <w:rsid w:val="00820D5E"/>
    <w:rsid w:val="00821D54"/>
    <w:rsid w:val="008241D8"/>
    <w:rsid w:val="00824EF5"/>
    <w:rsid w:val="00824F4A"/>
    <w:rsid w:val="00825406"/>
    <w:rsid w:val="0082566B"/>
    <w:rsid w:val="008266F7"/>
    <w:rsid w:val="008308FC"/>
    <w:rsid w:val="00832116"/>
    <w:rsid w:val="008339D1"/>
    <w:rsid w:val="0083455F"/>
    <w:rsid w:val="00834733"/>
    <w:rsid w:val="00835890"/>
    <w:rsid w:val="008368A8"/>
    <w:rsid w:val="008369C1"/>
    <w:rsid w:val="00837365"/>
    <w:rsid w:val="0084057F"/>
    <w:rsid w:val="00840681"/>
    <w:rsid w:val="008416A7"/>
    <w:rsid w:val="0084487F"/>
    <w:rsid w:val="008449DF"/>
    <w:rsid w:val="0084540E"/>
    <w:rsid w:val="00851401"/>
    <w:rsid w:val="00853324"/>
    <w:rsid w:val="008544BC"/>
    <w:rsid w:val="00857351"/>
    <w:rsid w:val="00857C13"/>
    <w:rsid w:val="0086309F"/>
    <w:rsid w:val="0086311B"/>
    <w:rsid w:val="008654FD"/>
    <w:rsid w:val="00866A9B"/>
    <w:rsid w:val="00867F63"/>
    <w:rsid w:val="008700C2"/>
    <w:rsid w:val="00871B10"/>
    <w:rsid w:val="00872885"/>
    <w:rsid w:val="008736EB"/>
    <w:rsid w:val="0087571B"/>
    <w:rsid w:val="0087699F"/>
    <w:rsid w:val="008823E6"/>
    <w:rsid w:val="008825A5"/>
    <w:rsid w:val="00883133"/>
    <w:rsid w:val="00883F07"/>
    <w:rsid w:val="008854B8"/>
    <w:rsid w:val="00891178"/>
    <w:rsid w:val="00891376"/>
    <w:rsid w:val="00894DE8"/>
    <w:rsid w:val="00894FE3"/>
    <w:rsid w:val="008950E2"/>
    <w:rsid w:val="00895629"/>
    <w:rsid w:val="00897406"/>
    <w:rsid w:val="0089783A"/>
    <w:rsid w:val="00897A22"/>
    <w:rsid w:val="008A52AE"/>
    <w:rsid w:val="008A5681"/>
    <w:rsid w:val="008A57C8"/>
    <w:rsid w:val="008A643C"/>
    <w:rsid w:val="008B0F73"/>
    <w:rsid w:val="008B2F87"/>
    <w:rsid w:val="008B383A"/>
    <w:rsid w:val="008B48F3"/>
    <w:rsid w:val="008B4C83"/>
    <w:rsid w:val="008B5057"/>
    <w:rsid w:val="008B59B5"/>
    <w:rsid w:val="008B6C3B"/>
    <w:rsid w:val="008B7AEA"/>
    <w:rsid w:val="008C5749"/>
    <w:rsid w:val="008D03D9"/>
    <w:rsid w:val="008D1F20"/>
    <w:rsid w:val="008D46D4"/>
    <w:rsid w:val="008D7A1E"/>
    <w:rsid w:val="008E075B"/>
    <w:rsid w:val="008E1B21"/>
    <w:rsid w:val="008E1EC6"/>
    <w:rsid w:val="008E514F"/>
    <w:rsid w:val="008E672D"/>
    <w:rsid w:val="008E7D98"/>
    <w:rsid w:val="008F0BC5"/>
    <w:rsid w:val="008F1820"/>
    <w:rsid w:val="008F4BAE"/>
    <w:rsid w:val="008F4F08"/>
    <w:rsid w:val="00900190"/>
    <w:rsid w:val="00900EB6"/>
    <w:rsid w:val="00901BB8"/>
    <w:rsid w:val="0090248F"/>
    <w:rsid w:val="00902942"/>
    <w:rsid w:val="00902F6A"/>
    <w:rsid w:val="009039D9"/>
    <w:rsid w:val="009063AA"/>
    <w:rsid w:val="00906B1C"/>
    <w:rsid w:val="00912ECE"/>
    <w:rsid w:val="0091536C"/>
    <w:rsid w:val="009161AD"/>
    <w:rsid w:val="0091686D"/>
    <w:rsid w:val="009168DB"/>
    <w:rsid w:val="00917EB8"/>
    <w:rsid w:val="009237E8"/>
    <w:rsid w:val="00927E38"/>
    <w:rsid w:val="00935892"/>
    <w:rsid w:val="0093782D"/>
    <w:rsid w:val="00941932"/>
    <w:rsid w:val="00942ACF"/>
    <w:rsid w:val="00943BCC"/>
    <w:rsid w:val="0094411B"/>
    <w:rsid w:val="0094596E"/>
    <w:rsid w:val="00947B47"/>
    <w:rsid w:val="00947F24"/>
    <w:rsid w:val="00951926"/>
    <w:rsid w:val="00955C2B"/>
    <w:rsid w:val="00956997"/>
    <w:rsid w:val="00957087"/>
    <w:rsid w:val="00960B2B"/>
    <w:rsid w:val="009623A8"/>
    <w:rsid w:val="009659A2"/>
    <w:rsid w:val="00970097"/>
    <w:rsid w:val="00972A23"/>
    <w:rsid w:val="00980E7D"/>
    <w:rsid w:val="0098123A"/>
    <w:rsid w:val="009819F4"/>
    <w:rsid w:val="009831E4"/>
    <w:rsid w:val="009832F8"/>
    <w:rsid w:val="00983F30"/>
    <w:rsid w:val="00986B0D"/>
    <w:rsid w:val="00986FDF"/>
    <w:rsid w:val="009908A1"/>
    <w:rsid w:val="00992281"/>
    <w:rsid w:val="00996B2E"/>
    <w:rsid w:val="00997824"/>
    <w:rsid w:val="009A1DB6"/>
    <w:rsid w:val="009A24BD"/>
    <w:rsid w:val="009A2B83"/>
    <w:rsid w:val="009A3A3B"/>
    <w:rsid w:val="009A6C8C"/>
    <w:rsid w:val="009A7235"/>
    <w:rsid w:val="009A7A06"/>
    <w:rsid w:val="009A7A57"/>
    <w:rsid w:val="009A7D21"/>
    <w:rsid w:val="009B0922"/>
    <w:rsid w:val="009B2B80"/>
    <w:rsid w:val="009B7CA2"/>
    <w:rsid w:val="009C0270"/>
    <w:rsid w:val="009C086D"/>
    <w:rsid w:val="009C0B57"/>
    <w:rsid w:val="009C453E"/>
    <w:rsid w:val="009C4D63"/>
    <w:rsid w:val="009C5270"/>
    <w:rsid w:val="009C6109"/>
    <w:rsid w:val="009C6269"/>
    <w:rsid w:val="009C6EA9"/>
    <w:rsid w:val="009D30F1"/>
    <w:rsid w:val="009D4559"/>
    <w:rsid w:val="009D4B17"/>
    <w:rsid w:val="009D6706"/>
    <w:rsid w:val="009D6D12"/>
    <w:rsid w:val="009D7587"/>
    <w:rsid w:val="009D76F1"/>
    <w:rsid w:val="009D772E"/>
    <w:rsid w:val="009E14F9"/>
    <w:rsid w:val="009E289E"/>
    <w:rsid w:val="009E4973"/>
    <w:rsid w:val="009E4A26"/>
    <w:rsid w:val="009E54E0"/>
    <w:rsid w:val="009E590B"/>
    <w:rsid w:val="009E5A2E"/>
    <w:rsid w:val="009E611A"/>
    <w:rsid w:val="009E6915"/>
    <w:rsid w:val="009E6A77"/>
    <w:rsid w:val="009E7B1C"/>
    <w:rsid w:val="009F0794"/>
    <w:rsid w:val="009F09E1"/>
    <w:rsid w:val="009F18B6"/>
    <w:rsid w:val="009F373D"/>
    <w:rsid w:val="009F3DF7"/>
    <w:rsid w:val="009F4FF1"/>
    <w:rsid w:val="009F673D"/>
    <w:rsid w:val="009F7377"/>
    <w:rsid w:val="009F7F3E"/>
    <w:rsid w:val="00A11160"/>
    <w:rsid w:val="00A13857"/>
    <w:rsid w:val="00A1717D"/>
    <w:rsid w:val="00A1769E"/>
    <w:rsid w:val="00A214D1"/>
    <w:rsid w:val="00A2188D"/>
    <w:rsid w:val="00A22602"/>
    <w:rsid w:val="00A229EF"/>
    <w:rsid w:val="00A2369B"/>
    <w:rsid w:val="00A243C4"/>
    <w:rsid w:val="00A252F8"/>
    <w:rsid w:val="00A26CAA"/>
    <w:rsid w:val="00A270CE"/>
    <w:rsid w:val="00A304DB"/>
    <w:rsid w:val="00A32287"/>
    <w:rsid w:val="00A323F7"/>
    <w:rsid w:val="00A32D6F"/>
    <w:rsid w:val="00A360F4"/>
    <w:rsid w:val="00A37353"/>
    <w:rsid w:val="00A41266"/>
    <w:rsid w:val="00A41520"/>
    <w:rsid w:val="00A42A73"/>
    <w:rsid w:val="00A43F32"/>
    <w:rsid w:val="00A46103"/>
    <w:rsid w:val="00A46BBC"/>
    <w:rsid w:val="00A502B9"/>
    <w:rsid w:val="00A514DA"/>
    <w:rsid w:val="00A5351E"/>
    <w:rsid w:val="00A54324"/>
    <w:rsid w:val="00A55225"/>
    <w:rsid w:val="00A563FD"/>
    <w:rsid w:val="00A56A25"/>
    <w:rsid w:val="00A5788F"/>
    <w:rsid w:val="00A57D3A"/>
    <w:rsid w:val="00A613B1"/>
    <w:rsid w:val="00A61FEA"/>
    <w:rsid w:val="00A62E06"/>
    <w:rsid w:val="00A63757"/>
    <w:rsid w:val="00A63980"/>
    <w:rsid w:val="00A63F63"/>
    <w:rsid w:val="00A64615"/>
    <w:rsid w:val="00A64F4E"/>
    <w:rsid w:val="00A652BE"/>
    <w:rsid w:val="00A66AEB"/>
    <w:rsid w:val="00A67D4B"/>
    <w:rsid w:val="00A701B9"/>
    <w:rsid w:val="00A72438"/>
    <w:rsid w:val="00A74341"/>
    <w:rsid w:val="00A7570B"/>
    <w:rsid w:val="00A77F9E"/>
    <w:rsid w:val="00A81EB5"/>
    <w:rsid w:val="00A84A9D"/>
    <w:rsid w:val="00A86DC2"/>
    <w:rsid w:val="00A9060D"/>
    <w:rsid w:val="00A906EA"/>
    <w:rsid w:val="00A92AD3"/>
    <w:rsid w:val="00A94001"/>
    <w:rsid w:val="00A941B2"/>
    <w:rsid w:val="00A945AA"/>
    <w:rsid w:val="00A95CA2"/>
    <w:rsid w:val="00A97F38"/>
    <w:rsid w:val="00AA1685"/>
    <w:rsid w:val="00AA373D"/>
    <w:rsid w:val="00AA4749"/>
    <w:rsid w:val="00AA56D9"/>
    <w:rsid w:val="00AA7C70"/>
    <w:rsid w:val="00AA7E16"/>
    <w:rsid w:val="00AA7E17"/>
    <w:rsid w:val="00AB04AA"/>
    <w:rsid w:val="00AB0A99"/>
    <w:rsid w:val="00AB4B0E"/>
    <w:rsid w:val="00AB6149"/>
    <w:rsid w:val="00AB70CA"/>
    <w:rsid w:val="00AB7CE1"/>
    <w:rsid w:val="00AC29AE"/>
    <w:rsid w:val="00AC2E52"/>
    <w:rsid w:val="00AC45CA"/>
    <w:rsid w:val="00AC6B01"/>
    <w:rsid w:val="00AD03AC"/>
    <w:rsid w:val="00AD20B1"/>
    <w:rsid w:val="00AD2BA7"/>
    <w:rsid w:val="00AD37E5"/>
    <w:rsid w:val="00AD3E72"/>
    <w:rsid w:val="00AD4109"/>
    <w:rsid w:val="00AD4224"/>
    <w:rsid w:val="00AE03A8"/>
    <w:rsid w:val="00AE3DBA"/>
    <w:rsid w:val="00AE4C02"/>
    <w:rsid w:val="00AE4C65"/>
    <w:rsid w:val="00AE54FE"/>
    <w:rsid w:val="00AE62F6"/>
    <w:rsid w:val="00AE72A7"/>
    <w:rsid w:val="00AE76F8"/>
    <w:rsid w:val="00AE7CC9"/>
    <w:rsid w:val="00AE7F2D"/>
    <w:rsid w:val="00AF205F"/>
    <w:rsid w:val="00AF2652"/>
    <w:rsid w:val="00B007FF"/>
    <w:rsid w:val="00B00B95"/>
    <w:rsid w:val="00B05B7C"/>
    <w:rsid w:val="00B06752"/>
    <w:rsid w:val="00B069B9"/>
    <w:rsid w:val="00B10CA6"/>
    <w:rsid w:val="00B157E8"/>
    <w:rsid w:val="00B15E55"/>
    <w:rsid w:val="00B16238"/>
    <w:rsid w:val="00B1661B"/>
    <w:rsid w:val="00B16781"/>
    <w:rsid w:val="00B17D41"/>
    <w:rsid w:val="00B21628"/>
    <w:rsid w:val="00B22689"/>
    <w:rsid w:val="00B227E1"/>
    <w:rsid w:val="00B242B7"/>
    <w:rsid w:val="00B2558A"/>
    <w:rsid w:val="00B255A6"/>
    <w:rsid w:val="00B268AC"/>
    <w:rsid w:val="00B268B3"/>
    <w:rsid w:val="00B26C44"/>
    <w:rsid w:val="00B27B75"/>
    <w:rsid w:val="00B3224B"/>
    <w:rsid w:val="00B3268D"/>
    <w:rsid w:val="00B333D2"/>
    <w:rsid w:val="00B36CC0"/>
    <w:rsid w:val="00B37129"/>
    <w:rsid w:val="00B377A8"/>
    <w:rsid w:val="00B4017D"/>
    <w:rsid w:val="00B43419"/>
    <w:rsid w:val="00B44F76"/>
    <w:rsid w:val="00B45767"/>
    <w:rsid w:val="00B46C8B"/>
    <w:rsid w:val="00B51773"/>
    <w:rsid w:val="00B51ADE"/>
    <w:rsid w:val="00B53FC8"/>
    <w:rsid w:val="00B53FE6"/>
    <w:rsid w:val="00B54BCE"/>
    <w:rsid w:val="00B57E8F"/>
    <w:rsid w:val="00B6383C"/>
    <w:rsid w:val="00B63D77"/>
    <w:rsid w:val="00B6400A"/>
    <w:rsid w:val="00B64533"/>
    <w:rsid w:val="00B64C37"/>
    <w:rsid w:val="00B665DC"/>
    <w:rsid w:val="00B66750"/>
    <w:rsid w:val="00B67536"/>
    <w:rsid w:val="00B705B0"/>
    <w:rsid w:val="00B70BF5"/>
    <w:rsid w:val="00B71558"/>
    <w:rsid w:val="00B740A1"/>
    <w:rsid w:val="00B7441B"/>
    <w:rsid w:val="00B752DF"/>
    <w:rsid w:val="00B75595"/>
    <w:rsid w:val="00B76D95"/>
    <w:rsid w:val="00B80A0C"/>
    <w:rsid w:val="00B822B3"/>
    <w:rsid w:val="00B83C14"/>
    <w:rsid w:val="00B83C35"/>
    <w:rsid w:val="00B91803"/>
    <w:rsid w:val="00B935D7"/>
    <w:rsid w:val="00B94DE6"/>
    <w:rsid w:val="00B970FF"/>
    <w:rsid w:val="00B97206"/>
    <w:rsid w:val="00B975A9"/>
    <w:rsid w:val="00BA19E7"/>
    <w:rsid w:val="00BA2F67"/>
    <w:rsid w:val="00BA3B0E"/>
    <w:rsid w:val="00BA473D"/>
    <w:rsid w:val="00BA7BC8"/>
    <w:rsid w:val="00BB1D25"/>
    <w:rsid w:val="00BB30D5"/>
    <w:rsid w:val="00BB3901"/>
    <w:rsid w:val="00BC0770"/>
    <w:rsid w:val="00BC1AFF"/>
    <w:rsid w:val="00BC3AD4"/>
    <w:rsid w:val="00BC47A5"/>
    <w:rsid w:val="00BC4898"/>
    <w:rsid w:val="00BC5702"/>
    <w:rsid w:val="00BC6BCC"/>
    <w:rsid w:val="00BC78F7"/>
    <w:rsid w:val="00BD3EB5"/>
    <w:rsid w:val="00BD5AB0"/>
    <w:rsid w:val="00BE1B19"/>
    <w:rsid w:val="00BE2035"/>
    <w:rsid w:val="00BE3A47"/>
    <w:rsid w:val="00BE4093"/>
    <w:rsid w:val="00BE5A28"/>
    <w:rsid w:val="00BE7553"/>
    <w:rsid w:val="00BF1860"/>
    <w:rsid w:val="00BF41A9"/>
    <w:rsid w:val="00BF5D88"/>
    <w:rsid w:val="00BF71A3"/>
    <w:rsid w:val="00C015D3"/>
    <w:rsid w:val="00C03A3C"/>
    <w:rsid w:val="00C04D0A"/>
    <w:rsid w:val="00C0761A"/>
    <w:rsid w:val="00C10304"/>
    <w:rsid w:val="00C11E2B"/>
    <w:rsid w:val="00C13AD8"/>
    <w:rsid w:val="00C174E8"/>
    <w:rsid w:val="00C200D9"/>
    <w:rsid w:val="00C21BD5"/>
    <w:rsid w:val="00C24336"/>
    <w:rsid w:val="00C25055"/>
    <w:rsid w:val="00C26B0D"/>
    <w:rsid w:val="00C306A2"/>
    <w:rsid w:val="00C332BC"/>
    <w:rsid w:val="00C342F7"/>
    <w:rsid w:val="00C36B99"/>
    <w:rsid w:val="00C37143"/>
    <w:rsid w:val="00C377D7"/>
    <w:rsid w:val="00C42FEF"/>
    <w:rsid w:val="00C51B80"/>
    <w:rsid w:val="00C524BB"/>
    <w:rsid w:val="00C5357E"/>
    <w:rsid w:val="00C53C77"/>
    <w:rsid w:val="00C54108"/>
    <w:rsid w:val="00C55329"/>
    <w:rsid w:val="00C60156"/>
    <w:rsid w:val="00C60E60"/>
    <w:rsid w:val="00C62244"/>
    <w:rsid w:val="00C63E9F"/>
    <w:rsid w:val="00C65224"/>
    <w:rsid w:val="00C73442"/>
    <w:rsid w:val="00C74091"/>
    <w:rsid w:val="00C76300"/>
    <w:rsid w:val="00C763FB"/>
    <w:rsid w:val="00C77D66"/>
    <w:rsid w:val="00C80B08"/>
    <w:rsid w:val="00C82A73"/>
    <w:rsid w:val="00C8586F"/>
    <w:rsid w:val="00C85A55"/>
    <w:rsid w:val="00C90BA2"/>
    <w:rsid w:val="00C90ED6"/>
    <w:rsid w:val="00C9111F"/>
    <w:rsid w:val="00C93E27"/>
    <w:rsid w:val="00C94769"/>
    <w:rsid w:val="00C95036"/>
    <w:rsid w:val="00C96042"/>
    <w:rsid w:val="00C969AA"/>
    <w:rsid w:val="00C96EA8"/>
    <w:rsid w:val="00C9766D"/>
    <w:rsid w:val="00CA10E6"/>
    <w:rsid w:val="00CA1680"/>
    <w:rsid w:val="00CA23F7"/>
    <w:rsid w:val="00CA27B2"/>
    <w:rsid w:val="00CA4042"/>
    <w:rsid w:val="00CA53C5"/>
    <w:rsid w:val="00CA662B"/>
    <w:rsid w:val="00CB0971"/>
    <w:rsid w:val="00CB09D0"/>
    <w:rsid w:val="00CB1857"/>
    <w:rsid w:val="00CB1FF1"/>
    <w:rsid w:val="00CB20FD"/>
    <w:rsid w:val="00CB4207"/>
    <w:rsid w:val="00CB48F5"/>
    <w:rsid w:val="00CB67A4"/>
    <w:rsid w:val="00CB6D8B"/>
    <w:rsid w:val="00CC0D24"/>
    <w:rsid w:val="00CC301C"/>
    <w:rsid w:val="00CC4231"/>
    <w:rsid w:val="00CC460B"/>
    <w:rsid w:val="00CD1588"/>
    <w:rsid w:val="00CD39CB"/>
    <w:rsid w:val="00CD6482"/>
    <w:rsid w:val="00CD6E62"/>
    <w:rsid w:val="00CD7261"/>
    <w:rsid w:val="00CE2AEB"/>
    <w:rsid w:val="00CE2FE3"/>
    <w:rsid w:val="00CE450C"/>
    <w:rsid w:val="00CE45D7"/>
    <w:rsid w:val="00CE4649"/>
    <w:rsid w:val="00CE4953"/>
    <w:rsid w:val="00CE656C"/>
    <w:rsid w:val="00CF3B1D"/>
    <w:rsid w:val="00CF5531"/>
    <w:rsid w:val="00CF70FD"/>
    <w:rsid w:val="00CF7F44"/>
    <w:rsid w:val="00D035B7"/>
    <w:rsid w:val="00D0741E"/>
    <w:rsid w:val="00D14B3A"/>
    <w:rsid w:val="00D14EA1"/>
    <w:rsid w:val="00D16C33"/>
    <w:rsid w:val="00D17ECC"/>
    <w:rsid w:val="00D20F09"/>
    <w:rsid w:val="00D222C7"/>
    <w:rsid w:val="00D24F6C"/>
    <w:rsid w:val="00D2693D"/>
    <w:rsid w:val="00D35EB4"/>
    <w:rsid w:val="00D36947"/>
    <w:rsid w:val="00D4079E"/>
    <w:rsid w:val="00D40921"/>
    <w:rsid w:val="00D42016"/>
    <w:rsid w:val="00D423DB"/>
    <w:rsid w:val="00D42E77"/>
    <w:rsid w:val="00D43527"/>
    <w:rsid w:val="00D45B60"/>
    <w:rsid w:val="00D45F95"/>
    <w:rsid w:val="00D462CA"/>
    <w:rsid w:val="00D52043"/>
    <w:rsid w:val="00D642FA"/>
    <w:rsid w:val="00D649E8"/>
    <w:rsid w:val="00D65A54"/>
    <w:rsid w:val="00D67620"/>
    <w:rsid w:val="00D7380A"/>
    <w:rsid w:val="00D74C14"/>
    <w:rsid w:val="00D755FB"/>
    <w:rsid w:val="00D76CD3"/>
    <w:rsid w:val="00D76D4B"/>
    <w:rsid w:val="00D77B4E"/>
    <w:rsid w:val="00D803E2"/>
    <w:rsid w:val="00D845B3"/>
    <w:rsid w:val="00D8569B"/>
    <w:rsid w:val="00D85A98"/>
    <w:rsid w:val="00D87C69"/>
    <w:rsid w:val="00D9001A"/>
    <w:rsid w:val="00D90E8D"/>
    <w:rsid w:val="00D92947"/>
    <w:rsid w:val="00DA3CB6"/>
    <w:rsid w:val="00DA5EC5"/>
    <w:rsid w:val="00DA751F"/>
    <w:rsid w:val="00DB19F7"/>
    <w:rsid w:val="00DB2269"/>
    <w:rsid w:val="00DB2B90"/>
    <w:rsid w:val="00DB2C75"/>
    <w:rsid w:val="00DB574A"/>
    <w:rsid w:val="00DB7E85"/>
    <w:rsid w:val="00DC03E9"/>
    <w:rsid w:val="00DC1459"/>
    <w:rsid w:val="00DC33AF"/>
    <w:rsid w:val="00DD044E"/>
    <w:rsid w:val="00DD1B86"/>
    <w:rsid w:val="00DD3B45"/>
    <w:rsid w:val="00DD4A02"/>
    <w:rsid w:val="00DD5145"/>
    <w:rsid w:val="00DD6032"/>
    <w:rsid w:val="00DD6EDC"/>
    <w:rsid w:val="00DD743A"/>
    <w:rsid w:val="00DE326A"/>
    <w:rsid w:val="00DE36E3"/>
    <w:rsid w:val="00DE4C21"/>
    <w:rsid w:val="00DF3932"/>
    <w:rsid w:val="00DF3DAF"/>
    <w:rsid w:val="00DF403D"/>
    <w:rsid w:val="00DF526C"/>
    <w:rsid w:val="00DF5657"/>
    <w:rsid w:val="00DF56D2"/>
    <w:rsid w:val="00DF58C0"/>
    <w:rsid w:val="00DF6C93"/>
    <w:rsid w:val="00DF7C34"/>
    <w:rsid w:val="00E00009"/>
    <w:rsid w:val="00E049FB"/>
    <w:rsid w:val="00E05E6B"/>
    <w:rsid w:val="00E06D01"/>
    <w:rsid w:val="00E06F16"/>
    <w:rsid w:val="00E07C53"/>
    <w:rsid w:val="00E10452"/>
    <w:rsid w:val="00E10E3F"/>
    <w:rsid w:val="00E10E54"/>
    <w:rsid w:val="00E11853"/>
    <w:rsid w:val="00E11A17"/>
    <w:rsid w:val="00E11DC7"/>
    <w:rsid w:val="00E12756"/>
    <w:rsid w:val="00E12BAB"/>
    <w:rsid w:val="00E1645C"/>
    <w:rsid w:val="00E20430"/>
    <w:rsid w:val="00E21C63"/>
    <w:rsid w:val="00E248A7"/>
    <w:rsid w:val="00E310B1"/>
    <w:rsid w:val="00E32BD2"/>
    <w:rsid w:val="00E33B8C"/>
    <w:rsid w:val="00E355FA"/>
    <w:rsid w:val="00E367BE"/>
    <w:rsid w:val="00E37A46"/>
    <w:rsid w:val="00E40FA3"/>
    <w:rsid w:val="00E41E9C"/>
    <w:rsid w:val="00E43889"/>
    <w:rsid w:val="00E43F21"/>
    <w:rsid w:val="00E51CEB"/>
    <w:rsid w:val="00E5334E"/>
    <w:rsid w:val="00E53D3C"/>
    <w:rsid w:val="00E546E4"/>
    <w:rsid w:val="00E54B1B"/>
    <w:rsid w:val="00E55E3E"/>
    <w:rsid w:val="00E56DC3"/>
    <w:rsid w:val="00E57626"/>
    <w:rsid w:val="00E57768"/>
    <w:rsid w:val="00E601A5"/>
    <w:rsid w:val="00E607D0"/>
    <w:rsid w:val="00E62B46"/>
    <w:rsid w:val="00E7121C"/>
    <w:rsid w:val="00E724E2"/>
    <w:rsid w:val="00E767B1"/>
    <w:rsid w:val="00E80561"/>
    <w:rsid w:val="00E80806"/>
    <w:rsid w:val="00E80E3F"/>
    <w:rsid w:val="00E82962"/>
    <w:rsid w:val="00E8561F"/>
    <w:rsid w:val="00E90009"/>
    <w:rsid w:val="00E91D53"/>
    <w:rsid w:val="00E93003"/>
    <w:rsid w:val="00E95B96"/>
    <w:rsid w:val="00E965B4"/>
    <w:rsid w:val="00EA1D0E"/>
    <w:rsid w:val="00EA2040"/>
    <w:rsid w:val="00EA28D2"/>
    <w:rsid w:val="00EA3831"/>
    <w:rsid w:val="00EA3DDC"/>
    <w:rsid w:val="00EA4A6C"/>
    <w:rsid w:val="00EA4FA3"/>
    <w:rsid w:val="00EA5739"/>
    <w:rsid w:val="00EA79DC"/>
    <w:rsid w:val="00EB1A81"/>
    <w:rsid w:val="00EB2C39"/>
    <w:rsid w:val="00EB2DC1"/>
    <w:rsid w:val="00EB32AE"/>
    <w:rsid w:val="00EB3430"/>
    <w:rsid w:val="00EB5E00"/>
    <w:rsid w:val="00EB5FF4"/>
    <w:rsid w:val="00EB6BC5"/>
    <w:rsid w:val="00EB7300"/>
    <w:rsid w:val="00EC0D8E"/>
    <w:rsid w:val="00EC106E"/>
    <w:rsid w:val="00EC3F0A"/>
    <w:rsid w:val="00EC3F47"/>
    <w:rsid w:val="00EC5527"/>
    <w:rsid w:val="00EC6C18"/>
    <w:rsid w:val="00ED1657"/>
    <w:rsid w:val="00ED1A36"/>
    <w:rsid w:val="00ED1A49"/>
    <w:rsid w:val="00ED30BD"/>
    <w:rsid w:val="00ED4AF3"/>
    <w:rsid w:val="00ED6398"/>
    <w:rsid w:val="00ED64B1"/>
    <w:rsid w:val="00ED6C10"/>
    <w:rsid w:val="00ED765D"/>
    <w:rsid w:val="00EE28C1"/>
    <w:rsid w:val="00EE365B"/>
    <w:rsid w:val="00EF0A3A"/>
    <w:rsid w:val="00EF129C"/>
    <w:rsid w:val="00EF3A7F"/>
    <w:rsid w:val="00EF4877"/>
    <w:rsid w:val="00EF5788"/>
    <w:rsid w:val="00EF6071"/>
    <w:rsid w:val="00EF6C8B"/>
    <w:rsid w:val="00F012F7"/>
    <w:rsid w:val="00F02048"/>
    <w:rsid w:val="00F062A3"/>
    <w:rsid w:val="00F1031B"/>
    <w:rsid w:val="00F1392D"/>
    <w:rsid w:val="00F13BC6"/>
    <w:rsid w:val="00F17D46"/>
    <w:rsid w:val="00F17F1F"/>
    <w:rsid w:val="00F20FCC"/>
    <w:rsid w:val="00F23E09"/>
    <w:rsid w:val="00F240DC"/>
    <w:rsid w:val="00F24678"/>
    <w:rsid w:val="00F300A2"/>
    <w:rsid w:val="00F31A81"/>
    <w:rsid w:val="00F342CE"/>
    <w:rsid w:val="00F40298"/>
    <w:rsid w:val="00F411FA"/>
    <w:rsid w:val="00F42623"/>
    <w:rsid w:val="00F45917"/>
    <w:rsid w:val="00F46014"/>
    <w:rsid w:val="00F47098"/>
    <w:rsid w:val="00F5012D"/>
    <w:rsid w:val="00F501AF"/>
    <w:rsid w:val="00F510C2"/>
    <w:rsid w:val="00F515F8"/>
    <w:rsid w:val="00F51F65"/>
    <w:rsid w:val="00F52415"/>
    <w:rsid w:val="00F52433"/>
    <w:rsid w:val="00F52963"/>
    <w:rsid w:val="00F53486"/>
    <w:rsid w:val="00F534F5"/>
    <w:rsid w:val="00F53E8C"/>
    <w:rsid w:val="00F54354"/>
    <w:rsid w:val="00F551FD"/>
    <w:rsid w:val="00F55285"/>
    <w:rsid w:val="00F5796C"/>
    <w:rsid w:val="00F57D31"/>
    <w:rsid w:val="00F6120D"/>
    <w:rsid w:val="00F66D93"/>
    <w:rsid w:val="00F66DFD"/>
    <w:rsid w:val="00F701EB"/>
    <w:rsid w:val="00F724FF"/>
    <w:rsid w:val="00F76F2B"/>
    <w:rsid w:val="00F77EF2"/>
    <w:rsid w:val="00F8011E"/>
    <w:rsid w:val="00F80EC1"/>
    <w:rsid w:val="00F83318"/>
    <w:rsid w:val="00F83C59"/>
    <w:rsid w:val="00F842FE"/>
    <w:rsid w:val="00F84330"/>
    <w:rsid w:val="00F84AB6"/>
    <w:rsid w:val="00F857D6"/>
    <w:rsid w:val="00F86995"/>
    <w:rsid w:val="00F90D8D"/>
    <w:rsid w:val="00F91748"/>
    <w:rsid w:val="00F9550D"/>
    <w:rsid w:val="00F96F55"/>
    <w:rsid w:val="00FA222E"/>
    <w:rsid w:val="00FA24F9"/>
    <w:rsid w:val="00FA2A52"/>
    <w:rsid w:val="00FA4FCC"/>
    <w:rsid w:val="00FA56BB"/>
    <w:rsid w:val="00FA5CA1"/>
    <w:rsid w:val="00FA6455"/>
    <w:rsid w:val="00FA68B5"/>
    <w:rsid w:val="00FA7686"/>
    <w:rsid w:val="00FA7A8F"/>
    <w:rsid w:val="00FB2E56"/>
    <w:rsid w:val="00FB368A"/>
    <w:rsid w:val="00FB3FEB"/>
    <w:rsid w:val="00FB40FB"/>
    <w:rsid w:val="00FB770F"/>
    <w:rsid w:val="00FC050D"/>
    <w:rsid w:val="00FC275D"/>
    <w:rsid w:val="00FC3183"/>
    <w:rsid w:val="00FC3B1B"/>
    <w:rsid w:val="00FC4FCC"/>
    <w:rsid w:val="00FC6081"/>
    <w:rsid w:val="00FC70B8"/>
    <w:rsid w:val="00FC754F"/>
    <w:rsid w:val="00FD15FE"/>
    <w:rsid w:val="00FD1824"/>
    <w:rsid w:val="00FD5ED2"/>
    <w:rsid w:val="00FE02E2"/>
    <w:rsid w:val="00FE0EED"/>
    <w:rsid w:val="00FF1425"/>
    <w:rsid w:val="00FF2851"/>
    <w:rsid w:val="00FF5CA4"/>
    <w:rsid w:val="00FF6512"/>
    <w:rsid w:val="00FF7E47"/>
    <w:rsid w:val="0149BDBB"/>
    <w:rsid w:val="02B70192"/>
    <w:rsid w:val="0551F102"/>
    <w:rsid w:val="0E101B0B"/>
    <w:rsid w:val="1B7D0C99"/>
    <w:rsid w:val="1C82F3C9"/>
    <w:rsid w:val="33D496D2"/>
    <w:rsid w:val="50BE3313"/>
    <w:rsid w:val="596CD470"/>
    <w:rsid w:val="6A5C5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46EFCA"/>
  <w15:chartTrackingRefBased/>
  <w15:docId w15:val="{338685BA-E4D4-4A8B-85EB-D7D8CF58A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caption" w:semiHidden="1" w:unhideWhenUsed="1" w:qFormat="1"/>
    <w:lsdException w:name="Title" w:qFormat="1"/>
    <w:lsdException w:name="Subtitle" w:qFormat="1"/>
    <w:lsdException w:name="Body Text 2" w:uiPriority="99"/>
    <w:lsdException w:name="Body Text Indent 2"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3486"/>
    <w:pPr>
      <w:widowControl w:val="0"/>
      <w:autoSpaceDE w:val="0"/>
      <w:autoSpaceDN w:val="0"/>
      <w:adjustRightInd w:val="0"/>
    </w:pPr>
    <w:rPr>
      <w:sz w:val="24"/>
      <w:szCs w:val="24"/>
    </w:rPr>
  </w:style>
  <w:style w:type="paragraph" w:styleId="Heading2">
    <w:name w:val="heading 2"/>
    <w:basedOn w:val="Normal"/>
    <w:qFormat/>
    <w:rsid w:val="004B05F7"/>
    <w:pPr>
      <w:widowControl/>
      <w:autoSpaceDE/>
      <w:autoSpaceDN/>
      <w:adjustRightInd/>
      <w:spacing w:before="100" w:beforeAutospacing="1" w:after="100" w:afterAutospacing="1"/>
      <w:outlineLvl w:val="1"/>
    </w:pPr>
    <w:rPr>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487256"/>
    <w:rPr>
      <w:rFonts w:ascii="Times New Roman" w:hAnsi="Times New Roman"/>
      <w:b/>
      <w:sz w:val="26"/>
      <w:szCs w:val="26"/>
      <w:vertAlign w:val="superscript"/>
    </w:rPr>
  </w:style>
  <w:style w:type="paragraph" w:styleId="FootnoteText">
    <w:name w:val="footnote text"/>
    <w:aliases w:val="Footnote Text Char,fn,Footnote Text Char1,Footnote Text Char Char,Footnote Text Char1 Char,Footnote Text Char Char Char, Char,Footnote Text Char Char1,Char,Footnote Text Char1 Char Char Char1,Footnote Text Char Char Char Char Char1,ft,fn1"/>
    <w:basedOn w:val="Normal"/>
    <w:link w:val="FootnoteTextChar2"/>
    <w:qFormat/>
    <w:rsid w:val="00487256"/>
    <w:pPr>
      <w:spacing w:after="260"/>
      <w:ind w:firstLine="720"/>
    </w:pPr>
    <w:rPr>
      <w:szCs w:val="20"/>
    </w:rPr>
  </w:style>
  <w:style w:type="paragraph" w:styleId="Footer">
    <w:name w:val="footer"/>
    <w:basedOn w:val="Normal"/>
    <w:rsid w:val="00F53486"/>
    <w:pPr>
      <w:tabs>
        <w:tab w:val="center" w:pos="4320"/>
        <w:tab w:val="right" w:pos="8640"/>
      </w:tabs>
    </w:pPr>
  </w:style>
  <w:style w:type="character" w:styleId="PageNumber">
    <w:name w:val="page number"/>
    <w:basedOn w:val="DefaultParagraphFont"/>
    <w:rsid w:val="00F53486"/>
  </w:style>
  <w:style w:type="table" w:styleId="TableGrid">
    <w:name w:val="Table Grid"/>
    <w:basedOn w:val="TableNormal"/>
    <w:rsid w:val="00F5348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rmat">
    <w:name w:val="Legal Format"/>
    <w:basedOn w:val="ListContinue"/>
    <w:autoRedefine/>
    <w:rsid w:val="00E56DC3"/>
    <w:pPr>
      <w:widowControl/>
      <w:tabs>
        <w:tab w:val="num" w:pos="0"/>
      </w:tabs>
      <w:autoSpaceDE/>
      <w:autoSpaceDN/>
      <w:adjustRightInd/>
      <w:spacing w:after="0"/>
      <w:ind w:left="0" w:firstLine="360"/>
    </w:pPr>
    <w:rPr>
      <w:sz w:val="26"/>
      <w:szCs w:val="26"/>
    </w:rPr>
  </w:style>
  <w:style w:type="paragraph" w:styleId="ListContinue">
    <w:name w:val="List Continue"/>
    <w:basedOn w:val="Normal"/>
    <w:rsid w:val="00F53486"/>
    <w:pPr>
      <w:spacing w:after="120"/>
      <w:ind w:left="360"/>
    </w:pPr>
  </w:style>
  <w:style w:type="character" w:styleId="Hyperlink">
    <w:name w:val="Hyperlink"/>
    <w:rsid w:val="004B05F7"/>
    <w:rPr>
      <w:strike w:val="0"/>
      <w:dstrike w:val="0"/>
      <w:color w:val="000080"/>
      <w:u w:val="none"/>
      <w:effect w:val="none"/>
    </w:rPr>
  </w:style>
  <w:style w:type="character" w:styleId="Emphasis">
    <w:name w:val="Emphasis"/>
    <w:qFormat/>
    <w:rsid w:val="004B05F7"/>
    <w:rPr>
      <w:i/>
      <w:iCs/>
    </w:rPr>
  </w:style>
  <w:style w:type="paragraph" w:styleId="NormalWeb">
    <w:name w:val="Normal (Web)"/>
    <w:basedOn w:val="Normal"/>
    <w:rsid w:val="004B05F7"/>
    <w:pPr>
      <w:widowControl/>
      <w:autoSpaceDE/>
      <w:autoSpaceDN/>
      <w:adjustRightInd/>
      <w:spacing w:before="100" w:beforeAutospacing="1" w:after="100" w:afterAutospacing="1"/>
    </w:pPr>
  </w:style>
  <w:style w:type="character" w:customStyle="1" w:styleId="srchlead">
    <w:name w:val="srchlead"/>
    <w:rsid w:val="004B05F7"/>
    <w:rPr>
      <w:b w:val="0"/>
      <w:bCs w:val="0"/>
      <w:i/>
      <w:iCs/>
    </w:rPr>
  </w:style>
  <w:style w:type="character" w:customStyle="1" w:styleId="searchbox">
    <w:name w:val="searchbox"/>
    <w:rsid w:val="004B05F7"/>
    <w:rPr>
      <w:b w:val="0"/>
      <w:bCs w:val="0"/>
    </w:rPr>
  </w:style>
  <w:style w:type="paragraph" w:styleId="z-TopofForm">
    <w:name w:val="HTML Top of Form"/>
    <w:basedOn w:val="Normal"/>
    <w:next w:val="Normal"/>
    <w:hidden/>
    <w:rsid w:val="004B05F7"/>
    <w:pPr>
      <w:widowControl/>
      <w:pBdr>
        <w:bottom w:val="single" w:sz="6" w:space="1" w:color="auto"/>
      </w:pBdr>
      <w:autoSpaceDE/>
      <w:autoSpaceDN/>
      <w:adjustRightInd/>
      <w:jc w:val="center"/>
    </w:pPr>
    <w:rPr>
      <w:rFonts w:ascii="Arial" w:hAnsi="Arial" w:cs="Arial"/>
      <w:vanish/>
      <w:sz w:val="16"/>
      <w:szCs w:val="16"/>
    </w:rPr>
  </w:style>
  <w:style w:type="paragraph" w:styleId="z-BottomofForm">
    <w:name w:val="HTML Bottom of Form"/>
    <w:basedOn w:val="Normal"/>
    <w:next w:val="Normal"/>
    <w:hidden/>
    <w:rsid w:val="004B05F7"/>
    <w:pPr>
      <w:widowControl/>
      <w:pBdr>
        <w:top w:val="single" w:sz="6" w:space="1" w:color="auto"/>
      </w:pBdr>
      <w:autoSpaceDE/>
      <w:autoSpaceDN/>
      <w:adjustRightInd/>
      <w:jc w:val="center"/>
    </w:pPr>
    <w:rPr>
      <w:rFonts w:ascii="Arial" w:hAnsi="Arial" w:cs="Arial"/>
      <w:vanish/>
      <w:sz w:val="16"/>
      <w:szCs w:val="16"/>
    </w:rPr>
  </w:style>
  <w:style w:type="character" w:customStyle="1" w:styleId="topicref">
    <w:name w:val="topicref"/>
    <w:rsid w:val="004B05F7"/>
    <w:rPr>
      <w:b w:val="0"/>
      <w:bCs w:val="0"/>
    </w:rPr>
  </w:style>
  <w:style w:type="character" w:customStyle="1" w:styleId="ptext-1">
    <w:name w:val="ptext-1"/>
    <w:rsid w:val="004B05F7"/>
    <w:rPr>
      <w:b w:val="0"/>
      <w:bCs w:val="0"/>
    </w:rPr>
  </w:style>
  <w:style w:type="character" w:customStyle="1" w:styleId="ptext-2">
    <w:name w:val="ptext-2"/>
    <w:rsid w:val="004B05F7"/>
    <w:rPr>
      <w:b w:val="0"/>
      <w:bCs w:val="0"/>
    </w:rPr>
  </w:style>
  <w:style w:type="character" w:customStyle="1" w:styleId="ptext-3">
    <w:name w:val="ptext-3"/>
    <w:rsid w:val="004B05F7"/>
    <w:rPr>
      <w:b w:val="0"/>
      <w:bCs w:val="0"/>
    </w:rPr>
  </w:style>
  <w:style w:type="character" w:customStyle="1" w:styleId="ptext-4">
    <w:name w:val="ptext-4"/>
    <w:rsid w:val="004B05F7"/>
    <w:rPr>
      <w:b w:val="0"/>
      <w:bCs w:val="0"/>
    </w:rPr>
  </w:style>
  <w:style w:type="character" w:customStyle="1" w:styleId="enumbell">
    <w:name w:val="enumbell"/>
    <w:rsid w:val="004B05F7"/>
    <w:rPr>
      <w:b/>
      <w:bCs/>
    </w:rPr>
  </w:style>
  <w:style w:type="character" w:customStyle="1" w:styleId="enumlstr">
    <w:name w:val="enumlstr"/>
    <w:rsid w:val="004B05F7"/>
    <w:rPr>
      <w:b/>
      <w:bCs/>
      <w:color w:val="000066"/>
    </w:rPr>
  </w:style>
  <w:style w:type="character" w:customStyle="1" w:styleId="ptext-5">
    <w:name w:val="ptext-5"/>
    <w:rsid w:val="004B05F7"/>
    <w:rPr>
      <w:b w:val="0"/>
      <w:bCs w:val="0"/>
    </w:rPr>
  </w:style>
  <w:style w:type="paragraph" w:styleId="HTMLPreformatted">
    <w:name w:val="HTML Preformatted"/>
    <w:basedOn w:val="Normal"/>
    <w:rsid w:val="004B0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ypertext">
    <w:name w:val="Hypertext"/>
    <w:rsid w:val="004B05F7"/>
    <w:rPr>
      <w:color w:val="0000FF"/>
      <w:u w:val="single"/>
    </w:rPr>
  </w:style>
  <w:style w:type="paragraph" w:styleId="Header">
    <w:name w:val="header"/>
    <w:basedOn w:val="Normal"/>
    <w:rsid w:val="004B05F7"/>
    <w:pPr>
      <w:tabs>
        <w:tab w:val="center" w:pos="4320"/>
        <w:tab w:val="right" w:pos="8640"/>
      </w:tabs>
    </w:pPr>
  </w:style>
  <w:style w:type="paragraph" w:customStyle="1" w:styleId="BodyFootnote">
    <w:name w:val="Body Footnote"/>
    <w:basedOn w:val="FootnoteText"/>
    <w:autoRedefine/>
    <w:rsid w:val="004B05F7"/>
    <w:pPr>
      <w:spacing w:after="0"/>
    </w:pPr>
    <w:rPr>
      <w:sz w:val="26"/>
      <w:szCs w:val="26"/>
    </w:rPr>
  </w:style>
  <w:style w:type="character" w:customStyle="1" w:styleId="Hyperlink6">
    <w:name w:val="Hyperlink6"/>
    <w:rsid w:val="004B05F7"/>
    <w:rPr>
      <w:color w:val="3300CC"/>
      <w:u w:val="single"/>
    </w:rPr>
  </w:style>
  <w:style w:type="character" w:customStyle="1" w:styleId="msoins0">
    <w:name w:val="msoins"/>
    <w:rsid w:val="004B05F7"/>
    <w:rPr>
      <w:color w:val="000080"/>
      <w:u w:val="single"/>
    </w:rPr>
  </w:style>
  <w:style w:type="paragraph" w:customStyle="1" w:styleId="FERCparanumberChar">
    <w:name w:val="FERC paranumber Char"/>
    <w:basedOn w:val="Normal"/>
    <w:rsid w:val="004B05F7"/>
    <w:pPr>
      <w:tabs>
        <w:tab w:val="num" w:pos="720"/>
      </w:tabs>
      <w:spacing w:after="240"/>
    </w:pPr>
    <w:rPr>
      <w:sz w:val="26"/>
      <w:szCs w:val="26"/>
    </w:rPr>
  </w:style>
  <w:style w:type="character" w:customStyle="1" w:styleId="FootnoteTextCharChar1Char">
    <w:name w:val="Footnote Text Char Char1 Char"/>
    <w:aliases w:val="Footnote Text Char Char2,fn Char,Footnote Text Char1 Char1,Footnote Text Char Char Char1,Footnote Text Char1 Char Char,Footnote Text Char Char Char Char, Char Char,Footnote Text Char2 Char,Footnote Text Char1 Char1 Char Cha"/>
    <w:rsid w:val="004B05F7"/>
    <w:rPr>
      <w:sz w:val="26"/>
      <w:lang w:val="en-US" w:eastAsia="en-US" w:bidi="ar-SA"/>
    </w:rPr>
  </w:style>
  <w:style w:type="character" w:customStyle="1" w:styleId="FERCparanumberCharChar">
    <w:name w:val="FERC paranumber Char Char"/>
    <w:rsid w:val="004B05F7"/>
    <w:rPr>
      <w:sz w:val="26"/>
      <w:szCs w:val="26"/>
      <w:lang w:val="en-US" w:eastAsia="en-US" w:bidi="ar-SA"/>
    </w:rPr>
  </w:style>
  <w:style w:type="character" w:styleId="FollowedHyperlink">
    <w:name w:val="FollowedHyperlink"/>
    <w:rsid w:val="004B05F7"/>
    <w:rPr>
      <w:color w:val="800080"/>
      <w:u w:val="single"/>
    </w:rPr>
  </w:style>
  <w:style w:type="character" w:styleId="Strong">
    <w:name w:val="Strong"/>
    <w:qFormat/>
    <w:rsid w:val="00E51CEB"/>
    <w:rPr>
      <w:b/>
      <w:bCs/>
    </w:rPr>
  </w:style>
  <w:style w:type="paragraph" w:customStyle="1" w:styleId="Default">
    <w:name w:val="Default"/>
    <w:rsid w:val="00214318"/>
    <w:pPr>
      <w:autoSpaceDE w:val="0"/>
      <w:autoSpaceDN w:val="0"/>
      <w:adjustRightInd w:val="0"/>
    </w:pPr>
    <w:rPr>
      <w:color w:val="000000"/>
      <w:sz w:val="24"/>
      <w:szCs w:val="24"/>
    </w:rPr>
  </w:style>
  <w:style w:type="paragraph" w:customStyle="1" w:styleId="CCHCHART">
    <w:name w:val="CCHCHART"/>
    <w:rsid w:val="00B91803"/>
    <w:pPr>
      <w:widowControl w:val="0"/>
      <w:autoSpaceDE w:val="0"/>
      <w:autoSpaceDN w:val="0"/>
      <w:adjustRightInd w:val="0"/>
    </w:pPr>
    <w:rPr>
      <w:rFonts w:ascii="Courier New" w:hAnsi="Courier New" w:cs="Courier New"/>
    </w:rPr>
  </w:style>
  <w:style w:type="paragraph" w:styleId="BalloonText">
    <w:name w:val="Balloon Text"/>
    <w:basedOn w:val="Normal"/>
    <w:semiHidden/>
    <w:rsid w:val="00C90ED6"/>
    <w:rPr>
      <w:rFonts w:ascii="Tahoma" w:hAnsi="Tahoma" w:cs="Tahoma"/>
      <w:sz w:val="16"/>
      <w:szCs w:val="16"/>
    </w:rPr>
  </w:style>
  <w:style w:type="character" w:styleId="CommentReference">
    <w:name w:val="annotation reference"/>
    <w:semiHidden/>
    <w:rsid w:val="00A214D1"/>
    <w:rPr>
      <w:sz w:val="16"/>
      <w:szCs w:val="16"/>
    </w:rPr>
  </w:style>
  <w:style w:type="paragraph" w:styleId="CommentText">
    <w:name w:val="annotation text"/>
    <w:basedOn w:val="Normal"/>
    <w:semiHidden/>
    <w:rsid w:val="00A214D1"/>
    <w:rPr>
      <w:sz w:val="20"/>
      <w:szCs w:val="20"/>
    </w:rPr>
  </w:style>
  <w:style w:type="paragraph" w:styleId="CommentSubject">
    <w:name w:val="annotation subject"/>
    <w:basedOn w:val="CommentText"/>
    <w:next w:val="CommentText"/>
    <w:semiHidden/>
    <w:rsid w:val="00A214D1"/>
    <w:rPr>
      <w:b/>
      <w:bCs/>
    </w:rPr>
  </w:style>
  <w:style w:type="paragraph" w:styleId="Revision">
    <w:name w:val="Revision"/>
    <w:hidden/>
    <w:uiPriority w:val="99"/>
    <w:semiHidden/>
    <w:rsid w:val="007129A6"/>
    <w:rPr>
      <w:sz w:val="24"/>
      <w:szCs w:val="24"/>
    </w:rPr>
  </w:style>
  <w:style w:type="character" w:customStyle="1" w:styleId="FootnoteTextChar2">
    <w:name w:val="Footnote Text Char2"/>
    <w:aliases w:val="Footnote Text Char Char3,fn Char1,Footnote Text Char1 Char2,Footnote Text Char Char Char2,Footnote Text Char1 Char Char1,Footnote Text Char Char Char Char1, Char Char1,Footnote Text Char Char1 Char1,Char Char,ft Char1,fn1 Char"/>
    <w:link w:val="FootnoteText"/>
    <w:uiPriority w:val="99"/>
    <w:locked/>
    <w:rsid w:val="0020642E"/>
    <w:rPr>
      <w:sz w:val="24"/>
    </w:rPr>
  </w:style>
  <w:style w:type="paragraph" w:styleId="BodyText2">
    <w:name w:val="Body Text 2"/>
    <w:basedOn w:val="Normal"/>
    <w:link w:val="BodyText2Char"/>
    <w:uiPriority w:val="99"/>
    <w:rsid w:val="0020642E"/>
    <w:pPr>
      <w:widowControl/>
      <w:autoSpaceDE/>
      <w:autoSpaceDN/>
      <w:adjustRightInd/>
      <w:spacing w:after="120" w:line="480" w:lineRule="auto"/>
    </w:pPr>
    <w:rPr>
      <w:rFonts w:ascii="Calibri" w:eastAsia="Calibri" w:hAnsi="Calibri"/>
      <w:sz w:val="22"/>
      <w:szCs w:val="22"/>
    </w:rPr>
  </w:style>
  <w:style w:type="character" w:customStyle="1" w:styleId="BodyText2Char">
    <w:name w:val="Body Text 2 Char"/>
    <w:link w:val="BodyText2"/>
    <w:uiPriority w:val="99"/>
    <w:rsid w:val="0020642E"/>
    <w:rPr>
      <w:rFonts w:ascii="Calibri" w:eastAsia="Calibri" w:hAnsi="Calibri"/>
      <w:sz w:val="22"/>
      <w:szCs w:val="22"/>
    </w:rPr>
  </w:style>
  <w:style w:type="paragraph" w:styleId="BodyTextIndent2">
    <w:name w:val="Body Text Indent 2"/>
    <w:basedOn w:val="Normal"/>
    <w:link w:val="BodyTextIndent2Char"/>
    <w:uiPriority w:val="99"/>
    <w:unhideWhenUsed/>
    <w:rsid w:val="003E742E"/>
    <w:pPr>
      <w:widowControl/>
      <w:autoSpaceDE/>
      <w:autoSpaceDN/>
      <w:adjustRightInd/>
      <w:spacing w:after="120" w:line="480" w:lineRule="auto"/>
      <w:ind w:left="360"/>
    </w:pPr>
    <w:rPr>
      <w:rFonts w:ascii="Calibri" w:eastAsia="Calibri" w:hAnsi="Calibri"/>
      <w:sz w:val="22"/>
      <w:szCs w:val="22"/>
    </w:rPr>
  </w:style>
  <w:style w:type="character" w:customStyle="1" w:styleId="BodyTextIndent2Char">
    <w:name w:val="Body Text Indent 2 Char"/>
    <w:link w:val="BodyTextIndent2"/>
    <w:uiPriority w:val="99"/>
    <w:rsid w:val="003E742E"/>
    <w:rPr>
      <w:rFonts w:ascii="Calibri" w:eastAsia="Calibri" w:hAnsi="Calibri"/>
      <w:sz w:val="22"/>
      <w:szCs w:val="22"/>
    </w:rPr>
  </w:style>
  <w:style w:type="character" w:customStyle="1" w:styleId="FootnoteTextChar2CharChar">
    <w:name w:val="Footnote Text Char2 Char Char"/>
    <w:aliases w:val="Footnote Text Char Char1 Char Char,Footnote Text Char1 Char Char Char Char,Footnote Text Char Char Char Char Char Char,Footnote Text Char1 Char Char Char Char Char Char Char Char,ft Char"/>
    <w:rsid w:val="00584833"/>
    <w:rPr>
      <w:sz w:val="22"/>
    </w:rPr>
  </w:style>
  <w:style w:type="paragraph" w:styleId="ListParagraph">
    <w:name w:val="List Paragraph"/>
    <w:basedOn w:val="Normal"/>
    <w:uiPriority w:val="34"/>
    <w:qFormat/>
    <w:rsid w:val="009A7D21"/>
    <w:pPr>
      <w:widowControl/>
      <w:autoSpaceDE/>
      <w:autoSpaceDN/>
      <w:adjustRightInd/>
      <w:spacing w:after="200" w:line="27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6A33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efiling.a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7d3424ed8d92471e"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federalregister.gov/documents/2022/06/15/2022-12905/commission-information-collection-activities-ferc-912-comment-request-extension?utm_campaign=subscription+mailing+list&amp;utm_source=federalregister.gov&amp;utm_medium=email" TargetMode="External"/><Relationship Id="rId1" Type="http://schemas.openxmlformats.org/officeDocument/2006/relationships/hyperlink" Target="https://elibrary.ferc.gov/eLibrary/docinfo?accession_number=20220323-3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912</_x0031__x002e__x0020_Collection_x0020_Number>
    <Date xmlns="d6eefc7d-9817-4fa6-84d5-3bc009be21b8">2019-04-03T04:00:00+00:00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IC19-10</_x0031__x002e__x0020_Docket_x0020_Number>
    <_x0033__x002e__x0020_Collection_x0020_Number xmlns="d6eefc7d-9817-4fa6-84d5-3bc009be21b8" xsi:nil="true"/>
    <TaxCatchAll xmlns="5a7c6213-c3f8-4376-93f2-dc58e5c51d54" xsi:nil="true"/>
    <lcf76f155ced4ddcb4097134ff3c332f xmlns="e029e753-062b-49ce-baa7-feb352134f8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916FB7EE-EAB8-4415-B668-8EC79C3E1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391FAF-F09D-46D4-98E5-7F87DD00E3ED}">
  <ds:schemaRefs>
    <ds:schemaRef ds:uri="http://schemas.openxmlformats.org/officeDocument/2006/bibliography"/>
  </ds:schemaRefs>
</ds:datastoreItem>
</file>

<file path=customXml/itemProps3.xml><?xml version="1.0" encoding="utf-8"?>
<ds:datastoreItem xmlns:ds="http://schemas.openxmlformats.org/officeDocument/2006/customXml" ds:itemID="{BB806535-BF8F-4A6F-BFD4-C9F7C8A14780}">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customXml/itemProps4.xml><?xml version="1.0" encoding="utf-8"?>
<ds:datastoreItem xmlns:ds="http://schemas.openxmlformats.org/officeDocument/2006/customXml" ds:itemID="{BE85E92F-4912-498A-8556-134D44B31BA9}">
  <ds:schemaRefs>
    <ds:schemaRef ds:uri="http://schemas.openxmlformats.org/officeDocument/2006/bibliography"/>
  </ds:schemaRefs>
</ds:datastoreItem>
</file>

<file path=customXml/itemProps5.xml><?xml version="1.0" encoding="utf-8"?>
<ds:datastoreItem xmlns:ds="http://schemas.openxmlformats.org/officeDocument/2006/customXml" ds:itemID="{9057A0DD-8E7A-4F6E-9285-41FCFAFEF7EC}">
  <ds:schemaRefs>
    <ds:schemaRef ds:uri="http://schemas.microsoft.com/sharepoint/v3/contenttype/forms"/>
  </ds:schemaRefs>
</ds:datastoreItem>
</file>

<file path=customXml/itemProps6.xml><?xml version="1.0" encoding="utf-8"?>
<ds:datastoreItem xmlns:ds="http://schemas.openxmlformats.org/officeDocument/2006/customXml" ds:itemID="{F5B95D2F-C070-4FAC-81B7-5E31AEB1DD7C}">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1534</Words>
  <Characters>8747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FERC</Company>
  <LinksUpToDate>false</LinksUpToDate>
  <CharactersWithSpaces>10261</CharactersWithSpaces>
  <SharedDoc>false</SharedDoc>
  <HLinks>
    <vt:vector size="18" baseType="variant">
      <vt:variant>
        <vt:i4>1310738</vt:i4>
      </vt:variant>
      <vt:variant>
        <vt:i4>3</vt:i4>
      </vt:variant>
      <vt:variant>
        <vt:i4>0</vt:i4>
      </vt:variant>
      <vt:variant>
        <vt:i4>5</vt:i4>
      </vt:variant>
      <vt:variant>
        <vt:lpwstr>http://www.ferc.gov/docs-filing/info-collections.asp</vt:lpwstr>
      </vt:variant>
      <vt:variant>
        <vt:lpwstr/>
      </vt:variant>
      <vt:variant>
        <vt:i4>4128873</vt:i4>
      </vt:variant>
      <vt:variant>
        <vt:i4>0</vt:i4>
      </vt:variant>
      <vt:variant>
        <vt:i4>0</vt:i4>
      </vt:variant>
      <vt:variant>
        <vt:i4>5</vt:i4>
      </vt:variant>
      <vt:variant>
        <vt:lpwstr>http://www.ferc.gov/docs-filing/efiling.asp</vt:lpwstr>
      </vt:variant>
      <vt:variant>
        <vt:lpwstr/>
      </vt:variant>
      <vt:variant>
        <vt:i4>4259894</vt:i4>
      </vt:variant>
      <vt:variant>
        <vt:i4>0</vt:i4>
      </vt:variant>
      <vt:variant>
        <vt:i4>0</vt:i4>
      </vt:variant>
      <vt:variant>
        <vt:i4>5</vt:i4>
      </vt:variant>
      <vt:variant>
        <vt:lpwstr>https://elibrary.ferc.gov/eLibrary/docinfo?accession_number=20220323-3003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Heather Dowding</dc:creator>
  <cp:keywords/>
  <dc:description/>
  <cp:lastModifiedBy>Christopher Kozler</cp:lastModifiedBy>
  <cp:revision>3</cp:revision>
  <cp:lastPrinted>2009-06-08T17:25:00Z</cp:lastPrinted>
  <dcterms:created xsi:type="dcterms:W3CDTF">2022-06-15T14:22:00Z</dcterms:created>
  <dcterms:modified xsi:type="dcterms:W3CDTF">2022-06-15T14:33:00Z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1935980585</vt:i4>
  </property>
  <property fmtid="{D5CDD505-2E9C-101B-9397-08002B2CF9AE}" pid="3" name="ContentTypeId">
    <vt:lpwstr>0x0101006AB4819515F02041B733A30B504091D8</vt:lpwstr>
  </property>
  <property fmtid="{D5CDD505-2E9C-101B-9397-08002B2CF9AE}" pid="4" name="_NewReviewCycle">
    <vt:lpwstr/>
  </property>
  <property fmtid="{D5CDD505-2E9C-101B-9397-08002B2CF9AE}" pid="5" name="MSIP_Label_6155a89b-0f08-4a93-8ea2-8a916d6643b5_Enabled">
    <vt:lpwstr>true</vt:lpwstr>
  </property>
  <property fmtid="{D5CDD505-2E9C-101B-9397-08002B2CF9AE}" pid="6" name="MSIP_Label_6155a89b-0f08-4a93-8ea2-8a916d6643b5_SetDate">
    <vt:lpwstr>2022-03-24T18:48:11Z</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iteId">
    <vt:lpwstr>19caa9e9-04ff-43fa-885f-d77fac387903</vt:lpwstr>
  </property>
  <property fmtid="{D5CDD505-2E9C-101B-9397-08002B2CF9AE}" pid="10" name="MSIP_Label_6155a89b-0f08-4a93-8ea2-8a916d6643b5_ActionId">
    <vt:lpwstr>553fa023-597d-47dc-870b-42cfba92ed78</vt:lpwstr>
  </property>
  <property fmtid="{D5CDD505-2E9C-101B-9397-08002B2CF9AE}" pid="11" name="MSIP_Label_6155a89b-0f08-4a93-8ea2-8a916d6643b5_ContentBits">
    <vt:lpwstr>0</vt:lpwstr>
  </property>
  <property fmtid="{D5CDD505-2E9C-101B-9397-08002B2CF9AE}" pid="12" name="MediaServiceImageTags">
    <vt:lpwstr/>
  </property>
</Properties>
</file>