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50575" w:rsidP="00737FDC" w:rsidRDefault="00737FDC" w14:paraId="4AD56C2C" w14:textId="67673811">
      <w:pPr>
        <w:jc w:val="center"/>
        <w:rPr>
          <w:b/>
          <w:bCs/>
          <w:sz w:val="24"/>
          <w:szCs w:val="24"/>
        </w:rPr>
      </w:pPr>
      <w:r w:rsidRPr="00C267F7">
        <w:rPr>
          <w:b/>
          <w:bCs/>
          <w:sz w:val="24"/>
          <w:szCs w:val="24"/>
        </w:rPr>
        <w:t>Supporting Statements: Part A</w:t>
      </w:r>
    </w:p>
    <w:p w:rsidRPr="00C267F7" w:rsidR="000979A4" w:rsidP="00737FDC" w:rsidRDefault="000979A4" w14:paraId="7DDEC14F" w14:textId="77777777">
      <w:pPr>
        <w:jc w:val="center"/>
        <w:rPr>
          <w:b/>
          <w:bCs/>
          <w:sz w:val="24"/>
          <w:szCs w:val="24"/>
        </w:rPr>
      </w:pPr>
    </w:p>
    <w:p w:rsidRPr="00C267F7" w:rsidR="00E57284" w:rsidRDefault="00A91E43" w14:paraId="3970136A" w14:textId="48338690">
      <w:pPr>
        <w:jc w:val="center"/>
        <w:rPr>
          <w:b/>
          <w:bCs/>
          <w:sz w:val="24"/>
          <w:szCs w:val="24"/>
        </w:rPr>
      </w:pPr>
      <w:r w:rsidRPr="00C267F7">
        <w:rPr>
          <w:b/>
          <w:bCs/>
          <w:sz w:val="24"/>
          <w:szCs w:val="24"/>
        </w:rPr>
        <w:t xml:space="preserve">Consolidated Labeling Requirements </w:t>
      </w:r>
      <w:r w:rsidRPr="00C267F7" w:rsidR="00E57284">
        <w:rPr>
          <w:b/>
          <w:bCs/>
          <w:sz w:val="24"/>
          <w:szCs w:val="24"/>
        </w:rPr>
        <w:t>for</w:t>
      </w:r>
      <w:r w:rsidRPr="00C267F7" w:rsidR="00FF5CD6">
        <w:rPr>
          <w:b/>
          <w:bCs/>
          <w:sz w:val="24"/>
          <w:szCs w:val="24"/>
        </w:rPr>
        <w:t xml:space="preserve"> </w:t>
      </w:r>
      <w:r w:rsidRPr="00C267F7" w:rsidR="004172D7">
        <w:rPr>
          <w:b/>
          <w:bCs/>
          <w:sz w:val="24"/>
          <w:szCs w:val="24"/>
        </w:rPr>
        <w:t xml:space="preserve">49 CFR </w:t>
      </w:r>
      <w:r w:rsidRPr="00C267F7">
        <w:rPr>
          <w:b/>
          <w:bCs/>
          <w:sz w:val="24"/>
          <w:szCs w:val="24"/>
        </w:rPr>
        <w:t xml:space="preserve">Part </w:t>
      </w:r>
      <w:r w:rsidRPr="00C267F7" w:rsidR="004172D7">
        <w:rPr>
          <w:b/>
          <w:bCs/>
          <w:sz w:val="24"/>
          <w:szCs w:val="24"/>
        </w:rPr>
        <w:t>541</w:t>
      </w:r>
      <w:r w:rsidRPr="00C267F7" w:rsidR="00660280">
        <w:rPr>
          <w:b/>
          <w:bCs/>
          <w:sz w:val="24"/>
          <w:szCs w:val="24"/>
        </w:rPr>
        <w:t xml:space="preserve"> and </w:t>
      </w:r>
      <w:r w:rsidRPr="00C267F7">
        <w:rPr>
          <w:b/>
          <w:bCs/>
          <w:sz w:val="24"/>
          <w:szCs w:val="24"/>
        </w:rPr>
        <w:t xml:space="preserve">Procedures </w:t>
      </w:r>
      <w:r w:rsidRPr="00C267F7" w:rsidR="00E57284">
        <w:rPr>
          <w:b/>
          <w:bCs/>
          <w:sz w:val="24"/>
          <w:szCs w:val="24"/>
        </w:rPr>
        <w:t xml:space="preserve">for </w:t>
      </w:r>
      <w:r w:rsidRPr="00C267F7">
        <w:rPr>
          <w:b/>
          <w:bCs/>
          <w:sz w:val="24"/>
          <w:szCs w:val="24"/>
        </w:rPr>
        <w:t>Selecting</w:t>
      </w:r>
      <w:r w:rsidR="00766629">
        <w:rPr>
          <w:b/>
          <w:bCs/>
          <w:sz w:val="24"/>
          <w:szCs w:val="24"/>
        </w:rPr>
        <w:t xml:space="preserve"> </w:t>
      </w:r>
      <w:r w:rsidRPr="00C267F7">
        <w:rPr>
          <w:b/>
          <w:bCs/>
          <w:sz w:val="24"/>
          <w:szCs w:val="24"/>
        </w:rPr>
        <w:t xml:space="preserve">Lines </w:t>
      </w:r>
      <w:r w:rsidRPr="00C267F7" w:rsidR="00E57284">
        <w:rPr>
          <w:b/>
          <w:bCs/>
          <w:sz w:val="24"/>
          <w:szCs w:val="24"/>
        </w:rPr>
        <w:t xml:space="preserve">to be </w:t>
      </w:r>
      <w:r w:rsidRPr="00C267F7">
        <w:rPr>
          <w:b/>
          <w:bCs/>
          <w:sz w:val="24"/>
          <w:szCs w:val="24"/>
        </w:rPr>
        <w:t>Covered</w:t>
      </w:r>
      <w:r w:rsidRPr="00C267F7" w:rsidR="00E57284">
        <w:rPr>
          <w:b/>
          <w:bCs/>
          <w:sz w:val="24"/>
          <w:szCs w:val="24"/>
        </w:rPr>
        <w:t xml:space="preserve"> by the </w:t>
      </w:r>
      <w:r w:rsidRPr="00C267F7">
        <w:rPr>
          <w:b/>
          <w:bCs/>
          <w:sz w:val="24"/>
          <w:szCs w:val="24"/>
        </w:rPr>
        <w:t xml:space="preserve">Theft Prevention Standard </w:t>
      </w:r>
      <w:r w:rsidRPr="00C267F7" w:rsidR="00E57284">
        <w:rPr>
          <w:b/>
          <w:bCs/>
          <w:sz w:val="24"/>
          <w:szCs w:val="24"/>
        </w:rPr>
        <w:t xml:space="preserve">for 49 CFR </w:t>
      </w:r>
      <w:r w:rsidRPr="00C267F7">
        <w:rPr>
          <w:b/>
          <w:bCs/>
          <w:sz w:val="24"/>
          <w:szCs w:val="24"/>
        </w:rPr>
        <w:t xml:space="preserve">Part </w:t>
      </w:r>
      <w:r w:rsidRPr="00C267F7" w:rsidR="00660280">
        <w:rPr>
          <w:b/>
          <w:bCs/>
          <w:sz w:val="24"/>
          <w:szCs w:val="24"/>
        </w:rPr>
        <w:t>542</w:t>
      </w:r>
    </w:p>
    <w:p w:rsidRPr="00C267F7" w:rsidR="004172D7" w:rsidRDefault="004172D7" w14:paraId="1BA58B13" w14:textId="42B72E40">
      <w:pPr>
        <w:jc w:val="center"/>
        <w:rPr>
          <w:b/>
          <w:bCs/>
          <w:sz w:val="24"/>
          <w:szCs w:val="24"/>
        </w:rPr>
      </w:pPr>
      <w:r w:rsidRPr="00C267F7">
        <w:rPr>
          <w:b/>
          <w:bCs/>
          <w:sz w:val="24"/>
          <w:szCs w:val="24"/>
        </w:rPr>
        <w:t xml:space="preserve">(OMB </w:t>
      </w:r>
      <w:r w:rsidRPr="00C267F7" w:rsidR="00BF4982">
        <w:rPr>
          <w:b/>
          <w:bCs/>
          <w:sz w:val="24"/>
          <w:szCs w:val="24"/>
        </w:rPr>
        <w:t xml:space="preserve">Control </w:t>
      </w:r>
      <w:r w:rsidRPr="00C267F7">
        <w:rPr>
          <w:b/>
          <w:bCs/>
          <w:sz w:val="24"/>
          <w:szCs w:val="24"/>
        </w:rPr>
        <w:t>Number 2127</w:t>
      </w:r>
      <w:r w:rsidRPr="00C267F7">
        <w:rPr>
          <w:b/>
          <w:bCs/>
          <w:sz w:val="24"/>
          <w:szCs w:val="24"/>
        </w:rPr>
        <w:noBreakHyphen/>
      </w:r>
      <w:r w:rsidRPr="00C267F7" w:rsidR="00853630">
        <w:rPr>
          <w:b/>
          <w:bCs/>
          <w:sz w:val="24"/>
          <w:szCs w:val="24"/>
        </w:rPr>
        <w:t>053</w:t>
      </w:r>
      <w:r w:rsidRPr="00C267F7" w:rsidR="00660280">
        <w:rPr>
          <w:b/>
          <w:bCs/>
          <w:sz w:val="24"/>
          <w:szCs w:val="24"/>
        </w:rPr>
        <w:t>9</w:t>
      </w:r>
      <w:r w:rsidRPr="00C267F7">
        <w:rPr>
          <w:b/>
          <w:bCs/>
          <w:sz w:val="24"/>
          <w:szCs w:val="24"/>
        </w:rPr>
        <w:t>)</w:t>
      </w:r>
    </w:p>
    <w:p w:rsidR="002B0DAA" w:rsidRDefault="002B0DAA" w14:paraId="38D508E8" w14:textId="77777777">
      <w:pPr>
        <w:jc w:val="center"/>
        <w:rPr>
          <w:sz w:val="24"/>
          <w:szCs w:val="24"/>
        </w:rPr>
      </w:pPr>
    </w:p>
    <w:p w:rsidRPr="00F1284A" w:rsidR="00F1284A" w:rsidP="00F1284A" w:rsidRDefault="00F1284A" w14:paraId="55D9C7BA" w14:textId="77777777">
      <w:pPr>
        <w:rPr>
          <w:sz w:val="24"/>
          <w:szCs w:val="24"/>
        </w:rPr>
      </w:pPr>
    </w:p>
    <w:p w:rsidRPr="00F1284A" w:rsidR="00F1284A" w:rsidP="00F1284A" w:rsidRDefault="00F1284A" w14:paraId="1ECFFB45" w14:textId="77777777">
      <w:pPr>
        <w:rPr>
          <w:b/>
          <w:sz w:val="24"/>
          <w:szCs w:val="24"/>
        </w:rPr>
      </w:pPr>
      <w:r w:rsidRPr="00F1284A">
        <w:rPr>
          <w:b/>
          <w:sz w:val="24"/>
          <w:szCs w:val="24"/>
        </w:rPr>
        <w:t>Abstract:</w:t>
      </w:r>
      <w:r w:rsidRPr="00F1284A">
        <w:rPr>
          <w:rStyle w:val="FootnoteReference"/>
          <w:b/>
          <w:sz w:val="24"/>
          <w:szCs w:val="24"/>
        </w:rPr>
        <w:footnoteReference w:id="1"/>
      </w:r>
    </w:p>
    <w:p w:rsidR="00265A06" w:rsidP="00265A06" w:rsidRDefault="00265A06" w14:paraId="14DBE0AF" w14:textId="77777777">
      <w:pPr>
        <w:rPr>
          <w:sz w:val="24"/>
          <w:szCs w:val="24"/>
        </w:rPr>
      </w:pPr>
    </w:p>
    <w:p w:rsidR="00247AF6" w:rsidP="00265A06" w:rsidRDefault="00810268" w14:paraId="207B8B64" w14:textId="1F02F4D4">
      <w:pPr>
        <w:rPr>
          <w:sz w:val="24"/>
          <w:szCs w:val="24"/>
        </w:rPr>
      </w:pPr>
      <w:r>
        <w:rPr>
          <w:sz w:val="24"/>
          <w:szCs w:val="24"/>
        </w:rPr>
        <w:t xml:space="preserve">This information collection supports the Federal </w:t>
      </w:r>
      <w:r w:rsidR="009578C8">
        <w:rPr>
          <w:sz w:val="24"/>
          <w:szCs w:val="24"/>
        </w:rPr>
        <w:t>M</w:t>
      </w:r>
      <w:r>
        <w:rPr>
          <w:sz w:val="24"/>
          <w:szCs w:val="24"/>
        </w:rPr>
        <w:t xml:space="preserve">otor </w:t>
      </w:r>
      <w:r w:rsidR="00E50A24">
        <w:rPr>
          <w:sz w:val="24"/>
          <w:szCs w:val="24"/>
        </w:rPr>
        <w:t>V</w:t>
      </w:r>
      <w:r>
        <w:rPr>
          <w:sz w:val="24"/>
          <w:szCs w:val="24"/>
        </w:rPr>
        <w:t>ehicle Theft Prevention Standard</w:t>
      </w:r>
      <w:r w:rsidR="00072C69">
        <w:rPr>
          <w:sz w:val="24"/>
          <w:szCs w:val="24"/>
        </w:rPr>
        <w:t>’s requirements</w:t>
      </w:r>
      <w:r>
        <w:rPr>
          <w:sz w:val="24"/>
          <w:szCs w:val="24"/>
        </w:rPr>
        <w:t xml:space="preserve"> that certain vehicle lines be marked with identifying symbols or numbers </w:t>
      </w:r>
      <w:r w:rsidR="00F65EC1">
        <w:rPr>
          <w:sz w:val="24"/>
          <w:szCs w:val="24"/>
        </w:rPr>
        <w:t xml:space="preserve">(parts-marking) </w:t>
      </w:r>
      <w:r>
        <w:rPr>
          <w:sz w:val="24"/>
          <w:szCs w:val="24"/>
        </w:rPr>
        <w:t xml:space="preserve">to reduce the incidence of motor vehicle thefts through tracing and recovery of parts from stolen vehicles.  </w:t>
      </w:r>
      <w:r w:rsidR="00F65EC1">
        <w:rPr>
          <w:sz w:val="24"/>
          <w:szCs w:val="24"/>
        </w:rPr>
        <w:t xml:space="preserve">In addition to the parts-marking requirements, </w:t>
      </w:r>
      <w:r w:rsidR="00247AF6">
        <w:rPr>
          <w:sz w:val="24"/>
          <w:szCs w:val="24"/>
        </w:rPr>
        <w:t xml:space="preserve">vehicle manufacturers </w:t>
      </w:r>
      <w:r w:rsidR="00F65EC1">
        <w:rPr>
          <w:sz w:val="24"/>
          <w:szCs w:val="24"/>
        </w:rPr>
        <w:t xml:space="preserve">must </w:t>
      </w:r>
      <w:r w:rsidR="00247AF6">
        <w:rPr>
          <w:sz w:val="24"/>
          <w:szCs w:val="24"/>
        </w:rPr>
        <w:t>submit certain information to the National Highway Traffic Safety Administration (NHTSA) about the</w:t>
      </w:r>
      <w:r w:rsidR="002F2CAD">
        <w:rPr>
          <w:sz w:val="24"/>
          <w:szCs w:val="24"/>
        </w:rPr>
        <w:t>ir</w:t>
      </w:r>
      <w:r w:rsidR="00247AF6">
        <w:rPr>
          <w:sz w:val="24"/>
          <w:szCs w:val="24"/>
        </w:rPr>
        <w:t xml:space="preserve"> vehicle lines covered by this standard</w:t>
      </w:r>
      <w:r w:rsidR="001E230F">
        <w:rPr>
          <w:sz w:val="24"/>
          <w:szCs w:val="24"/>
        </w:rPr>
        <w:t xml:space="preserve"> and must maintain </w:t>
      </w:r>
      <w:r w:rsidR="00865710">
        <w:rPr>
          <w:sz w:val="24"/>
          <w:szCs w:val="24"/>
        </w:rPr>
        <w:t>that information</w:t>
      </w:r>
      <w:r w:rsidRPr="001E230F" w:rsidR="001E230F">
        <w:rPr>
          <w:sz w:val="24"/>
          <w:szCs w:val="24"/>
        </w:rPr>
        <w:t xml:space="preserve"> for the duration of the production of </w:t>
      </w:r>
      <w:r w:rsidR="001E230F">
        <w:rPr>
          <w:sz w:val="24"/>
          <w:szCs w:val="24"/>
        </w:rPr>
        <w:t>a</w:t>
      </w:r>
      <w:r w:rsidRPr="001E230F" w:rsidR="001E230F">
        <w:rPr>
          <w:sz w:val="24"/>
          <w:szCs w:val="24"/>
        </w:rPr>
        <w:t xml:space="preserve"> vehicle line</w:t>
      </w:r>
      <w:r w:rsidR="00247AF6">
        <w:rPr>
          <w:sz w:val="24"/>
          <w:szCs w:val="24"/>
        </w:rPr>
        <w:t xml:space="preserve">.  </w:t>
      </w:r>
      <w:r w:rsidRPr="0048781D" w:rsidR="0048781D">
        <w:rPr>
          <w:sz w:val="24"/>
          <w:szCs w:val="24"/>
        </w:rPr>
        <w:t>The</w:t>
      </w:r>
      <w:r w:rsidR="0048781D">
        <w:rPr>
          <w:sz w:val="24"/>
          <w:szCs w:val="24"/>
        </w:rPr>
        <w:t>re are</w:t>
      </w:r>
      <w:r w:rsidRPr="0048781D" w:rsidR="0048781D">
        <w:rPr>
          <w:sz w:val="24"/>
          <w:szCs w:val="24"/>
        </w:rPr>
        <w:t xml:space="preserve"> five information collections </w:t>
      </w:r>
      <w:r w:rsidR="0048781D">
        <w:rPr>
          <w:sz w:val="24"/>
          <w:szCs w:val="24"/>
        </w:rPr>
        <w:t>in this request</w:t>
      </w:r>
      <w:r w:rsidRPr="0048781D" w:rsidR="0048781D">
        <w:rPr>
          <w:sz w:val="24"/>
          <w:szCs w:val="24"/>
        </w:rPr>
        <w:t>: (1) the requirement to mark major parts of covered motor vehicles; (2) the requirement to submit to NHTSA target areas showing where the parts will be marked; (3) the requirement that manufacturers maintain the designated target areas for the duration of the production of the vehicle line; (4) the requirement for manufacturers of new LDT lines to submit information to NHTSA to allow the agency to determine whether the LDT line will be required to comply with the parts-marking requirements because it is likely to be a high theft line; and (5) the requirement for manufacturers of new LDT lines to submit information to NHTSA to allow the agency to determine the LDT will be required to comply with the parts-marking requirements because it contains major parts that are interchangeable with the majority of the covered major parts of passenger motor vehicles covered by the standard.</w:t>
      </w:r>
    </w:p>
    <w:p w:rsidR="00247AF6" w:rsidP="00265A06" w:rsidRDefault="00247AF6" w14:paraId="2963B648" w14:textId="77777777">
      <w:pPr>
        <w:rPr>
          <w:sz w:val="24"/>
          <w:szCs w:val="24"/>
        </w:rPr>
      </w:pPr>
    </w:p>
    <w:p w:rsidR="00213ABA" w:rsidP="00265A06" w:rsidRDefault="00247AF6" w14:paraId="2A84CA85" w14:textId="0B83EFA4">
      <w:pPr>
        <w:rPr>
          <w:sz w:val="24"/>
          <w:szCs w:val="24"/>
        </w:rPr>
      </w:pPr>
      <w:r>
        <w:rPr>
          <w:sz w:val="24"/>
          <w:szCs w:val="24"/>
        </w:rPr>
        <w:t xml:space="preserve">By way of background, </w:t>
      </w:r>
      <w:r w:rsidRPr="00265A06" w:rsidR="00265A06">
        <w:rPr>
          <w:sz w:val="24"/>
          <w:szCs w:val="24"/>
        </w:rPr>
        <w:t xml:space="preserve">49 U.S.C. Chapter 331 requires </w:t>
      </w:r>
      <w:r w:rsidR="008F1F24">
        <w:rPr>
          <w:sz w:val="24"/>
          <w:szCs w:val="24"/>
        </w:rPr>
        <w:t xml:space="preserve">NHTSA, by delegation from </w:t>
      </w:r>
      <w:r w:rsidRPr="00265A06" w:rsidR="00265A06">
        <w:rPr>
          <w:sz w:val="24"/>
          <w:szCs w:val="24"/>
        </w:rPr>
        <w:t>the Secretary of Transportation</w:t>
      </w:r>
      <w:r w:rsidR="008F1F24">
        <w:rPr>
          <w:sz w:val="24"/>
          <w:szCs w:val="24"/>
        </w:rPr>
        <w:t>,</w:t>
      </w:r>
      <w:r w:rsidRPr="00265A06" w:rsidR="00265A06">
        <w:rPr>
          <w:sz w:val="24"/>
          <w:szCs w:val="24"/>
        </w:rPr>
        <w:t xml:space="preserve"> to promulgate a theft prevention standard to provide for the identification of certain motor vehicles and their major replacement parts (parts-marking) to impede motor vehicle theft.  49 U.S.C.</w:t>
      </w:r>
      <w:r w:rsidR="00E314AC">
        <w:rPr>
          <w:sz w:val="24"/>
          <w:szCs w:val="24"/>
        </w:rPr>
        <w:t xml:space="preserve"> 33102</w:t>
      </w:r>
      <w:r w:rsidRPr="00265A06" w:rsidR="00265A06">
        <w:rPr>
          <w:sz w:val="24"/>
          <w:szCs w:val="24"/>
        </w:rPr>
        <w:t xml:space="preserve"> </w:t>
      </w:r>
      <w:r w:rsidR="00FC788B">
        <w:rPr>
          <w:sz w:val="24"/>
          <w:szCs w:val="24"/>
        </w:rPr>
        <w:t xml:space="preserve">requires </w:t>
      </w:r>
      <w:r w:rsidR="00CF52BC">
        <w:rPr>
          <w:sz w:val="24"/>
          <w:szCs w:val="24"/>
        </w:rPr>
        <w:t>NHTSA to</w:t>
      </w:r>
      <w:r w:rsidR="00FC788B">
        <w:rPr>
          <w:sz w:val="24"/>
          <w:szCs w:val="24"/>
        </w:rPr>
        <w:t xml:space="preserve"> prescribe </w:t>
      </w:r>
      <w:r w:rsidR="00C066B6">
        <w:rPr>
          <w:sz w:val="24"/>
          <w:szCs w:val="24"/>
        </w:rPr>
        <w:t xml:space="preserve">a standard </w:t>
      </w:r>
      <w:r w:rsidRPr="00F35CE9" w:rsidR="00F35CE9">
        <w:rPr>
          <w:sz w:val="24"/>
          <w:szCs w:val="24"/>
        </w:rPr>
        <w:t xml:space="preserve">for identifying major parts of new motor vehicles and major replacement parts </w:t>
      </w:r>
      <w:r w:rsidR="003F170A">
        <w:rPr>
          <w:sz w:val="24"/>
          <w:szCs w:val="24"/>
        </w:rPr>
        <w:t xml:space="preserve">for high theft lines </w:t>
      </w:r>
      <w:r w:rsidR="00FC788B">
        <w:rPr>
          <w:sz w:val="24"/>
          <w:szCs w:val="24"/>
        </w:rPr>
        <w:t>and</w:t>
      </w:r>
      <w:r w:rsidRPr="00F35CE9" w:rsidR="00F35CE9">
        <w:rPr>
          <w:sz w:val="24"/>
          <w:szCs w:val="24"/>
        </w:rPr>
        <w:t xml:space="preserve"> inscribing or affixing numbers or symbols on those parts</w:t>
      </w:r>
      <w:r w:rsidR="00F35CE9">
        <w:rPr>
          <w:sz w:val="24"/>
          <w:szCs w:val="24"/>
        </w:rPr>
        <w:t xml:space="preserve">. </w:t>
      </w:r>
      <w:r w:rsidR="000E3F4E">
        <w:rPr>
          <w:sz w:val="24"/>
          <w:szCs w:val="24"/>
        </w:rPr>
        <w:t xml:space="preserve"> </w:t>
      </w:r>
      <w:r w:rsidR="00E314AC">
        <w:rPr>
          <w:sz w:val="24"/>
          <w:szCs w:val="24"/>
        </w:rPr>
        <w:t xml:space="preserve">49 U.S.C. 33104 </w:t>
      </w:r>
      <w:r w:rsidR="008868A9">
        <w:rPr>
          <w:sz w:val="24"/>
          <w:szCs w:val="24"/>
        </w:rPr>
        <w:t xml:space="preserve">designates </w:t>
      </w:r>
      <w:r w:rsidR="004F0FE3">
        <w:rPr>
          <w:sz w:val="24"/>
          <w:szCs w:val="24"/>
        </w:rPr>
        <w:t xml:space="preserve">which motor vehicle lines and parts are </w:t>
      </w:r>
      <w:r w:rsidR="008868A9">
        <w:rPr>
          <w:sz w:val="24"/>
          <w:szCs w:val="24"/>
        </w:rPr>
        <w:t>high theft</w:t>
      </w:r>
      <w:r w:rsidR="004F0FE3">
        <w:rPr>
          <w:sz w:val="24"/>
          <w:szCs w:val="24"/>
        </w:rPr>
        <w:t xml:space="preserve"> and </w:t>
      </w:r>
      <w:r w:rsidRPr="00E314AC" w:rsidR="00E314AC">
        <w:rPr>
          <w:sz w:val="24"/>
          <w:szCs w:val="24"/>
        </w:rPr>
        <w:t>require</w:t>
      </w:r>
      <w:r w:rsidR="00BD26A6">
        <w:rPr>
          <w:sz w:val="24"/>
          <w:szCs w:val="24"/>
        </w:rPr>
        <w:t xml:space="preserve">s, by regulation, </w:t>
      </w:r>
      <w:r w:rsidR="00FC788B">
        <w:rPr>
          <w:sz w:val="24"/>
          <w:szCs w:val="24"/>
        </w:rPr>
        <w:t xml:space="preserve">that </w:t>
      </w:r>
      <w:r w:rsidRPr="00E314AC" w:rsidR="00E314AC">
        <w:rPr>
          <w:sz w:val="24"/>
          <w:szCs w:val="24"/>
        </w:rPr>
        <w:t>each manufacturer provide</w:t>
      </w:r>
      <w:r w:rsidR="00C066B6">
        <w:rPr>
          <w:sz w:val="24"/>
          <w:szCs w:val="24"/>
        </w:rPr>
        <w:t>s</w:t>
      </w:r>
      <w:r w:rsidRPr="00E314AC" w:rsidR="00E314AC">
        <w:rPr>
          <w:sz w:val="24"/>
          <w:szCs w:val="24"/>
        </w:rPr>
        <w:t xml:space="preserve"> information necessary to select </w:t>
      </w:r>
      <w:r w:rsidR="00750B00">
        <w:rPr>
          <w:sz w:val="24"/>
          <w:szCs w:val="24"/>
        </w:rPr>
        <w:t>the high theft</w:t>
      </w:r>
      <w:r w:rsidR="00BD26A6">
        <w:rPr>
          <w:sz w:val="24"/>
          <w:szCs w:val="24"/>
        </w:rPr>
        <w:t xml:space="preserve"> </w:t>
      </w:r>
      <w:r w:rsidRPr="00E314AC" w:rsidR="00E314AC">
        <w:rPr>
          <w:sz w:val="24"/>
          <w:szCs w:val="24"/>
        </w:rPr>
        <w:t xml:space="preserve">lines and the major parts of the </w:t>
      </w:r>
      <w:r w:rsidR="00E314AC">
        <w:rPr>
          <w:sz w:val="24"/>
          <w:szCs w:val="24"/>
        </w:rPr>
        <w:t>vehicles in those lines</w:t>
      </w:r>
      <w:r w:rsidRPr="00E314AC" w:rsidR="00E314AC">
        <w:rPr>
          <w:sz w:val="24"/>
          <w:szCs w:val="24"/>
        </w:rPr>
        <w:t xml:space="preserve"> that are to be subject to the </w:t>
      </w:r>
      <w:r w:rsidR="00E314AC">
        <w:rPr>
          <w:sz w:val="24"/>
          <w:szCs w:val="24"/>
        </w:rPr>
        <w:t>Theft Prevention S</w:t>
      </w:r>
      <w:r w:rsidRPr="00E314AC" w:rsidR="00E314AC">
        <w:rPr>
          <w:sz w:val="24"/>
          <w:szCs w:val="24"/>
        </w:rPr>
        <w:t>tandard</w:t>
      </w:r>
      <w:r w:rsidR="00E314AC">
        <w:rPr>
          <w:sz w:val="24"/>
          <w:szCs w:val="24"/>
        </w:rPr>
        <w:t>.</w:t>
      </w:r>
      <w:r w:rsidR="00DC42D4">
        <w:rPr>
          <w:sz w:val="24"/>
          <w:szCs w:val="24"/>
        </w:rPr>
        <w:t xml:space="preserve">  </w:t>
      </w:r>
      <w:r w:rsidR="00213ABA">
        <w:rPr>
          <w:sz w:val="24"/>
          <w:szCs w:val="24"/>
        </w:rPr>
        <w:t xml:space="preserve">  </w:t>
      </w:r>
    </w:p>
    <w:p w:rsidR="00213ABA" w:rsidP="00265A06" w:rsidRDefault="00213ABA" w14:paraId="36F6BF4E" w14:textId="77777777">
      <w:pPr>
        <w:rPr>
          <w:sz w:val="24"/>
          <w:szCs w:val="24"/>
        </w:rPr>
      </w:pPr>
    </w:p>
    <w:p w:rsidR="0011660A" w:rsidP="00265A06" w:rsidRDefault="00213ABA" w14:paraId="54C5C313" w14:textId="6AF87B45">
      <w:pPr>
        <w:rPr>
          <w:sz w:val="24"/>
          <w:szCs w:val="24"/>
        </w:rPr>
      </w:pPr>
      <w:r>
        <w:rPr>
          <w:sz w:val="24"/>
          <w:szCs w:val="24"/>
        </w:rPr>
        <w:t xml:space="preserve">49 CFR Part 541 </w:t>
      </w:r>
      <w:r w:rsidR="00BD26A6">
        <w:rPr>
          <w:sz w:val="24"/>
          <w:szCs w:val="24"/>
        </w:rPr>
        <w:t xml:space="preserve">specifies performance requirements for identifying numbers or symbols to be placed on major parts of </w:t>
      </w:r>
      <w:r w:rsidR="00144666">
        <w:rPr>
          <w:sz w:val="24"/>
          <w:szCs w:val="24"/>
        </w:rPr>
        <w:t xml:space="preserve">passenger </w:t>
      </w:r>
      <w:r w:rsidR="00BD26A6">
        <w:rPr>
          <w:sz w:val="24"/>
          <w:szCs w:val="24"/>
        </w:rPr>
        <w:t>motor</w:t>
      </w:r>
      <w:r w:rsidRPr="00213ABA">
        <w:rPr>
          <w:sz w:val="24"/>
          <w:szCs w:val="24"/>
        </w:rPr>
        <w:t xml:space="preserve"> vehicles subject to the Theft Prevention Standard</w:t>
      </w:r>
      <w:r w:rsidR="00CC582E">
        <w:rPr>
          <w:sz w:val="24"/>
          <w:szCs w:val="24"/>
        </w:rPr>
        <w:t xml:space="preserve">, which </w:t>
      </w:r>
      <w:r w:rsidRPr="00CC582E" w:rsidR="00CC582E">
        <w:rPr>
          <w:sz w:val="24"/>
          <w:szCs w:val="24"/>
        </w:rPr>
        <w:t>include</w:t>
      </w:r>
      <w:r w:rsidR="00CC582E">
        <w:rPr>
          <w:sz w:val="24"/>
          <w:szCs w:val="24"/>
        </w:rPr>
        <w:t>s</w:t>
      </w:r>
      <w:r w:rsidR="00DC42D4">
        <w:rPr>
          <w:sz w:val="24"/>
          <w:szCs w:val="24"/>
        </w:rPr>
        <w:t>:</w:t>
      </w:r>
      <w:r w:rsidR="00427E27">
        <w:rPr>
          <w:sz w:val="24"/>
          <w:szCs w:val="24"/>
        </w:rPr>
        <w:t xml:space="preserve"> </w:t>
      </w:r>
      <w:r w:rsidR="00DC42D4">
        <w:rPr>
          <w:sz w:val="24"/>
          <w:szCs w:val="24"/>
        </w:rPr>
        <w:t xml:space="preserve">(1) </w:t>
      </w:r>
      <w:r w:rsidR="00427E27">
        <w:rPr>
          <w:sz w:val="24"/>
          <w:szCs w:val="24"/>
        </w:rPr>
        <w:t>all passenger cars</w:t>
      </w:r>
      <w:r w:rsidRPr="00CC582E" w:rsidR="00CC582E">
        <w:rPr>
          <w:sz w:val="24"/>
          <w:szCs w:val="24"/>
        </w:rPr>
        <w:t xml:space="preserve">, </w:t>
      </w:r>
      <w:r w:rsidR="00DC42D4">
        <w:rPr>
          <w:sz w:val="24"/>
          <w:szCs w:val="24"/>
        </w:rPr>
        <w:t xml:space="preserve">(2) </w:t>
      </w:r>
      <w:r w:rsidRPr="00CC582E" w:rsidR="00CC582E">
        <w:rPr>
          <w:sz w:val="24"/>
          <w:szCs w:val="24"/>
        </w:rPr>
        <w:t xml:space="preserve">multipurpose passenger vehicles with a gross vehicle </w:t>
      </w:r>
      <w:r w:rsidRPr="00CC582E" w:rsidR="00CC582E">
        <w:rPr>
          <w:sz w:val="24"/>
          <w:szCs w:val="24"/>
        </w:rPr>
        <w:lastRenderedPageBreak/>
        <w:t xml:space="preserve">weight rating (GVWR) of 6,000 pounds or less, </w:t>
      </w:r>
      <w:r w:rsidR="00DC42D4">
        <w:rPr>
          <w:sz w:val="24"/>
          <w:szCs w:val="24"/>
        </w:rPr>
        <w:t xml:space="preserve">(3) </w:t>
      </w:r>
      <w:r w:rsidRPr="00CC582E" w:rsidR="00CC582E">
        <w:rPr>
          <w:sz w:val="24"/>
          <w:szCs w:val="24"/>
        </w:rPr>
        <w:t>all light-duty trucks (LDTs) determined to be high-theft (with a gross vehicle weight rating of 6,000 pounds or less)</w:t>
      </w:r>
      <w:r w:rsidR="00DC42D4">
        <w:rPr>
          <w:sz w:val="24"/>
          <w:szCs w:val="24"/>
        </w:rPr>
        <w:t>,</w:t>
      </w:r>
      <w:r w:rsidRPr="00CC582E" w:rsidR="00CC582E">
        <w:rPr>
          <w:sz w:val="24"/>
          <w:szCs w:val="24"/>
        </w:rPr>
        <w:t xml:space="preserve"> and </w:t>
      </w:r>
      <w:r w:rsidR="00DC42D4">
        <w:rPr>
          <w:sz w:val="24"/>
          <w:szCs w:val="24"/>
        </w:rPr>
        <w:t xml:space="preserve">(4) </w:t>
      </w:r>
      <w:r w:rsidRPr="00CC582E" w:rsidR="00CC582E">
        <w:rPr>
          <w:sz w:val="24"/>
          <w:szCs w:val="24"/>
        </w:rPr>
        <w:t>all low-theft LDTs with major parts that are interchangeable with a majority of the covered major parts of those passenger motor vehicle lines subject to the standard</w:t>
      </w:r>
      <w:r w:rsidRPr="00CC582E" w:rsidR="006F27CB">
        <w:rPr>
          <w:sz w:val="24"/>
          <w:szCs w:val="24"/>
        </w:rPr>
        <w:t>.</w:t>
      </w:r>
      <w:r w:rsidR="007A3E2E">
        <w:rPr>
          <w:sz w:val="24"/>
          <w:szCs w:val="24"/>
        </w:rPr>
        <w:t xml:space="preserve">  </w:t>
      </w:r>
      <w:r w:rsidRPr="00CC582E" w:rsidR="006F27CB">
        <w:rPr>
          <w:sz w:val="24"/>
          <w:szCs w:val="24"/>
        </w:rPr>
        <w:t xml:space="preserve">  </w:t>
      </w:r>
    </w:p>
    <w:p w:rsidR="0011660A" w:rsidP="00265A06" w:rsidRDefault="0011660A" w14:paraId="482F34CD" w14:textId="77777777">
      <w:pPr>
        <w:rPr>
          <w:sz w:val="24"/>
          <w:szCs w:val="24"/>
        </w:rPr>
      </w:pPr>
    </w:p>
    <w:p w:rsidR="00F65EC1" w:rsidP="00265A06" w:rsidRDefault="006F27CB" w14:paraId="4FB0AE37" w14:textId="490B5993">
      <w:pPr>
        <w:rPr>
          <w:sz w:val="24"/>
          <w:szCs w:val="24"/>
        </w:rPr>
      </w:pPr>
      <w:r w:rsidRPr="006F27CB">
        <w:rPr>
          <w:sz w:val="24"/>
          <w:szCs w:val="24"/>
        </w:rPr>
        <w:t xml:space="preserve">Each </w:t>
      </w:r>
      <w:r w:rsidR="00144666">
        <w:rPr>
          <w:sz w:val="24"/>
          <w:szCs w:val="24"/>
        </w:rPr>
        <w:t>m</w:t>
      </w:r>
      <w:r>
        <w:rPr>
          <w:sz w:val="24"/>
          <w:szCs w:val="24"/>
        </w:rPr>
        <w:t xml:space="preserve">anufacturer of a </w:t>
      </w:r>
      <w:r w:rsidRPr="006F27CB">
        <w:rPr>
          <w:sz w:val="24"/>
          <w:szCs w:val="24"/>
        </w:rPr>
        <w:t xml:space="preserve">passenger motor vehicle subject to this standard must have </w:t>
      </w:r>
      <w:r w:rsidR="00E1399F">
        <w:rPr>
          <w:sz w:val="24"/>
          <w:szCs w:val="24"/>
        </w:rPr>
        <w:t>the vehicle</w:t>
      </w:r>
      <w:r w:rsidRPr="006F27CB">
        <w:rPr>
          <w:sz w:val="24"/>
          <w:szCs w:val="24"/>
        </w:rPr>
        <w:t xml:space="preserve"> identif</w:t>
      </w:r>
      <w:r w:rsidR="00E1399F">
        <w:rPr>
          <w:sz w:val="24"/>
          <w:szCs w:val="24"/>
        </w:rPr>
        <w:t>ication</w:t>
      </w:r>
      <w:r w:rsidRPr="006F27CB">
        <w:rPr>
          <w:sz w:val="24"/>
          <w:szCs w:val="24"/>
        </w:rPr>
        <w:t xml:space="preserve"> number</w:t>
      </w:r>
      <w:r w:rsidR="00E1399F">
        <w:rPr>
          <w:sz w:val="24"/>
          <w:szCs w:val="24"/>
        </w:rPr>
        <w:t xml:space="preserve"> (VIN)</w:t>
      </w:r>
      <w:r w:rsidRPr="006F27CB">
        <w:rPr>
          <w:sz w:val="24"/>
          <w:szCs w:val="24"/>
        </w:rPr>
        <w:t xml:space="preserve"> affixed or inscribed on each of the parts</w:t>
      </w:r>
      <w:r w:rsidR="00E1399F">
        <w:rPr>
          <w:sz w:val="24"/>
          <w:szCs w:val="24"/>
        </w:rPr>
        <w:t xml:space="preserve"> specified</w:t>
      </w:r>
      <w:r w:rsidRPr="006F27CB">
        <w:rPr>
          <w:sz w:val="24"/>
          <w:szCs w:val="24"/>
        </w:rPr>
        <w:t xml:space="preserve"> </w:t>
      </w:r>
      <w:r>
        <w:rPr>
          <w:sz w:val="24"/>
          <w:szCs w:val="24"/>
        </w:rPr>
        <w:t xml:space="preserve">in </w:t>
      </w:r>
      <w:r w:rsidR="00E1399F">
        <w:rPr>
          <w:sz w:val="24"/>
          <w:szCs w:val="24"/>
        </w:rPr>
        <w:t>49 CFR 541.5</w:t>
      </w:r>
      <w:r>
        <w:rPr>
          <w:sz w:val="24"/>
          <w:szCs w:val="24"/>
        </w:rPr>
        <w:t xml:space="preserve">.  </w:t>
      </w:r>
      <w:r w:rsidRPr="006F27CB">
        <w:rPr>
          <w:sz w:val="24"/>
          <w:szCs w:val="24"/>
        </w:rPr>
        <w:t xml:space="preserve">In the case of passenger motor vehicles not originally manufactured to comply with applicable U.S. vehicle safety standards, each such motor vehicle subject to this standard must have an identifying number inscribed in a manner which conforms to </w:t>
      </w:r>
      <w:r>
        <w:rPr>
          <w:sz w:val="24"/>
          <w:szCs w:val="24"/>
        </w:rPr>
        <w:t>the regulation.</w:t>
      </w:r>
      <w:r w:rsidR="000D0732">
        <w:rPr>
          <w:sz w:val="24"/>
          <w:szCs w:val="24"/>
        </w:rPr>
        <w:t xml:space="preserve">  </w:t>
      </w:r>
    </w:p>
    <w:p w:rsidR="00F65EC1" w:rsidP="00265A06" w:rsidRDefault="00F65EC1" w14:paraId="22BF4720" w14:textId="77777777">
      <w:pPr>
        <w:rPr>
          <w:sz w:val="24"/>
          <w:szCs w:val="24"/>
        </w:rPr>
      </w:pPr>
    </w:p>
    <w:p w:rsidR="00213ABA" w:rsidP="00265A06" w:rsidRDefault="000D0732" w14:paraId="3956EF9D" w14:textId="2134B04F">
      <w:pPr>
        <w:rPr>
          <w:sz w:val="24"/>
          <w:szCs w:val="24"/>
        </w:rPr>
      </w:pPr>
      <w:r>
        <w:rPr>
          <w:sz w:val="24"/>
          <w:szCs w:val="24"/>
        </w:rPr>
        <w:t>49 CFR Part 542 requires m</w:t>
      </w:r>
      <w:r w:rsidRPr="009B3F28">
        <w:rPr>
          <w:sz w:val="24"/>
        </w:rPr>
        <w:t xml:space="preserve">anufacturers of light duty trucks </w:t>
      </w:r>
      <w:r>
        <w:rPr>
          <w:sz w:val="24"/>
        </w:rPr>
        <w:t>to</w:t>
      </w:r>
      <w:r w:rsidRPr="009B3F28">
        <w:rPr>
          <w:sz w:val="24"/>
        </w:rPr>
        <w:t xml:space="preserve"> identify new model introductions that are likely to be high-theft </w:t>
      </w:r>
      <w:r>
        <w:rPr>
          <w:sz w:val="24"/>
        </w:rPr>
        <w:t xml:space="preserve">vehicle </w:t>
      </w:r>
      <w:r w:rsidRPr="009B3F28">
        <w:rPr>
          <w:sz w:val="24"/>
        </w:rPr>
        <w:t>lines as defined in 49 U.S.C. 33104.</w:t>
      </w:r>
    </w:p>
    <w:p w:rsidR="00213ABA" w:rsidP="00265A06" w:rsidRDefault="00213ABA" w14:paraId="1F830014" w14:textId="77777777">
      <w:pPr>
        <w:rPr>
          <w:sz w:val="24"/>
          <w:szCs w:val="24"/>
        </w:rPr>
      </w:pPr>
    </w:p>
    <w:p w:rsidR="00E314AC" w:rsidP="00265A06" w:rsidRDefault="00213ABA" w14:paraId="7272E19F" w14:textId="39E543AA">
      <w:pPr>
        <w:rPr>
          <w:sz w:val="24"/>
          <w:szCs w:val="24"/>
        </w:rPr>
      </w:pPr>
      <w:r>
        <w:rPr>
          <w:sz w:val="24"/>
          <w:szCs w:val="24"/>
        </w:rPr>
        <w:t xml:space="preserve">This </w:t>
      </w:r>
      <w:r w:rsidR="000D0732">
        <w:rPr>
          <w:sz w:val="24"/>
          <w:szCs w:val="24"/>
        </w:rPr>
        <w:t>information collection and parts-marking requirement</w:t>
      </w:r>
      <w:r>
        <w:rPr>
          <w:sz w:val="24"/>
          <w:szCs w:val="24"/>
        </w:rPr>
        <w:t xml:space="preserve"> supports the </w:t>
      </w:r>
      <w:r w:rsidR="007A39F3">
        <w:rPr>
          <w:sz w:val="24"/>
          <w:szCs w:val="24"/>
        </w:rPr>
        <w:t>goals of the Motor Vehicle Theft Law Enforcement Act of 1984 and subsequent laws by giving</w:t>
      </w:r>
      <w:r>
        <w:rPr>
          <w:sz w:val="24"/>
          <w:szCs w:val="24"/>
        </w:rPr>
        <w:t xml:space="preserve"> law enforcement personnel tools to deter theft, trace stolen vehicles and parts, and apprehend and convict thieves.  The identification of major parts of high-theft motor vehicle lines decrease</w:t>
      </w:r>
      <w:r w:rsidR="00750B00">
        <w:rPr>
          <w:sz w:val="24"/>
          <w:szCs w:val="24"/>
        </w:rPr>
        <w:t>s</w:t>
      </w:r>
      <w:r>
        <w:rPr>
          <w:sz w:val="24"/>
          <w:szCs w:val="24"/>
        </w:rPr>
        <w:t xml:space="preserve"> automobile theft by making it more difficult for criminals to “chop” vehicles into component parts and then fence such parts.</w:t>
      </w:r>
    </w:p>
    <w:p w:rsidR="00EE2123" w:rsidP="00265A06" w:rsidRDefault="00EE2123" w14:paraId="2B61B2FE" w14:textId="5E1C72C5">
      <w:pPr>
        <w:rPr>
          <w:sz w:val="24"/>
          <w:szCs w:val="24"/>
        </w:rPr>
      </w:pPr>
    </w:p>
    <w:p w:rsidR="00EE2123" w:rsidP="00265A06" w:rsidRDefault="00EE2123" w14:paraId="046BC7C3" w14:textId="0EE4C703">
      <w:pPr>
        <w:rPr>
          <w:sz w:val="24"/>
          <w:szCs w:val="24"/>
        </w:rPr>
      </w:pPr>
      <w:r>
        <w:rPr>
          <w:sz w:val="24"/>
          <w:szCs w:val="24"/>
        </w:rPr>
        <w:t xml:space="preserve">This is a reinstatement that increases burden by </w:t>
      </w:r>
      <w:r w:rsidRPr="00EE2123">
        <w:rPr>
          <w:sz w:val="24"/>
          <w:szCs w:val="24"/>
        </w:rPr>
        <w:t>150,550 hours</w:t>
      </w:r>
      <w:r w:rsidR="00370A02">
        <w:rPr>
          <w:sz w:val="24"/>
          <w:szCs w:val="24"/>
        </w:rPr>
        <w:t xml:space="preserve"> and </w:t>
      </w:r>
      <w:r w:rsidRPr="00D42DAE" w:rsidR="00D42DAE">
        <w:rPr>
          <w:sz w:val="24"/>
          <w:szCs w:val="24"/>
        </w:rPr>
        <w:t>$24,003,000</w:t>
      </w:r>
      <w:r>
        <w:rPr>
          <w:sz w:val="24"/>
          <w:szCs w:val="24"/>
        </w:rPr>
        <w:t xml:space="preserve">. </w:t>
      </w:r>
      <w:r w:rsidRPr="00931DE4" w:rsidR="00931DE4">
        <w:rPr>
          <w:sz w:val="24"/>
          <w:szCs w:val="24"/>
        </w:rPr>
        <w:t>However, during the previous submission the hours were 267,356, which now is a reduction of 116,806 hours from the previous submission</w:t>
      </w:r>
      <w:r w:rsidR="00931DE4">
        <w:rPr>
          <w:sz w:val="24"/>
          <w:szCs w:val="24"/>
        </w:rPr>
        <w:t>.</w:t>
      </w:r>
      <w:r w:rsidR="00217ABC">
        <w:rPr>
          <w:sz w:val="24"/>
          <w:szCs w:val="24"/>
        </w:rPr>
        <w:t xml:space="preserve"> </w:t>
      </w:r>
      <w:r w:rsidRPr="00217ABC" w:rsidR="00217ABC">
        <w:rPr>
          <w:sz w:val="24"/>
          <w:szCs w:val="24"/>
        </w:rPr>
        <w:t>This reduction is due to the decreased number of vehicles requiring stamping (previously 8 million) and the number of target area</w:t>
      </w:r>
      <w:r w:rsidR="007705EB">
        <w:rPr>
          <w:sz w:val="24"/>
          <w:szCs w:val="24"/>
        </w:rPr>
        <w:t xml:space="preserve"> submission</w:t>
      </w:r>
      <w:r w:rsidRPr="00217ABC" w:rsidR="00217ABC">
        <w:rPr>
          <w:sz w:val="24"/>
          <w:szCs w:val="24"/>
        </w:rPr>
        <w:t>s (previously 30).  The costs for printing have reduced $57,917,000</w:t>
      </w:r>
      <w:r w:rsidR="00217ABC">
        <w:rPr>
          <w:sz w:val="24"/>
          <w:szCs w:val="24"/>
        </w:rPr>
        <w:t xml:space="preserve"> (from $81,920,000</w:t>
      </w:r>
      <w:r w:rsidR="00A46F59">
        <w:rPr>
          <w:sz w:val="24"/>
          <w:szCs w:val="24"/>
        </w:rPr>
        <w:t>)</w:t>
      </w:r>
      <w:r w:rsidRPr="00217ABC" w:rsidR="00217ABC">
        <w:rPr>
          <w:sz w:val="24"/>
          <w:szCs w:val="24"/>
        </w:rPr>
        <w:t xml:space="preserve"> from the last OMB approval.  Not only have the number of vehicles reduced by 3.5 million, but the previous approval included labor costs (burden hour costs) in the printing costs.  The printing cost per </w:t>
      </w:r>
      <w:r w:rsidR="00612BE5">
        <w:rPr>
          <w:sz w:val="24"/>
          <w:szCs w:val="24"/>
        </w:rPr>
        <w:t>vehicle</w:t>
      </w:r>
      <w:r w:rsidRPr="00217ABC" w:rsidR="00217ABC">
        <w:rPr>
          <w:sz w:val="24"/>
          <w:szCs w:val="24"/>
        </w:rPr>
        <w:t>, $5.33, has remained the same</w:t>
      </w:r>
      <w:r>
        <w:rPr>
          <w:sz w:val="24"/>
          <w:szCs w:val="24"/>
        </w:rPr>
        <w:t xml:space="preserve">. </w:t>
      </w:r>
    </w:p>
    <w:p w:rsidR="005F08BC" w:rsidP="00072B33" w:rsidRDefault="005F08BC" w14:paraId="3609405F" w14:textId="77777777">
      <w:pPr>
        <w:tabs>
          <w:tab w:val="left" w:pos="720"/>
        </w:tabs>
        <w:rPr>
          <w:sz w:val="24"/>
          <w:szCs w:val="24"/>
        </w:rPr>
      </w:pPr>
    </w:p>
    <w:p w:rsidRPr="00C267F7" w:rsidR="002B0DAA" w:rsidP="00C267F7" w:rsidRDefault="00766629" w14:paraId="5FC37E2D" w14:textId="3608033C">
      <w:pPr>
        <w:pStyle w:val="ListParagraph"/>
        <w:numPr>
          <w:ilvl w:val="0"/>
          <w:numId w:val="9"/>
        </w:numPr>
        <w:tabs>
          <w:tab w:val="left" w:pos="360"/>
          <w:tab w:val="left" w:pos="450"/>
        </w:tabs>
        <w:ind w:hanging="720"/>
        <w:rPr>
          <w:b/>
          <w:bCs/>
          <w:sz w:val="24"/>
          <w:szCs w:val="24"/>
          <w:u w:val="single"/>
        </w:rPr>
      </w:pPr>
      <w:r w:rsidRPr="00C267F7">
        <w:rPr>
          <w:b/>
          <w:bCs/>
          <w:sz w:val="24"/>
          <w:szCs w:val="24"/>
          <w:u w:val="single"/>
        </w:rPr>
        <w:t xml:space="preserve">Justification </w:t>
      </w:r>
    </w:p>
    <w:p w:rsidRPr="0002050E" w:rsidR="002B0DAA" w:rsidP="002B0DAA" w:rsidRDefault="002B0DAA" w14:paraId="69CC72A4" w14:textId="77777777">
      <w:pPr>
        <w:rPr>
          <w:sz w:val="24"/>
          <w:szCs w:val="24"/>
        </w:rPr>
      </w:pPr>
    </w:p>
    <w:p w:rsidRPr="00C267F7" w:rsidR="002B0DAA" w:rsidP="00C267F7" w:rsidRDefault="002B0DAA" w14:paraId="6356E5CD" w14:textId="6C70D66F">
      <w:pPr>
        <w:pStyle w:val="ListParagraph"/>
        <w:numPr>
          <w:ilvl w:val="0"/>
          <w:numId w:val="10"/>
        </w:numPr>
        <w:tabs>
          <w:tab w:val="left" w:pos="450"/>
        </w:tabs>
        <w:ind w:left="450" w:hanging="450"/>
        <w:rPr>
          <w:b/>
          <w:bCs/>
          <w:sz w:val="24"/>
          <w:szCs w:val="24"/>
        </w:rPr>
      </w:pPr>
      <w:r w:rsidRPr="00C267F7">
        <w:rPr>
          <w:b/>
          <w:bCs/>
          <w:sz w:val="24"/>
          <w:szCs w:val="24"/>
        </w:rPr>
        <w:t xml:space="preserve">Explain the circumstances that make the collection of information necessary.  </w:t>
      </w:r>
      <w:r w:rsidRPr="00C267F7" w:rsidR="00AD2629">
        <w:rPr>
          <w:b/>
          <w:bCs/>
          <w:sz w:val="24"/>
          <w:szCs w:val="24"/>
        </w:rPr>
        <w:t xml:space="preserve">Identify any legal and administrative requirements that necessitate the collection. </w:t>
      </w:r>
      <w:r w:rsidRPr="00C267F7">
        <w:rPr>
          <w:b/>
          <w:bCs/>
          <w:sz w:val="24"/>
          <w:szCs w:val="24"/>
        </w:rPr>
        <w:t xml:space="preserve">Attach a copy of the appropriate statute or regulation mandating or authorizing the collection of information.  </w:t>
      </w:r>
    </w:p>
    <w:p w:rsidRPr="0002050E" w:rsidR="002B0DAA" w:rsidP="002B0DAA" w:rsidRDefault="002B0DAA" w14:paraId="17BADCB7" w14:textId="77777777">
      <w:pPr>
        <w:rPr>
          <w:sz w:val="24"/>
          <w:szCs w:val="24"/>
        </w:rPr>
      </w:pPr>
    </w:p>
    <w:p w:rsidRPr="0002050E" w:rsidR="002B0DAA" w:rsidP="00C267F7" w:rsidRDefault="002B0DAA" w14:paraId="76B219E4" w14:textId="0009E9DC">
      <w:pPr>
        <w:rPr>
          <w:sz w:val="24"/>
        </w:rPr>
      </w:pPr>
      <w:r w:rsidRPr="0002050E">
        <w:rPr>
          <w:sz w:val="24"/>
        </w:rPr>
        <w:t xml:space="preserve">This information collection supports </w:t>
      </w:r>
      <w:r w:rsidR="00267EB4">
        <w:rPr>
          <w:sz w:val="24"/>
        </w:rPr>
        <w:t xml:space="preserve">the </w:t>
      </w:r>
      <w:r w:rsidR="009B2C6D">
        <w:rPr>
          <w:sz w:val="24"/>
          <w:szCs w:val="24"/>
        </w:rPr>
        <w:t>purpose</w:t>
      </w:r>
      <w:r w:rsidR="00267EB4">
        <w:rPr>
          <w:sz w:val="24"/>
          <w:szCs w:val="24"/>
        </w:rPr>
        <w:t xml:space="preserve"> of the Motor Vehicle Theft Law Enforcement Act of 1984 </w:t>
      </w:r>
      <w:r w:rsidR="00876EE7">
        <w:rPr>
          <w:sz w:val="24"/>
          <w:szCs w:val="24"/>
        </w:rPr>
        <w:t xml:space="preserve">(Theft Act; Pub. L. 98-547) </w:t>
      </w:r>
      <w:r w:rsidR="00267EB4">
        <w:rPr>
          <w:sz w:val="24"/>
          <w:szCs w:val="24"/>
        </w:rPr>
        <w:t>and subsequent laws</w:t>
      </w:r>
      <w:r w:rsidR="000E3F4E">
        <w:rPr>
          <w:sz w:val="24"/>
          <w:szCs w:val="24"/>
        </w:rPr>
        <w:t>,</w:t>
      </w:r>
      <w:r w:rsidR="00267EB4">
        <w:rPr>
          <w:sz w:val="24"/>
          <w:szCs w:val="24"/>
        </w:rPr>
        <w:t xml:space="preserve"> </w:t>
      </w:r>
      <w:r w:rsidR="001C048F">
        <w:rPr>
          <w:sz w:val="24"/>
          <w:szCs w:val="24"/>
        </w:rPr>
        <w:t>including the Anti-Car Theft Act of 1992 (Pub. L. 102-519)</w:t>
      </w:r>
      <w:r w:rsidR="000E3F4E">
        <w:rPr>
          <w:sz w:val="24"/>
          <w:szCs w:val="24"/>
        </w:rPr>
        <w:t>,</w:t>
      </w:r>
      <w:r w:rsidR="001C048F">
        <w:rPr>
          <w:sz w:val="24"/>
          <w:szCs w:val="24"/>
        </w:rPr>
        <w:t xml:space="preserve"> </w:t>
      </w:r>
      <w:r w:rsidR="00267EB4">
        <w:rPr>
          <w:sz w:val="24"/>
          <w:szCs w:val="24"/>
        </w:rPr>
        <w:t xml:space="preserve">to </w:t>
      </w:r>
      <w:r w:rsidR="009B2C6D">
        <w:rPr>
          <w:sz w:val="24"/>
          <w:szCs w:val="24"/>
        </w:rPr>
        <w:t>reduce the incidence of motor vehicle thefts by facilitating the tracing and recovery of parts from stolen vehicles</w:t>
      </w:r>
      <w:r w:rsidRPr="0002050E">
        <w:rPr>
          <w:sz w:val="24"/>
        </w:rPr>
        <w:t>. This program gives law enforcement personnel tools to deter thefts, trace stolen vehicles and parts, and apprehend and convict thieves.</w:t>
      </w:r>
    </w:p>
    <w:p w:rsidRPr="0002050E" w:rsidR="002B0DAA" w:rsidP="002B0DAA" w:rsidRDefault="002B0DAA" w14:paraId="29982F9F" w14:textId="77777777">
      <w:pPr>
        <w:ind w:left="720"/>
        <w:rPr>
          <w:sz w:val="24"/>
        </w:rPr>
      </w:pPr>
    </w:p>
    <w:p w:rsidR="002B0DAA" w:rsidP="00C267F7" w:rsidRDefault="002B0DAA" w14:paraId="4E67C0E6" w14:textId="77777777">
      <w:pPr>
        <w:rPr>
          <w:sz w:val="24"/>
          <w:szCs w:val="24"/>
          <w:u w:val="single"/>
        </w:rPr>
      </w:pPr>
      <w:r w:rsidRPr="0002050E">
        <w:rPr>
          <w:sz w:val="24"/>
          <w:szCs w:val="24"/>
          <w:u w:val="single"/>
        </w:rPr>
        <w:t>49 CFR Part 541</w:t>
      </w:r>
    </w:p>
    <w:p w:rsidRPr="0002050E" w:rsidR="002B0DAA" w:rsidP="002B0DAA" w:rsidRDefault="002B0DAA" w14:paraId="7D602519" w14:textId="77777777">
      <w:pPr>
        <w:rPr>
          <w:sz w:val="24"/>
          <w:szCs w:val="24"/>
        </w:rPr>
      </w:pPr>
    </w:p>
    <w:p w:rsidR="00EB25E5" w:rsidP="00C267F7" w:rsidRDefault="001C048F" w14:paraId="2A8519B8" w14:textId="73F278F4">
      <w:pPr>
        <w:tabs>
          <w:tab w:val="left" w:pos="9180"/>
        </w:tabs>
        <w:ind w:right="-144"/>
        <w:rPr>
          <w:sz w:val="24"/>
          <w:szCs w:val="24"/>
        </w:rPr>
      </w:pPr>
      <w:r>
        <w:rPr>
          <w:sz w:val="24"/>
          <w:szCs w:val="24"/>
        </w:rPr>
        <w:lastRenderedPageBreak/>
        <w:t>The</w:t>
      </w:r>
      <w:r w:rsidRPr="00F73AB6" w:rsidR="002B0DAA">
        <w:rPr>
          <w:sz w:val="24"/>
          <w:szCs w:val="24"/>
        </w:rPr>
        <w:t xml:space="preserve"> </w:t>
      </w:r>
      <w:r>
        <w:rPr>
          <w:sz w:val="24"/>
          <w:szCs w:val="24"/>
        </w:rPr>
        <w:t xml:space="preserve">1984 </w:t>
      </w:r>
      <w:r w:rsidRPr="00F73AB6" w:rsidR="002B0DAA">
        <w:rPr>
          <w:sz w:val="24"/>
          <w:szCs w:val="24"/>
        </w:rPr>
        <w:t>Theft Act require</w:t>
      </w:r>
      <w:r>
        <w:rPr>
          <w:sz w:val="24"/>
          <w:szCs w:val="24"/>
        </w:rPr>
        <w:t>d</w:t>
      </w:r>
      <w:r w:rsidRPr="00F73AB6" w:rsidR="002B0DAA">
        <w:rPr>
          <w:sz w:val="24"/>
          <w:szCs w:val="24"/>
        </w:rPr>
        <w:t xml:space="preserve"> specified parts of high theft vehicles to be marked with vehicle identification numbers.</w:t>
      </w:r>
      <w:r w:rsidR="00154B8F">
        <w:rPr>
          <w:sz w:val="24"/>
          <w:szCs w:val="24"/>
        </w:rPr>
        <w:t xml:space="preserve">  Pursuant to these requirements, 49 CFR Part 541 specifies the performance requirements for identifying numbers or symbols </w:t>
      </w:r>
      <w:r w:rsidR="0083321B">
        <w:rPr>
          <w:sz w:val="24"/>
          <w:szCs w:val="24"/>
        </w:rPr>
        <w:t xml:space="preserve">(generally the Vehicle Identification Number (VIN)) </w:t>
      </w:r>
      <w:r w:rsidR="00154B8F">
        <w:rPr>
          <w:sz w:val="24"/>
          <w:szCs w:val="24"/>
        </w:rPr>
        <w:t>to be placed on major parts of certain passenger motor vehicles.</w:t>
      </w:r>
      <w:r w:rsidR="00EB25E5">
        <w:rPr>
          <w:sz w:val="24"/>
          <w:szCs w:val="24"/>
        </w:rPr>
        <w:t xml:space="preserve">  Specifically, VIN labels must be permanently affixed </w:t>
      </w:r>
      <w:r w:rsidR="00121E23">
        <w:rPr>
          <w:sz w:val="24"/>
          <w:szCs w:val="24"/>
        </w:rPr>
        <w:t>to each listed part specified in 49 CFR 541.5(a), if the part is present on the motor vehicle.</w:t>
      </w:r>
    </w:p>
    <w:p w:rsidR="00EB25E5" w:rsidRDefault="00EB25E5" w14:paraId="2049E01B" w14:textId="77777777">
      <w:pPr>
        <w:tabs>
          <w:tab w:val="left" w:pos="9180"/>
        </w:tabs>
        <w:ind w:left="720" w:right="-144"/>
        <w:rPr>
          <w:sz w:val="24"/>
          <w:szCs w:val="24"/>
        </w:rPr>
      </w:pPr>
    </w:p>
    <w:p w:rsidR="00154B8F" w:rsidP="00C267F7" w:rsidRDefault="0083321B" w14:paraId="23DD6971" w14:textId="269D2DFF">
      <w:pPr>
        <w:tabs>
          <w:tab w:val="left" w:pos="9180"/>
        </w:tabs>
        <w:ind w:right="-144"/>
        <w:rPr>
          <w:sz w:val="24"/>
          <w:szCs w:val="24"/>
        </w:rPr>
      </w:pPr>
      <w:r>
        <w:rPr>
          <w:sz w:val="24"/>
          <w:szCs w:val="24"/>
        </w:rPr>
        <w:t>The standard applies to passenger motor vehicle parts that are present in (1) all passenger cars</w:t>
      </w:r>
      <w:r w:rsidRPr="00CC582E">
        <w:rPr>
          <w:sz w:val="24"/>
          <w:szCs w:val="24"/>
        </w:rPr>
        <w:t xml:space="preserve">, </w:t>
      </w:r>
      <w:r>
        <w:rPr>
          <w:sz w:val="24"/>
          <w:szCs w:val="24"/>
        </w:rPr>
        <w:t xml:space="preserve">(2) </w:t>
      </w:r>
      <w:r w:rsidRPr="00CC582E">
        <w:rPr>
          <w:sz w:val="24"/>
          <w:szCs w:val="24"/>
        </w:rPr>
        <w:t xml:space="preserve">multipurpose passenger vehicles with a gross vehicle weight rating (GVWR) of 6,000 pounds or less, </w:t>
      </w:r>
      <w:r>
        <w:rPr>
          <w:sz w:val="24"/>
          <w:szCs w:val="24"/>
        </w:rPr>
        <w:t xml:space="preserve">(3) </w:t>
      </w:r>
      <w:r w:rsidRPr="00CC582E">
        <w:rPr>
          <w:sz w:val="24"/>
          <w:szCs w:val="24"/>
        </w:rPr>
        <w:t xml:space="preserve">all light-duty trucks (LDTs) determined to be high-theft (with a </w:t>
      </w:r>
      <w:r w:rsidR="000E3F4E">
        <w:rPr>
          <w:sz w:val="24"/>
          <w:szCs w:val="24"/>
        </w:rPr>
        <w:t>GVWR</w:t>
      </w:r>
      <w:r w:rsidRPr="00CC582E">
        <w:rPr>
          <w:sz w:val="24"/>
          <w:szCs w:val="24"/>
        </w:rPr>
        <w:t xml:space="preserve"> of 6,000 pounds or less)</w:t>
      </w:r>
      <w:r>
        <w:rPr>
          <w:sz w:val="24"/>
          <w:szCs w:val="24"/>
        </w:rPr>
        <w:t>,</w:t>
      </w:r>
      <w:r w:rsidRPr="00CC582E">
        <w:rPr>
          <w:sz w:val="24"/>
          <w:szCs w:val="24"/>
        </w:rPr>
        <w:t xml:space="preserve"> and </w:t>
      </w:r>
      <w:r>
        <w:rPr>
          <w:sz w:val="24"/>
          <w:szCs w:val="24"/>
        </w:rPr>
        <w:t xml:space="preserve">(4) </w:t>
      </w:r>
      <w:r w:rsidRPr="00CC582E">
        <w:rPr>
          <w:sz w:val="24"/>
          <w:szCs w:val="24"/>
        </w:rPr>
        <w:t>all low-theft LDTs with major parts that are interchangeable with a majority of the covered major parts of those passenger motor vehicle lines subject to the standard.</w:t>
      </w:r>
      <w:r>
        <w:rPr>
          <w:sz w:val="24"/>
          <w:szCs w:val="24"/>
        </w:rPr>
        <w:t xml:space="preserve">  In addition, the standard applies to replacement motor vehicle parts for those four categories of vehicles. </w:t>
      </w:r>
      <w:r w:rsidR="00EB25E5">
        <w:rPr>
          <w:sz w:val="24"/>
          <w:szCs w:val="24"/>
        </w:rPr>
        <w:t xml:space="preserve"> For each vehicle line, ma</w:t>
      </w:r>
      <w:r w:rsidR="00A31593">
        <w:rPr>
          <w:sz w:val="24"/>
          <w:szCs w:val="24"/>
        </w:rPr>
        <w:t xml:space="preserve">nufacturers inform NHTSA </w:t>
      </w:r>
      <w:r w:rsidR="00EB25E5">
        <w:rPr>
          <w:sz w:val="24"/>
          <w:szCs w:val="24"/>
        </w:rPr>
        <w:t xml:space="preserve">of the location of the VIN marking on each part (target area) and the location of the VIN marking for the replacement part. </w:t>
      </w:r>
      <w:r w:rsidR="00F12D47">
        <w:rPr>
          <w:sz w:val="24"/>
          <w:szCs w:val="24"/>
        </w:rPr>
        <w:t xml:space="preserve"> This information is publicly available to </w:t>
      </w:r>
      <w:r w:rsidR="00935990">
        <w:rPr>
          <w:sz w:val="24"/>
          <w:szCs w:val="24"/>
        </w:rPr>
        <w:t>aid law enforcement personnel in tracing stolen vehicles and their parts.</w:t>
      </w:r>
      <w:r w:rsidR="00EB25E5">
        <w:rPr>
          <w:sz w:val="24"/>
          <w:szCs w:val="24"/>
        </w:rPr>
        <w:t xml:space="preserve"> </w:t>
      </w:r>
      <w:bookmarkStart w:name="_Hlk99977556" w:id="0"/>
      <w:r w:rsidR="009C4C7F">
        <w:rPr>
          <w:sz w:val="24"/>
          <w:szCs w:val="24"/>
        </w:rPr>
        <w:t>In addition, the manufacture</w:t>
      </w:r>
      <w:r w:rsidR="00865710">
        <w:rPr>
          <w:sz w:val="24"/>
          <w:szCs w:val="24"/>
        </w:rPr>
        <w:t>r</w:t>
      </w:r>
      <w:r w:rsidR="009C4C7F">
        <w:rPr>
          <w:sz w:val="24"/>
          <w:szCs w:val="24"/>
        </w:rPr>
        <w:t xml:space="preserve"> must maintain the target area designated for a part on a vehicle line for the duration of the production of the vehicle line, unless a restyling of the part makes it no longer practicable to mark within the original target area.</w:t>
      </w:r>
      <w:bookmarkEnd w:id="0"/>
    </w:p>
    <w:p w:rsidRPr="0002050E" w:rsidR="002B0DAA" w:rsidP="00072B33" w:rsidRDefault="002B0DAA" w14:paraId="3768B10A" w14:textId="77777777">
      <w:pPr>
        <w:tabs>
          <w:tab w:val="left" w:pos="9180"/>
        </w:tabs>
        <w:ind w:right="-144"/>
        <w:rPr>
          <w:sz w:val="24"/>
          <w:szCs w:val="24"/>
        </w:rPr>
      </w:pPr>
    </w:p>
    <w:p w:rsidR="002B0DAA" w:rsidP="00C267F7" w:rsidRDefault="002B0DAA" w14:paraId="6ECBDC33" w14:textId="77777777">
      <w:pPr>
        <w:rPr>
          <w:sz w:val="24"/>
          <w:szCs w:val="24"/>
          <w:u w:val="single"/>
        </w:rPr>
      </w:pPr>
      <w:r w:rsidRPr="00233C81">
        <w:rPr>
          <w:sz w:val="24"/>
          <w:szCs w:val="24"/>
          <w:u w:val="single"/>
        </w:rPr>
        <w:t>49 CFR Part 542</w:t>
      </w:r>
    </w:p>
    <w:p w:rsidR="002B0DAA" w:rsidP="002B0DAA" w:rsidRDefault="002B0DAA" w14:paraId="1DCB8C03" w14:textId="77777777">
      <w:pPr>
        <w:ind w:left="720"/>
        <w:rPr>
          <w:sz w:val="24"/>
          <w:szCs w:val="24"/>
          <w:u w:val="single"/>
        </w:rPr>
      </w:pPr>
    </w:p>
    <w:p w:rsidR="00CA0D59" w:rsidP="00C267F7" w:rsidRDefault="005F2BFA" w14:paraId="061DAFC1" w14:textId="29826007">
      <w:pPr>
        <w:tabs>
          <w:tab w:val="left" w:pos="-1440"/>
        </w:tabs>
        <w:rPr>
          <w:sz w:val="24"/>
          <w:szCs w:val="24"/>
        </w:rPr>
      </w:pPr>
      <w:r>
        <w:rPr>
          <w:sz w:val="24"/>
          <w:szCs w:val="24"/>
        </w:rPr>
        <w:t>NHTSA’s regulations</w:t>
      </w:r>
      <w:r w:rsidR="00F7125B">
        <w:rPr>
          <w:sz w:val="24"/>
          <w:szCs w:val="24"/>
        </w:rPr>
        <w:t xml:space="preserve"> at Part 542</w:t>
      </w:r>
      <w:r>
        <w:rPr>
          <w:sz w:val="24"/>
          <w:szCs w:val="24"/>
        </w:rPr>
        <w:t xml:space="preserve"> implementing the 1992 </w:t>
      </w:r>
      <w:r w:rsidR="001C048F">
        <w:rPr>
          <w:sz w:val="24"/>
          <w:szCs w:val="24"/>
        </w:rPr>
        <w:t xml:space="preserve">Theft </w:t>
      </w:r>
      <w:r>
        <w:rPr>
          <w:sz w:val="24"/>
          <w:szCs w:val="24"/>
        </w:rPr>
        <w:t xml:space="preserve">Act set forth the procedures for motor vehicle manufacturers and NHTSA to follow in the determination of whether any new light duty truck </w:t>
      </w:r>
      <w:r w:rsidR="00CE3DB9">
        <w:rPr>
          <w:sz w:val="24"/>
          <w:szCs w:val="24"/>
        </w:rPr>
        <w:t xml:space="preserve">(LDT) </w:t>
      </w:r>
      <w:r>
        <w:rPr>
          <w:sz w:val="24"/>
          <w:szCs w:val="24"/>
        </w:rPr>
        <w:t xml:space="preserve">line is likely to have a theft rate above or below the 1990/91 median theft rate.  Each manufacturer that plans to introduce a new </w:t>
      </w:r>
      <w:r w:rsidR="00CE3DB9">
        <w:rPr>
          <w:sz w:val="24"/>
          <w:szCs w:val="24"/>
        </w:rPr>
        <w:t>LDT</w:t>
      </w:r>
      <w:r>
        <w:rPr>
          <w:sz w:val="24"/>
          <w:szCs w:val="24"/>
        </w:rPr>
        <w:t xml:space="preserve"> line into commerce in the United States </w:t>
      </w:r>
      <w:r w:rsidR="00CE3DB9">
        <w:rPr>
          <w:sz w:val="24"/>
          <w:szCs w:val="24"/>
        </w:rPr>
        <w:t xml:space="preserve">must use criteria defined in 49 CFR Part 542 to determine whether the new line is likely to have a theft rate above or below the 1990/91 median theft rate.  The manufacturer </w:t>
      </w:r>
      <w:r w:rsidR="002B0DAA">
        <w:rPr>
          <w:sz w:val="24"/>
          <w:szCs w:val="24"/>
        </w:rPr>
        <w:t xml:space="preserve">must submit its evaluations and conclusions together with any supporting data on the new light duty truck to NHTSA </w:t>
      </w:r>
      <w:r w:rsidR="002B0DAA">
        <w:rPr>
          <w:sz w:val="24"/>
        </w:rPr>
        <w:t>at least 15 months before introduction of the vehicle into U.S. commerce.</w:t>
      </w:r>
      <w:r w:rsidR="005E1923">
        <w:rPr>
          <w:sz w:val="24"/>
          <w:szCs w:val="24"/>
        </w:rPr>
        <w:t xml:space="preserve">  NHTSA then determines whether the new LDT line should or should not be subject to the parts-marking requirements.</w:t>
      </w:r>
    </w:p>
    <w:p w:rsidR="00CA0D59" w:rsidRDefault="00CA0D59" w14:paraId="32BF1C04" w14:textId="77777777">
      <w:pPr>
        <w:tabs>
          <w:tab w:val="left" w:pos="-1440"/>
        </w:tabs>
        <w:ind w:left="720"/>
        <w:rPr>
          <w:sz w:val="24"/>
          <w:szCs w:val="24"/>
        </w:rPr>
      </w:pPr>
    </w:p>
    <w:p w:rsidR="002B0DAA" w:rsidP="00C267F7" w:rsidRDefault="00CA0D59" w14:paraId="32926A7B" w14:textId="541A54AD">
      <w:pPr>
        <w:tabs>
          <w:tab w:val="left" w:pos="-1440"/>
        </w:tabs>
        <w:rPr>
          <w:sz w:val="24"/>
          <w:szCs w:val="24"/>
        </w:rPr>
      </w:pPr>
      <w:r>
        <w:rPr>
          <w:sz w:val="24"/>
          <w:szCs w:val="24"/>
        </w:rPr>
        <w:t xml:space="preserve">In addition, Part 542 sets forth the procedures for </w:t>
      </w:r>
      <w:r w:rsidRPr="00CA0D59">
        <w:rPr>
          <w:sz w:val="24"/>
          <w:szCs w:val="24"/>
        </w:rPr>
        <w:t>motor vehicle manufacturers and NHTSA to follow in the determination of whether any light duty truck lines that have or are likely to have a low theft rate have major parts interchangeable with a majority of the covered major parts of a passenger motor vehicle line.</w:t>
      </w:r>
      <w:r>
        <w:rPr>
          <w:sz w:val="24"/>
          <w:szCs w:val="24"/>
        </w:rPr>
        <w:t xml:space="preserve">  </w:t>
      </w:r>
      <w:r w:rsidRPr="00104877" w:rsidR="00104877">
        <w:rPr>
          <w:sz w:val="24"/>
          <w:szCs w:val="24"/>
        </w:rPr>
        <w:t xml:space="preserve">If the manufacturer concludes that a light duty truck line that has or is likely to have a theft rate below the median theft rate </w:t>
      </w:r>
      <w:r w:rsidR="00031744">
        <w:rPr>
          <w:sz w:val="24"/>
          <w:szCs w:val="24"/>
        </w:rPr>
        <w:t xml:space="preserve">and </w:t>
      </w:r>
      <w:r w:rsidRPr="00104877" w:rsidR="00104877">
        <w:rPr>
          <w:sz w:val="24"/>
          <w:szCs w:val="24"/>
        </w:rPr>
        <w:t>has major parts that are interchangeable with a majority of the covered major parts of a passenger motor vehicle line, the manufacturer determines whether all the vehicles of those lines with sub-median or likely sub-median theft rates will account for more than 90 percent of the total annual production of all of the manufacturer's lines with those interchangeable parts.</w:t>
      </w:r>
      <w:r w:rsidR="00104877">
        <w:rPr>
          <w:sz w:val="24"/>
          <w:szCs w:val="24"/>
        </w:rPr>
        <w:t xml:space="preserve">  The manufacturer must submit its evaluation and conclusions together with underlying </w:t>
      </w:r>
      <w:proofErr w:type="gramStart"/>
      <w:r w:rsidR="00104877">
        <w:rPr>
          <w:sz w:val="24"/>
          <w:szCs w:val="24"/>
        </w:rPr>
        <w:t>factual information</w:t>
      </w:r>
      <w:proofErr w:type="gramEnd"/>
      <w:r w:rsidR="00104877">
        <w:rPr>
          <w:sz w:val="24"/>
          <w:szCs w:val="24"/>
        </w:rPr>
        <w:t xml:space="preserve"> to NHTSA at least 15 months before introduction of the vehicle into U.S. commerce.  NHTSA then determines whether the line should or should not be subject to the parts-marking requirements.</w:t>
      </w:r>
    </w:p>
    <w:p w:rsidR="00C452AE" w:rsidRDefault="00C452AE" w14:paraId="645AC482" w14:textId="77777777">
      <w:pPr>
        <w:tabs>
          <w:tab w:val="left" w:pos="-1440"/>
        </w:tabs>
        <w:ind w:left="720"/>
        <w:rPr>
          <w:sz w:val="24"/>
          <w:szCs w:val="24"/>
        </w:rPr>
      </w:pPr>
    </w:p>
    <w:p w:rsidRPr="00C267F7" w:rsidR="00A77FB7" w:rsidP="00C267F7" w:rsidRDefault="00A77FB7" w14:paraId="615D1CBA" w14:textId="7273A73E">
      <w:pPr>
        <w:pStyle w:val="ListParagraph"/>
        <w:numPr>
          <w:ilvl w:val="0"/>
          <w:numId w:val="10"/>
        </w:numPr>
        <w:ind w:left="360"/>
        <w:rPr>
          <w:b/>
          <w:bCs/>
          <w:sz w:val="24"/>
          <w:szCs w:val="24"/>
        </w:rPr>
      </w:pPr>
      <w:r w:rsidRPr="00C267F7">
        <w:rPr>
          <w:b/>
          <w:bCs/>
          <w:sz w:val="24"/>
          <w:szCs w:val="24"/>
        </w:rPr>
        <w:t>Indicate how, by whom, and for what purpose the information is to be used. Except for a new collection, indicate the actual use the agency has made of the information received from the current collection.</w:t>
      </w:r>
    </w:p>
    <w:p w:rsidRPr="00C267F7" w:rsidR="00A77FB7" w:rsidP="00C267F7" w:rsidRDefault="00A77FB7" w14:paraId="6C16BE7C" w14:textId="77777777">
      <w:pPr>
        <w:pStyle w:val="ListParagraph"/>
        <w:rPr>
          <w:sz w:val="24"/>
          <w:szCs w:val="24"/>
        </w:rPr>
      </w:pPr>
    </w:p>
    <w:p w:rsidRPr="0002050E" w:rsidR="002B0DAA" w:rsidP="00C267F7" w:rsidRDefault="002B0DAA" w14:paraId="23D0F35E" w14:textId="1F8FC301">
      <w:pPr>
        <w:rPr>
          <w:sz w:val="24"/>
          <w:szCs w:val="24"/>
        </w:rPr>
      </w:pPr>
      <w:r w:rsidRPr="0002050E">
        <w:rPr>
          <w:sz w:val="24"/>
          <w:szCs w:val="24"/>
          <w:u w:val="single"/>
        </w:rPr>
        <w:t>49 CFR Part 541</w:t>
      </w:r>
    </w:p>
    <w:p w:rsidRPr="0002050E" w:rsidR="002B0DAA" w:rsidP="002B0DAA" w:rsidRDefault="002B0DAA" w14:paraId="22152502" w14:textId="77777777">
      <w:pPr>
        <w:rPr>
          <w:sz w:val="24"/>
          <w:szCs w:val="24"/>
        </w:rPr>
      </w:pPr>
    </w:p>
    <w:p w:rsidRPr="0002050E" w:rsidR="002B0DAA" w:rsidP="00C267F7" w:rsidRDefault="002B0DAA" w14:paraId="2039789F" w14:textId="4820EB8C">
      <w:pPr>
        <w:rPr>
          <w:sz w:val="24"/>
          <w:szCs w:val="24"/>
        </w:rPr>
      </w:pPr>
      <w:r w:rsidRPr="0002050E">
        <w:rPr>
          <w:sz w:val="24"/>
          <w:szCs w:val="24"/>
        </w:rPr>
        <w:t>The identification of major parts of high</w:t>
      </w:r>
      <w:r w:rsidRPr="0002050E">
        <w:rPr>
          <w:sz w:val="24"/>
          <w:szCs w:val="24"/>
        </w:rPr>
        <w:noBreakHyphen/>
        <w:t xml:space="preserve">theft motor vehicle lines is designed to decrease automobile theft by making it more difficult for criminals to </w:t>
      </w:r>
      <w:r w:rsidR="005F30A4">
        <w:rPr>
          <w:sz w:val="24"/>
          <w:szCs w:val="24"/>
        </w:rPr>
        <w:t>“</w:t>
      </w:r>
      <w:r w:rsidRPr="0002050E">
        <w:rPr>
          <w:sz w:val="24"/>
          <w:szCs w:val="24"/>
        </w:rPr>
        <w:t>chop</w:t>
      </w:r>
      <w:r w:rsidR="005F30A4">
        <w:rPr>
          <w:sz w:val="24"/>
          <w:szCs w:val="24"/>
        </w:rPr>
        <w:t>”</w:t>
      </w:r>
      <w:r w:rsidRPr="0002050E">
        <w:rPr>
          <w:sz w:val="24"/>
          <w:szCs w:val="24"/>
        </w:rPr>
        <w:t xml:space="preserve"> vehicles into component parts and then fence such parts.  The information </w:t>
      </w:r>
      <w:r w:rsidR="005F30A4">
        <w:rPr>
          <w:sz w:val="24"/>
          <w:szCs w:val="24"/>
        </w:rPr>
        <w:t xml:space="preserve">received from this collection </w:t>
      </w:r>
      <w:r w:rsidR="005635C8">
        <w:rPr>
          <w:sz w:val="24"/>
          <w:szCs w:val="24"/>
        </w:rPr>
        <w:t>aids</w:t>
      </w:r>
      <w:r w:rsidRPr="0002050E">
        <w:rPr>
          <w:sz w:val="24"/>
          <w:szCs w:val="24"/>
        </w:rPr>
        <w:t xml:space="preserve"> law enforcement officials at all levels of </w:t>
      </w:r>
      <w:r w:rsidR="006C58F7">
        <w:rPr>
          <w:sz w:val="24"/>
          <w:szCs w:val="24"/>
        </w:rPr>
        <w:t>g</w:t>
      </w:r>
      <w:r w:rsidRPr="0002050E">
        <w:rPr>
          <w:sz w:val="24"/>
          <w:szCs w:val="24"/>
        </w:rPr>
        <w:t xml:space="preserve">overnment in the investigation of </w:t>
      </w:r>
      <w:r w:rsidR="005F30A4">
        <w:rPr>
          <w:sz w:val="24"/>
          <w:szCs w:val="24"/>
        </w:rPr>
        <w:t>“</w:t>
      </w:r>
      <w:r w:rsidRPr="0002050E">
        <w:rPr>
          <w:sz w:val="24"/>
          <w:szCs w:val="24"/>
        </w:rPr>
        <w:t>chop shops</w:t>
      </w:r>
      <w:r w:rsidR="005F30A4">
        <w:rPr>
          <w:sz w:val="24"/>
          <w:szCs w:val="24"/>
        </w:rPr>
        <w:t>”</w:t>
      </w:r>
      <w:r w:rsidRPr="0002050E">
        <w:rPr>
          <w:sz w:val="24"/>
          <w:szCs w:val="24"/>
        </w:rPr>
        <w:t xml:space="preserve"> by creating evidence for prosecution of the operators for possession of stolen motor vehicle parts.  Officials have great difficulty in establishing that </w:t>
      </w:r>
      <w:proofErr w:type="gramStart"/>
      <w:r w:rsidRPr="0002050E">
        <w:rPr>
          <w:sz w:val="24"/>
          <w:szCs w:val="24"/>
        </w:rPr>
        <w:t>particular parts</w:t>
      </w:r>
      <w:proofErr w:type="gramEnd"/>
      <w:r w:rsidRPr="0002050E">
        <w:rPr>
          <w:sz w:val="24"/>
          <w:szCs w:val="24"/>
        </w:rPr>
        <w:t xml:space="preserve"> in the possession of a </w:t>
      </w:r>
      <w:r w:rsidR="005F30A4">
        <w:rPr>
          <w:sz w:val="24"/>
          <w:szCs w:val="24"/>
        </w:rPr>
        <w:t>“</w:t>
      </w:r>
      <w:r w:rsidRPr="0002050E">
        <w:rPr>
          <w:sz w:val="24"/>
          <w:szCs w:val="24"/>
        </w:rPr>
        <w:t>chop shop</w:t>
      </w:r>
      <w:r w:rsidR="005F30A4">
        <w:rPr>
          <w:sz w:val="24"/>
          <w:szCs w:val="24"/>
        </w:rPr>
        <w:t>”</w:t>
      </w:r>
      <w:r w:rsidRPr="0002050E">
        <w:rPr>
          <w:sz w:val="24"/>
          <w:szCs w:val="24"/>
        </w:rPr>
        <w:t xml:space="preserve"> are in fact stolen when the parts are not marked.  Major parts are marked on high</w:t>
      </w:r>
      <w:r w:rsidRPr="0002050E">
        <w:rPr>
          <w:sz w:val="24"/>
          <w:szCs w:val="24"/>
        </w:rPr>
        <w:noBreakHyphen/>
        <w:t xml:space="preserve">theft vehicle lines.  If a vehicle is stolen and </w:t>
      </w:r>
      <w:r w:rsidR="005F30A4">
        <w:rPr>
          <w:sz w:val="24"/>
          <w:szCs w:val="24"/>
        </w:rPr>
        <w:t>“</w:t>
      </w:r>
      <w:r w:rsidRPr="0002050E">
        <w:rPr>
          <w:sz w:val="24"/>
          <w:szCs w:val="24"/>
        </w:rPr>
        <w:t>chopped</w:t>
      </w:r>
      <w:r w:rsidR="005F30A4">
        <w:rPr>
          <w:sz w:val="24"/>
          <w:szCs w:val="24"/>
        </w:rPr>
        <w:t>”</w:t>
      </w:r>
      <w:r w:rsidRPr="0002050E">
        <w:rPr>
          <w:sz w:val="24"/>
          <w:szCs w:val="24"/>
        </w:rPr>
        <w:t xml:space="preserve"> into its components, the parts are normally fenced to auto body shops for either a specific repair or general stock.  Operators of both </w:t>
      </w:r>
      <w:r w:rsidR="005F30A4">
        <w:rPr>
          <w:sz w:val="24"/>
          <w:szCs w:val="24"/>
        </w:rPr>
        <w:t>“</w:t>
      </w:r>
      <w:r w:rsidRPr="0002050E">
        <w:rPr>
          <w:sz w:val="24"/>
          <w:szCs w:val="24"/>
        </w:rPr>
        <w:t>chop shops</w:t>
      </w:r>
      <w:r w:rsidR="005F30A4">
        <w:rPr>
          <w:sz w:val="24"/>
          <w:szCs w:val="24"/>
        </w:rPr>
        <w:t>”</w:t>
      </w:r>
      <w:r w:rsidRPr="0002050E">
        <w:rPr>
          <w:sz w:val="24"/>
          <w:szCs w:val="24"/>
        </w:rPr>
        <w:t xml:space="preserve"> and auto body repair shops would avoid possession of parts bearing identification that links the parts to a stolen vehicle.  Thus, Congress intend</w:t>
      </w:r>
      <w:r w:rsidR="000D32B8">
        <w:rPr>
          <w:sz w:val="24"/>
          <w:szCs w:val="24"/>
        </w:rPr>
        <w:t>ed</w:t>
      </w:r>
      <w:r w:rsidRPr="0002050E">
        <w:rPr>
          <w:sz w:val="24"/>
          <w:szCs w:val="24"/>
        </w:rPr>
        <w:t xml:space="preserve"> for major parts identification to decrease the market for stolen parts and</w:t>
      </w:r>
      <w:r w:rsidR="006C58F7">
        <w:rPr>
          <w:sz w:val="24"/>
          <w:szCs w:val="24"/>
        </w:rPr>
        <w:t>,</w:t>
      </w:r>
      <w:r w:rsidRPr="0002050E">
        <w:rPr>
          <w:sz w:val="24"/>
          <w:szCs w:val="24"/>
        </w:rPr>
        <w:t xml:space="preserve"> therefore, decrease the incentive for motor vehicle theft.</w:t>
      </w:r>
    </w:p>
    <w:p w:rsidRPr="0002050E" w:rsidR="002B0DAA" w:rsidP="002B0DAA" w:rsidRDefault="002B0DAA" w14:paraId="068FD1E3" w14:textId="7ABD364D">
      <w:pPr>
        <w:rPr>
          <w:sz w:val="24"/>
          <w:szCs w:val="24"/>
        </w:rPr>
      </w:pPr>
    </w:p>
    <w:p w:rsidRPr="0002050E" w:rsidR="002B0DAA" w:rsidP="00C267F7" w:rsidRDefault="002B0DAA" w14:paraId="5673A59D" w14:textId="6938BF13">
      <w:pPr>
        <w:rPr>
          <w:sz w:val="24"/>
          <w:szCs w:val="24"/>
        </w:rPr>
      </w:pPr>
      <w:r w:rsidRPr="0002050E">
        <w:rPr>
          <w:sz w:val="24"/>
          <w:szCs w:val="24"/>
          <w:u w:val="single"/>
        </w:rPr>
        <w:t>49 CFR Part 5</w:t>
      </w:r>
      <w:r>
        <w:rPr>
          <w:sz w:val="24"/>
          <w:szCs w:val="24"/>
          <w:u w:val="single"/>
        </w:rPr>
        <w:t>42</w:t>
      </w:r>
    </w:p>
    <w:p w:rsidRPr="0002050E" w:rsidR="002B0DAA" w:rsidP="002B0DAA" w:rsidRDefault="002B0DAA" w14:paraId="2DA5620F" w14:textId="77777777">
      <w:pPr>
        <w:rPr>
          <w:sz w:val="24"/>
          <w:szCs w:val="24"/>
        </w:rPr>
      </w:pPr>
    </w:p>
    <w:p w:rsidR="00716D45" w:rsidP="00C267F7" w:rsidRDefault="002B0DAA" w14:paraId="2C13BC6E" w14:textId="63A21E07">
      <w:pPr>
        <w:rPr>
          <w:sz w:val="24"/>
        </w:rPr>
      </w:pPr>
      <w:r>
        <w:rPr>
          <w:sz w:val="24"/>
        </w:rPr>
        <w:t>These</w:t>
      </w:r>
      <w:r w:rsidRPr="006C58F7" w:rsidR="006C58F7">
        <w:rPr>
          <w:sz w:val="24"/>
        </w:rPr>
        <w:t xml:space="preserve"> </w:t>
      </w:r>
      <w:r w:rsidR="006C58F7">
        <w:rPr>
          <w:sz w:val="24"/>
        </w:rPr>
        <w:t>statutorily mandated</w:t>
      </w:r>
      <w:r>
        <w:rPr>
          <w:sz w:val="24"/>
        </w:rPr>
        <w:t xml:space="preserve"> procedures require that manufacturers apply the relevant criteria</w:t>
      </w:r>
      <w:r w:rsidR="006C58F7">
        <w:rPr>
          <w:sz w:val="24"/>
        </w:rPr>
        <w:t xml:space="preserve"> for selecting new light duty truck lines likely to have high or low theft rates</w:t>
      </w:r>
      <w:r>
        <w:rPr>
          <w:sz w:val="24"/>
        </w:rPr>
        <w:t xml:space="preserve"> to </w:t>
      </w:r>
      <w:r w:rsidR="00D41ACB">
        <w:rPr>
          <w:sz w:val="24"/>
        </w:rPr>
        <w:t xml:space="preserve">their </w:t>
      </w:r>
      <w:r>
        <w:rPr>
          <w:sz w:val="24"/>
        </w:rPr>
        <w:t xml:space="preserve">currently produced and planned vehicles, and submit an initial determination of which of </w:t>
      </w:r>
      <w:r w:rsidR="00D6181F">
        <w:rPr>
          <w:sz w:val="24"/>
        </w:rPr>
        <w:t xml:space="preserve">their </w:t>
      </w:r>
      <w:r>
        <w:rPr>
          <w:sz w:val="24"/>
        </w:rPr>
        <w:t xml:space="preserve">LDT lines and low-theft truck lines having a majority of </w:t>
      </w:r>
      <w:r w:rsidR="006C58F7">
        <w:rPr>
          <w:sz w:val="24"/>
        </w:rPr>
        <w:t xml:space="preserve">their </w:t>
      </w:r>
      <w:r>
        <w:rPr>
          <w:sz w:val="24"/>
        </w:rPr>
        <w:t>major component parts interchangeable with those of a high-theft passenger motor vehicle line should be selected as likely high-theft vehicle lines, together with the factual information considered in reaching that determination.  These procedures are required</w:t>
      </w:r>
      <w:r>
        <w:rPr>
          <w:b/>
          <w:bCs/>
          <w:sz w:val="24"/>
        </w:rPr>
        <w:t xml:space="preserve">. </w:t>
      </w:r>
      <w:r w:rsidR="00716D45">
        <w:rPr>
          <w:bCs/>
          <w:sz w:val="24"/>
        </w:rPr>
        <w:t>M</w:t>
      </w:r>
      <w:r>
        <w:rPr>
          <w:sz w:val="24"/>
        </w:rPr>
        <w:t xml:space="preserve">anufacturers </w:t>
      </w:r>
      <w:r w:rsidR="00716D45">
        <w:rPr>
          <w:sz w:val="24"/>
        </w:rPr>
        <w:t xml:space="preserve">must </w:t>
      </w:r>
      <w:r>
        <w:rPr>
          <w:sz w:val="24"/>
        </w:rPr>
        <w:t xml:space="preserve">submit information on new vehicles </w:t>
      </w:r>
      <w:r w:rsidR="00716D45">
        <w:rPr>
          <w:sz w:val="24"/>
        </w:rPr>
        <w:t xml:space="preserve">and required supporting information at least 15 months </w:t>
      </w:r>
      <w:r>
        <w:rPr>
          <w:sz w:val="24"/>
        </w:rPr>
        <w:t xml:space="preserve">prior to </w:t>
      </w:r>
      <w:r w:rsidR="00716D45">
        <w:rPr>
          <w:sz w:val="24"/>
        </w:rPr>
        <w:t xml:space="preserve">the vehicle’s </w:t>
      </w:r>
      <w:r>
        <w:rPr>
          <w:sz w:val="24"/>
        </w:rPr>
        <w:t xml:space="preserve">introduction into </w:t>
      </w:r>
      <w:r w:rsidR="00716D45">
        <w:rPr>
          <w:sz w:val="24"/>
        </w:rPr>
        <w:t xml:space="preserve">U.S. </w:t>
      </w:r>
      <w:r>
        <w:rPr>
          <w:sz w:val="24"/>
        </w:rPr>
        <w:t>commerce.</w:t>
      </w:r>
      <w:r w:rsidR="00716D45">
        <w:rPr>
          <w:sz w:val="24"/>
        </w:rPr>
        <w:t xml:space="preserve">  NHTSA then uses this information to aid in its determination of which LDT or low-theft truck lines are covered by the standard.</w:t>
      </w:r>
    </w:p>
    <w:p w:rsidR="002B0DAA" w:rsidP="00072B33" w:rsidRDefault="002B0DAA" w14:paraId="5660287B" w14:textId="77777777">
      <w:pPr>
        <w:rPr>
          <w:sz w:val="24"/>
        </w:rPr>
      </w:pPr>
    </w:p>
    <w:p w:rsidR="002B0DAA" w:rsidP="00C267F7" w:rsidRDefault="002B0DAA" w14:paraId="2E88D5BE" w14:textId="76492E52">
      <w:pPr>
        <w:pStyle w:val="ListParagraph"/>
        <w:numPr>
          <w:ilvl w:val="0"/>
          <w:numId w:val="10"/>
        </w:numPr>
        <w:tabs>
          <w:tab w:val="left" w:pos="360"/>
        </w:tabs>
        <w:ind w:left="360"/>
      </w:pPr>
      <w:r w:rsidRPr="00C267F7">
        <w:rPr>
          <w:b/>
          <w:bCs/>
          <w:sz w:val="24"/>
          <w:szCs w:val="24"/>
        </w:rPr>
        <w:t>Describe whether</w:t>
      </w:r>
      <w:r w:rsidRPr="00C267F7" w:rsidR="00383726">
        <w:rPr>
          <w:b/>
          <w:bCs/>
          <w:sz w:val="24"/>
          <w:szCs w:val="24"/>
        </w:rPr>
        <w:t>, and to what extent,</w:t>
      </w:r>
      <w:r w:rsidRPr="00C267F7">
        <w:rPr>
          <w:b/>
          <w:bCs/>
          <w:sz w:val="24"/>
          <w:szCs w:val="24"/>
        </w:rPr>
        <w:t xml:space="preserve"> the collection of information involves the use of </w:t>
      </w:r>
      <w:r w:rsidRPr="00C267F7" w:rsidR="00383726">
        <w:rPr>
          <w:b/>
          <w:bCs/>
          <w:sz w:val="24"/>
          <w:szCs w:val="24"/>
        </w:rPr>
        <w:t xml:space="preserve">automated, electronic, mechanical, or other </w:t>
      </w:r>
      <w:r w:rsidRPr="00C267F7">
        <w:rPr>
          <w:b/>
          <w:bCs/>
          <w:sz w:val="24"/>
          <w:szCs w:val="24"/>
        </w:rPr>
        <w:t>technological collection techniques or other forms of information technology</w:t>
      </w:r>
      <w:r w:rsidRPr="00C267F7" w:rsidR="00383726">
        <w:rPr>
          <w:b/>
          <w:bCs/>
          <w:sz w:val="24"/>
          <w:szCs w:val="24"/>
        </w:rPr>
        <w:t>, e.g., permitting electronic submission of responses, and the basis for the decision for adopting this means of collection.  Also, describe any consideration of using information technology to reduce burden</w:t>
      </w:r>
      <w:r w:rsidRPr="00C267F7">
        <w:rPr>
          <w:b/>
          <w:bCs/>
          <w:sz w:val="24"/>
          <w:szCs w:val="24"/>
        </w:rPr>
        <w:t>.</w:t>
      </w:r>
    </w:p>
    <w:p w:rsidR="002B0DAA" w:rsidP="002B0DAA" w:rsidRDefault="002B0DAA" w14:paraId="527C990A" w14:textId="77777777">
      <w:pPr>
        <w:pStyle w:val="BodyTextIndent"/>
        <w:ind w:right="-414"/>
      </w:pPr>
    </w:p>
    <w:p w:rsidR="004B1CFD" w:rsidP="00C267F7" w:rsidRDefault="000203D4" w14:paraId="0AD4B419" w14:textId="0AC1DB3A">
      <w:pPr>
        <w:pStyle w:val="BodyTextIndent"/>
        <w:ind w:left="0" w:right="-414"/>
      </w:pPr>
      <w:r>
        <w:t>49 CFR Parts 541 and 542 do</w:t>
      </w:r>
      <w:r w:rsidRPr="0002050E" w:rsidR="002B0DAA">
        <w:t xml:space="preserve"> not impose any obstacles for automobile manufacturers to use technological collection techniques or other forms of information technology for transmission and storage of the information.  </w:t>
      </w:r>
      <w:r w:rsidR="000A0B50">
        <w:t>For the information required to be submitted to NHTSA,</w:t>
      </w:r>
      <w:r w:rsidRPr="0002050E" w:rsidR="002B0DAA">
        <w:t xml:space="preserve"> </w:t>
      </w:r>
      <w:r w:rsidR="004B1CFD">
        <w:t xml:space="preserve">a </w:t>
      </w:r>
      <w:r w:rsidRPr="0002050E" w:rsidR="002B0DAA">
        <w:t xml:space="preserve">manufacturer may use any form of improved information technology it deems necessary that minimizes the burden </w:t>
      </w:r>
      <w:proofErr w:type="gramStart"/>
      <w:r w:rsidRPr="0002050E" w:rsidR="002B0DAA">
        <w:t>as long as</w:t>
      </w:r>
      <w:proofErr w:type="gramEnd"/>
      <w:r w:rsidRPr="0002050E" w:rsidR="002B0DAA">
        <w:t xml:space="preserve"> the required reports are provided.  Manufacturers have chosen to submit this information to NHTSA in hard copy form.  However, to increase information </w:t>
      </w:r>
      <w:r w:rsidRPr="0002050E" w:rsidR="002B0DAA">
        <w:lastRenderedPageBreak/>
        <w:t>technology, the agency will continue to encourage manufacturers to submit this information electronically by using computer disks (NHTSA-approved format)</w:t>
      </w:r>
      <w:r w:rsidR="00A14A94">
        <w:t xml:space="preserve"> and </w:t>
      </w:r>
      <w:r w:rsidRPr="0002050E" w:rsidR="002B0DAA">
        <w:t>by email</w:t>
      </w:r>
      <w:r w:rsidRPr="00CF21DD" w:rsidR="002B0DAA">
        <w:t xml:space="preserve">.  </w:t>
      </w:r>
      <w:r w:rsidR="002B0DAA">
        <w:t>Approximately one</w:t>
      </w:r>
      <w:r w:rsidRPr="00CF21DD" w:rsidR="002B0DAA">
        <w:t xml:space="preserve"> percent (</w:t>
      </w:r>
      <w:r w:rsidR="002B0DAA">
        <w:t>1</w:t>
      </w:r>
      <w:r w:rsidRPr="00CF21DD" w:rsidR="002B0DAA">
        <w:t xml:space="preserve">%) of Part 541 and </w:t>
      </w:r>
      <w:r w:rsidR="002B0DAA">
        <w:t>542</w:t>
      </w:r>
      <w:r w:rsidR="00285AD6">
        <w:t xml:space="preserve"> </w:t>
      </w:r>
      <w:r w:rsidRPr="00CF21DD" w:rsidR="002B0DAA">
        <w:t>submissions come in electronically.</w:t>
      </w:r>
      <w:r w:rsidR="004B1CFD">
        <w:t xml:space="preserve"> For the parts-marking requirements, manufacturers may use automated processes to reduce burden </w:t>
      </w:r>
      <w:r w:rsidR="000D574B">
        <w:t xml:space="preserve">and are permitted to do </w:t>
      </w:r>
      <w:r w:rsidR="004B1CFD">
        <w:t xml:space="preserve">so </w:t>
      </w:r>
      <w:proofErr w:type="gramStart"/>
      <w:r w:rsidR="00FF2D9F">
        <w:t xml:space="preserve">as </w:t>
      </w:r>
      <w:r w:rsidR="004B1CFD">
        <w:t>long as</w:t>
      </w:r>
      <w:proofErr w:type="gramEnd"/>
      <w:r w:rsidR="004B1CFD">
        <w:t xml:space="preserve"> the required information is </w:t>
      </w:r>
      <w:r w:rsidR="00EB23E5">
        <w:t xml:space="preserve">placed on the specified parts in a manner permissible under the statute and regulations. </w:t>
      </w:r>
    </w:p>
    <w:p w:rsidRPr="00A61765" w:rsidR="002B0DAA" w:rsidP="002B0DAA" w:rsidRDefault="002B0DAA" w14:paraId="76F2D988" w14:textId="77777777">
      <w:pPr>
        <w:tabs>
          <w:tab w:val="left" w:pos="0"/>
          <w:tab w:val="left" w:pos="727"/>
          <w:tab w:val="right" w:pos="7170"/>
        </w:tabs>
        <w:ind w:left="727"/>
        <w:rPr>
          <w:sz w:val="24"/>
          <w:szCs w:val="24"/>
        </w:rPr>
      </w:pPr>
    </w:p>
    <w:p w:rsidRPr="00C267F7" w:rsidR="002B0DAA" w:rsidP="00C267F7" w:rsidRDefault="002B0DAA" w14:paraId="5D903E53" w14:textId="6DBD3858">
      <w:pPr>
        <w:pStyle w:val="ListParagraph"/>
        <w:numPr>
          <w:ilvl w:val="0"/>
          <w:numId w:val="10"/>
        </w:numPr>
        <w:ind w:left="360"/>
        <w:rPr>
          <w:sz w:val="24"/>
          <w:szCs w:val="24"/>
          <w:u w:val="single"/>
        </w:rPr>
      </w:pPr>
      <w:r w:rsidRPr="00C267F7">
        <w:rPr>
          <w:b/>
          <w:bCs/>
          <w:sz w:val="24"/>
          <w:szCs w:val="24"/>
        </w:rPr>
        <w:t>Describe efforts to identify duplication.</w:t>
      </w:r>
      <w:r w:rsidRPr="00C267F7" w:rsidR="00D81F9A">
        <w:rPr>
          <w:b/>
          <w:bCs/>
          <w:sz w:val="24"/>
          <w:szCs w:val="24"/>
        </w:rPr>
        <w:t xml:space="preserve">  Show specifically why any similar information already available cannot be used or modified for use for the purposes described in Item 2 above.</w:t>
      </w:r>
    </w:p>
    <w:p w:rsidRPr="0002050E" w:rsidR="004C4153" w:rsidP="00072B33" w:rsidRDefault="004C4153" w14:paraId="1FF0EBB0" w14:textId="7FE35A70">
      <w:pPr>
        <w:rPr>
          <w:sz w:val="24"/>
          <w:szCs w:val="24"/>
        </w:rPr>
      </w:pPr>
      <w:r>
        <w:rPr>
          <w:sz w:val="24"/>
          <w:szCs w:val="24"/>
        </w:rPr>
        <w:tab/>
      </w:r>
    </w:p>
    <w:p w:rsidR="002B0DAA" w:rsidP="00C267F7" w:rsidRDefault="002B0DAA" w14:paraId="7BD90678" w14:textId="7894A944">
      <w:pPr>
        <w:tabs>
          <w:tab w:val="left" w:pos="0"/>
          <w:tab w:val="left" w:pos="727"/>
          <w:tab w:val="right" w:pos="7170"/>
        </w:tabs>
        <w:rPr>
          <w:sz w:val="24"/>
          <w:szCs w:val="24"/>
        </w:rPr>
      </w:pPr>
      <w:r w:rsidRPr="0002050E">
        <w:rPr>
          <w:sz w:val="24"/>
          <w:szCs w:val="24"/>
        </w:rPr>
        <w:t>This information is not required by any other law or regulation and would not be available without the regulation.  Congress expressly addressed the issue of duplication by prohibiting any requirement that a part have more than a single identification</w:t>
      </w:r>
      <w:r w:rsidR="002B59F3">
        <w:rPr>
          <w:sz w:val="24"/>
          <w:szCs w:val="24"/>
        </w:rPr>
        <w:t xml:space="preserve"> (</w:t>
      </w:r>
      <w:r w:rsidRPr="0002050E">
        <w:rPr>
          <w:sz w:val="24"/>
          <w:szCs w:val="24"/>
        </w:rPr>
        <w:t>Cost Savings Act Section 602(d)(1)</w:t>
      </w:r>
      <w:r w:rsidR="002B59F3">
        <w:rPr>
          <w:sz w:val="24"/>
          <w:szCs w:val="24"/>
        </w:rPr>
        <w:t>)</w:t>
      </w:r>
      <w:r w:rsidRPr="0002050E">
        <w:rPr>
          <w:sz w:val="24"/>
          <w:szCs w:val="24"/>
        </w:rPr>
        <w:t xml:space="preserve">.  </w:t>
      </w:r>
      <w:r w:rsidRPr="007D6490">
        <w:rPr>
          <w:sz w:val="24"/>
          <w:szCs w:val="24"/>
        </w:rPr>
        <w:t xml:space="preserve">No other agency is responsible for collecting information on the </w:t>
      </w:r>
      <w:r w:rsidR="0080295F">
        <w:rPr>
          <w:sz w:val="24"/>
          <w:szCs w:val="24"/>
        </w:rPr>
        <w:t>T</w:t>
      </w:r>
      <w:r w:rsidRPr="007D6490" w:rsidR="0080295F">
        <w:rPr>
          <w:sz w:val="24"/>
          <w:szCs w:val="24"/>
        </w:rPr>
        <w:t xml:space="preserve">heft </w:t>
      </w:r>
      <w:r w:rsidR="0080295F">
        <w:rPr>
          <w:sz w:val="24"/>
          <w:szCs w:val="24"/>
        </w:rPr>
        <w:t>P</w:t>
      </w:r>
      <w:r w:rsidRPr="007D6490">
        <w:rPr>
          <w:sz w:val="24"/>
          <w:szCs w:val="24"/>
        </w:rPr>
        <w:t xml:space="preserve">revention </w:t>
      </w:r>
      <w:r w:rsidR="0080295F">
        <w:rPr>
          <w:sz w:val="24"/>
          <w:szCs w:val="24"/>
        </w:rPr>
        <w:t>S</w:t>
      </w:r>
      <w:r w:rsidRPr="007D6490">
        <w:rPr>
          <w:sz w:val="24"/>
          <w:szCs w:val="24"/>
        </w:rPr>
        <w:t xml:space="preserve">tandard.  </w:t>
      </w:r>
      <w:r w:rsidRPr="0002050E">
        <w:rPr>
          <w:sz w:val="24"/>
          <w:szCs w:val="24"/>
        </w:rPr>
        <w:t xml:space="preserve">Without Part 541, information of this sort would not be available to law enforcement officials or the </w:t>
      </w:r>
      <w:proofErr w:type="gramStart"/>
      <w:r w:rsidRPr="0002050E">
        <w:rPr>
          <w:sz w:val="24"/>
          <w:szCs w:val="24"/>
        </w:rPr>
        <w:t>general public</w:t>
      </w:r>
      <w:proofErr w:type="gramEnd"/>
      <w:r w:rsidRPr="0002050E">
        <w:rPr>
          <w:sz w:val="24"/>
          <w:szCs w:val="24"/>
        </w:rPr>
        <w:t>.</w:t>
      </w:r>
      <w:r>
        <w:rPr>
          <w:sz w:val="24"/>
          <w:szCs w:val="24"/>
        </w:rPr>
        <w:t xml:space="preserve">  </w:t>
      </w:r>
      <w:r w:rsidRPr="00A61765">
        <w:rPr>
          <w:sz w:val="24"/>
          <w:szCs w:val="24"/>
        </w:rPr>
        <w:t xml:space="preserve">Without Part 542, the agency would not be able to fulfill the statutory requirements of selecting likely high-theft </w:t>
      </w:r>
      <w:r>
        <w:rPr>
          <w:sz w:val="24"/>
          <w:szCs w:val="24"/>
        </w:rPr>
        <w:t>LDT lines</w:t>
      </w:r>
      <w:r w:rsidRPr="00A61765">
        <w:rPr>
          <w:sz w:val="24"/>
          <w:szCs w:val="24"/>
        </w:rPr>
        <w:t>.  The information needed is not available elsewhere.</w:t>
      </w:r>
    </w:p>
    <w:p w:rsidRPr="00A61765" w:rsidR="002B0DAA" w:rsidP="00072B33" w:rsidRDefault="002B0DAA" w14:paraId="4FDA25D3" w14:textId="77777777">
      <w:pPr>
        <w:tabs>
          <w:tab w:val="left" w:pos="0"/>
          <w:tab w:val="left" w:pos="727"/>
          <w:tab w:val="right" w:pos="7170"/>
        </w:tabs>
        <w:rPr>
          <w:sz w:val="24"/>
          <w:szCs w:val="24"/>
        </w:rPr>
      </w:pPr>
    </w:p>
    <w:p w:rsidRPr="00C267F7" w:rsidR="00A95BF6" w:rsidP="00C267F7" w:rsidRDefault="002B0DAA" w14:paraId="00BCD0A5" w14:textId="7A2E8B30">
      <w:pPr>
        <w:pStyle w:val="ListParagraph"/>
        <w:numPr>
          <w:ilvl w:val="0"/>
          <w:numId w:val="10"/>
        </w:numPr>
        <w:tabs>
          <w:tab w:val="left" w:pos="360"/>
        </w:tabs>
        <w:rPr>
          <w:b/>
          <w:bCs/>
          <w:sz w:val="24"/>
          <w:szCs w:val="24"/>
        </w:rPr>
      </w:pPr>
      <w:r w:rsidRPr="00C267F7">
        <w:rPr>
          <w:b/>
          <w:bCs/>
          <w:sz w:val="24"/>
          <w:szCs w:val="24"/>
        </w:rPr>
        <w:t xml:space="preserve">If the collection of information </w:t>
      </w:r>
      <w:r w:rsidRPr="00C267F7" w:rsidR="00D81F9A">
        <w:rPr>
          <w:b/>
          <w:bCs/>
          <w:sz w:val="24"/>
          <w:szCs w:val="24"/>
        </w:rPr>
        <w:t xml:space="preserve">impacts </w:t>
      </w:r>
      <w:r w:rsidRPr="00C267F7">
        <w:rPr>
          <w:b/>
          <w:bCs/>
          <w:sz w:val="24"/>
          <w:szCs w:val="24"/>
        </w:rPr>
        <w:t>small businesses or other small entities, describe the methods used to minimize burden.</w:t>
      </w:r>
    </w:p>
    <w:p w:rsidRPr="0002050E" w:rsidR="002B0DAA" w:rsidP="00072B33" w:rsidRDefault="00A95BF6" w14:paraId="6FA0CD94" w14:textId="39C8EAF2">
      <w:pPr>
        <w:tabs>
          <w:tab w:val="left" w:pos="720"/>
        </w:tabs>
        <w:ind w:left="720" w:hanging="720"/>
        <w:rPr>
          <w:sz w:val="24"/>
          <w:szCs w:val="24"/>
        </w:rPr>
      </w:pPr>
      <w:r>
        <w:rPr>
          <w:sz w:val="24"/>
          <w:szCs w:val="24"/>
        </w:rPr>
        <w:tab/>
      </w:r>
    </w:p>
    <w:p w:rsidRPr="0002050E" w:rsidR="002B0DAA" w:rsidP="00C267F7" w:rsidRDefault="002B0DAA" w14:paraId="06FBA5C6" w14:textId="6FD761BD">
      <w:pPr>
        <w:rPr>
          <w:sz w:val="24"/>
          <w:szCs w:val="24"/>
        </w:rPr>
      </w:pPr>
      <w:r>
        <w:rPr>
          <w:sz w:val="24"/>
          <w:szCs w:val="24"/>
          <w:u w:val="single"/>
        </w:rPr>
        <w:t>49 CFR Part</w:t>
      </w:r>
      <w:r w:rsidRPr="0002050E">
        <w:rPr>
          <w:sz w:val="24"/>
          <w:szCs w:val="24"/>
          <w:u w:val="single"/>
        </w:rPr>
        <w:t xml:space="preserve"> 541 </w:t>
      </w:r>
    </w:p>
    <w:p w:rsidRPr="0002050E" w:rsidR="002B0DAA" w:rsidP="002B0DAA" w:rsidRDefault="002B0DAA" w14:paraId="7F134BE8" w14:textId="77777777">
      <w:pPr>
        <w:rPr>
          <w:sz w:val="24"/>
          <w:szCs w:val="24"/>
        </w:rPr>
      </w:pPr>
    </w:p>
    <w:p w:rsidR="002B0DAA" w:rsidP="00C267F7" w:rsidRDefault="00FE5133" w14:paraId="2253FF37" w14:textId="0F698572">
      <w:pPr>
        <w:ind w:right="-144"/>
        <w:rPr>
          <w:sz w:val="24"/>
          <w:szCs w:val="24"/>
        </w:rPr>
      </w:pPr>
      <w:r>
        <w:rPr>
          <w:sz w:val="24"/>
          <w:szCs w:val="24"/>
        </w:rPr>
        <w:t xml:space="preserve">49 CFR 541.3(b) states that the Theft Prevention Standard does not apply to subject passenger motor vehicle parts </w:t>
      </w:r>
      <w:r w:rsidRPr="00FE5133">
        <w:rPr>
          <w:sz w:val="24"/>
          <w:szCs w:val="24"/>
        </w:rPr>
        <w:t>that are present in vehicles manufactured by a motor vehicle manufacturer that manufactures fewer than 5,000 vehicles for sale</w:t>
      </w:r>
      <w:r>
        <w:rPr>
          <w:sz w:val="24"/>
          <w:szCs w:val="24"/>
        </w:rPr>
        <w:t xml:space="preserve"> in the United States each year.  </w:t>
      </w:r>
      <w:r w:rsidRPr="0002050E" w:rsidR="002B0DAA">
        <w:rPr>
          <w:sz w:val="24"/>
          <w:szCs w:val="24"/>
        </w:rPr>
        <w:t>Manufacturers of replacement parts, who often will be smaller than motor vehicle manufacturers, may have a lighter burden because Section 602(d)(2)(B) prohibits any requirement of more identification on a replacement part than a symbol identifying the manufacturer and a common symbol identifying the part as a major replacement part.</w:t>
      </w:r>
    </w:p>
    <w:p w:rsidR="002B0DAA" w:rsidP="002B0DAA" w:rsidRDefault="002B0DAA" w14:paraId="0B72A53E" w14:textId="77777777">
      <w:pPr>
        <w:ind w:left="720" w:right="-144"/>
        <w:rPr>
          <w:sz w:val="24"/>
          <w:szCs w:val="24"/>
        </w:rPr>
      </w:pPr>
    </w:p>
    <w:p w:rsidR="002B0DAA" w:rsidP="00C267F7" w:rsidRDefault="002B0DAA" w14:paraId="483A0135" w14:textId="34CD7C02">
      <w:pPr>
        <w:ind w:right="-144"/>
        <w:rPr>
          <w:sz w:val="24"/>
          <w:szCs w:val="24"/>
          <w:u w:val="single"/>
        </w:rPr>
      </w:pPr>
      <w:r w:rsidRPr="00A61765">
        <w:rPr>
          <w:sz w:val="24"/>
          <w:szCs w:val="24"/>
          <w:u w:val="single"/>
        </w:rPr>
        <w:t>49 CFR Part 542</w:t>
      </w:r>
    </w:p>
    <w:p w:rsidR="0072012F" w:rsidP="002B0DAA" w:rsidRDefault="0072012F" w14:paraId="522D92D2" w14:textId="77777777">
      <w:pPr>
        <w:ind w:left="720" w:right="-144"/>
        <w:rPr>
          <w:sz w:val="24"/>
          <w:szCs w:val="24"/>
        </w:rPr>
      </w:pPr>
    </w:p>
    <w:p w:rsidR="002B0DAA" w:rsidP="00C267F7" w:rsidRDefault="0072012F" w14:paraId="4E9AB74E" w14:textId="5F5AED32">
      <w:pPr>
        <w:tabs>
          <w:tab w:val="left" w:pos="0"/>
          <w:tab w:val="left" w:pos="728"/>
          <w:tab w:val="right" w:pos="4718"/>
        </w:tabs>
        <w:rPr>
          <w:sz w:val="24"/>
          <w:szCs w:val="24"/>
        </w:rPr>
      </w:pPr>
      <w:r>
        <w:rPr>
          <w:sz w:val="24"/>
          <w:szCs w:val="24"/>
        </w:rPr>
        <w:t>NHTSA does</w:t>
      </w:r>
      <w:r w:rsidR="00A46F59">
        <w:rPr>
          <w:sz w:val="24"/>
          <w:szCs w:val="24"/>
        </w:rPr>
        <w:t xml:space="preserve"> not</w:t>
      </w:r>
      <w:r>
        <w:rPr>
          <w:sz w:val="24"/>
          <w:szCs w:val="24"/>
        </w:rPr>
        <w:t xml:space="preserve"> expect any </w:t>
      </w:r>
      <w:r w:rsidR="002B0DAA">
        <w:rPr>
          <w:sz w:val="24"/>
          <w:szCs w:val="24"/>
        </w:rPr>
        <w:t>small businesses or small entities</w:t>
      </w:r>
      <w:r>
        <w:rPr>
          <w:sz w:val="24"/>
          <w:szCs w:val="24"/>
        </w:rPr>
        <w:t xml:space="preserve"> to be</w:t>
      </w:r>
      <w:r w:rsidR="002B0DAA">
        <w:rPr>
          <w:sz w:val="24"/>
          <w:szCs w:val="24"/>
        </w:rPr>
        <w:t xml:space="preserve"> affected by this r</w:t>
      </w:r>
      <w:r w:rsidR="00C22D07">
        <w:rPr>
          <w:sz w:val="24"/>
          <w:szCs w:val="24"/>
        </w:rPr>
        <w:t>egulation</w:t>
      </w:r>
      <w:r w:rsidR="002B0DAA">
        <w:rPr>
          <w:sz w:val="24"/>
          <w:szCs w:val="24"/>
        </w:rPr>
        <w:t>.</w:t>
      </w:r>
    </w:p>
    <w:p w:rsidRPr="00A61765" w:rsidR="007913C0" w:rsidP="00072B33" w:rsidRDefault="007913C0" w14:paraId="73B7C195" w14:textId="77777777">
      <w:pPr>
        <w:tabs>
          <w:tab w:val="left" w:pos="0"/>
          <w:tab w:val="left" w:pos="728"/>
          <w:tab w:val="right" w:pos="4718"/>
        </w:tabs>
        <w:rPr>
          <w:sz w:val="24"/>
          <w:szCs w:val="24"/>
        </w:rPr>
      </w:pPr>
    </w:p>
    <w:p w:rsidRPr="00C267F7" w:rsidR="002B0DAA" w:rsidP="00C267F7" w:rsidRDefault="002B0DAA" w14:paraId="1175DC5E" w14:textId="3E4A89CE">
      <w:pPr>
        <w:pStyle w:val="ListParagraph"/>
        <w:numPr>
          <w:ilvl w:val="0"/>
          <w:numId w:val="10"/>
        </w:numPr>
        <w:tabs>
          <w:tab w:val="left" w:pos="720"/>
        </w:tabs>
        <w:rPr>
          <w:b/>
          <w:bCs/>
          <w:sz w:val="24"/>
          <w:szCs w:val="24"/>
        </w:rPr>
      </w:pPr>
      <w:r w:rsidRPr="00C267F7">
        <w:rPr>
          <w:b/>
          <w:bCs/>
          <w:sz w:val="24"/>
          <w:szCs w:val="24"/>
        </w:rPr>
        <w:t xml:space="preserve">Describe the consequence to Federal program or policy activities if the collection is not </w:t>
      </w:r>
      <w:r w:rsidRPr="00C267F7" w:rsidR="0037116F">
        <w:rPr>
          <w:b/>
          <w:bCs/>
          <w:sz w:val="24"/>
          <w:szCs w:val="24"/>
        </w:rPr>
        <w:t xml:space="preserve">conducted </w:t>
      </w:r>
      <w:r w:rsidRPr="00C267F7">
        <w:rPr>
          <w:b/>
          <w:bCs/>
          <w:sz w:val="24"/>
          <w:szCs w:val="24"/>
        </w:rPr>
        <w:t xml:space="preserve">or </w:t>
      </w:r>
      <w:r w:rsidRPr="00C267F7" w:rsidR="0037116F">
        <w:rPr>
          <w:b/>
          <w:bCs/>
          <w:sz w:val="24"/>
          <w:szCs w:val="24"/>
        </w:rPr>
        <w:t xml:space="preserve">is conducted </w:t>
      </w:r>
      <w:r w:rsidRPr="00C267F7">
        <w:rPr>
          <w:b/>
          <w:bCs/>
          <w:sz w:val="24"/>
          <w:szCs w:val="24"/>
        </w:rPr>
        <w:t>less frequently</w:t>
      </w:r>
      <w:r w:rsidRPr="00C267F7" w:rsidR="0037116F">
        <w:rPr>
          <w:b/>
          <w:bCs/>
          <w:sz w:val="24"/>
          <w:szCs w:val="24"/>
        </w:rPr>
        <w:t>, as well as any technical or legal obstacles to reducing burden</w:t>
      </w:r>
      <w:r w:rsidRPr="00C267F7">
        <w:rPr>
          <w:b/>
          <w:bCs/>
          <w:sz w:val="24"/>
          <w:szCs w:val="24"/>
        </w:rPr>
        <w:t>.</w:t>
      </w:r>
    </w:p>
    <w:p w:rsidRPr="0002050E" w:rsidR="002B0DAA" w:rsidP="002B0DAA" w:rsidRDefault="002B0DAA" w14:paraId="7193BA44" w14:textId="77777777">
      <w:pPr>
        <w:rPr>
          <w:sz w:val="24"/>
          <w:szCs w:val="24"/>
        </w:rPr>
      </w:pPr>
    </w:p>
    <w:p w:rsidRPr="0002050E" w:rsidR="002B0DAA" w:rsidP="00C267F7" w:rsidRDefault="002B0DAA" w14:paraId="4B5DC4C7" w14:textId="1D7EED79">
      <w:pPr>
        <w:rPr>
          <w:sz w:val="24"/>
          <w:szCs w:val="24"/>
        </w:rPr>
      </w:pPr>
      <w:r w:rsidRPr="0002050E">
        <w:rPr>
          <w:sz w:val="24"/>
          <w:szCs w:val="24"/>
          <w:u w:val="single"/>
        </w:rPr>
        <w:t>49 CFR Part 541</w:t>
      </w:r>
    </w:p>
    <w:p w:rsidRPr="0002050E" w:rsidR="002B0DAA" w:rsidP="002B0DAA" w:rsidRDefault="002B0DAA" w14:paraId="6752ECB8" w14:textId="77777777">
      <w:pPr>
        <w:rPr>
          <w:sz w:val="24"/>
          <w:szCs w:val="24"/>
        </w:rPr>
      </w:pPr>
    </w:p>
    <w:p w:rsidR="00FE5133" w:rsidP="00C267F7" w:rsidRDefault="00C94E3B" w14:paraId="405552C4" w14:textId="22D24E75">
      <w:pPr>
        <w:tabs>
          <w:tab w:val="left" w:pos="0"/>
          <w:tab w:val="left" w:pos="728"/>
          <w:tab w:val="right" w:pos="3547"/>
        </w:tabs>
        <w:rPr>
          <w:sz w:val="24"/>
          <w:szCs w:val="24"/>
        </w:rPr>
      </w:pPr>
      <w:r w:rsidRPr="00F73AB6">
        <w:rPr>
          <w:sz w:val="24"/>
          <w:szCs w:val="24"/>
        </w:rPr>
        <w:t>The Theft Act requires specified parts of high theft vehicles to be marked</w:t>
      </w:r>
      <w:r>
        <w:rPr>
          <w:sz w:val="24"/>
          <w:szCs w:val="24"/>
        </w:rPr>
        <w:t xml:space="preserve">. </w:t>
      </w:r>
      <w:r w:rsidRPr="0002050E">
        <w:rPr>
          <w:sz w:val="24"/>
          <w:szCs w:val="24"/>
        </w:rPr>
        <w:t xml:space="preserve"> </w:t>
      </w:r>
      <w:r w:rsidRPr="0002050E" w:rsidR="002B0DAA">
        <w:rPr>
          <w:sz w:val="24"/>
          <w:szCs w:val="24"/>
        </w:rPr>
        <w:t xml:space="preserve">The most important feature of the Theft Prevention Standard </w:t>
      </w:r>
      <w:r w:rsidR="002B0DAA">
        <w:rPr>
          <w:sz w:val="24"/>
          <w:szCs w:val="24"/>
        </w:rPr>
        <w:t xml:space="preserve">(49 CFR Part 541) </w:t>
      </w:r>
      <w:r w:rsidRPr="0002050E" w:rsidR="002B0DAA">
        <w:rPr>
          <w:sz w:val="24"/>
          <w:szCs w:val="24"/>
        </w:rPr>
        <w:t>is that the manufacturer must mark all vehicles of a line throughout the production period of the line.  If the manufacturer marked</w:t>
      </w:r>
      <w:r w:rsidR="00945D3B">
        <w:rPr>
          <w:sz w:val="24"/>
          <w:szCs w:val="24"/>
        </w:rPr>
        <w:t xml:space="preserve"> </w:t>
      </w:r>
      <w:r w:rsidR="00945D3B">
        <w:rPr>
          <w:sz w:val="24"/>
          <w:szCs w:val="24"/>
        </w:rPr>
        <w:lastRenderedPageBreak/>
        <w:t>the major parts of</w:t>
      </w:r>
      <w:r w:rsidRPr="0002050E" w:rsidR="002B0DAA">
        <w:rPr>
          <w:sz w:val="24"/>
          <w:szCs w:val="24"/>
        </w:rPr>
        <w:t xml:space="preserve"> all vehicles, finding an unmarked major part </w:t>
      </w:r>
      <w:r w:rsidR="00945D3B">
        <w:rPr>
          <w:sz w:val="24"/>
          <w:szCs w:val="24"/>
        </w:rPr>
        <w:t>would be</w:t>
      </w:r>
      <w:r w:rsidRPr="0002050E" w:rsidR="00945D3B">
        <w:rPr>
          <w:sz w:val="24"/>
          <w:szCs w:val="24"/>
        </w:rPr>
        <w:t xml:space="preserve"> </w:t>
      </w:r>
      <w:r w:rsidRPr="0002050E" w:rsidR="002B0DAA">
        <w:rPr>
          <w:sz w:val="24"/>
          <w:szCs w:val="24"/>
        </w:rPr>
        <w:t>strong evidence that the identification has been removed from the part in violation of the law.  If some vehicles are not marked, however, the evidentiary value is lost.</w:t>
      </w:r>
      <w:r w:rsidR="002B0DAA">
        <w:rPr>
          <w:sz w:val="24"/>
          <w:szCs w:val="24"/>
        </w:rPr>
        <w:t xml:space="preserve"> </w:t>
      </w:r>
      <w:r w:rsidRPr="002235D2" w:rsidR="002B0DAA">
        <w:rPr>
          <w:sz w:val="24"/>
          <w:szCs w:val="24"/>
        </w:rPr>
        <w:t xml:space="preserve"> </w:t>
      </w:r>
    </w:p>
    <w:p w:rsidR="00FE5133" w:rsidP="002B0DAA" w:rsidRDefault="00FE5133" w14:paraId="726AC99D" w14:textId="77777777">
      <w:pPr>
        <w:tabs>
          <w:tab w:val="left" w:pos="0"/>
          <w:tab w:val="left" w:pos="728"/>
          <w:tab w:val="right" w:pos="3547"/>
        </w:tabs>
        <w:ind w:left="720"/>
        <w:rPr>
          <w:sz w:val="24"/>
          <w:szCs w:val="24"/>
        </w:rPr>
      </w:pPr>
    </w:p>
    <w:p w:rsidRPr="0002050E" w:rsidR="00FE5133" w:rsidP="00C267F7" w:rsidRDefault="00FE5133" w14:paraId="3A93459D" w14:textId="5B879E48">
      <w:pPr>
        <w:rPr>
          <w:sz w:val="24"/>
          <w:szCs w:val="24"/>
        </w:rPr>
      </w:pPr>
      <w:r>
        <w:rPr>
          <w:sz w:val="24"/>
          <w:szCs w:val="24"/>
        </w:rPr>
        <w:t>In addition, i</w:t>
      </w:r>
      <w:r w:rsidRPr="0002050E">
        <w:rPr>
          <w:sz w:val="24"/>
          <w:szCs w:val="24"/>
        </w:rPr>
        <w:t xml:space="preserve">f this information were not available, the legislative goal of a comprehensive scheme against automobile theft would be </w:t>
      </w:r>
      <w:r>
        <w:rPr>
          <w:sz w:val="24"/>
          <w:szCs w:val="24"/>
        </w:rPr>
        <w:t>complicated</w:t>
      </w:r>
      <w:r w:rsidRPr="0002050E">
        <w:rPr>
          <w:sz w:val="24"/>
          <w:szCs w:val="24"/>
        </w:rPr>
        <w:t xml:space="preserve">.  The Theft Prevention Standard would not effectively deter "chop shop" operators because law enforcement officials could not readily identify parts in the operators' possession as stolen.  Also, stolen parts, when recovered, could not easily be traced back to the proper owner and returned to the owner or insurer.  </w:t>
      </w:r>
    </w:p>
    <w:p w:rsidR="00FE5133" w:rsidP="002B0DAA" w:rsidRDefault="00FE5133" w14:paraId="4D48D036" w14:textId="77777777">
      <w:pPr>
        <w:tabs>
          <w:tab w:val="left" w:pos="0"/>
          <w:tab w:val="left" w:pos="728"/>
          <w:tab w:val="right" w:pos="3547"/>
        </w:tabs>
        <w:ind w:left="720"/>
        <w:rPr>
          <w:sz w:val="24"/>
          <w:szCs w:val="24"/>
        </w:rPr>
      </w:pPr>
    </w:p>
    <w:p w:rsidR="00FE5133" w:rsidP="00C267F7" w:rsidRDefault="008B7707" w14:paraId="045E8903" w14:textId="2968EBBD">
      <w:pPr>
        <w:tabs>
          <w:tab w:val="left" w:pos="0"/>
          <w:tab w:val="left" w:pos="728"/>
          <w:tab w:val="right" w:pos="3547"/>
        </w:tabs>
        <w:rPr>
          <w:sz w:val="24"/>
          <w:szCs w:val="24"/>
        </w:rPr>
      </w:pPr>
      <w:r w:rsidRPr="00072B33">
        <w:rPr>
          <w:sz w:val="24"/>
          <w:szCs w:val="24"/>
          <w:u w:val="single"/>
        </w:rPr>
        <w:t>49 CFR Part 542</w:t>
      </w:r>
    </w:p>
    <w:p w:rsidR="00687589" w:rsidP="002B0DAA" w:rsidRDefault="00687589" w14:paraId="01909A4E" w14:textId="77777777">
      <w:pPr>
        <w:tabs>
          <w:tab w:val="left" w:pos="0"/>
          <w:tab w:val="left" w:pos="728"/>
          <w:tab w:val="right" w:pos="3547"/>
        </w:tabs>
        <w:ind w:left="720"/>
        <w:rPr>
          <w:sz w:val="24"/>
          <w:szCs w:val="24"/>
        </w:rPr>
      </w:pPr>
    </w:p>
    <w:p w:rsidR="00343323" w:rsidP="00343323" w:rsidRDefault="002B0DAA" w14:paraId="0CB04CD2" w14:textId="5F29D0F6">
      <w:pPr>
        <w:tabs>
          <w:tab w:val="left" w:pos="0"/>
          <w:tab w:val="left" w:pos="728"/>
          <w:tab w:val="right" w:pos="3547"/>
        </w:tabs>
        <w:rPr>
          <w:sz w:val="24"/>
          <w:szCs w:val="24"/>
        </w:rPr>
      </w:pPr>
      <w:r w:rsidRPr="00A61765">
        <w:rPr>
          <w:sz w:val="24"/>
          <w:szCs w:val="24"/>
        </w:rPr>
        <w:t>The submittal of th</w:t>
      </w:r>
      <w:r>
        <w:rPr>
          <w:sz w:val="24"/>
          <w:szCs w:val="24"/>
        </w:rPr>
        <w:t>e</w:t>
      </w:r>
      <w:r w:rsidRPr="00A61765">
        <w:rPr>
          <w:sz w:val="24"/>
          <w:szCs w:val="24"/>
        </w:rPr>
        <w:t xml:space="preserve"> information requested by </w:t>
      </w:r>
      <w:r>
        <w:rPr>
          <w:sz w:val="24"/>
          <w:szCs w:val="24"/>
        </w:rPr>
        <w:t xml:space="preserve">49 CFR </w:t>
      </w:r>
      <w:r w:rsidR="00A1691C">
        <w:rPr>
          <w:sz w:val="24"/>
          <w:szCs w:val="24"/>
        </w:rPr>
        <w:t>§§</w:t>
      </w:r>
      <w:r w:rsidR="007A51BA">
        <w:rPr>
          <w:sz w:val="24"/>
          <w:szCs w:val="24"/>
        </w:rPr>
        <w:t xml:space="preserve"> </w:t>
      </w:r>
      <w:r w:rsidRPr="00A61765">
        <w:rPr>
          <w:sz w:val="24"/>
          <w:szCs w:val="24"/>
        </w:rPr>
        <w:t xml:space="preserve">542.l and 542.2 </w:t>
      </w:r>
      <w:r w:rsidR="00A1691C">
        <w:rPr>
          <w:sz w:val="24"/>
        </w:rPr>
        <w:t xml:space="preserve">for selecting new light duty truck lines likely to have high or low theft rates </w:t>
      </w:r>
      <w:r w:rsidRPr="00A61765">
        <w:rPr>
          <w:sz w:val="24"/>
          <w:szCs w:val="24"/>
        </w:rPr>
        <w:t>will be a one-time-only submission.  If this information is not submitted or an agreement is not met between the agency and the manufacturers, the agency, in accordance with §</w:t>
      </w:r>
      <w:r w:rsidR="00A1691C">
        <w:rPr>
          <w:sz w:val="24"/>
          <w:szCs w:val="24"/>
        </w:rPr>
        <w:t xml:space="preserve"> </w:t>
      </w:r>
      <w:r w:rsidRPr="00A61765">
        <w:rPr>
          <w:sz w:val="24"/>
          <w:szCs w:val="24"/>
        </w:rPr>
        <w:t>33104 shall unilaterally select the lines and parts after notice to the manufacturer and an opportunity</w:t>
      </w:r>
      <w:r>
        <w:rPr>
          <w:sz w:val="24"/>
          <w:szCs w:val="24"/>
        </w:rPr>
        <w:t xml:space="preserve"> </w:t>
      </w:r>
      <w:r w:rsidRPr="00A61765">
        <w:rPr>
          <w:sz w:val="24"/>
          <w:szCs w:val="24"/>
        </w:rPr>
        <w:t>for written comment.</w:t>
      </w:r>
    </w:p>
    <w:p w:rsidR="00343323" w:rsidP="00343323" w:rsidRDefault="00343323" w14:paraId="77AD8204" w14:textId="5661CC63">
      <w:pPr>
        <w:tabs>
          <w:tab w:val="left" w:pos="0"/>
          <w:tab w:val="left" w:pos="728"/>
          <w:tab w:val="right" w:pos="3547"/>
        </w:tabs>
        <w:rPr>
          <w:sz w:val="24"/>
          <w:szCs w:val="24"/>
        </w:rPr>
      </w:pPr>
    </w:p>
    <w:p w:rsidRPr="00C267F7" w:rsidR="00350AE1" w:rsidP="00350AE1" w:rsidRDefault="00350AE1" w14:paraId="4EC5FA0B" w14:textId="77777777">
      <w:pPr>
        <w:pStyle w:val="ListParagraph"/>
        <w:numPr>
          <w:ilvl w:val="0"/>
          <w:numId w:val="10"/>
        </w:numPr>
        <w:tabs>
          <w:tab w:val="left" w:pos="0"/>
          <w:tab w:val="left" w:pos="728"/>
          <w:tab w:val="right" w:pos="3547"/>
        </w:tabs>
        <w:rPr>
          <w:b/>
          <w:bCs/>
          <w:sz w:val="24"/>
          <w:szCs w:val="24"/>
        </w:rPr>
      </w:pPr>
      <w:r w:rsidRPr="00C267F7">
        <w:rPr>
          <w:b/>
          <w:bCs/>
          <w:sz w:val="24"/>
          <w:szCs w:val="24"/>
        </w:rPr>
        <w:t>Explain any special circumstances that would cause an information collection to be conducted in a manner:</w:t>
      </w:r>
    </w:p>
    <w:p w:rsidRPr="00C267F7" w:rsidR="000478F7" w:rsidP="000478F7" w:rsidRDefault="00350AE1" w14:paraId="377BD2C9" w14:textId="77777777">
      <w:pPr>
        <w:pStyle w:val="ListParagraph"/>
        <w:numPr>
          <w:ilvl w:val="1"/>
          <w:numId w:val="10"/>
        </w:numPr>
        <w:tabs>
          <w:tab w:val="left" w:pos="0"/>
          <w:tab w:val="left" w:pos="728"/>
          <w:tab w:val="right" w:pos="3547"/>
        </w:tabs>
        <w:rPr>
          <w:b/>
          <w:bCs/>
          <w:sz w:val="24"/>
          <w:szCs w:val="24"/>
        </w:rPr>
      </w:pPr>
      <w:r w:rsidRPr="00C267F7">
        <w:rPr>
          <w:b/>
          <w:bCs/>
          <w:sz w:val="24"/>
          <w:szCs w:val="24"/>
        </w:rPr>
        <w:t xml:space="preserve"> requiring respondents to report information to the agency more often than </w:t>
      </w:r>
      <w:proofErr w:type="gramStart"/>
      <w:r w:rsidRPr="00C267F7">
        <w:rPr>
          <w:b/>
          <w:bCs/>
          <w:sz w:val="24"/>
          <w:szCs w:val="24"/>
        </w:rPr>
        <w:t>quarterly;</w:t>
      </w:r>
      <w:proofErr w:type="gramEnd"/>
    </w:p>
    <w:p w:rsidRPr="00C267F7" w:rsidR="000478F7" w:rsidP="000478F7" w:rsidRDefault="00350AE1" w14:paraId="6059B6FC" w14:textId="77777777">
      <w:pPr>
        <w:pStyle w:val="ListParagraph"/>
        <w:numPr>
          <w:ilvl w:val="1"/>
          <w:numId w:val="10"/>
        </w:numPr>
        <w:tabs>
          <w:tab w:val="left" w:pos="0"/>
          <w:tab w:val="left" w:pos="728"/>
          <w:tab w:val="right" w:pos="3547"/>
        </w:tabs>
        <w:rPr>
          <w:b/>
          <w:bCs/>
          <w:sz w:val="24"/>
          <w:szCs w:val="24"/>
        </w:rPr>
      </w:pPr>
      <w:r w:rsidRPr="00C267F7">
        <w:rPr>
          <w:b/>
          <w:bCs/>
          <w:sz w:val="24"/>
          <w:szCs w:val="24"/>
        </w:rPr>
        <w:t xml:space="preserve">requiring respondents to prepare a written response to a collection of information in fewer than 30 days after receipt of </w:t>
      </w:r>
      <w:proofErr w:type="gramStart"/>
      <w:r w:rsidRPr="00C267F7">
        <w:rPr>
          <w:b/>
          <w:bCs/>
          <w:sz w:val="24"/>
          <w:szCs w:val="24"/>
        </w:rPr>
        <w:t>it</w:t>
      </w:r>
      <w:r w:rsidRPr="00C267F7" w:rsidR="000478F7">
        <w:rPr>
          <w:b/>
          <w:bCs/>
          <w:sz w:val="24"/>
          <w:szCs w:val="24"/>
        </w:rPr>
        <w:t>;</w:t>
      </w:r>
      <w:proofErr w:type="gramEnd"/>
    </w:p>
    <w:p w:rsidRPr="00C267F7" w:rsidR="000478F7" w:rsidP="000478F7" w:rsidRDefault="00350AE1" w14:paraId="0C6CCE07" w14:textId="77777777">
      <w:pPr>
        <w:pStyle w:val="ListParagraph"/>
        <w:numPr>
          <w:ilvl w:val="1"/>
          <w:numId w:val="10"/>
        </w:numPr>
        <w:tabs>
          <w:tab w:val="left" w:pos="0"/>
          <w:tab w:val="left" w:pos="728"/>
          <w:tab w:val="right" w:pos="3547"/>
        </w:tabs>
        <w:rPr>
          <w:b/>
          <w:bCs/>
          <w:sz w:val="24"/>
          <w:szCs w:val="24"/>
        </w:rPr>
      </w:pPr>
      <w:r w:rsidRPr="00C267F7">
        <w:rPr>
          <w:b/>
          <w:bCs/>
          <w:sz w:val="24"/>
          <w:szCs w:val="24"/>
        </w:rPr>
        <w:tab/>
        <w:t xml:space="preserve">requiring respondents to submit more than an original and two copies of any </w:t>
      </w:r>
      <w:proofErr w:type="gramStart"/>
      <w:r w:rsidRPr="00C267F7">
        <w:rPr>
          <w:b/>
          <w:bCs/>
          <w:sz w:val="24"/>
          <w:szCs w:val="24"/>
        </w:rPr>
        <w:t>document;</w:t>
      </w:r>
      <w:proofErr w:type="gramEnd"/>
    </w:p>
    <w:p w:rsidRPr="00C267F7" w:rsidR="000478F7" w:rsidP="000478F7" w:rsidRDefault="00350AE1" w14:paraId="2E12619D" w14:textId="77777777">
      <w:pPr>
        <w:pStyle w:val="ListParagraph"/>
        <w:numPr>
          <w:ilvl w:val="1"/>
          <w:numId w:val="10"/>
        </w:numPr>
        <w:tabs>
          <w:tab w:val="left" w:pos="0"/>
          <w:tab w:val="left" w:pos="728"/>
          <w:tab w:val="right" w:pos="3547"/>
        </w:tabs>
        <w:rPr>
          <w:b/>
          <w:bCs/>
          <w:sz w:val="24"/>
          <w:szCs w:val="24"/>
        </w:rPr>
      </w:pPr>
      <w:r w:rsidRPr="00C267F7">
        <w:rPr>
          <w:b/>
          <w:bCs/>
          <w:sz w:val="24"/>
          <w:szCs w:val="24"/>
        </w:rPr>
        <w:t xml:space="preserve">requiring respondents to retain records, other than health, medical, government contract, grant-in-aid, or tax records, for more than three </w:t>
      </w:r>
      <w:proofErr w:type="gramStart"/>
      <w:r w:rsidRPr="00C267F7">
        <w:rPr>
          <w:b/>
          <w:bCs/>
          <w:sz w:val="24"/>
          <w:szCs w:val="24"/>
        </w:rPr>
        <w:t>years;</w:t>
      </w:r>
      <w:proofErr w:type="gramEnd"/>
    </w:p>
    <w:p w:rsidRPr="00C267F7" w:rsidR="000478F7" w:rsidP="000478F7" w:rsidRDefault="00350AE1" w14:paraId="53061AFA" w14:textId="77777777">
      <w:pPr>
        <w:pStyle w:val="ListParagraph"/>
        <w:numPr>
          <w:ilvl w:val="1"/>
          <w:numId w:val="10"/>
        </w:numPr>
        <w:tabs>
          <w:tab w:val="left" w:pos="0"/>
          <w:tab w:val="left" w:pos="728"/>
          <w:tab w:val="right" w:pos="3547"/>
        </w:tabs>
        <w:rPr>
          <w:b/>
          <w:bCs/>
          <w:sz w:val="24"/>
          <w:szCs w:val="24"/>
        </w:rPr>
      </w:pPr>
      <w:r w:rsidRPr="00C267F7">
        <w:rPr>
          <w:b/>
          <w:bCs/>
          <w:sz w:val="24"/>
          <w:szCs w:val="24"/>
        </w:rPr>
        <w:t xml:space="preserve">in connection with a statistical survey, that is not designed to produce valid and reliable results that can be generalized to the universe of </w:t>
      </w:r>
      <w:proofErr w:type="gramStart"/>
      <w:r w:rsidRPr="00C267F7">
        <w:rPr>
          <w:b/>
          <w:bCs/>
          <w:sz w:val="24"/>
          <w:szCs w:val="24"/>
        </w:rPr>
        <w:t>study;</w:t>
      </w:r>
      <w:proofErr w:type="gramEnd"/>
    </w:p>
    <w:p w:rsidRPr="00C267F7" w:rsidR="000478F7" w:rsidP="000478F7" w:rsidRDefault="00350AE1" w14:paraId="409C1A9E" w14:textId="77777777">
      <w:pPr>
        <w:pStyle w:val="ListParagraph"/>
        <w:numPr>
          <w:ilvl w:val="1"/>
          <w:numId w:val="10"/>
        </w:numPr>
        <w:tabs>
          <w:tab w:val="left" w:pos="0"/>
          <w:tab w:val="left" w:pos="728"/>
          <w:tab w:val="right" w:pos="3547"/>
        </w:tabs>
        <w:rPr>
          <w:b/>
          <w:bCs/>
          <w:sz w:val="24"/>
          <w:szCs w:val="24"/>
        </w:rPr>
      </w:pPr>
      <w:r w:rsidRPr="00C267F7">
        <w:rPr>
          <w:b/>
          <w:bCs/>
          <w:sz w:val="24"/>
          <w:szCs w:val="24"/>
        </w:rPr>
        <w:tab/>
        <w:t xml:space="preserve">requiring the use of a statistical data classification that has not been reviewed and approved by </w:t>
      </w:r>
      <w:proofErr w:type="gramStart"/>
      <w:r w:rsidRPr="00C267F7">
        <w:rPr>
          <w:b/>
          <w:bCs/>
          <w:sz w:val="24"/>
          <w:szCs w:val="24"/>
        </w:rPr>
        <w:t>OMB;</w:t>
      </w:r>
      <w:proofErr w:type="gramEnd"/>
    </w:p>
    <w:p w:rsidRPr="00C267F7" w:rsidR="000478F7" w:rsidP="000478F7" w:rsidRDefault="00350AE1" w14:paraId="034D19D8" w14:textId="77777777">
      <w:pPr>
        <w:pStyle w:val="ListParagraph"/>
        <w:numPr>
          <w:ilvl w:val="1"/>
          <w:numId w:val="10"/>
        </w:numPr>
        <w:tabs>
          <w:tab w:val="left" w:pos="0"/>
          <w:tab w:val="left" w:pos="728"/>
          <w:tab w:val="right" w:pos="3547"/>
        </w:tabs>
        <w:rPr>
          <w:b/>
          <w:bCs/>
          <w:sz w:val="24"/>
          <w:szCs w:val="24"/>
        </w:rPr>
      </w:pPr>
      <w:r w:rsidRPr="00C267F7">
        <w:rPr>
          <w:b/>
          <w:bCs/>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C267F7" w:rsidR="00343323" w:rsidP="00C267F7" w:rsidRDefault="00350AE1" w14:paraId="00EAD267" w14:textId="5C60A955">
      <w:pPr>
        <w:pStyle w:val="ListParagraph"/>
        <w:numPr>
          <w:ilvl w:val="1"/>
          <w:numId w:val="10"/>
        </w:numPr>
        <w:tabs>
          <w:tab w:val="left" w:pos="0"/>
          <w:tab w:val="left" w:pos="728"/>
          <w:tab w:val="right" w:pos="3547"/>
        </w:tabs>
        <w:rPr>
          <w:b/>
          <w:bCs/>
          <w:sz w:val="24"/>
          <w:szCs w:val="24"/>
        </w:rPr>
      </w:pPr>
      <w:r w:rsidRPr="00C267F7">
        <w:rPr>
          <w:b/>
          <w:bCs/>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C37FCD" w:rsidP="00C267F7" w:rsidRDefault="00C37FCD" w14:paraId="1BCF34E1" w14:textId="77777777">
      <w:pPr>
        <w:rPr>
          <w:sz w:val="24"/>
          <w:szCs w:val="24"/>
        </w:rPr>
      </w:pPr>
    </w:p>
    <w:p w:rsidR="000478F7" w:rsidP="00C267F7" w:rsidRDefault="000478F7" w14:paraId="29FCE7D1" w14:textId="7BACE06D">
      <w:pPr>
        <w:rPr>
          <w:sz w:val="24"/>
          <w:szCs w:val="24"/>
        </w:rPr>
      </w:pPr>
      <w:r w:rsidRPr="000478F7">
        <w:rPr>
          <w:sz w:val="24"/>
          <w:szCs w:val="24"/>
        </w:rPr>
        <w:t>There are no special circumstances that would cause th</w:t>
      </w:r>
      <w:r w:rsidR="001E35D1">
        <w:rPr>
          <w:sz w:val="24"/>
          <w:szCs w:val="24"/>
        </w:rPr>
        <w:t>ese</w:t>
      </w:r>
      <w:r w:rsidRPr="000478F7">
        <w:rPr>
          <w:sz w:val="24"/>
          <w:szCs w:val="24"/>
        </w:rPr>
        <w:t xml:space="preserve"> collection</w:t>
      </w:r>
      <w:r w:rsidR="001E35D1">
        <w:rPr>
          <w:sz w:val="24"/>
          <w:szCs w:val="24"/>
        </w:rPr>
        <w:t>s</w:t>
      </w:r>
      <w:r w:rsidRPr="000478F7">
        <w:rPr>
          <w:sz w:val="24"/>
          <w:szCs w:val="24"/>
        </w:rPr>
        <w:t xml:space="preserve"> to be collected in a manner inconsistent with 5 CFR 1320.5(d)(2).</w:t>
      </w:r>
    </w:p>
    <w:p w:rsidRPr="0002050E" w:rsidR="002B0DAA" w:rsidP="002B0DAA" w:rsidRDefault="002B0DAA" w14:paraId="6B9AF5CA" w14:textId="77777777">
      <w:pPr>
        <w:ind w:left="720"/>
        <w:rPr>
          <w:sz w:val="24"/>
          <w:szCs w:val="24"/>
        </w:rPr>
      </w:pPr>
    </w:p>
    <w:p w:rsidRPr="00C267F7" w:rsidR="002B0DAA" w:rsidP="00C267F7" w:rsidRDefault="007E0598" w14:paraId="32D44084" w14:textId="288FD575">
      <w:pPr>
        <w:pStyle w:val="ListParagraph"/>
        <w:numPr>
          <w:ilvl w:val="0"/>
          <w:numId w:val="10"/>
        </w:numPr>
        <w:tabs>
          <w:tab w:val="left" w:pos="720"/>
        </w:tabs>
        <w:ind w:right="-54"/>
        <w:rPr>
          <w:b/>
          <w:bCs/>
          <w:sz w:val="24"/>
          <w:szCs w:val="24"/>
        </w:rPr>
      </w:pPr>
      <w:r w:rsidRPr="00C267F7">
        <w:rPr>
          <w:b/>
          <w:bCs/>
          <w:sz w:val="24"/>
          <w:szCs w:val="24"/>
        </w:rPr>
        <w:lastRenderedPageBreak/>
        <w:t xml:space="preserve">If applicable, provide a copy and identify the date and page number of </w:t>
      </w:r>
      <w:proofErr w:type="gramStart"/>
      <w:r w:rsidRPr="00C267F7">
        <w:rPr>
          <w:b/>
          <w:bCs/>
          <w:sz w:val="24"/>
          <w:szCs w:val="24"/>
        </w:rPr>
        <w:t>publication</w:t>
      </w:r>
      <w:proofErr w:type="gramEnd"/>
      <w:r w:rsidRPr="00C267F7">
        <w:rPr>
          <w:b/>
          <w:bCs/>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 comments. Specifically address comments received on cost and hour burden. Describe efforts to consult with persons outside the agency to obtain their views.</w:t>
      </w:r>
    </w:p>
    <w:p w:rsidRPr="0002050E" w:rsidR="002B0DAA" w:rsidP="002B0DAA" w:rsidRDefault="002B0DAA" w14:paraId="13BBE4CB" w14:textId="77777777">
      <w:pPr>
        <w:ind w:left="720"/>
        <w:rPr>
          <w:sz w:val="24"/>
        </w:rPr>
      </w:pPr>
    </w:p>
    <w:p w:rsidR="002B0DAA" w:rsidP="00C267F7" w:rsidRDefault="002B0DAA" w14:paraId="2A44F53F" w14:textId="493B9017">
      <w:pPr>
        <w:pStyle w:val="BodyTextIndent"/>
        <w:ind w:left="0"/>
      </w:pPr>
      <w:r>
        <w:t xml:space="preserve">The agency solicited public comment on the </w:t>
      </w:r>
      <w:r w:rsidR="00F27CC5">
        <w:t xml:space="preserve">reinstatement of this </w:t>
      </w:r>
      <w:r>
        <w:t xml:space="preserve">previously </w:t>
      </w:r>
      <w:r w:rsidRPr="0002050E">
        <w:rPr>
          <w:szCs w:val="20"/>
        </w:rPr>
        <w:t xml:space="preserve">approved </w:t>
      </w:r>
      <w:r>
        <w:t>collection of information in the Federal Register (</w:t>
      </w:r>
      <w:r w:rsidR="004207AA">
        <w:t>see 60-day Federal Register No.</w:t>
      </w:r>
      <w:r w:rsidR="006C7F50">
        <w:t xml:space="preserve"> 8</w:t>
      </w:r>
      <w:r w:rsidR="00F27CC5">
        <w:t>7</w:t>
      </w:r>
      <w:r w:rsidR="006C7F50">
        <w:t xml:space="preserve"> FR </w:t>
      </w:r>
      <w:r w:rsidR="00F27CC5">
        <w:t>1833</w:t>
      </w:r>
      <w:r w:rsidR="006C7F50">
        <w:t xml:space="preserve">, </w:t>
      </w:r>
      <w:r w:rsidR="00F27CC5">
        <w:t>January 12, 2022</w:t>
      </w:r>
      <w:r>
        <w:t>) (copy</w:t>
      </w:r>
      <w:r w:rsidR="004207AA">
        <w:t xml:space="preserve"> will be</w:t>
      </w:r>
      <w:r>
        <w:t xml:space="preserve"> attached).  </w:t>
      </w:r>
      <w:r w:rsidRPr="00953ED7" w:rsidR="00953ED7">
        <w:t>No public comments were received in response to this request</w:t>
      </w:r>
      <w:r w:rsidR="009863EA">
        <w:t xml:space="preserve">. </w:t>
      </w:r>
      <w:r w:rsidRPr="00793E55" w:rsidR="00C92B5D">
        <w:t xml:space="preserve">NHTSA is in regular communication with manufacturers </w:t>
      </w:r>
      <w:r w:rsidRPr="000067BD" w:rsidR="00C92B5D">
        <w:t>due to r</w:t>
      </w:r>
      <w:r w:rsidRPr="00AB5462" w:rsidR="00C92B5D">
        <w:t>eporting of target areas</w:t>
      </w:r>
      <w:r w:rsidRPr="00793E55" w:rsidR="00C92B5D">
        <w:t xml:space="preserve"> under </w:t>
      </w:r>
      <w:proofErr w:type="spellStart"/>
      <w:r w:rsidRPr="00793E55" w:rsidR="00C92B5D">
        <w:t>part</w:t>
      </w:r>
      <w:proofErr w:type="spellEnd"/>
      <w:r w:rsidRPr="00793E55" w:rsidR="00C92B5D">
        <w:t xml:space="preserve"> 54</w:t>
      </w:r>
      <w:r w:rsidRPr="000067BD" w:rsidR="00C92B5D">
        <w:t>1 and submissions</w:t>
      </w:r>
      <w:r w:rsidRPr="00EC2201" w:rsidR="00C92B5D">
        <w:t xml:space="preserve"> of determinations under part 542</w:t>
      </w:r>
      <w:r w:rsidRPr="00E81DD2" w:rsidR="00C92B5D">
        <w:t xml:space="preserve">. </w:t>
      </w:r>
      <w:r w:rsidRPr="00C92B5D" w:rsidR="00C92B5D">
        <w:t>While NHTSA often provides explanations of how to comply with the requirements, NHTSA has not received feedback indicating that the process is burdensome or that NHTSA’s estimates of burdens are incorrect.</w:t>
      </w:r>
    </w:p>
    <w:p w:rsidR="001D3775" w:rsidP="00C267F7" w:rsidRDefault="001D3775" w14:paraId="0D13AB09" w14:textId="4695223B">
      <w:pPr>
        <w:pStyle w:val="BodyTextIndent"/>
        <w:ind w:left="0"/>
      </w:pPr>
    </w:p>
    <w:p w:rsidRPr="001D3775" w:rsidR="001D3775" w:rsidP="001D3775" w:rsidRDefault="001D3775" w14:paraId="0BD260BA" w14:textId="727FCF21">
      <w:pPr>
        <w:widowControl/>
        <w:autoSpaceDE/>
        <w:autoSpaceDN/>
        <w:adjustRightInd/>
        <w:rPr>
          <w:rFonts w:eastAsia="Calibri"/>
          <w:sz w:val="24"/>
          <w:szCs w:val="24"/>
        </w:rPr>
      </w:pPr>
      <w:r w:rsidRPr="001D3775">
        <w:rPr>
          <w:rFonts w:eastAsia="Calibri"/>
          <w:sz w:val="24"/>
          <w:szCs w:val="24"/>
        </w:rPr>
        <w:t>On Ma</w:t>
      </w:r>
      <w:r w:rsidR="00005520">
        <w:rPr>
          <w:rFonts w:eastAsia="Calibri"/>
          <w:sz w:val="24"/>
          <w:szCs w:val="24"/>
        </w:rPr>
        <w:t>y</w:t>
      </w:r>
      <w:r w:rsidRPr="001D3775">
        <w:rPr>
          <w:rFonts w:eastAsia="Calibri"/>
          <w:sz w:val="24"/>
          <w:szCs w:val="24"/>
        </w:rPr>
        <w:t xml:space="preserve"> </w:t>
      </w:r>
      <w:r>
        <w:rPr>
          <w:rFonts w:eastAsia="Calibri"/>
          <w:sz w:val="24"/>
          <w:szCs w:val="24"/>
        </w:rPr>
        <w:t>3</w:t>
      </w:r>
      <w:r w:rsidRPr="001D3775">
        <w:rPr>
          <w:rFonts w:eastAsia="Calibri"/>
          <w:sz w:val="24"/>
          <w:szCs w:val="24"/>
        </w:rPr>
        <w:t xml:space="preserve">, 2022, NHTSA published a 30-day federal register document (87 FR </w:t>
      </w:r>
      <w:r>
        <w:rPr>
          <w:rFonts w:eastAsia="Calibri"/>
          <w:sz w:val="24"/>
          <w:szCs w:val="24"/>
        </w:rPr>
        <w:t>26256</w:t>
      </w:r>
      <w:r w:rsidRPr="001D3775">
        <w:rPr>
          <w:rFonts w:eastAsia="Calibri"/>
          <w:sz w:val="24"/>
          <w:szCs w:val="24"/>
        </w:rPr>
        <w:t>) announcing NHTSA’s intention to submit the information request to OMB and requesting public comment.</w:t>
      </w:r>
    </w:p>
    <w:p w:rsidRPr="0002050E" w:rsidR="002B0DAA" w:rsidP="002B0DAA" w:rsidRDefault="002B0DAA" w14:paraId="32813FE3" w14:textId="77777777">
      <w:pPr>
        <w:tabs>
          <w:tab w:val="left" w:pos="1065"/>
        </w:tabs>
        <w:rPr>
          <w:sz w:val="24"/>
        </w:rPr>
      </w:pPr>
      <w:r>
        <w:rPr>
          <w:sz w:val="24"/>
        </w:rPr>
        <w:tab/>
      </w:r>
    </w:p>
    <w:p w:rsidRPr="00C267F7" w:rsidR="002B0DAA" w:rsidP="000979A4" w:rsidRDefault="002B0DAA" w14:paraId="237CC4AD" w14:textId="49BC82E8">
      <w:pPr>
        <w:pStyle w:val="ListParagraph"/>
        <w:keepNext/>
        <w:widowControl/>
        <w:numPr>
          <w:ilvl w:val="0"/>
          <w:numId w:val="10"/>
        </w:numPr>
        <w:tabs>
          <w:tab w:val="left" w:pos="720"/>
        </w:tabs>
        <w:ind w:right="-58"/>
        <w:rPr>
          <w:b/>
          <w:bCs/>
          <w:sz w:val="24"/>
          <w:szCs w:val="24"/>
        </w:rPr>
      </w:pPr>
      <w:r w:rsidRPr="00C267F7">
        <w:rPr>
          <w:b/>
          <w:bCs/>
          <w:sz w:val="24"/>
          <w:szCs w:val="24"/>
        </w:rPr>
        <w:t>Explain any decision to provide any payment or gift to respondents, other than remuneration of contractors or grantees.</w:t>
      </w:r>
    </w:p>
    <w:p w:rsidRPr="0002050E" w:rsidR="002B0DAA" w:rsidP="000979A4" w:rsidRDefault="002B0DAA" w14:paraId="0491F931" w14:textId="77777777">
      <w:pPr>
        <w:keepNext/>
        <w:widowControl/>
        <w:ind w:right="-58"/>
        <w:rPr>
          <w:sz w:val="24"/>
          <w:szCs w:val="24"/>
        </w:rPr>
      </w:pPr>
    </w:p>
    <w:p w:rsidR="002B0DAA" w:rsidP="002B0DAA" w:rsidRDefault="002B0DAA" w14:paraId="6F118631" w14:textId="3138AFAB">
      <w:pPr>
        <w:rPr>
          <w:sz w:val="24"/>
          <w:szCs w:val="24"/>
        </w:rPr>
      </w:pPr>
      <w:r w:rsidRPr="0002050E">
        <w:rPr>
          <w:sz w:val="24"/>
          <w:szCs w:val="24"/>
        </w:rPr>
        <w:t>No payment or gift will be given to any respondent</w:t>
      </w:r>
      <w:r w:rsidR="00F911AB">
        <w:rPr>
          <w:sz w:val="24"/>
          <w:szCs w:val="24"/>
        </w:rPr>
        <w:t xml:space="preserve"> in connection with th</w:t>
      </w:r>
      <w:r w:rsidR="001E35D1">
        <w:rPr>
          <w:sz w:val="24"/>
          <w:szCs w:val="24"/>
        </w:rPr>
        <w:t>ese</w:t>
      </w:r>
      <w:r w:rsidR="00F911AB">
        <w:rPr>
          <w:sz w:val="24"/>
          <w:szCs w:val="24"/>
        </w:rPr>
        <w:t xml:space="preserve"> information collection</w:t>
      </w:r>
      <w:r w:rsidR="001E35D1">
        <w:rPr>
          <w:sz w:val="24"/>
          <w:szCs w:val="24"/>
        </w:rPr>
        <w:t>s</w:t>
      </w:r>
      <w:r w:rsidRPr="0002050E">
        <w:rPr>
          <w:sz w:val="24"/>
          <w:szCs w:val="24"/>
        </w:rPr>
        <w:t>.</w:t>
      </w:r>
    </w:p>
    <w:p w:rsidRPr="0002050E" w:rsidR="002B0DAA" w:rsidP="002B0DAA" w:rsidRDefault="002B0DAA" w14:paraId="0E560B40" w14:textId="77777777">
      <w:pPr>
        <w:rPr>
          <w:sz w:val="24"/>
          <w:szCs w:val="24"/>
        </w:rPr>
      </w:pPr>
    </w:p>
    <w:p w:rsidRPr="00C267F7" w:rsidR="002B0DAA" w:rsidP="00C267F7" w:rsidRDefault="002B0DAA" w14:paraId="15FA5D0F" w14:textId="10746680">
      <w:pPr>
        <w:pStyle w:val="ListParagraph"/>
        <w:numPr>
          <w:ilvl w:val="0"/>
          <w:numId w:val="10"/>
        </w:numPr>
        <w:tabs>
          <w:tab w:val="left" w:pos="720"/>
        </w:tabs>
        <w:ind w:right="36"/>
        <w:rPr>
          <w:b/>
          <w:bCs/>
          <w:sz w:val="24"/>
          <w:szCs w:val="24"/>
        </w:rPr>
      </w:pPr>
      <w:r w:rsidRPr="00C267F7">
        <w:rPr>
          <w:b/>
          <w:bCs/>
          <w:sz w:val="24"/>
          <w:szCs w:val="24"/>
        </w:rPr>
        <w:t>Describe any assurance of confidentiality provided to respondents</w:t>
      </w:r>
      <w:r w:rsidRPr="00C267F7" w:rsidR="00945D3B">
        <w:rPr>
          <w:b/>
          <w:bCs/>
          <w:sz w:val="24"/>
          <w:szCs w:val="24"/>
        </w:rPr>
        <w:t xml:space="preserve"> and the basis for the assurance in statute, regulation, or agency policy.  If the collection requires a </w:t>
      </w:r>
      <w:proofErr w:type="gramStart"/>
      <w:r w:rsidRPr="00C267F7" w:rsidR="00945D3B">
        <w:rPr>
          <w:b/>
          <w:bCs/>
          <w:sz w:val="24"/>
          <w:szCs w:val="24"/>
        </w:rPr>
        <w:t>systems of records notice (SORN)</w:t>
      </w:r>
      <w:proofErr w:type="gramEnd"/>
      <w:r w:rsidRPr="00C267F7" w:rsidR="00945D3B">
        <w:rPr>
          <w:b/>
          <w:bCs/>
          <w:sz w:val="24"/>
          <w:szCs w:val="24"/>
        </w:rPr>
        <w:t xml:space="preserve"> or privacy impact assessment (PIA), those should be cited and described here</w:t>
      </w:r>
      <w:r w:rsidRPr="00C267F7">
        <w:rPr>
          <w:b/>
          <w:bCs/>
          <w:sz w:val="24"/>
          <w:szCs w:val="24"/>
        </w:rPr>
        <w:t>.</w:t>
      </w:r>
    </w:p>
    <w:p w:rsidRPr="0002050E" w:rsidR="002B0DAA" w:rsidP="002B0DAA" w:rsidRDefault="002B0DAA" w14:paraId="40D0D4E0" w14:textId="77777777">
      <w:pPr>
        <w:rPr>
          <w:sz w:val="24"/>
          <w:szCs w:val="24"/>
        </w:rPr>
      </w:pPr>
    </w:p>
    <w:p w:rsidRPr="00945D3B" w:rsidR="002B0DAA" w:rsidP="00C267F7" w:rsidRDefault="00751DCA" w14:paraId="268379B5" w14:textId="14910B7F">
      <w:pPr>
        <w:rPr>
          <w:sz w:val="24"/>
          <w:szCs w:val="24"/>
        </w:rPr>
      </w:pPr>
      <w:r>
        <w:rPr>
          <w:sz w:val="24"/>
          <w:szCs w:val="24"/>
        </w:rPr>
        <w:t xml:space="preserve">Manufacturers may </w:t>
      </w:r>
      <w:r w:rsidRPr="00945D3B" w:rsidR="003A19F4">
        <w:rPr>
          <w:sz w:val="24"/>
          <w:szCs w:val="24"/>
        </w:rPr>
        <w:t>s</w:t>
      </w:r>
      <w:r>
        <w:rPr>
          <w:sz w:val="24"/>
          <w:szCs w:val="24"/>
        </w:rPr>
        <w:t>eek</w:t>
      </w:r>
      <w:r w:rsidRPr="00945D3B" w:rsidR="003A19F4">
        <w:rPr>
          <w:sz w:val="24"/>
          <w:szCs w:val="24"/>
        </w:rPr>
        <w:t xml:space="preserve"> confidential treatment of their submissions </w:t>
      </w:r>
      <w:r>
        <w:rPr>
          <w:sz w:val="24"/>
          <w:szCs w:val="24"/>
        </w:rPr>
        <w:t>under</w:t>
      </w:r>
      <w:r w:rsidRPr="00945D3B" w:rsidR="003A19F4">
        <w:rPr>
          <w:sz w:val="24"/>
          <w:szCs w:val="24"/>
        </w:rPr>
        <w:t xml:space="preserve"> 49 CFR Part 512, which sets forth the procedures for seeking confidentiality.</w:t>
      </w:r>
      <w:r w:rsidR="003A19F4">
        <w:rPr>
          <w:sz w:val="24"/>
          <w:szCs w:val="24"/>
        </w:rPr>
        <w:t xml:space="preserve">  Under Part 512, t</w:t>
      </w:r>
      <w:r w:rsidRPr="0002050E" w:rsidR="002B0DAA">
        <w:rPr>
          <w:sz w:val="24"/>
          <w:szCs w:val="24"/>
        </w:rPr>
        <w:t xml:space="preserve">he respondents will provide </w:t>
      </w:r>
      <w:r w:rsidR="003A19F4">
        <w:rPr>
          <w:sz w:val="24"/>
          <w:szCs w:val="24"/>
        </w:rPr>
        <w:t>any confidential</w:t>
      </w:r>
      <w:r w:rsidRPr="0002050E" w:rsidR="003A19F4">
        <w:rPr>
          <w:sz w:val="24"/>
          <w:szCs w:val="24"/>
        </w:rPr>
        <w:t xml:space="preserve"> </w:t>
      </w:r>
      <w:r w:rsidRPr="0002050E" w:rsidR="002B0DAA">
        <w:rPr>
          <w:sz w:val="24"/>
          <w:szCs w:val="24"/>
        </w:rPr>
        <w:t xml:space="preserve">information directly to NHTSA’s Chief Counsel.  </w:t>
      </w:r>
    </w:p>
    <w:p w:rsidRPr="0002050E" w:rsidR="002B0DAA" w:rsidP="002B0DAA" w:rsidRDefault="002B0DAA" w14:paraId="1CE0D08D" w14:textId="77777777">
      <w:pPr>
        <w:rPr>
          <w:sz w:val="24"/>
          <w:szCs w:val="24"/>
        </w:rPr>
      </w:pPr>
    </w:p>
    <w:p w:rsidRPr="00C267F7" w:rsidR="002B0DAA" w:rsidP="00C267F7" w:rsidRDefault="002B0DAA" w14:paraId="77AD62BF" w14:textId="4E28066B">
      <w:pPr>
        <w:pStyle w:val="ListParagraph"/>
        <w:numPr>
          <w:ilvl w:val="0"/>
          <w:numId w:val="10"/>
        </w:numPr>
        <w:tabs>
          <w:tab w:val="left" w:pos="720"/>
        </w:tabs>
        <w:ind w:right="36"/>
        <w:rPr>
          <w:b/>
          <w:bCs/>
          <w:sz w:val="24"/>
          <w:szCs w:val="24"/>
        </w:rPr>
      </w:pPr>
      <w:r w:rsidRPr="00C267F7">
        <w:rPr>
          <w:b/>
          <w:bCs/>
          <w:sz w:val="24"/>
          <w:szCs w:val="24"/>
        </w:rPr>
        <w:t xml:space="preserve">Provide additional justification for any questions </w:t>
      </w:r>
      <w:r w:rsidRPr="00C267F7" w:rsidR="008F7AAD">
        <w:rPr>
          <w:b/>
          <w:bCs/>
          <w:sz w:val="24"/>
          <w:szCs w:val="24"/>
        </w:rPr>
        <w:t>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C267F7">
        <w:rPr>
          <w:b/>
          <w:bCs/>
          <w:sz w:val="24"/>
          <w:szCs w:val="24"/>
        </w:rPr>
        <w:t>.</w:t>
      </w:r>
    </w:p>
    <w:p w:rsidRPr="0002050E" w:rsidR="002B0DAA" w:rsidP="002B0DAA" w:rsidRDefault="002B0DAA" w14:paraId="51B23C10" w14:textId="77777777">
      <w:pPr>
        <w:rPr>
          <w:sz w:val="24"/>
          <w:szCs w:val="24"/>
        </w:rPr>
      </w:pPr>
    </w:p>
    <w:p w:rsidRPr="00894456" w:rsidR="002B0DAA" w:rsidP="00C267F7" w:rsidRDefault="002B0DAA" w14:paraId="3DB70343" w14:textId="77777777">
      <w:pPr>
        <w:rPr>
          <w:sz w:val="24"/>
          <w:szCs w:val="24"/>
        </w:rPr>
      </w:pPr>
      <w:r w:rsidRPr="0002050E">
        <w:rPr>
          <w:sz w:val="24"/>
          <w:szCs w:val="24"/>
        </w:rPr>
        <w:t>No questions of a sensitive nature are involved in these data collections.</w:t>
      </w:r>
    </w:p>
    <w:p w:rsidRPr="0002050E" w:rsidR="002B0DAA" w:rsidP="002B0DAA" w:rsidRDefault="002B0DAA" w14:paraId="3104E5D3" w14:textId="77777777">
      <w:pPr>
        <w:rPr>
          <w:sz w:val="24"/>
          <w:szCs w:val="24"/>
        </w:rPr>
      </w:pPr>
    </w:p>
    <w:p w:rsidRPr="00C267F7" w:rsidR="001E35D1" w:rsidP="001E35D1" w:rsidRDefault="001E35D1" w14:paraId="58180F51" w14:textId="62FDA550">
      <w:pPr>
        <w:pStyle w:val="ListParagraph"/>
        <w:numPr>
          <w:ilvl w:val="0"/>
          <w:numId w:val="10"/>
        </w:numPr>
        <w:rPr>
          <w:b/>
          <w:bCs/>
          <w:sz w:val="24"/>
          <w:szCs w:val="24"/>
        </w:rPr>
      </w:pPr>
      <w:r w:rsidRPr="00C267F7">
        <w:rPr>
          <w:b/>
          <w:bCs/>
          <w:sz w:val="24"/>
          <w:szCs w:val="24"/>
        </w:rPr>
        <w:t xml:space="preserve">Provide estimates of the hour burden of the collection of information on the </w:t>
      </w:r>
      <w:r w:rsidRPr="00C267F7">
        <w:rPr>
          <w:b/>
          <w:bCs/>
          <w:sz w:val="24"/>
          <w:szCs w:val="24"/>
        </w:rPr>
        <w:lastRenderedPageBreak/>
        <w:t xml:space="preserve">respondents and estimates of the annualized labor cost to respondents associated with that hour burden. </w:t>
      </w:r>
    </w:p>
    <w:p w:rsidRPr="001E35D1" w:rsidR="004172D7" w:rsidP="00C267F7" w:rsidRDefault="004172D7" w14:paraId="091CD728" w14:textId="77777777">
      <w:pPr>
        <w:pStyle w:val="ListParagraph"/>
        <w:tabs>
          <w:tab w:val="left" w:pos="720"/>
        </w:tabs>
        <w:ind w:right="36"/>
        <w:rPr>
          <w:sz w:val="24"/>
          <w:szCs w:val="24"/>
        </w:rPr>
      </w:pPr>
    </w:p>
    <w:p w:rsidRPr="00261B2C" w:rsidR="004172D7" w:rsidP="00C267F7" w:rsidRDefault="004172D7" w14:paraId="3276C9B6" w14:textId="5841D2A8">
      <w:pPr>
        <w:rPr>
          <w:sz w:val="24"/>
          <w:szCs w:val="24"/>
        </w:rPr>
      </w:pPr>
      <w:bookmarkStart w:name="_Hlk81309800" w:id="1"/>
      <w:r w:rsidRPr="00261B2C">
        <w:rPr>
          <w:sz w:val="24"/>
          <w:szCs w:val="24"/>
          <w:u w:val="single"/>
        </w:rPr>
        <w:t>49 CFR Part 541</w:t>
      </w:r>
    </w:p>
    <w:bookmarkEnd w:id="1"/>
    <w:p w:rsidR="00EF787B" w:rsidRDefault="00EF787B" w14:paraId="39D567FF" w14:textId="77777777">
      <w:pPr>
        <w:ind w:left="720" w:right="36"/>
        <w:rPr>
          <w:sz w:val="24"/>
          <w:szCs w:val="24"/>
        </w:rPr>
      </w:pPr>
    </w:p>
    <w:p w:rsidRPr="00261B2C" w:rsidR="004172D7" w:rsidP="00C267F7" w:rsidRDefault="00C855D8" w14:paraId="34D9CA42" w14:textId="6924BE1C">
      <w:pPr>
        <w:ind w:right="36"/>
        <w:rPr>
          <w:sz w:val="24"/>
          <w:szCs w:val="24"/>
        </w:rPr>
      </w:pPr>
      <w:bookmarkStart w:name="_Hlk81309770" w:id="2"/>
      <w:r>
        <w:rPr>
          <w:sz w:val="24"/>
          <w:szCs w:val="24"/>
        </w:rPr>
        <w:t>C</w:t>
      </w:r>
      <w:r w:rsidR="00716F9A">
        <w:rPr>
          <w:sz w:val="24"/>
          <w:szCs w:val="24"/>
        </w:rPr>
        <w:t>urrent information</w:t>
      </w:r>
      <w:r w:rsidR="00A4331C">
        <w:rPr>
          <w:sz w:val="24"/>
          <w:szCs w:val="24"/>
        </w:rPr>
        <w:t xml:space="preserve"> indicates </w:t>
      </w:r>
      <w:r>
        <w:rPr>
          <w:sz w:val="24"/>
          <w:szCs w:val="24"/>
        </w:rPr>
        <w:t xml:space="preserve">there has been </w:t>
      </w:r>
      <w:r w:rsidR="00A4331C">
        <w:rPr>
          <w:sz w:val="24"/>
          <w:szCs w:val="24"/>
        </w:rPr>
        <w:t>a</w:t>
      </w:r>
      <w:r>
        <w:rPr>
          <w:sz w:val="24"/>
          <w:szCs w:val="24"/>
        </w:rPr>
        <w:t xml:space="preserve"> gradual </w:t>
      </w:r>
      <w:r w:rsidR="00716F9A">
        <w:rPr>
          <w:sz w:val="24"/>
          <w:szCs w:val="24"/>
        </w:rPr>
        <w:t xml:space="preserve">increase in new vehicle </w:t>
      </w:r>
      <w:r w:rsidR="00A4331C">
        <w:rPr>
          <w:sz w:val="24"/>
          <w:szCs w:val="24"/>
        </w:rPr>
        <w:t>manufacturer mergers</w:t>
      </w:r>
      <w:r w:rsidR="007A3ED6">
        <w:rPr>
          <w:sz w:val="24"/>
          <w:szCs w:val="24"/>
        </w:rPr>
        <w:t>, granting of parts</w:t>
      </w:r>
      <w:r w:rsidR="00EE3E62">
        <w:rPr>
          <w:sz w:val="24"/>
          <w:szCs w:val="24"/>
        </w:rPr>
        <w:t>-</w:t>
      </w:r>
      <w:r>
        <w:rPr>
          <w:sz w:val="24"/>
          <w:szCs w:val="24"/>
        </w:rPr>
        <w:t>marking exemptions</w:t>
      </w:r>
      <w:r w:rsidR="004B1D17">
        <w:rPr>
          <w:sz w:val="24"/>
          <w:szCs w:val="24"/>
        </w:rPr>
        <w:t xml:space="preserve"> (49 CFR Part 543)</w:t>
      </w:r>
      <w:r w:rsidR="00A4331C">
        <w:rPr>
          <w:sz w:val="24"/>
          <w:szCs w:val="24"/>
        </w:rPr>
        <w:t xml:space="preserve"> </w:t>
      </w:r>
      <w:r w:rsidR="00716F9A">
        <w:rPr>
          <w:sz w:val="24"/>
          <w:szCs w:val="24"/>
        </w:rPr>
        <w:t xml:space="preserve">and </w:t>
      </w:r>
      <w:r>
        <w:rPr>
          <w:sz w:val="24"/>
          <w:szCs w:val="24"/>
        </w:rPr>
        <w:t xml:space="preserve">vehicle </w:t>
      </w:r>
      <w:r w:rsidR="00716F9A">
        <w:rPr>
          <w:sz w:val="24"/>
          <w:szCs w:val="24"/>
        </w:rPr>
        <w:t>design</w:t>
      </w:r>
      <w:r w:rsidR="00A4331C">
        <w:rPr>
          <w:sz w:val="24"/>
          <w:szCs w:val="24"/>
        </w:rPr>
        <w:t xml:space="preserve"> </w:t>
      </w:r>
      <w:r w:rsidR="00716F9A">
        <w:rPr>
          <w:sz w:val="24"/>
          <w:szCs w:val="24"/>
        </w:rPr>
        <w:t>s</w:t>
      </w:r>
      <w:r w:rsidR="00A4331C">
        <w:rPr>
          <w:sz w:val="24"/>
          <w:szCs w:val="24"/>
        </w:rPr>
        <w:t>tability</w:t>
      </w:r>
      <w:r>
        <w:rPr>
          <w:sz w:val="24"/>
          <w:szCs w:val="24"/>
        </w:rPr>
        <w:t xml:space="preserve"> which have resulted in decreased production of vehicles requiring parts</w:t>
      </w:r>
      <w:r w:rsidR="00F775FB">
        <w:rPr>
          <w:sz w:val="24"/>
          <w:szCs w:val="24"/>
        </w:rPr>
        <w:t>-</w:t>
      </w:r>
      <w:r>
        <w:rPr>
          <w:sz w:val="24"/>
          <w:szCs w:val="24"/>
        </w:rPr>
        <w:t>marking.</w:t>
      </w:r>
      <w:r w:rsidR="006305F6">
        <w:rPr>
          <w:sz w:val="24"/>
          <w:szCs w:val="24"/>
        </w:rPr>
        <w:t xml:space="preserve">  </w:t>
      </w:r>
      <w:r w:rsidR="000D7C79">
        <w:rPr>
          <w:sz w:val="24"/>
          <w:szCs w:val="24"/>
        </w:rPr>
        <w:t>The</w:t>
      </w:r>
      <w:r w:rsidRPr="00B65D08" w:rsidR="000D7C79">
        <w:rPr>
          <w:sz w:val="24"/>
          <w:szCs w:val="24"/>
        </w:rPr>
        <w:t xml:space="preserve"> </w:t>
      </w:r>
      <w:r w:rsidRPr="00B65D08" w:rsidR="00716F9A">
        <w:rPr>
          <w:sz w:val="24"/>
          <w:szCs w:val="24"/>
        </w:rPr>
        <w:t xml:space="preserve">agency estimates </w:t>
      </w:r>
      <w:r w:rsidR="006305F6">
        <w:rPr>
          <w:sz w:val="24"/>
          <w:szCs w:val="24"/>
        </w:rPr>
        <w:t>that</w:t>
      </w:r>
      <w:r w:rsidR="008F7AAD">
        <w:rPr>
          <w:sz w:val="24"/>
          <w:szCs w:val="24"/>
        </w:rPr>
        <w:t>,</w:t>
      </w:r>
      <w:r w:rsidR="006305F6">
        <w:rPr>
          <w:sz w:val="24"/>
          <w:szCs w:val="24"/>
        </w:rPr>
        <w:t xml:space="preserve"> based on the most currently available data, there has been </w:t>
      </w:r>
      <w:r w:rsidR="00716F9A">
        <w:rPr>
          <w:sz w:val="24"/>
          <w:szCs w:val="24"/>
        </w:rPr>
        <w:t xml:space="preserve">a </w:t>
      </w:r>
      <w:r w:rsidR="009A3D3C">
        <w:rPr>
          <w:sz w:val="24"/>
          <w:szCs w:val="24"/>
        </w:rPr>
        <w:t xml:space="preserve">decrease </w:t>
      </w:r>
      <w:r w:rsidR="00716F9A">
        <w:rPr>
          <w:sz w:val="24"/>
          <w:szCs w:val="24"/>
        </w:rPr>
        <w:t xml:space="preserve">in </w:t>
      </w:r>
      <w:r w:rsidR="006305F6">
        <w:rPr>
          <w:sz w:val="24"/>
          <w:szCs w:val="24"/>
        </w:rPr>
        <w:t xml:space="preserve">the </w:t>
      </w:r>
      <w:r w:rsidR="00716F9A">
        <w:rPr>
          <w:sz w:val="24"/>
          <w:szCs w:val="24"/>
        </w:rPr>
        <w:t>production</w:t>
      </w:r>
      <w:r w:rsidR="000D7C79">
        <w:rPr>
          <w:sz w:val="24"/>
          <w:szCs w:val="24"/>
        </w:rPr>
        <w:t xml:space="preserve"> </w:t>
      </w:r>
      <w:r w:rsidR="006305F6">
        <w:rPr>
          <w:sz w:val="24"/>
          <w:szCs w:val="24"/>
        </w:rPr>
        <w:t>of vehicles requiring parts</w:t>
      </w:r>
      <w:r w:rsidR="00EE3E62">
        <w:rPr>
          <w:sz w:val="24"/>
          <w:szCs w:val="24"/>
        </w:rPr>
        <w:t>-</w:t>
      </w:r>
      <w:r w:rsidR="006305F6">
        <w:rPr>
          <w:sz w:val="24"/>
          <w:szCs w:val="24"/>
        </w:rPr>
        <w:t>marking</w:t>
      </w:r>
      <w:r w:rsidR="00716F9A">
        <w:rPr>
          <w:sz w:val="24"/>
          <w:szCs w:val="24"/>
        </w:rPr>
        <w:t xml:space="preserve"> </w:t>
      </w:r>
      <w:r w:rsidR="009A3D3C">
        <w:rPr>
          <w:sz w:val="24"/>
          <w:szCs w:val="24"/>
        </w:rPr>
        <w:t xml:space="preserve">from 8 million vehicles to </w:t>
      </w:r>
      <w:r w:rsidR="00716F9A">
        <w:rPr>
          <w:sz w:val="24"/>
          <w:szCs w:val="24"/>
        </w:rPr>
        <w:t xml:space="preserve">approximately </w:t>
      </w:r>
      <w:r w:rsidR="009A3D3C">
        <w:rPr>
          <w:sz w:val="24"/>
          <w:szCs w:val="24"/>
        </w:rPr>
        <w:t xml:space="preserve">4.5 </w:t>
      </w:r>
      <w:r w:rsidR="00716F9A">
        <w:rPr>
          <w:sz w:val="24"/>
          <w:szCs w:val="24"/>
        </w:rPr>
        <w:t xml:space="preserve">million for all manufacturers.  </w:t>
      </w:r>
      <w:r w:rsidR="0081662C">
        <w:rPr>
          <w:sz w:val="24"/>
          <w:szCs w:val="24"/>
        </w:rPr>
        <w:t>To calculate the burden associated with the parts marking requirement, NHTSA assumes that manufacturers will use the least burdensome method for complying with the requirement</w:t>
      </w:r>
      <w:r w:rsidR="00077A59">
        <w:rPr>
          <w:sz w:val="24"/>
          <w:szCs w:val="24"/>
        </w:rPr>
        <w:t>,</w:t>
      </w:r>
      <w:r w:rsidRPr="00077A59" w:rsidR="00077A59">
        <w:t xml:space="preserve"> </w:t>
      </w:r>
      <w:r w:rsidRPr="00077A59" w:rsidR="00077A59">
        <w:rPr>
          <w:sz w:val="24"/>
          <w:szCs w:val="24"/>
        </w:rPr>
        <w:t>based on historical practice and the agency’s current understanding of how manufacturers fit labeling into the vehicle assembly line</w:t>
      </w:r>
      <w:r w:rsidR="0081662C">
        <w:rPr>
          <w:sz w:val="24"/>
          <w:szCs w:val="24"/>
        </w:rPr>
        <w:t xml:space="preserve">. </w:t>
      </w:r>
      <w:r w:rsidRPr="00261B2C" w:rsidR="004172D7">
        <w:rPr>
          <w:sz w:val="24"/>
          <w:szCs w:val="24"/>
        </w:rPr>
        <w:t xml:space="preserve">For the antitheft requirement, the cost of labeling the major parts (i.e., a paper label with the VIN is placed on each major part) is less than the cost of stamping the VIN on each major part with a stamping machine.  </w:t>
      </w:r>
    </w:p>
    <w:p w:rsidRPr="00261B2C" w:rsidR="004172D7" w:rsidRDefault="004172D7" w14:paraId="223103B8" w14:textId="77777777">
      <w:pPr>
        <w:ind w:left="720" w:right="36"/>
        <w:rPr>
          <w:sz w:val="24"/>
          <w:szCs w:val="24"/>
        </w:rPr>
      </w:pPr>
    </w:p>
    <w:p w:rsidRPr="00B65D08" w:rsidR="004172D7" w:rsidP="00C267F7" w:rsidRDefault="004172D7" w14:paraId="4D687718" w14:textId="51B0963F">
      <w:pPr>
        <w:ind w:right="36"/>
        <w:rPr>
          <w:sz w:val="24"/>
          <w:szCs w:val="24"/>
          <w:highlight w:val="yellow"/>
        </w:rPr>
      </w:pPr>
      <w:r w:rsidRPr="00261B2C">
        <w:rPr>
          <w:sz w:val="24"/>
          <w:szCs w:val="24"/>
        </w:rPr>
        <w:t>To meet the Theft Prevention Standard, the agency estimates that the time to number and affix</w:t>
      </w:r>
      <w:r w:rsidR="00AD4A5D">
        <w:rPr>
          <w:sz w:val="24"/>
          <w:szCs w:val="24"/>
        </w:rPr>
        <w:t xml:space="preserve"> the average of</w:t>
      </w:r>
      <w:r w:rsidRPr="00261B2C">
        <w:rPr>
          <w:sz w:val="24"/>
          <w:szCs w:val="24"/>
        </w:rPr>
        <w:t xml:space="preserve"> </w:t>
      </w:r>
      <w:r w:rsidRPr="00261B2C" w:rsidR="00BE3BDC">
        <w:rPr>
          <w:sz w:val="24"/>
          <w:szCs w:val="24"/>
        </w:rPr>
        <w:t>14</w:t>
      </w:r>
      <w:r w:rsidRPr="00261B2C" w:rsidR="00CF1D59">
        <w:rPr>
          <w:sz w:val="24"/>
          <w:szCs w:val="24"/>
        </w:rPr>
        <w:t xml:space="preserve"> </w:t>
      </w:r>
      <w:r w:rsidRPr="00261B2C">
        <w:rPr>
          <w:sz w:val="24"/>
          <w:szCs w:val="24"/>
        </w:rPr>
        <w:t>label</w:t>
      </w:r>
      <w:r w:rsidRPr="00261B2C" w:rsidR="00CF1D59">
        <w:rPr>
          <w:sz w:val="24"/>
          <w:szCs w:val="24"/>
        </w:rPr>
        <w:t>s</w:t>
      </w:r>
      <w:r w:rsidRPr="00261B2C">
        <w:rPr>
          <w:sz w:val="24"/>
          <w:szCs w:val="24"/>
        </w:rPr>
        <w:t xml:space="preserve"> to </w:t>
      </w:r>
      <w:r w:rsidRPr="00261B2C" w:rsidR="00CF1D59">
        <w:rPr>
          <w:sz w:val="24"/>
          <w:szCs w:val="24"/>
        </w:rPr>
        <w:t xml:space="preserve">each vehicle is </w:t>
      </w:r>
      <w:r w:rsidRPr="00261B2C">
        <w:rPr>
          <w:sz w:val="24"/>
          <w:szCs w:val="24"/>
        </w:rPr>
        <w:t>approximately 2 minutes</w:t>
      </w:r>
      <w:r w:rsidRPr="00CF2EB2">
        <w:rPr>
          <w:sz w:val="24"/>
          <w:szCs w:val="24"/>
        </w:rPr>
        <w:t xml:space="preserve">.  If </w:t>
      </w:r>
      <w:r w:rsidR="00C92D82">
        <w:rPr>
          <w:sz w:val="24"/>
          <w:szCs w:val="24"/>
        </w:rPr>
        <w:t xml:space="preserve">4.5 </w:t>
      </w:r>
      <w:r w:rsidRPr="00472D06">
        <w:rPr>
          <w:sz w:val="24"/>
          <w:szCs w:val="24"/>
        </w:rPr>
        <w:t>million</w:t>
      </w:r>
      <w:r w:rsidRPr="00CF2EB2">
        <w:rPr>
          <w:sz w:val="24"/>
          <w:szCs w:val="24"/>
        </w:rPr>
        <w:t xml:space="preserve"> vehicles </w:t>
      </w:r>
      <w:r w:rsidRPr="00261B2C">
        <w:rPr>
          <w:sz w:val="24"/>
          <w:szCs w:val="24"/>
        </w:rPr>
        <w:t xml:space="preserve">are covered, the hourly burden for </w:t>
      </w:r>
      <w:r w:rsidRPr="005947C1">
        <w:rPr>
          <w:sz w:val="24"/>
          <w:szCs w:val="24"/>
        </w:rPr>
        <w:t xml:space="preserve">labeling </w:t>
      </w:r>
      <w:r w:rsidR="00C92D82">
        <w:rPr>
          <w:sz w:val="24"/>
          <w:szCs w:val="24"/>
        </w:rPr>
        <w:t>4.5</w:t>
      </w:r>
      <w:r w:rsidRPr="00472D06" w:rsidR="00C92D82">
        <w:rPr>
          <w:sz w:val="24"/>
          <w:szCs w:val="24"/>
        </w:rPr>
        <w:t xml:space="preserve"> </w:t>
      </w:r>
      <w:r w:rsidRPr="00472D06">
        <w:rPr>
          <w:sz w:val="24"/>
          <w:szCs w:val="24"/>
        </w:rPr>
        <w:t>million</w:t>
      </w:r>
      <w:r w:rsidRPr="00CF2EB2">
        <w:rPr>
          <w:sz w:val="24"/>
          <w:szCs w:val="24"/>
        </w:rPr>
        <w:t xml:space="preserve"> </w:t>
      </w:r>
      <w:r w:rsidRPr="00261B2C">
        <w:rPr>
          <w:sz w:val="24"/>
          <w:szCs w:val="24"/>
        </w:rPr>
        <w:t xml:space="preserve">motor vehicles would </w:t>
      </w:r>
      <w:r w:rsidRPr="00472D06">
        <w:rPr>
          <w:sz w:val="24"/>
          <w:szCs w:val="24"/>
        </w:rPr>
        <w:t xml:space="preserve">be </w:t>
      </w:r>
      <w:r w:rsidR="00C92D82">
        <w:rPr>
          <w:sz w:val="24"/>
          <w:szCs w:val="24"/>
        </w:rPr>
        <w:t>150,000</w:t>
      </w:r>
      <w:r w:rsidR="00472D06">
        <w:rPr>
          <w:sz w:val="24"/>
          <w:szCs w:val="24"/>
        </w:rPr>
        <w:t xml:space="preserve"> </w:t>
      </w:r>
      <w:r w:rsidRPr="005947C1">
        <w:rPr>
          <w:sz w:val="24"/>
          <w:szCs w:val="24"/>
        </w:rPr>
        <w:t xml:space="preserve">hours </w:t>
      </w:r>
      <w:r w:rsidRPr="00472D06">
        <w:rPr>
          <w:sz w:val="24"/>
          <w:szCs w:val="24"/>
        </w:rPr>
        <w:t>(</w:t>
      </w:r>
      <w:r w:rsidR="00C92D82">
        <w:rPr>
          <w:sz w:val="24"/>
          <w:szCs w:val="24"/>
        </w:rPr>
        <w:t>4.5</w:t>
      </w:r>
      <w:r w:rsidRPr="00472D06" w:rsidR="00C92D82">
        <w:rPr>
          <w:sz w:val="24"/>
          <w:szCs w:val="24"/>
        </w:rPr>
        <w:t xml:space="preserve"> </w:t>
      </w:r>
      <w:r w:rsidRPr="00472D06" w:rsidR="00CF1D59">
        <w:rPr>
          <w:sz w:val="24"/>
          <w:szCs w:val="24"/>
        </w:rPr>
        <w:t xml:space="preserve">million cars </w:t>
      </w:r>
      <w:r w:rsidR="004A05B0">
        <w:rPr>
          <w:sz w:val="24"/>
          <w:szCs w:val="24"/>
        </w:rPr>
        <w:t>×</w:t>
      </w:r>
      <w:r w:rsidRPr="00472D06" w:rsidR="00CF1D59">
        <w:rPr>
          <w:sz w:val="24"/>
          <w:szCs w:val="24"/>
        </w:rPr>
        <w:t xml:space="preserve"> 2</w:t>
      </w:r>
      <w:r w:rsidRPr="00472D06">
        <w:rPr>
          <w:sz w:val="24"/>
          <w:szCs w:val="24"/>
        </w:rPr>
        <w:t xml:space="preserve"> minutes per car </w:t>
      </w:r>
      <w:r w:rsidR="004A05B0">
        <w:rPr>
          <w:sz w:val="24"/>
          <w:szCs w:val="24"/>
        </w:rPr>
        <w:t>÷</w:t>
      </w:r>
      <w:r w:rsidRPr="00472D06">
        <w:rPr>
          <w:sz w:val="24"/>
          <w:szCs w:val="24"/>
        </w:rPr>
        <w:t>60 minutes in an hour</w:t>
      </w:r>
      <w:r w:rsidRPr="005947C1">
        <w:rPr>
          <w:sz w:val="24"/>
          <w:szCs w:val="24"/>
        </w:rPr>
        <w:t xml:space="preserve">).  </w:t>
      </w:r>
    </w:p>
    <w:p w:rsidRPr="00B65D08" w:rsidR="004172D7" w:rsidRDefault="004172D7" w14:paraId="3BADB7F9" w14:textId="77777777">
      <w:pPr>
        <w:ind w:left="720" w:right="36"/>
        <w:rPr>
          <w:sz w:val="24"/>
          <w:szCs w:val="24"/>
          <w:highlight w:val="yellow"/>
        </w:rPr>
      </w:pPr>
    </w:p>
    <w:p w:rsidRPr="00B65D08" w:rsidR="004172D7" w:rsidP="00C267F7" w:rsidRDefault="004172D7" w14:paraId="1277A6A6" w14:textId="2DFF15B2">
      <w:pPr>
        <w:ind w:right="36"/>
        <w:rPr>
          <w:sz w:val="24"/>
          <w:szCs w:val="24"/>
          <w:highlight w:val="yellow"/>
        </w:rPr>
      </w:pPr>
      <w:r w:rsidRPr="00261B2C">
        <w:rPr>
          <w:sz w:val="24"/>
          <w:szCs w:val="24"/>
        </w:rPr>
        <w:t xml:space="preserve">The agency estimates that the time to stamp </w:t>
      </w:r>
      <w:r w:rsidRPr="00261B2C" w:rsidR="00800B43">
        <w:rPr>
          <w:sz w:val="24"/>
          <w:szCs w:val="24"/>
        </w:rPr>
        <w:t xml:space="preserve">both </w:t>
      </w:r>
      <w:r w:rsidRPr="00261B2C" w:rsidR="006B1CC5">
        <w:rPr>
          <w:sz w:val="24"/>
          <w:szCs w:val="24"/>
        </w:rPr>
        <w:t xml:space="preserve">the engine and transmission </w:t>
      </w:r>
      <w:r w:rsidRPr="00261B2C">
        <w:rPr>
          <w:sz w:val="24"/>
          <w:szCs w:val="24"/>
        </w:rPr>
        <w:t xml:space="preserve">will take approximately </w:t>
      </w:r>
      <w:r w:rsidRPr="00261B2C" w:rsidR="006B1CC5">
        <w:rPr>
          <w:sz w:val="24"/>
          <w:szCs w:val="24"/>
        </w:rPr>
        <w:t>1</w:t>
      </w:r>
      <w:r w:rsidRPr="00261B2C">
        <w:rPr>
          <w:sz w:val="24"/>
          <w:szCs w:val="24"/>
        </w:rPr>
        <w:t xml:space="preserve"> minute.  </w:t>
      </w:r>
      <w:r w:rsidRPr="005947C1">
        <w:rPr>
          <w:sz w:val="24"/>
          <w:szCs w:val="24"/>
        </w:rPr>
        <w:t xml:space="preserve">If </w:t>
      </w:r>
      <w:r w:rsidR="008E52DB">
        <w:rPr>
          <w:sz w:val="24"/>
          <w:szCs w:val="24"/>
        </w:rPr>
        <w:t>4.5</w:t>
      </w:r>
      <w:r w:rsidRPr="00472D06" w:rsidR="008E52DB">
        <w:rPr>
          <w:sz w:val="24"/>
          <w:szCs w:val="24"/>
        </w:rPr>
        <w:t xml:space="preserve"> </w:t>
      </w:r>
      <w:r w:rsidRPr="00472D06">
        <w:rPr>
          <w:sz w:val="24"/>
          <w:szCs w:val="24"/>
        </w:rPr>
        <w:t>million</w:t>
      </w:r>
      <w:r w:rsidRPr="005947C1">
        <w:rPr>
          <w:sz w:val="24"/>
          <w:szCs w:val="24"/>
        </w:rPr>
        <w:t xml:space="preserve"> </w:t>
      </w:r>
      <w:r w:rsidRPr="00261B2C">
        <w:rPr>
          <w:sz w:val="24"/>
          <w:szCs w:val="24"/>
        </w:rPr>
        <w:t xml:space="preserve">vehicles are covered, the total burden for stamping is estimated to total </w:t>
      </w:r>
      <w:r w:rsidR="008E52DB">
        <w:rPr>
          <w:sz w:val="24"/>
          <w:szCs w:val="24"/>
        </w:rPr>
        <w:t>75,000</w:t>
      </w:r>
      <w:r w:rsidRPr="005947C1">
        <w:rPr>
          <w:sz w:val="24"/>
          <w:szCs w:val="24"/>
        </w:rPr>
        <w:t xml:space="preserve"> hours (</w:t>
      </w:r>
      <w:r w:rsidR="008E52DB">
        <w:rPr>
          <w:sz w:val="24"/>
          <w:szCs w:val="24"/>
        </w:rPr>
        <w:t>4.5</w:t>
      </w:r>
      <w:r w:rsidRPr="005947C1" w:rsidR="008E52DB">
        <w:rPr>
          <w:sz w:val="24"/>
          <w:szCs w:val="24"/>
        </w:rPr>
        <w:t> </w:t>
      </w:r>
      <w:r w:rsidRPr="005947C1">
        <w:rPr>
          <w:sz w:val="24"/>
          <w:szCs w:val="24"/>
        </w:rPr>
        <w:t xml:space="preserve">million cars </w:t>
      </w:r>
      <w:r w:rsidR="00950D63">
        <w:rPr>
          <w:sz w:val="24"/>
          <w:szCs w:val="24"/>
        </w:rPr>
        <w:t>×</w:t>
      </w:r>
      <w:r w:rsidRPr="005947C1">
        <w:rPr>
          <w:sz w:val="24"/>
          <w:szCs w:val="24"/>
        </w:rPr>
        <w:t xml:space="preserve"> </w:t>
      </w:r>
      <w:r w:rsidRPr="005947C1" w:rsidR="00800B43">
        <w:rPr>
          <w:sz w:val="24"/>
          <w:szCs w:val="24"/>
        </w:rPr>
        <w:t>1 minute</w:t>
      </w:r>
      <w:r w:rsidRPr="005947C1" w:rsidR="00582566">
        <w:rPr>
          <w:sz w:val="24"/>
          <w:szCs w:val="24"/>
        </w:rPr>
        <w:t xml:space="preserve"> per car</w:t>
      </w:r>
      <w:r w:rsidRPr="005947C1">
        <w:rPr>
          <w:sz w:val="24"/>
          <w:szCs w:val="24"/>
        </w:rPr>
        <w:t xml:space="preserve"> </w:t>
      </w:r>
      <w:r w:rsidR="00950D63">
        <w:rPr>
          <w:sz w:val="24"/>
          <w:szCs w:val="24"/>
        </w:rPr>
        <w:t>÷</w:t>
      </w:r>
      <w:r w:rsidRPr="005947C1">
        <w:rPr>
          <w:sz w:val="24"/>
          <w:szCs w:val="24"/>
        </w:rPr>
        <w:t xml:space="preserve">60 minutes in an hour).  </w:t>
      </w:r>
      <w:r w:rsidRPr="005947C1" w:rsidR="00251603">
        <w:rPr>
          <w:sz w:val="24"/>
          <w:szCs w:val="24"/>
        </w:rPr>
        <w:t>P</w:t>
      </w:r>
      <w:r w:rsidRPr="00261B2C" w:rsidR="00251603">
        <w:rPr>
          <w:sz w:val="24"/>
          <w:szCs w:val="24"/>
        </w:rPr>
        <w:t>lease note that in this analysis each vehicle would either have its major parts labeled or stamped</w:t>
      </w:r>
      <w:r w:rsidR="00053B02">
        <w:rPr>
          <w:sz w:val="24"/>
          <w:szCs w:val="24"/>
        </w:rPr>
        <w:t>,</w:t>
      </w:r>
      <w:r w:rsidRPr="00261B2C" w:rsidR="00251603">
        <w:rPr>
          <w:sz w:val="24"/>
          <w:szCs w:val="24"/>
        </w:rPr>
        <w:t xml:space="preserve"> </w:t>
      </w:r>
      <w:r w:rsidRPr="00261B2C" w:rsidR="00251603">
        <w:rPr>
          <w:sz w:val="24"/>
          <w:szCs w:val="24"/>
          <w:u w:val="single"/>
        </w:rPr>
        <w:t>but not both</w:t>
      </w:r>
      <w:r w:rsidRPr="00261B2C" w:rsidR="00251603">
        <w:rPr>
          <w:sz w:val="24"/>
          <w:szCs w:val="24"/>
        </w:rPr>
        <w:t>.</w:t>
      </w:r>
      <w:r w:rsidR="00663030">
        <w:rPr>
          <w:sz w:val="24"/>
          <w:szCs w:val="24"/>
        </w:rPr>
        <w:t xml:space="preserve">  </w:t>
      </w:r>
      <w:bookmarkStart w:name="_Hlk99030399" w:id="3"/>
      <w:r w:rsidR="00544D8A">
        <w:rPr>
          <w:sz w:val="24"/>
          <w:szCs w:val="24"/>
        </w:rPr>
        <w:t xml:space="preserve">As discussed above, since affixing paper labels is </w:t>
      </w:r>
      <w:r w:rsidR="00037742">
        <w:rPr>
          <w:sz w:val="24"/>
          <w:szCs w:val="24"/>
        </w:rPr>
        <w:t xml:space="preserve">expected </w:t>
      </w:r>
      <w:r w:rsidR="00544D8A">
        <w:rPr>
          <w:sz w:val="24"/>
          <w:szCs w:val="24"/>
        </w:rPr>
        <w:t xml:space="preserve">to be </w:t>
      </w:r>
      <w:r w:rsidR="00037742">
        <w:rPr>
          <w:sz w:val="24"/>
          <w:szCs w:val="24"/>
        </w:rPr>
        <w:t xml:space="preserve">the less burdensome means of compliance </w:t>
      </w:r>
      <w:r w:rsidR="00544D8A">
        <w:rPr>
          <w:sz w:val="24"/>
          <w:szCs w:val="24"/>
        </w:rPr>
        <w:t xml:space="preserve">for manufacturers, NHTSA has estimated the burden of the parts marking requirements using the estimates for affixing paper labels. Therefore, NHTSA estimates the total burden for </w:t>
      </w:r>
      <w:r w:rsidR="001054E6">
        <w:rPr>
          <w:sz w:val="24"/>
          <w:szCs w:val="24"/>
        </w:rPr>
        <w:t>parts-marking to be 150,000 hours annually.</w:t>
      </w:r>
      <w:bookmarkEnd w:id="3"/>
      <w:r w:rsidR="001054E6">
        <w:rPr>
          <w:sz w:val="24"/>
          <w:szCs w:val="24"/>
        </w:rPr>
        <w:t xml:space="preserve"> </w:t>
      </w:r>
    </w:p>
    <w:p w:rsidRPr="00B65D08" w:rsidR="00582566" w:rsidP="00582566" w:rsidRDefault="00582566" w14:paraId="1340E3F5" w14:textId="77777777">
      <w:pPr>
        <w:pStyle w:val="BodyTextIndent"/>
      </w:pPr>
    </w:p>
    <w:p w:rsidR="005C30E4" w:rsidP="00C267F7" w:rsidRDefault="00021D3F" w14:paraId="3B75E394" w14:textId="3BDFA246">
      <w:pPr>
        <w:ind w:right="36"/>
        <w:rPr>
          <w:sz w:val="24"/>
          <w:szCs w:val="24"/>
        </w:rPr>
      </w:pPr>
      <w:r w:rsidRPr="00B65D08">
        <w:rPr>
          <w:sz w:val="24"/>
          <w:szCs w:val="24"/>
        </w:rPr>
        <w:t>Each manufacturer of vehicle</w:t>
      </w:r>
      <w:r w:rsidR="007A3ED6">
        <w:rPr>
          <w:sz w:val="24"/>
          <w:szCs w:val="24"/>
        </w:rPr>
        <w:t>s that are required to be parts</w:t>
      </w:r>
      <w:r w:rsidR="007E50DA">
        <w:rPr>
          <w:sz w:val="24"/>
          <w:szCs w:val="24"/>
        </w:rPr>
        <w:t>-</w:t>
      </w:r>
      <w:r w:rsidRPr="00B65D08">
        <w:rPr>
          <w:sz w:val="24"/>
          <w:szCs w:val="24"/>
        </w:rPr>
        <w:t xml:space="preserve">marked must submit reports of the target area locations for the labels or stamping.  </w:t>
      </w:r>
      <w:bookmarkStart w:name="_Hlk99969271" w:id="4"/>
      <w:r w:rsidR="006762D9">
        <w:rPr>
          <w:sz w:val="24"/>
          <w:szCs w:val="24"/>
        </w:rPr>
        <w:t xml:space="preserve">The target area designated for a part on a </w:t>
      </w:r>
      <w:r w:rsidR="001C2E4F">
        <w:rPr>
          <w:sz w:val="24"/>
          <w:szCs w:val="24"/>
        </w:rPr>
        <w:t xml:space="preserve">vehicle </w:t>
      </w:r>
      <w:r w:rsidR="006762D9">
        <w:rPr>
          <w:sz w:val="24"/>
          <w:szCs w:val="24"/>
        </w:rPr>
        <w:t xml:space="preserve">line shall be maintained for the duration of the production of the </w:t>
      </w:r>
      <w:r w:rsidR="001C2E4F">
        <w:rPr>
          <w:sz w:val="24"/>
          <w:szCs w:val="24"/>
        </w:rPr>
        <w:t xml:space="preserve">vehicle </w:t>
      </w:r>
      <w:proofErr w:type="gramStart"/>
      <w:r w:rsidR="006762D9">
        <w:rPr>
          <w:sz w:val="24"/>
          <w:szCs w:val="24"/>
        </w:rPr>
        <w:t>line, unless</w:t>
      </w:r>
      <w:proofErr w:type="gramEnd"/>
      <w:r w:rsidR="006762D9">
        <w:rPr>
          <w:sz w:val="24"/>
          <w:szCs w:val="24"/>
        </w:rPr>
        <w:t xml:space="preserve"> a restyling of the part makes it no longer practicable to mark within the original target area</w:t>
      </w:r>
      <w:bookmarkEnd w:id="4"/>
      <w:r w:rsidR="006762D9">
        <w:rPr>
          <w:sz w:val="24"/>
          <w:szCs w:val="24"/>
        </w:rPr>
        <w:t xml:space="preserve">.  If there is such a restyling, the vehicle manufacturer shall inform NHTSA of that fact and provide a new target area submission.  </w:t>
      </w:r>
      <w:r w:rsidR="00FF2D9F">
        <w:rPr>
          <w:sz w:val="24"/>
          <w:szCs w:val="24"/>
        </w:rPr>
        <w:t xml:space="preserve">NHTSA estimates that there is no additional hour burden to </w:t>
      </w:r>
      <w:bookmarkStart w:name="_Hlk99975274" w:id="5"/>
      <w:r w:rsidR="00FF2D9F">
        <w:rPr>
          <w:sz w:val="24"/>
          <w:szCs w:val="24"/>
        </w:rPr>
        <w:t xml:space="preserve">maintain the target area designation because maintaining the designation is </w:t>
      </w:r>
      <w:r w:rsidR="00532A16">
        <w:rPr>
          <w:sz w:val="24"/>
          <w:szCs w:val="24"/>
        </w:rPr>
        <w:t>built into</w:t>
      </w:r>
      <w:r w:rsidR="002E6749">
        <w:rPr>
          <w:sz w:val="24"/>
          <w:szCs w:val="24"/>
        </w:rPr>
        <w:t xml:space="preserve"> the production process of a new vehicle line</w:t>
      </w:r>
      <w:r w:rsidR="00256B62">
        <w:rPr>
          <w:sz w:val="24"/>
          <w:szCs w:val="24"/>
        </w:rPr>
        <w:t xml:space="preserve"> and the record of the target designation is kept electronically in the normal course of business</w:t>
      </w:r>
      <w:r w:rsidR="00FF2D9F">
        <w:rPr>
          <w:sz w:val="24"/>
          <w:szCs w:val="24"/>
        </w:rPr>
        <w:t>.</w:t>
      </w:r>
      <w:bookmarkEnd w:id="5"/>
      <w:r w:rsidR="002E6749">
        <w:rPr>
          <w:sz w:val="24"/>
          <w:szCs w:val="24"/>
        </w:rPr>
        <w:t xml:space="preserve">  </w:t>
      </w:r>
    </w:p>
    <w:p w:rsidR="0025141F" w:rsidP="00716F9A" w:rsidRDefault="0025141F" w14:paraId="34A879BC" w14:textId="77777777">
      <w:pPr>
        <w:ind w:right="36"/>
        <w:rPr>
          <w:sz w:val="24"/>
          <w:szCs w:val="24"/>
        </w:rPr>
      </w:pPr>
    </w:p>
    <w:p w:rsidR="00021D3F" w:rsidP="00386F7A" w:rsidRDefault="00386F7A" w14:paraId="3E52FA63" w14:textId="01300621">
      <w:pPr>
        <w:ind w:right="36"/>
        <w:rPr>
          <w:sz w:val="24"/>
          <w:szCs w:val="24"/>
        </w:rPr>
      </w:pPr>
      <w:r>
        <w:rPr>
          <w:sz w:val="24"/>
          <w:szCs w:val="24"/>
        </w:rPr>
        <w:t>NHTSA estimates that ap</w:t>
      </w:r>
      <w:r w:rsidR="004207AA">
        <w:rPr>
          <w:sz w:val="24"/>
          <w:szCs w:val="24"/>
        </w:rPr>
        <w:t xml:space="preserve">proximately 70 target area responses </w:t>
      </w:r>
      <w:r>
        <w:rPr>
          <w:sz w:val="24"/>
          <w:szCs w:val="24"/>
        </w:rPr>
        <w:t>will be</w:t>
      </w:r>
      <w:r w:rsidR="004207AA">
        <w:rPr>
          <w:sz w:val="24"/>
          <w:szCs w:val="24"/>
        </w:rPr>
        <w:t xml:space="preserve"> submitted to the agency </w:t>
      </w:r>
      <w:r>
        <w:rPr>
          <w:sz w:val="24"/>
          <w:szCs w:val="24"/>
        </w:rPr>
        <w:t xml:space="preserve">in the next three years, or approximately 23 submissions each year. This estimate is based on the number of the submissions </w:t>
      </w:r>
      <w:r w:rsidR="004207AA">
        <w:rPr>
          <w:sz w:val="24"/>
          <w:szCs w:val="24"/>
        </w:rPr>
        <w:t xml:space="preserve">over </w:t>
      </w:r>
      <w:r w:rsidR="00BF50E0">
        <w:rPr>
          <w:sz w:val="24"/>
          <w:szCs w:val="24"/>
        </w:rPr>
        <w:t xml:space="preserve">the </w:t>
      </w:r>
      <w:r w:rsidR="004207AA">
        <w:rPr>
          <w:sz w:val="24"/>
          <w:szCs w:val="24"/>
        </w:rPr>
        <w:t>three</w:t>
      </w:r>
      <w:r w:rsidR="004B1D17">
        <w:rPr>
          <w:sz w:val="24"/>
          <w:szCs w:val="24"/>
        </w:rPr>
        <w:t>-</w:t>
      </w:r>
      <w:r w:rsidR="004207AA">
        <w:rPr>
          <w:sz w:val="24"/>
          <w:szCs w:val="24"/>
        </w:rPr>
        <w:t>year period</w:t>
      </w:r>
      <w:r w:rsidR="00BF50E0">
        <w:rPr>
          <w:sz w:val="24"/>
          <w:szCs w:val="24"/>
        </w:rPr>
        <w:t xml:space="preserve"> for </w:t>
      </w:r>
      <w:r w:rsidRPr="00BF50E0" w:rsidR="00BF50E0">
        <w:rPr>
          <w:sz w:val="24"/>
          <w:szCs w:val="24"/>
        </w:rPr>
        <w:t>MYs 201</w:t>
      </w:r>
      <w:r w:rsidR="00AB5462">
        <w:rPr>
          <w:sz w:val="24"/>
          <w:szCs w:val="24"/>
        </w:rPr>
        <w:t>9</w:t>
      </w:r>
      <w:r w:rsidRPr="00BF50E0" w:rsidR="00BF50E0">
        <w:rPr>
          <w:sz w:val="24"/>
          <w:szCs w:val="24"/>
        </w:rPr>
        <w:t>-20</w:t>
      </w:r>
      <w:r w:rsidR="00AB5462">
        <w:rPr>
          <w:sz w:val="24"/>
          <w:szCs w:val="24"/>
        </w:rPr>
        <w:t>21</w:t>
      </w:r>
      <w:r w:rsidR="004207AA">
        <w:rPr>
          <w:sz w:val="24"/>
          <w:szCs w:val="24"/>
        </w:rPr>
        <w:t>.  Specifically, 1</w:t>
      </w:r>
      <w:r w:rsidR="00A82F73">
        <w:rPr>
          <w:sz w:val="24"/>
          <w:szCs w:val="24"/>
        </w:rPr>
        <w:t>8</w:t>
      </w:r>
      <w:r w:rsidR="004207AA">
        <w:rPr>
          <w:sz w:val="24"/>
          <w:szCs w:val="24"/>
        </w:rPr>
        <w:t xml:space="preserve">, 29 and 23 </w:t>
      </w:r>
      <w:r w:rsidR="0017604A">
        <w:rPr>
          <w:sz w:val="24"/>
          <w:szCs w:val="24"/>
        </w:rPr>
        <w:t>target areas were submitted for MYs 201</w:t>
      </w:r>
      <w:r w:rsidR="00AB5462">
        <w:rPr>
          <w:sz w:val="24"/>
          <w:szCs w:val="24"/>
        </w:rPr>
        <w:t>9</w:t>
      </w:r>
      <w:r w:rsidR="0017604A">
        <w:rPr>
          <w:sz w:val="24"/>
          <w:szCs w:val="24"/>
        </w:rPr>
        <w:t>, 20</w:t>
      </w:r>
      <w:r w:rsidR="00AB5462">
        <w:rPr>
          <w:sz w:val="24"/>
          <w:szCs w:val="24"/>
        </w:rPr>
        <w:t>20</w:t>
      </w:r>
      <w:r w:rsidR="004207AA">
        <w:rPr>
          <w:sz w:val="24"/>
          <w:szCs w:val="24"/>
        </w:rPr>
        <w:t xml:space="preserve"> and 20</w:t>
      </w:r>
      <w:r w:rsidR="00AB5462">
        <w:rPr>
          <w:sz w:val="24"/>
          <w:szCs w:val="24"/>
        </w:rPr>
        <w:t>21</w:t>
      </w:r>
      <w:r w:rsidR="00AD4A5D">
        <w:rPr>
          <w:sz w:val="24"/>
          <w:szCs w:val="24"/>
        </w:rPr>
        <w:t>,</w:t>
      </w:r>
      <w:r w:rsidR="004207AA">
        <w:rPr>
          <w:sz w:val="24"/>
          <w:szCs w:val="24"/>
        </w:rPr>
        <w:t xml:space="preserve"> respectively.</w:t>
      </w:r>
      <w:r w:rsidRPr="00A82F73" w:rsidR="00A82F73">
        <w:rPr>
          <w:sz w:val="24"/>
          <w:szCs w:val="24"/>
        </w:rPr>
        <w:t xml:space="preserve">  </w:t>
      </w:r>
      <w:r w:rsidR="00984C34">
        <w:rPr>
          <w:sz w:val="24"/>
          <w:szCs w:val="24"/>
        </w:rPr>
        <w:lastRenderedPageBreak/>
        <w:t xml:space="preserve">NHTSA estimates </w:t>
      </w:r>
      <w:r w:rsidRPr="00B65D08" w:rsidR="00021D3F">
        <w:rPr>
          <w:sz w:val="24"/>
          <w:szCs w:val="24"/>
        </w:rPr>
        <w:t xml:space="preserve">there will be </w:t>
      </w:r>
      <w:r w:rsidR="004207AA">
        <w:rPr>
          <w:sz w:val="24"/>
          <w:szCs w:val="24"/>
        </w:rPr>
        <w:t>a</w:t>
      </w:r>
      <w:r w:rsidR="0017604A">
        <w:rPr>
          <w:sz w:val="24"/>
          <w:szCs w:val="24"/>
        </w:rPr>
        <w:t xml:space="preserve"> total</w:t>
      </w:r>
      <w:r w:rsidR="004207AA">
        <w:rPr>
          <w:sz w:val="24"/>
          <w:szCs w:val="24"/>
        </w:rPr>
        <w:t xml:space="preserve"> of 23</w:t>
      </w:r>
      <w:r w:rsidRPr="00B65D08" w:rsidR="002C7FEE">
        <w:rPr>
          <w:sz w:val="24"/>
          <w:szCs w:val="24"/>
        </w:rPr>
        <w:t xml:space="preserve"> </w:t>
      </w:r>
      <w:r w:rsidRPr="00B65D08" w:rsidR="00021D3F">
        <w:rPr>
          <w:sz w:val="24"/>
          <w:szCs w:val="24"/>
        </w:rPr>
        <w:t xml:space="preserve">target </w:t>
      </w:r>
      <w:r w:rsidR="00FD012D">
        <w:rPr>
          <w:sz w:val="24"/>
          <w:szCs w:val="24"/>
        </w:rPr>
        <w:t xml:space="preserve">areas </w:t>
      </w:r>
      <w:r w:rsidR="0017604A">
        <w:rPr>
          <w:sz w:val="24"/>
          <w:szCs w:val="24"/>
        </w:rPr>
        <w:t>submitted by approximately 21 manufacturers</w:t>
      </w:r>
      <w:r w:rsidR="00984C34">
        <w:rPr>
          <w:sz w:val="24"/>
          <w:szCs w:val="24"/>
        </w:rPr>
        <w:t xml:space="preserve"> each year</w:t>
      </w:r>
      <w:r w:rsidR="0017604A">
        <w:rPr>
          <w:sz w:val="24"/>
          <w:szCs w:val="24"/>
        </w:rPr>
        <w:t>.</w:t>
      </w:r>
      <w:r w:rsidRPr="00B65D08" w:rsidR="00021D3F">
        <w:rPr>
          <w:sz w:val="24"/>
          <w:szCs w:val="24"/>
        </w:rPr>
        <w:t xml:space="preserve"> </w:t>
      </w:r>
      <w:r w:rsidR="0017604A">
        <w:rPr>
          <w:sz w:val="24"/>
          <w:szCs w:val="24"/>
        </w:rPr>
        <w:t xml:space="preserve"> T</w:t>
      </w:r>
      <w:r w:rsidRPr="00B65D08" w:rsidR="00021D3F">
        <w:rPr>
          <w:sz w:val="24"/>
          <w:szCs w:val="24"/>
        </w:rPr>
        <w:t>he average time to prepare and submit the target area</w:t>
      </w:r>
      <w:r w:rsidR="004B1D17">
        <w:rPr>
          <w:sz w:val="24"/>
          <w:szCs w:val="24"/>
        </w:rPr>
        <w:t>s</w:t>
      </w:r>
      <w:r w:rsidRPr="00B65D08" w:rsidR="00021D3F">
        <w:rPr>
          <w:sz w:val="24"/>
          <w:szCs w:val="24"/>
        </w:rPr>
        <w:t xml:space="preserve"> will </w:t>
      </w:r>
      <w:r w:rsidR="00344E90">
        <w:rPr>
          <w:sz w:val="24"/>
          <w:szCs w:val="24"/>
        </w:rPr>
        <w:t xml:space="preserve">be </w:t>
      </w:r>
      <w:r w:rsidRPr="00472D06" w:rsidR="00021D3F">
        <w:rPr>
          <w:sz w:val="24"/>
          <w:szCs w:val="24"/>
        </w:rPr>
        <w:t>20</w:t>
      </w:r>
      <w:r w:rsidRPr="00B65D08" w:rsidR="00021D3F">
        <w:rPr>
          <w:sz w:val="24"/>
          <w:szCs w:val="24"/>
        </w:rPr>
        <w:t xml:space="preserve"> hours for each submission.  The burden hour for submissions will </w:t>
      </w:r>
      <w:r w:rsidRPr="00472D06" w:rsidR="00021D3F">
        <w:rPr>
          <w:sz w:val="24"/>
          <w:szCs w:val="24"/>
        </w:rPr>
        <w:t xml:space="preserve">be </w:t>
      </w:r>
      <w:r w:rsidR="004207AA">
        <w:rPr>
          <w:sz w:val="24"/>
          <w:szCs w:val="24"/>
        </w:rPr>
        <w:t>4</w:t>
      </w:r>
      <w:r w:rsidR="008D672F">
        <w:rPr>
          <w:sz w:val="24"/>
          <w:szCs w:val="24"/>
        </w:rPr>
        <w:t>6</w:t>
      </w:r>
      <w:r w:rsidRPr="00472D06" w:rsidR="004D7421">
        <w:rPr>
          <w:sz w:val="24"/>
          <w:szCs w:val="24"/>
        </w:rPr>
        <w:t xml:space="preserve">0 </w:t>
      </w:r>
      <w:r w:rsidRPr="00472D06" w:rsidR="00021D3F">
        <w:rPr>
          <w:sz w:val="24"/>
          <w:szCs w:val="24"/>
        </w:rPr>
        <w:t>hours</w:t>
      </w:r>
      <w:r w:rsidRPr="00B65D08" w:rsidR="00021D3F">
        <w:rPr>
          <w:sz w:val="24"/>
          <w:szCs w:val="24"/>
        </w:rPr>
        <w:t xml:space="preserve"> (</w:t>
      </w:r>
      <w:r w:rsidR="004207AA">
        <w:rPr>
          <w:sz w:val="24"/>
          <w:szCs w:val="24"/>
        </w:rPr>
        <w:t>2</w:t>
      </w:r>
      <w:r w:rsidR="008D672F">
        <w:rPr>
          <w:sz w:val="24"/>
          <w:szCs w:val="24"/>
        </w:rPr>
        <w:t>3</w:t>
      </w:r>
      <w:r w:rsidRPr="00B65D08" w:rsidR="004D7421">
        <w:rPr>
          <w:sz w:val="24"/>
          <w:szCs w:val="24"/>
        </w:rPr>
        <w:t xml:space="preserve"> </w:t>
      </w:r>
      <w:r w:rsidRPr="00B65D08" w:rsidR="00021D3F">
        <w:rPr>
          <w:sz w:val="24"/>
          <w:szCs w:val="24"/>
        </w:rPr>
        <w:t xml:space="preserve">submissions </w:t>
      </w:r>
      <w:r w:rsidR="000D01F6">
        <w:rPr>
          <w:sz w:val="24"/>
          <w:szCs w:val="24"/>
        </w:rPr>
        <w:t>×</w:t>
      </w:r>
      <w:r w:rsidRPr="00B65D08" w:rsidR="00021D3F">
        <w:rPr>
          <w:sz w:val="24"/>
          <w:szCs w:val="24"/>
        </w:rPr>
        <w:t xml:space="preserve"> 20 hours).</w:t>
      </w:r>
    </w:p>
    <w:p w:rsidR="00080078" w:rsidP="00C267F7" w:rsidRDefault="00080078" w14:paraId="49F07D8E" w14:textId="77777777">
      <w:pPr>
        <w:tabs>
          <w:tab w:val="left" w:pos="-1440"/>
        </w:tabs>
        <w:rPr>
          <w:sz w:val="24"/>
          <w:szCs w:val="24"/>
        </w:rPr>
      </w:pPr>
    </w:p>
    <w:p w:rsidR="00080078" w:rsidP="00C267F7" w:rsidRDefault="00487E8D" w14:paraId="2A0D8076" w14:textId="3221E427">
      <w:pPr>
        <w:tabs>
          <w:tab w:val="left" w:pos="-1440"/>
        </w:tabs>
        <w:rPr>
          <w:sz w:val="24"/>
          <w:szCs w:val="24"/>
        </w:rPr>
      </w:pPr>
      <w:bookmarkStart w:name="_Hlk81304760" w:id="6"/>
      <w:r w:rsidRPr="00487E8D">
        <w:rPr>
          <w:sz w:val="24"/>
          <w:szCs w:val="24"/>
        </w:rPr>
        <w:t>NHTSA estimates the labor cost associated with this collection of information by (1) applying the appropriate average hourly labor rate published by the Bureau of Labor Statistics (BLS), (2) dividing by 0.70</w:t>
      </w:r>
      <w:r w:rsidR="00984C34">
        <w:rPr>
          <w:sz w:val="24"/>
          <w:szCs w:val="24"/>
        </w:rPr>
        <w:t>2</w:t>
      </w:r>
      <w:r w:rsidR="0004273A">
        <w:rPr>
          <w:rStyle w:val="FootnoteReference"/>
          <w:sz w:val="24"/>
          <w:szCs w:val="24"/>
        </w:rPr>
        <w:footnoteReference w:id="2"/>
      </w:r>
      <w:r w:rsidRPr="00487E8D">
        <w:rPr>
          <w:sz w:val="24"/>
          <w:szCs w:val="24"/>
        </w:rPr>
        <w:t xml:space="preserve"> (70.</w:t>
      </w:r>
      <w:r w:rsidR="00984C34">
        <w:rPr>
          <w:sz w:val="24"/>
          <w:szCs w:val="24"/>
        </w:rPr>
        <w:t>2</w:t>
      </w:r>
      <w:r w:rsidRPr="00487E8D">
        <w:rPr>
          <w:sz w:val="24"/>
          <w:szCs w:val="24"/>
        </w:rPr>
        <w:t xml:space="preserve">%), for private industry workers to obtain the total cost of compensation, and (3) multiplying by the estimated burden hours for each respondent type. </w:t>
      </w:r>
      <w:bookmarkStart w:name="_Hlk81301235" w:id="7"/>
      <w:r w:rsidRPr="00487E8D">
        <w:rPr>
          <w:sz w:val="24"/>
          <w:szCs w:val="24"/>
        </w:rPr>
        <w:t xml:space="preserve"> </w:t>
      </w:r>
      <w:bookmarkEnd w:id="6"/>
      <w:r w:rsidR="00080078">
        <w:rPr>
          <w:sz w:val="24"/>
          <w:szCs w:val="24"/>
        </w:rPr>
        <w:t>NHTSA estimates the l</w:t>
      </w:r>
      <w:r w:rsidRPr="00C76295" w:rsidR="00080078">
        <w:rPr>
          <w:sz w:val="24"/>
          <w:szCs w:val="24"/>
        </w:rPr>
        <w:t>abor cost</w:t>
      </w:r>
      <w:r w:rsidR="00080078">
        <w:rPr>
          <w:sz w:val="24"/>
          <w:szCs w:val="24"/>
        </w:rPr>
        <w:t>s</w:t>
      </w:r>
      <w:r w:rsidRPr="00C76295" w:rsidR="00080078">
        <w:rPr>
          <w:sz w:val="24"/>
          <w:szCs w:val="24"/>
        </w:rPr>
        <w:t xml:space="preserve"> associated with prepar</w:t>
      </w:r>
      <w:r w:rsidR="00080078">
        <w:rPr>
          <w:sz w:val="24"/>
          <w:szCs w:val="24"/>
        </w:rPr>
        <w:t>ing</w:t>
      </w:r>
      <w:r w:rsidRPr="00C76295" w:rsidR="00080078">
        <w:rPr>
          <w:sz w:val="24"/>
          <w:szCs w:val="24"/>
        </w:rPr>
        <w:t xml:space="preserve"> and </w:t>
      </w:r>
      <w:r w:rsidR="00080078">
        <w:rPr>
          <w:sz w:val="24"/>
          <w:szCs w:val="24"/>
        </w:rPr>
        <w:t>affixing</w:t>
      </w:r>
      <w:r w:rsidRPr="00C76295" w:rsidR="00080078">
        <w:rPr>
          <w:sz w:val="24"/>
          <w:szCs w:val="24"/>
        </w:rPr>
        <w:t xml:space="preserve"> </w:t>
      </w:r>
      <w:r w:rsidR="00080078">
        <w:rPr>
          <w:sz w:val="24"/>
          <w:szCs w:val="24"/>
        </w:rPr>
        <w:t>labels to 14 major parts under</w:t>
      </w:r>
      <w:r w:rsidRPr="00C76295" w:rsidR="00080078">
        <w:rPr>
          <w:sz w:val="24"/>
          <w:szCs w:val="24"/>
        </w:rPr>
        <w:t xml:space="preserve"> § 541</w:t>
      </w:r>
      <w:r w:rsidR="00080078">
        <w:rPr>
          <w:sz w:val="24"/>
          <w:szCs w:val="24"/>
        </w:rPr>
        <w:t>.5(a)</w:t>
      </w:r>
      <w:r w:rsidRPr="00C76295" w:rsidR="00080078">
        <w:rPr>
          <w:sz w:val="24"/>
          <w:szCs w:val="24"/>
        </w:rPr>
        <w:t xml:space="preserve"> </w:t>
      </w:r>
      <w:r w:rsidR="00753E19">
        <w:rPr>
          <w:sz w:val="24"/>
          <w:szCs w:val="24"/>
        </w:rPr>
        <w:t xml:space="preserve">using the average wage for manufacturers and assemblers in the motor </w:t>
      </w:r>
      <w:r>
        <w:rPr>
          <w:sz w:val="24"/>
          <w:szCs w:val="24"/>
        </w:rPr>
        <w:t>vehicle manufacturing industr</w:t>
      </w:r>
      <w:r w:rsidR="007D4DAB">
        <w:rPr>
          <w:sz w:val="24"/>
          <w:szCs w:val="24"/>
        </w:rPr>
        <w:t>y</w:t>
      </w:r>
      <w:r w:rsidR="001E7E99">
        <w:rPr>
          <w:sz w:val="24"/>
          <w:szCs w:val="24"/>
        </w:rPr>
        <w:t xml:space="preserve"> (Standard Occupational Classification #51-2000)</w:t>
      </w:r>
      <w:r w:rsidR="007D4DAB">
        <w:rPr>
          <w:sz w:val="24"/>
          <w:szCs w:val="24"/>
        </w:rPr>
        <w:t>, which BLS estimates to be $23.18</w:t>
      </w:r>
      <w:r w:rsidRPr="00C76295" w:rsidR="009F1FE8">
        <w:rPr>
          <w:rStyle w:val="FootnoteReference"/>
          <w:sz w:val="24"/>
          <w:szCs w:val="24"/>
        </w:rPr>
        <w:footnoteReference w:id="3"/>
      </w:r>
      <w:r w:rsidR="007D4DAB">
        <w:rPr>
          <w:sz w:val="24"/>
          <w:szCs w:val="24"/>
        </w:rPr>
        <w:t xml:space="preserve"> per hour. </w:t>
      </w:r>
      <w:r w:rsidR="00860C22">
        <w:rPr>
          <w:sz w:val="24"/>
          <w:szCs w:val="24"/>
        </w:rPr>
        <w:t>Using this estimate, NHTSA estimates the total</w:t>
      </w:r>
      <w:r w:rsidR="001E7E99">
        <w:rPr>
          <w:sz w:val="24"/>
          <w:szCs w:val="24"/>
        </w:rPr>
        <w:t xml:space="preserve"> compensation costs per hour to be </w:t>
      </w:r>
      <w:r w:rsidRPr="00C76295" w:rsidR="00080078">
        <w:rPr>
          <w:sz w:val="24"/>
          <w:szCs w:val="24"/>
        </w:rPr>
        <w:t>$</w:t>
      </w:r>
      <w:r w:rsidR="00080078">
        <w:rPr>
          <w:sz w:val="24"/>
          <w:szCs w:val="24"/>
        </w:rPr>
        <w:t>3</w:t>
      </w:r>
      <w:r w:rsidR="00141BA8">
        <w:rPr>
          <w:sz w:val="24"/>
          <w:szCs w:val="24"/>
        </w:rPr>
        <w:t>3.02</w:t>
      </w:r>
      <w:r w:rsidRPr="00C76295" w:rsidR="00080078">
        <w:rPr>
          <w:sz w:val="24"/>
          <w:szCs w:val="24"/>
        </w:rPr>
        <w:t xml:space="preserve"> per hour (</w:t>
      </w:r>
      <w:r w:rsidRPr="001E46C1" w:rsidR="001E46C1">
        <w:rPr>
          <w:sz w:val="24"/>
          <w:szCs w:val="24"/>
        </w:rPr>
        <w:t>$23.18</w:t>
      </w:r>
      <w:r w:rsidRPr="00C76295" w:rsidR="00080078">
        <w:rPr>
          <w:sz w:val="24"/>
          <w:szCs w:val="24"/>
        </w:rPr>
        <w:t xml:space="preserve"> per hour ÷ 0.70</w:t>
      </w:r>
      <w:r w:rsidR="00141BA8">
        <w:rPr>
          <w:sz w:val="24"/>
          <w:szCs w:val="24"/>
        </w:rPr>
        <w:t>2</w:t>
      </w:r>
      <w:r w:rsidRPr="00C76295" w:rsidR="00080078">
        <w:rPr>
          <w:sz w:val="24"/>
          <w:szCs w:val="24"/>
        </w:rPr>
        <w:t xml:space="preserve">). </w:t>
      </w:r>
      <w:bookmarkEnd w:id="7"/>
      <w:r w:rsidRPr="00C76295" w:rsidR="00080078">
        <w:rPr>
          <w:sz w:val="24"/>
          <w:szCs w:val="24"/>
        </w:rPr>
        <w:t xml:space="preserve"> </w:t>
      </w:r>
      <w:r w:rsidR="00F1764B">
        <w:rPr>
          <w:sz w:val="24"/>
          <w:szCs w:val="24"/>
        </w:rPr>
        <w:t>Therefore, NHTSA estimates the total labor cost to be $4,953,000 annually ($33.02 × 4.5 million vehicles</w:t>
      </w:r>
      <w:r w:rsidR="00D26E82">
        <w:rPr>
          <w:sz w:val="24"/>
          <w:szCs w:val="24"/>
        </w:rPr>
        <w:t>,</w:t>
      </w:r>
      <w:r w:rsidR="00F1764B">
        <w:rPr>
          <w:sz w:val="24"/>
          <w:szCs w:val="24"/>
        </w:rPr>
        <w:t xml:space="preserve"> and $1.10 per vehicle. </w:t>
      </w:r>
    </w:p>
    <w:p w:rsidR="00080078" w:rsidP="00080078" w:rsidRDefault="00080078" w14:paraId="6305FA78" w14:textId="77777777">
      <w:pPr>
        <w:tabs>
          <w:tab w:val="left" w:pos="-1440"/>
        </w:tabs>
        <w:ind w:left="720"/>
        <w:rPr>
          <w:sz w:val="24"/>
          <w:szCs w:val="24"/>
        </w:rPr>
      </w:pPr>
    </w:p>
    <w:p w:rsidRPr="00EE4BC3" w:rsidR="00080078" w:rsidP="00C267F7" w:rsidRDefault="00983878" w14:paraId="7766B1FF" w14:textId="794777FC">
      <w:pPr>
        <w:tabs>
          <w:tab w:val="left" w:pos="-1440"/>
        </w:tabs>
        <w:rPr>
          <w:sz w:val="24"/>
          <w:szCs w:val="24"/>
        </w:rPr>
      </w:pPr>
      <w:r>
        <w:rPr>
          <w:sz w:val="24"/>
          <w:szCs w:val="24"/>
        </w:rPr>
        <w:t>NHTSA estimates the l</w:t>
      </w:r>
      <w:r w:rsidRPr="00C76295">
        <w:rPr>
          <w:sz w:val="24"/>
          <w:szCs w:val="24"/>
        </w:rPr>
        <w:t>abor cost</w:t>
      </w:r>
      <w:r>
        <w:rPr>
          <w:sz w:val="24"/>
          <w:szCs w:val="24"/>
        </w:rPr>
        <w:t>s</w:t>
      </w:r>
      <w:r w:rsidRPr="00C76295">
        <w:rPr>
          <w:sz w:val="24"/>
          <w:szCs w:val="24"/>
        </w:rPr>
        <w:t xml:space="preserve"> associated with </w:t>
      </w:r>
      <w:r w:rsidR="0029250C">
        <w:rPr>
          <w:sz w:val="24"/>
          <w:szCs w:val="24"/>
        </w:rPr>
        <w:t xml:space="preserve">developing and submitting reports of the target area locations for labels or </w:t>
      </w:r>
      <w:r w:rsidRPr="0029250C" w:rsidR="0029250C">
        <w:rPr>
          <w:sz w:val="24"/>
          <w:szCs w:val="24"/>
        </w:rPr>
        <w:t xml:space="preserve">stamping under § 541.5(e) </w:t>
      </w:r>
      <w:r w:rsidR="0029250C">
        <w:rPr>
          <w:sz w:val="24"/>
          <w:szCs w:val="24"/>
        </w:rPr>
        <w:t>using</w:t>
      </w:r>
      <w:r>
        <w:rPr>
          <w:sz w:val="24"/>
          <w:szCs w:val="24"/>
        </w:rPr>
        <w:t xml:space="preserve"> the average wage for</w:t>
      </w:r>
      <w:r w:rsidR="005072B1">
        <w:rPr>
          <w:sz w:val="24"/>
          <w:szCs w:val="24"/>
        </w:rPr>
        <w:t xml:space="preserve"> compliance officers </w:t>
      </w:r>
      <w:r>
        <w:rPr>
          <w:sz w:val="24"/>
          <w:szCs w:val="24"/>
        </w:rPr>
        <w:t>in the motor vehicle manufacturing industry (Standard Occupational Classification #</w:t>
      </w:r>
      <w:r w:rsidRPr="00604014" w:rsidR="00604014">
        <w:rPr>
          <w:sz w:val="24"/>
          <w:szCs w:val="24"/>
        </w:rPr>
        <w:t>13-1041</w:t>
      </w:r>
      <w:r>
        <w:rPr>
          <w:sz w:val="24"/>
          <w:szCs w:val="24"/>
        </w:rPr>
        <w:t>), which BLS estimates to be $</w:t>
      </w:r>
      <w:r w:rsidR="00604014">
        <w:rPr>
          <w:sz w:val="24"/>
          <w:szCs w:val="24"/>
        </w:rPr>
        <w:t>42.30</w:t>
      </w:r>
      <w:bookmarkStart w:name="_Hlk99032867" w:id="8"/>
      <w:r w:rsidRPr="00EE4BC3" w:rsidR="005279B0">
        <w:rPr>
          <w:rStyle w:val="FootnoteReference"/>
          <w:sz w:val="24"/>
          <w:szCs w:val="24"/>
        </w:rPr>
        <w:footnoteReference w:id="4"/>
      </w:r>
      <w:r>
        <w:rPr>
          <w:sz w:val="24"/>
          <w:szCs w:val="24"/>
        </w:rPr>
        <w:t xml:space="preserve"> </w:t>
      </w:r>
      <w:bookmarkEnd w:id="8"/>
      <w:r>
        <w:rPr>
          <w:sz w:val="24"/>
          <w:szCs w:val="24"/>
        </w:rPr>
        <w:t xml:space="preserve">per hour. Using this estimate, NHTSA estimates the total compensation costs per hour to be </w:t>
      </w:r>
      <w:r w:rsidRPr="00C76295">
        <w:rPr>
          <w:sz w:val="24"/>
          <w:szCs w:val="24"/>
        </w:rPr>
        <w:t>$</w:t>
      </w:r>
      <w:r w:rsidR="005279B0">
        <w:rPr>
          <w:sz w:val="24"/>
          <w:szCs w:val="24"/>
        </w:rPr>
        <w:t>60.</w:t>
      </w:r>
      <w:r w:rsidR="006D0213">
        <w:rPr>
          <w:sz w:val="24"/>
          <w:szCs w:val="24"/>
        </w:rPr>
        <w:t>26</w:t>
      </w:r>
      <w:r w:rsidRPr="00C76295">
        <w:rPr>
          <w:sz w:val="24"/>
          <w:szCs w:val="24"/>
        </w:rPr>
        <w:t xml:space="preserve"> per hour (</w:t>
      </w:r>
      <w:r w:rsidRPr="001E46C1">
        <w:rPr>
          <w:sz w:val="24"/>
          <w:szCs w:val="24"/>
        </w:rPr>
        <w:t>$</w:t>
      </w:r>
      <w:r w:rsidR="009F1FE8">
        <w:rPr>
          <w:sz w:val="24"/>
          <w:szCs w:val="24"/>
        </w:rPr>
        <w:t>42.30</w:t>
      </w:r>
      <w:r w:rsidRPr="00C76295">
        <w:rPr>
          <w:sz w:val="24"/>
          <w:szCs w:val="24"/>
        </w:rPr>
        <w:t xml:space="preserve"> per hour ÷ 0.70</w:t>
      </w:r>
      <w:r w:rsidR="006D0213">
        <w:rPr>
          <w:sz w:val="24"/>
          <w:szCs w:val="24"/>
        </w:rPr>
        <w:t>2</w:t>
      </w:r>
      <w:r w:rsidRPr="00C76295">
        <w:rPr>
          <w:sz w:val="24"/>
          <w:szCs w:val="24"/>
        </w:rPr>
        <w:t>).</w:t>
      </w:r>
      <w:r w:rsidRPr="00EE4BC3" w:rsidR="00080078">
        <w:rPr>
          <w:sz w:val="24"/>
          <w:szCs w:val="24"/>
        </w:rPr>
        <w:t xml:space="preserve"> The labor cost to prepare each </w:t>
      </w:r>
      <w:r w:rsidR="00080078">
        <w:rPr>
          <w:sz w:val="24"/>
          <w:szCs w:val="24"/>
        </w:rPr>
        <w:t>report</w:t>
      </w:r>
      <w:r w:rsidRPr="00EE4BC3" w:rsidR="00080078">
        <w:rPr>
          <w:sz w:val="24"/>
          <w:szCs w:val="24"/>
        </w:rPr>
        <w:t xml:space="preserve"> submitted under § </w:t>
      </w:r>
      <w:r w:rsidRPr="00C7176D" w:rsidR="00080078">
        <w:rPr>
          <w:sz w:val="24"/>
          <w:szCs w:val="24"/>
        </w:rPr>
        <w:t>541</w:t>
      </w:r>
      <w:r w:rsidR="00080078">
        <w:rPr>
          <w:sz w:val="24"/>
          <w:szCs w:val="24"/>
        </w:rPr>
        <w:t xml:space="preserve">.5(e) </w:t>
      </w:r>
      <w:r w:rsidRPr="00EE4BC3" w:rsidR="00080078">
        <w:rPr>
          <w:sz w:val="24"/>
          <w:szCs w:val="24"/>
        </w:rPr>
        <w:t>is estimated to be $1</w:t>
      </w:r>
      <w:r w:rsidR="00080078">
        <w:rPr>
          <w:sz w:val="24"/>
          <w:szCs w:val="24"/>
        </w:rPr>
        <w:t>,</w:t>
      </w:r>
      <w:r w:rsidR="008729A6">
        <w:rPr>
          <w:sz w:val="24"/>
          <w:szCs w:val="24"/>
        </w:rPr>
        <w:t>20</w:t>
      </w:r>
      <w:r w:rsidR="006D0213">
        <w:rPr>
          <w:sz w:val="24"/>
          <w:szCs w:val="24"/>
        </w:rPr>
        <w:t>5</w:t>
      </w:r>
      <w:r w:rsidR="008729A6">
        <w:rPr>
          <w:sz w:val="24"/>
          <w:szCs w:val="24"/>
        </w:rPr>
        <w:t>.</w:t>
      </w:r>
      <w:r w:rsidR="006D0213">
        <w:rPr>
          <w:sz w:val="24"/>
          <w:szCs w:val="24"/>
        </w:rPr>
        <w:t>2</w:t>
      </w:r>
      <w:r w:rsidR="008729A6">
        <w:rPr>
          <w:sz w:val="24"/>
          <w:szCs w:val="24"/>
        </w:rPr>
        <w:t>0</w:t>
      </w:r>
      <w:r w:rsidRPr="00EE4BC3" w:rsidR="00080078">
        <w:rPr>
          <w:sz w:val="24"/>
          <w:szCs w:val="24"/>
        </w:rPr>
        <w:t xml:space="preserve"> ($</w:t>
      </w:r>
      <w:r w:rsidR="009F1FE8">
        <w:rPr>
          <w:sz w:val="24"/>
          <w:szCs w:val="24"/>
        </w:rPr>
        <w:t>60.</w:t>
      </w:r>
      <w:r w:rsidR="006D0213">
        <w:rPr>
          <w:sz w:val="24"/>
          <w:szCs w:val="24"/>
        </w:rPr>
        <w:t>26</w:t>
      </w:r>
      <w:r w:rsidR="009F1FE8">
        <w:rPr>
          <w:sz w:val="24"/>
          <w:szCs w:val="24"/>
        </w:rPr>
        <w:t xml:space="preserve"> </w:t>
      </w:r>
      <w:r w:rsidRPr="00EE4BC3" w:rsidR="00080078">
        <w:rPr>
          <w:sz w:val="24"/>
          <w:szCs w:val="24"/>
        </w:rPr>
        <w:t>× 2</w:t>
      </w:r>
      <w:r w:rsidR="00080078">
        <w:rPr>
          <w:sz w:val="24"/>
          <w:szCs w:val="24"/>
        </w:rPr>
        <w:t>0</w:t>
      </w:r>
      <w:r w:rsidRPr="00EE4BC3" w:rsidR="00080078">
        <w:rPr>
          <w:sz w:val="24"/>
          <w:szCs w:val="24"/>
        </w:rPr>
        <w:t xml:space="preserve"> hours per </w:t>
      </w:r>
      <w:r w:rsidR="00080078">
        <w:rPr>
          <w:sz w:val="24"/>
          <w:szCs w:val="24"/>
        </w:rPr>
        <w:t>submission</w:t>
      </w:r>
      <w:r w:rsidRPr="00EE4BC3" w:rsidR="00080078">
        <w:rPr>
          <w:sz w:val="24"/>
          <w:szCs w:val="24"/>
        </w:rPr>
        <w:t xml:space="preserve">), and the </w:t>
      </w:r>
      <w:r w:rsidR="00080078">
        <w:rPr>
          <w:sz w:val="24"/>
          <w:szCs w:val="24"/>
        </w:rPr>
        <w:t xml:space="preserve">total </w:t>
      </w:r>
      <w:r w:rsidRPr="00EE4BC3" w:rsidR="00080078">
        <w:rPr>
          <w:sz w:val="24"/>
          <w:szCs w:val="24"/>
        </w:rPr>
        <w:t xml:space="preserve">labor cost for the estimated </w:t>
      </w:r>
      <w:r w:rsidR="00080078">
        <w:rPr>
          <w:sz w:val="24"/>
          <w:szCs w:val="24"/>
        </w:rPr>
        <w:t>23 target area reports</w:t>
      </w:r>
      <w:r w:rsidRPr="00EE4BC3" w:rsidR="00080078">
        <w:rPr>
          <w:sz w:val="24"/>
          <w:szCs w:val="24"/>
        </w:rPr>
        <w:t xml:space="preserve"> that will be submitted each year is estimated to be $</w:t>
      </w:r>
      <w:r w:rsidR="00080078">
        <w:rPr>
          <w:sz w:val="24"/>
          <w:szCs w:val="24"/>
        </w:rPr>
        <w:t>2</w:t>
      </w:r>
      <w:r w:rsidR="008729A6">
        <w:rPr>
          <w:sz w:val="24"/>
          <w:szCs w:val="24"/>
        </w:rPr>
        <w:t>7,</w:t>
      </w:r>
      <w:r w:rsidR="00F440E3">
        <w:rPr>
          <w:sz w:val="24"/>
          <w:szCs w:val="24"/>
        </w:rPr>
        <w:t>720</w:t>
      </w:r>
      <w:r w:rsidRPr="00EE4BC3" w:rsidR="00080078">
        <w:rPr>
          <w:sz w:val="24"/>
          <w:szCs w:val="24"/>
        </w:rPr>
        <w:t xml:space="preserve"> ($</w:t>
      </w:r>
      <w:r w:rsidR="008729A6">
        <w:rPr>
          <w:sz w:val="24"/>
          <w:szCs w:val="24"/>
        </w:rPr>
        <w:t>1,20</w:t>
      </w:r>
      <w:r w:rsidR="00F440E3">
        <w:rPr>
          <w:sz w:val="24"/>
          <w:szCs w:val="24"/>
        </w:rPr>
        <w:t>5</w:t>
      </w:r>
      <w:r w:rsidR="008729A6">
        <w:rPr>
          <w:sz w:val="24"/>
          <w:szCs w:val="24"/>
        </w:rPr>
        <w:t>.</w:t>
      </w:r>
      <w:r w:rsidR="00F440E3">
        <w:rPr>
          <w:sz w:val="24"/>
          <w:szCs w:val="24"/>
        </w:rPr>
        <w:t>2</w:t>
      </w:r>
      <w:r w:rsidR="008729A6">
        <w:rPr>
          <w:sz w:val="24"/>
          <w:szCs w:val="24"/>
        </w:rPr>
        <w:t xml:space="preserve">0 </w:t>
      </w:r>
      <w:r w:rsidRPr="00EE4BC3" w:rsidR="00080078">
        <w:rPr>
          <w:sz w:val="24"/>
          <w:szCs w:val="24"/>
        </w:rPr>
        <w:t xml:space="preserve">× </w:t>
      </w:r>
      <w:r w:rsidR="00080078">
        <w:rPr>
          <w:sz w:val="24"/>
          <w:szCs w:val="24"/>
        </w:rPr>
        <w:t>23 reports, rounded</w:t>
      </w:r>
      <w:r w:rsidRPr="00EE4BC3" w:rsidR="00080078">
        <w:rPr>
          <w:sz w:val="24"/>
          <w:szCs w:val="24"/>
        </w:rPr>
        <w:t>).</w:t>
      </w:r>
    </w:p>
    <w:p w:rsidRPr="00C76295" w:rsidR="00080078" w:rsidP="00080078" w:rsidRDefault="00080078" w14:paraId="39C76CC3" w14:textId="77777777">
      <w:pPr>
        <w:tabs>
          <w:tab w:val="left" w:pos="-1440"/>
        </w:tabs>
        <w:ind w:left="720"/>
        <w:rPr>
          <w:sz w:val="24"/>
          <w:szCs w:val="24"/>
        </w:rPr>
      </w:pPr>
    </w:p>
    <w:p w:rsidR="00080078" w:rsidP="00C267F7" w:rsidRDefault="00080078" w14:paraId="7B79756F" w14:textId="47424300">
      <w:pPr>
        <w:tabs>
          <w:tab w:val="left" w:pos="-1440"/>
        </w:tabs>
        <w:rPr>
          <w:sz w:val="24"/>
          <w:szCs w:val="24"/>
        </w:rPr>
      </w:pPr>
      <w:r w:rsidRPr="000E18FA">
        <w:rPr>
          <w:sz w:val="24"/>
          <w:szCs w:val="24"/>
        </w:rPr>
        <w:t>We estimate that Part 541 will impose an annual reporting burden of 150,460 burden-hours</w:t>
      </w:r>
      <w:r>
        <w:rPr>
          <w:sz w:val="24"/>
          <w:szCs w:val="24"/>
        </w:rPr>
        <w:t>, and t</w:t>
      </w:r>
      <w:r w:rsidRPr="000E18FA">
        <w:rPr>
          <w:sz w:val="24"/>
          <w:szCs w:val="24"/>
        </w:rPr>
        <w:t xml:space="preserve">he </w:t>
      </w:r>
      <w:r>
        <w:rPr>
          <w:sz w:val="24"/>
          <w:szCs w:val="24"/>
        </w:rPr>
        <w:t xml:space="preserve">total estimated labor </w:t>
      </w:r>
      <w:r w:rsidRPr="000E18FA">
        <w:rPr>
          <w:sz w:val="24"/>
          <w:szCs w:val="24"/>
        </w:rPr>
        <w:t>cost</w:t>
      </w:r>
      <w:r>
        <w:rPr>
          <w:sz w:val="24"/>
          <w:szCs w:val="24"/>
        </w:rPr>
        <w:t>s</w:t>
      </w:r>
      <w:r w:rsidRPr="000E18FA">
        <w:rPr>
          <w:sz w:val="24"/>
          <w:szCs w:val="24"/>
        </w:rPr>
        <w:t xml:space="preserve"> associated with the</w:t>
      </w:r>
      <w:r>
        <w:rPr>
          <w:sz w:val="24"/>
          <w:szCs w:val="24"/>
        </w:rPr>
        <w:t>se</w:t>
      </w:r>
      <w:r w:rsidRPr="000E18FA">
        <w:rPr>
          <w:sz w:val="24"/>
          <w:szCs w:val="24"/>
        </w:rPr>
        <w:t xml:space="preserve"> burden hours endured by the </w:t>
      </w:r>
      <w:r>
        <w:rPr>
          <w:sz w:val="24"/>
          <w:szCs w:val="24"/>
        </w:rPr>
        <w:t xml:space="preserve">responding </w:t>
      </w:r>
      <w:r w:rsidRPr="000E18FA">
        <w:rPr>
          <w:sz w:val="24"/>
          <w:szCs w:val="24"/>
        </w:rPr>
        <w:t xml:space="preserve">manufacturers </w:t>
      </w:r>
      <w:r>
        <w:rPr>
          <w:sz w:val="24"/>
          <w:szCs w:val="24"/>
        </w:rPr>
        <w:t>are</w:t>
      </w:r>
      <w:r w:rsidRPr="000E18FA">
        <w:rPr>
          <w:sz w:val="24"/>
          <w:szCs w:val="24"/>
        </w:rPr>
        <w:t xml:space="preserve"> $</w:t>
      </w:r>
      <w:r w:rsidRPr="003463BF">
        <w:rPr>
          <w:sz w:val="24"/>
          <w:szCs w:val="24"/>
        </w:rPr>
        <w:t>4</w:t>
      </w:r>
      <w:r>
        <w:rPr>
          <w:sz w:val="24"/>
          <w:szCs w:val="24"/>
        </w:rPr>
        <w:t>,</w:t>
      </w:r>
      <w:r w:rsidR="006133CC">
        <w:rPr>
          <w:sz w:val="24"/>
          <w:szCs w:val="24"/>
        </w:rPr>
        <w:t>977,</w:t>
      </w:r>
      <w:r w:rsidR="00417445">
        <w:rPr>
          <w:sz w:val="24"/>
          <w:szCs w:val="24"/>
        </w:rPr>
        <w:t>720</w:t>
      </w:r>
      <w:r w:rsidRPr="000E18FA">
        <w:rPr>
          <w:sz w:val="24"/>
          <w:szCs w:val="24"/>
        </w:rPr>
        <w:t xml:space="preserve"> (</w:t>
      </w:r>
      <w:r w:rsidRPr="00C76295">
        <w:rPr>
          <w:sz w:val="24"/>
          <w:szCs w:val="24"/>
        </w:rPr>
        <w:t>$</w:t>
      </w:r>
      <w:r w:rsidRPr="00114160">
        <w:rPr>
          <w:sz w:val="24"/>
          <w:szCs w:val="24"/>
        </w:rPr>
        <w:t>4</w:t>
      </w:r>
      <w:r>
        <w:rPr>
          <w:sz w:val="24"/>
          <w:szCs w:val="24"/>
        </w:rPr>
        <w:t>,</w:t>
      </w:r>
      <w:r w:rsidR="006133CC">
        <w:rPr>
          <w:sz w:val="24"/>
          <w:szCs w:val="24"/>
        </w:rPr>
        <w:t>950,000</w:t>
      </w:r>
      <w:r w:rsidRPr="000E18FA">
        <w:rPr>
          <w:sz w:val="24"/>
          <w:szCs w:val="24"/>
        </w:rPr>
        <w:t xml:space="preserve"> </w:t>
      </w:r>
      <w:r>
        <w:rPr>
          <w:sz w:val="24"/>
          <w:szCs w:val="24"/>
        </w:rPr>
        <w:t>+</w:t>
      </w:r>
      <w:r w:rsidRPr="000E18FA">
        <w:rPr>
          <w:sz w:val="24"/>
          <w:szCs w:val="24"/>
        </w:rPr>
        <w:t xml:space="preserve"> </w:t>
      </w:r>
      <w:r w:rsidRPr="0026137E">
        <w:rPr>
          <w:sz w:val="24"/>
          <w:szCs w:val="24"/>
        </w:rPr>
        <w:t>$</w:t>
      </w:r>
      <w:r>
        <w:rPr>
          <w:sz w:val="24"/>
          <w:szCs w:val="24"/>
        </w:rPr>
        <w:t>2</w:t>
      </w:r>
      <w:r w:rsidR="006133CC">
        <w:rPr>
          <w:sz w:val="24"/>
          <w:szCs w:val="24"/>
        </w:rPr>
        <w:t>7,</w:t>
      </w:r>
      <w:r w:rsidR="00F440E3">
        <w:rPr>
          <w:sz w:val="24"/>
          <w:szCs w:val="24"/>
        </w:rPr>
        <w:t>720</w:t>
      </w:r>
      <w:r w:rsidRPr="000E18FA">
        <w:rPr>
          <w:sz w:val="24"/>
          <w:szCs w:val="24"/>
        </w:rPr>
        <w:t>)</w:t>
      </w:r>
    </w:p>
    <w:p w:rsidR="001E2E70" w:rsidP="00021D3F" w:rsidRDefault="001E2E70" w14:paraId="14994753" w14:textId="77777777">
      <w:pPr>
        <w:ind w:left="720" w:right="36"/>
        <w:rPr>
          <w:sz w:val="24"/>
          <w:szCs w:val="24"/>
        </w:rPr>
      </w:pPr>
    </w:p>
    <w:p w:rsidRPr="00171147" w:rsidR="00833450" w:rsidP="00907A4E" w:rsidRDefault="00833450" w14:paraId="47C16F73" w14:textId="68B34E83">
      <w:pPr>
        <w:rPr>
          <w:sz w:val="24"/>
          <w:szCs w:val="24"/>
          <w:u w:val="single"/>
        </w:rPr>
      </w:pPr>
      <w:r w:rsidRPr="00171147">
        <w:rPr>
          <w:sz w:val="24"/>
          <w:szCs w:val="24"/>
          <w:u w:val="single"/>
        </w:rPr>
        <w:t>49 CFR Part 542</w:t>
      </w:r>
    </w:p>
    <w:p w:rsidRPr="00171147" w:rsidR="00833450" w:rsidP="00833450" w:rsidRDefault="00833450" w14:paraId="62DD5941" w14:textId="77777777">
      <w:pPr>
        <w:ind w:left="720"/>
        <w:rPr>
          <w:sz w:val="24"/>
          <w:szCs w:val="24"/>
        </w:rPr>
      </w:pPr>
    </w:p>
    <w:p w:rsidR="00833450" w:rsidP="00907A4E" w:rsidRDefault="00833450" w14:paraId="60B60195" w14:textId="20A099E4">
      <w:pPr>
        <w:tabs>
          <w:tab w:val="left" w:pos="0"/>
          <w:tab w:val="left" w:pos="699"/>
          <w:tab w:val="right" w:pos="5913"/>
        </w:tabs>
        <w:rPr>
          <w:sz w:val="24"/>
        </w:rPr>
      </w:pPr>
      <w:r w:rsidRPr="00171147">
        <w:rPr>
          <w:sz w:val="24"/>
        </w:rPr>
        <w:t>Currently there are se</w:t>
      </w:r>
      <w:r w:rsidR="004207AA">
        <w:rPr>
          <w:sz w:val="24"/>
        </w:rPr>
        <w:t>ven manufacturers who produce LDT</w:t>
      </w:r>
      <w:r w:rsidRPr="00171147">
        <w:rPr>
          <w:sz w:val="24"/>
        </w:rPr>
        <w:t xml:space="preserve">s that could be subject to the parts-marking requirements. </w:t>
      </w:r>
      <w:r w:rsidR="00257123">
        <w:rPr>
          <w:sz w:val="24"/>
        </w:rPr>
        <w:t>While NHTSA estimates that all</w:t>
      </w:r>
      <w:r w:rsidRPr="00171147">
        <w:rPr>
          <w:sz w:val="24"/>
        </w:rPr>
        <w:t xml:space="preserve"> seven are still active in the U.S. market</w:t>
      </w:r>
      <w:r w:rsidR="00257123">
        <w:rPr>
          <w:sz w:val="24"/>
        </w:rPr>
        <w:t xml:space="preserve">, only manufacturers that introduce new LDT lines would be required to report to NHTSA under </w:t>
      </w:r>
      <w:r w:rsidR="00B30071">
        <w:rPr>
          <w:sz w:val="24"/>
        </w:rPr>
        <w:t>49 CFR 542.1 and 49 CFR 542.2</w:t>
      </w:r>
      <w:r w:rsidRPr="00171147">
        <w:rPr>
          <w:sz w:val="24"/>
        </w:rPr>
        <w:t xml:space="preserve">.  On average, </w:t>
      </w:r>
      <w:r w:rsidR="0077094C">
        <w:rPr>
          <w:sz w:val="24"/>
        </w:rPr>
        <w:t>NHTSA</w:t>
      </w:r>
      <w:r w:rsidRPr="00171147" w:rsidR="0077094C">
        <w:rPr>
          <w:sz w:val="24"/>
        </w:rPr>
        <w:t xml:space="preserve"> </w:t>
      </w:r>
      <w:r w:rsidRPr="00171147">
        <w:rPr>
          <w:sz w:val="24"/>
        </w:rPr>
        <w:t>estimate</w:t>
      </w:r>
      <w:r w:rsidR="0077094C">
        <w:rPr>
          <w:sz w:val="24"/>
        </w:rPr>
        <w:t>s</w:t>
      </w:r>
      <w:r w:rsidRPr="00171147">
        <w:rPr>
          <w:sz w:val="24"/>
        </w:rPr>
        <w:t xml:space="preserve"> </w:t>
      </w:r>
      <w:r w:rsidR="00267F30">
        <w:rPr>
          <w:sz w:val="24"/>
        </w:rPr>
        <w:t xml:space="preserve">that approximately </w:t>
      </w:r>
      <w:r w:rsidR="00B30071">
        <w:rPr>
          <w:sz w:val="24"/>
        </w:rPr>
        <w:t xml:space="preserve">one LDT line will be introduced each year </w:t>
      </w:r>
      <w:r w:rsidR="00CE71B4">
        <w:rPr>
          <w:sz w:val="24"/>
        </w:rPr>
        <w:t xml:space="preserve">for which the manufacturer will need </w:t>
      </w:r>
      <w:r w:rsidR="00CE71B4">
        <w:rPr>
          <w:sz w:val="24"/>
        </w:rPr>
        <w:lastRenderedPageBreak/>
        <w:t xml:space="preserve">to submit information under § 542.1 and one LDT line will be introduced for which the manufacturer will need to submit information under § 541.2. </w:t>
      </w:r>
      <w:r w:rsidRPr="00171147">
        <w:rPr>
          <w:sz w:val="24"/>
        </w:rPr>
        <w:t xml:space="preserve"> </w:t>
      </w:r>
    </w:p>
    <w:p w:rsidRPr="00171147" w:rsidR="00267F30" w:rsidP="00833450" w:rsidRDefault="00267F30" w14:paraId="41678B58" w14:textId="77777777">
      <w:pPr>
        <w:tabs>
          <w:tab w:val="left" w:pos="0"/>
          <w:tab w:val="left" w:pos="699"/>
          <w:tab w:val="right" w:pos="5913"/>
        </w:tabs>
        <w:ind w:left="699"/>
        <w:rPr>
          <w:sz w:val="24"/>
        </w:rPr>
      </w:pPr>
    </w:p>
    <w:p w:rsidRPr="00171147" w:rsidR="00833450" w:rsidP="00907A4E" w:rsidRDefault="000D01F6" w14:paraId="6AEAC002" w14:textId="09A9B6AC">
      <w:pPr>
        <w:tabs>
          <w:tab w:val="left" w:pos="-1440"/>
        </w:tabs>
        <w:rPr>
          <w:sz w:val="24"/>
        </w:rPr>
      </w:pPr>
      <w:r>
        <w:rPr>
          <w:sz w:val="24"/>
        </w:rPr>
        <w:t>S</w:t>
      </w:r>
      <w:r w:rsidR="00FF2AD0">
        <w:rPr>
          <w:sz w:val="24"/>
        </w:rPr>
        <w:t>ection</w:t>
      </w:r>
      <w:r w:rsidRPr="00171147" w:rsidR="00FF2AD0">
        <w:rPr>
          <w:sz w:val="24"/>
        </w:rPr>
        <w:t xml:space="preserve"> </w:t>
      </w:r>
      <w:r w:rsidRPr="00171147" w:rsidR="00833450">
        <w:rPr>
          <w:sz w:val="24"/>
        </w:rPr>
        <w:t xml:space="preserve">542.1 specifies procedures for motor vehicle manufacturers and the agency to follow in the determination of new </w:t>
      </w:r>
      <w:r w:rsidR="004207AA">
        <w:rPr>
          <w:sz w:val="24"/>
        </w:rPr>
        <w:t xml:space="preserve">LDT </w:t>
      </w:r>
      <w:r w:rsidRPr="00171147" w:rsidR="00833450">
        <w:rPr>
          <w:sz w:val="24"/>
        </w:rPr>
        <w:t xml:space="preserve">lines that are likely to have a </w:t>
      </w:r>
      <w:r w:rsidR="001C2E4F">
        <w:rPr>
          <w:sz w:val="24"/>
        </w:rPr>
        <w:t>theft rate above or below</w:t>
      </w:r>
      <w:r w:rsidRPr="00171147" w:rsidR="00833450">
        <w:rPr>
          <w:sz w:val="24"/>
        </w:rPr>
        <w:t xml:space="preserve"> the median </w:t>
      </w:r>
      <w:r w:rsidR="00267F30">
        <w:rPr>
          <w:sz w:val="24"/>
        </w:rPr>
        <w:t xml:space="preserve">theft </w:t>
      </w:r>
      <w:r w:rsidRPr="00171147" w:rsidR="00833450">
        <w:rPr>
          <w:sz w:val="24"/>
        </w:rPr>
        <w:t>rate</w:t>
      </w:r>
      <w:r w:rsidR="001C2E4F">
        <w:rPr>
          <w:sz w:val="24"/>
        </w:rPr>
        <w:t xml:space="preserve"> of 3.5826</w:t>
      </w:r>
      <w:r w:rsidRPr="00171147" w:rsidR="00833450">
        <w:rPr>
          <w:sz w:val="24"/>
        </w:rPr>
        <w:t>.  This section also provides the manufacturers with notice of their rights and responsibilities during the selection and appeals process.</w:t>
      </w:r>
      <w:r w:rsidR="0077094C">
        <w:rPr>
          <w:sz w:val="24"/>
        </w:rPr>
        <w:t xml:space="preserve">  </w:t>
      </w:r>
      <w:r w:rsidRPr="00171147" w:rsidR="0077094C">
        <w:rPr>
          <w:sz w:val="24"/>
        </w:rPr>
        <w:t xml:space="preserve">On average, </w:t>
      </w:r>
      <w:r w:rsidR="0077094C">
        <w:rPr>
          <w:sz w:val="24"/>
        </w:rPr>
        <w:t>NHTSA</w:t>
      </w:r>
      <w:r w:rsidRPr="00171147" w:rsidR="0077094C">
        <w:rPr>
          <w:sz w:val="24"/>
        </w:rPr>
        <w:t xml:space="preserve"> estimate</w:t>
      </w:r>
      <w:r w:rsidR="0077094C">
        <w:rPr>
          <w:sz w:val="24"/>
        </w:rPr>
        <w:t>s</w:t>
      </w:r>
      <w:r w:rsidRPr="00171147" w:rsidR="0077094C">
        <w:rPr>
          <w:sz w:val="24"/>
        </w:rPr>
        <w:t xml:space="preserve"> </w:t>
      </w:r>
      <w:r w:rsidR="0077094C">
        <w:rPr>
          <w:sz w:val="24"/>
        </w:rPr>
        <w:t>that there will be approximately one manufacturer submittal a year</w:t>
      </w:r>
      <w:r w:rsidR="00E940FB">
        <w:rPr>
          <w:sz w:val="24"/>
        </w:rPr>
        <w:t xml:space="preserve">. NHTSA further estimates that the burden for each § 542.1 submittal is approximately 45 hours. Therefore, the total annual burden for § 542.1 submittals is estimated to be 45 hours. </w:t>
      </w:r>
    </w:p>
    <w:p w:rsidRPr="00171147" w:rsidR="00833450" w:rsidP="00833450" w:rsidRDefault="00833450" w14:paraId="2DB95146" w14:textId="77777777">
      <w:pPr>
        <w:tabs>
          <w:tab w:val="left" w:pos="-1440"/>
        </w:tabs>
        <w:rPr>
          <w:sz w:val="24"/>
        </w:rPr>
      </w:pPr>
    </w:p>
    <w:p w:rsidRPr="00171147" w:rsidR="00833450" w:rsidP="00907A4E" w:rsidRDefault="00FF2AD0" w14:paraId="396FBE5A" w14:textId="10FCA938">
      <w:pPr>
        <w:tabs>
          <w:tab w:val="left" w:pos="-1440"/>
        </w:tabs>
        <w:rPr>
          <w:sz w:val="24"/>
        </w:rPr>
      </w:pPr>
      <w:r>
        <w:rPr>
          <w:sz w:val="24"/>
        </w:rPr>
        <w:t>Section</w:t>
      </w:r>
      <w:r w:rsidRPr="00171147">
        <w:rPr>
          <w:sz w:val="24"/>
        </w:rPr>
        <w:t xml:space="preserve"> </w:t>
      </w:r>
      <w:r w:rsidRPr="00171147" w:rsidR="00833450">
        <w:rPr>
          <w:sz w:val="24"/>
        </w:rPr>
        <w:t xml:space="preserve">542.2 specifies procedures for motor vehicle manufacturers and NHTSA to follow in the determination of new </w:t>
      </w:r>
      <w:r w:rsidR="00267F30">
        <w:rPr>
          <w:sz w:val="24"/>
        </w:rPr>
        <w:t xml:space="preserve">LTD </w:t>
      </w:r>
      <w:r w:rsidRPr="00171147" w:rsidR="00833450">
        <w:rPr>
          <w:sz w:val="24"/>
        </w:rPr>
        <w:t>lines that will likely have a low</w:t>
      </w:r>
      <w:r w:rsidR="00C61574">
        <w:rPr>
          <w:sz w:val="24"/>
        </w:rPr>
        <w:t xml:space="preserve"> </w:t>
      </w:r>
      <w:r w:rsidRPr="00171147" w:rsidR="00833450">
        <w:rPr>
          <w:sz w:val="24"/>
        </w:rPr>
        <w:t xml:space="preserve">theft rate and have major parts interchangeable with </w:t>
      </w:r>
      <w:proofErr w:type="gramStart"/>
      <w:r w:rsidRPr="00171147" w:rsidR="00833450">
        <w:rPr>
          <w:sz w:val="24"/>
        </w:rPr>
        <w:t>a majority of</w:t>
      </w:r>
      <w:proofErr w:type="gramEnd"/>
      <w:r w:rsidRPr="00171147" w:rsidR="00833450">
        <w:rPr>
          <w:sz w:val="24"/>
        </w:rPr>
        <w:t xml:space="preserve"> the major parts of a </w:t>
      </w:r>
      <w:r w:rsidR="00464003">
        <w:rPr>
          <w:sz w:val="24"/>
        </w:rPr>
        <w:t>passenger motor vehicle line</w:t>
      </w:r>
      <w:r w:rsidR="00267F30">
        <w:rPr>
          <w:sz w:val="24"/>
        </w:rPr>
        <w:t xml:space="preserve"> subject to the parts-marking requirements</w:t>
      </w:r>
      <w:r w:rsidRPr="00171147" w:rsidR="00833450">
        <w:rPr>
          <w:sz w:val="24"/>
        </w:rPr>
        <w:t>.  This section also provides the manufacturers with notice of their rights and responsibilities during the selection and appeal process.</w:t>
      </w:r>
      <w:r w:rsidR="00CF4BC0">
        <w:rPr>
          <w:sz w:val="24"/>
        </w:rPr>
        <w:t xml:space="preserve"> </w:t>
      </w:r>
      <w:r w:rsidRPr="00CF4BC0" w:rsidR="00CF4BC0">
        <w:rPr>
          <w:sz w:val="24"/>
        </w:rPr>
        <w:t>On average, NHTSA estimates that there will be approximately one manufacturer submittal a year. NHTSA further estimates that the burden for each § 542.</w:t>
      </w:r>
      <w:r w:rsidR="00CF4BC0">
        <w:rPr>
          <w:sz w:val="24"/>
        </w:rPr>
        <w:t>2</w:t>
      </w:r>
      <w:r w:rsidRPr="00CF4BC0" w:rsidR="00CF4BC0">
        <w:rPr>
          <w:sz w:val="24"/>
        </w:rPr>
        <w:t xml:space="preserve"> submittal is approximately 45 hours. Therefore, the total annual burden for § 542.</w:t>
      </w:r>
      <w:r w:rsidR="00CF4BC0">
        <w:rPr>
          <w:sz w:val="24"/>
        </w:rPr>
        <w:t>2</w:t>
      </w:r>
      <w:r w:rsidRPr="00CF4BC0" w:rsidR="00CF4BC0">
        <w:rPr>
          <w:sz w:val="24"/>
        </w:rPr>
        <w:t xml:space="preserve"> submittals is estimated to be 45 hours.</w:t>
      </w:r>
    </w:p>
    <w:p w:rsidRPr="00171147" w:rsidR="00833450" w:rsidP="00833450" w:rsidRDefault="00833450" w14:paraId="0EE646F5" w14:textId="77777777">
      <w:pPr>
        <w:tabs>
          <w:tab w:val="left" w:pos="-1440"/>
        </w:tabs>
        <w:rPr>
          <w:sz w:val="24"/>
        </w:rPr>
      </w:pPr>
    </w:p>
    <w:p w:rsidR="00696764" w:rsidP="00907A4E" w:rsidRDefault="004F00DE" w14:paraId="69882A65" w14:textId="3465C471">
      <w:r w:rsidRPr="00487E8D">
        <w:rPr>
          <w:sz w:val="24"/>
          <w:szCs w:val="24"/>
        </w:rPr>
        <w:t>NHTSA estimates the labor cost associated with this collection of information by (1) applying the appropriate average hourly labor rate published by the Bureau of Labor Statistics (BLS), (2) dividing by 0.70</w:t>
      </w:r>
      <w:r w:rsidR="00417445">
        <w:rPr>
          <w:sz w:val="24"/>
          <w:szCs w:val="24"/>
        </w:rPr>
        <w:t>2</w:t>
      </w:r>
      <w:r>
        <w:rPr>
          <w:rStyle w:val="FootnoteReference"/>
          <w:sz w:val="24"/>
          <w:szCs w:val="24"/>
        </w:rPr>
        <w:footnoteReference w:id="5"/>
      </w:r>
      <w:r w:rsidRPr="00487E8D">
        <w:rPr>
          <w:sz w:val="24"/>
          <w:szCs w:val="24"/>
        </w:rPr>
        <w:t xml:space="preserve"> (70.</w:t>
      </w:r>
      <w:r w:rsidR="00417445">
        <w:rPr>
          <w:sz w:val="24"/>
          <w:szCs w:val="24"/>
        </w:rPr>
        <w:t>2</w:t>
      </w:r>
      <w:r w:rsidRPr="00487E8D">
        <w:rPr>
          <w:sz w:val="24"/>
          <w:szCs w:val="24"/>
        </w:rPr>
        <w:t xml:space="preserve">%), for private industry workers to obtain the total cost of compensation, and (3) multiplying by the estimated burden hours for each respondent type. </w:t>
      </w:r>
      <w:r w:rsidRPr="0032567C" w:rsidR="0032567C">
        <w:rPr>
          <w:sz w:val="24"/>
          <w:szCs w:val="24"/>
        </w:rPr>
        <w:t xml:space="preserve">NHTSA estimates the labor costs associated with developing and submitting </w:t>
      </w:r>
      <w:r w:rsidR="0032567C">
        <w:rPr>
          <w:sz w:val="24"/>
          <w:szCs w:val="24"/>
        </w:rPr>
        <w:t xml:space="preserve">542 submissions </w:t>
      </w:r>
      <w:r w:rsidRPr="0032567C" w:rsidR="0032567C">
        <w:rPr>
          <w:sz w:val="24"/>
          <w:szCs w:val="24"/>
        </w:rPr>
        <w:t>using the average wage for compliance officers in the motor vehicle manufacturing industry (Standard Occupational Classification #13-1041), which BLS estimates to be $42.30</w:t>
      </w:r>
      <w:r w:rsidRPr="00EE4BC3" w:rsidR="00745260">
        <w:rPr>
          <w:rStyle w:val="FootnoteReference"/>
          <w:sz w:val="24"/>
          <w:szCs w:val="24"/>
        </w:rPr>
        <w:footnoteReference w:id="6"/>
      </w:r>
      <w:r w:rsidRPr="0032567C" w:rsidR="0032567C">
        <w:rPr>
          <w:sz w:val="24"/>
          <w:szCs w:val="24"/>
        </w:rPr>
        <w:t xml:space="preserve"> per hour. Using this estimate, NHTSA estimates the total compensation costs per hour to be $60.26 per hour ($42.30 per hour ÷ 0.702). The labor cost to prepare each </w:t>
      </w:r>
      <w:r w:rsidR="00745260">
        <w:rPr>
          <w:sz w:val="24"/>
          <w:szCs w:val="24"/>
        </w:rPr>
        <w:t xml:space="preserve">submission </w:t>
      </w:r>
      <w:r w:rsidRPr="0032567C" w:rsidR="0032567C">
        <w:rPr>
          <w:sz w:val="24"/>
          <w:szCs w:val="24"/>
        </w:rPr>
        <w:t xml:space="preserve">under </w:t>
      </w:r>
      <w:r w:rsidR="00745260">
        <w:rPr>
          <w:sz w:val="24"/>
          <w:szCs w:val="24"/>
        </w:rPr>
        <w:t>part 542</w:t>
      </w:r>
      <w:r w:rsidRPr="0032567C" w:rsidR="0032567C">
        <w:rPr>
          <w:sz w:val="24"/>
          <w:szCs w:val="24"/>
        </w:rPr>
        <w:t xml:space="preserve"> is estimated to be $</w:t>
      </w:r>
      <w:r w:rsidR="00373262">
        <w:rPr>
          <w:sz w:val="24"/>
          <w:szCs w:val="24"/>
        </w:rPr>
        <w:t>2,71</w:t>
      </w:r>
      <w:r w:rsidR="00D20210">
        <w:rPr>
          <w:sz w:val="24"/>
          <w:szCs w:val="24"/>
        </w:rPr>
        <w:t>2, rounded</w:t>
      </w:r>
      <w:r w:rsidRPr="0032567C" w:rsidR="0032567C">
        <w:rPr>
          <w:sz w:val="24"/>
          <w:szCs w:val="24"/>
        </w:rPr>
        <w:t xml:space="preserve"> ($60.26 × </w:t>
      </w:r>
      <w:r w:rsidR="00373262">
        <w:rPr>
          <w:sz w:val="24"/>
          <w:szCs w:val="24"/>
        </w:rPr>
        <w:t>45</w:t>
      </w:r>
      <w:r w:rsidRPr="0032567C" w:rsidR="0032567C">
        <w:rPr>
          <w:sz w:val="24"/>
          <w:szCs w:val="24"/>
        </w:rPr>
        <w:t xml:space="preserve"> hours per submission)</w:t>
      </w:r>
      <w:r w:rsidR="00373262">
        <w:rPr>
          <w:sz w:val="24"/>
          <w:szCs w:val="24"/>
        </w:rPr>
        <w:t xml:space="preserve">. </w:t>
      </w:r>
      <w:r w:rsidRPr="00487E8D">
        <w:rPr>
          <w:sz w:val="24"/>
          <w:szCs w:val="24"/>
        </w:rPr>
        <w:t xml:space="preserve"> </w:t>
      </w:r>
    </w:p>
    <w:p w:rsidR="00CF4BC0" w:rsidP="00CF4BC0" w:rsidRDefault="00CF4BC0" w14:paraId="16C1F352" w14:textId="1A60D0F8">
      <w:pPr>
        <w:tabs>
          <w:tab w:val="left" w:pos="-1440"/>
        </w:tabs>
        <w:rPr>
          <w:sz w:val="24"/>
          <w:szCs w:val="24"/>
        </w:rPr>
      </w:pPr>
    </w:p>
    <w:p w:rsidRPr="00EE4BC3" w:rsidR="00CF4BC0" w:rsidP="00907A4E" w:rsidRDefault="00CF4BC0" w14:paraId="04A413AA" w14:textId="0C95E0D1">
      <w:pPr>
        <w:tabs>
          <w:tab w:val="left" w:pos="-1440"/>
        </w:tabs>
        <w:rPr>
          <w:sz w:val="24"/>
          <w:szCs w:val="24"/>
        </w:rPr>
      </w:pPr>
      <w:r w:rsidRPr="00CF4BC0">
        <w:rPr>
          <w:sz w:val="24"/>
          <w:szCs w:val="24"/>
        </w:rPr>
        <w:t>Table 1 below provides a summary of the estimated burden hours and</w:t>
      </w:r>
      <w:r w:rsidR="00A52B0D">
        <w:rPr>
          <w:sz w:val="24"/>
          <w:szCs w:val="24"/>
        </w:rPr>
        <w:t xml:space="preserve"> Table 2 provides a summary of the</w:t>
      </w:r>
      <w:r w:rsidRPr="00CF4BC0">
        <w:rPr>
          <w:sz w:val="24"/>
          <w:szCs w:val="24"/>
        </w:rPr>
        <w:t xml:space="preserve"> labor costs associated with t</w:t>
      </w:r>
      <w:r w:rsidR="00A52B0D">
        <w:rPr>
          <w:sz w:val="24"/>
          <w:szCs w:val="24"/>
        </w:rPr>
        <w:t xml:space="preserve">he burden hours. </w:t>
      </w:r>
    </w:p>
    <w:p w:rsidRPr="00072B33" w:rsidR="00AA1E5F" w:rsidP="00072B33" w:rsidRDefault="00AA1E5F" w14:paraId="33461EE1" w14:textId="306B4FB1">
      <w:pPr>
        <w:tabs>
          <w:tab w:val="left" w:pos="-1440"/>
        </w:tabs>
        <w:rPr>
          <w:b/>
          <w:sz w:val="24"/>
        </w:rPr>
      </w:pPr>
    </w:p>
    <w:p w:rsidR="006F5648" w:rsidP="00072B33" w:rsidRDefault="006F5648" w14:paraId="1FDD079A" w14:textId="70D8A461">
      <w:pPr>
        <w:tabs>
          <w:tab w:val="left" w:pos="-1440"/>
        </w:tabs>
        <w:ind w:left="720"/>
        <w:jc w:val="center"/>
        <w:rPr>
          <w:b/>
          <w:sz w:val="24"/>
        </w:rPr>
      </w:pPr>
      <w:r w:rsidRPr="00072B33">
        <w:rPr>
          <w:b/>
          <w:sz w:val="24"/>
        </w:rPr>
        <w:t xml:space="preserve">Table 1:  Total Estimated Burden Hours for Parts 541 and 542 </w:t>
      </w:r>
    </w:p>
    <w:p w:rsidR="006D6945" w:rsidP="00072B33" w:rsidRDefault="006D6945" w14:paraId="04B73822" w14:textId="03F12AF3">
      <w:pPr>
        <w:tabs>
          <w:tab w:val="left" w:pos="-1440"/>
        </w:tabs>
        <w:ind w:left="720"/>
        <w:jc w:val="center"/>
        <w:rPr>
          <w:b/>
          <w:sz w:val="24"/>
        </w:rPr>
      </w:pPr>
    </w:p>
    <w:tbl>
      <w:tblPr>
        <w:tblStyle w:val="TableGrid"/>
        <w:tblW w:w="9576" w:type="dxa"/>
        <w:jc w:val="center"/>
        <w:tblLayout w:type="fixed"/>
        <w:tblLook w:val="04A0" w:firstRow="1" w:lastRow="0" w:firstColumn="1" w:lastColumn="0" w:noHBand="0" w:noVBand="1"/>
      </w:tblPr>
      <w:tblGrid>
        <w:gridCol w:w="805"/>
        <w:gridCol w:w="2430"/>
        <w:gridCol w:w="1260"/>
        <w:gridCol w:w="1350"/>
        <w:gridCol w:w="1170"/>
        <w:gridCol w:w="1308"/>
        <w:gridCol w:w="1253"/>
      </w:tblGrid>
      <w:tr w:rsidRPr="006D6945" w:rsidR="006D6945" w:rsidTr="00907A4E" w14:paraId="69C57198" w14:textId="77777777">
        <w:trPr>
          <w:jc w:val="center"/>
        </w:trPr>
        <w:tc>
          <w:tcPr>
            <w:tcW w:w="805" w:type="dxa"/>
            <w:vAlign w:val="center"/>
          </w:tcPr>
          <w:p w:rsidRPr="00907A4E" w:rsidR="006D6945" w:rsidP="00907A4E" w:rsidRDefault="006D6945" w14:paraId="4E47C62F" w14:textId="272A4AAE">
            <w:pPr>
              <w:widowControl/>
              <w:autoSpaceDE/>
              <w:autoSpaceDN/>
              <w:adjustRightInd/>
              <w:jc w:val="center"/>
              <w:rPr>
                <w:sz w:val="22"/>
                <w:szCs w:val="22"/>
              </w:rPr>
            </w:pPr>
            <w:r w:rsidRPr="00907A4E">
              <w:rPr>
                <w:sz w:val="22"/>
                <w:szCs w:val="22"/>
              </w:rPr>
              <w:t>IC No.</w:t>
            </w:r>
          </w:p>
        </w:tc>
        <w:tc>
          <w:tcPr>
            <w:tcW w:w="2430" w:type="dxa"/>
            <w:vAlign w:val="center"/>
          </w:tcPr>
          <w:p w:rsidRPr="00907A4E" w:rsidR="006D6945" w:rsidP="00907A4E" w:rsidRDefault="006D6945" w14:paraId="328AEA71" w14:textId="77777777">
            <w:pPr>
              <w:widowControl/>
              <w:autoSpaceDE/>
              <w:autoSpaceDN/>
              <w:adjustRightInd/>
              <w:jc w:val="center"/>
              <w:rPr>
                <w:sz w:val="22"/>
                <w:szCs w:val="22"/>
              </w:rPr>
            </w:pPr>
            <w:r w:rsidRPr="00907A4E">
              <w:rPr>
                <w:sz w:val="22"/>
                <w:szCs w:val="22"/>
              </w:rPr>
              <w:t>ICR Title</w:t>
            </w:r>
          </w:p>
        </w:tc>
        <w:tc>
          <w:tcPr>
            <w:tcW w:w="1260" w:type="dxa"/>
            <w:vAlign w:val="center"/>
          </w:tcPr>
          <w:p w:rsidRPr="00907A4E" w:rsidR="006D6945" w:rsidP="00907A4E" w:rsidRDefault="006D6945" w14:paraId="1650C413" w14:textId="77777777">
            <w:pPr>
              <w:widowControl/>
              <w:autoSpaceDE/>
              <w:autoSpaceDN/>
              <w:adjustRightInd/>
              <w:jc w:val="center"/>
              <w:rPr>
                <w:sz w:val="22"/>
                <w:szCs w:val="22"/>
              </w:rPr>
            </w:pPr>
            <w:r w:rsidRPr="00907A4E">
              <w:rPr>
                <w:sz w:val="22"/>
                <w:szCs w:val="22"/>
              </w:rPr>
              <w:t>Type of IC</w:t>
            </w:r>
          </w:p>
        </w:tc>
        <w:tc>
          <w:tcPr>
            <w:tcW w:w="1350" w:type="dxa"/>
            <w:vAlign w:val="center"/>
          </w:tcPr>
          <w:p w:rsidRPr="00907A4E" w:rsidR="006D6945" w:rsidP="00907A4E" w:rsidRDefault="006D6945" w14:paraId="337ECA45" w14:textId="77777777">
            <w:pPr>
              <w:widowControl/>
              <w:autoSpaceDE/>
              <w:autoSpaceDN/>
              <w:adjustRightInd/>
              <w:jc w:val="center"/>
              <w:rPr>
                <w:sz w:val="22"/>
                <w:szCs w:val="22"/>
              </w:rPr>
            </w:pPr>
            <w:r w:rsidRPr="00907A4E">
              <w:rPr>
                <w:sz w:val="22"/>
                <w:szCs w:val="22"/>
              </w:rPr>
              <w:t>Estimated No. of Respondents</w:t>
            </w:r>
          </w:p>
        </w:tc>
        <w:tc>
          <w:tcPr>
            <w:tcW w:w="1170" w:type="dxa"/>
            <w:vAlign w:val="center"/>
          </w:tcPr>
          <w:p w:rsidRPr="00907A4E" w:rsidR="006D6945" w:rsidP="00907A4E" w:rsidRDefault="006D6945" w14:paraId="222289D7" w14:textId="77777777">
            <w:pPr>
              <w:widowControl/>
              <w:autoSpaceDE/>
              <w:autoSpaceDN/>
              <w:adjustRightInd/>
              <w:jc w:val="center"/>
              <w:rPr>
                <w:sz w:val="22"/>
                <w:szCs w:val="22"/>
              </w:rPr>
            </w:pPr>
            <w:r w:rsidRPr="00907A4E">
              <w:rPr>
                <w:sz w:val="22"/>
                <w:szCs w:val="22"/>
              </w:rPr>
              <w:t>Estimated No. of Responses</w:t>
            </w:r>
          </w:p>
        </w:tc>
        <w:tc>
          <w:tcPr>
            <w:tcW w:w="1308" w:type="dxa"/>
            <w:vAlign w:val="center"/>
          </w:tcPr>
          <w:p w:rsidRPr="00907A4E" w:rsidR="006D6945" w:rsidP="00907A4E" w:rsidRDefault="006D6945" w14:paraId="220ECF9B" w14:textId="77777777">
            <w:pPr>
              <w:widowControl/>
              <w:autoSpaceDE/>
              <w:autoSpaceDN/>
              <w:adjustRightInd/>
              <w:jc w:val="center"/>
              <w:rPr>
                <w:sz w:val="22"/>
                <w:szCs w:val="22"/>
              </w:rPr>
            </w:pPr>
            <w:r w:rsidRPr="00907A4E">
              <w:rPr>
                <w:sz w:val="22"/>
                <w:szCs w:val="22"/>
              </w:rPr>
              <w:t>Estimated Time per Response</w:t>
            </w:r>
          </w:p>
        </w:tc>
        <w:tc>
          <w:tcPr>
            <w:tcW w:w="1253" w:type="dxa"/>
            <w:vAlign w:val="center"/>
          </w:tcPr>
          <w:p w:rsidRPr="00907A4E" w:rsidR="006D6945" w:rsidP="00907A4E" w:rsidRDefault="006D6945" w14:paraId="2D3F2043" w14:textId="77777777">
            <w:pPr>
              <w:widowControl/>
              <w:autoSpaceDE/>
              <w:autoSpaceDN/>
              <w:adjustRightInd/>
              <w:jc w:val="center"/>
              <w:rPr>
                <w:b/>
                <w:bCs/>
                <w:sz w:val="22"/>
                <w:szCs w:val="22"/>
              </w:rPr>
            </w:pPr>
            <w:r w:rsidRPr="00907A4E">
              <w:rPr>
                <w:b/>
                <w:bCs/>
                <w:sz w:val="22"/>
                <w:szCs w:val="22"/>
              </w:rPr>
              <w:t>Total Burden Hours</w:t>
            </w:r>
          </w:p>
        </w:tc>
      </w:tr>
      <w:tr w:rsidRPr="006D6945" w:rsidR="006D6945" w:rsidTr="00907A4E" w14:paraId="6355EB46" w14:textId="77777777">
        <w:trPr>
          <w:jc w:val="center"/>
        </w:trPr>
        <w:tc>
          <w:tcPr>
            <w:tcW w:w="805" w:type="dxa"/>
            <w:vAlign w:val="center"/>
          </w:tcPr>
          <w:p w:rsidRPr="00907A4E" w:rsidR="006D6945" w:rsidP="00907A4E" w:rsidRDefault="006D6945" w14:paraId="56A3CA74" w14:textId="77777777">
            <w:pPr>
              <w:widowControl/>
              <w:autoSpaceDE/>
              <w:autoSpaceDN/>
              <w:adjustRightInd/>
              <w:jc w:val="center"/>
              <w:rPr>
                <w:sz w:val="22"/>
                <w:szCs w:val="22"/>
              </w:rPr>
            </w:pPr>
            <w:r w:rsidRPr="00907A4E">
              <w:rPr>
                <w:sz w:val="22"/>
                <w:szCs w:val="22"/>
              </w:rPr>
              <w:lastRenderedPageBreak/>
              <w:t>1</w:t>
            </w:r>
          </w:p>
        </w:tc>
        <w:tc>
          <w:tcPr>
            <w:tcW w:w="2430" w:type="dxa"/>
            <w:vAlign w:val="center"/>
          </w:tcPr>
          <w:p w:rsidRPr="00907A4E" w:rsidR="006D6945" w:rsidP="00907A4E" w:rsidRDefault="006D6945" w14:paraId="649AB61B" w14:textId="77777777">
            <w:pPr>
              <w:widowControl/>
              <w:autoSpaceDE/>
              <w:autoSpaceDN/>
              <w:adjustRightInd/>
              <w:jc w:val="center"/>
              <w:rPr>
                <w:sz w:val="22"/>
                <w:szCs w:val="22"/>
              </w:rPr>
            </w:pPr>
            <w:r w:rsidRPr="00907A4E">
              <w:rPr>
                <w:sz w:val="22"/>
                <w:szCs w:val="22"/>
              </w:rPr>
              <w:t>541: Parts-Marking on 14 major parts (49 CFR 541.5(a)</w:t>
            </w:r>
          </w:p>
        </w:tc>
        <w:tc>
          <w:tcPr>
            <w:tcW w:w="1260" w:type="dxa"/>
            <w:vAlign w:val="center"/>
          </w:tcPr>
          <w:p w:rsidRPr="00907A4E" w:rsidR="006D6945" w:rsidP="00907A4E" w:rsidRDefault="006D6945" w14:paraId="1E490E37" w14:textId="77777777">
            <w:pPr>
              <w:widowControl/>
              <w:autoSpaceDE/>
              <w:autoSpaceDN/>
              <w:adjustRightInd/>
              <w:jc w:val="center"/>
              <w:rPr>
                <w:sz w:val="22"/>
                <w:szCs w:val="22"/>
              </w:rPr>
            </w:pPr>
            <w:r w:rsidRPr="00907A4E">
              <w:rPr>
                <w:sz w:val="22"/>
                <w:szCs w:val="22"/>
              </w:rPr>
              <w:t>Third-Party Disclosure</w:t>
            </w:r>
          </w:p>
        </w:tc>
        <w:tc>
          <w:tcPr>
            <w:tcW w:w="1350" w:type="dxa"/>
            <w:vAlign w:val="center"/>
          </w:tcPr>
          <w:p w:rsidRPr="00907A4E" w:rsidR="006D6945" w:rsidP="00EE6736" w:rsidRDefault="006D6945" w14:paraId="73B316BD" w14:textId="77777777">
            <w:pPr>
              <w:widowControl/>
              <w:autoSpaceDE/>
              <w:autoSpaceDN/>
              <w:adjustRightInd/>
              <w:jc w:val="center"/>
              <w:rPr>
                <w:sz w:val="22"/>
                <w:szCs w:val="22"/>
              </w:rPr>
            </w:pPr>
            <w:r w:rsidRPr="00907A4E">
              <w:rPr>
                <w:sz w:val="22"/>
                <w:szCs w:val="22"/>
              </w:rPr>
              <w:t>21</w:t>
            </w:r>
          </w:p>
        </w:tc>
        <w:tc>
          <w:tcPr>
            <w:tcW w:w="1170" w:type="dxa"/>
            <w:vAlign w:val="center"/>
          </w:tcPr>
          <w:p w:rsidRPr="00907A4E" w:rsidR="006D6945" w:rsidP="00907A4E" w:rsidRDefault="006D6945" w14:paraId="387C4ACB" w14:textId="77777777">
            <w:pPr>
              <w:widowControl/>
              <w:autoSpaceDE/>
              <w:autoSpaceDN/>
              <w:adjustRightInd/>
              <w:jc w:val="center"/>
              <w:rPr>
                <w:sz w:val="22"/>
                <w:szCs w:val="22"/>
              </w:rPr>
            </w:pPr>
            <w:r w:rsidRPr="00907A4E">
              <w:rPr>
                <w:sz w:val="22"/>
                <w:szCs w:val="22"/>
              </w:rPr>
              <w:t>4.5 million</w:t>
            </w:r>
          </w:p>
        </w:tc>
        <w:tc>
          <w:tcPr>
            <w:tcW w:w="1308" w:type="dxa"/>
            <w:vAlign w:val="center"/>
          </w:tcPr>
          <w:p w:rsidRPr="00907A4E" w:rsidR="006D6945" w:rsidP="00907A4E" w:rsidRDefault="006D6945" w14:paraId="134E2A96" w14:textId="77777777">
            <w:pPr>
              <w:widowControl/>
              <w:autoSpaceDE/>
              <w:autoSpaceDN/>
              <w:adjustRightInd/>
              <w:jc w:val="center"/>
              <w:rPr>
                <w:sz w:val="22"/>
                <w:szCs w:val="22"/>
              </w:rPr>
            </w:pPr>
            <w:r w:rsidRPr="00907A4E">
              <w:rPr>
                <w:sz w:val="22"/>
                <w:szCs w:val="22"/>
              </w:rPr>
              <w:t>2 minutes</w:t>
            </w:r>
          </w:p>
        </w:tc>
        <w:tc>
          <w:tcPr>
            <w:tcW w:w="1253" w:type="dxa"/>
            <w:vAlign w:val="center"/>
          </w:tcPr>
          <w:p w:rsidRPr="00907A4E" w:rsidR="006D6945" w:rsidP="00907A4E" w:rsidRDefault="006D6945" w14:paraId="38C471FE" w14:textId="77777777">
            <w:pPr>
              <w:widowControl/>
              <w:autoSpaceDE/>
              <w:autoSpaceDN/>
              <w:adjustRightInd/>
              <w:jc w:val="center"/>
              <w:rPr>
                <w:b/>
                <w:bCs/>
                <w:sz w:val="22"/>
                <w:szCs w:val="22"/>
              </w:rPr>
            </w:pPr>
            <w:r w:rsidRPr="00907A4E">
              <w:rPr>
                <w:b/>
                <w:bCs/>
                <w:sz w:val="22"/>
                <w:szCs w:val="22"/>
              </w:rPr>
              <w:t>150,000 hours</w:t>
            </w:r>
          </w:p>
        </w:tc>
      </w:tr>
      <w:tr w:rsidRPr="006D6945" w:rsidR="006D6945" w:rsidTr="00907A4E" w14:paraId="2159B4EB" w14:textId="77777777">
        <w:trPr>
          <w:jc w:val="center"/>
        </w:trPr>
        <w:tc>
          <w:tcPr>
            <w:tcW w:w="805" w:type="dxa"/>
            <w:vAlign w:val="center"/>
          </w:tcPr>
          <w:p w:rsidRPr="00907A4E" w:rsidR="006D6945" w:rsidP="00907A4E" w:rsidRDefault="006D6945" w14:paraId="722FB9A3" w14:textId="77777777">
            <w:pPr>
              <w:widowControl/>
              <w:autoSpaceDE/>
              <w:autoSpaceDN/>
              <w:adjustRightInd/>
              <w:jc w:val="center"/>
              <w:rPr>
                <w:sz w:val="22"/>
                <w:szCs w:val="22"/>
              </w:rPr>
            </w:pPr>
            <w:r w:rsidRPr="00907A4E">
              <w:rPr>
                <w:sz w:val="22"/>
                <w:szCs w:val="22"/>
              </w:rPr>
              <w:t>2</w:t>
            </w:r>
          </w:p>
        </w:tc>
        <w:tc>
          <w:tcPr>
            <w:tcW w:w="2430" w:type="dxa"/>
            <w:vAlign w:val="center"/>
          </w:tcPr>
          <w:p w:rsidRPr="00907A4E" w:rsidR="006D6945" w:rsidP="00907A4E" w:rsidRDefault="006D6945" w14:paraId="2BF1A0EC" w14:textId="6BC95E0F">
            <w:pPr>
              <w:widowControl/>
              <w:autoSpaceDE/>
              <w:autoSpaceDN/>
              <w:adjustRightInd/>
              <w:jc w:val="center"/>
              <w:rPr>
                <w:sz w:val="22"/>
                <w:szCs w:val="22"/>
              </w:rPr>
            </w:pPr>
            <w:r w:rsidRPr="00907A4E">
              <w:rPr>
                <w:sz w:val="22"/>
                <w:szCs w:val="22"/>
              </w:rPr>
              <w:t>541: Reporting of Target Areas to NHTSA</w:t>
            </w:r>
          </w:p>
        </w:tc>
        <w:tc>
          <w:tcPr>
            <w:tcW w:w="1260" w:type="dxa"/>
            <w:vAlign w:val="center"/>
          </w:tcPr>
          <w:p w:rsidRPr="00907A4E" w:rsidR="006D6945" w:rsidP="00907A4E" w:rsidRDefault="006D6945" w14:paraId="6FB73734" w14:textId="77777777">
            <w:pPr>
              <w:widowControl/>
              <w:autoSpaceDE/>
              <w:autoSpaceDN/>
              <w:adjustRightInd/>
              <w:jc w:val="center"/>
              <w:rPr>
                <w:sz w:val="22"/>
                <w:szCs w:val="22"/>
              </w:rPr>
            </w:pPr>
            <w:r w:rsidRPr="00907A4E">
              <w:rPr>
                <w:sz w:val="22"/>
                <w:szCs w:val="22"/>
              </w:rPr>
              <w:t>Reporting</w:t>
            </w:r>
          </w:p>
        </w:tc>
        <w:tc>
          <w:tcPr>
            <w:tcW w:w="1350" w:type="dxa"/>
            <w:vAlign w:val="center"/>
          </w:tcPr>
          <w:p w:rsidRPr="00907A4E" w:rsidR="006D6945" w:rsidP="00907A4E" w:rsidRDefault="006D6945" w14:paraId="62CDABF1" w14:textId="77777777">
            <w:pPr>
              <w:widowControl/>
              <w:autoSpaceDE/>
              <w:autoSpaceDN/>
              <w:adjustRightInd/>
              <w:jc w:val="center"/>
              <w:rPr>
                <w:sz w:val="22"/>
                <w:szCs w:val="22"/>
              </w:rPr>
            </w:pPr>
            <w:r w:rsidRPr="00907A4E">
              <w:rPr>
                <w:sz w:val="22"/>
                <w:szCs w:val="22"/>
              </w:rPr>
              <w:t>21</w:t>
            </w:r>
          </w:p>
        </w:tc>
        <w:tc>
          <w:tcPr>
            <w:tcW w:w="1170" w:type="dxa"/>
            <w:vAlign w:val="center"/>
          </w:tcPr>
          <w:p w:rsidRPr="00907A4E" w:rsidR="006D6945" w:rsidP="00907A4E" w:rsidRDefault="006D6945" w14:paraId="074A25AE" w14:textId="77777777">
            <w:pPr>
              <w:widowControl/>
              <w:autoSpaceDE/>
              <w:autoSpaceDN/>
              <w:adjustRightInd/>
              <w:jc w:val="center"/>
              <w:rPr>
                <w:sz w:val="22"/>
                <w:szCs w:val="22"/>
              </w:rPr>
            </w:pPr>
            <w:r w:rsidRPr="00907A4E">
              <w:rPr>
                <w:sz w:val="22"/>
                <w:szCs w:val="22"/>
              </w:rPr>
              <w:t>23</w:t>
            </w:r>
          </w:p>
        </w:tc>
        <w:tc>
          <w:tcPr>
            <w:tcW w:w="1308" w:type="dxa"/>
            <w:vAlign w:val="center"/>
          </w:tcPr>
          <w:p w:rsidRPr="00907A4E" w:rsidR="006D6945" w:rsidP="00907A4E" w:rsidRDefault="006D6945" w14:paraId="4294319E" w14:textId="77777777">
            <w:pPr>
              <w:widowControl/>
              <w:autoSpaceDE/>
              <w:autoSpaceDN/>
              <w:adjustRightInd/>
              <w:jc w:val="center"/>
              <w:rPr>
                <w:sz w:val="22"/>
                <w:szCs w:val="22"/>
              </w:rPr>
            </w:pPr>
            <w:r w:rsidRPr="00907A4E">
              <w:rPr>
                <w:sz w:val="22"/>
                <w:szCs w:val="22"/>
              </w:rPr>
              <w:t>20 hours</w:t>
            </w:r>
          </w:p>
        </w:tc>
        <w:tc>
          <w:tcPr>
            <w:tcW w:w="1253" w:type="dxa"/>
            <w:vAlign w:val="center"/>
          </w:tcPr>
          <w:p w:rsidRPr="00907A4E" w:rsidR="006D6945" w:rsidP="00907A4E" w:rsidRDefault="006D6945" w14:paraId="4A405716" w14:textId="77777777">
            <w:pPr>
              <w:widowControl/>
              <w:autoSpaceDE/>
              <w:autoSpaceDN/>
              <w:adjustRightInd/>
              <w:jc w:val="center"/>
              <w:rPr>
                <w:b/>
                <w:bCs/>
                <w:sz w:val="22"/>
                <w:szCs w:val="22"/>
              </w:rPr>
            </w:pPr>
            <w:r w:rsidRPr="00907A4E">
              <w:rPr>
                <w:b/>
                <w:bCs/>
                <w:sz w:val="22"/>
                <w:szCs w:val="22"/>
              </w:rPr>
              <w:t>460 hours</w:t>
            </w:r>
          </w:p>
        </w:tc>
      </w:tr>
      <w:tr w:rsidRPr="006D6945" w:rsidR="00175680" w:rsidTr="00907A4E" w14:paraId="11C805F3" w14:textId="77777777">
        <w:trPr>
          <w:jc w:val="center"/>
        </w:trPr>
        <w:tc>
          <w:tcPr>
            <w:tcW w:w="805" w:type="dxa"/>
            <w:vAlign w:val="center"/>
          </w:tcPr>
          <w:p w:rsidRPr="00907A4E" w:rsidR="00175680" w:rsidP="00907A4E" w:rsidRDefault="00175680" w14:paraId="4379047D" w14:textId="4198FB57">
            <w:pPr>
              <w:widowControl/>
              <w:autoSpaceDE/>
              <w:autoSpaceDN/>
              <w:adjustRightInd/>
              <w:jc w:val="center"/>
              <w:rPr>
                <w:sz w:val="22"/>
                <w:szCs w:val="22"/>
              </w:rPr>
            </w:pPr>
            <w:r>
              <w:rPr>
                <w:sz w:val="22"/>
                <w:szCs w:val="22"/>
              </w:rPr>
              <w:t>3</w:t>
            </w:r>
          </w:p>
        </w:tc>
        <w:tc>
          <w:tcPr>
            <w:tcW w:w="2430" w:type="dxa"/>
            <w:vAlign w:val="center"/>
          </w:tcPr>
          <w:p w:rsidRPr="00907A4E" w:rsidR="00175680" w:rsidP="00907A4E" w:rsidRDefault="000226B2" w14:paraId="14ADF519" w14:textId="3376C78D">
            <w:pPr>
              <w:widowControl/>
              <w:autoSpaceDE/>
              <w:autoSpaceDN/>
              <w:adjustRightInd/>
              <w:jc w:val="center"/>
              <w:rPr>
                <w:sz w:val="22"/>
                <w:szCs w:val="22"/>
              </w:rPr>
            </w:pPr>
            <w:r>
              <w:rPr>
                <w:sz w:val="22"/>
                <w:szCs w:val="22"/>
              </w:rPr>
              <w:t xml:space="preserve">Maintaining </w:t>
            </w:r>
            <w:r w:rsidR="00175680">
              <w:rPr>
                <w:sz w:val="22"/>
                <w:szCs w:val="22"/>
              </w:rPr>
              <w:t>a Record of the Target Areas</w:t>
            </w:r>
          </w:p>
        </w:tc>
        <w:tc>
          <w:tcPr>
            <w:tcW w:w="1260" w:type="dxa"/>
            <w:vAlign w:val="center"/>
          </w:tcPr>
          <w:p w:rsidRPr="00907A4E" w:rsidR="00175680" w:rsidP="00907A4E" w:rsidRDefault="00175680" w14:paraId="70A070B5" w14:textId="703E380A">
            <w:pPr>
              <w:widowControl/>
              <w:autoSpaceDE/>
              <w:autoSpaceDN/>
              <w:adjustRightInd/>
              <w:jc w:val="center"/>
              <w:rPr>
                <w:sz w:val="22"/>
                <w:szCs w:val="22"/>
              </w:rPr>
            </w:pPr>
            <w:r>
              <w:rPr>
                <w:sz w:val="22"/>
                <w:szCs w:val="22"/>
              </w:rPr>
              <w:t>Recordkeeping</w:t>
            </w:r>
          </w:p>
        </w:tc>
        <w:tc>
          <w:tcPr>
            <w:tcW w:w="1350" w:type="dxa"/>
            <w:vAlign w:val="center"/>
          </w:tcPr>
          <w:p w:rsidRPr="00907A4E" w:rsidR="00175680" w:rsidP="00907A4E" w:rsidRDefault="00175680" w14:paraId="5610CB89" w14:textId="6C3578AA">
            <w:pPr>
              <w:widowControl/>
              <w:autoSpaceDE/>
              <w:autoSpaceDN/>
              <w:adjustRightInd/>
              <w:jc w:val="center"/>
              <w:rPr>
                <w:sz w:val="22"/>
                <w:szCs w:val="22"/>
              </w:rPr>
            </w:pPr>
            <w:r>
              <w:rPr>
                <w:sz w:val="22"/>
                <w:szCs w:val="22"/>
              </w:rPr>
              <w:t>21</w:t>
            </w:r>
          </w:p>
        </w:tc>
        <w:tc>
          <w:tcPr>
            <w:tcW w:w="1170" w:type="dxa"/>
            <w:vAlign w:val="center"/>
          </w:tcPr>
          <w:p w:rsidRPr="00907A4E" w:rsidR="00175680" w:rsidP="00907A4E" w:rsidRDefault="00175680" w14:paraId="5D5D234E" w14:textId="248709C5">
            <w:pPr>
              <w:widowControl/>
              <w:autoSpaceDE/>
              <w:autoSpaceDN/>
              <w:adjustRightInd/>
              <w:jc w:val="center"/>
              <w:rPr>
                <w:sz w:val="22"/>
                <w:szCs w:val="22"/>
              </w:rPr>
            </w:pPr>
            <w:r>
              <w:rPr>
                <w:sz w:val="22"/>
                <w:szCs w:val="22"/>
              </w:rPr>
              <w:t>21</w:t>
            </w:r>
          </w:p>
        </w:tc>
        <w:tc>
          <w:tcPr>
            <w:tcW w:w="1308" w:type="dxa"/>
            <w:vAlign w:val="center"/>
          </w:tcPr>
          <w:p w:rsidRPr="00907A4E" w:rsidR="00175680" w:rsidP="00907A4E" w:rsidRDefault="00175680" w14:paraId="59204DB0" w14:textId="04AC9095">
            <w:pPr>
              <w:widowControl/>
              <w:autoSpaceDE/>
              <w:autoSpaceDN/>
              <w:adjustRightInd/>
              <w:jc w:val="center"/>
              <w:rPr>
                <w:sz w:val="22"/>
                <w:szCs w:val="22"/>
              </w:rPr>
            </w:pPr>
            <w:r>
              <w:rPr>
                <w:sz w:val="22"/>
                <w:szCs w:val="22"/>
              </w:rPr>
              <w:t>0 hours</w:t>
            </w:r>
          </w:p>
        </w:tc>
        <w:tc>
          <w:tcPr>
            <w:tcW w:w="1253" w:type="dxa"/>
            <w:vAlign w:val="center"/>
          </w:tcPr>
          <w:p w:rsidRPr="00907A4E" w:rsidR="00175680" w:rsidP="00907A4E" w:rsidRDefault="00175680" w14:paraId="4751376C" w14:textId="332F036A">
            <w:pPr>
              <w:widowControl/>
              <w:autoSpaceDE/>
              <w:autoSpaceDN/>
              <w:adjustRightInd/>
              <w:jc w:val="center"/>
              <w:rPr>
                <w:b/>
                <w:bCs/>
                <w:sz w:val="22"/>
                <w:szCs w:val="22"/>
              </w:rPr>
            </w:pPr>
            <w:r>
              <w:rPr>
                <w:b/>
                <w:bCs/>
                <w:sz w:val="22"/>
                <w:szCs w:val="22"/>
              </w:rPr>
              <w:t>0 hours</w:t>
            </w:r>
          </w:p>
        </w:tc>
      </w:tr>
      <w:tr w:rsidRPr="006D6945" w:rsidR="006D6945" w:rsidTr="00907A4E" w14:paraId="558B0887" w14:textId="77777777">
        <w:trPr>
          <w:jc w:val="center"/>
        </w:trPr>
        <w:tc>
          <w:tcPr>
            <w:tcW w:w="805" w:type="dxa"/>
            <w:vAlign w:val="center"/>
          </w:tcPr>
          <w:p w:rsidRPr="00907A4E" w:rsidR="006D6945" w:rsidP="00907A4E" w:rsidRDefault="00175680" w14:paraId="097E719E" w14:textId="4DC4B679">
            <w:pPr>
              <w:widowControl/>
              <w:autoSpaceDE/>
              <w:autoSpaceDN/>
              <w:adjustRightInd/>
              <w:jc w:val="center"/>
              <w:rPr>
                <w:sz w:val="22"/>
                <w:szCs w:val="22"/>
              </w:rPr>
            </w:pPr>
            <w:r>
              <w:rPr>
                <w:sz w:val="22"/>
                <w:szCs w:val="22"/>
              </w:rPr>
              <w:t>4</w:t>
            </w:r>
          </w:p>
        </w:tc>
        <w:tc>
          <w:tcPr>
            <w:tcW w:w="2430" w:type="dxa"/>
            <w:vAlign w:val="center"/>
          </w:tcPr>
          <w:p w:rsidRPr="00907A4E" w:rsidR="006D6945" w:rsidP="00907A4E" w:rsidRDefault="006D6945" w14:paraId="52D9707F" w14:textId="77777777">
            <w:pPr>
              <w:widowControl/>
              <w:autoSpaceDE/>
              <w:autoSpaceDN/>
              <w:adjustRightInd/>
              <w:jc w:val="center"/>
              <w:rPr>
                <w:sz w:val="22"/>
                <w:szCs w:val="22"/>
              </w:rPr>
            </w:pPr>
            <w:r w:rsidRPr="00907A4E">
              <w:rPr>
                <w:sz w:val="22"/>
                <w:szCs w:val="22"/>
              </w:rPr>
              <w:t>542: Submissions for Determination of whether LDT Line is High Theft</w:t>
            </w:r>
          </w:p>
        </w:tc>
        <w:tc>
          <w:tcPr>
            <w:tcW w:w="1260" w:type="dxa"/>
            <w:vAlign w:val="center"/>
          </w:tcPr>
          <w:p w:rsidRPr="00907A4E" w:rsidR="006D6945" w:rsidP="00907A4E" w:rsidRDefault="006D6945" w14:paraId="7ABD9784" w14:textId="77777777">
            <w:pPr>
              <w:widowControl/>
              <w:autoSpaceDE/>
              <w:autoSpaceDN/>
              <w:adjustRightInd/>
              <w:jc w:val="center"/>
              <w:rPr>
                <w:sz w:val="22"/>
                <w:szCs w:val="22"/>
              </w:rPr>
            </w:pPr>
            <w:r w:rsidRPr="00907A4E">
              <w:rPr>
                <w:sz w:val="22"/>
                <w:szCs w:val="22"/>
              </w:rPr>
              <w:t>Reporting</w:t>
            </w:r>
          </w:p>
        </w:tc>
        <w:tc>
          <w:tcPr>
            <w:tcW w:w="1350" w:type="dxa"/>
            <w:vAlign w:val="center"/>
          </w:tcPr>
          <w:p w:rsidRPr="00907A4E" w:rsidR="006D6945" w:rsidP="00907A4E" w:rsidRDefault="006D6945" w14:paraId="566AABEC" w14:textId="77777777">
            <w:pPr>
              <w:widowControl/>
              <w:autoSpaceDE/>
              <w:autoSpaceDN/>
              <w:adjustRightInd/>
              <w:jc w:val="center"/>
              <w:rPr>
                <w:sz w:val="22"/>
                <w:szCs w:val="22"/>
              </w:rPr>
            </w:pPr>
            <w:r w:rsidRPr="00907A4E">
              <w:rPr>
                <w:sz w:val="22"/>
                <w:szCs w:val="22"/>
              </w:rPr>
              <w:t>1</w:t>
            </w:r>
          </w:p>
        </w:tc>
        <w:tc>
          <w:tcPr>
            <w:tcW w:w="1170" w:type="dxa"/>
            <w:vAlign w:val="center"/>
          </w:tcPr>
          <w:p w:rsidRPr="00907A4E" w:rsidR="006D6945" w:rsidP="00907A4E" w:rsidRDefault="006D6945" w14:paraId="55525812" w14:textId="77777777">
            <w:pPr>
              <w:widowControl/>
              <w:autoSpaceDE/>
              <w:autoSpaceDN/>
              <w:adjustRightInd/>
              <w:jc w:val="center"/>
              <w:rPr>
                <w:sz w:val="22"/>
                <w:szCs w:val="22"/>
              </w:rPr>
            </w:pPr>
            <w:r w:rsidRPr="00907A4E">
              <w:rPr>
                <w:sz w:val="22"/>
                <w:szCs w:val="22"/>
              </w:rPr>
              <w:t>1</w:t>
            </w:r>
          </w:p>
        </w:tc>
        <w:tc>
          <w:tcPr>
            <w:tcW w:w="1308" w:type="dxa"/>
            <w:vAlign w:val="center"/>
          </w:tcPr>
          <w:p w:rsidRPr="00907A4E" w:rsidR="006D6945" w:rsidP="00907A4E" w:rsidRDefault="006D6945" w14:paraId="5309947D" w14:textId="77777777">
            <w:pPr>
              <w:widowControl/>
              <w:autoSpaceDE/>
              <w:autoSpaceDN/>
              <w:adjustRightInd/>
              <w:jc w:val="center"/>
              <w:rPr>
                <w:sz w:val="22"/>
                <w:szCs w:val="22"/>
              </w:rPr>
            </w:pPr>
            <w:r w:rsidRPr="00907A4E">
              <w:rPr>
                <w:sz w:val="22"/>
                <w:szCs w:val="22"/>
              </w:rPr>
              <w:t>45 hours</w:t>
            </w:r>
          </w:p>
        </w:tc>
        <w:tc>
          <w:tcPr>
            <w:tcW w:w="1253" w:type="dxa"/>
            <w:vAlign w:val="center"/>
          </w:tcPr>
          <w:p w:rsidRPr="00907A4E" w:rsidR="006D6945" w:rsidP="00907A4E" w:rsidRDefault="006D6945" w14:paraId="3192531B" w14:textId="77777777">
            <w:pPr>
              <w:widowControl/>
              <w:autoSpaceDE/>
              <w:autoSpaceDN/>
              <w:adjustRightInd/>
              <w:jc w:val="center"/>
              <w:rPr>
                <w:b/>
                <w:bCs/>
                <w:sz w:val="22"/>
                <w:szCs w:val="22"/>
              </w:rPr>
            </w:pPr>
            <w:r w:rsidRPr="00907A4E">
              <w:rPr>
                <w:b/>
                <w:bCs/>
                <w:sz w:val="22"/>
                <w:szCs w:val="22"/>
              </w:rPr>
              <w:t>45 hours</w:t>
            </w:r>
          </w:p>
        </w:tc>
      </w:tr>
      <w:tr w:rsidRPr="006D6945" w:rsidR="006D6945" w:rsidTr="00907A4E" w14:paraId="3F30D3D5" w14:textId="77777777">
        <w:trPr>
          <w:trHeight w:val="43"/>
          <w:jc w:val="center"/>
        </w:trPr>
        <w:tc>
          <w:tcPr>
            <w:tcW w:w="805" w:type="dxa"/>
            <w:vAlign w:val="center"/>
          </w:tcPr>
          <w:p w:rsidRPr="00907A4E" w:rsidR="006D6945" w:rsidP="00907A4E" w:rsidRDefault="00175680" w14:paraId="51D2F517" w14:textId="0E9914EE">
            <w:pPr>
              <w:widowControl/>
              <w:autoSpaceDE/>
              <w:autoSpaceDN/>
              <w:adjustRightInd/>
              <w:jc w:val="center"/>
              <w:rPr>
                <w:sz w:val="22"/>
                <w:szCs w:val="22"/>
              </w:rPr>
            </w:pPr>
            <w:r>
              <w:rPr>
                <w:sz w:val="22"/>
                <w:szCs w:val="22"/>
              </w:rPr>
              <w:t>5</w:t>
            </w:r>
          </w:p>
        </w:tc>
        <w:tc>
          <w:tcPr>
            <w:tcW w:w="2430" w:type="dxa"/>
            <w:vAlign w:val="center"/>
          </w:tcPr>
          <w:p w:rsidRPr="00907A4E" w:rsidR="006D6945" w:rsidP="00907A4E" w:rsidRDefault="006D6945" w14:paraId="2511493A" w14:textId="77777777">
            <w:pPr>
              <w:widowControl/>
              <w:autoSpaceDE/>
              <w:autoSpaceDN/>
              <w:adjustRightInd/>
              <w:jc w:val="center"/>
              <w:rPr>
                <w:sz w:val="22"/>
                <w:szCs w:val="22"/>
              </w:rPr>
            </w:pPr>
            <w:r w:rsidRPr="00907A4E">
              <w:rPr>
                <w:sz w:val="22"/>
                <w:szCs w:val="22"/>
              </w:rPr>
              <w:t>542: Submission for Determination of whether LDT line Shares Interchangeable Parts with High Theft Line</w:t>
            </w:r>
          </w:p>
        </w:tc>
        <w:tc>
          <w:tcPr>
            <w:tcW w:w="1260" w:type="dxa"/>
            <w:vAlign w:val="center"/>
          </w:tcPr>
          <w:p w:rsidRPr="00907A4E" w:rsidR="006D6945" w:rsidP="00907A4E" w:rsidRDefault="006D6945" w14:paraId="2332EFB1" w14:textId="77777777">
            <w:pPr>
              <w:widowControl/>
              <w:autoSpaceDE/>
              <w:autoSpaceDN/>
              <w:adjustRightInd/>
              <w:jc w:val="center"/>
              <w:rPr>
                <w:sz w:val="22"/>
                <w:szCs w:val="22"/>
              </w:rPr>
            </w:pPr>
            <w:r w:rsidRPr="00907A4E">
              <w:rPr>
                <w:sz w:val="22"/>
                <w:szCs w:val="22"/>
              </w:rPr>
              <w:t>Reporting</w:t>
            </w:r>
          </w:p>
        </w:tc>
        <w:tc>
          <w:tcPr>
            <w:tcW w:w="1350" w:type="dxa"/>
            <w:vAlign w:val="center"/>
          </w:tcPr>
          <w:p w:rsidRPr="00907A4E" w:rsidR="006D6945" w:rsidP="00907A4E" w:rsidRDefault="006D6945" w14:paraId="742226EC" w14:textId="77777777">
            <w:pPr>
              <w:widowControl/>
              <w:autoSpaceDE/>
              <w:autoSpaceDN/>
              <w:adjustRightInd/>
              <w:jc w:val="center"/>
              <w:rPr>
                <w:sz w:val="22"/>
                <w:szCs w:val="22"/>
              </w:rPr>
            </w:pPr>
            <w:r w:rsidRPr="00907A4E">
              <w:rPr>
                <w:sz w:val="22"/>
                <w:szCs w:val="22"/>
              </w:rPr>
              <w:t>1</w:t>
            </w:r>
          </w:p>
        </w:tc>
        <w:tc>
          <w:tcPr>
            <w:tcW w:w="1170" w:type="dxa"/>
            <w:vAlign w:val="center"/>
          </w:tcPr>
          <w:p w:rsidRPr="00907A4E" w:rsidR="006D6945" w:rsidP="00907A4E" w:rsidRDefault="006D6945" w14:paraId="5D3C32D4" w14:textId="77777777">
            <w:pPr>
              <w:widowControl/>
              <w:autoSpaceDE/>
              <w:autoSpaceDN/>
              <w:adjustRightInd/>
              <w:jc w:val="center"/>
              <w:rPr>
                <w:sz w:val="22"/>
                <w:szCs w:val="22"/>
              </w:rPr>
            </w:pPr>
            <w:r w:rsidRPr="00907A4E">
              <w:rPr>
                <w:sz w:val="22"/>
                <w:szCs w:val="22"/>
              </w:rPr>
              <w:t>1</w:t>
            </w:r>
          </w:p>
        </w:tc>
        <w:tc>
          <w:tcPr>
            <w:tcW w:w="1308" w:type="dxa"/>
            <w:vAlign w:val="center"/>
          </w:tcPr>
          <w:p w:rsidRPr="00907A4E" w:rsidR="006D6945" w:rsidP="00907A4E" w:rsidRDefault="006D6945" w14:paraId="6976DC09" w14:textId="77777777">
            <w:pPr>
              <w:widowControl/>
              <w:autoSpaceDE/>
              <w:autoSpaceDN/>
              <w:adjustRightInd/>
              <w:jc w:val="center"/>
              <w:rPr>
                <w:sz w:val="22"/>
                <w:szCs w:val="22"/>
              </w:rPr>
            </w:pPr>
            <w:r w:rsidRPr="00907A4E">
              <w:rPr>
                <w:sz w:val="22"/>
                <w:szCs w:val="22"/>
              </w:rPr>
              <w:t>45 hours</w:t>
            </w:r>
          </w:p>
        </w:tc>
        <w:tc>
          <w:tcPr>
            <w:tcW w:w="1253" w:type="dxa"/>
            <w:vAlign w:val="center"/>
          </w:tcPr>
          <w:p w:rsidRPr="00907A4E" w:rsidR="006D6945" w:rsidP="00907A4E" w:rsidRDefault="006D6945" w14:paraId="0FE42A20" w14:textId="77777777">
            <w:pPr>
              <w:widowControl/>
              <w:autoSpaceDE/>
              <w:autoSpaceDN/>
              <w:adjustRightInd/>
              <w:jc w:val="center"/>
              <w:rPr>
                <w:b/>
                <w:bCs/>
                <w:sz w:val="22"/>
                <w:szCs w:val="22"/>
              </w:rPr>
            </w:pPr>
            <w:r w:rsidRPr="00907A4E">
              <w:rPr>
                <w:b/>
                <w:bCs/>
                <w:sz w:val="22"/>
                <w:szCs w:val="22"/>
              </w:rPr>
              <w:t>45 hours</w:t>
            </w:r>
          </w:p>
        </w:tc>
      </w:tr>
      <w:tr w:rsidRPr="006D6945" w:rsidR="006D6945" w:rsidTr="00907A4E" w14:paraId="61648F3B" w14:textId="77777777">
        <w:trPr>
          <w:jc w:val="center"/>
        </w:trPr>
        <w:tc>
          <w:tcPr>
            <w:tcW w:w="805" w:type="dxa"/>
            <w:vAlign w:val="center"/>
          </w:tcPr>
          <w:p w:rsidRPr="00907A4E" w:rsidR="006D6945" w:rsidP="00907A4E" w:rsidRDefault="006D6945" w14:paraId="4F3B73C9" w14:textId="7F12358E">
            <w:pPr>
              <w:widowControl/>
              <w:autoSpaceDE/>
              <w:autoSpaceDN/>
              <w:adjustRightInd/>
              <w:jc w:val="center"/>
              <w:rPr>
                <w:sz w:val="22"/>
                <w:szCs w:val="22"/>
              </w:rPr>
            </w:pPr>
            <w:r w:rsidRPr="00907A4E">
              <w:rPr>
                <w:sz w:val="22"/>
                <w:szCs w:val="22"/>
              </w:rPr>
              <w:t>Total</w:t>
            </w:r>
          </w:p>
        </w:tc>
        <w:tc>
          <w:tcPr>
            <w:tcW w:w="2430" w:type="dxa"/>
            <w:vAlign w:val="center"/>
          </w:tcPr>
          <w:p w:rsidRPr="00907A4E" w:rsidR="006D6945" w:rsidP="006D6945" w:rsidRDefault="006D6945" w14:paraId="36D5C4F4" w14:textId="77777777">
            <w:pPr>
              <w:widowControl/>
              <w:autoSpaceDE/>
              <w:autoSpaceDN/>
              <w:adjustRightInd/>
              <w:rPr>
                <w:sz w:val="22"/>
                <w:szCs w:val="22"/>
              </w:rPr>
            </w:pPr>
          </w:p>
        </w:tc>
        <w:tc>
          <w:tcPr>
            <w:tcW w:w="1260" w:type="dxa"/>
            <w:vAlign w:val="center"/>
          </w:tcPr>
          <w:p w:rsidRPr="00907A4E" w:rsidR="006D6945" w:rsidP="006D6945" w:rsidRDefault="006D6945" w14:paraId="41F1A3CD" w14:textId="77777777">
            <w:pPr>
              <w:widowControl/>
              <w:autoSpaceDE/>
              <w:autoSpaceDN/>
              <w:adjustRightInd/>
              <w:rPr>
                <w:sz w:val="22"/>
                <w:szCs w:val="22"/>
              </w:rPr>
            </w:pPr>
          </w:p>
        </w:tc>
        <w:tc>
          <w:tcPr>
            <w:tcW w:w="1350" w:type="dxa"/>
            <w:vAlign w:val="center"/>
          </w:tcPr>
          <w:p w:rsidRPr="00907A4E" w:rsidR="006D6945" w:rsidP="006D6945" w:rsidRDefault="006D6945" w14:paraId="6E25BD2C" w14:textId="77777777">
            <w:pPr>
              <w:widowControl/>
              <w:autoSpaceDE/>
              <w:autoSpaceDN/>
              <w:adjustRightInd/>
              <w:rPr>
                <w:sz w:val="22"/>
                <w:szCs w:val="22"/>
              </w:rPr>
            </w:pPr>
          </w:p>
        </w:tc>
        <w:tc>
          <w:tcPr>
            <w:tcW w:w="1170" w:type="dxa"/>
            <w:vAlign w:val="center"/>
          </w:tcPr>
          <w:p w:rsidRPr="00907A4E" w:rsidR="006D6945" w:rsidP="006D6945" w:rsidRDefault="006D6945" w14:paraId="38D728B0" w14:textId="77777777">
            <w:pPr>
              <w:widowControl/>
              <w:autoSpaceDE/>
              <w:autoSpaceDN/>
              <w:adjustRightInd/>
              <w:rPr>
                <w:sz w:val="22"/>
                <w:szCs w:val="22"/>
              </w:rPr>
            </w:pPr>
          </w:p>
        </w:tc>
        <w:tc>
          <w:tcPr>
            <w:tcW w:w="1308" w:type="dxa"/>
            <w:vAlign w:val="center"/>
          </w:tcPr>
          <w:p w:rsidRPr="00907A4E" w:rsidR="006D6945" w:rsidP="006D6945" w:rsidRDefault="006D6945" w14:paraId="3140AA66" w14:textId="77777777">
            <w:pPr>
              <w:widowControl/>
              <w:autoSpaceDE/>
              <w:autoSpaceDN/>
              <w:adjustRightInd/>
              <w:rPr>
                <w:sz w:val="22"/>
                <w:szCs w:val="22"/>
              </w:rPr>
            </w:pPr>
          </w:p>
        </w:tc>
        <w:tc>
          <w:tcPr>
            <w:tcW w:w="1253" w:type="dxa"/>
            <w:vAlign w:val="center"/>
          </w:tcPr>
          <w:p w:rsidRPr="00907A4E" w:rsidR="006D6945" w:rsidP="00907A4E" w:rsidRDefault="006D6945" w14:paraId="18D5E951" w14:textId="77777777">
            <w:pPr>
              <w:widowControl/>
              <w:autoSpaceDE/>
              <w:autoSpaceDN/>
              <w:adjustRightInd/>
              <w:jc w:val="center"/>
              <w:rPr>
                <w:b/>
                <w:bCs/>
                <w:sz w:val="22"/>
                <w:szCs w:val="22"/>
              </w:rPr>
            </w:pPr>
            <w:r w:rsidRPr="00907A4E">
              <w:rPr>
                <w:b/>
                <w:bCs/>
                <w:sz w:val="22"/>
                <w:szCs w:val="22"/>
              </w:rPr>
              <w:t>150,550</w:t>
            </w:r>
          </w:p>
        </w:tc>
      </w:tr>
    </w:tbl>
    <w:p w:rsidR="006D6945" w:rsidP="00072B33" w:rsidRDefault="006D6945" w14:paraId="56096167" w14:textId="5AA9FED1">
      <w:pPr>
        <w:tabs>
          <w:tab w:val="left" w:pos="-1440"/>
        </w:tabs>
        <w:ind w:left="720"/>
        <w:jc w:val="center"/>
        <w:rPr>
          <w:b/>
          <w:sz w:val="24"/>
        </w:rPr>
      </w:pPr>
    </w:p>
    <w:p w:rsidR="00D2073C" w:rsidP="00072B33" w:rsidRDefault="00D2073C" w14:paraId="46A1736A" w14:textId="4397FBFF">
      <w:pPr>
        <w:tabs>
          <w:tab w:val="left" w:pos="-1440"/>
        </w:tabs>
        <w:ind w:left="720"/>
        <w:jc w:val="center"/>
        <w:rPr>
          <w:b/>
          <w:sz w:val="24"/>
        </w:rPr>
      </w:pPr>
      <w:r>
        <w:rPr>
          <w:b/>
          <w:sz w:val="24"/>
        </w:rPr>
        <w:t>Table 2: Estimated Labor Costs for Burden Hours</w:t>
      </w:r>
    </w:p>
    <w:p w:rsidR="00FE7791" w:rsidP="00072B33" w:rsidRDefault="00FE7791" w14:paraId="38AB47A5" w14:textId="1DE84EE6">
      <w:pPr>
        <w:tabs>
          <w:tab w:val="left" w:pos="-1440"/>
        </w:tabs>
        <w:ind w:left="720"/>
        <w:jc w:val="center"/>
        <w:rPr>
          <w:b/>
          <w:sz w:val="24"/>
        </w:rPr>
      </w:pPr>
    </w:p>
    <w:tbl>
      <w:tblPr>
        <w:tblStyle w:val="TableGrid"/>
        <w:tblW w:w="9558" w:type="dxa"/>
        <w:jc w:val="center"/>
        <w:tblLayout w:type="fixed"/>
        <w:tblLook w:val="04A0" w:firstRow="1" w:lastRow="0" w:firstColumn="1" w:lastColumn="0" w:noHBand="0" w:noVBand="1"/>
      </w:tblPr>
      <w:tblGrid>
        <w:gridCol w:w="883"/>
        <w:gridCol w:w="2465"/>
        <w:gridCol w:w="1161"/>
        <w:gridCol w:w="1179"/>
        <w:gridCol w:w="1260"/>
        <w:gridCol w:w="1170"/>
        <w:gridCol w:w="1440"/>
      </w:tblGrid>
      <w:tr w:rsidRPr="00FE7791" w:rsidR="00FE7791" w:rsidTr="00040A0D" w14:paraId="763F7A08" w14:textId="77777777">
        <w:trPr>
          <w:jc w:val="center"/>
        </w:trPr>
        <w:tc>
          <w:tcPr>
            <w:tcW w:w="883" w:type="dxa"/>
            <w:vAlign w:val="center"/>
          </w:tcPr>
          <w:p w:rsidRPr="00FE7791" w:rsidR="00FE7791" w:rsidP="00FE7791" w:rsidRDefault="00FE7791" w14:paraId="188BF93D" w14:textId="77777777">
            <w:pPr>
              <w:widowControl/>
              <w:autoSpaceDE/>
              <w:autoSpaceDN/>
              <w:adjustRightInd/>
            </w:pPr>
            <w:r w:rsidRPr="00FE7791">
              <w:t>ICR No.</w:t>
            </w:r>
          </w:p>
        </w:tc>
        <w:tc>
          <w:tcPr>
            <w:tcW w:w="2465" w:type="dxa"/>
            <w:vAlign w:val="center"/>
          </w:tcPr>
          <w:p w:rsidRPr="00FE7791" w:rsidR="00FE7791" w:rsidP="00FE7791" w:rsidRDefault="00FE7791" w14:paraId="4CE54F7C" w14:textId="77777777">
            <w:pPr>
              <w:widowControl/>
              <w:autoSpaceDE/>
              <w:autoSpaceDN/>
              <w:adjustRightInd/>
              <w:jc w:val="center"/>
            </w:pPr>
            <w:r w:rsidRPr="00FE7791">
              <w:t>ICR Title</w:t>
            </w:r>
          </w:p>
        </w:tc>
        <w:tc>
          <w:tcPr>
            <w:tcW w:w="1161" w:type="dxa"/>
            <w:vAlign w:val="center"/>
          </w:tcPr>
          <w:p w:rsidRPr="00FE7791" w:rsidR="00FE7791" w:rsidP="00FE7791" w:rsidRDefault="00FE7791" w14:paraId="142715FA" w14:textId="77777777">
            <w:pPr>
              <w:widowControl/>
              <w:autoSpaceDE/>
              <w:autoSpaceDN/>
              <w:adjustRightInd/>
              <w:jc w:val="center"/>
            </w:pPr>
            <w:r w:rsidRPr="00FE7791">
              <w:t>Labor Cost per Hour</w:t>
            </w:r>
          </w:p>
        </w:tc>
        <w:tc>
          <w:tcPr>
            <w:tcW w:w="1179" w:type="dxa"/>
            <w:vAlign w:val="center"/>
          </w:tcPr>
          <w:p w:rsidRPr="00FE7791" w:rsidR="00FE7791" w:rsidP="00FE7791" w:rsidRDefault="00FE7791" w14:paraId="3A82C7B3" w14:textId="77777777">
            <w:pPr>
              <w:widowControl/>
              <w:autoSpaceDE/>
              <w:autoSpaceDN/>
              <w:adjustRightInd/>
              <w:jc w:val="center"/>
            </w:pPr>
            <w:r w:rsidRPr="00FE7791">
              <w:t>Time per Response</w:t>
            </w:r>
          </w:p>
        </w:tc>
        <w:tc>
          <w:tcPr>
            <w:tcW w:w="1260" w:type="dxa"/>
            <w:vAlign w:val="center"/>
          </w:tcPr>
          <w:p w:rsidRPr="00FE7791" w:rsidR="00FE7791" w:rsidP="00FE7791" w:rsidRDefault="00FE7791" w14:paraId="4633FA7D" w14:textId="77777777">
            <w:pPr>
              <w:widowControl/>
              <w:autoSpaceDE/>
              <w:autoSpaceDN/>
              <w:adjustRightInd/>
              <w:jc w:val="center"/>
            </w:pPr>
            <w:r w:rsidRPr="00FE7791">
              <w:t>Labor Cost per Response</w:t>
            </w:r>
          </w:p>
        </w:tc>
        <w:tc>
          <w:tcPr>
            <w:tcW w:w="1170" w:type="dxa"/>
            <w:vAlign w:val="center"/>
          </w:tcPr>
          <w:p w:rsidRPr="00FE7791" w:rsidR="00FE7791" w:rsidP="00FE7791" w:rsidRDefault="00FE7791" w14:paraId="531D6CCB" w14:textId="77777777">
            <w:pPr>
              <w:widowControl/>
              <w:autoSpaceDE/>
              <w:autoSpaceDN/>
              <w:adjustRightInd/>
              <w:jc w:val="center"/>
            </w:pPr>
            <w:r w:rsidRPr="00FE7791">
              <w:t>Total Burden Hours</w:t>
            </w:r>
          </w:p>
        </w:tc>
        <w:tc>
          <w:tcPr>
            <w:tcW w:w="1440" w:type="dxa"/>
            <w:vAlign w:val="center"/>
          </w:tcPr>
          <w:p w:rsidRPr="00FE7791" w:rsidR="00FE7791" w:rsidP="00FE7791" w:rsidRDefault="00FE7791" w14:paraId="2AE38A5A" w14:textId="77777777">
            <w:pPr>
              <w:widowControl/>
              <w:autoSpaceDE/>
              <w:autoSpaceDN/>
              <w:adjustRightInd/>
              <w:jc w:val="center"/>
            </w:pPr>
            <w:r w:rsidRPr="00FE7791">
              <w:t>Total Labor Cost</w:t>
            </w:r>
          </w:p>
        </w:tc>
      </w:tr>
      <w:tr w:rsidRPr="00FE7791" w:rsidR="00FE7791" w:rsidTr="00040A0D" w14:paraId="7E1BE1C1" w14:textId="77777777">
        <w:trPr>
          <w:jc w:val="center"/>
        </w:trPr>
        <w:tc>
          <w:tcPr>
            <w:tcW w:w="883" w:type="dxa"/>
            <w:vAlign w:val="center"/>
          </w:tcPr>
          <w:p w:rsidRPr="00FE7791" w:rsidR="00FE7791" w:rsidP="00FE7791" w:rsidRDefault="00FE7791" w14:paraId="7C396EDA" w14:textId="77777777">
            <w:pPr>
              <w:widowControl/>
              <w:autoSpaceDE/>
              <w:autoSpaceDN/>
              <w:adjustRightInd/>
            </w:pPr>
            <w:r w:rsidRPr="00FE7791">
              <w:t>1</w:t>
            </w:r>
          </w:p>
        </w:tc>
        <w:tc>
          <w:tcPr>
            <w:tcW w:w="2465" w:type="dxa"/>
            <w:vAlign w:val="center"/>
          </w:tcPr>
          <w:p w:rsidRPr="00FE7791" w:rsidR="00FE7791" w:rsidP="00FE7791" w:rsidRDefault="00FE7791" w14:paraId="425E9B67" w14:textId="77777777">
            <w:pPr>
              <w:widowControl/>
              <w:autoSpaceDE/>
              <w:autoSpaceDN/>
              <w:adjustRightInd/>
              <w:jc w:val="center"/>
            </w:pPr>
            <w:r w:rsidRPr="00FE7791">
              <w:t>541: Parts-Marking on 14 major parts (49 CFR 541.5(a)</w:t>
            </w:r>
          </w:p>
        </w:tc>
        <w:tc>
          <w:tcPr>
            <w:tcW w:w="1161" w:type="dxa"/>
            <w:vAlign w:val="center"/>
          </w:tcPr>
          <w:p w:rsidRPr="00FE7791" w:rsidR="00FE7791" w:rsidP="00FE7791" w:rsidRDefault="00FE7791" w14:paraId="427CA226" w14:textId="63464927">
            <w:pPr>
              <w:widowControl/>
              <w:autoSpaceDE/>
              <w:autoSpaceDN/>
              <w:adjustRightInd/>
              <w:jc w:val="center"/>
            </w:pPr>
            <w:r w:rsidRPr="00FE7791">
              <w:t>$3</w:t>
            </w:r>
            <w:r w:rsidR="00373262">
              <w:t>3.02</w:t>
            </w:r>
          </w:p>
        </w:tc>
        <w:tc>
          <w:tcPr>
            <w:tcW w:w="1179" w:type="dxa"/>
            <w:vAlign w:val="center"/>
          </w:tcPr>
          <w:p w:rsidRPr="00FE7791" w:rsidR="00FE7791" w:rsidP="00FE7791" w:rsidRDefault="00FE7791" w14:paraId="42655C94" w14:textId="77777777">
            <w:pPr>
              <w:widowControl/>
              <w:autoSpaceDE/>
              <w:autoSpaceDN/>
              <w:adjustRightInd/>
              <w:jc w:val="center"/>
            </w:pPr>
            <w:r w:rsidRPr="00FE7791">
              <w:t>2 minutes</w:t>
            </w:r>
          </w:p>
        </w:tc>
        <w:tc>
          <w:tcPr>
            <w:tcW w:w="1260" w:type="dxa"/>
            <w:vAlign w:val="center"/>
          </w:tcPr>
          <w:p w:rsidRPr="00FE7791" w:rsidR="00FE7791" w:rsidP="00FE7791" w:rsidRDefault="00FE7791" w14:paraId="459D6C43" w14:textId="77777777">
            <w:pPr>
              <w:widowControl/>
              <w:autoSpaceDE/>
              <w:autoSpaceDN/>
              <w:adjustRightInd/>
              <w:jc w:val="center"/>
            </w:pPr>
            <w:r w:rsidRPr="00FE7791">
              <w:t>$1.10</w:t>
            </w:r>
          </w:p>
        </w:tc>
        <w:tc>
          <w:tcPr>
            <w:tcW w:w="1170" w:type="dxa"/>
            <w:vAlign w:val="center"/>
          </w:tcPr>
          <w:p w:rsidRPr="00FE7791" w:rsidR="00FE7791" w:rsidP="00FE7791" w:rsidRDefault="00FE7791" w14:paraId="434F1FA8" w14:textId="77777777">
            <w:pPr>
              <w:widowControl/>
              <w:autoSpaceDE/>
              <w:autoSpaceDN/>
              <w:adjustRightInd/>
              <w:jc w:val="center"/>
            </w:pPr>
            <w:r w:rsidRPr="00FE7791">
              <w:t>150,000 hours</w:t>
            </w:r>
          </w:p>
        </w:tc>
        <w:tc>
          <w:tcPr>
            <w:tcW w:w="1440" w:type="dxa"/>
            <w:vAlign w:val="center"/>
          </w:tcPr>
          <w:p w:rsidRPr="00907A4E" w:rsidR="00FE7791" w:rsidP="00FE7791" w:rsidRDefault="00FE7791" w14:paraId="4D7E374A" w14:textId="1A714A91">
            <w:pPr>
              <w:widowControl/>
              <w:autoSpaceDE/>
              <w:autoSpaceDN/>
              <w:adjustRightInd/>
              <w:jc w:val="center"/>
              <w:rPr>
                <w:b/>
                <w:bCs/>
              </w:rPr>
            </w:pPr>
            <w:r w:rsidRPr="00907A4E">
              <w:rPr>
                <w:b/>
                <w:bCs/>
              </w:rPr>
              <w:t>$4,95</w:t>
            </w:r>
            <w:r w:rsidR="005827EE">
              <w:rPr>
                <w:b/>
                <w:bCs/>
              </w:rPr>
              <w:t>3</w:t>
            </w:r>
            <w:r w:rsidRPr="00907A4E">
              <w:rPr>
                <w:b/>
                <w:bCs/>
              </w:rPr>
              <w:t>,000</w:t>
            </w:r>
          </w:p>
        </w:tc>
      </w:tr>
      <w:tr w:rsidRPr="00FE7791" w:rsidR="00FE7791" w:rsidTr="00040A0D" w14:paraId="22E0581C" w14:textId="77777777">
        <w:trPr>
          <w:jc w:val="center"/>
        </w:trPr>
        <w:tc>
          <w:tcPr>
            <w:tcW w:w="883" w:type="dxa"/>
            <w:vAlign w:val="center"/>
          </w:tcPr>
          <w:p w:rsidRPr="00FE7791" w:rsidR="00FE7791" w:rsidP="00FE7791" w:rsidRDefault="00FE7791" w14:paraId="0EB09B15" w14:textId="77777777">
            <w:pPr>
              <w:widowControl/>
              <w:autoSpaceDE/>
              <w:autoSpaceDN/>
              <w:adjustRightInd/>
            </w:pPr>
            <w:r w:rsidRPr="00FE7791">
              <w:t>2</w:t>
            </w:r>
          </w:p>
        </w:tc>
        <w:tc>
          <w:tcPr>
            <w:tcW w:w="2465" w:type="dxa"/>
            <w:vAlign w:val="center"/>
          </w:tcPr>
          <w:p w:rsidRPr="00FE7791" w:rsidR="00FE7791" w:rsidP="00FE7791" w:rsidRDefault="00FE7791" w14:paraId="283A32BF" w14:textId="77777777">
            <w:pPr>
              <w:widowControl/>
              <w:autoSpaceDE/>
              <w:autoSpaceDN/>
              <w:adjustRightInd/>
              <w:jc w:val="center"/>
            </w:pPr>
            <w:r w:rsidRPr="00FE7791">
              <w:t>541: Reporting of Target Areas to NHTSA</w:t>
            </w:r>
          </w:p>
        </w:tc>
        <w:tc>
          <w:tcPr>
            <w:tcW w:w="1161" w:type="dxa"/>
            <w:vAlign w:val="center"/>
          </w:tcPr>
          <w:p w:rsidRPr="00FE7791" w:rsidR="00FE7791" w:rsidP="00FE7791" w:rsidRDefault="00FE7791" w14:paraId="5BB9931D" w14:textId="4BFDD0F6">
            <w:pPr>
              <w:widowControl/>
              <w:autoSpaceDE/>
              <w:autoSpaceDN/>
              <w:adjustRightInd/>
              <w:jc w:val="center"/>
            </w:pPr>
            <w:r w:rsidRPr="00FE7791">
              <w:t>$60.</w:t>
            </w:r>
            <w:r w:rsidR="003E1316">
              <w:t>26</w:t>
            </w:r>
          </w:p>
        </w:tc>
        <w:tc>
          <w:tcPr>
            <w:tcW w:w="1179" w:type="dxa"/>
            <w:vAlign w:val="center"/>
          </w:tcPr>
          <w:p w:rsidRPr="00FE7791" w:rsidR="00FE7791" w:rsidP="00FE7791" w:rsidRDefault="00FE7791" w14:paraId="794DB58B" w14:textId="77777777">
            <w:pPr>
              <w:widowControl/>
              <w:autoSpaceDE/>
              <w:autoSpaceDN/>
              <w:adjustRightInd/>
              <w:jc w:val="center"/>
            </w:pPr>
            <w:r w:rsidRPr="00FE7791">
              <w:t>20 hours</w:t>
            </w:r>
          </w:p>
        </w:tc>
        <w:tc>
          <w:tcPr>
            <w:tcW w:w="1260" w:type="dxa"/>
            <w:vAlign w:val="center"/>
          </w:tcPr>
          <w:p w:rsidRPr="00FE7791" w:rsidR="00FE7791" w:rsidP="00FE7791" w:rsidRDefault="00FE7791" w14:paraId="353A98EC" w14:textId="309D2CE9">
            <w:pPr>
              <w:widowControl/>
              <w:autoSpaceDE/>
              <w:autoSpaceDN/>
              <w:adjustRightInd/>
              <w:jc w:val="center"/>
            </w:pPr>
            <w:r w:rsidRPr="00FE7791">
              <w:t>$1,20</w:t>
            </w:r>
            <w:r w:rsidR="005827EE">
              <w:t>5.20</w:t>
            </w:r>
          </w:p>
        </w:tc>
        <w:tc>
          <w:tcPr>
            <w:tcW w:w="1170" w:type="dxa"/>
            <w:vAlign w:val="center"/>
          </w:tcPr>
          <w:p w:rsidRPr="00FE7791" w:rsidR="00FE7791" w:rsidP="00FE7791" w:rsidRDefault="00FE7791" w14:paraId="2409604A" w14:textId="77777777">
            <w:pPr>
              <w:widowControl/>
              <w:autoSpaceDE/>
              <w:autoSpaceDN/>
              <w:adjustRightInd/>
              <w:jc w:val="center"/>
            </w:pPr>
            <w:r w:rsidRPr="00FE7791">
              <w:t>460 hours</w:t>
            </w:r>
          </w:p>
        </w:tc>
        <w:tc>
          <w:tcPr>
            <w:tcW w:w="1440" w:type="dxa"/>
            <w:vAlign w:val="center"/>
          </w:tcPr>
          <w:p w:rsidRPr="00FE7791" w:rsidR="00FE7791" w:rsidP="00FE7791" w:rsidRDefault="00FE7791" w14:paraId="16BFC676" w14:textId="074657A6">
            <w:pPr>
              <w:widowControl/>
              <w:autoSpaceDE/>
              <w:autoSpaceDN/>
              <w:adjustRightInd/>
              <w:jc w:val="center"/>
            </w:pPr>
            <w:r w:rsidRPr="00FE7791">
              <w:t>$27,</w:t>
            </w:r>
            <w:r w:rsidR="005827EE">
              <w:t>719.60</w:t>
            </w:r>
          </w:p>
          <w:p w:rsidRPr="00FE7791" w:rsidR="00FE7791" w:rsidP="00FE7791" w:rsidRDefault="00FE7791" w14:paraId="562D4C98" w14:textId="18D0A390">
            <w:pPr>
              <w:widowControl/>
              <w:autoSpaceDE/>
              <w:autoSpaceDN/>
              <w:adjustRightInd/>
              <w:jc w:val="center"/>
              <w:rPr>
                <w:b/>
                <w:bCs/>
              </w:rPr>
            </w:pPr>
            <w:r w:rsidRPr="00FE7791">
              <w:rPr>
                <w:b/>
                <w:bCs/>
              </w:rPr>
              <w:t>$27,</w:t>
            </w:r>
            <w:r w:rsidR="005827EE">
              <w:rPr>
                <w:b/>
                <w:bCs/>
              </w:rPr>
              <w:t>720</w:t>
            </w:r>
          </w:p>
        </w:tc>
      </w:tr>
      <w:tr w:rsidRPr="00FE7791" w:rsidR="000226B2" w:rsidTr="00040A0D" w14:paraId="2CFA9284" w14:textId="77777777">
        <w:trPr>
          <w:jc w:val="center"/>
        </w:trPr>
        <w:tc>
          <w:tcPr>
            <w:tcW w:w="883" w:type="dxa"/>
            <w:vAlign w:val="center"/>
          </w:tcPr>
          <w:p w:rsidRPr="00FE7791" w:rsidR="000226B2" w:rsidP="00FE7791" w:rsidRDefault="000226B2" w14:paraId="40AC0266" w14:textId="58F2F838">
            <w:pPr>
              <w:widowControl/>
              <w:autoSpaceDE/>
              <w:autoSpaceDN/>
              <w:adjustRightInd/>
            </w:pPr>
            <w:r>
              <w:t>3</w:t>
            </w:r>
          </w:p>
        </w:tc>
        <w:tc>
          <w:tcPr>
            <w:tcW w:w="2465" w:type="dxa"/>
            <w:vAlign w:val="center"/>
          </w:tcPr>
          <w:p w:rsidRPr="00FE7791" w:rsidR="000226B2" w:rsidP="00FE7791" w:rsidRDefault="000226B2" w14:paraId="21E4D135" w14:textId="7CDAE720">
            <w:pPr>
              <w:widowControl/>
              <w:autoSpaceDE/>
              <w:autoSpaceDN/>
              <w:adjustRightInd/>
              <w:jc w:val="center"/>
            </w:pPr>
            <w:r>
              <w:t>Maintaining a Record of the Target Areas</w:t>
            </w:r>
          </w:p>
        </w:tc>
        <w:tc>
          <w:tcPr>
            <w:tcW w:w="1161" w:type="dxa"/>
            <w:vAlign w:val="center"/>
          </w:tcPr>
          <w:p w:rsidRPr="00FE7791" w:rsidR="000226B2" w:rsidP="00FE7791" w:rsidRDefault="000226B2" w14:paraId="623AA309" w14:textId="510D2671">
            <w:pPr>
              <w:widowControl/>
              <w:autoSpaceDE/>
              <w:autoSpaceDN/>
              <w:adjustRightInd/>
              <w:jc w:val="center"/>
            </w:pPr>
            <w:r>
              <w:t>N/A</w:t>
            </w:r>
          </w:p>
        </w:tc>
        <w:tc>
          <w:tcPr>
            <w:tcW w:w="1179" w:type="dxa"/>
            <w:vAlign w:val="center"/>
          </w:tcPr>
          <w:p w:rsidRPr="00FE7791" w:rsidR="000226B2" w:rsidP="00FE7791" w:rsidRDefault="000226B2" w14:paraId="7E8D86BA" w14:textId="2EF56251">
            <w:pPr>
              <w:widowControl/>
              <w:autoSpaceDE/>
              <w:autoSpaceDN/>
              <w:adjustRightInd/>
              <w:jc w:val="center"/>
            </w:pPr>
            <w:r>
              <w:t>0 hours</w:t>
            </w:r>
          </w:p>
        </w:tc>
        <w:tc>
          <w:tcPr>
            <w:tcW w:w="1260" w:type="dxa"/>
            <w:vAlign w:val="center"/>
          </w:tcPr>
          <w:p w:rsidRPr="00FE7791" w:rsidR="000226B2" w:rsidP="00FE7791" w:rsidRDefault="000226B2" w14:paraId="16769472" w14:textId="09B61A43">
            <w:pPr>
              <w:widowControl/>
              <w:autoSpaceDE/>
              <w:autoSpaceDN/>
              <w:adjustRightInd/>
              <w:jc w:val="center"/>
            </w:pPr>
            <w:r>
              <w:t>N/A</w:t>
            </w:r>
          </w:p>
        </w:tc>
        <w:tc>
          <w:tcPr>
            <w:tcW w:w="1170" w:type="dxa"/>
            <w:vAlign w:val="center"/>
          </w:tcPr>
          <w:p w:rsidRPr="00FE7791" w:rsidR="000226B2" w:rsidP="00FE7791" w:rsidRDefault="000226B2" w14:paraId="5E298B17" w14:textId="3270359A">
            <w:pPr>
              <w:widowControl/>
              <w:autoSpaceDE/>
              <w:autoSpaceDN/>
              <w:adjustRightInd/>
              <w:jc w:val="center"/>
            </w:pPr>
            <w:r>
              <w:t>0 hours</w:t>
            </w:r>
          </w:p>
        </w:tc>
        <w:tc>
          <w:tcPr>
            <w:tcW w:w="1440" w:type="dxa"/>
            <w:vAlign w:val="center"/>
          </w:tcPr>
          <w:p w:rsidRPr="00FE7791" w:rsidR="000226B2" w:rsidP="00FE7791" w:rsidRDefault="000226B2" w14:paraId="7AC9DB9A" w14:textId="467E7F43">
            <w:pPr>
              <w:widowControl/>
              <w:autoSpaceDE/>
              <w:autoSpaceDN/>
              <w:adjustRightInd/>
              <w:jc w:val="center"/>
            </w:pPr>
            <w:r>
              <w:t>$0</w:t>
            </w:r>
          </w:p>
        </w:tc>
      </w:tr>
      <w:tr w:rsidRPr="00FE7791" w:rsidR="00FE7791" w:rsidTr="00040A0D" w14:paraId="76CCDFE0" w14:textId="77777777">
        <w:trPr>
          <w:jc w:val="center"/>
        </w:trPr>
        <w:tc>
          <w:tcPr>
            <w:tcW w:w="883" w:type="dxa"/>
            <w:vAlign w:val="center"/>
          </w:tcPr>
          <w:p w:rsidRPr="00FE7791" w:rsidR="00FE7791" w:rsidP="00FE7791" w:rsidRDefault="000226B2" w14:paraId="13A0EB70" w14:textId="21C4A131">
            <w:pPr>
              <w:widowControl/>
              <w:autoSpaceDE/>
              <w:autoSpaceDN/>
              <w:adjustRightInd/>
            </w:pPr>
            <w:r>
              <w:t>4</w:t>
            </w:r>
          </w:p>
        </w:tc>
        <w:tc>
          <w:tcPr>
            <w:tcW w:w="2465" w:type="dxa"/>
            <w:vAlign w:val="center"/>
          </w:tcPr>
          <w:p w:rsidRPr="00FE7791" w:rsidR="00FE7791" w:rsidP="00FE7791" w:rsidRDefault="00FE7791" w14:paraId="1F74E32F" w14:textId="77777777">
            <w:pPr>
              <w:widowControl/>
              <w:autoSpaceDE/>
              <w:autoSpaceDN/>
              <w:adjustRightInd/>
              <w:jc w:val="center"/>
            </w:pPr>
            <w:r w:rsidRPr="00FE7791">
              <w:t>542: Submissions for Determination of whether LDT Line is High Theft</w:t>
            </w:r>
          </w:p>
        </w:tc>
        <w:tc>
          <w:tcPr>
            <w:tcW w:w="1161" w:type="dxa"/>
            <w:vAlign w:val="center"/>
          </w:tcPr>
          <w:p w:rsidRPr="00FE7791" w:rsidR="00FE7791" w:rsidP="00FE7791" w:rsidRDefault="00EC0FD6" w14:paraId="623C3E17" w14:textId="322F9070">
            <w:pPr>
              <w:widowControl/>
              <w:autoSpaceDE/>
              <w:autoSpaceDN/>
              <w:adjustRightInd/>
              <w:jc w:val="center"/>
            </w:pPr>
            <w:r>
              <w:t>$60.</w:t>
            </w:r>
            <w:r w:rsidR="003E1316">
              <w:t>26</w:t>
            </w:r>
          </w:p>
        </w:tc>
        <w:tc>
          <w:tcPr>
            <w:tcW w:w="1179" w:type="dxa"/>
            <w:vAlign w:val="center"/>
          </w:tcPr>
          <w:p w:rsidRPr="00FE7791" w:rsidR="00FE7791" w:rsidP="00FE7791" w:rsidRDefault="00126C81" w14:paraId="3C26E527" w14:textId="2DE9F6F8">
            <w:pPr>
              <w:widowControl/>
              <w:autoSpaceDE/>
              <w:autoSpaceDN/>
              <w:adjustRightInd/>
              <w:jc w:val="center"/>
            </w:pPr>
            <w:r>
              <w:t>45 hours</w:t>
            </w:r>
          </w:p>
        </w:tc>
        <w:tc>
          <w:tcPr>
            <w:tcW w:w="1260" w:type="dxa"/>
            <w:vAlign w:val="center"/>
          </w:tcPr>
          <w:p w:rsidRPr="00FE7791" w:rsidR="00FE7791" w:rsidP="00FE7791" w:rsidRDefault="00F3638E" w14:paraId="3B31D91E" w14:textId="65C4EFC1">
            <w:pPr>
              <w:widowControl/>
              <w:autoSpaceDE/>
              <w:autoSpaceDN/>
              <w:adjustRightInd/>
              <w:jc w:val="center"/>
            </w:pPr>
            <w:r w:rsidRPr="00F3638E">
              <w:t>$2,7</w:t>
            </w:r>
            <w:r w:rsidR="00D20210">
              <w:t>11.70</w:t>
            </w:r>
          </w:p>
        </w:tc>
        <w:tc>
          <w:tcPr>
            <w:tcW w:w="1170" w:type="dxa"/>
            <w:vAlign w:val="center"/>
          </w:tcPr>
          <w:p w:rsidRPr="00FE7791" w:rsidR="00FE7791" w:rsidP="00FE7791" w:rsidRDefault="00FE7791" w14:paraId="02632679" w14:textId="77777777">
            <w:pPr>
              <w:widowControl/>
              <w:autoSpaceDE/>
              <w:autoSpaceDN/>
              <w:adjustRightInd/>
              <w:jc w:val="center"/>
            </w:pPr>
            <w:r w:rsidRPr="00FE7791">
              <w:t>45 hours</w:t>
            </w:r>
          </w:p>
        </w:tc>
        <w:tc>
          <w:tcPr>
            <w:tcW w:w="1440" w:type="dxa"/>
            <w:vAlign w:val="center"/>
          </w:tcPr>
          <w:p w:rsidR="00FE7791" w:rsidP="00FE7791" w:rsidRDefault="00F3638E" w14:paraId="7FC51515" w14:textId="171F98A4">
            <w:pPr>
              <w:widowControl/>
              <w:autoSpaceDE/>
              <w:autoSpaceDN/>
              <w:adjustRightInd/>
              <w:jc w:val="center"/>
            </w:pPr>
            <w:r w:rsidRPr="00F3638E">
              <w:t>$2,7</w:t>
            </w:r>
            <w:r w:rsidR="00D20210">
              <w:t>11.70</w:t>
            </w:r>
          </w:p>
          <w:p w:rsidRPr="00907A4E" w:rsidR="00F3638E" w:rsidP="00FE7791" w:rsidRDefault="00F3638E" w14:paraId="30C7A9E1" w14:textId="4F2E9B80">
            <w:pPr>
              <w:widowControl/>
              <w:autoSpaceDE/>
              <w:autoSpaceDN/>
              <w:adjustRightInd/>
              <w:jc w:val="center"/>
              <w:rPr>
                <w:b/>
                <w:bCs/>
              </w:rPr>
            </w:pPr>
            <w:r w:rsidRPr="00907A4E">
              <w:rPr>
                <w:b/>
                <w:bCs/>
              </w:rPr>
              <w:t>$2,7</w:t>
            </w:r>
            <w:r w:rsidR="00D20210">
              <w:rPr>
                <w:b/>
                <w:bCs/>
              </w:rPr>
              <w:t>12</w:t>
            </w:r>
          </w:p>
        </w:tc>
      </w:tr>
      <w:tr w:rsidRPr="00FE7791" w:rsidR="00FE7791" w:rsidTr="00040A0D" w14:paraId="5E749A76" w14:textId="77777777">
        <w:trPr>
          <w:jc w:val="center"/>
        </w:trPr>
        <w:tc>
          <w:tcPr>
            <w:tcW w:w="883" w:type="dxa"/>
            <w:vAlign w:val="center"/>
          </w:tcPr>
          <w:p w:rsidRPr="00FE7791" w:rsidR="00FE7791" w:rsidP="00FE7791" w:rsidRDefault="000226B2" w14:paraId="2CB57BA1" w14:textId="0F688728">
            <w:pPr>
              <w:widowControl/>
              <w:autoSpaceDE/>
              <w:autoSpaceDN/>
              <w:adjustRightInd/>
            </w:pPr>
            <w:r>
              <w:t>5</w:t>
            </w:r>
          </w:p>
        </w:tc>
        <w:tc>
          <w:tcPr>
            <w:tcW w:w="2465" w:type="dxa"/>
            <w:vAlign w:val="center"/>
          </w:tcPr>
          <w:p w:rsidRPr="00FE7791" w:rsidR="00FE7791" w:rsidP="00FE7791" w:rsidRDefault="00FE7791" w14:paraId="49548EA7" w14:textId="77777777">
            <w:pPr>
              <w:widowControl/>
              <w:autoSpaceDE/>
              <w:autoSpaceDN/>
              <w:adjustRightInd/>
              <w:jc w:val="center"/>
            </w:pPr>
            <w:r w:rsidRPr="00FE7791">
              <w:t>542: Submission for Determination of whether LDT line Shares Interchangeable Parts with High Theft Line</w:t>
            </w:r>
          </w:p>
        </w:tc>
        <w:tc>
          <w:tcPr>
            <w:tcW w:w="1161" w:type="dxa"/>
            <w:vAlign w:val="center"/>
          </w:tcPr>
          <w:p w:rsidRPr="00FE7791" w:rsidR="00FE7791" w:rsidP="00FE7791" w:rsidRDefault="00EC0FD6" w14:paraId="4BF17B3A" w14:textId="6FBCD8BB">
            <w:pPr>
              <w:widowControl/>
              <w:autoSpaceDE/>
              <w:autoSpaceDN/>
              <w:adjustRightInd/>
              <w:jc w:val="center"/>
            </w:pPr>
            <w:r>
              <w:t>$60.</w:t>
            </w:r>
            <w:r w:rsidR="003E1316">
              <w:t>26</w:t>
            </w:r>
          </w:p>
        </w:tc>
        <w:tc>
          <w:tcPr>
            <w:tcW w:w="1179" w:type="dxa"/>
            <w:vAlign w:val="center"/>
          </w:tcPr>
          <w:p w:rsidRPr="00FE7791" w:rsidR="00FE7791" w:rsidP="00FE7791" w:rsidRDefault="00126C81" w14:paraId="0A1142C1" w14:textId="71CD22B1">
            <w:pPr>
              <w:widowControl/>
              <w:autoSpaceDE/>
              <w:autoSpaceDN/>
              <w:adjustRightInd/>
              <w:jc w:val="center"/>
            </w:pPr>
            <w:r>
              <w:t>45 hours</w:t>
            </w:r>
          </w:p>
        </w:tc>
        <w:tc>
          <w:tcPr>
            <w:tcW w:w="1260" w:type="dxa"/>
            <w:vAlign w:val="center"/>
          </w:tcPr>
          <w:p w:rsidRPr="00FE7791" w:rsidR="00FE7791" w:rsidP="00FE7791" w:rsidRDefault="00F3638E" w14:paraId="533AA20E" w14:textId="3AD37F43">
            <w:pPr>
              <w:widowControl/>
              <w:autoSpaceDE/>
              <w:autoSpaceDN/>
              <w:adjustRightInd/>
              <w:jc w:val="center"/>
            </w:pPr>
            <w:r w:rsidRPr="00F3638E">
              <w:t>$2,7</w:t>
            </w:r>
            <w:r w:rsidR="00D20210">
              <w:t>11.70</w:t>
            </w:r>
          </w:p>
        </w:tc>
        <w:tc>
          <w:tcPr>
            <w:tcW w:w="1170" w:type="dxa"/>
            <w:vAlign w:val="center"/>
          </w:tcPr>
          <w:p w:rsidRPr="00FE7791" w:rsidR="00FE7791" w:rsidP="00FE7791" w:rsidRDefault="00FE7791" w14:paraId="0B67D8EB" w14:textId="77777777">
            <w:pPr>
              <w:widowControl/>
              <w:autoSpaceDE/>
              <w:autoSpaceDN/>
              <w:adjustRightInd/>
              <w:jc w:val="center"/>
            </w:pPr>
            <w:r w:rsidRPr="00FE7791">
              <w:t>45 hours</w:t>
            </w:r>
          </w:p>
        </w:tc>
        <w:tc>
          <w:tcPr>
            <w:tcW w:w="1440" w:type="dxa"/>
            <w:vAlign w:val="center"/>
          </w:tcPr>
          <w:p w:rsidR="00FE7791" w:rsidP="00FE7791" w:rsidRDefault="00F3638E" w14:paraId="567D4437" w14:textId="4A1055EA">
            <w:pPr>
              <w:widowControl/>
              <w:autoSpaceDE/>
              <w:autoSpaceDN/>
              <w:adjustRightInd/>
              <w:jc w:val="center"/>
            </w:pPr>
            <w:r w:rsidRPr="00F3638E">
              <w:t>$2,7</w:t>
            </w:r>
            <w:r w:rsidR="00D20210">
              <w:t>11.70</w:t>
            </w:r>
          </w:p>
          <w:p w:rsidRPr="00907A4E" w:rsidR="00F3638E" w:rsidP="00FE7791" w:rsidRDefault="00F3638E" w14:paraId="29F95D14" w14:textId="5EC5F498">
            <w:pPr>
              <w:widowControl/>
              <w:autoSpaceDE/>
              <w:autoSpaceDN/>
              <w:adjustRightInd/>
              <w:jc w:val="center"/>
              <w:rPr>
                <w:b/>
                <w:bCs/>
              </w:rPr>
            </w:pPr>
            <w:r w:rsidRPr="00907A4E">
              <w:rPr>
                <w:b/>
                <w:bCs/>
              </w:rPr>
              <w:t>$2,7</w:t>
            </w:r>
            <w:r w:rsidR="00D20210">
              <w:rPr>
                <w:b/>
                <w:bCs/>
              </w:rPr>
              <w:t>12</w:t>
            </w:r>
          </w:p>
        </w:tc>
      </w:tr>
      <w:tr w:rsidRPr="00FE7791" w:rsidR="00FE7791" w:rsidTr="00040A0D" w14:paraId="298AF007" w14:textId="77777777">
        <w:trPr>
          <w:jc w:val="center"/>
        </w:trPr>
        <w:tc>
          <w:tcPr>
            <w:tcW w:w="883" w:type="dxa"/>
            <w:vAlign w:val="center"/>
          </w:tcPr>
          <w:p w:rsidRPr="00FE7791" w:rsidR="00FE7791" w:rsidP="00FE7791" w:rsidRDefault="00FE7791" w14:paraId="3A5684AC" w14:textId="77777777">
            <w:pPr>
              <w:widowControl/>
              <w:autoSpaceDE/>
              <w:autoSpaceDN/>
              <w:adjustRightInd/>
            </w:pPr>
            <w:r w:rsidRPr="00FE7791">
              <w:t>Totals:</w:t>
            </w:r>
          </w:p>
        </w:tc>
        <w:tc>
          <w:tcPr>
            <w:tcW w:w="2465" w:type="dxa"/>
            <w:vAlign w:val="center"/>
          </w:tcPr>
          <w:p w:rsidRPr="00FE7791" w:rsidR="00FE7791" w:rsidP="00FE7791" w:rsidRDefault="00FE7791" w14:paraId="242C923A" w14:textId="77777777">
            <w:pPr>
              <w:widowControl/>
              <w:autoSpaceDE/>
              <w:autoSpaceDN/>
              <w:adjustRightInd/>
            </w:pPr>
          </w:p>
        </w:tc>
        <w:tc>
          <w:tcPr>
            <w:tcW w:w="1161" w:type="dxa"/>
            <w:vAlign w:val="center"/>
          </w:tcPr>
          <w:p w:rsidRPr="00FE7791" w:rsidR="00FE7791" w:rsidP="00FE7791" w:rsidRDefault="00FE7791" w14:paraId="5CF28972" w14:textId="77777777">
            <w:pPr>
              <w:widowControl/>
              <w:autoSpaceDE/>
              <w:autoSpaceDN/>
              <w:adjustRightInd/>
            </w:pPr>
          </w:p>
        </w:tc>
        <w:tc>
          <w:tcPr>
            <w:tcW w:w="1179" w:type="dxa"/>
            <w:vAlign w:val="center"/>
          </w:tcPr>
          <w:p w:rsidRPr="00FE7791" w:rsidR="00FE7791" w:rsidP="00FE7791" w:rsidRDefault="00FE7791" w14:paraId="5F8FB41A" w14:textId="77777777">
            <w:pPr>
              <w:widowControl/>
              <w:autoSpaceDE/>
              <w:autoSpaceDN/>
              <w:adjustRightInd/>
            </w:pPr>
          </w:p>
        </w:tc>
        <w:tc>
          <w:tcPr>
            <w:tcW w:w="1260" w:type="dxa"/>
            <w:vAlign w:val="center"/>
          </w:tcPr>
          <w:p w:rsidRPr="00FE7791" w:rsidR="00FE7791" w:rsidP="00FE7791" w:rsidRDefault="00FE7791" w14:paraId="26FD338C" w14:textId="77777777">
            <w:pPr>
              <w:widowControl/>
              <w:autoSpaceDE/>
              <w:autoSpaceDN/>
              <w:adjustRightInd/>
            </w:pPr>
          </w:p>
        </w:tc>
        <w:tc>
          <w:tcPr>
            <w:tcW w:w="1170" w:type="dxa"/>
            <w:vAlign w:val="center"/>
          </w:tcPr>
          <w:p w:rsidRPr="00FE7791" w:rsidR="00FE7791" w:rsidP="00FE7791" w:rsidRDefault="00FE7791" w14:paraId="5AAF3D20" w14:textId="77777777">
            <w:pPr>
              <w:widowControl/>
              <w:autoSpaceDE/>
              <w:autoSpaceDN/>
              <w:adjustRightInd/>
            </w:pPr>
            <w:r w:rsidRPr="00FE7791">
              <w:t>150,550 hours</w:t>
            </w:r>
          </w:p>
        </w:tc>
        <w:tc>
          <w:tcPr>
            <w:tcW w:w="1440" w:type="dxa"/>
            <w:vAlign w:val="center"/>
          </w:tcPr>
          <w:p w:rsidRPr="00907A4E" w:rsidR="00FE7791" w:rsidP="00FE7791" w:rsidRDefault="00F3638E" w14:paraId="0FC8E878" w14:textId="6B456174">
            <w:pPr>
              <w:widowControl/>
              <w:autoSpaceDE/>
              <w:autoSpaceDN/>
              <w:adjustRightInd/>
              <w:rPr>
                <w:b/>
                <w:bCs/>
              </w:rPr>
            </w:pPr>
            <w:r w:rsidRPr="00907A4E">
              <w:rPr>
                <w:b/>
                <w:bCs/>
              </w:rPr>
              <w:t>$4,98</w:t>
            </w:r>
            <w:r w:rsidR="000067BD">
              <w:rPr>
                <w:b/>
                <w:bCs/>
              </w:rPr>
              <w:t>6,144</w:t>
            </w:r>
          </w:p>
        </w:tc>
      </w:tr>
    </w:tbl>
    <w:p w:rsidR="00FE7791" w:rsidP="00072B33" w:rsidRDefault="00FE7791" w14:paraId="74278BBE" w14:textId="2C28EF16">
      <w:pPr>
        <w:tabs>
          <w:tab w:val="left" w:pos="-1440"/>
        </w:tabs>
        <w:ind w:left="720"/>
        <w:jc w:val="center"/>
        <w:rPr>
          <w:b/>
          <w:sz w:val="24"/>
        </w:rPr>
      </w:pPr>
    </w:p>
    <w:bookmarkEnd w:id="2"/>
    <w:p w:rsidR="0087020E" w:rsidP="0087020E" w:rsidRDefault="0087020E" w14:paraId="4FC567F4" w14:textId="77777777">
      <w:pPr>
        <w:rPr>
          <w:sz w:val="24"/>
          <w:szCs w:val="24"/>
        </w:rPr>
      </w:pPr>
    </w:p>
    <w:p w:rsidRPr="00907A4E" w:rsidR="000B370C" w:rsidP="000B370C" w:rsidRDefault="004172D7" w14:paraId="6FAC6479" w14:textId="1EA6075C">
      <w:pPr>
        <w:pStyle w:val="ListParagraph"/>
        <w:numPr>
          <w:ilvl w:val="0"/>
          <w:numId w:val="10"/>
        </w:numPr>
        <w:rPr>
          <w:b/>
          <w:bCs/>
          <w:sz w:val="24"/>
          <w:szCs w:val="24"/>
        </w:rPr>
      </w:pPr>
      <w:r w:rsidRPr="00907A4E">
        <w:rPr>
          <w:b/>
          <w:bCs/>
          <w:sz w:val="24"/>
          <w:szCs w:val="24"/>
        </w:rPr>
        <w:t>P</w:t>
      </w:r>
      <w:r w:rsidRPr="00907A4E" w:rsidR="000B370C">
        <w:rPr>
          <w:b/>
          <w:bCs/>
          <w:sz w:val="24"/>
          <w:szCs w:val="24"/>
        </w:rPr>
        <w:t xml:space="preserve">rovide an estimate of the total annual cost burden to respondents or record </w:t>
      </w:r>
      <w:r w:rsidRPr="00907A4E" w:rsidR="000B370C">
        <w:rPr>
          <w:b/>
          <w:bCs/>
          <w:sz w:val="24"/>
          <w:szCs w:val="24"/>
        </w:rPr>
        <w:lastRenderedPageBreak/>
        <w:t xml:space="preserve">keepers resulting from the collection of information. Do not include the cost of any hour burden already reflected in the response provided in question 12.  </w:t>
      </w:r>
    </w:p>
    <w:p w:rsidRPr="00EE6736" w:rsidR="002D186F" w:rsidP="00907A4E" w:rsidRDefault="000931A6" w14:paraId="0A3C3CD5" w14:textId="38110E4F">
      <w:pPr>
        <w:tabs>
          <w:tab w:val="left" w:pos="720"/>
        </w:tabs>
        <w:rPr>
          <w:highlight w:val="yellow"/>
        </w:rPr>
      </w:pPr>
      <w:r w:rsidRPr="00907A4E">
        <w:rPr>
          <w:sz w:val="24"/>
          <w:szCs w:val="24"/>
        </w:rPr>
        <w:t xml:space="preserve">   </w:t>
      </w:r>
      <w:r w:rsidRPr="00907A4E" w:rsidR="004172D7">
        <w:rPr>
          <w:sz w:val="24"/>
          <w:szCs w:val="24"/>
        </w:rPr>
        <w:tab/>
      </w:r>
    </w:p>
    <w:p w:rsidRPr="00261B2C" w:rsidR="004172D7" w:rsidP="00907A4E" w:rsidRDefault="004172D7" w14:paraId="43F6739F" w14:textId="65D36096">
      <w:pPr>
        <w:pStyle w:val="BodyTextIndent"/>
        <w:ind w:left="0"/>
      </w:pPr>
      <w:r w:rsidRPr="00261B2C">
        <w:rPr>
          <w:u w:val="single"/>
        </w:rPr>
        <w:t>49 CFR Part 541</w:t>
      </w:r>
    </w:p>
    <w:p w:rsidRPr="00B65D08" w:rsidR="004172D7" w:rsidRDefault="004172D7" w14:paraId="60BE7619" w14:textId="77777777">
      <w:pPr>
        <w:rPr>
          <w:sz w:val="24"/>
          <w:szCs w:val="24"/>
          <w:highlight w:val="yellow"/>
        </w:rPr>
      </w:pPr>
    </w:p>
    <w:p w:rsidR="00D766DF" w:rsidP="00907A4E" w:rsidRDefault="004172D7" w14:paraId="05C58709" w14:textId="79B1A641">
      <w:pPr>
        <w:pStyle w:val="BodyTextIndent"/>
        <w:ind w:left="0"/>
      </w:pPr>
      <w:r w:rsidRPr="00261B2C">
        <w:t>NHTSA assumes that most manufacturers will use the less expensive method of labeling the major parts on vehicles, and not stamp the VINs onto major parts</w:t>
      </w:r>
      <w:r w:rsidR="00EA473B">
        <w:t xml:space="preserve">, </w:t>
      </w:r>
      <w:bookmarkStart w:name="_Hlk81294937" w:id="9"/>
      <w:r w:rsidR="00EA473B">
        <w:t>based on historical practice and the agency’s current understanding</w:t>
      </w:r>
      <w:r w:rsidR="0036414B">
        <w:t xml:space="preserve"> of </w:t>
      </w:r>
      <w:r w:rsidR="003E6C1A">
        <w:t>how manufacturers fit labeling into the vehicle assembly line</w:t>
      </w:r>
      <w:bookmarkEnd w:id="9"/>
      <w:r w:rsidRPr="00261B2C">
        <w:t>.</w:t>
      </w:r>
      <w:r w:rsidR="00637CD4">
        <w:t xml:space="preserve">  The cost of this collection of information will comprise of printing costs for the labels affixed to the vehicle parts.</w:t>
      </w:r>
      <w:r w:rsidRPr="00261B2C">
        <w:t xml:space="preserve"> </w:t>
      </w:r>
      <w:r w:rsidR="007F33F0">
        <w:t xml:space="preserve">There are no additional costs to </w:t>
      </w:r>
      <w:r w:rsidRPr="00256B62" w:rsidR="00256B62">
        <w:t>maintain the target area designation because maintaining the designation is built into the production process of a new vehicle line and the record of the target designation is kept electronically in the normal course of business.</w:t>
      </w:r>
      <w:r w:rsidRPr="00261B2C">
        <w:t xml:space="preserve"> NHTSA estimates that the average cost </w:t>
      </w:r>
      <w:r w:rsidRPr="007246F0">
        <w:t xml:space="preserve">to </w:t>
      </w:r>
      <w:r w:rsidR="00FF4D18">
        <w:t xml:space="preserve">print each </w:t>
      </w:r>
      <w:r w:rsidRPr="007246F0">
        <w:t xml:space="preserve">label </w:t>
      </w:r>
      <w:r w:rsidR="00FF4D18">
        <w:t>is $0.38</w:t>
      </w:r>
      <w:r w:rsidR="00000B1E">
        <w:t>1</w:t>
      </w:r>
      <w:r w:rsidR="00FF4D18">
        <w:t>.  There are</w:t>
      </w:r>
      <w:r w:rsidR="00D848D3">
        <w:t xml:space="preserve"> an average</w:t>
      </w:r>
      <w:r w:rsidR="00FF4D18">
        <w:t xml:space="preserve"> </w:t>
      </w:r>
      <w:r w:rsidRPr="007246F0">
        <w:t>14 parts per vehicle</w:t>
      </w:r>
      <w:r w:rsidR="00D848D3">
        <w:t xml:space="preserve"> to label</w:t>
      </w:r>
      <w:r w:rsidR="00FF4D18">
        <w:t>; therefore</w:t>
      </w:r>
      <w:r w:rsidRPr="007246F0">
        <w:t>,</w:t>
      </w:r>
      <w:r w:rsidR="00FF4D18">
        <w:t xml:space="preserve"> the printing cost per vehicle is </w:t>
      </w:r>
      <w:r w:rsidRPr="007246F0">
        <w:t>$</w:t>
      </w:r>
      <w:r w:rsidR="001D66A3">
        <w:t>5.33</w:t>
      </w:r>
      <w:r w:rsidRPr="007246F0">
        <w:t>.  At</w:t>
      </w:r>
      <w:r w:rsidRPr="00261B2C">
        <w:t xml:space="preserve"> present</w:t>
      </w:r>
      <w:r w:rsidRPr="00CF2EB2">
        <w:t xml:space="preserve">, </w:t>
      </w:r>
      <w:r w:rsidR="00993D3E">
        <w:t xml:space="preserve">the agency estimates that </w:t>
      </w:r>
      <w:r w:rsidR="00084CAA">
        <w:t>4.5</w:t>
      </w:r>
      <w:r w:rsidRPr="00CF2EB2" w:rsidR="00084CAA">
        <w:t xml:space="preserve"> </w:t>
      </w:r>
      <w:r w:rsidRPr="00CF2EB2">
        <w:t xml:space="preserve">million </w:t>
      </w:r>
      <w:r w:rsidRPr="00261B2C">
        <w:t xml:space="preserve">motor vehicles annually must have </w:t>
      </w:r>
      <w:r w:rsidR="00000B1E">
        <w:t>their</w:t>
      </w:r>
      <w:r w:rsidRPr="00261B2C" w:rsidR="00000B1E">
        <w:t xml:space="preserve"> </w:t>
      </w:r>
      <w:r w:rsidRPr="00261B2C">
        <w:t xml:space="preserve">major parts marked.  </w:t>
      </w:r>
      <w:r w:rsidR="00000B1E">
        <w:t>T</w:t>
      </w:r>
      <w:r w:rsidRPr="00261B2C">
        <w:t xml:space="preserve">he total annual fleet costs are estimated </w:t>
      </w:r>
      <w:r w:rsidR="00000B1E">
        <w:t>to be</w:t>
      </w:r>
      <w:r w:rsidRPr="00261B2C" w:rsidR="00000B1E">
        <w:t xml:space="preserve"> </w:t>
      </w:r>
      <w:r w:rsidRPr="007246F0">
        <w:t>$</w:t>
      </w:r>
      <w:r w:rsidRPr="00000B1E" w:rsidR="00000B1E">
        <w:t>24</w:t>
      </w:r>
      <w:r w:rsidR="00000B1E">
        <w:t>,</w:t>
      </w:r>
      <w:r w:rsidRPr="00000B1E" w:rsidR="00000B1E">
        <w:t>003</w:t>
      </w:r>
      <w:r w:rsidR="00000B1E">
        <w:t>,</w:t>
      </w:r>
      <w:r w:rsidRPr="00000B1E" w:rsidR="00000B1E">
        <w:t>000</w:t>
      </w:r>
      <w:r w:rsidRPr="007246F0">
        <w:t xml:space="preserve"> for label identifiers ($</w:t>
      </w:r>
      <w:r w:rsidR="00000B1E">
        <w:t>5.33</w:t>
      </w:r>
      <w:r w:rsidRPr="007246F0">
        <w:t xml:space="preserve"> x </w:t>
      </w:r>
      <w:r w:rsidR="00036087">
        <w:t>4.5</w:t>
      </w:r>
      <w:r w:rsidRPr="006762D9" w:rsidR="00036087">
        <w:t xml:space="preserve"> </w:t>
      </w:r>
      <w:r w:rsidRPr="006762D9">
        <w:t xml:space="preserve">million vehicles).  </w:t>
      </w:r>
    </w:p>
    <w:p w:rsidR="009B1FAE" w:rsidRDefault="009B1FAE" w14:paraId="0B298FA4" w14:textId="79AAEC17">
      <w:pPr>
        <w:pStyle w:val="BodyTextIndent"/>
      </w:pPr>
    </w:p>
    <w:tbl>
      <w:tblPr>
        <w:tblW w:w="9206" w:type="dxa"/>
        <w:jc w:val="center"/>
        <w:tblLook w:val="04A0" w:firstRow="1" w:lastRow="0" w:firstColumn="1" w:lastColumn="0" w:noHBand="0" w:noVBand="1"/>
      </w:tblPr>
      <w:tblGrid>
        <w:gridCol w:w="1615"/>
        <w:gridCol w:w="1235"/>
        <w:gridCol w:w="1589"/>
        <w:gridCol w:w="1589"/>
        <w:gridCol w:w="1589"/>
        <w:gridCol w:w="1589"/>
      </w:tblGrid>
      <w:tr w:rsidRPr="009B1FAE" w:rsidR="00772BDE" w:rsidTr="004318EA" w14:paraId="424C15EC" w14:textId="77777777">
        <w:trPr>
          <w:trHeight w:val="833"/>
          <w:jc w:val="center"/>
        </w:trPr>
        <w:tc>
          <w:tcPr>
            <w:tcW w:w="1615" w:type="dxa"/>
            <w:tcBorders>
              <w:top w:val="single" w:color="auto" w:sz="4" w:space="0"/>
              <w:left w:val="single" w:color="auto" w:sz="4" w:space="0"/>
              <w:bottom w:val="single" w:color="auto" w:sz="4" w:space="0"/>
              <w:right w:val="single" w:color="auto" w:sz="4" w:space="0"/>
            </w:tcBorders>
            <w:vAlign w:val="center"/>
          </w:tcPr>
          <w:p w:rsidRPr="009B1FAE" w:rsidR="00772BDE" w:rsidP="0080603F" w:rsidRDefault="00772BDE" w14:paraId="5BC8CAB4" w14:textId="69B097E6">
            <w:pPr>
              <w:widowControl/>
              <w:autoSpaceDE/>
              <w:autoSpaceDN/>
              <w:adjustRightInd/>
              <w:jc w:val="center"/>
              <w:rPr>
                <w:color w:val="000000"/>
                <w:sz w:val="22"/>
                <w:szCs w:val="22"/>
              </w:rPr>
            </w:pPr>
            <w:r>
              <w:rPr>
                <w:color w:val="000000"/>
                <w:sz w:val="22"/>
                <w:szCs w:val="22"/>
              </w:rPr>
              <w:t>Information Collection</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B1FAE" w:rsidR="00772BDE" w:rsidP="009B1FAE" w:rsidRDefault="00772BDE" w14:paraId="566A2B10" w14:textId="61BAF152">
            <w:pPr>
              <w:widowControl/>
              <w:autoSpaceDE/>
              <w:autoSpaceDN/>
              <w:adjustRightInd/>
              <w:jc w:val="center"/>
              <w:rPr>
                <w:color w:val="000000"/>
                <w:sz w:val="22"/>
                <w:szCs w:val="22"/>
              </w:rPr>
            </w:pPr>
            <w:r w:rsidRPr="009B1FAE">
              <w:rPr>
                <w:color w:val="000000"/>
                <w:sz w:val="22"/>
                <w:szCs w:val="22"/>
              </w:rPr>
              <w:t>No. of Parts Labeled per Vehicle</w:t>
            </w:r>
          </w:p>
        </w:tc>
        <w:tc>
          <w:tcPr>
            <w:tcW w:w="1589" w:type="dxa"/>
            <w:tcBorders>
              <w:top w:val="single" w:color="auto" w:sz="4" w:space="0"/>
              <w:left w:val="nil"/>
              <w:bottom w:val="single" w:color="auto" w:sz="4" w:space="0"/>
              <w:right w:val="single" w:color="auto" w:sz="4" w:space="0"/>
            </w:tcBorders>
            <w:shd w:val="clear" w:color="auto" w:fill="auto"/>
            <w:vAlign w:val="center"/>
            <w:hideMark/>
          </w:tcPr>
          <w:p w:rsidRPr="009B1FAE" w:rsidR="00772BDE" w:rsidP="009B1FAE" w:rsidRDefault="00772BDE" w14:paraId="4202EB04" w14:textId="77777777">
            <w:pPr>
              <w:widowControl/>
              <w:autoSpaceDE/>
              <w:autoSpaceDN/>
              <w:adjustRightInd/>
              <w:jc w:val="center"/>
              <w:rPr>
                <w:color w:val="000000"/>
                <w:sz w:val="22"/>
                <w:szCs w:val="22"/>
              </w:rPr>
            </w:pPr>
            <w:r w:rsidRPr="009B1FAE">
              <w:rPr>
                <w:color w:val="000000"/>
                <w:sz w:val="22"/>
                <w:szCs w:val="22"/>
              </w:rPr>
              <w:t>Printing Cost per Label</w:t>
            </w:r>
          </w:p>
        </w:tc>
        <w:tc>
          <w:tcPr>
            <w:tcW w:w="1589" w:type="dxa"/>
            <w:tcBorders>
              <w:top w:val="single" w:color="auto" w:sz="4" w:space="0"/>
              <w:left w:val="nil"/>
              <w:bottom w:val="single" w:color="auto" w:sz="4" w:space="0"/>
              <w:right w:val="single" w:color="auto" w:sz="4" w:space="0"/>
            </w:tcBorders>
            <w:shd w:val="clear" w:color="auto" w:fill="auto"/>
            <w:vAlign w:val="center"/>
            <w:hideMark/>
          </w:tcPr>
          <w:p w:rsidRPr="009B1FAE" w:rsidR="00772BDE" w:rsidP="009B1FAE" w:rsidRDefault="00772BDE" w14:paraId="04FEC901" w14:textId="77777777">
            <w:pPr>
              <w:widowControl/>
              <w:autoSpaceDE/>
              <w:autoSpaceDN/>
              <w:adjustRightInd/>
              <w:jc w:val="center"/>
              <w:rPr>
                <w:color w:val="000000"/>
                <w:sz w:val="22"/>
                <w:szCs w:val="22"/>
              </w:rPr>
            </w:pPr>
            <w:r w:rsidRPr="009B1FAE">
              <w:rPr>
                <w:color w:val="000000"/>
                <w:sz w:val="22"/>
                <w:szCs w:val="22"/>
              </w:rPr>
              <w:t>Total Printing Cost per Vehicle</w:t>
            </w:r>
          </w:p>
        </w:tc>
        <w:tc>
          <w:tcPr>
            <w:tcW w:w="1589" w:type="dxa"/>
            <w:tcBorders>
              <w:top w:val="single" w:color="auto" w:sz="4" w:space="0"/>
              <w:left w:val="nil"/>
              <w:bottom w:val="single" w:color="auto" w:sz="4" w:space="0"/>
              <w:right w:val="single" w:color="auto" w:sz="4" w:space="0"/>
            </w:tcBorders>
            <w:shd w:val="clear" w:color="auto" w:fill="auto"/>
            <w:vAlign w:val="center"/>
            <w:hideMark/>
          </w:tcPr>
          <w:p w:rsidRPr="009B1FAE" w:rsidR="00772BDE" w:rsidP="009B1FAE" w:rsidRDefault="00772BDE" w14:paraId="3D71E8F4" w14:textId="77777777">
            <w:pPr>
              <w:widowControl/>
              <w:autoSpaceDE/>
              <w:autoSpaceDN/>
              <w:adjustRightInd/>
              <w:jc w:val="center"/>
              <w:rPr>
                <w:color w:val="000000"/>
                <w:sz w:val="22"/>
                <w:szCs w:val="22"/>
              </w:rPr>
            </w:pPr>
            <w:r w:rsidRPr="009B1FAE">
              <w:rPr>
                <w:color w:val="000000"/>
                <w:sz w:val="22"/>
                <w:szCs w:val="22"/>
              </w:rPr>
              <w:t>No. of Vehicles per Year</w:t>
            </w:r>
          </w:p>
        </w:tc>
        <w:tc>
          <w:tcPr>
            <w:tcW w:w="1589" w:type="dxa"/>
            <w:tcBorders>
              <w:top w:val="single" w:color="auto" w:sz="4" w:space="0"/>
              <w:left w:val="nil"/>
              <w:bottom w:val="single" w:color="auto" w:sz="4" w:space="0"/>
              <w:right w:val="single" w:color="auto" w:sz="4" w:space="0"/>
            </w:tcBorders>
            <w:shd w:val="clear" w:color="auto" w:fill="auto"/>
            <w:vAlign w:val="center"/>
            <w:hideMark/>
          </w:tcPr>
          <w:p w:rsidRPr="009B1FAE" w:rsidR="00772BDE" w:rsidP="009B1FAE" w:rsidRDefault="00772BDE" w14:paraId="5602BE51" w14:textId="473B4FB7">
            <w:pPr>
              <w:widowControl/>
              <w:autoSpaceDE/>
              <w:autoSpaceDN/>
              <w:adjustRightInd/>
              <w:jc w:val="center"/>
              <w:rPr>
                <w:color w:val="000000"/>
                <w:sz w:val="22"/>
                <w:szCs w:val="22"/>
              </w:rPr>
            </w:pPr>
            <w:r w:rsidRPr="009B1FAE">
              <w:rPr>
                <w:color w:val="000000"/>
                <w:sz w:val="22"/>
                <w:szCs w:val="22"/>
              </w:rPr>
              <w:t xml:space="preserve">Total </w:t>
            </w:r>
            <w:r>
              <w:rPr>
                <w:color w:val="000000"/>
                <w:sz w:val="22"/>
                <w:szCs w:val="22"/>
              </w:rPr>
              <w:t xml:space="preserve">Estimated </w:t>
            </w:r>
            <w:r w:rsidRPr="009B1FAE">
              <w:rPr>
                <w:color w:val="000000"/>
                <w:sz w:val="22"/>
                <w:szCs w:val="22"/>
              </w:rPr>
              <w:t>Printing Cost</w:t>
            </w:r>
          </w:p>
        </w:tc>
      </w:tr>
      <w:tr w:rsidRPr="009B1FAE" w:rsidR="00772BDE" w:rsidTr="004318EA" w14:paraId="080220C1" w14:textId="77777777">
        <w:trPr>
          <w:trHeight w:val="467"/>
          <w:jc w:val="center"/>
        </w:trPr>
        <w:tc>
          <w:tcPr>
            <w:tcW w:w="1615" w:type="dxa"/>
            <w:tcBorders>
              <w:top w:val="nil"/>
              <w:left w:val="single" w:color="auto" w:sz="4" w:space="0"/>
              <w:bottom w:val="single" w:color="auto" w:sz="4" w:space="0"/>
              <w:right w:val="single" w:color="auto" w:sz="4" w:space="0"/>
            </w:tcBorders>
            <w:vAlign w:val="center"/>
          </w:tcPr>
          <w:p w:rsidRPr="009B1FAE" w:rsidR="00772BDE" w:rsidP="0080603F" w:rsidRDefault="00772BDE" w14:paraId="65A50A3C" w14:textId="2B8EC25C">
            <w:pPr>
              <w:widowControl/>
              <w:autoSpaceDE/>
              <w:autoSpaceDN/>
              <w:adjustRightInd/>
              <w:jc w:val="center"/>
              <w:rPr>
                <w:color w:val="000000"/>
                <w:sz w:val="22"/>
                <w:szCs w:val="22"/>
              </w:rPr>
            </w:pPr>
            <w:r w:rsidRPr="00772BDE">
              <w:rPr>
                <w:color w:val="000000"/>
                <w:sz w:val="22"/>
                <w:szCs w:val="22"/>
              </w:rPr>
              <w:t>541: Parts-Marking on 14 major parts (49 CFR 541.5(a)</w:t>
            </w:r>
          </w:p>
        </w:tc>
        <w:tc>
          <w:tcPr>
            <w:tcW w:w="1235" w:type="dxa"/>
            <w:tcBorders>
              <w:top w:val="nil"/>
              <w:left w:val="single" w:color="auto" w:sz="4" w:space="0"/>
              <w:bottom w:val="single" w:color="auto" w:sz="4" w:space="0"/>
              <w:right w:val="single" w:color="auto" w:sz="4" w:space="0"/>
            </w:tcBorders>
            <w:shd w:val="clear" w:color="auto" w:fill="auto"/>
            <w:noWrap/>
            <w:vAlign w:val="center"/>
            <w:hideMark/>
          </w:tcPr>
          <w:p w:rsidRPr="009B1FAE" w:rsidR="00772BDE" w:rsidP="009B1FAE" w:rsidRDefault="00772BDE" w14:paraId="7BF1D92B" w14:textId="41153528">
            <w:pPr>
              <w:widowControl/>
              <w:autoSpaceDE/>
              <w:autoSpaceDN/>
              <w:adjustRightInd/>
              <w:jc w:val="center"/>
              <w:rPr>
                <w:color w:val="000000"/>
                <w:sz w:val="22"/>
                <w:szCs w:val="22"/>
              </w:rPr>
            </w:pPr>
            <w:r w:rsidRPr="009B1FAE">
              <w:rPr>
                <w:color w:val="000000"/>
                <w:sz w:val="22"/>
                <w:szCs w:val="22"/>
              </w:rPr>
              <w:t>14</w:t>
            </w:r>
          </w:p>
        </w:tc>
        <w:tc>
          <w:tcPr>
            <w:tcW w:w="1589" w:type="dxa"/>
            <w:tcBorders>
              <w:top w:val="nil"/>
              <w:left w:val="nil"/>
              <w:bottom w:val="single" w:color="auto" w:sz="4" w:space="0"/>
              <w:right w:val="single" w:color="auto" w:sz="4" w:space="0"/>
            </w:tcBorders>
            <w:shd w:val="clear" w:color="auto" w:fill="auto"/>
            <w:noWrap/>
            <w:vAlign w:val="center"/>
            <w:hideMark/>
          </w:tcPr>
          <w:p w:rsidRPr="009B1FAE" w:rsidR="00772BDE" w:rsidP="009B1FAE" w:rsidRDefault="00772BDE" w14:paraId="0825500B" w14:textId="77777777">
            <w:pPr>
              <w:widowControl/>
              <w:autoSpaceDE/>
              <w:autoSpaceDN/>
              <w:adjustRightInd/>
              <w:jc w:val="center"/>
              <w:rPr>
                <w:color w:val="000000"/>
                <w:sz w:val="22"/>
                <w:szCs w:val="22"/>
              </w:rPr>
            </w:pPr>
            <w:r w:rsidRPr="009B1FAE">
              <w:rPr>
                <w:color w:val="000000"/>
                <w:sz w:val="22"/>
                <w:szCs w:val="22"/>
              </w:rPr>
              <w:t>$0.381</w:t>
            </w:r>
          </w:p>
        </w:tc>
        <w:tc>
          <w:tcPr>
            <w:tcW w:w="1589" w:type="dxa"/>
            <w:tcBorders>
              <w:top w:val="nil"/>
              <w:left w:val="nil"/>
              <w:bottom w:val="single" w:color="auto" w:sz="4" w:space="0"/>
              <w:right w:val="single" w:color="auto" w:sz="4" w:space="0"/>
            </w:tcBorders>
            <w:shd w:val="clear" w:color="auto" w:fill="auto"/>
            <w:noWrap/>
            <w:vAlign w:val="center"/>
            <w:hideMark/>
          </w:tcPr>
          <w:p w:rsidRPr="009B1FAE" w:rsidR="00772BDE" w:rsidP="009B1FAE" w:rsidRDefault="00772BDE" w14:paraId="1A7C6E92" w14:textId="77777777">
            <w:pPr>
              <w:widowControl/>
              <w:autoSpaceDE/>
              <w:autoSpaceDN/>
              <w:adjustRightInd/>
              <w:jc w:val="center"/>
              <w:rPr>
                <w:color w:val="000000"/>
                <w:sz w:val="22"/>
                <w:szCs w:val="22"/>
              </w:rPr>
            </w:pPr>
            <w:r w:rsidRPr="009B1FAE">
              <w:rPr>
                <w:color w:val="000000"/>
                <w:sz w:val="22"/>
                <w:szCs w:val="22"/>
              </w:rPr>
              <w:t>$5.33</w:t>
            </w:r>
          </w:p>
        </w:tc>
        <w:tc>
          <w:tcPr>
            <w:tcW w:w="1589" w:type="dxa"/>
            <w:tcBorders>
              <w:top w:val="nil"/>
              <w:left w:val="nil"/>
              <w:bottom w:val="single" w:color="auto" w:sz="4" w:space="0"/>
              <w:right w:val="single" w:color="auto" w:sz="4" w:space="0"/>
            </w:tcBorders>
            <w:shd w:val="clear" w:color="auto" w:fill="auto"/>
            <w:noWrap/>
            <w:vAlign w:val="center"/>
            <w:hideMark/>
          </w:tcPr>
          <w:p w:rsidRPr="009B1FAE" w:rsidR="00772BDE" w:rsidP="009B1FAE" w:rsidRDefault="00772BDE" w14:paraId="32AA8FD6" w14:textId="77777777">
            <w:pPr>
              <w:widowControl/>
              <w:autoSpaceDE/>
              <w:autoSpaceDN/>
              <w:adjustRightInd/>
              <w:jc w:val="center"/>
              <w:rPr>
                <w:color w:val="000000"/>
                <w:sz w:val="22"/>
                <w:szCs w:val="22"/>
              </w:rPr>
            </w:pPr>
            <w:r w:rsidRPr="009B1FAE">
              <w:rPr>
                <w:color w:val="000000"/>
                <w:sz w:val="22"/>
                <w:szCs w:val="22"/>
              </w:rPr>
              <w:t>4.5 million</w:t>
            </w:r>
          </w:p>
        </w:tc>
        <w:tc>
          <w:tcPr>
            <w:tcW w:w="1589" w:type="dxa"/>
            <w:tcBorders>
              <w:top w:val="nil"/>
              <w:left w:val="nil"/>
              <w:bottom w:val="single" w:color="auto" w:sz="4" w:space="0"/>
              <w:right w:val="single" w:color="auto" w:sz="4" w:space="0"/>
            </w:tcBorders>
            <w:shd w:val="clear" w:color="auto" w:fill="auto"/>
            <w:noWrap/>
            <w:vAlign w:val="center"/>
            <w:hideMark/>
          </w:tcPr>
          <w:p w:rsidRPr="009B1FAE" w:rsidR="00772BDE" w:rsidP="009B1FAE" w:rsidRDefault="00772BDE" w14:paraId="545CD271" w14:textId="77777777">
            <w:pPr>
              <w:widowControl/>
              <w:autoSpaceDE/>
              <w:autoSpaceDN/>
              <w:adjustRightInd/>
              <w:jc w:val="center"/>
              <w:rPr>
                <w:color w:val="000000"/>
                <w:sz w:val="22"/>
                <w:szCs w:val="22"/>
              </w:rPr>
            </w:pPr>
            <w:r w:rsidRPr="009B1FAE">
              <w:rPr>
                <w:color w:val="000000"/>
                <w:sz w:val="22"/>
                <w:szCs w:val="22"/>
              </w:rPr>
              <w:t>$24,003,000</w:t>
            </w:r>
          </w:p>
        </w:tc>
      </w:tr>
    </w:tbl>
    <w:p w:rsidR="009B1FAE" w:rsidRDefault="009B1FAE" w14:paraId="2D303561" w14:textId="77777777">
      <w:pPr>
        <w:pStyle w:val="BodyTextIndent"/>
      </w:pPr>
    </w:p>
    <w:p w:rsidR="00637CD4" w:rsidRDefault="00637CD4" w14:paraId="61F74874" w14:textId="77777777">
      <w:pPr>
        <w:pStyle w:val="BodyTextIndent"/>
      </w:pPr>
    </w:p>
    <w:p w:rsidR="00466CD7" w:rsidP="00907A4E" w:rsidRDefault="007E7017" w14:paraId="118C49CF" w14:textId="77DFCB22">
      <w:pPr>
        <w:pStyle w:val="BodyTextIndent"/>
        <w:ind w:left="0"/>
      </w:pPr>
      <w:r>
        <w:t xml:space="preserve">Target area submissions </w:t>
      </w:r>
      <w:r w:rsidRPr="00CF3FDA">
        <w:t>require no additional costs to the respondents</w:t>
      </w:r>
      <w:r w:rsidR="00993D3E">
        <w:t xml:space="preserve"> above and beyond the labor costs</w:t>
      </w:r>
      <w:r w:rsidRPr="00CF3FDA">
        <w:t>.</w:t>
      </w:r>
    </w:p>
    <w:p w:rsidR="002E12CB" w:rsidRDefault="002E12CB" w14:paraId="4DF839B4" w14:textId="77777777">
      <w:pPr>
        <w:widowControl/>
        <w:autoSpaceDE/>
        <w:autoSpaceDN/>
        <w:adjustRightInd/>
        <w:rPr>
          <w:sz w:val="24"/>
          <w:szCs w:val="24"/>
        </w:rPr>
      </w:pPr>
    </w:p>
    <w:p w:rsidRPr="00B65D08" w:rsidR="00466CD7" w:rsidP="00907A4E" w:rsidRDefault="00466CD7" w14:paraId="46CA8E60" w14:textId="66CADFEB">
      <w:pPr>
        <w:pStyle w:val="BodyTextIndent"/>
        <w:ind w:left="0"/>
        <w:rPr>
          <w:highlight w:val="yellow"/>
        </w:rPr>
      </w:pPr>
      <w:r w:rsidRPr="00466CD7">
        <w:rPr>
          <w:u w:val="single"/>
        </w:rPr>
        <w:t>49 CFR Parts 542.</w:t>
      </w:r>
    </w:p>
    <w:p w:rsidR="00805044" w:rsidRDefault="00805044" w14:paraId="63C4C680" w14:textId="77777777">
      <w:pPr>
        <w:pStyle w:val="BodyTextIndent"/>
      </w:pPr>
    </w:p>
    <w:p w:rsidR="0087020E" w:rsidP="00907A4E" w:rsidRDefault="00805044" w14:paraId="5B96D2AC" w14:textId="46A39D4A">
      <w:pPr>
        <w:pStyle w:val="BodyTextIndent"/>
        <w:ind w:left="0"/>
      </w:pPr>
      <w:r w:rsidRPr="00805044">
        <w:t>NHTSA estimates t</w:t>
      </w:r>
      <w:r w:rsidR="00392960">
        <w:t>hat</w:t>
      </w:r>
      <w:r w:rsidRPr="00805044">
        <w:t xml:space="preserve"> meeting Part 542 </w:t>
      </w:r>
      <w:r w:rsidR="00963068">
        <w:t>involves</w:t>
      </w:r>
      <w:r w:rsidRPr="00805044">
        <w:t xml:space="preserve"> no additional costs to the respondents</w:t>
      </w:r>
      <w:r w:rsidR="00993D3E">
        <w:t xml:space="preserve"> above and beyond the labor costs</w:t>
      </w:r>
      <w:r w:rsidR="00963068">
        <w:t xml:space="preserve"> associated with the burden hours</w:t>
      </w:r>
      <w:r w:rsidRPr="00805044">
        <w:t>.</w:t>
      </w:r>
    </w:p>
    <w:p w:rsidR="00976291" w:rsidP="00976291" w:rsidRDefault="00976291" w14:paraId="441CF2F1" w14:textId="77777777">
      <w:pPr>
        <w:pStyle w:val="BodyTextIndent"/>
      </w:pPr>
    </w:p>
    <w:p w:rsidRPr="00907A4E" w:rsidR="004B6DAD" w:rsidP="004B6DAD" w:rsidRDefault="004172D7" w14:paraId="6EB4A0DF" w14:textId="0D5A017C">
      <w:pPr>
        <w:pStyle w:val="ListParagraph"/>
        <w:numPr>
          <w:ilvl w:val="0"/>
          <w:numId w:val="10"/>
        </w:numPr>
        <w:rPr>
          <w:b/>
          <w:bCs/>
          <w:sz w:val="24"/>
          <w:szCs w:val="24"/>
        </w:rPr>
      </w:pPr>
      <w:r w:rsidRPr="00907A4E">
        <w:rPr>
          <w:b/>
          <w:bCs/>
          <w:sz w:val="24"/>
          <w:szCs w:val="24"/>
        </w:rPr>
        <w:t>P</w:t>
      </w:r>
      <w:r w:rsidRPr="00907A4E" w:rsidR="004B6DAD">
        <w:rPr>
          <w:b/>
          <w:bCs/>
          <w:sz w:val="24"/>
          <w:szCs w:val="24"/>
        </w:rPr>
        <w:t xml:space="preserve">rovide estimates of annualized costs to the Federal government.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4B6DAD" w:rsidR="004172D7" w:rsidP="00907A4E" w:rsidRDefault="00290FA5" w14:paraId="26166078" w14:textId="50B594D5">
      <w:r w:rsidRPr="004B6DAD">
        <w:t xml:space="preserve"> </w:t>
      </w:r>
    </w:p>
    <w:p w:rsidRPr="00261B2C" w:rsidR="004172D7" w:rsidP="00907A4E" w:rsidRDefault="004172D7" w14:paraId="437FAE8A" w14:textId="30C5C91C">
      <w:pPr>
        <w:rPr>
          <w:sz w:val="24"/>
          <w:szCs w:val="24"/>
        </w:rPr>
      </w:pPr>
      <w:r w:rsidRPr="00261B2C">
        <w:rPr>
          <w:sz w:val="24"/>
          <w:szCs w:val="24"/>
          <w:u w:val="single"/>
        </w:rPr>
        <w:t xml:space="preserve">49 CFR Parts </w:t>
      </w:r>
      <w:r w:rsidR="004B6705">
        <w:rPr>
          <w:sz w:val="24"/>
          <w:szCs w:val="24"/>
          <w:u w:val="single"/>
        </w:rPr>
        <w:t>541</w:t>
      </w:r>
      <w:r w:rsidR="00993D3E">
        <w:rPr>
          <w:sz w:val="24"/>
          <w:szCs w:val="24"/>
          <w:u w:val="single"/>
        </w:rPr>
        <w:t xml:space="preserve"> </w:t>
      </w:r>
      <w:r w:rsidRPr="00261B2C">
        <w:rPr>
          <w:sz w:val="24"/>
          <w:szCs w:val="24"/>
          <w:u w:val="single"/>
        </w:rPr>
        <w:t>and 5</w:t>
      </w:r>
      <w:r w:rsidR="004B6705">
        <w:rPr>
          <w:sz w:val="24"/>
          <w:szCs w:val="24"/>
          <w:u w:val="single"/>
        </w:rPr>
        <w:t>42</w:t>
      </w:r>
    </w:p>
    <w:p w:rsidRPr="00B65D08" w:rsidR="004172D7" w:rsidRDefault="004172D7" w14:paraId="1457C0E6" w14:textId="77777777">
      <w:pPr>
        <w:rPr>
          <w:sz w:val="24"/>
          <w:szCs w:val="24"/>
          <w:highlight w:val="yellow"/>
        </w:rPr>
      </w:pPr>
    </w:p>
    <w:p w:rsidRPr="00950673" w:rsidR="003E13ED" w:rsidP="00907A4E" w:rsidRDefault="00603E84" w14:paraId="4C11B302" w14:textId="7D1745A2">
      <w:pPr>
        <w:rPr>
          <w:sz w:val="24"/>
          <w:szCs w:val="24"/>
        </w:rPr>
      </w:pPr>
      <w:r>
        <w:rPr>
          <w:sz w:val="24"/>
          <w:szCs w:val="24"/>
        </w:rPr>
        <w:t>NHTSA records and maintains information on 49 CFR Parts 541</w:t>
      </w:r>
      <w:r w:rsidR="00993D3E">
        <w:rPr>
          <w:sz w:val="24"/>
          <w:szCs w:val="24"/>
        </w:rPr>
        <w:t xml:space="preserve"> and </w:t>
      </w:r>
      <w:r>
        <w:rPr>
          <w:sz w:val="24"/>
          <w:szCs w:val="24"/>
        </w:rPr>
        <w:t xml:space="preserve">542.  </w:t>
      </w:r>
      <w:r w:rsidR="00903390">
        <w:rPr>
          <w:sz w:val="24"/>
          <w:szCs w:val="24"/>
        </w:rPr>
        <w:t xml:space="preserve">The annualized cost to the Federal Government to review the respondents’ </w:t>
      </w:r>
      <w:r w:rsidR="00742FDD">
        <w:rPr>
          <w:sz w:val="24"/>
          <w:szCs w:val="24"/>
        </w:rPr>
        <w:t>information</w:t>
      </w:r>
      <w:r w:rsidR="00903390">
        <w:rPr>
          <w:sz w:val="24"/>
          <w:szCs w:val="24"/>
        </w:rPr>
        <w:t xml:space="preserve"> for compliance, to analyze </w:t>
      </w:r>
      <w:r w:rsidR="00903390">
        <w:rPr>
          <w:sz w:val="24"/>
          <w:szCs w:val="24"/>
        </w:rPr>
        <w:lastRenderedPageBreak/>
        <w:t xml:space="preserve">the information, to distribute reports to NHTSA users, and to control and to store the information is </w:t>
      </w:r>
      <w:r w:rsidRPr="00290FA5" w:rsidR="00290FA5">
        <w:rPr>
          <w:sz w:val="24"/>
          <w:szCs w:val="24"/>
        </w:rPr>
        <w:t>expected to take approximately 30% of one federal employee’s time</w:t>
      </w:r>
      <w:r>
        <w:rPr>
          <w:sz w:val="24"/>
          <w:szCs w:val="24"/>
        </w:rPr>
        <w:t xml:space="preserve">.  </w:t>
      </w:r>
      <w:r w:rsidRPr="00EC2201" w:rsidR="00EC2201">
        <w:rPr>
          <w:sz w:val="24"/>
          <w:szCs w:val="24"/>
        </w:rPr>
        <w:t>To calculate the cost associated with th</w:t>
      </w:r>
      <w:r w:rsidR="003E13ED">
        <w:rPr>
          <w:sz w:val="24"/>
          <w:szCs w:val="24"/>
        </w:rPr>
        <w:t>is</w:t>
      </w:r>
      <w:r w:rsidRPr="00EC2201" w:rsidR="00EC2201">
        <w:rPr>
          <w:sz w:val="24"/>
          <w:szCs w:val="24"/>
        </w:rPr>
        <w:t xml:space="preserve"> time, NHTSA used wage data for a GS-</w:t>
      </w:r>
      <w:r w:rsidR="003E13ED">
        <w:rPr>
          <w:sz w:val="24"/>
          <w:szCs w:val="24"/>
        </w:rPr>
        <w:t>12</w:t>
      </w:r>
      <w:r w:rsidRPr="00EC2201" w:rsidR="00EC2201">
        <w:rPr>
          <w:sz w:val="24"/>
          <w:szCs w:val="24"/>
        </w:rPr>
        <w:t>, step 5 employee in the Washington, DC area. The</w:t>
      </w:r>
      <w:r w:rsidR="003E13ED">
        <w:rPr>
          <w:sz w:val="24"/>
          <w:szCs w:val="24"/>
        </w:rPr>
        <w:t xml:space="preserve"> annual salary</w:t>
      </w:r>
      <w:r w:rsidRPr="00EC2201" w:rsidR="00EC2201">
        <w:rPr>
          <w:sz w:val="24"/>
          <w:szCs w:val="24"/>
        </w:rPr>
        <w:t xml:space="preserve"> of a GS-</w:t>
      </w:r>
      <w:r w:rsidR="003E13ED">
        <w:rPr>
          <w:sz w:val="24"/>
          <w:szCs w:val="24"/>
        </w:rPr>
        <w:t>12</w:t>
      </w:r>
      <w:r w:rsidRPr="00EC2201" w:rsidR="00EC2201">
        <w:rPr>
          <w:sz w:val="24"/>
          <w:szCs w:val="24"/>
        </w:rPr>
        <w:t>-5 employee is $</w:t>
      </w:r>
      <w:r w:rsidR="003E13ED">
        <w:rPr>
          <w:sz w:val="24"/>
          <w:szCs w:val="24"/>
        </w:rPr>
        <w:t>101,813</w:t>
      </w:r>
      <w:r w:rsidRPr="00EC2201" w:rsidR="00EC2201">
        <w:rPr>
          <w:sz w:val="24"/>
          <w:szCs w:val="24"/>
        </w:rPr>
        <w:t>.</w:t>
      </w:r>
      <w:r w:rsidRPr="00EC2201" w:rsidR="00EC2201">
        <w:rPr>
          <w:sz w:val="24"/>
          <w:szCs w:val="24"/>
          <w:vertAlign w:val="superscript"/>
        </w:rPr>
        <w:footnoteReference w:id="7"/>
      </w:r>
      <w:r w:rsidRPr="00EC2201" w:rsidR="00EC2201">
        <w:rPr>
          <w:sz w:val="24"/>
          <w:szCs w:val="24"/>
        </w:rPr>
        <w:t xml:space="preserve">  To estimate total compensation costs, NHTSA used the Bureau of Labor Statistics’ estimate that wages and salary only represent 62.0% of total employee compensation cost for State and local employees,</w:t>
      </w:r>
      <w:r w:rsidRPr="00EC2201" w:rsidR="00EC2201">
        <w:rPr>
          <w:sz w:val="24"/>
          <w:szCs w:val="24"/>
          <w:vertAlign w:val="superscript"/>
        </w:rPr>
        <w:footnoteReference w:id="8"/>
      </w:r>
      <w:r w:rsidRPr="00EC2201" w:rsidR="00EC2201">
        <w:rPr>
          <w:sz w:val="24"/>
          <w:szCs w:val="24"/>
        </w:rPr>
        <w:t xml:space="preserve"> which brings the total </w:t>
      </w:r>
      <w:r w:rsidR="007A16A0">
        <w:rPr>
          <w:sz w:val="24"/>
          <w:szCs w:val="24"/>
        </w:rPr>
        <w:t xml:space="preserve">annual </w:t>
      </w:r>
      <w:r w:rsidRPr="00EC2201" w:rsidR="00EC2201">
        <w:rPr>
          <w:sz w:val="24"/>
          <w:szCs w:val="24"/>
        </w:rPr>
        <w:t>cost for this employee’s time to $</w:t>
      </w:r>
      <w:r w:rsidR="007A16A0">
        <w:rPr>
          <w:sz w:val="24"/>
          <w:szCs w:val="24"/>
        </w:rPr>
        <w:t>164,214.52</w:t>
      </w:r>
      <w:r w:rsidRPr="00EC2201" w:rsidR="00EC2201">
        <w:rPr>
          <w:sz w:val="24"/>
          <w:szCs w:val="24"/>
        </w:rPr>
        <w:t xml:space="preserve">. Therefore, NHTSA estimates the total annual cost to the Federal government for </w:t>
      </w:r>
      <w:r w:rsidR="007A16A0">
        <w:rPr>
          <w:sz w:val="24"/>
          <w:szCs w:val="24"/>
        </w:rPr>
        <w:t>processing the information</w:t>
      </w:r>
      <w:r w:rsidRPr="00EC2201" w:rsidR="00EC2201">
        <w:rPr>
          <w:sz w:val="24"/>
          <w:szCs w:val="24"/>
        </w:rPr>
        <w:t xml:space="preserve"> to be $</w:t>
      </w:r>
      <w:r w:rsidR="00AA3ABA">
        <w:rPr>
          <w:sz w:val="24"/>
          <w:szCs w:val="24"/>
        </w:rPr>
        <w:t>49,264.36</w:t>
      </w:r>
      <w:r w:rsidRPr="00EC2201" w:rsidR="00EC2201">
        <w:rPr>
          <w:sz w:val="24"/>
          <w:szCs w:val="24"/>
        </w:rPr>
        <w:t xml:space="preserve"> ($</w:t>
      </w:r>
      <w:r w:rsidR="007A16A0">
        <w:rPr>
          <w:sz w:val="24"/>
          <w:szCs w:val="24"/>
        </w:rPr>
        <w:t>164,214.52</w:t>
      </w:r>
      <w:r w:rsidRPr="00EC2201" w:rsidR="00EC2201">
        <w:rPr>
          <w:sz w:val="24"/>
          <w:szCs w:val="24"/>
        </w:rPr>
        <w:t xml:space="preserve"> × </w:t>
      </w:r>
      <w:r w:rsidR="00AA3ABA">
        <w:rPr>
          <w:sz w:val="24"/>
          <w:szCs w:val="24"/>
        </w:rPr>
        <w:t>.3</w:t>
      </w:r>
      <w:r w:rsidRPr="00EC2201" w:rsidR="00EC2201">
        <w:rPr>
          <w:sz w:val="24"/>
          <w:szCs w:val="24"/>
        </w:rPr>
        <w:t>).</w:t>
      </w:r>
    </w:p>
    <w:p w:rsidRPr="00B65D08" w:rsidR="004172D7" w:rsidRDefault="004172D7" w14:paraId="7C7AAC1C" w14:textId="77777777">
      <w:pPr>
        <w:tabs>
          <w:tab w:val="left" w:pos="720"/>
        </w:tabs>
        <w:ind w:left="720" w:hanging="720"/>
        <w:rPr>
          <w:sz w:val="24"/>
          <w:szCs w:val="24"/>
          <w:highlight w:val="yellow"/>
        </w:rPr>
      </w:pPr>
    </w:p>
    <w:p w:rsidRPr="00907A4E" w:rsidR="00181F75" w:rsidP="00907A4E" w:rsidRDefault="004172D7" w14:paraId="1ACC6CFD" w14:textId="09C7EA0A">
      <w:pPr>
        <w:pStyle w:val="ListParagraph"/>
        <w:numPr>
          <w:ilvl w:val="0"/>
          <w:numId w:val="10"/>
        </w:numPr>
        <w:tabs>
          <w:tab w:val="left" w:pos="720"/>
        </w:tabs>
        <w:rPr>
          <w:b/>
          <w:bCs/>
          <w:sz w:val="24"/>
          <w:szCs w:val="24"/>
        </w:rPr>
      </w:pPr>
      <w:r w:rsidRPr="00907A4E">
        <w:rPr>
          <w:b/>
          <w:bCs/>
          <w:sz w:val="24"/>
          <w:szCs w:val="24"/>
        </w:rPr>
        <w:t xml:space="preserve">Explain the reasons for any program changes or adjustments reported </w:t>
      </w:r>
      <w:r w:rsidRPr="00907A4E" w:rsidR="0097452D">
        <w:rPr>
          <w:b/>
          <w:bCs/>
          <w:sz w:val="24"/>
          <w:szCs w:val="24"/>
        </w:rPr>
        <w:t>on the burden worksheet</w:t>
      </w:r>
      <w:r w:rsidRPr="00907A4E">
        <w:rPr>
          <w:b/>
          <w:bCs/>
          <w:sz w:val="24"/>
          <w:szCs w:val="24"/>
        </w:rPr>
        <w:t>.</w:t>
      </w:r>
      <w:r w:rsidRPr="00907A4E" w:rsidR="0097452D">
        <w:rPr>
          <w:b/>
          <w:bCs/>
          <w:sz w:val="24"/>
          <w:szCs w:val="24"/>
        </w:rPr>
        <w:t xml:space="preserve">  If this is a new collection, the program change will be the entire burden cost and number of burden hours reported in response to questions 12 and 13.  If this is a renewal or reinstatement, the change is the difference between the new burden estimates and the burden estimates from the last OMB approval.</w:t>
      </w:r>
    </w:p>
    <w:p w:rsidR="00C235B5" w:rsidP="00072B33" w:rsidRDefault="00C235B5" w14:paraId="3F8B957A" w14:textId="77777777">
      <w:pPr>
        <w:pStyle w:val="BodyTextIndent"/>
        <w:ind w:left="0"/>
        <w:rPr>
          <w:u w:val="single"/>
        </w:rPr>
      </w:pPr>
    </w:p>
    <w:p w:rsidR="00A61765" w:rsidP="00907A4E" w:rsidRDefault="004002E6" w14:paraId="68F24209" w14:textId="248AFF08">
      <w:pPr>
        <w:pStyle w:val="BodyTextIndent"/>
        <w:ind w:left="0"/>
      </w:pPr>
      <w:r w:rsidRPr="000B29FE">
        <w:t xml:space="preserve">This is a </w:t>
      </w:r>
      <w:r w:rsidRPr="0058271C" w:rsidR="0058271C">
        <w:t>reinstatement of a previously approved information collection</w:t>
      </w:r>
      <w:r w:rsidR="00AA3ABA">
        <w:t>. It increases burden by 150,550 hours and</w:t>
      </w:r>
      <w:r w:rsidR="00E81DD2">
        <w:t xml:space="preserve"> </w:t>
      </w:r>
      <w:r w:rsidRPr="00E81DD2" w:rsidR="00E81DD2">
        <w:t>$24,003,000</w:t>
      </w:r>
      <w:r w:rsidR="00181F75">
        <w:t xml:space="preserve">.  </w:t>
      </w:r>
      <w:r w:rsidRPr="00931DE4" w:rsidR="00931DE4">
        <w:t>However, during the previous submission the hours were 267,356, which now is a reduction of 116,806 hours from the previous submission</w:t>
      </w:r>
      <w:r w:rsidR="00931DE4">
        <w:t>.</w:t>
      </w:r>
      <w:r w:rsidR="00067D00">
        <w:t xml:space="preserve"> This reduction is due to the </w:t>
      </w:r>
      <w:r w:rsidR="0088254E">
        <w:t xml:space="preserve">decreased </w:t>
      </w:r>
      <w:r w:rsidR="00FB309A">
        <w:t>number</w:t>
      </w:r>
      <w:r w:rsidR="00067D00">
        <w:t xml:space="preserve"> of vehicles requiring stamping (previously 8 million) and the number of target area</w:t>
      </w:r>
      <w:r w:rsidR="007705EB">
        <w:t xml:space="preserve"> submission</w:t>
      </w:r>
      <w:r w:rsidR="00067D00">
        <w:t xml:space="preserve">s to be stamped (previously 30).  The costs for printing have </w:t>
      </w:r>
      <w:r w:rsidR="001404A2">
        <w:t xml:space="preserve">decreased by </w:t>
      </w:r>
      <w:r w:rsidR="00067D00">
        <w:t>$57,917,000 from the last OMB approval.  Not only have the number of vehicles reduced by 3.5 million, but the previous approval included labor costs (burden hour costs) in the printing costs.  The printing cost per label, $5.33, has remained the same.</w:t>
      </w:r>
    </w:p>
    <w:p w:rsidR="004A1165" w:rsidP="00C235B5" w:rsidRDefault="004A1165" w14:paraId="30DC4683" w14:textId="77777777">
      <w:pPr>
        <w:pStyle w:val="BodyTextIndent"/>
      </w:pPr>
    </w:p>
    <w:p w:rsidRPr="00907A4E" w:rsidR="004172D7" w:rsidP="00907A4E" w:rsidRDefault="00C15119" w14:paraId="0D89D101" w14:textId="1CD9BC9A">
      <w:pPr>
        <w:pStyle w:val="ListParagraph"/>
        <w:numPr>
          <w:ilvl w:val="0"/>
          <w:numId w:val="10"/>
        </w:numPr>
        <w:tabs>
          <w:tab w:val="left" w:pos="720"/>
        </w:tabs>
        <w:rPr>
          <w:b/>
          <w:bCs/>
          <w:sz w:val="24"/>
          <w:szCs w:val="24"/>
        </w:rPr>
      </w:pPr>
      <w:r w:rsidRPr="00907A4E">
        <w:rPr>
          <w:b/>
          <w:bCs/>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as applicable.</w:t>
      </w:r>
    </w:p>
    <w:p w:rsidRPr="0002050E" w:rsidR="004172D7" w:rsidRDefault="004172D7" w14:paraId="7B23DCCA" w14:textId="77777777">
      <w:pPr>
        <w:rPr>
          <w:sz w:val="24"/>
          <w:szCs w:val="24"/>
        </w:rPr>
      </w:pPr>
    </w:p>
    <w:p w:rsidR="004830BA" w:rsidP="001404A2" w:rsidRDefault="00AC2176" w14:paraId="300C261C" w14:textId="6DB6F3D8">
      <w:pPr>
        <w:rPr>
          <w:sz w:val="24"/>
          <w:szCs w:val="24"/>
        </w:rPr>
      </w:pPr>
      <w:r>
        <w:rPr>
          <w:sz w:val="24"/>
          <w:szCs w:val="24"/>
        </w:rPr>
        <w:t xml:space="preserve">NHTSA intends to make information related to three of the information collections described in this notice available to the public.  First, NHTSA intends to </w:t>
      </w:r>
      <w:r w:rsidR="004830BA">
        <w:rPr>
          <w:sz w:val="24"/>
          <w:szCs w:val="24"/>
        </w:rPr>
        <w:t xml:space="preserve">make the information about the target areas </w:t>
      </w:r>
      <w:r w:rsidRPr="004830BA" w:rsidR="004830BA">
        <w:rPr>
          <w:sz w:val="24"/>
          <w:szCs w:val="24"/>
        </w:rPr>
        <w:t>publicly available to aid law enforcement personnel in tracing stolen vehicles and their parts.</w:t>
      </w:r>
      <w:r w:rsidR="004830BA">
        <w:rPr>
          <w:sz w:val="24"/>
          <w:szCs w:val="24"/>
        </w:rPr>
        <w:t xml:space="preserve"> Second, NHTSA will make information available regarding its determinations of whether new LDT lines are required to be parts-marked available. </w:t>
      </w:r>
      <w:r w:rsidR="00DD3B90">
        <w:rPr>
          <w:sz w:val="24"/>
          <w:szCs w:val="24"/>
        </w:rPr>
        <w:t xml:space="preserve">This information is intended to let law enforcement know which lines are subject to the parts-marking requirements. </w:t>
      </w:r>
    </w:p>
    <w:p w:rsidRPr="0002050E" w:rsidR="004172D7" w:rsidRDefault="004172D7" w14:paraId="32B898B9" w14:textId="77777777">
      <w:pPr>
        <w:rPr>
          <w:sz w:val="24"/>
          <w:szCs w:val="24"/>
        </w:rPr>
      </w:pPr>
    </w:p>
    <w:p w:rsidRPr="00907A4E" w:rsidR="004172D7" w:rsidP="00907A4E" w:rsidRDefault="004172D7" w14:paraId="6EC7C114" w14:textId="5B4E2381">
      <w:pPr>
        <w:pStyle w:val="ListParagraph"/>
        <w:numPr>
          <w:ilvl w:val="0"/>
          <w:numId w:val="10"/>
        </w:numPr>
        <w:tabs>
          <w:tab w:val="left" w:pos="720"/>
        </w:tabs>
        <w:rPr>
          <w:b/>
          <w:bCs/>
          <w:sz w:val="24"/>
          <w:szCs w:val="24"/>
        </w:rPr>
      </w:pPr>
      <w:r w:rsidRPr="00907A4E">
        <w:rPr>
          <w:b/>
          <w:bCs/>
          <w:sz w:val="24"/>
          <w:szCs w:val="24"/>
        </w:rPr>
        <w:t>If seeking approval to not display the expiration date for OMB approval of the information collection, explain the reasons that display would be inappropriate.</w:t>
      </w:r>
    </w:p>
    <w:p w:rsidRPr="0002050E" w:rsidR="004172D7" w:rsidRDefault="004172D7" w14:paraId="00470E3C" w14:textId="77777777">
      <w:pPr>
        <w:rPr>
          <w:sz w:val="24"/>
          <w:szCs w:val="24"/>
        </w:rPr>
      </w:pPr>
    </w:p>
    <w:p w:rsidRPr="0002050E" w:rsidR="004172D7" w:rsidP="00907A4E" w:rsidRDefault="00143318" w14:paraId="40F9D1EA" w14:textId="252784D3">
      <w:pPr>
        <w:rPr>
          <w:sz w:val="24"/>
          <w:szCs w:val="24"/>
          <w:u w:val="single"/>
        </w:rPr>
      </w:pPr>
      <w:r>
        <w:rPr>
          <w:sz w:val="24"/>
          <w:szCs w:val="24"/>
        </w:rPr>
        <w:t>NHTSA is seeking approval to not display the expiration date for this collection because it is contained in a regulation and displaying the expiration date would require rulemaking.</w:t>
      </w:r>
    </w:p>
    <w:p w:rsidR="003C0B41" w:rsidP="00072B33" w:rsidRDefault="003C0B41" w14:paraId="78597BB1" w14:textId="77777777">
      <w:pPr>
        <w:tabs>
          <w:tab w:val="left" w:pos="720"/>
        </w:tabs>
        <w:rPr>
          <w:sz w:val="24"/>
          <w:szCs w:val="24"/>
        </w:rPr>
      </w:pPr>
    </w:p>
    <w:p w:rsidRPr="00907A4E" w:rsidR="004172D7" w:rsidP="00907A4E" w:rsidRDefault="004172D7" w14:paraId="1BEB33EF" w14:textId="4BE4C3A0">
      <w:pPr>
        <w:pStyle w:val="ListParagraph"/>
        <w:numPr>
          <w:ilvl w:val="0"/>
          <w:numId w:val="10"/>
        </w:numPr>
        <w:tabs>
          <w:tab w:val="left" w:pos="720"/>
        </w:tabs>
        <w:rPr>
          <w:b/>
          <w:bCs/>
          <w:sz w:val="24"/>
          <w:szCs w:val="24"/>
        </w:rPr>
      </w:pPr>
      <w:r w:rsidRPr="00907A4E">
        <w:rPr>
          <w:b/>
          <w:bCs/>
          <w:sz w:val="24"/>
          <w:szCs w:val="24"/>
        </w:rPr>
        <w:t xml:space="preserve">Explain each exception to the certification statement identified in “Certification for </w:t>
      </w:r>
      <w:r w:rsidRPr="00907A4E" w:rsidR="00BB6216">
        <w:rPr>
          <w:b/>
          <w:bCs/>
          <w:sz w:val="24"/>
          <w:szCs w:val="24"/>
        </w:rPr>
        <w:t>P</w:t>
      </w:r>
      <w:r w:rsidRPr="00907A4E">
        <w:rPr>
          <w:b/>
          <w:bCs/>
          <w:sz w:val="24"/>
          <w:szCs w:val="24"/>
        </w:rPr>
        <w:t xml:space="preserve">aperwork </w:t>
      </w:r>
      <w:r w:rsidRPr="00907A4E" w:rsidR="00BB6216">
        <w:rPr>
          <w:b/>
          <w:bCs/>
          <w:sz w:val="24"/>
          <w:szCs w:val="24"/>
        </w:rPr>
        <w:t>R</w:t>
      </w:r>
      <w:r w:rsidRPr="00907A4E">
        <w:rPr>
          <w:b/>
          <w:bCs/>
          <w:sz w:val="24"/>
          <w:szCs w:val="24"/>
        </w:rPr>
        <w:t xml:space="preserve">eduction </w:t>
      </w:r>
      <w:r w:rsidRPr="00907A4E" w:rsidR="00BB6216">
        <w:rPr>
          <w:b/>
          <w:bCs/>
          <w:sz w:val="24"/>
          <w:szCs w:val="24"/>
        </w:rPr>
        <w:t>A</w:t>
      </w:r>
      <w:r w:rsidRPr="00907A4E">
        <w:rPr>
          <w:b/>
          <w:bCs/>
          <w:sz w:val="24"/>
          <w:szCs w:val="24"/>
        </w:rPr>
        <w:t xml:space="preserve">ct </w:t>
      </w:r>
      <w:r w:rsidRPr="00907A4E" w:rsidR="00BB6216">
        <w:rPr>
          <w:b/>
          <w:bCs/>
          <w:sz w:val="24"/>
          <w:szCs w:val="24"/>
        </w:rPr>
        <w:t>S</w:t>
      </w:r>
      <w:r w:rsidRPr="00907A4E">
        <w:rPr>
          <w:b/>
          <w:bCs/>
          <w:sz w:val="24"/>
          <w:szCs w:val="24"/>
        </w:rPr>
        <w:t>ubmissions</w:t>
      </w:r>
      <w:r w:rsidRPr="00907A4E" w:rsidR="00F61C1A">
        <w:rPr>
          <w:b/>
          <w:bCs/>
          <w:sz w:val="24"/>
          <w:szCs w:val="24"/>
        </w:rPr>
        <w:t>.</w:t>
      </w:r>
      <w:r w:rsidRPr="00907A4E">
        <w:rPr>
          <w:b/>
          <w:bCs/>
          <w:sz w:val="24"/>
          <w:szCs w:val="24"/>
        </w:rPr>
        <w:t xml:space="preserve">” </w:t>
      </w:r>
      <w:r w:rsidRPr="00907A4E" w:rsidR="00F61C1A">
        <w:rPr>
          <w:b/>
          <w:bCs/>
          <w:sz w:val="24"/>
          <w:szCs w:val="24"/>
        </w:rPr>
        <w:t>The required certifications can be found at 5 CFR 1320.9</w:t>
      </w:r>
      <w:r w:rsidRPr="00907A4E">
        <w:rPr>
          <w:b/>
          <w:bCs/>
          <w:sz w:val="24"/>
          <w:szCs w:val="24"/>
        </w:rPr>
        <w:t>.</w:t>
      </w:r>
    </w:p>
    <w:p w:rsidRPr="0002050E" w:rsidR="004172D7" w:rsidRDefault="004172D7" w14:paraId="29340A67" w14:textId="77777777">
      <w:pPr>
        <w:rPr>
          <w:sz w:val="24"/>
          <w:szCs w:val="24"/>
        </w:rPr>
      </w:pPr>
    </w:p>
    <w:p w:rsidR="004172D7" w:rsidRDefault="004172D7" w14:paraId="4C7FDC32" w14:textId="077FE7B6">
      <w:pPr>
        <w:rPr>
          <w:sz w:val="24"/>
          <w:szCs w:val="24"/>
        </w:rPr>
      </w:pPr>
      <w:r w:rsidRPr="0002050E">
        <w:rPr>
          <w:sz w:val="24"/>
          <w:szCs w:val="24"/>
        </w:rPr>
        <w:t>No exceptions to the certification statement are made.</w:t>
      </w:r>
    </w:p>
    <w:p w:rsidR="009B0EEB" w:rsidP="00907A4E" w:rsidRDefault="009B0EEB" w14:paraId="11E8D9AD" w14:textId="77777777">
      <w:pPr>
        <w:pStyle w:val="BodyTextIndent"/>
        <w:ind w:left="0"/>
      </w:pPr>
    </w:p>
    <w:sectPr w:rsidR="009B0EEB" w:rsidSect="000979A4">
      <w:headerReference w:type="even" r:id="rId8"/>
      <w:headerReference w:type="default" r:id="rId9"/>
      <w:footerReference w:type="even" r:id="rId10"/>
      <w:footerReference w:type="default" r:id="rId11"/>
      <w:footnotePr>
        <w:numRestart w:val="eachSect"/>
      </w:footnotePr>
      <w:endnotePr>
        <w:numFmt w:val="decimal"/>
      </w:endnotePr>
      <w:type w:val="continuous"/>
      <w:pgSz w:w="12240" w:h="15840"/>
      <w:pgMar w:top="1530" w:right="1584" w:bottom="153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9DBF9" w14:textId="77777777" w:rsidR="00B157E6" w:rsidRDefault="00B157E6">
      <w:r>
        <w:separator/>
      </w:r>
    </w:p>
  </w:endnote>
  <w:endnote w:type="continuationSeparator" w:id="0">
    <w:p w14:paraId="07BA3DAF" w14:textId="77777777" w:rsidR="00B157E6" w:rsidRDefault="00B15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BF0CC" w14:textId="77777777" w:rsidR="00983878" w:rsidRDefault="009838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519E93" w14:textId="77777777" w:rsidR="00983878" w:rsidRDefault="009838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7DFD7" w14:textId="77777777" w:rsidR="00983878" w:rsidRDefault="00983878">
    <w:pPr>
      <w:pStyle w:val="Footer"/>
      <w:framePr w:wrap="around" w:vAnchor="text" w:hAnchor="margin" w:xAlign="right" w:y="1"/>
      <w:rPr>
        <w:rStyle w:val="PageNumber"/>
      </w:rPr>
    </w:pPr>
  </w:p>
  <w:p w14:paraId="4F531672" w14:textId="77777777" w:rsidR="00983878" w:rsidRDefault="00983878">
    <w:pPr>
      <w:pStyle w:val="Footer"/>
      <w:ind w:right="360"/>
    </w:pP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6EA72" w14:textId="77777777" w:rsidR="00B157E6" w:rsidRDefault="00B157E6">
      <w:r>
        <w:separator/>
      </w:r>
    </w:p>
  </w:footnote>
  <w:footnote w:type="continuationSeparator" w:id="0">
    <w:p w14:paraId="46093220" w14:textId="77777777" w:rsidR="00B157E6" w:rsidRDefault="00B157E6">
      <w:r>
        <w:continuationSeparator/>
      </w:r>
    </w:p>
  </w:footnote>
  <w:footnote w:id="1">
    <w:p w14:paraId="6AE78467" w14:textId="77777777" w:rsidR="00983878" w:rsidRPr="0039208F" w:rsidRDefault="00983878" w:rsidP="00F1284A">
      <w:pPr>
        <w:pStyle w:val="FootnoteText"/>
        <w:rPr>
          <w:rFonts w:cs="Times New Roman"/>
        </w:rPr>
      </w:pPr>
      <w:r>
        <w:rPr>
          <w:rStyle w:val="FootnoteReference"/>
        </w:rPr>
        <w:footnoteRef/>
      </w:r>
      <w:r>
        <w:t xml:space="preserve">  </w:t>
      </w:r>
      <w:r w:rsidRPr="0039208F">
        <w:rPr>
          <w:rFonts w:cs="Times New Roman"/>
        </w:rPr>
        <w:t>The Abstract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that would be reported, maintained in records, or disclosed; (6) a description of who would receive the information; (7) the purpose of the collection; and (8) if a revision, a description of the revision and the change in burden.</w:t>
      </w:r>
    </w:p>
  </w:footnote>
  <w:footnote w:id="2">
    <w:p w14:paraId="6F98249B" w14:textId="7346A1D8" w:rsidR="00983878" w:rsidRDefault="00983878">
      <w:pPr>
        <w:pStyle w:val="FootnoteText"/>
      </w:pPr>
      <w:r>
        <w:rPr>
          <w:rStyle w:val="FootnoteReference"/>
        </w:rPr>
        <w:footnoteRef/>
      </w:r>
      <w:r>
        <w:t xml:space="preserve"> </w:t>
      </w:r>
      <w:r w:rsidRPr="00815D23">
        <w:rPr>
          <w:rFonts w:cs="Times New Roman"/>
          <w:i/>
        </w:rPr>
        <w:t>See</w:t>
      </w:r>
      <w:r w:rsidRPr="00815D23">
        <w:rPr>
          <w:rFonts w:cs="Times New Roman"/>
        </w:rPr>
        <w:t xml:space="preserve"> Table 1. Employer Costs for Employee Compensation by ownership (Mar. 202</w:t>
      </w:r>
      <w:r w:rsidR="00BD7C60">
        <w:rPr>
          <w:rFonts w:cs="Times New Roman"/>
        </w:rPr>
        <w:t>0</w:t>
      </w:r>
      <w:r w:rsidRPr="00815D23">
        <w:rPr>
          <w:rFonts w:cs="Times New Roman"/>
        </w:rPr>
        <w:t xml:space="preserve">), available at </w:t>
      </w:r>
      <w:hyperlink r:id="rId1" w:history="1">
        <w:r w:rsidR="00BD7C60" w:rsidRPr="005C0D67">
          <w:rPr>
            <w:rStyle w:val="Hyperlink"/>
          </w:rPr>
          <w:t>https://www.bls.gov/news.release/archives/ecec_06182020.pdf</w:t>
        </w:r>
      </w:hyperlink>
      <w:r w:rsidR="00BD7C60">
        <w:t xml:space="preserve"> </w:t>
      </w:r>
      <w:r w:rsidRPr="00815D23">
        <w:rPr>
          <w:rFonts w:cs="Times New Roman"/>
        </w:rPr>
        <w:t xml:space="preserve">(accessed </w:t>
      </w:r>
      <w:r>
        <w:rPr>
          <w:rFonts w:cs="Times New Roman"/>
        </w:rPr>
        <w:t>August 31, 2021</w:t>
      </w:r>
      <w:r w:rsidRPr="00815D23">
        <w:rPr>
          <w:rFonts w:cs="Times New Roman"/>
        </w:rPr>
        <w:t>).</w:t>
      </w:r>
    </w:p>
  </w:footnote>
  <w:footnote w:id="3">
    <w:p w14:paraId="508F8DF4" w14:textId="77BBD7C6" w:rsidR="009F1FE8" w:rsidRDefault="009F1FE8" w:rsidP="009F1FE8">
      <w:pPr>
        <w:pStyle w:val="FootnoteText"/>
      </w:pPr>
      <w:r w:rsidRPr="009C6AF4">
        <w:rPr>
          <w:rStyle w:val="FootnoteReference"/>
        </w:rPr>
        <w:footnoteRef/>
      </w:r>
      <w:r w:rsidRPr="009C6AF4">
        <w:rPr>
          <w:vertAlign w:val="superscript"/>
        </w:rPr>
        <w:t xml:space="preserve"> </w:t>
      </w:r>
      <w:r>
        <w:t>May 2020 National Industry-Specific Occupational Employment and Wage Estimates, NAICS 336100 - Motor Vehicle Manufacturing</w:t>
      </w:r>
      <w:r>
        <w:rPr>
          <w:i/>
        </w:rPr>
        <w:t>, Assemblers and Fabricators, Occupation Code 51-2000</w:t>
      </w:r>
      <w:r>
        <w:t xml:space="preserve">, </w:t>
      </w:r>
      <w:r w:rsidR="007E342D" w:rsidRPr="007E342D">
        <w:t>https://www.bls.gov/oes/2020/may/oessrci.htm</w:t>
      </w:r>
      <w:r>
        <w:t xml:space="preserve"> (accessed August 31, 2021).  </w:t>
      </w:r>
    </w:p>
  </w:footnote>
  <w:footnote w:id="4">
    <w:p w14:paraId="4E034211" w14:textId="526670E2" w:rsidR="005279B0" w:rsidRDefault="005279B0" w:rsidP="005279B0">
      <w:pPr>
        <w:pStyle w:val="FootnoteText"/>
      </w:pPr>
      <w:r w:rsidRPr="009C6AF4">
        <w:rPr>
          <w:rStyle w:val="FootnoteReference"/>
        </w:rPr>
        <w:footnoteRef/>
      </w:r>
      <w:r w:rsidRPr="009C6AF4">
        <w:rPr>
          <w:vertAlign w:val="superscript"/>
        </w:rPr>
        <w:t xml:space="preserve"> </w:t>
      </w:r>
      <w:r>
        <w:t>May 2020 National Industry-Specific Occupational Employment and Wage Estimates, NAICS 336100 - Motor Vehicle Manufacturing</w:t>
      </w:r>
      <w:r>
        <w:rPr>
          <w:i/>
        </w:rPr>
        <w:t>, Compliance Officer, Occupation Code 13-1041</w:t>
      </w:r>
      <w:r>
        <w:t xml:space="preserve">, </w:t>
      </w:r>
      <w:r w:rsidR="00532A16" w:rsidRPr="00532A16">
        <w:t>https://www.bls.gov/oes/2020/may/naics4_336100.htm#13-0000</w:t>
      </w:r>
      <w:r>
        <w:t xml:space="preserve"> (accessed August 31, 2021).  </w:t>
      </w:r>
    </w:p>
  </w:footnote>
  <w:footnote w:id="5">
    <w:p w14:paraId="15F0D5DF" w14:textId="264F51B2" w:rsidR="004F00DE" w:rsidRDefault="004F00DE" w:rsidP="004F00DE">
      <w:pPr>
        <w:pStyle w:val="FootnoteText"/>
      </w:pPr>
      <w:r>
        <w:rPr>
          <w:rStyle w:val="FootnoteReference"/>
        </w:rPr>
        <w:footnoteRef/>
      </w:r>
      <w:r>
        <w:t xml:space="preserve"> </w:t>
      </w:r>
      <w:r w:rsidRPr="00815D23">
        <w:rPr>
          <w:rFonts w:cs="Times New Roman"/>
          <w:i/>
        </w:rPr>
        <w:t>See</w:t>
      </w:r>
      <w:r w:rsidRPr="00815D23">
        <w:rPr>
          <w:rFonts w:cs="Times New Roman"/>
        </w:rPr>
        <w:t xml:space="preserve"> Table 1. Employer Costs for Employee Compensation by ownership (Mar. 202</w:t>
      </w:r>
      <w:r w:rsidR="00417445">
        <w:rPr>
          <w:rFonts w:cs="Times New Roman"/>
        </w:rPr>
        <w:t>0</w:t>
      </w:r>
      <w:r w:rsidRPr="00815D23">
        <w:rPr>
          <w:rFonts w:cs="Times New Roman"/>
        </w:rPr>
        <w:t xml:space="preserve">), available at </w:t>
      </w:r>
      <w:r w:rsidR="00417445" w:rsidRPr="00417445">
        <w:t>https://www.bls.gov/news.release/archives/ecec_06182020.pdf</w:t>
      </w:r>
      <w:r w:rsidRPr="00815D23">
        <w:rPr>
          <w:rFonts w:cs="Times New Roman"/>
        </w:rPr>
        <w:t xml:space="preserve"> (accessed </w:t>
      </w:r>
      <w:r>
        <w:rPr>
          <w:rFonts w:cs="Times New Roman"/>
        </w:rPr>
        <w:t>August 31, 2021</w:t>
      </w:r>
      <w:r w:rsidRPr="00815D23">
        <w:rPr>
          <w:rFonts w:cs="Times New Roman"/>
        </w:rPr>
        <w:t>).</w:t>
      </w:r>
    </w:p>
  </w:footnote>
  <w:footnote w:id="6">
    <w:p w14:paraId="3D08721B" w14:textId="3F056A1D" w:rsidR="00745260" w:rsidRDefault="00745260" w:rsidP="00745260">
      <w:pPr>
        <w:pStyle w:val="FootnoteText"/>
      </w:pPr>
      <w:r w:rsidRPr="009C6AF4">
        <w:rPr>
          <w:rStyle w:val="FootnoteReference"/>
        </w:rPr>
        <w:footnoteRef/>
      </w:r>
      <w:r w:rsidRPr="009C6AF4">
        <w:rPr>
          <w:vertAlign w:val="superscript"/>
        </w:rPr>
        <w:t xml:space="preserve"> </w:t>
      </w:r>
      <w:r>
        <w:t>May 2020 National Industry-Specific Occupational Employment and Wage Estimates, NAICS 336100 - Motor Vehicle Manufacturing</w:t>
      </w:r>
      <w:r>
        <w:rPr>
          <w:i/>
        </w:rPr>
        <w:t>, Compliance Officer, Occupation Code 13-1041</w:t>
      </w:r>
      <w:r>
        <w:t xml:space="preserve">, </w:t>
      </w:r>
      <w:r w:rsidR="0053594B" w:rsidRPr="0053594B">
        <w:t>https://www.bls.gov/oes/2020/may/naics4_336100.htm#13-0000</w:t>
      </w:r>
      <w:r>
        <w:t xml:space="preserve"> (accessed August 31, 2021).  </w:t>
      </w:r>
    </w:p>
  </w:footnote>
  <w:footnote w:id="7">
    <w:p w14:paraId="2B79D1D8" w14:textId="1011AE0B" w:rsidR="00EC2201" w:rsidRDefault="00EC2201" w:rsidP="00EC2201">
      <w:pPr>
        <w:pStyle w:val="FootnoteText"/>
      </w:pPr>
      <w:r w:rsidRPr="008B7CDC">
        <w:rPr>
          <w:rStyle w:val="FootnoteReference"/>
        </w:rPr>
        <w:footnoteRef/>
      </w:r>
      <w:r w:rsidRPr="008B7CDC">
        <w:rPr>
          <w:vertAlign w:val="superscript"/>
        </w:rPr>
        <w:t xml:space="preserve"> </w:t>
      </w:r>
      <w:r w:rsidRPr="003D464C">
        <w:t>202</w:t>
      </w:r>
      <w:r>
        <w:t>2</w:t>
      </w:r>
      <w:r w:rsidRPr="003D464C">
        <w:t xml:space="preserve"> General Schedule </w:t>
      </w:r>
      <w:r w:rsidR="00C92C5C">
        <w:t>salary</w:t>
      </w:r>
      <w:r w:rsidRPr="003D464C">
        <w:t xml:space="preserve"> rate with Washington DC locality pay: </w:t>
      </w:r>
      <w:r w:rsidR="00C92C5C" w:rsidRPr="00C92C5C">
        <w:t>https://www.opm.gov/policy-data-oversight/pay-leave/salaries-wages/salary-tables/pdf/2022/DCB.pdf</w:t>
      </w:r>
      <w:r w:rsidRPr="00E16D5D">
        <w:t>. Accessed 0</w:t>
      </w:r>
      <w:r>
        <w:t>3/2</w:t>
      </w:r>
      <w:r w:rsidR="00C92C5C">
        <w:t>4</w:t>
      </w:r>
      <w:r>
        <w:t>/2022</w:t>
      </w:r>
      <w:r w:rsidRPr="00E16D5D">
        <w:t>.</w:t>
      </w:r>
      <w:r>
        <w:t xml:space="preserve"> </w:t>
      </w:r>
    </w:p>
  </w:footnote>
  <w:footnote w:id="8">
    <w:p w14:paraId="7B740D8D" w14:textId="0C2B1A6B" w:rsidR="00EC2201" w:rsidRDefault="00EC2201" w:rsidP="00EC2201">
      <w:pPr>
        <w:pStyle w:val="FootnoteText"/>
      </w:pPr>
      <w:r w:rsidRPr="008B7CDC">
        <w:rPr>
          <w:rStyle w:val="FootnoteReference"/>
        </w:rPr>
        <w:footnoteRef/>
      </w:r>
      <w:r>
        <w:t xml:space="preserve"> </w:t>
      </w:r>
      <w:r w:rsidRPr="00BD3092">
        <w:t>Employer Costs for Employee Compensation,</w:t>
      </w:r>
      <w:r w:rsidRPr="002030C4">
        <w:t xml:space="preserve"> </w:t>
      </w:r>
      <w:r w:rsidRPr="00962DC6">
        <w:t>https://www.bls.gov/news.release/archives/ecec_03182022.pdf</w:t>
      </w:r>
      <w:r w:rsidRPr="00224831">
        <w:t xml:space="preserve">. </w:t>
      </w:r>
      <w:r>
        <w:t>Accessed 03/2</w:t>
      </w:r>
      <w:r w:rsidR="00C92C5C">
        <w:t>4</w:t>
      </w:r>
      <w:r>
        <w:t>/22.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E71F" w14:textId="77777777" w:rsidR="00983878" w:rsidRDefault="0098387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BA49BB" w14:textId="77777777" w:rsidR="00983878" w:rsidRDefault="0098387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A5CAC" w14:textId="5DAF9574" w:rsidR="00983878" w:rsidRDefault="00983878">
    <w:pPr>
      <w:framePr w:wrap="around" w:vAnchor="text" w:hAnchor="margin" w:xAlign="right" w:y="1"/>
      <w:jc w:val="right"/>
      <w:rPr>
        <w:sz w:val="24"/>
      </w:rPr>
    </w:pPr>
    <w:r>
      <w:rPr>
        <w:sz w:val="24"/>
      </w:rPr>
      <w:fldChar w:fldCharType="begin"/>
    </w:r>
    <w:r>
      <w:rPr>
        <w:sz w:val="24"/>
      </w:rPr>
      <w:instrText xml:space="preserve">PAGE </w:instrText>
    </w:r>
    <w:r>
      <w:rPr>
        <w:sz w:val="24"/>
      </w:rPr>
      <w:fldChar w:fldCharType="separate"/>
    </w:r>
    <w:r>
      <w:rPr>
        <w:noProof/>
        <w:sz w:val="24"/>
      </w:rPr>
      <w:t>13</w:t>
    </w:r>
    <w:r>
      <w:rPr>
        <w:sz w:val="24"/>
      </w:rPr>
      <w:fldChar w:fldCharType="end"/>
    </w:r>
  </w:p>
  <w:p w14:paraId="5B620641" w14:textId="77777777" w:rsidR="00983878" w:rsidRDefault="00983878">
    <w:pPr>
      <w:ind w:right="360"/>
      <w:rPr>
        <w:sz w:val="24"/>
      </w:rPr>
    </w:pPr>
  </w:p>
  <w:p w14:paraId="5A96C84C" w14:textId="77777777" w:rsidR="00983878" w:rsidRDefault="00983878">
    <w:pPr>
      <w:spacing w:line="240" w:lineRule="exac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C6916"/>
    <w:multiLevelType w:val="hybridMultilevel"/>
    <w:tmpl w:val="345ABB56"/>
    <w:lvl w:ilvl="0" w:tplc="77B83C56">
      <w:start w:val="49"/>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E95B71"/>
    <w:multiLevelType w:val="hybridMultilevel"/>
    <w:tmpl w:val="91365918"/>
    <w:lvl w:ilvl="0" w:tplc="1BAE4A9C">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5FE1EFF"/>
    <w:multiLevelType w:val="hybridMultilevel"/>
    <w:tmpl w:val="850A73F0"/>
    <w:lvl w:ilvl="0" w:tplc="3BFECB6A">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F45E0F"/>
    <w:multiLevelType w:val="hybridMultilevel"/>
    <w:tmpl w:val="02C494EA"/>
    <w:lvl w:ilvl="0" w:tplc="8F845EFA">
      <w:start w:val="49"/>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F0D624B"/>
    <w:multiLevelType w:val="hybridMultilevel"/>
    <w:tmpl w:val="9E00DB2A"/>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2E872921"/>
    <w:multiLevelType w:val="hybridMultilevel"/>
    <w:tmpl w:val="FA38D184"/>
    <w:lvl w:ilvl="0" w:tplc="7DCA2F10">
      <w:start w:val="49"/>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98437E6"/>
    <w:multiLevelType w:val="hybridMultilevel"/>
    <w:tmpl w:val="7A245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53073E"/>
    <w:multiLevelType w:val="hybridMultilevel"/>
    <w:tmpl w:val="5DF4CD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8A4B09"/>
    <w:multiLevelType w:val="hybridMultilevel"/>
    <w:tmpl w:val="9BF6C13E"/>
    <w:lvl w:ilvl="0" w:tplc="92FC6D4C">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9" w15:restartNumberingAfterBreak="0">
    <w:nsid w:val="60BF4AD5"/>
    <w:multiLevelType w:val="hybridMultilevel"/>
    <w:tmpl w:val="3D18407A"/>
    <w:lvl w:ilvl="0" w:tplc="D49CF94C">
      <w:start w:val="1"/>
      <w:numFmt w:val="decimal"/>
      <w:lvlText w:val="%1."/>
      <w:lvlJc w:val="left"/>
      <w:pPr>
        <w:tabs>
          <w:tab w:val="num" w:pos="720"/>
        </w:tabs>
        <w:ind w:left="720" w:hanging="360"/>
      </w:pPr>
    </w:lvl>
    <w:lvl w:ilvl="1" w:tplc="8E0A7666" w:tentative="1">
      <w:start w:val="1"/>
      <w:numFmt w:val="decimal"/>
      <w:lvlText w:val="%2."/>
      <w:lvlJc w:val="left"/>
      <w:pPr>
        <w:tabs>
          <w:tab w:val="num" w:pos="1440"/>
        </w:tabs>
        <w:ind w:left="1440" w:hanging="360"/>
      </w:pPr>
    </w:lvl>
    <w:lvl w:ilvl="2" w:tplc="B3F8C70C" w:tentative="1">
      <w:start w:val="1"/>
      <w:numFmt w:val="decimal"/>
      <w:lvlText w:val="%3."/>
      <w:lvlJc w:val="left"/>
      <w:pPr>
        <w:tabs>
          <w:tab w:val="num" w:pos="2160"/>
        </w:tabs>
        <w:ind w:left="2160" w:hanging="360"/>
      </w:pPr>
    </w:lvl>
    <w:lvl w:ilvl="3" w:tplc="9FAAE800" w:tentative="1">
      <w:start w:val="1"/>
      <w:numFmt w:val="decimal"/>
      <w:lvlText w:val="%4."/>
      <w:lvlJc w:val="left"/>
      <w:pPr>
        <w:tabs>
          <w:tab w:val="num" w:pos="2880"/>
        </w:tabs>
        <w:ind w:left="2880" w:hanging="360"/>
      </w:pPr>
    </w:lvl>
    <w:lvl w:ilvl="4" w:tplc="FEF83732" w:tentative="1">
      <w:start w:val="1"/>
      <w:numFmt w:val="decimal"/>
      <w:lvlText w:val="%5."/>
      <w:lvlJc w:val="left"/>
      <w:pPr>
        <w:tabs>
          <w:tab w:val="num" w:pos="3600"/>
        </w:tabs>
        <w:ind w:left="3600" w:hanging="360"/>
      </w:pPr>
    </w:lvl>
    <w:lvl w:ilvl="5" w:tplc="D0803910" w:tentative="1">
      <w:start w:val="1"/>
      <w:numFmt w:val="decimal"/>
      <w:lvlText w:val="%6."/>
      <w:lvlJc w:val="left"/>
      <w:pPr>
        <w:tabs>
          <w:tab w:val="num" w:pos="4320"/>
        </w:tabs>
        <w:ind w:left="4320" w:hanging="360"/>
      </w:pPr>
    </w:lvl>
    <w:lvl w:ilvl="6" w:tplc="85BE5888" w:tentative="1">
      <w:start w:val="1"/>
      <w:numFmt w:val="decimal"/>
      <w:lvlText w:val="%7."/>
      <w:lvlJc w:val="left"/>
      <w:pPr>
        <w:tabs>
          <w:tab w:val="num" w:pos="5040"/>
        </w:tabs>
        <w:ind w:left="5040" w:hanging="360"/>
      </w:pPr>
    </w:lvl>
    <w:lvl w:ilvl="7" w:tplc="EB140C6A" w:tentative="1">
      <w:start w:val="1"/>
      <w:numFmt w:val="decimal"/>
      <w:lvlText w:val="%8."/>
      <w:lvlJc w:val="left"/>
      <w:pPr>
        <w:tabs>
          <w:tab w:val="num" w:pos="5760"/>
        </w:tabs>
        <w:ind w:left="5760" w:hanging="360"/>
      </w:pPr>
    </w:lvl>
    <w:lvl w:ilvl="8" w:tplc="C2F25A36" w:tentative="1">
      <w:start w:val="1"/>
      <w:numFmt w:val="decimal"/>
      <w:lvlText w:val="%9."/>
      <w:lvlJc w:val="left"/>
      <w:pPr>
        <w:tabs>
          <w:tab w:val="num" w:pos="6480"/>
        </w:tabs>
        <w:ind w:left="6480" w:hanging="360"/>
      </w:pPr>
    </w:lvl>
  </w:abstractNum>
  <w:abstractNum w:abstractNumId="10" w15:restartNumberingAfterBreak="0">
    <w:nsid w:val="675046DF"/>
    <w:multiLevelType w:val="hybridMultilevel"/>
    <w:tmpl w:val="F86A7B82"/>
    <w:lvl w:ilvl="0" w:tplc="98A6AA8A">
      <w:start w:val="4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9"/>
  </w:num>
  <w:num w:numId="4">
    <w:abstractNumId w:val="8"/>
  </w:num>
  <w:num w:numId="5">
    <w:abstractNumId w:val="10"/>
  </w:num>
  <w:num w:numId="6">
    <w:abstractNumId w:val="5"/>
  </w:num>
  <w:num w:numId="7">
    <w:abstractNumId w:val="3"/>
  </w:num>
  <w:num w:numId="8">
    <w:abstractNumId w:val="0"/>
  </w:num>
  <w:num w:numId="9">
    <w:abstractNumId w:val="7"/>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947"/>
    <w:rsid w:val="00000B1E"/>
    <w:rsid w:val="00002523"/>
    <w:rsid w:val="00005520"/>
    <w:rsid w:val="00005D0E"/>
    <w:rsid w:val="000067BD"/>
    <w:rsid w:val="00007333"/>
    <w:rsid w:val="000203D4"/>
    <w:rsid w:val="0002050E"/>
    <w:rsid w:val="00021D3F"/>
    <w:rsid w:val="000226B2"/>
    <w:rsid w:val="00031744"/>
    <w:rsid w:val="00031EBD"/>
    <w:rsid w:val="000343F4"/>
    <w:rsid w:val="00035648"/>
    <w:rsid w:val="00036087"/>
    <w:rsid w:val="00036365"/>
    <w:rsid w:val="00037742"/>
    <w:rsid w:val="00042446"/>
    <w:rsid w:val="0004273A"/>
    <w:rsid w:val="0004326B"/>
    <w:rsid w:val="00043D16"/>
    <w:rsid w:val="000478F7"/>
    <w:rsid w:val="00050575"/>
    <w:rsid w:val="00053B02"/>
    <w:rsid w:val="000619DB"/>
    <w:rsid w:val="00065423"/>
    <w:rsid w:val="00066C47"/>
    <w:rsid w:val="00067D00"/>
    <w:rsid w:val="00072B33"/>
    <w:rsid w:val="00072BC1"/>
    <w:rsid w:val="00072C69"/>
    <w:rsid w:val="0007379C"/>
    <w:rsid w:val="00077A59"/>
    <w:rsid w:val="00080078"/>
    <w:rsid w:val="00084CAA"/>
    <w:rsid w:val="000931A6"/>
    <w:rsid w:val="000979A4"/>
    <w:rsid w:val="000A0B50"/>
    <w:rsid w:val="000A0CC5"/>
    <w:rsid w:val="000A22CE"/>
    <w:rsid w:val="000A5D2E"/>
    <w:rsid w:val="000B1C4B"/>
    <w:rsid w:val="000B29FE"/>
    <w:rsid w:val="000B370C"/>
    <w:rsid w:val="000B671A"/>
    <w:rsid w:val="000B6BEC"/>
    <w:rsid w:val="000D01F6"/>
    <w:rsid w:val="000D0732"/>
    <w:rsid w:val="000D1D69"/>
    <w:rsid w:val="000D32B8"/>
    <w:rsid w:val="000D574B"/>
    <w:rsid w:val="000D6947"/>
    <w:rsid w:val="000D7C79"/>
    <w:rsid w:val="000E18FA"/>
    <w:rsid w:val="000E3482"/>
    <w:rsid w:val="000E3F4E"/>
    <w:rsid w:val="000E76C4"/>
    <w:rsid w:val="000F0758"/>
    <w:rsid w:val="000F4849"/>
    <w:rsid w:val="000F5444"/>
    <w:rsid w:val="000F74AE"/>
    <w:rsid w:val="001016C6"/>
    <w:rsid w:val="00104877"/>
    <w:rsid w:val="001054E6"/>
    <w:rsid w:val="00114160"/>
    <w:rsid w:val="0011660A"/>
    <w:rsid w:val="00121E23"/>
    <w:rsid w:val="00123D37"/>
    <w:rsid w:val="00125292"/>
    <w:rsid w:val="001261FD"/>
    <w:rsid w:val="00126321"/>
    <w:rsid w:val="00126C81"/>
    <w:rsid w:val="00131ADA"/>
    <w:rsid w:val="0013262D"/>
    <w:rsid w:val="00132D49"/>
    <w:rsid w:val="00136348"/>
    <w:rsid w:val="00136CA2"/>
    <w:rsid w:val="00137DC2"/>
    <w:rsid w:val="001404A2"/>
    <w:rsid w:val="00140B39"/>
    <w:rsid w:val="00140CDF"/>
    <w:rsid w:val="00141BA8"/>
    <w:rsid w:val="00143318"/>
    <w:rsid w:val="001435B6"/>
    <w:rsid w:val="00144666"/>
    <w:rsid w:val="0014684B"/>
    <w:rsid w:val="001543BC"/>
    <w:rsid w:val="0015484C"/>
    <w:rsid w:val="00154B8F"/>
    <w:rsid w:val="001569D0"/>
    <w:rsid w:val="00160230"/>
    <w:rsid w:val="00163C15"/>
    <w:rsid w:val="00166D20"/>
    <w:rsid w:val="00171147"/>
    <w:rsid w:val="001718A5"/>
    <w:rsid w:val="00175680"/>
    <w:rsid w:val="0017604A"/>
    <w:rsid w:val="001763F3"/>
    <w:rsid w:val="00181F75"/>
    <w:rsid w:val="00182236"/>
    <w:rsid w:val="00182DD7"/>
    <w:rsid w:val="001841E0"/>
    <w:rsid w:val="00191D96"/>
    <w:rsid w:val="00193E72"/>
    <w:rsid w:val="00195EF0"/>
    <w:rsid w:val="001A504E"/>
    <w:rsid w:val="001A768C"/>
    <w:rsid w:val="001A7C76"/>
    <w:rsid w:val="001B1BD7"/>
    <w:rsid w:val="001B37E6"/>
    <w:rsid w:val="001B5B88"/>
    <w:rsid w:val="001B73A5"/>
    <w:rsid w:val="001C048F"/>
    <w:rsid w:val="001C2E4F"/>
    <w:rsid w:val="001C6C20"/>
    <w:rsid w:val="001D3775"/>
    <w:rsid w:val="001D66A3"/>
    <w:rsid w:val="001E0E66"/>
    <w:rsid w:val="001E230F"/>
    <w:rsid w:val="001E2E70"/>
    <w:rsid w:val="001E35D1"/>
    <w:rsid w:val="001E46C1"/>
    <w:rsid w:val="001E5930"/>
    <w:rsid w:val="001E69E4"/>
    <w:rsid w:val="001E7E99"/>
    <w:rsid w:val="001F2F86"/>
    <w:rsid w:val="001F7AC2"/>
    <w:rsid w:val="00201039"/>
    <w:rsid w:val="00203A89"/>
    <w:rsid w:val="002050B0"/>
    <w:rsid w:val="00207FB8"/>
    <w:rsid w:val="002119B2"/>
    <w:rsid w:val="00213538"/>
    <w:rsid w:val="00213ABA"/>
    <w:rsid w:val="00217ABC"/>
    <w:rsid w:val="002235D2"/>
    <w:rsid w:val="00233C81"/>
    <w:rsid w:val="002351AE"/>
    <w:rsid w:val="0023670D"/>
    <w:rsid w:val="00241A72"/>
    <w:rsid w:val="00242EE8"/>
    <w:rsid w:val="00243FD1"/>
    <w:rsid w:val="002471D2"/>
    <w:rsid w:val="002479A0"/>
    <w:rsid w:val="00247AF6"/>
    <w:rsid w:val="00247B5C"/>
    <w:rsid w:val="0025141F"/>
    <w:rsid w:val="00251603"/>
    <w:rsid w:val="00253E1D"/>
    <w:rsid w:val="00255B96"/>
    <w:rsid w:val="00256B62"/>
    <w:rsid w:val="00256C63"/>
    <w:rsid w:val="00257123"/>
    <w:rsid w:val="002579AE"/>
    <w:rsid w:val="002579C8"/>
    <w:rsid w:val="00261B2C"/>
    <w:rsid w:val="00265A06"/>
    <w:rsid w:val="002679DE"/>
    <w:rsid w:val="00267EB4"/>
    <w:rsid w:val="00267F30"/>
    <w:rsid w:val="00271F2C"/>
    <w:rsid w:val="002720D5"/>
    <w:rsid w:val="0027730F"/>
    <w:rsid w:val="002774B7"/>
    <w:rsid w:val="00285AD6"/>
    <w:rsid w:val="00286692"/>
    <w:rsid w:val="0028681A"/>
    <w:rsid w:val="002872D1"/>
    <w:rsid w:val="00290794"/>
    <w:rsid w:val="00290FA5"/>
    <w:rsid w:val="0029250C"/>
    <w:rsid w:val="002A11E6"/>
    <w:rsid w:val="002B0DAA"/>
    <w:rsid w:val="002B1BCA"/>
    <w:rsid w:val="002B45EC"/>
    <w:rsid w:val="002B4BE7"/>
    <w:rsid w:val="002B59F3"/>
    <w:rsid w:val="002C7ED5"/>
    <w:rsid w:val="002C7FEE"/>
    <w:rsid w:val="002D186F"/>
    <w:rsid w:val="002D5CA6"/>
    <w:rsid w:val="002E0483"/>
    <w:rsid w:val="002E0CE0"/>
    <w:rsid w:val="002E12CB"/>
    <w:rsid w:val="002E354B"/>
    <w:rsid w:val="002E44B3"/>
    <w:rsid w:val="002E468C"/>
    <w:rsid w:val="002E6749"/>
    <w:rsid w:val="002F01C9"/>
    <w:rsid w:val="002F1223"/>
    <w:rsid w:val="002F2CAD"/>
    <w:rsid w:val="003076B5"/>
    <w:rsid w:val="00312D29"/>
    <w:rsid w:val="00322284"/>
    <w:rsid w:val="00322934"/>
    <w:rsid w:val="00322BDE"/>
    <w:rsid w:val="0032567C"/>
    <w:rsid w:val="00325734"/>
    <w:rsid w:val="00325AA8"/>
    <w:rsid w:val="003274AD"/>
    <w:rsid w:val="00327554"/>
    <w:rsid w:val="003324AD"/>
    <w:rsid w:val="00332BFF"/>
    <w:rsid w:val="00343323"/>
    <w:rsid w:val="00344E90"/>
    <w:rsid w:val="00344F0D"/>
    <w:rsid w:val="00345412"/>
    <w:rsid w:val="003463BF"/>
    <w:rsid w:val="00350AE1"/>
    <w:rsid w:val="00351759"/>
    <w:rsid w:val="00351D65"/>
    <w:rsid w:val="00351F37"/>
    <w:rsid w:val="00362D9D"/>
    <w:rsid w:val="0036414B"/>
    <w:rsid w:val="00370A02"/>
    <w:rsid w:val="0037116F"/>
    <w:rsid w:val="003714B2"/>
    <w:rsid w:val="00371C60"/>
    <w:rsid w:val="0037282C"/>
    <w:rsid w:val="00373262"/>
    <w:rsid w:val="00373A5A"/>
    <w:rsid w:val="00380315"/>
    <w:rsid w:val="00380EE3"/>
    <w:rsid w:val="00383726"/>
    <w:rsid w:val="003861E9"/>
    <w:rsid w:val="00386F7A"/>
    <w:rsid w:val="00387825"/>
    <w:rsid w:val="00390FBB"/>
    <w:rsid w:val="00392960"/>
    <w:rsid w:val="003930AC"/>
    <w:rsid w:val="003A01E1"/>
    <w:rsid w:val="003A19F4"/>
    <w:rsid w:val="003A57D2"/>
    <w:rsid w:val="003B0296"/>
    <w:rsid w:val="003B130E"/>
    <w:rsid w:val="003B19C6"/>
    <w:rsid w:val="003B3899"/>
    <w:rsid w:val="003B5F65"/>
    <w:rsid w:val="003B6FA4"/>
    <w:rsid w:val="003C0B41"/>
    <w:rsid w:val="003C1E31"/>
    <w:rsid w:val="003C7C93"/>
    <w:rsid w:val="003E1316"/>
    <w:rsid w:val="003E13ED"/>
    <w:rsid w:val="003E1872"/>
    <w:rsid w:val="003E6C1A"/>
    <w:rsid w:val="003F170A"/>
    <w:rsid w:val="003F78B4"/>
    <w:rsid w:val="003F7934"/>
    <w:rsid w:val="004002E6"/>
    <w:rsid w:val="00402264"/>
    <w:rsid w:val="004039D5"/>
    <w:rsid w:val="00405CB8"/>
    <w:rsid w:val="004118F0"/>
    <w:rsid w:val="004172D7"/>
    <w:rsid w:val="00417445"/>
    <w:rsid w:val="00417A76"/>
    <w:rsid w:val="004207AA"/>
    <w:rsid w:val="004232EC"/>
    <w:rsid w:val="00427E27"/>
    <w:rsid w:val="00430F15"/>
    <w:rsid w:val="004318EA"/>
    <w:rsid w:val="00432328"/>
    <w:rsid w:val="004350EC"/>
    <w:rsid w:val="0044567D"/>
    <w:rsid w:val="00464003"/>
    <w:rsid w:val="004654F7"/>
    <w:rsid w:val="00466812"/>
    <w:rsid w:val="00466CD7"/>
    <w:rsid w:val="00472D06"/>
    <w:rsid w:val="0047597E"/>
    <w:rsid w:val="00475A9A"/>
    <w:rsid w:val="00477191"/>
    <w:rsid w:val="004830BA"/>
    <w:rsid w:val="004852E7"/>
    <w:rsid w:val="0048781D"/>
    <w:rsid w:val="00487E8D"/>
    <w:rsid w:val="004920BC"/>
    <w:rsid w:val="00495D74"/>
    <w:rsid w:val="004969A2"/>
    <w:rsid w:val="004A057C"/>
    <w:rsid w:val="004A05B0"/>
    <w:rsid w:val="004A066B"/>
    <w:rsid w:val="004A0FC1"/>
    <w:rsid w:val="004A1165"/>
    <w:rsid w:val="004A793C"/>
    <w:rsid w:val="004B1CFD"/>
    <w:rsid w:val="004B1D17"/>
    <w:rsid w:val="004B6705"/>
    <w:rsid w:val="004B6DAD"/>
    <w:rsid w:val="004C0C4D"/>
    <w:rsid w:val="004C16C0"/>
    <w:rsid w:val="004C2139"/>
    <w:rsid w:val="004C4153"/>
    <w:rsid w:val="004C4DCC"/>
    <w:rsid w:val="004C5F54"/>
    <w:rsid w:val="004D2AE1"/>
    <w:rsid w:val="004D7421"/>
    <w:rsid w:val="004D7555"/>
    <w:rsid w:val="004E6ADC"/>
    <w:rsid w:val="004F00DE"/>
    <w:rsid w:val="004F0575"/>
    <w:rsid w:val="004F061A"/>
    <w:rsid w:val="004F0FE3"/>
    <w:rsid w:val="004F1643"/>
    <w:rsid w:val="0050256D"/>
    <w:rsid w:val="00502F30"/>
    <w:rsid w:val="00503044"/>
    <w:rsid w:val="00506551"/>
    <w:rsid w:val="005072B1"/>
    <w:rsid w:val="00513036"/>
    <w:rsid w:val="00515303"/>
    <w:rsid w:val="005165C8"/>
    <w:rsid w:val="005176D9"/>
    <w:rsid w:val="0052226C"/>
    <w:rsid w:val="00524F0D"/>
    <w:rsid w:val="005279B0"/>
    <w:rsid w:val="00531823"/>
    <w:rsid w:val="00532A16"/>
    <w:rsid w:val="00532CC0"/>
    <w:rsid w:val="0053594B"/>
    <w:rsid w:val="005421CB"/>
    <w:rsid w:val="00542425"/>
    <w:rsid w:val="005442AD"/>
    <w:rsid w:val="00544D8A"/>
    <w:rsid w:val="00550BCF"/>
    <w:rsid w:val="0056039E"/>
    <w:rsid w:val="0056126B"/>
    <w:rsid w:val="005635C8"/>
    <w:rsid w:val="00565371"/>
    <w:rsid w:val="00570023"/>
    <w:rsid w:val="005728B9"/>
    <w:rsid w:val="00575976"/>
    <w:rsid w:val="00582566"/>
    <w:rsid w:val="0058271C"/>
    <w:rsid w:val="005827EE"/>
    <w:rsid w:val="00582B47"/>
    <w:rsid w:val="00583058"/>
    <w:rsid w:val="00583719"/>
    <w:rsid w:val="005848FC"/>
    <w:rsid w:val="00587A70"/>
    <w:rsid w:val="00590045"/>
    <w:rsid w:val="005947C1"/>
    <w:rsid w:val="005950A0"/>
    <w:rsid w:val="005B1FAE"/>
    <w:rsid w:val="005B5BD3"/>
    <w:rsid w:val="005C2277"/>
    <w:rsid w:val="005C30E4"/>
    <w:rsid w:val="005C4C6C"/>
    <w:rsid w:val="005C59C5"/>
    <w:rsid w:val="005D14BB"/>
    <w:rsid w:val="005E18C9"/>
    <w:rsid w:val="005E1923"/>
    <w:rsid w:val="005E7C3D"/>
    <w:rsid w:val="005F08BC"/>
    <w:rsid w:val="005F093C"/>
    <w:rsid w:val="005F2BFA"/>
    <w:rsid w:val="005F30A4"/>
    <w:rsid w:val="005F3AE8"/>
    <w:rsid w:val="005F53ED"/>
    <w:rsid w:val="005F5D32"/>
    <w:rsid w:val="005F5FAD"/>
    <w:rsid w:val="006006F9"/>
    <w:rsid w:val="00600E2D"/>
    <w:rsid w:val="00601591"/>
    <w:rsid w:val="00603E84"/>
    <w:rsid w:val="00604014"/>
    <w:rsid w:val="00611BCF"/>
    <w:rsid w:val="00612BE5"/>
    <w:rsid w:val="006133CC"/>
    <w:rsid w:val="00615DF3"/>
    <w:rsid w:val="00617A89"/>
    <w:rsid w:val="00621394"/>
    <w:rsid w:val="0062185F"/>
    <w:rsid w:val="00623651"/>
    <w:rsid w:val="006238EB"/>
    <w:rsid w:val="0062525C"/>
    <w:rsid w:val="006305F6"/>
    <w:rsid w:val="0063554B"/>
    <w:rsid w:val="00637CD4"/>
    <w:rsid w:val="00641C75"/>
    <w:rsid w:val="00650DC7"/>
    <w:rsid w:val="00652B63"/>
    <w:rsid w:val="00660280"/>
    <w:rsid w:val="00662EB3"/>
    <w:rsid w:val="00663030"/>
    <w:rsid w:val="0066557F"/>
    <w:rsid w:val="006734A5"/>
    <w:rsid w:val="006762D9"/>
    <w:rsid w:val="00687589"/>
    <w:rsid w:val="00687C21"/>
    <w:rsid w:val="00693839"/>
    <w:rsid w:val="00694884"/>
    <w:rsid w:val="00694E35"/>
    <w:rsid w:val="00696764"/>
    <w:rsid w:val="006A4871"/>
    <w:rsid w:val="006A549F"/>
    <w:rsid w:val="006A6249"/>
    <w:rsid w:val="006B1CC5"/>
    <w:rsid w:val="006B5558"/>
    <w:rsid w:val="006B61F1"/>
    <w:rsid w:val="006C188B"/>
    <w:rsid w:val="006C1B5D"/>
    <w:rsid w:val="006C58F7"/>
    <w:rsid w:val="006C7F50"/>
    <w:rsid w:val="006D0213"/>
    <w:rsid w:val="006D6945"/>
    <w:rsid w:val="006D6D76"/>
    <w:rsid w:val="006E0F14"/>
    <w:rsid w:val="006E7464"/>
    <w:rsid w:val="006E7B26"/>
    <w:rsid w:val="006F27CB"/>
    <w:rsid w:val="006F2E7E"/>
    <w:rsid w:val="006F5648"/>
    <w:rsid w:val="006F6EDB"/>
    <w:rsid w:val="007009E0"/>
    <w:rsid w:val="007053CA"/>
    <w:rsid w:val="0070674A"/>
    <w:rsid w:val="007067BC"/>
    <w:rsid w:val="00706E45"/>
    <w:rsid w:val="00716D45"/>
    <w:rsid w:val="00716F9A"/>
    <w:rsid w:val="0072012F"/>
    <w:rsid w:val="0072429D"/>
    <w:rsid w:val="007246F0"/>
    <w:rsid w:val="00725929"/>
    <w:rsid w:val="00737FDC"/>
    <w:rsid w:val="00742894"/>
    <w:rsid w:val="00742FDD"/>
    <w:rsid w:val="00745260"/>
    <w:rsid w:val="007501F2"/>
    <w:rsid w:val="00750B00"/>
    <w:rsid w:val="00751DCA"/>
    <w:rsid w:val="00753E19"/>
    <w:rsid w:val="00757DE3"/>
    <w:rsid w:val="00762630"/>
    <w:rsid w:val="00766629"/>
    <w:rsid w:val="007705EB"/>
    <w:rsid w:val="0077094C"/>
    <w:rsid w:val="00772BDE"/>
    <w:rsid w:val="007741A0"/>
    <w:rsid w:val="007750BA"/>
    <w:rsid w:val="0077588D"/>
    <w:rsid w:val="007817CC"/>
    <w:rsid w:val="00784E05"/>
    <w:rsid w:val="007866FE"/>
    <w:rsid w:val="00786BAB"/>
    <w:rsid w:val="00787D10"/>
    <w:rsid w:val="007913C0"/>
    <w:rsid w:val="00791DAA"/>
    <w:rsid w:val="007927D3"/>
    <w:rsid w:val="00793E55"/>
    <w:rsid w:val="007A070B"/>
    <w:rsid w:val="007A16A0"/>
    <w:rsid w:val="007A39F3"/>
    <w:rsid w:val="007A3E2E"/>
    <w:rsid w:val="007A3ED6"/>
    <w:rsid w:val="007A51BA"/>
    <w:rsid w:val="007B7018"/>
    <w:rsid w:val="007B7E52"/>
    <w:rsid w:val="007C4F68"/>
    <w:rsid w:val="007D1232"/>
    <w:rsid w:val="007D20EE"/>
    <w:rsid w:val="007D46D3"/>
    <w:rsid w:val="007D4DAB"/>
    <w:rsid w:val="007D6490"/>
    <w:rsid w:val="007E0598"/>
    <w:rsid w:val="007E342D"/>
    <w:rsid w:val="007E50DA"/>
    <w:rsid w:val="007E7017"/>
    <w:rsid w:val="007F33F0"/>
    <w:rsid w:val="007F5478"/>
    <w:rsid w:val="007F56F5"/>
    <w:rsid w:val="00800B43"/>
    <w:rsid w:val="0080295F"/>
    <w:rsid w:val="0080405E"/>
    <w:rsid w:val="00805044"/>
    <w:rsid w:val="0080603F"/>
    <w:rsid w:val="00806319"/>
    <w:rsid w:val="00810268"/>
    <w:rsid w:val="00810665"/>
    <w:rsid w:val="00811B09"/>
    <w:rsid w:val="0081440D"/>
    <w:rsid w:val="0081662C"/>
    <w:rsid w:val="0081665E"/>
    <w:rsid w:val="00817D2F"/>
    <w:rsid w:val="008229CC"/>
    <w:rsid w:val="00831901"/>
    <w:rsid w:val="0083321B"/>
    <w:rsid w:val="00833450"/>
    <w:rsid w:val="00834B37"/>
    <w:rsid w:val="0084099D"/>
    <w:rsid w:val="00840CEC"/>
    <w:rsid w:val="00842E30"/>
    <w:rsid w:val="00850E8C"/>
    <w:rsid w:val="00853630"/>
    <w:rsid w:val="0085588E"/>
    <w:rsid w:val="00856203"/>
    <w:rsid w:val="00860C22"/>
    <w:rsid w:val="00865710"/>
    <w:rsid w:val="00866619"/>
    <w:rsid w:val="00866A36"/>
    <w:rsid w:val="00867079"/>
    <w:rsid w:val="0087020E"/>
    <w:rsid w:val="00872257"/>
    <w:rsid w:val="008729A6"/>
    <w:rsid w:val="008734D2"/>
    <w:rsid w:val="00874145"/>
    <w:rsid w:val="00874AF0"/>
    <w:rsid w:val="008762E9"/>
    <w:rsid w:val="00876EE7"/>
    <w:rsid w:val="00881E3A"/>
    <w:rsid w:val="0088254E"/>
    <w:rsid w:val="00884BE1"/>
    <w:rsid w:val="008868A9"/>
    <w:rsid w:val="008902D3"/>
    <w:rsid w:val="00894456"/>
    <w:rsid w:val="0089521F"/>
    <w:rsid w:val="00897D8F"/>
    <w:rsid w:val="008A0988"/>
    <w:rsid w:val="008A144E"/>
    <w:rsid w:val="008A3B08"/>
    <w:rsid w:val="008B540D"/>
    <w:rsid w:val="008B70A9"/>
    <w:rsid w:val="008B7707"/>
    <w:rsid w:val="008C0851"/>
    <w:rsid w:val="008C15AD"/>
    <w:rsid w:val="008C1DC5"/>
    <w:rsid w:val="008C3882"/>
    <w:rsid w:val="008C39E0"/>
    <w:rsid w:val="008D392C"/>
    <w:rsid w:val="008D61B9"/>
    <w:rsid w:val="008D672F"/>
    <w:rsid w:val="008D692E"/>
    <w:rsid w:val="008D761F"/>
    <w:rsid w:val="008E32E0"/>
    <w:rsid w:val="008E3BEC"/>
    <w:rsid w:val="008E3C9F"/>
    <w:rsid w:val="008E52DB"/>
    <w:rsid w:val="008E5C14"/>
    <w:rsid w:val="008F1F24"/>
    <w:rsid w:val="008F26DE"/>
    <w:rsid w:val="008F7AAD"/>
    <w:rsid w:val="00900578"/>
    <w:rsid w:val="00900DA5"/>
    <w:rsid w:val="00903390"/>
    <w:rsid w:val="00905854"/>
    <w:rsid w:val="00905A66"/>
    <w:rsid w:val="00907A4E"/>
    <w:rsid w:val="00915D9C"/>
    <w:rsid w:val="00924827"/>
    <w:rsid w:val="009252BF"/>
    <w:rsid w:val="00925C3C"/>
    <w:rsid w:val="009262E5"/>
    <w:rsid w:val="00930CD1"/>
    <w:rsid w:val="00931DE4"/>
    <w:rsid w:val="00933399"/>
    <w:rsid w:val="00935990"/>
    <w:rsid w:val="00937F07"/>
    <w:rsid w:val="0094051B"/>
    <w:rsid w:val="00944B6A"/>
    <w:rsid w:val="00945D3B"/>
    <w:rsid w:val="009465A0"/>
    <w:rsid w:val="00950673"/>
    <w:rsid w:val="00950D63"/>
    <w:rsid w:val="00952454"/>
    <w:rsid w:val="00953BAB"/>
    <w:rsid w:val="00953ED7"/>
    <w:rsid w:val="009578C8"/>
    <w:rsid w:val="0096270F"/>
    <w:rsid w:val="00963068"/>
    <w:rsid w:val="009642BA"/>
    <w:rsid w:val="00966D60"/>
    <w:rsid w:val="009704BD"/>
    <w:rsid w:val="00972C45"/>
    <w:rsid w:val="00973DC8"/>
    <w:rsid w:val="0097452D"/>
    <w:rsid w:val="00976291"/>
    <w:rsid w:val="00983878"/>
    <w:rsid w:val="00984C34"/>
    <w:rsid w:val="009863EA"/>
    <w:rsid w:val="00986972"/>
    <w:rsid w:val="00993CEC"/>
    <w:rsid w:val="00993D3E"/>
    <w:rsid w:val="009A2489"/>
    <w:rsid w:val="009A3D3C"/>
    <w:rsid w:val="009B0EEB"/>
    <w:rsid w:val="009B1FAE"/>
    <w:rsid w:val="009B2C6D"/>
    <w:rsid w:val="009C4C7F"/>
    <w:rsid w:val="009C4E53"/>
    <w:rsid w:val="009C7CD7"/>
    <w:rsid w:val="009D2DC9"/>
    <w:rsid w:val="009E3B23"/>
    <w:rsid w:val="009E5C5A"/>
    <w:rsid w:val="009E7F11"/>
    <w:rsid w:val="009F1FE8"/>
    <w:rsid w:val="009F495A"/>
    <w:rsid w:val="009F5D59"/>
    <w:rsid w:val="00A01269"/>
    <w:rsid w:val="00A0749B"/>
    <w:rsid w:val="00A074CF"/>
    <w:rsid w:val="00A14A94"/>
    <w:rsid w:val="00A1691C"/>
    <w:rsid w:val="00A24BE1"/>
    <w:rsid w:val="00A31593"/>
    <w:rsid w:val="00A33D13"/>
    <w:rsid w:val="00A36AC3"/>
    <w:rsid w:val="00A4208E"/>
    <w:rsid w:val="00A42951"/>
    <w:rsid w:val="00A4331C"/>
    <w:rsid w:val="00A46F59"/>
    <w:rsid w:val="00A52B0D"/>
    <w:rsid w:val="00A5459B"/>
    <w:rsid w:val="00A61765"/>
    <w:rsid w:val="00A61931"/>
    <w:rsid w:val="00A6279E"/>
    <w:rsid w:val="00A63E61"/>
    <w:rsid w:val="00A66A29"/>
    <w:rsid w:val="00A67CD1"/>
    <w:rsid w:val="00A71C3B"/>
    <w:rsid w:val="00A73740"/>
    <w:rsid w:val="00A75635"/>
    <w:rsid w:val="00A77FB7"/>
    <w:rsid w:val="00A8038B"/>
    <w:rsid w:val="00A82F73"/>
    <w:rsid w:val="00A82FCC"/>
    <w:rsid w:val="00A837C7"/>
    <w:rsid w:val="00A91813"/>
    <w:rsid w:val="00A91E43"/>
    <w:rsid w:val="00A9319D"/>
    <w:rsid w:val="00A95BF6"/>
    <w:rsid w:val="00AA1E5F"/>
    <w:rsid w:val="00AA3ABA"/>
    <w:rsid w:val="00AA5FDD"/>
    <w:rsid w:val="00AA6D9F"/>
    <w:rsid w:val="00AB5462"/>
    <w:rsid w:val="00AC2176"/>
    <w:rsid w:val="00AC29DD"/>
    <w:rsid w:val="00AC5425"/>
    <w:rsid w:val="00AC58E5"/>
    <w:rsid w:val="00AD1021"/>
    <w:rsid w:val="00AD2629"/>
    <w:rsid w:val="00AD2ECB"/>
    <w:rsid w:val="00AD4A5D"/>
    <w:rsid w:val="00AD7F55"/>
    <w:rsid w:val="00AE6FDD"/>
    <w:rsid w:val="00AF559A"/>
    <w:rsid w:val="00AF614D"/>
    <w:rsid w:val="00B00807"/>
    <w:rsid w:val="00B04A2E"/>
    <w:rsid w:val="00B06518"/>
    <w:rsid w:val="00B1092D"/>
    <w:rsid w:val="00B15166"/>
    <w:rsid w:val="00B157E6"/>
    <w:rsid w:val="00B16F59"/>
    <w:rsid w:val="00B216DB"/>
    <w:rsid w:val="00B23696"/>
    <w:rsid w:val="00B24827"/>
    <w:rsid w:val="00B30071"/>
    <w:rsid w:val="00B31234"/>
    <w:rsid w:val="00B33B62"/>
    <w:rsid w:val="00B34DFC"/>
    <w:rsid w:val="00B4549B"/>
    <w:rsid w:val="00B4557F"/>
    <w:rsid w:val="00B509BD"/>
    <w:rsid w:val="00B509C4"/>
    <w:rsid w:val="00B525F6"/>
    <w:rsid w:val="00B52F7D"/>
    <w:rsid w:val="00B550B9"/>
    <w:rsid w:val="00B63AFE"/>
    <w:rsid w:val="00B65D08"/>
    <w:rsid w:val="00B7038A"/>
    <w:rsid w:val="00B7318B"/>
    <w:rsid w:val="00B73C11"/>
    <w:rsid w:val="00B775A8"/>
    <w:rsid w:val="00B85203"/>
    <w:rsid w:val="00B909EF"/>
    <w:rsid w:val="00B94DA8"/>
    <w:rsid w:val="00B96319"/>
    <w:rsid w:val="00BA0746"/>
    <w:rsid w:val="00BA4125"/>
    <w:rsid w:val="00BA52AE"/>
    <w:rsid w:val="00BA6323"/>
    <w:rsid w:val="00BA6A9B"/>
    <w:rsid w:val="00BB26EE"/>
    <w:rsid w:val="00BB3955"/>
    <w:rsid w:val="00BB6216"/>
    <w:rsid w:val="00BB6305"/>
    <w:rsid w:val="00BC1E7C"/>
    <w:rsid w:val="00BC229C"/>
    <w:rsid w:val="00BC7D83"/>
    <w:rsid w:val="00BD26A6"/>
    <w:rsid w:val="00BD4BFB"/>
    <w:rsid w:val="00BD7C60"/>
    <w:rsid w:val="00BE0DA7"/>
    <w:rsid w:val="00BE3A04"/>
    <w:rsid w:val="00BE3BDC"/>
    <w:rsid w:val="00BE4197"/>
    <w:rsid w:val="00BE41CD"/>
    <w:rsid w:val="00BE700C"/>
    <w:rsid w:val="00BF489F"/>
    <w:rsid w:val="00BF4982"/>
    <w:rsid w:val="00BF50E0"/>
    <w:rsid w:val="00C01D06"/>
    <w:rsid w:val="00C066B6"/>
    <w:rsid w:val="00C1005A"/>
    <w:rsid w:val="00C15119"/>
    <w:rsid w:val="00C224E1"/>
    <w:rsid w:val="00C22D07"/>
    <w:rsid w:val="00C235B5"/>
    <w:rsid w:val="00C267F7"/>
    <w:rsid w:val="00C30A90"/>
    <w:rsid w:val="00C37FCD"/>
    <w:rsid w:val="00C428C7"/>
    <w:rsid w:val="00C438F0"/>
    <w:rsid w:val="00C452AE"/>
    <w:rsid w:val="00C4719B"/>
    <w:rsid w:val="00C516C1"/>
    <w:rsid w:val="00C541CF"/>
    <w:rsid w:val="00C564C4"/>
    <w:rsid w:val="00C61574"/>
    <w:rsid w:val="00C61B68"/>
    <w:rsid w:val="00C6637B"/>
    <w:rsid w:val="00C6645C"/>
    <w:rsid w:val="00C67EFB"/>
    <w:rsid w:val="00C7176D"/>
    <w:rsid w:val="00C76295"/>
    <w:rsid w:val="00C76EA6"/>
    <w:rsid w:val="00C815AE"/>
    <w:rsid w:val="00C855D8"/>
    <w:rsid w:val="00C85E44"/>
    <w:rsid w:val="00C863FF"/>
    <w:rsid w:val="00C92B5D"/>
    <w:rsid w:val="00C92C5C"/>
    <w:rsid w:val="00C92D82"/>
    <w:rsid w:val="00C94E3B"/>
    <w:rsid w:val="00C97A48"/>
    <w:rsid w:val="00CA0C46"/>
    <w:rsid w:val="00CA0D59"/>
    <w:rsid w:val="00CB029D"/>
    <w:rsid w:val="00CB21B1"/>
    <w:rsid w:val="00CB4DC0"/>
    <w:rsid w:val="00CB5450"/>
    <w:rsid w:val="00CC364C"/>
    <w:rsid w:val="00CC37BC"/>
    <w:rsid w:val="00CC49DE"/>
    <w:rsid w:val="00CC582E"/>
    <w:rsid w:val="00CC606C"/>
    <w:rsid w:val="00CC6C7B"/>
    <w:rsid w:val="00CC7943"/>
    <w:rsid w:val="00CE1931"/>
    <w:rsid w:val="00CE3982"/>
    <w:rsid w:val="00CE3DB9"/>
    <w:rsid w:val="00CE6FB0"/>
    <w:rsid w:val="00CE71B4"/>
    <w:rsid w:val="00CF1D59"/>
    <w:rsid w:val="00CF21DD"/>
    <w:rsid w:val="00CF2EB2"/>
    <w:rsid w:val="00CF38A2"/>
    <w:rsid w:val="00CF4BC0"/>
    <w:rsid w:val="00CF52BC"/>
    <w:rsid w:val="00D007FC"/>
    <w:rsid w:val="00D01921"/>
    <w:rsid w:val="00D01D1F"/>
    <w:rsid w:val="00D163F1"/>
    <w:rsid w:val="00D17EC7"/>
    <w:rsid w:val="00D20210"/>
    <w:rsid w:val="00D20415"/>
    <w:rsid w:val="00D2073C"/>
    <w:rsid w:val="00D26E82"/>
    <w:rsid w:val="00D3285B"/>
    <w:rsid w:val="00D330DE"/>
    <w:rsid w:val="00D33524"/>
    <w:rsid w:val="00D36509"/>
    <w:rsid w:val="00D411B4"/>
    <w:rsid w:val="00D41ACB"/>
    <w:rsid w:val="00D420F4"/>
    <w:rsid w:val="00D42DAE"/>
    <w:rsid w:val="00D43806"/>
    <w:rsid w:val="00D5328B"/>
    <w:rsid w:val="00D55CC9"/>
    <w:rsid w:val="00D56D81"/>
    <w:rsid w:val="00D6181F"/>
    <w:rsid w:val="00D6400E"/>
    <w:rsid w:val="00D647AB"/>
    <w:rsid w:val="00D73A01"/>
    <w:rsid w:val="00D76440"/>
    <w:rsid w:val="00D766DF"/>
    <w:rsid w:val="00D81F8E"/>
    <w:rsid w:val="00D81F9A"/>
    <w:rsid w:val="00D8221C"/>
    <w:rsid w:val="00D848D3"/>
    <w:rsid w:val="00D848DA"/>
    <w:rsid w:val="00D87696"/>
    <w:rsid w:val="00D92BDC"/>
    <w:rsid w:val="00D95D8F"/>
    <w:rsid w:val="00DA151A"/>
    <w:rsid w:val="00DA2222"/>
    <w:rsid w:val="00DA4BD0"/>
    <w:rsid w:val="00DB2415"/>
    <w:rsid w:val="00DB4D07"/>
    <w:rsid w:val="00DB6617"/>
    <w:rsid w:val="00DB7233"/>
    <w:rsid w:val="00DC0DB0"/>
    <w:rsid w:val="00DC42D4"/>
    <w:rsid w:val="00DC5DF7"/>
    <w:rsid w:val="00DC68A6"/>
    <w:rsid w:val="00DD24B4"/>
    <w:rsid w:val="00DD2DAE"/>
    <w:rsid w:val="00DD3B90"/>
    <w:rsid w:val="00DE30AD"/>
    <w:rsid w:val="00DE4826"/>
    <w:rsid w:val="00DE52A8"/>
    <w:rsid w:val="00DE70E7"/>
    <w:rsid w:val="00DF4CFB"/>
    <w:rsid w:val="00E03C3D"/>
    <w:rsid w:val="00E06916"/>
    <w:rsid w:val="00E1399F"/>
    <w:rsid w:val="00E20FC3"/>
    <w:rsid w:val="00E24CF2"/>
    <w:rsid w:val="00E314AC"/>
    <w:rsid w:val="00E3191A"/>
    <w:rsid w:val="00E33C28"/>
    <w:rsid w:val="00E343D3"/>
    <w:rsid w:val="00E411DE"/>
    <w:rsid w:val="00E43A23"/>
    <w:rsid w:val="00E45224"/>
    <w:rsid w:val="00E50A24"/>
    <w:rsid w:val="00E51730"/>
    <w:rsid w:val="00E57284"/>
    <w:rsid w:val="00E63480"/>
    <w:rsid w:val="00E63982"/>
    <w:rsid w:val="00E81DD2"/>
    <w:rsid w:val="00E826EC"/>
    <w:rsid w:val="00E83C44"/>
    <w:rsid w:val="00E85790"/>
    <w:rsid w:val="00E86D1D"/>
    <w:rsid w:val="00E940FB"/>
    <w:rsid w:val="00EA473B"/>
    <w:rsid w:val="00EA4E73"/>
    <w:rsid w:val="00EA5653"/>
    <w:rsid w:val="00EB060E"/>
    <w:rsid w:val="00EB23E5"/>
    <w:rsid w:val="00EB24C5"/>
    <w:rsid w:val="00EB25E5"/>
    <w:rsid w:val="00EB496E"/>
    <w:rsid w:val="00EB4D11"/>
    <w:rsid w:val="00EC0FD6"/>
    <w:rsid w:val="00EC2201"/>
    <w:rsid w:val="00EC4D9C"/>
    <w:rsid w:val="00EC7A24"/>
    <w:rsid w:val="00EC7B7B"/>
    <w:rsid w:val="00ED3D56"/>
    <w:rsid w:val="00EE2123"/>
    <w:rsid w:val="00EE3BE6"/>
    <w:rsid w:val="00EE3E26"/>
    <w:rsid w:val="00EE3E62"/>
    <w:rsid w:val="00EE49C4"/>
    <w:rsid w:val="00EE4BC3"/>
    <w:rsid w:val="00EE6736"/>
    <w:rsid w:val="00EE7772"/>
    <w:rsid w:val="00EF168C"/>
    <w:rsid w:val="00EF787B"/>
    <w:rsid w:val="00F00A68"/>
    <w:rsid w:val="00F07CD0"/>
    <w:rsid w:val="00F1284A"/>
    <w:rsid w:val="00F12D47"/>
    <w:rsid w:val="00F1764B"/>
    <w:rsid w:val="00F21809"/>
    <w:rsid w:val="00F234C2"/>
    <w:rsid w:val="00F249AD"/>
    <w:rsid w:val="00F2756E"/>
    <w:rsid w:val="00F27CC5"/>
    <w:rsid w:val="00F312C1"/>
    <w:rsid w:val="00F3598E"/>
    <w:rsid w:val="00F35CE9"/>
    <w:rsid w:val="00F3638E"/>
    <w:rsid w:val="00F440E3"/>
    <w:rsid w:val="00F61BE1"/>
    <w:rsid w:val="00F61C1A"/>
    <w:rsid w:val="00F65EC1"/>
    <w:rsid w:val="00F65EDB"/>
    <w:rsid w:val="00F7125B"/>
    <w:rsid w:val="00F73AB6"/>
    <w:rsid w:val="00F73B82"/>
    <w:rsid w:val="00F775FB"/>
    <w:rsid w:val="00F80BE7"/>
    <w:rsid w:val="00F84DA6"/>
    <w:rsid w:val="00F869BF"/>
    <w:rsid w:val="00F911AB"/>
    <w:rsid w:val="00F95B70"/>
    <w:rsid w:val="00F96016"/>
    <w:rsid w:val="00FA1595"/>
    <w:rsid w:val="00FA2A65"/>
    <w:rsid w:val="00FA37B8"/>
    <w:rsid w:val="00FA43CA"/>
    <w:rsid w:val="00FB1F70"/>
    <w:rsid w:val="00FB309A"/>
    <w:rsid w:val="00FC1F6D"/>
    <w:rsid w:val="00FC20BC"/>
    <w:rsid w:val="00FC46C6"/>
    <w:rsid w:val="00FC788B"/>
    <w:rsid w:val="00FD012D"/>
    <w:rsid w:val="00FD06AE"/>
    <w:rsid w:val="00FD0B75"/>
    <w:rsid w:val="00FD213F"/>
    <w:rsid w:val="00FD2364"/>
    <w:rsid w:val="00FD7004"/>
    <w:rsid w:val="00FE348F"/>
    <w:rsid w:val="00FE5133"/>
    <w:rsid w:val="00FE6485"/>
    <w:rsid w:val="00FE7791"/>
    <w:rsid w:val="00FF0741"/>
    <w:rsid w:val="00FF2AD0"/>
    <w:rsid w:val="00FF2D9F"/>
    <w:rsid w:val="00FF4D18"/>
    <w:rsid w:val="00FF5288"/>
    <w:rsid w:val="00FF5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EAC7FA"/>
  <w15:docId w15:val="{68789589-607E-4DFC-BB76-00F18DF15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keepNext/>
      <w:ind w:right="-2016"/>
      <w:outlineLvl w:val="0"/>
    </w:pPr>
    <w:rPr>
      <w:sz w:val="24"/>
      <w:szCs w:val="24"/>
    </w:rPr>
  </w:style>
  <w:style w:type="paragraph" w:styleId="Heading2">
    <w:name w:val="heading 2"/>
    <w:basedOn w:val="Normal"/>
    <w:next w:val="Normal"/>
    <w:qFormat/>
    <w:pPr>
      <w:keepNext/>
      <w:tabs>
        <w:tab w:val="left" w:pos="9180"/>
      </w:tabs>
      <w:ind w:left="720" w:right="-144"/>
      <w:outlineLvl w:val="1"/>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ind w:left="720" w:right="-2016"/>
    </w:pPr>
    <w:rPr>
      <w:sz w:val="24"/>
      <w:szCs w:val="24"/>
    </w:rPr>
  </w:style>
  <w:style w:type="paragraph" w:styleId="BodyTextIndent">
    <w:name w:val="Body Text Indent"/>
    <w:basedOn w:val="Normal"/>
    <w:pPr>
      <w:ind w:left="720"/>
    </w:pPr>
    <w:rPr>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customStyle="1" w:styleId="bodycopy1">
    <w:name w:val="bodycopy1"/>
    <w:rPr>
      <w:rFonts w:ascii="Verdana" w:hAnsi="Verdana" w:hint="default"/>
      <w:color w:val="000000"/>
      <w:sz w:val="27"/>
      <w:szCs w:val="27"/>
    </w:rPr>
  </w:style>
  <w:style w:type="character" w:styleId="Strong">
    <w:name w:val="Strong"/>
    <w:qFormat/>
    <w:rPr>
      <w:b/>
      <w:bCs/>
    </w:rPr>
  </w:style>
  <w:style w:type="paragraph" w:styleId="BalloonText">
    <w:name w:val="Balloon Text"/>
    <w:basedOn w:val="Normal"/>
    <w:semiHidden/>
    <w:rsid w:val="00515303"/>
    <w:rPr>
      <w:rFonts w:ascii="Tahoma" w:hAnsi="Tahoma" w:cs="Tahoma"/>
      <w:sz w:val="16"/>
      <w:szCs w:val="16"/>
    </w:rPr>
  </w:style>
  <w:style w:type="paragraph" w:styleId="ListParagraph">
    <w:name w:val="List Paragraph"/>
    <w:basedOn w:val="Normal"/>
    <w:uiPriority w:val="34"/>
    <w:qFormat/>
    <w:rsid w:val="008C0851"/>
    <w:pPr>
      <w:ind w:left="720"/>
    </w:pPr>
  </w:style>
  <w:style w:type="paragraph" w:styleId="Footer">
    <w:name w:val="footer"/>
    <w:basedOn w:val="Normal"/>
    <w:link w:val="FooterChar"/>
    <w:rsid w:val="00466CD7"/>
    <w:pPr>
      <w:tabs>
        <w:tab w:val="center" w:pos="4320"/>
        <w:tab w:val="right" w:pos="8640"/>
      </w:tabs>
    </w:pPr>
    <w:rPr>
      <w:rFonts w:ascii="Courier" w:hAnsi="Courier"/>
      <w:szCs w:val="24"/>
    </w:rPr>
  </w:style>
  <w:style w:type="character" w:customStyle="1" w:styleId="FooterChar">
    <w:name w:val="Footer Char"/>
    <w:link w:val="Footer"/>
    <w:rsid w:val="00466CD7"/>
    <w:rPr>
      <w:rFonts w:ascii="Courier" w:hAnsi="Courier"/>
      <w:szCs w:val="24"/>
    </w:rPr>
  </w:style>
  <w:style w:type="character" w:customStyle="1" w:styleId="HeaderChar">
    <w:name w:val="Header Char"/>
    <w:link w:val="Header"/>
    <w:uiPriority w:val="99"/>
    <w:rsid w:val="00466CD7"/>
  </w:style>
  <w:style w:type="character" w:styleId="CommentReference">
    <w:name w:val="annotation reference"/>
    <w:rsid w:val="00FD012D"/>
    <w:rPr>
      <w:sz w:val="16"/>
      <w:szCs w:val="16"/>
    </w:rPr>
  </w:style>
  <w:style w:type="paragraph" w:styleId="CommentText">
    <w:name w:val="annotation text"/>
    <w:basedOn w:val="Normal"/>
    <w:link w:val="CommentTextChar"/>
    <w:rsid w:val="00FD012D"/>
  </w:style>
  <w:style w:type="character" w:customStyle="1" w:styleId="CommentTextChar">
    <w:name w:val="Comment Text Char"/>
    <w:basedOn w:val="DefaultParagraphFont"/>
    <w:link w:val="CommentText"/>
    <w:rsid w:val="00FD012D"/>
  </w:style>
  <w:style w:type="paragraph" w:styleId="CommentSubject">
    <w:name w:val="annotation subject"/>
    <w:basedOn w:val="CommentText"/>
    <w:next w:val="CommentText"/>
    <w:link w:val="CommentSubjectChar"/>
    <w:rsid w:val="00FD012D"/>
    <w:rPr>
      <w:b/>
      <w:bCs/>
    </w:rPr>
  </w:style>
  <w:style w:type="character" w:customStyle="1" w:styleId="CommentSubjectChar">
    <w:name w:val="Comment Subject Char"/>
    <w:link w:val="CommentSubject"/>
    <w:rsid w:val="00FD012D"/>
    <w:rPr>
      <w:b/>
      <w:bCs/>
    </w:rPr>
  </w:style>
  <w:style w:type="paragraph" w:customStyle="1" w:styleId="1AutoList1">
    <w:name w:val="1AutoList1"/>
    <w:rsid w:val="004A1165"/>
    <w:pPr>
      <w:widowControl w:val="0"/>
      <w:tabs>
        <w:tab w:val="left" w:pos="720"/>
      </w:tabs>
      <w:autoSpaceDE w:val="0"/>
      <w:autoSpaceDN w:val="0"/>
      <w:adjustRightInd w:val="0"/>
      <w:ind w:left="720" w:hanging="720"/>
      <w:jc w:val="both"/>
    </w:pPr>
    <w:rPr>
      <w:sz w:val="24"/>
      <w:szCs w:val="24"/>
    </w:rPr>
  </w:style>
  <w:style w:type="paragraph" w:styleId="FootnoteText">
    <w:name w:val="footnote text"/>
    <w:basedOn w:val="Normal"/>
    <w:link w:val="FootnoteTextChar"/>
    <w:unhideWhenUsed/>
    <w:rsid w:val="00F1284A"/>
    <w:pPr>
      <w:widowControl/>
      <w:autoSpaceDE/>
      <w:autoSpaceDN/>
      <w:adjustRightInd/>
    </w:pPr>
    <w:rPr>
      <w:rFonts w:eastAsiaTheme="minorHAnsi" w:cstheme="minorBidi"/>
    </w:rPr>
  </w:style>
  <w:style w:type="character" w:customStyle="1" w:styleId="FootnoteTextChar">
    <w:name w:val="Footnote Text Char"/>
    <w:basedOn w:val="DefaultParagraphFont"/>
    <w:link w:val="FootnoteText"/>
    <w:rsid w:val="00F1284A"/>
    <w:rPr>
      <w:rFonts w:eastAsiaTheme="minorHAnsi" w:cstheme="minorBidi"/>
    </w:rPr>
  </w:style>
  <w:style w:type="character" w:styleId="FootnoteReference">
    <w:name w:val="footnote reference"/>
    <w:basedOn w:val="DefaultParagraphFont"/>
    <w:unhideWhenUsed/>
    <w:rsid w:val="00F1284A"/>
    <w:rPr>
      <w:vertAlign w:val="superscript"/>
    </w:rPr>
  </w:style>
  <w:style w:type="character" w:styleId="Hyperlink">
    <w:name w:val="Hyperlink"/>
    <w:rsid w:val="002D5CA6"/>
    <w:rPr>
      <w:strike w:val="0"/>
      <w:dstrike w:val="0"/>
      <w:color w:val="0C5081"/>
      <w:u w:val="none"/>
      <w:effect w:val="none"/>
    </w:rPr>
  </w:style>
  <w:style w:type="character" w:styleId="FollowedHyperlink">
    <w:name w:val="FollowedHyperlink"/>
    <w:basedOn w:val="DefaultParagraphFont"/>
    <w:semiHidden/>
    <w:unhideWhenUsed/>
    <w:rsid w:val="0004273A"/>
    <w:rPr>
      <w:color w:val="800080" w:themeColor="followedHyperlink"/>
      <w:u w:val="single"/>
    </w:rPr>
  </w:style>
  <w:style w:type="character" w:styleId="UnresolvedMention">
    <w:name w:val="Unresolved Mention"/>
    <w:basedOn w:val="DefaultParagraphFont"/>
    <w:uiPriority w:val="99"/>
    <w:semiHidden/>
    <w:unhideWhenUsed/>
    <w:rsid w:val="002F1223"/>
    <w:rPr>
      <w:color w:val="605E5C"/>
      <w:shd w:val="clear" w:color="auto" w:fill="E1DFDD"/>
    </w:rPr>
  </w:style>
  <w:style w:type="table" w:styleId="TableGrid">
    <w:name w:val="Table Grid"/>
    <w:basedOn w:val="TableNormal"/>
    <w:uiPriority w:val="59"/>
    <w:rsid w:val="006D6945"/>
    <w:rPr>
      <w:rFonts w:eastAsiaTheme="minorHAnsi"/>
      <w:color w:val="00000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26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849797">
      <w:bodyDiv w:val="1"/>
      <w:marLeft w:val="0"/>
      <w:marRight w:val="0"/>
      <w:marTop w:val="0"/>
      <w:marBottom w:val="0"/>
      <w:divBdr>
        <w:top w:val="none" w:sz="0" w:space="0" w:color="auto"/>
        <w:left w:val="none" w:sz="0" w:space="0" w:color="auto"/>
        <w:bottom w:val="none" w:sz="0" w:space="0" w:color="auto"/>
        <w:right w:val="none" w:sz="0" w:space="0" w:color="auto"/>
      </w:divBdr>
    </w:div>
    <w:div w:id="148565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archives/ecec_0618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D48CF-B166-4CDF-85B0-2FC2FC2CB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5495</Words>
  <Characters>31328</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NPS-AA</Company>
  <LinksUpToDate>false</LinksUpToDate>
  <CharactersWithSpaces>36750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NPS</dc:creator>
  <cp:lastModifiedBy>Culbreath, Walter (NHTSA)</cp:lastModifiedBy>
  <cp:revision>2</cp:revision>
  <cp:lastPrinted>2020-06-18T13:51:00Z</cp:lastPrinted>
  <dcterms:created xsi:type="dcterms:W3CDTF">2022-08-10T15:55:00Z</dcterms:created>
  <dcterms:modified xsi:type="dcterms:W3CDTF">2022-08-10T15:55:00Z</dcterms:modified>
</cp:coreProperties>
</file>