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57E3" w:rsidR="000442EF" w:rsidRDefault="000442EF" w14:paraId="478F69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B857E3">
        <w:rPr>
          <w:b/>
          <w:color w:val="000000"/>
          <w:sz w:val="24"/>
          <w:szCs w:val="24"/>
        </w:rPr>
        <w:t>Supporting Statement for Paperwork Reduction Act Submissions</w:t>
      </w:r>
    </w:p>
    <w:p w:rsidRPr="00B857E3" w:rsidR="000442EF" w:rsidRDefault="000442EF" w14:paraId="63DA7EB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szCs w:val="24"/>
        </w:rPr>
      </w:pPr>
    </w:p>
    <w:p w:rsidRPr="00B857E3" w:rsidR="000442EF" w:rsidRDefault="004E7419" w14:paraId="503D0B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B857E3">
        <w:rPr>
          <w:b/>
          <w:color w:val="000000"/>
          <w:sz w:val="24"/>
          <w:szCs w:val="24"/>
        </w:rPr>
        <w:t>Supporting Statement</w:t>
      </w:r>
    </w:p>
    <w:p w:rsidRPr="00B857E3" w:rsidR="00EF0882" w:rsidRDefault="00EF0882" w14:paraId="50EA3F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B857E3">
        <w:rPr>
          <w:b/>
          <w:color w:val="000000"/>
          <w:sz w:val="24"/>
          <w:szCs w:val="24"/>
        </w:rPr>
        <w:t>2502-0507</w:t>
      </w:r>
    </w:p>
    <w:p w:rsidRPr="00B857E3" w:rsidR="004E7419" w:rsidRDefault="004E7419" w14:paraId="4588C7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B857E3">
        <w:rPr>
          <w:b/>
          <w:color w:val="000000"/>
          <w:sz w:val="24"/>
          <w:szCs w:val="24"/>
        </w:rPr>
        <w:t>AAF Rent Increase Requirements</w:t>
      </w:r>
    </w:p>
    <w:p w:rsidRPr="00B857E3" w:rsidR="004E7419" w:rsidRDefault="004E7419" w14:paraId="2B49FB6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B857E3">
        <w:rPr>
          <w:b/>
          <w:color w:val="000000"/>
          <w:sz w:val="24"/>
          <w:szCs w:val="24"/>
        </w:rPr>
        <w:t>Pursuant to the Housing Appropriations Act of 1995</w:t>
      </w:r>
    </w:p>
    <w:p w:rsidRPr="00B857E3" w:rsidR="000442EF" w:rsidRDefault="000442EF" w14:paraId="503F17B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szCs w:val="24"/>
        </w:rPr>
      </w:pPr>
    </w:p>
    <w:p w:rsidRPr="00B857E3" w:rsidR="004E7419" w:rsidP="004E7419" w:rsidRDefault="004E7419" w14:paraId="1F7D3A72" w14:textId="77777777">
      <w:pPr>
        <w:pStyle w:val="OmniPage3"/>
        <w:pBdr>
          <w:top w:val="single" w:color="auto" w:sz="4" w:space="1"/>
        </w:pBdr>
        <w:tabs>
          <w:tab w:val="clear" w:pos="685"/>
          <w:tab w:val="clear" w:pos="2657"/>
          <w:tab w:val="left" w:pos="360"/>
        </w:tabs>
        <w:ind w:left="360" w:right="0" w:hanging="360"/>
        <w:rPr>
          <w:b/>
          <w:color w:val="000000"/>
          <w:sz w:val="24"/>
          <w:szCs w:val="24"/>
        </w:rPr>
      </w:pPr>
      <w:r w:rsidRPr="00B857E3">
        <w:rPr>
          <w:b/>
          <w:color w:val="000000"/>
          <w:sz w:val="24"/>
          <w:szCs w:val="24"/>
        </w:rPr>
        <w:t>A.</w:t>
      </w:r>
      <w:r w:rsidRPr="00B857E3">
        <w:rPr>
          <w:b/>
          <w:color w:val="000000"/>
          <w:sz w:val="24"/>
          <w:szCs w:val="24"/>
        </w:rPr>
        <w:tab/>
        <w:t>Justification</w:t>
      </w:r>
    </w:p>
    <w:p w:rsidRPr="00B857E3" w:rsidR="004E7419" w:rsidP="004E7419" w:rsidRDefault="004E7419" w14:paraId="2237EA07" w14:textId="77777777">
      <w:pPr>
        <w:tabs>
          <w:tab w:val="left" w:pos="360"/>
          <w:tab w:val="right" w:pos="2657"/>
        </w:tabs>
        <w:ind w:left="360" w:hanging="360"/>
        <w:rPr>
          <w:b/>
          <w:color w:val="000000"/>
          <w:sz w:val="24"/>
          <w:szCs w:val="24"/>
        </w:rPr>
      </w:pPr>
    </w:p>
    <w:p w:rsidRPr="00B857E3" w:rsidR="004E7419" w:rsidP="004E7419" w:rsidRDefault="004E7419" w14:paraId="5619D460" w14:textId="77777777">
      <w:pPr>
        <w:pStyle w:val="OmniPage4"/>
        <w:tabs>
          <w:tab w:val="left" w:pos="360"/>
        </w:tabs>
        <w:ind w:left="360" w:hanging="360"/>
        <w:rPr>
          <w:color w:val="000000"/>
          <w:sz w:val="24"/>
          <w:szCs w:val="24"/>
        </w:rPr>
      </w:pPr>
      <w:r w:rsidRPr="00B857E3">
        <w:rPr>
          <w:color w:val="000000"/>
          <w:sz w:val="24"/>
          <w:szCs w:val="24"/>
        </w:rPr>
        <w:t>1.</w:t>
      </w:r>
      <w:r w:rsidRPr="00B857E3">
        <w:rPr>
          <w:color w:val="000000"/>
          <w:sz w:val="24"/>
          <w:szCs w:val="24"/>
        </w:rPr>
        <w:tab/>
        <w:t xml:space="preserve">On September 28, 1994, P.L. 103-327, "Department of Veterans Affairs and Housing and Urban Development and Independent Agencies Appropriations Act, 1995," was enacted.  This Act authorized HUD's spending authority for Fiscal Year 1995.  Among the many measures </w:t>
      </w:r>
      <w:r w:rsidRPr="00B857E3" w:rsidR="001A3188">
        <w:rPr>
          <w:color w:val="000000"/>
          <w:sz w:val="24"/>
          <w:szCs w:val="24"/>
        </w:rPr>
        <w:t>contained</w:t>
      </w:r>
      <w:r w:rsidRPr="00B857E3">
        <w:rPr>
          <w:color w:val="000000"/>
          <w:sz w:val="24"/>
          <w:szCs w:val="24"/>
        </w:rPr>
        <w:t xml:space="preserve"> in the bill, emphasis was placed on utilizing the mechanism in the Section 8 Housing Assistance Payment (HAP) contract language that permits an analysis on the reasonableness of the Annual Adjustment Factor (AAF) formula as it is applied to each project unit type.  Under this law, review of the AAF under the Overall Limitation clause of the HAP contract would apply only to Section 8 New Construction and Substantial Rehabilitation properties where Section 8 rent levels for a unit type presently exceed the published existing housing fair market rents (FMRs).  For Section 8 New Construction and Substantial Rehabilitation properties where rent levels for a particular unit type do not exceed the existing FMR and for all other Section 8 contract types without regard for current rent level, review under the overall</w:t>
      </w:r>
      <w:r w:rsidRPr="00B857E3" w:rsidR="009B7DE9">
        <w:rPr>
          <w:color w:val="000000"/>
          <w:sz w:val="24"/>
          <w:szCs w:val="24"/>
        </w:rPr>
        <w:t xml:space="preserve"> li</w:t>
      </w:r>
      <w:r w:rsidRPr="00B857E3">
        <w:rPr>
          <w:color w:val="000000"/>
          <w:sz w:val="24"/>
          <w:szCs w:val="24"/>
        </w:rPr>
        <w:t xml:space="preserve">mitation clause of the contract would not occur and the method of rent adjustment would be the appropriately published AAF.  The result of the rent reasonableness test assures that contract rents do not exceed comparable market rents for the project area. </w:t>
      </w:r>
      <w:r w:rsidRPr="00B857E3" w:rsidR="001B55EF">
        <w:rPr>
          <w:color w:val="000000"/>
          <w:sz w:val="24"/>
          <w:szCs w:val="24"/>
        </w:rPr>
        <w:t xml:space="preserve"> The type of information being collected includes project name, rents charged, design, location and condition of building, unit equipment/amenities, site equipment, types of utilities, adjustments in rents.  No personally identifiable information (PII) is being collected or required. </w:t>
      </w:r>
    </w:p>
    <w:p w:rsidRPr="00B857E3" w:rsidR="004E7419" w:rsidP="004E7419" w:rsidRDefault="004E7419" w14:paraId="37F54BCE" w14:textId="77777777">
      <w:pPr>
        <w:tabs>
          <w:tab w:val="left" w:pos="360"/>
          <w:tab w:val="left" w:pos="1409"/>
        </w:tabs>
        <w:ind w:left="360" w:hanging="360"/>
        <w:rPr>
          <w:color w:val="000000"/>
          <w:sz w:val="24"/>
          <w:szCs w:val="24"/>
        </w:rPr>
      </w:pPr>
    </w:p>
    <w:p w:rsidRPr="00B857E3" w:rsidR="004E7419" w:rsidP="004E7419" w:rsidRDefault="004E7419" w14:paraId="5869EB03" w14:textId="77777777">
      <w:pPr>
        <w:pStyle w:val="OmniPage5"/>
        <w:tabs>
          <w:tab w:val="left" w:pos="360"/>
        </w:tabs>
        <w:ind w:left="360" w:hanging="360"/>
        <w:rPr>
          <w:color w:val="000000"/>
          <w:sz w:val="24"/>
          <w:szCs w:val="24"/>
        </w:rPr>
      </w:pPr>
      <w:r w:rsidRPr="00B857E3">
        <w:rPr>
          <w:color w:val="000000"/>
          <w:sz w:val="24"/>
          <w:szCs w:val="24"/>
        </w:rPr>
        <w:t>2.</w:t>
      </w:r>
      <w:r w:rsidRPr="00B857E3">
        <w:rPr>
          <w:color w:val="000000"/>
          <w:sz w:val="24"/>
          <w:szCs w:val="24"/>
        </w:rPr>
        <w:tab/>
        <w:t>In order to receive a rent increase where rent levels for a specific unit type, in a Section 8 Substantial Rehabilitation or New Construction contract, exceed the existing FMR rent for that specific unit type, the owner must submit form HUD 92273-S8, Estimates of Market Rent by Comparison.  This form must be completed by a non</w:t>
      </w:r>
      <w:r w:rsidRPr="00B857E3">
        <w:rPr>
          <w:color w:val="000000"/>
          <w:sz w:val="24"/>
          <w:szCs w:val="24"/>
        </w:rPr>
        <w:noBreakHyphen/>
        <w:t xml:space="preserve">identity of interest State certified appraiser, for each unit type (e.g. 1 BR, 2 BR, etc.).  The HUD 92273-S8 must contain at least three examples of unassisted housing in the same market area for similar age, type and quality which indicate rent levels of similar unassisted housing </w:t>
      </w:r>
      <w:r w:rsidRPr="00B857E3" w:rsidR="001B55EF">
        <w:rPr>
          <w:color w:val="000000"/>
          <w:sz w:val="24"/>
          <w:szCs w:val="24"/>
        </w:rPr>
        <w:t xml:space="preserve">that </w:t>
      </w:r>
      <w:r w:rsidRPr="00B857E3">
        <w:rPr>
          <w:color w:val="000000"/>
          <w:sz w:val="24"/>
          <w:szCs w:val="24"/>
        </w:rPr>
        <w:t xml:space="preserve">are above the published FMRs.  </w:t>
      </w:r>
      <w:r w:rsidRPr="00B857E3" w:rsidR="001B55EF">
        <w:rPr>
          <w:color w:val="000000"/>
          <w:sz w:val="24"/>
          <w:szCs w:val="24"/>
        </w:rPr>
        <w:t xml:space="preserve">No personally identifiable information (PII) is being collected or required. </w:t>
      </w:r>
    </w:p>
    <w:p w:rsidRPr="00B857E3" w:rsidR="004E7419" w:rsidP="004E7419" w:rsidRDefault="004E7419" w14:paraId="7269AF5F" w14:textId="77777777">
      <w:pPr>
        <w:pStyle w:val="OmniPage6"/>
        <w:tabs>
          <w:tab w:val="left" w:pos="360"/>
        </w:tabs>
        <w:ind w:left="360" w:firstLine="0"/>
        <w:rPr>
          <w:color w:val="000000"/>
          <w:sz w:val="24"/>
          <w:szCs w:val="24"/>
        </w:rPr>
      </w:pPr>
    </w:p>
    <w:p w:rsidRPr="00B857E3" w:rsidR="004E7419" w:rsidP="004E7419" w:rsidRDefault="004E7419" w14:paraId="5B79D52F" w14:textId="77777777">
      <w:pPr>
        <w:pStyle w:val="OmniPage6"/>
        <w:tabs>
          <w:tab w:val="left" w:pos="360"/>
        </w:tabs>
        <w:ind w:left="360" w:firstLine="0"/>
        <w:rPr>
          <w:color w:val="000000"/>
          <w:sz w:val="24"/>
          <w:szCs w:val="24"/>
        </w:rPr>
      </w:pPr>
      <w:r w:rsidRPr="00B857E3">
        <w:rPr>
          <w:color w:val="000000"/>
          <w:sz w:val="24"/>
          <w:szCs w:val="24"/>
        </w:rPr>
        <w:t>In cases where rent levels for a specific unit type in a Section 8 New Construction or Substantial Rehabilitation contract do not exceed the existing FMR for that specific unit type, and for all other Section 8 types where rents are adjusted by the AAF, regardless of current rent levels, the owner must submit the number of units in which turnover occurred since the last contract anniversary for each unit type.  Based on the results of the Rent Comparability Study (RCS) and turnover rates, contract rents may or may not be adjusted.</w:t>
      </w:r>
    </w:p>
    <w:p w:rsidRPr="00B857E3" w:rsidR="004E7419" w:rsidP="004E7419" w:rsidRDefault="004E7419" w14:paraId="6BF447B6" w14:textId="77777777">
      <w:pPr>
        <w:tabs>
          <w:tab w:val="left" w:pos="360"/>
        </w:tabs>
        <w:ind w:left="360" w:hanging="360"/>
        <w:rPr>
          <w:color w:val="000000"/>
          <w:sz w:val="24"/>
          <w:szCs w:val="24"/>
        </w:rPr>
      </w:pPr>
    </w:p>
    <w:p w:rsidRPr="00B857E3" w:rsidR="004E7419" w:rsidP="004E7419" w:rsidRDefault="004E7419" w14:paraId="156FF094" w14:textId="77777777">
      <w:pPr>
        <w:pStyle w:val="OmniPage5"/>
        <w:tabs>
          <w:tab w:val="left" w:pos="360"/>
        </w:tabs>
        <w:ind w:left="360" w:hanging="360"/>
        <w:rPr>
          <w:color w:val="000000"/>
          <w:sz w:val="24"/>
          <w:szCs w:val="24"/>
        </w:rPr>
      </w:pPr>
      <w:r w:rsidRPr="00B857E3">
        <w:rPr>
          <w:color w:val="000000"/>
          <w:sz w:val="24"/>
          <w:szCs w:val="24"/>
        </w:rPr>
        <w:t>3.</w:t>
      </w:r>
      <w:r w:rsidRPr="00B857E3">
        <w:rPr>
          <w:color w:val="000000"/>
          <w:sz w:val="24"/>
          <w:szCs w:val="24"/>
        </w:rPr>
        <w:tab/>
        <w:t xml:space="preserve">An original signature is needed on </w:t>
      </w:r>
      <w:r w:rsidRPr="00B857E3" w:rsidR="001B55EF">
        <w:rPr>
          <w:color w:val="000000"/>
          <w:sz w:val="24"/>
          <w:szCs w:val="24"/>
        </w:rPr>
        <w:t>form 92273-S8</w:t>
      </w:r>
      <w:r w:rsidRPr="00B857E3">
        <w:rPr>
          <w:color w:val="000000"/>
          <w:sz w:val="24"/>
          <w:szCs w:val="24"/>
        </w:rPr>
        <w:t>.  Therefore, th</w:t>
      </w:r>
      <w:r w:rsidRPr="00B857E3" w:rsidR="001B55EF">
        <w:rPr>
          <w:color w:val="000000"/>
          <w:sz w:val="24"/>
          <w:szCs w:val="24"/>
        </w:rPr>
        <w:t>is</w:t>
      </w:r>
      <w:r w:rsidRPr="00B857E3">
        <w:rPr>
          <w:color w:val="000000"/>
          <w:sz w:val="24"/>
          <w:szCs w:val="24"/>
        </w:rPr>
        <w:t xml:space="preserve"> document must be printed, completed, and signed.  The </w:t>
      </w:r>
      <w:bookmarkStart w:name="_Hlk505162696" w:id="0"/>
      <w:r w:rsidRPr="00B857E3">
        <w:rPr>
          <w:color w:val="000000"/>
          <w:sz w:val="24"/>
          <w:szCs w:val="24"/>
        </w:rPr>
        <w:t xml:space="preserve">form 92273-S8 </w:t>
      </w:r>
      <w:bookmarkEnd w:id="0"/>
      <w:r w:rsidRPr="00B857E3">
        <w:rPr>
          <w:color w:val="000000"/>
          <w:sz w:val="24"/>
          <w:szCs w:val="24"/>
        </w:rPr>
        <w:t xml:space="preserve">and the Notice H </w:t>
      </w:r>
      <w:r w:rsidRPr="00B857E3" w:rsidR="006E36F2">
        <w:rPr>
          <w:color w:val="000000"/>
          <w:sz w:val="24"/>
          <w:szCs w:val="24"/>
        </w:rPr>
        <w:t>02-10</w:t>
      </w:r>
      <w:r w:rsidRPr="00B857E3">
        <w:rPr>
          <w:color w:val="000000"/>
          <w:sz w:val="24"/>
          <w:szCs w:val="24"/>
        </w:rPr>
        <w:t xml:space="preserve"> (extended notice H </w:t>
      </w:r>
      <w:r w:rsidRPr="00B857E3" w:rsidR="006E36F2">
        <w:rPr>
          <w:color w:val="000000"/>
          <w:sz w:val="24"/>
          <w:szCs w:val="24"/>
        </w:rPr>
        <w:t>03-14</w:t>
      </w:r>
      <w:r w:rsidRPr="00B857E3">
        <w:rPr>
          <w:color w:val="000000"/>
          <w:sz w:val="24"/>
          <w:szCs w:val="24"/>
        </w:rPr>
        <w:t>), are available for download online.  Form 92</w:t>
      </w:r>
      <w:r w:rsidRPr="00B857E3" w:rsidR="00CA4117">
        <w:rPr>
          <w:color w:val="000000"/>
          <w:sz w:val="24"/>
          <w:szCs w:val="24"/>
        </w:rPr>
        <w:t>2</w:t>
      </w:r>
      <w:r w:rsidRPr="00B857E3">
        <w:rPr>
          <w:color w:val="000000"/>
          <w:sz w:val="24"/>
          <w:szCs w:val="24"/>
        </w:rPr>
        <w:t xml:space="preserve">73-S8 is not yet automated, pending the development of a Department-wide standard for electronic signatures.  </w:t>
      </w:r>
    </w:p>
    <w:p w:rsidRPr="00B857E3" w:rsidR="004E7419" w:rsidP="004E7419" w:rsidRDefault="004E7419" w14:paraId="026D2121" w14:textId="77777777">
      <w:pPr>
        <w:pStyle w:val="OmniPage258"/>
        <w:tabs>
          <w:tab w:val="left" w:pos="360"/>
        </w:tabs>
        <w:ind w:left="360" w:hanging="360"/>
        <w:rPr>
          <w:color w:val="000000"/>
          <w:sz w:val="24"/>
          <w:szCs w:val="24"/>
        </w:rPr>
      </w:pPr>
    </w:p>
    <w:p w:rsidRPr="00B857E3" w:rsidR="004E7419" w:rsidP="004E7419" w:rsidRDefault="004E7419" w14:paraId="2F9CADC8" w14:textId="77777777">
      <w:pPr>
        <w:pStyle w:val="OmniPage258"/>
        <w:tabs>
          <w:tab w:val="left" w:pos="360"/>
        </w:tabs>
        <w:ind w:left="360" w:hanging="360"/>
        <w:rPr>
          <w:color w:val="000000"/>
          <w:sz w:val="24"/>
          <w:szCs w:val="24"/>
        </w:rPr>
      </w:pPr>
      <w:r w:rsidRPr="00B857E3">
        <w:rPr>
          <w:color w:val="000000"/>
          <w:sz w:val="24"/>
          <w:szCs w:val="24"/>
        </w:rPr>
        <w:t>4.</w:t>
      </w:r>
      <w:r w:rsidRPr="00B857E3">
        <w:rPr>
          <w:color w:val="000000"/>
          <w:sz w:val="24"/>
          <w:szCs w:val="24"/>
        </w:rPr>
        <w:tab/>
        <w:t>No similar information is being collected</w:t>
      </w:r>
      <w:r w:rsidRPr="00B857E3" w:rsidR="00555C5A">
        <w:rPr>
          <w:color w:val="000000"/>
          <w:sz w:val="24"/>
          <w:szCs w:val="24"/>
        </w:rPr>
        <w:t xml:space="preserve"> nor duplicated</w:t>
      </w:r>
      <w:r w:rsidRPr="00B857E3">
        <w:rPr>
          <w:color w:val="000000"/>
          <w:sz w:val="24"/>
          <w:szCs w:val="24"/>
        </w:rPr>
        <w:t>.</w:t>
      </w:r>
    </w:p>
    <w:p w:rsidRPr="00B857E3" w:rsidR="004E7419" w:rsidP="004E7419" w:rsidRDefault="004E7419" w14:paraId="28C38D61" w14:textId="77777777">
      <w:pPr>
        <w:tabs>
          <w:tab w:val="left" w:pos="360"/>
          <w:tab w:val="left" w:pos="1254"/>
          <w:tab w:val="right" w:pos="7310"/>
        </w:tabs>
        <w:ind w:left="360" w:hanging="360"/>
        <w:rPr>
          <w:color w:val="000000"/>
          <w:sz w:val="24"/>
          <w:szCs w:val="24"/>
        </w:rPr>
      </w:pPr>
    </w:p>
    <w:p w:rsidRPr="00B857E3" w:rsidR="004E7419" w:rsidP="004E7419" w:rsidRDefault="004E7419" w14:paraId="711383CC" w14:textId="77777777">
      <w:pPr>
        <w:pStyle w:val="OmniPage259"/>
        <w:tabs>
          <w:tab w:val="left" w:pos="360"/>
        </w:tabs>
        <w:ind w:left="360" w:hanging="360"/>
        <w:rPr>
          <w:color w:val="000000"/>
          <w:sz w:val="24"/>
          <w:szCs w:val="24"/>
        </w:rPr>
      </w:pPr>
      <w:r w:rsidRPr="00B857E3">
        <w:rPr>
          <w:color w:val="000000"/>
          <w:sz w:val="24"/>
          <w:szCs w:val="24"/>
        </w:rPr>
        <w:t>5.</w:t>
      </w:r>
      <w:r w:rsidRPr="00B857E3">
        <w:rPr>
          <w:color w:val="000000"/>
          <w:sz w:val="24"/>
          <w:szCs w:val="24"/>
        </w:rPr>
        <w:tab/>
        <w:t>This collection will not have a significant ecomonic impact on small businesses or entities.</w:t>
      </w:r>
    </w:p>
    <w:p w:rsidRPr="00B857E3" w:rsidR="004E7419" w:rsidP="004E7419" w:rsidRDefault="004E7419" w14:paraId="14B426D8" w14:textId="77777777">
      <w:pPr>
        <w:pStyle w:val="OmniPage259"/>
        <w:tabs>
          <w:tab w:val="left" w:pos="360"/>
        </w:tabs>
        <w:ind w:left="360" w:hanging="360"/>
        <w:rPr>
          <w:color w:val="000000"/>
          <w:sz w:val="24"/>
          <w:szCs w:val="24"/>
        </w:rPr>
      </w:pPr>
    </w:p>
    <w:p w:rsidRPr="00B857E3" w:rsidR="004E7419" w:rsidP="004E7419" w:rsidRDefault="004E7419" w14:paraId="5E42D827" w14:textId="77777777">
      <w:pPr>
        <w:pStyle w:val="OmniPage259"/>
        <w:tabs>
          <w:tab w:val="left" w:pos="360"/>
        </w:tabs>
        <w:ind w:left="360" w:right="389" w:hanging="360"/>
        <w:rPr>
          <w:color w:val="000000"/>
          <w:sz w:val="24"/>
          <w:szCs w:val="24"/>
        </w:rPr>
      </w:pPr>
      <w:r w:rsidRPr="00B857E3">
        <w:rPr>
          <w:color w:val="000000"/>
          <w:sz w:val="24"/>
          <w:szCs w:val="24"/>
        </w:rPr>
        <w:t>6.</w:t>
      </w:r>
      <w:r w:rsidRPr="00B857E3">
        <w:rPr>
          <w:color w:val="000000"/>
          <w:sz w:val="24"/>
          <w:szCs w:val="24"/>
        </w:rPr>
        <w:tab/>
        <w:t xml:space="preserve">If this information were not collected as required in the Notice, HUD would be in violation of the FY 1995 Appropriations Act, which instructs the Department to review AAF rent adjustment requests under </w:t>
      </w:r>
      <w:r w:rsidRPr="00B857E3">
        <w:rPr>
          <w:color w:val="000000"/>
          <w:sz w:val="24"/>
          <w:szCs w:val="24"/>
        </w:rPr>
        <w:lastRenderedPageBreak/>
        <w:t>the overall limitation clause of the Housing Assistance Contract. Furthermore, project owners wouldn’t be able to collect correct rent payments.</w:t>
      </w:r>
    </w:p>
    <w:p w:rsidRPr="00B857E3" w:rsidR="004E7419" w:rsidP="004E7419" w:rsidRDefault="004E7419" w14:paraId="456B2609" w14:textId="77777777">
      <w:pPr>
        <w:pStyle w:val="OmniPage261"/>
        <w:tabs>
          <w:tab w:val="left" w:pos="360"/>
        </w:tabs>
        <w:ind w:left="360" w:right="-720" w:hanging="360"/>
        <w:rPr>
          <w:noProof w:val="0"/>
          <w:color w:val="000000"/>
          <w:sz w:val="24"/>
          <w:szCs w:val="24"/>
        </w:rPr>
      </w:pPr>
      <w:r w:rsidRPr="00B857E3">
        <w:rPr>
          <w:noProof w:val="0"/>
          <w:color w:val="000000"/>
          <w:sz w:val="24"/>
          <w:szCs w:val="24"/>
        </w:rPr>
        <w:t xml:space="preserve"> </w:t>
      </w:r>
    </w:p>
    <w:p w:rsidRPr="00B857E3" w:rsidR="004E7419" w:rsidP="004E7419" w:rsidRDefault="004E7419" w14:paraId="3A9F0741" w14:textId="77777777">
      <w:pPr>
        <w:pStyle w:val="OmniPage261"/>
        <w:tabs>
          <w:tab w:val="left" w:pos="360"/>
        </w:tabs>
        <w:ind w:left="360" w:right="-720" w:hanging="360"/>
        <w:rPr>
          <w:color w:val="000000"/>
          <w:sz w:val="24"/>
          <w:szCs w:val="24"/>
        </w:rPr>
      </w:pPr>
      <w:r w:rsidRPr="00B857E3">
        <w:rPr>
          <w:noProof w:val="0"/>
          <w:color w:val="000000"/>
          <w:sz w:val="24"/>
          <w:szCs w:val="24"/>
        </w:rPr>
        <w:t>7.</w:t>
      </w:r>
      <w:r w:rsidRPr="00B857E3">
        <w:rPr>
          <w:noProof w:val="0"/>
          <w:color w:val="000000"/>
          <w:sz w:val="24"/>
          <w:szCs w:val="24"/>
        </w:rPr>
        <w:tab/>
      </w:r>
      <w:r w:rsidRPr="00B857E3">
        <w:rPr>
          <w:color w:val="000000"/>
          <w:sz w:val="24"/>
          <w:szCs w:val="24"/>
        </w:rPr>
        <w:t>There are no special reporting requirements.</w:t>
      </w:r>
    </w:p>
    <w:p w:rsidRPr="00B857E3" w:rsidR="00F613FD" w:rsidP="004E7419" w:rsidRDefault="00F613FD" w14:paraId="01E6163E" w14:textId="77777777">
      <w:pPr>
        <w:pStyle w:val="OmniPage261"/>
        <w:tabs>
          <w:tab w:val="left" w:pos="360"/>
        </w:tabs>
        <w:ind w:left="360" w:right="-720" w:hanging="360"/>
        <w:rPr>
          <w:color w:val="000000"/>
          <w:sz w:val="24"/>
          <w:szCs w:val="24"/>
        </w:rPr>
      </w:pPr>
    </w:p>
    <w:p w:rsidRPr="00B857E3" w:rsidR="0078378D" w:rsidP="0078378D" w:rsidRDefault="0078378D" w14:paraId="72F002E4" w14:textId="77777777">
      <w:pPr>
        <w:pStyle w:val="OmniPage261"/>
        <w:numPr>
          <w:ilvl w:val="0"/>
          <w:numId w:val="31"/>
        </w:numPr>
        <w:tabs>
          <w:tab w:val="left" w:pos="360"/>
        </w:tabs>
        <w:ind w:right="-720"/>
        <w:rPr>
          <w:color w:val="000000"/>
          <w:sz w:val="24"/>
          <w:szCs w:val="24"/>
        </w:rPr>
      </w:pPr>
      <w:r w:rsidRPr="00B857E3">
        <w:rPr>
          <w:color w:val="000000"/>
          <w:sz w:val="24"/>
          <w:szCs w:val="24"/>
        </w:rPr>
        <w:t>No requirement to report with greater frequency</w:t>
      </w:r>
    </w:p>
    <w:p w:rsidRPr="00B857E3" w:rsidR="0078378D" w:rsidP="0078378D" w:rsidRDefault="0078378D" w14:paraId="7CABD1C6" w14:textId="77777777">
      <w:pPr>
        <w:pStyle w:val="OmniPage261"/>
        <w:numPr>
          <w:ilvl w:val="0"/>
          <w:numId w:val="31"/>
        </w:numPr>
        <w:tabs>
          <w:tab w:val="left" w:pos="360"/>
        </w:tabs>
        <w:ind w:right="-720"/>
        <w:rPr>
          <w:color w:val="000000"/>
          <w:sz w:val="24"/>
          <w:szCs w:val="24"/>
        </w:rPr>
      </w:pPr>
      <w:r w:rsidRPr="00B857E3">
        <w:rPr>
          <w:color w:val="000000"/>
          <w:sz w:val="24"/>
          <w:szCs w:val="24"/>
        </w:rPr>
        <w:t>No requirement to collect information in fewer than 30 days</w:t>
      </w:r>
    </w:p>
    <w:p w:rsidRPr="00B857E3" w:rsidR="0078378D" w:rsidP="0078378D" w:rsidRDefault="0078378D" w14:paraId="669B8DE4" w14:textId="77777777">
      <w:pPr>
        <w:pStyle w:val="OmniPage261"/>
        <w:numPr>
          <w:ilvl w:val="0"/>
          <w:numId w:val="31"/>
        </w:numPr>
        <w:tabs>
          <w:tab w:val="left" w:pos="360"/>
        </w:tabs>
        <w:ind w:right="-720"/>
        <w:rPr>
          <w:color w:val="000000"/>
          <w:sz w:val="24"/>
          <w:szCs w:val="24"/>
        </w:rPr>
      </w:pPr>
      <w:r w:rsidRPr="00B857E3">
        <w:rPr>
          <w:color w:val="000000"/>
          <w:sz w:val="24"/>
          <w:szCs w:val="24"/>
        </w:rPr>
        <w:t>No requirement to submit more than an original and 2 copies of any document</w:t>
      </w:r>
    </w:p>
    <w:p w:rsidRPr="00B857E3" w:rsidR="0078378D" w:rsidP="0078378D" w:rsidRDefault="0078378D" w14:paraId="789F527E" w14:textId="77777777">
      <w:pPr>
        <w:pStyle w:val="OmniPage261"/>
        <w:numPr>
          <w:ilvl w:val="0"/>
          <w:numId w:val="31"/>
        </w:numPr>
        <w:tabs>
          <w:tab w:val="left" w:pos="360"/>
        </w:tabs>
        <w:ind w:right="-720"/>
        <w:rPr>
          <w:color w:val="000000"/>
          <w:sz w:val="24"/>
          <w:szCs w:val="24"/>
        </w:rPr>
      </w:pPr>
      <w:r w:rsidRPr="00B857E3">
        <w:rPr>
          <w:color w:val="000000"/>
          <w:sz w:val="24"/>
          <w:szCs w:val="24"/>
        </w:rPr>
        <w:t>No requirement to retain records more than 3 years</w:t>
      </w:r>
    </w:p>
    <w:p w:rsidRPr="00B857E3" w:rsidR="0078378D" w:rsidP="0078378D" w:rsidRDefault="0078378D" w14:paraId="132CB6D8" w14:textId="77777777">
      <w:pPr>
        <w:pStyle w:val="OmniPage261"/>
        <w:numPr>
          <w:ilvl w:val="0"/>
          <w:numId w:val="31"/>
        </w:numPr>
        <w:tabs>
          <w:tab w:val="left" w:pos="360"/>
        </w:tabs>
        <w:ind w:right="-720"/>
        <w:rPr>
          <w:color w:val="000000"/>
          <w:sz w:val="24"/>
          <w:szCs w:val="24"/>
        </w:rPr>
      </w:pPr>
      <w:r w:rsidRPr="00B857E3">
        <w:rPr>
          <w:color w:val="000000"/>
          <w:sz w:val="24"/>
          <w:szCs w:val="24"/>
        </w:rPr>
        <w:t>No requirement in collection with statistical survey not designed to produce valid and reliable results</w:t>
      </w:r>
    </w:p>
    <w:p w:rsidRPr="00B857E3" w:rsidR="0078378D" w:rsidP="0078378D" w:rsidRDefault="0078378D" w14:paraId="356F34BE" w14:textId="77777777">
      <w:pPr>
        <w:pStyle w:val="OmniPage261"/>
        <w:numPr>
          <w:ilvl w:val="0"/>
          <w:numId w:val="31"/>
        </w:numPr>
        <w:tabs>
          <w:tab w:val="left" w:pos="360"/>
        </w:tabs>
        <w:ind w:right="-720"/>
        <w:rPr>
          <w:color w:val="000000"/>
          <w:sz w:val="24"/>
          <w:szCs w:val="24"/>
        </w:rPr>
      </w:pPr>
      <w:r w:rsidRPr="00B857E3">
        <w:rPr>
          <w:color w:val="000000"/>
          <w:sz w:val="24"/>
          <w:szCs w:val="24"/>
        </w:rPr>
        <w:t>No requirement to use statistical data classification that has not been reviewed or approved by OMB</w:t>
      </w:r>
    </w:p>
    <w:p w:rsidRPr="00B857E3" w:rsidR="004C0DF1" w:rsidP="0078378D" w:rsidRDefault="004C0DF1" w14:paraId="06472050" w14:textId="77777777">
      <w:pPr>
        <w:pStyle w:val="OmniPage261"/>
        <w:numPr>
          <w:ilvl w:val="0"/>
          <w:numId w:val="31"/>
        </w:numPr>
        <w:tabs>
          <w:tab w:val="left" w:pos="360"/>
        </w:tabs>
        <w:ind w:right="-720"/>
        <w:rPr>
          <w:color w:val="000000"/>
          <w:sz w:val="24"/>
          <w:szCs w:val="24"/>
        </w:rPr>
      </w:pPr>
      <w:r w:rsidRPr="00B857E3">
        <w:rPr>
          <w:color w:val="000000"/>
          <w:sz w:val="24"/>
          <w:szCs w:val="24"/>
        </w:rPr>
        <w:t>No requirement</w:t>
      </w:r>
      <w:r w:rsidRPr="00B857E3" w:rsidR="00281098">
        <w:rPr>
          <w:color w:val="000000"/>
          <w:sz w:val="24"/>
          <w:szCs w:val="24"/>
        </w:rPr>
        <w:t xml:space="preserve"> that includes a pledge of confidentiality that is supported by authority established in </w:t>
      </w:r>
    </w:p>
    <w:p w:rsidRPr="00B857E3" w:rsidR="00281098" w:rsidP="00281098" w:rsidRDefault="00281098" w14:paraId="71AF54E2" w14:textId="77777777">
      <w:pPr>
        <w:pStyle w:val="OmniPage261"/>
        <w:tabs>
          <w:tab w:val="left" w:pos="360"/>
        </w:tabs>
        <w:ind w:left="720" w:right="-720"/>
        <w:rPr>
          <w:color w:val="000000"/>
          <w:sz w:val="24"/>
          <w:szCs w:val="24"/>
        </w:rPr>
      </w:pPr>
      <w:r w:rsidRPr="00B857E3">
        <w:rPr>
          <w:color w:val="000000"/>
          <w:sz w:val="24"/>
          <w:szCs w:val="24"/>
        </w:rPr>
        <w:tab/>
        <w:t>Statute of regulation</w:t>
      </w:r>
    </w:p>
    <w:p w:rsidRPr="00B857E3" w:rsidR="00281098" w:rsidP="00281098" w:rsidRDefault="00281098" w14:paraId="6E58484D" w14:textId="77777777">
      <w:pPr>
        <w:pStyle w:val="OmniPage261"/>
        <w:numPr>
          <w:ilvl w:val="0"/>
          <w:numId w:val="31"/>
        </w:numPr>
        <w:tabs>
          <w:tab w:val="left" w:pos="360"/>
        </w:tabs>
        <w:ind w:right="-720"/>
        <w:rPr>
          <w:color w:val="000000"/>
          <w:sz w:val="24"/>
          <w:szCs w:val="24"/>
        </w:rPr>
      </w:pPr>
      <w:r w:rsidRPr="00B857E3">
        <w:rPr>
          <w:color w:val="000000"/>
          <w:sz w:val="24"/>
          <w:szCs w:val="24"/>
        </w:rPr>
        <w:t xml:space="preserve">No requirement to require respondents to submit proprietary trade secrets or other confidental </w:t>
      </w:r>
    </w:p>
    <w:p w:rsidRPr="00B857E3" w:rsidR="00281098" w:rsidP="00281098" w:rsidRDefault="00281098" w14:paraId="4BDAA8E2" w14:textId="77777777">
      <w:pPr>
        <w:pStyle w:val="OmniPage261"/>
        <w:tabs>
          <w:tab w:val="left" w:pos="360"/>
        </w:tabs>
        <w:ind w:left="720" w:right="-720"/>
        <w:rPr>
          <w:color w:val="000000"/>
          <w:sz w:val="24"/>
          <w:szCs w:val="24"/>
        </w:rPr>
      </w:pPr>
      <w:r w:rsidRPr="00B857E3">
        <w:rPr>
          <w:color w:val="000000"/>
          <w:sz w:val="24"/>
          <w:szCs w:val="24"/>
        </w:rPr>
        <w:tab/>
        <w:t>information</w:t>
      </w:r>
    </w:p>
    <w:p w:rsidRPr="00B857E3" w:rsidR="004E7419" w:rsidP="004E7419" w:rsidRDefault="004E7419" w14:paraId="1E8DCA22" w14:textId="77777777">
      <w:pPr>
        <w:pStyle w:val="HTMLPreformatted"/>
        <w:tabs>
          <w:tab w:val="left" w:pos="360"/>
        </w:tabs>
        <w:ind w:left="360" w:hanging="360"/>
        <w:rPr>
          <w:rFonts w:ascii="Times New Roman" w:hAnsi="Times New Roman"/>
          <w:color w:val="000000"/>
          <w:sz w:val="24"/>
          <w:szCs w:val="24"/>
        </w:rPr>
      </w:pPr>
    </w:p>
    <w:p w:rsidRPr="00B857E3" w:rsidR="00AF2EA0" w:rsidP="007D2626" w:rsidRDefault="007D2626" w14:paraId="409040A2" w14:textId="77777777">
      <w:pPr>
        <w:numPr>
          <w:ilvl w:val="0"/>
          <w:numId w:val="18"/>
        </w:numPr>
        <w:rPr>
          <w:color w:val="000000"/>
          <w:sz w:val="24"/>
          <w:szCs w:val="24"/>
        </w:rPr>
      </w:pPr>
      <w:r w:rsidRPr="00B857E3">
        <w:rPr>
          <w:color w:val="000000"/>
          <w:sz w:val="24"/>
          <w:szCs w:val="24"/>
        </w:rPr>
        <w:t xml:space="preserve">In accordance with 5CFR 1320.8(d), this information collection soliciting public comments was announced in the Federal Register on </w:t>
      </w:r>
      <w:r w:rsidR="001F1FE0">
        <w:rPr>
          <w:b/>
          <w:color w:val="000000"/>
          <w:sz w:val="24"/>
          <w:szCs w:val="24"/>
          <w:u w:val="single"/>
        </w:rPr>
        <w:t>XXXXXX</w:t>
      </w:r>
      <w:r w:rsidRPr="00B857E3">
        <w:rPr>
          <w:color w:val="000000"/>
          <w:sz w:val="24"/>
          <w:szCs w:val="24"/>
        </w:rPr>
        <w:t xml:space="preserve">, Volume </w:t>
      </w:r>
      <w:r w:rsidR="001F1FE0">
        <w:rPr>
          <w:b/>
          <w:color w:val="000000"/>
          <w:sz w:val="24"/>
          <w:szCs w:val="24"/>
          <w:u w:val="single"/>
        </w:rPr>
        <w:t>XX</w:t>
      </w:r>
      <w:r w:rsidRPr="00B857E3">
        <w:rPr>
          <w:color w:val="000000"/>
          <w:sz w:val="24"/>
          <w:szCs w:val="24"/>
        </w:rPr>
        <w:t xml:space="preserve">, No. </w:t>
      </w:r>
      <w:r w:rsidR="001F1FE0">
        <w:rPr>
          <w:b/>
          <w:color w:val="000000"/>
          <w:sz w:val="24"/>
          <w:szCs w:val="24"/>
          <w:u w:val="single"/>
        </w:rPr>
        <w:t>XXX</w:t>
      </w:r>
      <w:r w:rsidRPr="00B857E3">
        <w:rPr>
          <w:color w:val="000000"/>
          <w:sz w:val="24"/>
          <w:szCs w:val="24"/>
        </w:rPr>
        <w:t xml:space="preserve">, Pages </w:t>
      </w:r>
      <w:r w:rsidR="001F1FE0">
        <w:rPr>
          <w:b/>
          <w:color w:val="000000"/>
          <w:sz w:val="24"/>
          <w:szCs w:val="24"/>
          <w:u w:val="single"/>
        </w:rPr>
        <w:t>XXXXXX</w:t>
      </w:r>
      <w:r w:rsidRPr="00B857E3">
        <w:rPr>
          <w:color w:val="000000"/>
          <w:sz w:val="24"/>
          <w:szCs w:val="24"/>
        </w:rPr>
        <w:t>.  (0) Comment received</w:t>
      </w:r>
      <w:r w:rsidRPr="00B857E3" w:rsidR="00AF2EA0">
        <w:rPr>
          <w:color w:val="000000"/>
          <w:sz w:val="24"/>
          <w:szCs w:val="24"/>
        </w:rPr>
        <w:t>.</w:t>
      </w:r>
    </w:p>
    <w:p w:rsidRPr="00B857E3" w:rsidR="00AF2EA0" w:rsidP="004E7419" w:rsidRDefault="00AF2EA0" w14:paraId="790C6F39" w14:textId="77777777">
      <w:pPr>
        <w:pStyle w:val="OmniPage263"/>
        <w:tabs>
          <w:tab w:val="left" w:pos="360"/>
        </w:tabs>
        <w:ind w:left="360" w:right="-144" w:hanging="360"/>
        <w:rPr>
          <w:color w:val="000000"/>
          <w:sz w:val="24"/>
          <w:szCs w:val="24"/>
        </w:rPr>
      </w:pPr>
    </w:p>
    <w:p w:rsidRPr="00B857E3" w:rsidR="004E7419" w:rsidP="004E7419" w:rsidRDefault="004E7419" w14:paraId="6D13DEE2" w14:textId="77777777">
      <w:pPr>
        <w:pStyle w:val="OmniPage263"/>
        <w:tabs>
          <w:tab w:val="left" w:pos="360"/>
        </w:tabs>
        <w:ind w:left="360" w:right="-144" w:hanging="360"/>
        <w:rPr>
          <w:color w:val="000000"/>
          <w:sz w:val="24"/>
          <w:szCs w:val="24"/>
        </w:rPr>
      </w:pPr>
      <w:r w:rsidRPr="00B857E3">
        <w:rPr>
          <w:color w:val="000000"/>
          <w:sz w:val="24"/>
          <w:szCs w:val="24"/>
        </w:rPr>
        <w:t>9.</w:t>
      </w:r>
      <w:r w:rsidRPr="00B857E3">
        <w:rPr>
          <w:color w:val="000000"/>
          <w:sz w:val="24"/>
          <w:szCs w:val="24"/>
        </w:rPr>
        <w:tab/>
        <w:t xml:space="preserve">No other payments or gifts or annual adjustments are supplied by HUD to the respondents. </w:t>
      </w:r>
    </w:p>
    <w:p w:rsidRPr="00B857E3" w:rsidR="004E7419" w:rsidP="004E7419" w:rsidRDefault="004E7419" w14:paraId="2E5A63A3" w14:textId="77777777">
      <w:pPr>
        <w:tabs>
          <w:tab w:val="left" w:pos="360"/>
          <w:tab w:val="left" w:pos="1279"/>
          <w:tab w:val="right" w:pos="2019"/>
        </w:tabs>
        <w:ind w:left="360" w:hanging="360"/>
        <w:rPr>
          <w:color w:val="000000"/>
          <w:sz w:val="24"/>
          <w:szCs w:val="24"/>
        </w:rPr>
      </w:pPr>
    </w:p>
    <w:p w:rsidRPr="00B857E3" w:rsidR="004E7419" w:rsidP="004E7419" w:rsidRDefault="004E7419" w14:paraId="5CAD2E78" w14:textId="77777777">
      <w:pPr>
        <w:pStyle w:val="OmniPage264"/>
        <w:tabs>
          <w:tab w:val="left" w:pos="360"/>
        </w:tabs>
        <w:ind w:left="360" w:hanging="360"/>
        <w:rPr>
          <w:color w:val="000000"/>
          <w:sz w:val="24"/>
          <w:szCs w:val="24"/>
        </w:rPr>
      </w:pPr>
      <w:r w:rsidRPr="00B857E3">
        <w:rPr>
          <w:color w:val="000000"/>
          <w:sz w:val="24"/>
          <w:szCs w:val="24"/>
        </w:rPr>
        <w:t>10.</w:t>
      </w:r>
      <w:r w:rsidRPr="00B857E3">
        <w:rPr>
          <w:color w:val="000000"/>
          <w:sz w:val="24"/>
          <w:szCs w:val="24"/>
        </w:rPr>
        <w:tab/>
      </w:r>
      <w:r w:rsidRPr="00B857E3" w:rsidR="00555C5A">
        <w:rPr>
          <w:color w:val="000000"/>
          <w:sz w:val="24"/>
          <w:szCs w:val="24"/>
        </w:rPr>
        <w:t>No personally identifiable information (PII) is being collected nor required for submission of AAF Rent Increase Requirements.  An a</w:t>
      </w:r>
      <w:r w:rsidRPr="00B857E3">
        <w:rPr>
          <w:color w:val="000000"/>
          <w:sz w:val="24"/>
          <w:szCs w:val="24"/>
        </w:rPr>
        <w:t>ssurance of confidentiality to respondents</w:t>
      </w:r>
      <w:r w:rsidRPr="00B857E3" w:rsidR="00555C5A">
        <w:rPr>
          <w:color w:val="000000"/>
          <w:sz w:val="24"/>
          <w:szCs w:val="24"/>
        </w:rPr>
        <w:t xml:space="preserve"> is non-applicable</w:t>
      </w:r>
      <w:r w:rsidRPr="00B857E3">
        <w:rPr>
          <w:color w:val="000000"/>
          <w:sz w:val="24"/>
          <w:szCs w:val="24"/>
        </w:rPr>
        <w:t>.</w:t>
      </w:r>
    </w:p>
    <w:p w:rsidRPr="00B857E3" w:rsidR="004E7419" w:rsidP="004E7419" w:rsidRDefault="004E7419" w14:paraId="7ADC8BA7" w14:textId="77777777">
      <w:pPr>
        <w:tabs>
          <w:tab w:val="left" w:pos="360"/>
          <w:tab w:val="left" w:pos="1328"/>
        </w:tabs>
        <w:ind w:left="360" w:hanging="360"/>
        <w:rPr>
          <w:color w:val="000000"/>
          <w:sz w:val="24"/>
          <w:szCs w:val="24"/>
        </w:rPr>
      </w:pPr>
    </w:p>
    <w:p w:rsidRPr="00B857E3" w:rsidR="004E7419" w:rsidP="004E7419" w:rsidRDefault="004E7419" w14:paraId="79E6929B" w14:textId="77777777">
      <w:pPr>
        <w:pStyle w:val="OmniPage265"/>
        <w:tabs>
          <w:tab w:val="left" w:pos="360"/>
        </w:tabs>
        <w:ind w:left="360" w:hanging="360"/>
        <w:rPr>
          <w:color w:val="000000"/>
          <w:sz w:val="24"/>
          <w:szCs w:val="24"/>
        </w:rPr>
      </w:pPr>
      <w:r w:rsidRPr="00B857E3">
        <w:rPr>
          <w:color w:val="000000"/>
          <w:sz w:val="24"/>
          <w:szCs w:val="24"/>
        </w:rPr>
        <w:t>11.</w:t>
      </w:r>
      <w:r w:rsidRPr="00B857E3">
        <w:rPr>
          <w:color w:val="000000"/>
          <w:sz w:val="24"/>
          <w:szCs w:val="24"/>
        </w:rPr>
        <w:tab/>
        <w:t>The forms do not contain questions of a sensitive nature.</w:t>
      </w:r>
    </w:p>
    <w:p w:rsidRPr="00B857E3" w:rsidR="004E7419" w:rsidP="004E7419" w:rsidRDefault="004E7419" w14:paraId="1D9337C7" w14:textId="77777777">
      <w:pPr>
        <w:tabs>
          <w:tab w:val="left" w:pos="360"/>
          <w:tab w:val="left" w:pos="1392"/>
        </w:tabs>
        <w:ind w:left="360" w:hanging="360"/>
        <w:rPr>
          <w:color w:val="000000"/>
          <w:sz w:val="24"/>
          <w:szCs w:val="24"/>
        </w:rPr>
      </w:pPr>
      <w:bookmarkStart w:name="_Hlk505085315" w:id="1"/>
    </w:p>
    <w:p w:rsidRPr="00B857E3" w:rsidR="002173FB" w:rsidP="002173FB" w:rsidRDefault="004E7419" w14:paraId="33CF7D53" w14:textId="77777777">
      <w:pPr>
        <w:pStyle w:val="OmniPage266"/>
        <w:tabs>
          <w:tab w:val="left" w:pos="360"/>
        </w:tabs>
        <w:spacing w:after="120"/>
        <w:ind w:left="360" w:right="972" w:hanging="360"/>
        <w:rPr>
          <w:color w:val="000000"/>
          <w:szCs w:val="24"/>
        </w:rPr>
      </w:pPr>
      <w:r w:rsidRPr="00B857E3">
        <w:rPr>
          <w:color w:val="000000"/>
          <w:sz w:val="24"/>
          <w:szCs w:val="24"/>
        </w:rPr>
        <w:t>12.</w:t>
      </w:r>
      <w:r w:rsidRPr="00B857E3">
        <w:rPr>
          <w:color w:val="000000"/>
          <w:sz w:val="24"/>
          <w:szCs w:val="24"/>
        </w:rPr>
        <w:tab/>
        <w:t>Estimated Public Burden:</w:t>
      </w:r>
      <w:r w:rsidRPr="00B857E3" w:rsidR="002173FB">
        <w:rPr>
          <w:color w:val="000000"/>
          <w:szCs w:val="24"/>
        </w:rPr>
        <w:t xml:space="preserve"> </w:t>
      </w:r>
    </w:p>
    <w:p w:rsidRPr="00B857E3" w:rsidR="002173FB" w:rsidP="002173FB" w:rsidRDefault="002173FB" w14:paraId="3A079D30" w14:textId="77777777">
      <w:pPr>
        <w:spacing w:after="120"/>
        <w:rPr>
          <w:bCs/>
          <w:color w:val="000000"/>
          <w:sz w:val="24"/>
          <w:szCs w:val="22"/>
        </w:rPr>
      </w:pPr>
    </w:p>
    <w:tbl>
      <w:tblPr>
        <w:tblW w:w="936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440"/>
        <w:gridCol w:w="1350"/>
        <w:gridCol w:w="1260"/>
        <w:gridCol w:w="990"/>
        <w:gridCol w:w="810"/>
        <w:gridCol w:w="990"/>
        <w:gridCol w:w="1260"/>
      </w:tblGrid>
      <w:tr w:rsidRPr="00B857E3" w:rsidR="002173FB" w:rsidTr="002173FB" w14:paraId="12707CBD" w14:textId="77777777">
        <w:tblPrEx>
          <w:tblCellMar>
            <w:top w:w="0" w:type="dxa"/>
            <w:bottom w:w="0" w:type="dxa"/>
          </w:tblCellMar>
        </w:tblPrEx>
        <w:tc>
          <w:tcPr>
            <w:tcW w:w="1260" w:type="dxa"/>
            <w:vAlign w:val="center"/>
          </w:tcPr>
          <w:p w:rsidRPr="00B857E3" w:rsidR="002173FB" w:rsidP="002173FB" w:rsidRDefault="002173FB" w14:paraId="51261194" w14:textId="77777777">
            <w:pPr>
              <w:overflowPunct/>
              <w:autoSpaceDE/>
              <w:autoSpaceDN/>
              <w:adjustRightInd/>
              <w:textAlignment w:val="auto"/>
              <w:rPr>
                <w:rFonts w:ascii="Helvetica" w:hAnsi="Helvetica"/>
                <w:b/>
                <w:bCs/>
                <w:color w:val="000000"/>
                <w:sz w:val="18"/>
                <w:szCs w:val="22"/>
              </w:rPr>
            </w:pPr>
            <w:r w:rsidRPr="00B857E3">
              <w:rPr>
                <w:rFonts w:ascii="Helvetica" w:hAnsi="Helvetica"/>
                <w:b/>
                <w:bCs/>
                <w:color w:val="000000"/>
                <w:sz w:val="18"/>
                <w:szCs w:val="22"/>
              </w:rPr>
              <w:t>Information Collection</w:t>
            </w:r>
          </w:p>
        </w:tc>
        <w:tc>
          <w:tcPr>
            <w:tcW w:w="1440" w:type="dxa"/>
            <w:shd w:val="clear" w:color="auto" w:fill="D0CECE"/>
            <w:vAlign w:val="center"/>
          </w:tcPr>
          <w:p w:rsidRPr="00B857E3" w:rsidR="002173FB" w:rsidP="002173FB" w:rsidRDefault="002173FB" w14:paraId="3C7D3E1F" w14:textId="77777777">
            <w:pPr>
              <w:overflowPunct/>
              <w:autoSpaceDE/>
              <w:autoSpaceDN/>
              <w:adjustRightInd/>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 xml:space="preserve">Number </w:t>
            </w:r>
          </w:p>
          <w:p w:rsidRPr="00B857E3" w:rsidR="002173FB" w:rsidP="002173FB" w:rsidRDefault="002173FB" w14:paraId="2BC4FF8F" w14:textId="77777777">
            <w:pPr>
              <w:overflowPunct/>
              <w:autoSpaceDE/>
              <w:autoSpaceDN/>
              <w:adjustRightInd/>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of Respondents</w:t>
            </w:r>
          </w:p>
        </w:tc>
        <w:tc>
          <w:tcPr>
            <w:tcW w:w="1350" w:type="dxa"/>
            <w:vAlign w:val="center"/>
          </w:tcPr>
          <w:p w:rsidRPr="00B857E3" w:rsidR="002173FB" w:rsidP="002173FB" w:rsidRDefault="002173FB" w14:paraId="3F8CD1B0" w14:textId="77777777">
            <w:pPr>
              <w:overflowPunct/>
              <w:autoSpaceDE/>
              <w:autoSpaceDN/>
              <w:adjustRightInd/>
              <w:ind w:left="72" w:right="-108"/>
              <w:jc w:val="center"/>
              <w:textAlignment w:val="auto"/>
              <w:rPr>
                <w:rFonts w:ascii="Helvetica" w:hAnsi="Helvetica"/>
                <w:b/>
                <w:bCs/>
                <w:color w:val="000000"/>
                <w:sz w:val="18"/>
                <w:szCs w:val="22"/>
              </w:rPr>
            </w:pPr>
            <w:r w:rsidRPr="00B857E3">
              <w:rPr>
                <w:rFonts w:ascii="Helvetica" w:hAnsi="Helvetica"/>
                <w:b/>
                <w:bCs/>
                <w:color w:val="000000"/>
                <w:sz w:val="18"/>
                <w:szCs w:val="22"/>
              </w:rPr>
              <w:t>Frequency of Response</w:t>
            </w:r>
          </w:p>
        </w:tc>
        <w:tc>
          <w:tcPr>
            <w:tcW w:w="1260" w:type="dxa"/>
            <w:shd w:val="clear" w:color="auto" w:fill="D0CECE"/>
            <w:vAlign w:val="center"/>
          </w:tcPr>
          <w:p w:rsidRPr="00B857E3" w:rsidR="002173FB" w:rsidP="002173FB" w:rsidRDefault="002173FB" w14:paraId="18552462" w14:textId="77777777">
            <w:pPr>
              <w:overflowPunct/>
              <w:autoSpaceDE/>
              <w:autoSpaceDN/>
              <w:adjustRightInd/>
              <w:jc w:val="center"/>
              <w:textAlignment w:val="auto"/>
              <w:rPr>
                <w:rFonts w:ascii="Helvetica" w:hAnsi="Helvetica"/>
                <w:b/>
                <w:bCs/>
                <w:color w:val="000000"/>
                <w:sz w:val="18"/>
                <w:szCs w:val="22"/>
              </w:rPr>
            </w:pPr>
            <w:r w:rsidRPr="00B857E3">
              <w:rPr>
                <w:rFonts w:ascii="Helvetica" w:hAnsi="Helvetica"/>
                <w:b/>
                <w:bCs/>
                <w:color w:val="000000"/>
                <w:sz w:val="18"/>
                <w:szCs w:val="22"/>
              </w:rPr>
              <w:t>Responses Per Annum</w:t>
            </w:r>
          </w:p>
        </w:tc>
        <w:tc>
          <w:tcPr>
            <w:tcW w:w="990" w:type="dxa"/>
            <w:vAlign w:val="center"/>
          </w:tcPr>
          <w:p w:rsidRPr="00B857E3" w:rsidR="002173FB" w:rsidP="002173FB" w:rsidRDefault="002173FB" w14:paraId="1561761B" w14:textId="77777777">
            <w:pPr>
              <w:overflowPunct/>
              <w:autoSpaceDE/>
              <w:autoSpaceDN/>
              <w:adjustRightInd/>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Burden Hr. Per Response</w:t>
            </w:r>
          </w:p>
        </w:tc>
        <w:tc>
          <w:tcPr>
            <w:tcW w:w="810" w:type="dxa"/>
            <w:shd w:val="clear" w:color="auto" w:fill="D0CECE"/>
            <w:vAlign w:val="center"/>
          </w:tcPr>
          <w:p w:rsidRPr="00B857E3" w:rsidR="002173FB" w:rsidP="002173FB" w:rsidRDefault="002173FB" w14:paraId="56FCAD9E" w14:textId="77777777">
            <w:pPr>
              <w:overflowPunct/>
              <w:autoSpaceDE/>
              <w:autoSpaceDN/>
              <w:adjustRightInd/>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 xml:space="preserve">Annual </w:t>
            </w:r>
          </w:p>
          <w:p w:rsidRPr="00B857E3" w:rsidR="002173FB" w:rsidP="002173FB" w:rsidRDefault="002173FB" w14:paraId="369D6F00" w14:textId="77777777">
            <w:pPr>
              <w:overflowPunct/>
              <w:autoSpaceDE/>
              <w:autoSpaceDN/>
              <w:adjustRightInd/>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Burden Hrs</w:t>
            </w:r>
          </w:p>
        </w:tc>
        <w:tc>
          <w:tcPr>
            <w:tcW w:w="990" w:type="dxa"/>
            <w:vAlign w:val="center"/>
          </w:tcPr>
          <w:p w:rsidRPr="00B857E3" w:rsidR="002173FB" w:rsidP="002173FB" w:rsidRDefault="002173FB" w14:paraId="50B81C5B" w14:textId="77777777">
            <w:pPr>
              <w:overflowPunct/>
              <w:autoSpaceDE/>
              <w:autoSpaceDN/>
              <w:adjustRightInd/>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Hrly. Cost per Response</w:t>
            </w:r>
          </w:p>
        </w:tc>
        <w:tc>
          <w:tcPr>
            <w:tcW w:w="1260" w:type="dxa"/>
            <w:shd w:val="clear" w:color="auto" w:fill="D0CECE"/>
          </w:tcPr>
          <w:p w:rsidRPr="00B857E3" w:rsidR="002173FB" w:rsidP="002173FB" w:rsidRDefault="002173FB" w14:paraId="4224A23B" w14:textId="77777777">
            <w:pPr>
              <w:overflowPunct/>
              <w:autoSpaceDE/>
              <w:autoSpaceDN/>
              <w:adjustRightInd/>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Total Annual Cost</w:t>
            </w:r>
          </w:p>
        </w:tc>
      </w:tr>
      <w:tr w:rsidRPr="00B857E3" w:rsidR="002173FB" w:rsidTr="002173FB" w14:paraId="45049FD4" w14:textId="77777777">
        <w:tblPrEx>
          <w:tblCellMar>
            <w:top w:w="0" w:type="dxa"/>
            <w:bottom w:w="0" w:type="dxa"/>
          </w:tblCellMar>
        </w:tblPrEx>
        <w:tc>
          <w:tcPr>
            <w:tcW w:w="1260" w:type="dxa"/>
            <w:vAlign w:val="center"/>
          </w:tcPr>
          <w:p w:rsidRPr="00B857E3" w:rsidR="002173FB" w:rsidP="002173FB" w:rsidRDefault="002173FB" w14:paraId="006E2732" w14:textId="77777777">
            <w:pPr>
              <w:overflowPunct/>
              <w:autoSpaceDE/>
              <w:autoSpaceDN/>
              <w:adjustRightInd/>
              <w:textAlignment w:val="auto"/>
              <w:rPr>
                <w:rFonts w:ascii="Helvetica" w:hAnsi="Helvetica"/>
                <w:bCs/>
                <w:color w:val="000000"/>
                <w:sz w:val="18"/>
                <w:szCs w:val="22"/>
              </w:rPr>
            </w:pPr>
            <w:r w:rsidRPr="00B857E3">
              <w:rPr>
                <w:rFonts w:ascii="Helvetica" w:hAnsi="Helvetica"/>
                <w:bCs/>
                <w:color w:val="000000"/>
                <w:sz w:val="18"/>
                <w:szCs w:val="22"/>
              </w:rPr>
              <w:t>HUD form 92273-S8</w:t>
            </w:r>
          </w:p>
        </w:tc>
        <w:tc>
          <w:tcPr>
            <w:tcW w:w="1440" w:type="dxa"/>
            <w:shd w:val="clear" w:color="auto" w:fill="D0CECE"/>
            <w:vAlign w:val="center"/>
          </w:tcPr>
          <w:p w:rsidRPr="00B857E3" w:rsidR="002173FB" w:rsidP="002173FB" w:rsidRDefault="002173FB" w14:paraId="1CE2560C" w14:textId="77777777">
            <w:pPr>
              <w:overflowPunct/>
              <w:autoSpaceDE/>
              <w:autoSpaceDN/>
              <w:adjustRightInd/>
              <w:jc w:val="center"/>
              <w:textAlignment w:val="auto"/>
              <w:rPr>
                <w:rFonts w:ascii="Helvetica" w:hAnsi="Helvetica"/>
                <w:bCs/>
                <w:color w:val="000000"/>
                <w:sz w:val="18"/>
                <w:szCs w:val="22"/>
              </w:rPr>
            </w:pPr>
            <w:r w:rsidRPr="00B857E3">
              <w:rPr>
                <w:rFonts w:ascii="Helvetica" w:hAnsi="Helvetica"/>
                <w:bCs/>
                <w:color w:val="000000"/>
                <w:sz w:val="18"/>
                <w:szCs w:val="22"/>
              </w:rPr>
              <w:t>1,080</w:t>
            </w:r>
          </w:p>
        </w:tc>
        <w:tc>
          <w:tcPr>
            <w:tcW w:w="1350" w:type="dxa"/>
            <w:tcBorders>
              <w:bottom w:val="single" w:color="auto" w:sz="4" w:space="0"/>
            </w:tcBorders>
            <w:vAlign w:val="center"/>
          </w:tcPr>
          <w:p w:rsidRPr="00B857E3" w:rsidR="002173FB" w:rsidP="002173FB" w:rsidRDefault="002173FB" w14:paraId="320BDCA2" w14:textId="77777777">
            <w:pPr>
              <w:overflowPunct/>
              <w:autoSpaceDE/>
              <w:autoSpaceDN/>
              <w:adjustRightInd/>
              <w:jc w:val="center"/>
              <w:textAlignment w:val="auto"/>
              <w:rPr>
                <w:rFonts w:ascii="Helvetica" w:hAnsi="Helvetica"/>
                <w:bCs/>
                <w:color w:val="000000"/>
                <w:sz w:val="18"/>
                <w:szCs w:val="22"/>
              </w:rPr>
            </w:pPr>
            <w:r w:rsidRPr="00B857E3">
              <w:rPr>
                <w:rFonts w:ascii="Helvetica" w:hAnsi="Helvetica"/>
                <w:bCs/>
                <w:color w:val="000000"/>
                <w:sz w:val="18"/>
                <w:szCs w:val="22"/>
              </w:rPr>
              <w:t>1</w:t>
            </w:r>
          </w:p>
        </w:tc>
        <w:tc>
          <w:tcPr>
            <w:tcW w:w="1260" w:type="dxa"/>
            <w:shd w:val="clear" w:color="auto" w:fill="D0CECE"/>
            <w:vAlign w:val="center"/>
          </w:tcPr>
          <w:p w:rsidRPr="00B857E3" w:rsidR="002173FB" w:rsidP="002173FB" w:rsidRDefault="002173FB" w14:paraId="0C1C02C4" w14:textId="77777777">
            <w:pPr>
              <w:overflowPunct/>
              <w:autoSpaceDE/>
              <w:autoSpaceDN/>
              <w:adjustRightInd/>
              <w:jc w:val="center"/>
              <w:textAlignment w:val="auto"/>
              <w:rPr>
                <w:rFonts w:ascii="Helvetica" w:hAnsi="Helvetica"/>
                <w:bCs/>
                <w:color w:val="000000"/>
                <w:sz w:val="18"/>
                <w:szCs w:val="22"/>
              </w:rPr>
            </w:pPr>
            <w:r w:rsidRPr="00B857E3">
              <w:rPr>
                <w:rFonts w:ascii="Helvetica" w:hAnsi="Helvetica"/>
                <w:bCs/>
                <w:color w:val="000000"/>
                <w:sz w:val="18"/>
                <w:szCs w:val="22"/>
              </w:rPr>
              <w:t>1080</w:t>
            </w:r>
          </w:p>
        </w:tc>
        <w:tc>
          <w:tcPr>
            <w:tcW w:w="990" w:type="dxa"/>
            <w:tcBorders>
              <w:bottom w:val="single" w:color="auto" w:sz="4" w:space="0"/>
            </w:tcBorders>
            <w:vAlign w:val="center"/>
          </w:tcPr>
          <w:p w:rsidRPr="00B857E3" w:rsidR="002173FB" w:rsidP="002173FB" w:rsidRDefault="002173FB" w14:paraId="29A2D51C" w14:textId="77777777">
            <w:pPr>
              <w:overflowPunct/>
              <w:autoSpaceDE/>
              <w:autoSpaceDN/>
              <w:adjustRightInd/>
              <w:jc w:val="center"/>
              <w:textAlignment w:val="auto"/>
              <w:rPr>
                <w:rFonts w:ascii="Helvetica" w:hAnsi="Helvetica"/>
                <w:bCs/>
                <w:color w:val="000000"/>
                <w:sz w:val="18"/>
                <w:szCs w:val="22"/>
              </w:rPr>
            </w:pPr>
            <w:r w:rsidRPr="00B857E3">
              <w:rPr>
                <w:rFonts w:ascii="Helvetica" w:hAnsi="Helvetica"/>
                <w:bCs/>
                <w:color w:val="000000"/>
                <w:sz w:val="18"/>
                <w:szCs w:val="22"/>
              </w:rPr>
              <w:t>1.5</w:t>
            </w:r>
          </w:p>
        </w:tc>
        <w:tc>
          <w:tcPr>
            <w:tcW w:w="810" w:type="dxa"/>
            <w:shd w:val="clear" w:color="auto" w:fill="D0CECE"/>
            <w:vAlign w:val="center"/>
          </w:tcPr>
          <w:p w:rsidRPr="00B857E3" w:rsidR="002173FB" w:rsidP="002173FB" w:rsidRDefault="00202A58" w14:paraId="66D66255" w14:textId="77777777">
            <w:pPr>
              <w:overflowPunct/>
              <w:autoSpaceDE/>
              <w:autoSpaceDN/>
              <w:adjustRightInd/>
              <w:jc w:val="center"/>
              <w:textAlignment w:val="auto"/>
              <w:rPr>
                <w:rFonts w:ascii="Helvetica" w:hAnsi="Helvetica"/>
                <w:bCs/>
                <w:color w:val="000000"/>
                <w:sz w:val="18"/>
                <w:szCs w:val="22"/>
              </w:rPr>
            </w:pPr>
            <w:r w:rsidRPr="00B857E3">
              <w:rPr>
                <w:rFonts w:ascii="Helvetica" w:hAnsi="Helvetica"/>
                <w:bCs/>
                <w:color w:val="000000"/>
                <w:sz w:val="18"/>
                <w:szCs w:val="22"/>
              </w:rPr>
              <w:t>1,620</w:t>
            </w:r>
          </w:p>
        </w:tc>
        <w:tc>
          <w:tcPr>
            <w:tcW w:w="990" w:type="dxa"/>
            <w:tcBorders>
              <w:bottom w:val="single" w:color="auto" w:sz="4" w:space="0"/>
            </w:tcBorders>
            <w:vAlign w:val="center"/>
          </w:tcPr>
          <w:p w:rsidRPr="00B857E3" w:rsidR="002173FB" w:rsidP="002173FB" w:rsidRDefault="002173FB" w14:paraId="49874031" w14:textId="77777777">
            <w:pPr>
              <w:overflowPunct/>
              <w:autoSpaceDE/>
              <w:autoSpaceDN/>
              <w:adjustRightInd/>
              <w:jc w:val="right"/>
              <w:textAlignment w:val="auto"/>
              <w:rPr>
                <w:rFonts w:ascii="Helvetica" w:hAnsi="Helvetica"/>
                <w:bCs/>
                <w:color w:val="000000"/>
                <w:sz w:val="18"/>
                <w:szCs w:val="22"/>
              </w:rPr>
            </w:pPr>
            <w:r w:rsidRPr="00B857E3">
              <w:rPr>
                <w:rFonts w:ascii="Helvetica" w:hAnsi="Helvetica"/>
                <w:bCs/>
                <w:color w:val="000000"/>
                <w:sz w:val="18"/>
                <w:szCs w:val="22"/>
              </w:rPr>
              <w:t>$ 39.07</w:t>
            </w:r>
          </w:p>
        </w:tc>
        <w:tc>
          <w:tcPr>
            <w:tcW w:w="1260" w:type="dxa"/>
            <w:shd w:val="clear" w:color="auto" w:fill="D0CECE"/>
          </w:tcPr>
          <w:p w:rsidRPr="00B857E3" w:rsidR="002173FB" w:rsidP="002173FB" w:rsidRDefault="002173FB" w14:paraId="64B669C5" w14:textId="77777777">
            <w:pPr>
              <w:overflowPunct/>
              <w:autoSpaceDE/>
              <w:autoSpaceDN/>
              <w:adjustRightInd/>
              <w:jc w:val="right"/>
              <w:textAlignment w:val="auto"/>
              <w:rPr>
                <w:rFonts w:ascii="Helvetica" w:hAnsi="Helvetica"/>
                <w:bCs/>
                <w:color w:val="000000"/>
                <w:sz w:val="18"/>
                <w:szCs w:val="22"/>
              </w:rPr>
            </w:pPr>
            <w:r w:rsidRPr="00B857E3">
              <w:rPr>
                <w:rFonts w:ascii="Helvetica" w:hAnsi="Helvetica"/>
                <w:bCs/>
                <w:color w:val="000000"/>
                <w:sz w:val="18"/>
                <w:szCs w:val="22"/>
              </w:rPr>
              <w:t>$</w:t>
            </w:r>
            <w:r w:rsidRPr="00B857E3" w:rsidR="00202A58">
              <w:rPr>
                <w:rFonts w:ascii="Helvetica" w:hAnsi="Helvetica"/>
                <w:bCs/>
                <w:color w:val="000000"/>
                <w:sz w:val="18"/>
                <w:szCs w:val="22"/>
              </w:rPr>
              <w:t>63</w:t>
            </w:r>
            <w:r w:rsidRPr="00B857E3" w:rsidR="00C9690C">
              <w:rPr>
                <w:rFonts w:ascii="Helvetica" w:hAnsi="Helvetica"/>
                <w:bCs/>
                <w:color w:val="000000"/>
                <w:sz w:val="18"/>
                <w:szCs w:val="22"/>
              </w:rPr>
              <w:t>,</w:t>
            </w:r>
            <w:r w:rsidRPr="00B857E3" w:rsidR="00202A58">
              <w:rPr>
                <w:rFonts w:ascii="Helvetica" w:hAnsi="Helvetica"/>
                <w:bCs/>
                <w:color w:val="000000"/>
                <w:sz w:val="18"/>
                <w:szCs w:val="22"/>
              </w:rPr>
              <w:t>293.40</w:t>
            </w:r>
          </w:p>
        </w:tc>
      </w:tr>
      <w:tr w:rsidRPr="00B857E3" w:rsidR="002173FB" w:rsidTr="002173FB" w14:paraId="0147E8D5" w14:textId="77777777">
        <w:tblPrEx>
          <w:tblCellMar>
            <w:top w:w="0" w:type="dxa"/>
            <w:bottom w:w="0" w:type="dxa"/>
          </w:tblCellMar>
        </w:tblPrEx>
        <w:tc>
          <w:tcPr>
            <w:tcW w:w="1260" w:type="dxa"/>
            <w:vAlign w:val="center"/>
          </w:tcPr>
          <w:p w:rsidRPr="00B857E3" w:rsidR="002173FB" w:rsidP="002173FB" w:rsidRDefault="002173FB" w14:paraId="5D746C1E" w14:textId="77777777">
            <w:pPr>
              <w:overflowPunct/>
              <w:autoSpaceDE/>
              <w:autoSpaceDN/>
              <w:adjustRightInd/>
              <w:textAlignment w:val="auto"/>
              <w:rPr>
                <w:rFonts w:ascii="Helvetica" w:hAnsi="Helvetica"/>
                <w:b/>
                <w:bCs/>
                <w:color w:val="000000"/>
                <w:sz w:val="18"/>
                <w:szCs w:val="22"/>
              </w:rPr>
            </w:pPr>
          </w:p>
        </w:tc>
        <w:tc>
          <w:tcPr>
            <w:tcW w:w="1440" w:type="dxa"/>
            <w:shd w:val="clear" w:color="auto" w:fill="D0CECE"/>
            <w:vAlign w:val="center"/>
          </w:tcPr>
          <w:p w:rsidRPr="00B857E3" w:rsidR="002173FB" w:rsidP="002173FB" w:rsidRDefault="002173FB" w14:paraId="5664AE83" w14:textId="77777777">
            <w:pPr>
              <w:overflowPunct/>
              <w:autoSpaceDE/>
              <w:autoSpaceDN/>
              <w:adjustRightInd/>
              <w:jc w:val="center"/>
              <w:textAlignment w:val="auto"/>
              <w:rPr>
                <w:rFonts w:ascii="Helvetica" w:hAnsi="Helvetica"/>
                <w:b/>
                <w:bCs/>
                <w:color w:val="000000"/>
                <w:sz w:val="18"/>
                <w:szCs w:val="22"/>
              </w:rPr>
            </w:pPr>
          </w:p>
        </w:tc>
        <w:tc>
          <w:tcPr>
            <w:tcW w:w="1350" w:type="dxa"/>
            <w:shd w:val="clear" w:color="auto" w:fill="000000"/>
            <w:vAlign w:val="center"/>
          </w:tcPr>
          <w:p w:rsidRPr="00B857E3" w:rsidR="002173FB" w:rsidP="002173FB" w:rsidRDefault="002173FB" w14:paraId="6F87BBD7" w14:textId="77777777">
            <w:pPr>
              <w:overflowPunct/>
              <w:autoSpaceDE/>
              <w:autoSpaceDN/>
              <w:adjustRightInd/>
              <w:jc w:val="center"/>
              <w:textAlignment w:val="auto"/>
              <w:rPr>
                <w:rFonts w:ascii="Helvetica" w:hAnsi="Helvetica"/>
                <w:b/>
                <w:bCs/>
                <w:color w:val="000000"/>
                <w:sz w:val="18"/>
                <w:szCs w:val="22"/>
              </w:rPr>
            </w:pPr>
          </w:p>
        </w:tc>
        <w:tc>
          <w:tcPr>
            <w:tcW w:w="1260" w:type="dxa"/>
            <w:shd w:val="clear" w:color="auto" w:fill="D0CECE"/>
            <w:vAlign w:val="center"/>
          </w:tcPr>
          <w:p w:rsidRPr="00B857E3" w:rsidR="002173FB" w:rsidP="002173FB" w:rsidRDefault="002173FB" w14:paraId="453E28A8" w14:textId="77777777">
            <w:pPr>
              <w:overflowPunct/>
              <w:autoSpaceDE/>
              <w:autoSpaceDN/>
              <w:adjustRightInd/>
              <w:jc w:val="center"/>
              <w:textAlignment w:val="auto"/>
              <w:rPr>
                <w:rFonts w:ascii="Helvetica" w:hAnsi="Helvetica"/>
                <w:b/>
                <w:bCs/>
                <w:color w:val="000000"/>
                <w:sz w:val="18"/>
                <w:szCs w:val="22"/>
              </w:rPr>
            </w:pPr>
            <w:r w:rsidRPr="00B857E3">
              <w:rPr>
                <w:rFonts w:ascii="Helvetica" w:hAnsi="Helvetica"/>
                <w:b/>
                <w:bCs/>
                <w:color w:val="000000"/>
                <w:sz w:val="18"/>
                <w:szCs w:val="22"/>
              </w:rPr>
              <w:t>1080</w:t>
            </w:r>
          </w:p>
        </w:tc>
        <w:tc>
          <w:tcPr>
            <w:tcW w:w="990" w:type="dxa"/>
            <w:shd w:val="clear" w:color="auto" w:fill="000000"/>
            <w:vAlign w:val="center"/>
          </w:tcPr>
          <w:p w:rsidRPr="00B857E3" w:rsidR="002173FB" w:rsidP="002173FB" w:rsidRDefault="002173FB" w14:paraId="7CAA911D" w14:textId="77777777">
            <w:pPr>
              <w:overflowPunct/>
              <w:autoSpaceDE/>
              <w:autoSpaceDN/>
              <w:adjustRightInd/>
              <w:jc w:val="center"/>
              <w:textAlignment w:val="auto"/>
              <w:rPr>
                <w:rFonts w:ascii="Helvetica" w:hAnsi="Helvetica"/>
                <w:b/>
                <w:bCs/>
                <w:color w:val="000000"/>
                <w:sz w:val="18"/>
                <w:szCs w:val="22"/>
              </w:rPr>
            </w:pPr>
          </w:p>
        </w:tc>
        <w:tc>
          <w:tcPr>
            <w:tcW w:w="810" w:type="dxa"/>
            <w:shd w:val="clear" w:color="auto" w:fill="D0CECE"/>
            <w:vAlign w:val="center"/>
          </w:tcPr>
          <w:p w:rsidRPr="00B857E3" w:rsidR="002173FB" w:rsidP="002173FB" w:rsidRDefault="00202A58" w14:paraId="368E0ECE" w14:textId="77777777">
            <w:pPr>
              <w:overflowPunct/>
              <w:autoSpaceDE/>
              <w:autoSpaceDN/>
              <w:adjustRightInd/>
              <w:jc w:val="center"/>
              <w:textAlignment w:val="auto"/>
              <w:rPr>
                <w:rFonts w:ascii="Helvetica" w:hAnsi="Helvetica"/>
                <w:b/>
                <w:bCs/>
                <w:color w:val="000000"/>
                <w:sz w:val="18"/>
                <w:szCs w:val="22"/>
              </w:rPr>
            </w:pPr>
            <w:r w:rsidRPr="00B857E3">
              <w:rPr>
                <w:rFonts w:ascii="Helvetica" w:hAnsi="Helvetica"/>
                <w:b/>
                <w:bCs/>
                <w:color w:val="000000"/>
                <w:sz w:val="18"/>
                <w:szCs w:val="22"/>
              </w:rPr>
              <w:t>1,620</w:t>
            </w:r>
          </w:p>
        </w:tc>
        <w:tc>
          <w:tcPr>
            <w:tcW w:w="990" w:type="dxa"/>
            <w:shd w:val="clear" w:color="auto" w:fill="000000"/>
            <w:vAlign w:val="center"/>
          </w:tcPr>
          <w:p w:rsidRPr="00B857E3" w:rsidR="002173FB" w:rsidP="002173FB" w:rsidRDefault="002173FB" w14:paraId="02DAC5B0" w14:textId="77777777">
            <w:pPr>
              <w:overflowPunct/>
              <w:autoSpaceDE/>
              <w:autoSpaceDN/>
              <w:adjustRightInd/>
              <w:jc w:val="right"/>
              <w:textAlignment w:val="auto"/>
              <w:rPr>
                <w:rFonts w:ascii="Helvetica" w:hAnsi="Helvetica"/>
                <w:b/>
                <w:bCs/>
                <w:color w:val="000000"/>
                <w:sz w:val="18"/>
                <w:szCs w:val="22"/>
              </w:rPr>
            </w:pPr>
          </w:p>
        </w:tc>
        <w:tc>
          <w:tcPr>
            <w:tcW w:w="1260" w:type="dxa"/>
            <w:shd w:val="clear" w:color="auto" w:fill="D0CECE"/>
          </w:tcPr>
          <w:p w:rsidRPr="00B857E3" w:rsidR="002173FB" w:rsidP="002173FB" w:rsidRDefault="00202A58" w14:paraId="1DDEA40A" w14:textId="77777777">
            <w:pPr>
              <w:overflowPunct/>
              <w:autoSpaceDE/>
              <w:autoSpaceDN/>
              <w:adjustRightInd/>
              <w:jc w:val="right"/>
              <w:textAlignment w:val="auto"/>
              <w:rPr>
                <w:rFonts w:ascii="Helvetica" w:hAnsi="Helvetica"/>
                <w:b/>
                <w:bCs/>
                <w:color w:val="000000"/>
                <w:sz w:val="18"/>
                <w:szCs w:val="22"/>
              </w:rPr>
            </w:pPr>
            <w:r w:rsidRPr="00B857E3">
              <w:rPr>
                <w:rFonts w:ascii="Helvetica" w:hAnsi="Helvetica"/>
                <w:b/>
                <w:bCs/>
                <w:color w:val="000000"/>
                <w:sz w:val="18"/>
                <w:szCs w:val="22"/>
              </w:rPr>
              <w:t>$63</w:t>
            </w:r>
            <w:r w:rsidRPr="00B857E3" w:rsidR="00C9690C">
              <w:rPr>
                <w:rFonts w:ascii="Helvetica" w:hAnsi="Helvetica"/>
                <w:b/>
                <w:bCs/>
                <w:color w:val="000000"/>
                <w:sz w:val="18"/>
                <w:szCs w:val="22"/>
              </w:rPr>
              <w:t>,</w:t>
            </w:r>
            <w:r w:rsidRPr="00B857E3">
              <w:rPr>
                <w:rFonts w:ascii="Helvetica" w:hAnsi="Helvetica"/>
                <w:b/>
                <w:bCs/>
                <w:color w:val="000000"/>
                <w:sz w:val="18"/>
                <w:szCs w:val="22"/>
              </w:rPr>
              <w:t>293.40</w:t>
            </w:r>
          </w:p>
        </w:tc>
      </w:tr>
    </w:tbl>
    <w:bookmarkEnd w:id="1"/>
    <w:p w:rsidRPr="00B857E3" w:rsidR="004E7419" w:rsidP="004E7419" w:rsidRDefault="008E2931" w14:paraId="3EBBEBA7" w14:textId="77777777">
      <w:pPr>
        <w:pStyle w:val="BodyText2"/>
        <w:tabs>
          <w:tab w:val="left" w:pos="840"/>
        </w:tabs>
        <w:spacing w:before="120"/>
        <w:ind w:left="360"/>
        <w:rPr>
          <w:color w:val="000000"/>
          <w:szCs w:val="24"/>
        </w:rPr>
      </w:pPr>
      <w:r w:rsidRPr="00B857E3">
        <w:rPr>
          <w:color w:val="000000"/>
          <w:szCs w:val="24"/>
        </w:rPr>
        <w:t xml:space="preserve">Figures representing </w:t>
      </w:r>
      <w:r w:rsidRPr="00B857E3">
        <w:rPr>
          <w:i/>
          <w:color w:val="000000"/>
          <w:szCs w:val="24"/>
        </w:rPr>
        <w:t>The Number of Respondents</w:t>
      </w:r>
      <w:r w:rsidRPr="00B857E3">
        <w:rPr>
          <w:color w:val="000000"/>
          <w:szCs w:val="24"/>
        </w:rPr>
        <w:t xml:space="preserve"> and </w:t>
      </w:r>
      <w:r w:rsidRPr="00B857E3">
        <w:rPr>
          <w:i/>
          <w:color w:val="000000"/>
          <w:szCs w:val="24"/>
        </w:rPr>
        <w:t>The Number of Responses</w:t>
      </w:r>
      <w:r w:rsidRPr="00B857E3">
        <w:rPr>
          <w:color w:val="000000"/>
          <w:szCs w:val="24"/>
        </w:rPr>
        <w:t xml:space="preserve"> were provided by the </w:t>
      </w:r>
      <w:r w:rsidRPr="00B857E3" w:rsidR="00120A25">
        <w:rPr>
          <w:color w:val="000000"/>
          <w:szCs w:val="24"/>
        </w:rPr>
        <w:t>Programming</w:t>
      </w:r>
      <w:r w:rsidRPr="00B857E3">
        <w:rPr>
          <w:color w:val="000000"/>
          <w:szCs w:val="24"/>
        </w:rPr>
        <w:t xml:space="preserve"> Division.</w:t>
      </w:r>
      <w:r w:rsidRPr="00B857E3" w:rsidR="00120A25">
        <w:rPr>
          <w:color w:val="000000"/>
          <w:szCs w:val="24"/>
        </w:rPr>
        <w:t xml:space="preserve">  They capture the current populations for the purpose of this submission.</w:t>
      </w:r>
      <w:r w:rsidRPr="00B857E3">
        <w:rPr>
          <w:color w:val="000000"/>
          <w:szCs w:val="24"/>
        </w:rPr>
        <w:t xml:space="preserve">  </w:t>
      </w:r>
      <w:r w:rsidRPr="00B857E3" w:rsidR="004E7419">
        <w:rPr>
          <w:color w:val="000000"/>
          <w:szCs w:val="24"/>
        </w:rPr>
        <w:t>The hourly rate is based on a GS 12 step 1 salary of $</w:t>
      </w:r>
      <w:r w:rsidRPr="00B857E3" w:rsidR="00844E41">
        <w:rPr>
          <w:color w:val="000000"/>
          <w:szCs w:val="24"/>
        </w:rPr>
        <w:t>81,548</w:t>
      </w:r>
      <w:r w:rsidRPr="00B857E3" w:rsidR="004E7419">
        <w:rPr>
          <w:color w:val="000000"/>
          <w:szCs w:val="24"/>
        </w:rPr>
        <w:t>.  The first entry in the table is the total number of respondents that will have to complete either appendix three or appendix four</w:t>
      </w:r>
      <w:r w:rsidRPr="00B857E3" w:rsidR="00B8607A">
        <w:rPr>
          <w:color w:val="000000"/>
          <w:szCs w:val="24"/>
        </w:rPr>
        <w:t xml:space="preserve"> should </w:t>
      </w:r>
      <w:r w:rsidRPr="00B857E3" w:rsidR="002523B1">
        <w:rPr>
          <w:color w:val="000000"/>
          <w:szCs w:val="24"/>
        </w:rPr>
        <w:t>the property</w:t>
      </w:r>
      <w:r w:rsidRPr="00B857E3" w:rsidR="00B8607A">
        <w:rPr>
          <w:color w:val="000000"/>
          <w:szCs w:val="24"/>
        </w:rPr>
        <w:t xml:space="preserve"> request a rent increase</w:t>
      </w:r>
      <w:r w:rsidRPr="00B857E3" w:rsidR="004E7419">
        <w:rPr>
          <w:color w:val="000000"/>
          <w:szCs w:val="24"/>
        </w:rPr>
        <w:t>.</w:t>
      </w:r>
      <w:r w:rsidRPr="00B857E3" w:rsidR="00B8607A">
        <w:rPr>
          <w:color w:val="000000"/>
          <w:szCs w:val="24"/>
        </w:rPr>
        <w:t xml:space="preserve">  The total number of responses represented above reflects the actual number of respondents that requ</w:t>
      </w:r>
      <w:r w:rsidRPr="00B857E3" w:rsidR="00974C8F">
        <w:rPr>
          <w:color w:val="000000"/>
          <w:szCs w:val="24"/>
        </w:rPr>
        <w:t xml:space="preserve">ested a rent increase in </w:t>
      </w:r>
      <w:r w:rsidRPr="00B857E3" w:rsidR="00AE7C5B">
        <w:rPr>
          <w:color w:val="000000"/>
          <w:szCs w:val="24"/>
        </w:rPr>
        <w:t>between 09/01/201</w:t>
      </w:r>
      <w:r w:rsidRPr="00B857E3" w:rsidR="00BC497C">
        <w:rPr>
          <w:color w:val="000000"/>
          <w:szCs w:val="24"/>
        </w:rPr>
        <w:t>4</w:t>
      </w:r>
      <w:r w:rsidRPr="00B857E3" w:rsidR="00AE7C5B">
        <w:rPr>
          <w:color w:val="000000"/>
          <w:szCs w:val="24"/>
        </w:rPr>
        <w:t xml:space="preserve"> and 08/31/201</w:t>
      </w:r>
      <w:r w:rsidRPr="00B857E3" w:rsidR="00BC497C">
        <w:rPr>
          <w:color w:val="000000"/>
          <w:szCs w:val="24"/>
        </w:rPr>
        <w:t>7</w:t>
      </w:r>
      <w:r w:rsidRPr="00B857E3" w:rsidR="00B8607A">
        <w:rPr>
          <w:color w:val="000000"/>
          <w:szCs w:val="24"/>
        </w:rPr>
        <w:t>.</w:t>
      </w:r>
      <w:r w:rsidRPr="00B857E3" w:rsidR="006038C0">
        <w:rPr>
          <w:color w:val="000000"/>
          <w:szCs w:val="24"/>
        </w:rPr>
        <w:t xml:space="preserve">  This data was obtained </w:t>
      </w:r>
      <w:r w:rsidRPr="00B857E3" w:rsidR="006270FE">
        <w:rPr>
          <w:color w:val="000000"/>
          <w:szCs w:val="24"/>
        </w:rPr>
        <w:t xml:space="preserve">from two of HUD’s subsystems; the </w:t>
      </w:r>
      <w:r w:rsidRPr="00B857E3" w:rsidR="00AE7C5B">
        <w:rPr>
          <w:color w:val="000000"/>
          <w:szCs w:val="24"/>
        </w:rPr>
        <w:t xml:space="preserve">Integrated </w:t>
      </w:r>
      <w:r w:rsidRPr="00B857E3" w:rsidR="006270FE">
        <w:rPr>
          <w:color w:val="000000"/>
          <w:szCs w:val="24"/>
        </w:rPr>
        <w:t>Real Estate Management System (</w:t>
      </w:r>
      <w:r w:rsidRPr="00B857E3" w:rsidR="00AE7C5B">
        <w:rPr>
          <w:color w:val="000000"/>
          <w:szCs w:val="24"/>
        </w:rPr>
        <w:t>i</w:t>
      </w:r>
      <w:r w:rsidRPr="00B857E3" w:rsidR="006270FE">
        <w:rPr>
          <w:color w:val="000000"/>
          <w:szCs w:val="24"/>
        </w:rPr>
        <w:t>REMS) and the Tenant Rental Assistance Certification System (TRACS).</w:t>
      </w:r>
      <w:r w:rsidRPr="00B857E3" w:rsidR="004E7419">
        <w:rPr>
          <w:color w:val="000000"/>
          <w:szCs w:val="24"/>
        </w:rPr>
        <w:t xml:space="preserve"> </w:t>
      </w:r>
      <w:r w:rsidRPr="00B857E3" w:rsidR="00844E41">
        <w:rPr>
          <w:color w:val="000000"/>
          <w:szCs w:val="24"/>
        </w:rPr>
        <w:t xml:space="preserve"> </w:t>
      </w:r>
    </w:p>
    <w:p w:rsidRPr="00B857E3" w:rsidR="004E7419" w:rsidP="004E7419" w:rsidRDefault="004E7419" w14:paraId="4A4C28F4" w14:textId="77777777">
      <w:pPr>
        <w:tabs>
          <w:tab w:val="left" w:pos="360"/>
          <w:tab w:val="left" w:pos="1880"/>
          <w:tab w:val="left" w:pos="3905"/>
          <w:tab w:val="left" w:pos="5206"/>
          <w:tab w:val="left" w:pos="6515"/>
          <w:tab w:val="right" w:pos="8746"/>
        </w:tabs>
        <w:ind w:left="360" w:hanging="360"/>
        <w:rPr>
          <w:color w:val="000000"/>
          <w:sz w:val="24"/>
          <w:szCs w:val="24"/>
        </w:rPr>
      </w:pPr>
    </w:p>
    <w:p w:rsidRPr="00B857E3" w:rsidR="004E7419" w:rsidP="004E7419" w:rsidRDefault="004E7419" w14:paraId="66CC024A" w14:textId="77777777">
      <w:pPr>
        <w:tabs>
          <w:tab w:val="left" w:pos="360"/>
          <w:tab w:val="right" w:pos="8349"/>
        </w:tabs>
        <w:ind w:left="360" w:hanging="360"/>
        <w:rPr>
          <w:color w:val="000000"/>
          <w:sz w:val="24"/>
          <w:szCs w:val="24"/>
        </w:rPr>
      </w:pPr>
      <w:r w:rsidRPr="00B857E3">
        <w:rPr>
          <w:color w:val="000000"/>
          <w:sz w:val="24"/>
          <w:szCs w:val="24"/>
        </w:rPr>
        <w:t>13.</w:t>
      </w:r>
      <w:r w:rsidRPr="00B857E3">
        <w:rPr>
          <w:color w:val="000000"/>
          <w:sz w:val="24"/>
          <w:szCs w:val="24"/>
        </w:rPr>
        <w:tab/>
        <w:t>There are no additional costs to respondents.</w:t>
      </w:r>
    </w:p>
    <w:p w:rsidRPr="00B857E3" w:rsidR="004E7419" w:rsidP="004E7419" w:rsidRDefault="00202A58" w14:paraId="3B80AF11" w14:textId="77777777">
      <w:pPr>
        <w:tabs>
          <w:tab w:val="left" w:pos="360"/>
          <w:tab w:val="right" w:pos="8349"/>
        </w:tabs>
        <w:ind w:left="360" w:hanging="360"/>
        <w:rPr>
          <w:color w:val="000000"/>
          <w:sz w:val="24"/>
          <w:szCs w:val="24"/>
        </w:rPr>
      </w:pPr>
      <w:r w:rsidRPr="00B857E3">
        <w:rPr>
          <w:color w:val="000000"/>
          <w:sz w:val="24"/>
          <w:szCs w:val="24"/>
        </w:rPr>
        <w:br w:type="page"/>
      </w:r>
    </w:p>
    <w:p w:rsidRPr="00B857E3" w:rsidR="004E7419" w:rsidP="009A1564" w:rsidRDefault="009A1564" w14:paraId="52C90561" w14:textId="77777777">
      <w:pPr>
        <w:pStyle w:val="BodyTextIndent3"/>
        <w:spacing w:after="0"/>
        <w:ind w:left="0"/>
        <w:rPr>
          <w:color w:val="000000"/>
          <w:sz w:val="24"/>
          <w:szCs w:val="24"/>
        </w:rPr>
      </w:pPr>
      <w:r w:rsidRPr="00B857E3">
        <w:rPr>
          <w:color w:val="000000"/>
          <w:sz w:val="24"/>
          <w:szCs w:val="24"/>
        </w:rPr>
        <w:t>14. Es</w:t>
      </w:r>
      <w:r w:rsidRPr="00B857E3" w:rsidR="004E7419">
        <w:rPr>
          <w:color w:val="000000"/>
          <w:sz w:val="24"/>
          <w:szCs w:val="24"/>
        </w:rPr>
        <w:t xml:space="preserve">timated Government Burden:  </w:t>
      </w:r>
    </w:p>
    <w:p w:rsidRPr="00B857E3" w:rsidR="004E7419" w:rsidP="009A1564" w:rsidRDefault="004E7419" w14:paraId="04E02ACA" w14:textId="77777777">
      <w:pPr>
        <w:pStyle w:val="BodyTextIndent3"/>
        <w:rPr>
          <w:color w:val="000000"/>
          <w:sz w:val="24"/>
          <w:szCs w:val="24"/>
        </w:rPr>
      </w:pPr>
      <w:r w:rsidRPr="00B857E3">
        <w:rPr>
          <w:color w:val="000000"/>
          <w:sz w:val="24"/>
          <w:szCs w:val="24"/>
        </w:rPr>
        <w:t xml:space="preserve">Average time </w:t>
      </w:r>
      <w:r w:rsidRPr="00B857E3" w:rsidR="00FC395B">
        <w:rPr>
          <w:color w:val="000000"/>
          <w:sz w:val="24"/>
          <w:szCs w:val="24"/>
        </w:rPr>
        <w:t>to</w:t>
      </w:r>
      <w:r w:rsidRPr="00B857E3">
        <w:rPr>
          <w:color w:val="000000"/>
          <w:sz w:val="24"/>
          <w:szCs w:val="24"/>
        </w:rPr>
        <w:t xml:space="preserve"> review a response is 0.50 hour. The hourly rate for review of the response is $</w:t>
      </w:r>
      <w:r w:rsidRPr="00B857E3" w:rsidR="00844E41">
        <w:rPr>
          <w:color w:val="000000"/>
          <w:sz w:val="24"/>
          <w:szCs w:val="24"/>
        </w:rPr>
        <w:t xml:space="preserve">39.07 </w:t>
      </w:r>
      <w:r w:rsidRPr="00B857E3">
        <w:rPr>
          <w:color w:val="000000"/>
          <w:sz w:val="24"/>
          <w:szCs w:val="24"/>
        </w:rPr>
        <w:t>(GS</w:t>
      </w:r>
      <w:r w:rsidRPr="00B857E3" w:rsidR="005A1CBF">
        <w:rPr>
          <w:color w:val="000000"/>
          <w:sz w:val="24"/>
          <w:szCs w:val="24"/>
        </w:rPr>
        <w:t xml:space="preserve"> </w:t>
      </w:r>
      <w:r w:rsidRPr="00B857E3">
        <w:rPr>
          <w:color w:val="000000"/>
          <w:sz w:val="24"/>
          <w:szCs w:val="24"/>
        </w:rPr>
        <w:t>12, Step 1).</w:t>
      </w:r>
    </w:p>
    <w:p w:rsidRPr="00B857E3" w:rsidR="00E168C8" w:rsidP="00E168C8" w:rsidRDefault="00E168C8" w14:paraId="26D644FA" w14:textId="77777777">
      <w:pPr>
        <w:overflowPunct/>
        <w:autoSpaceDE/>
        <w:autoSpaceDN/>
        <w:adjustRightInd/>
        <w:textAlignment w:val="auto"/>
        <w:rPr>
          <w:b/>
          <w:color w:val="000000"/>
          <w:sz w:val="24"/>
          <w:szCs w:val="24"/>
        </w:rPr>
      </w:pPr>
    </w:p>
    <w:tbl>
      <w:tblPr>
        <w:tblW w:w="0" w:type="auto"/>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50"/>
        <w:gridCol w:w="1357"/>
        <w:gridCol w:w="1199"/>
        <w:gridCol w:w="1260"/>
        <w:gridCol w:w="1170"/>
        <w:gridCol w:w="900"/>
        <w:gridCol w:w="1077"/>
        <w:gridCol w:w="1117"/>
      </w:tblGrid>
      <w:tr w:rsidRPr="00B857E3" w:rsidR="00E168C8" w:rsidTr="00DF5E82" w14:paraId="6C54D67A" w14:textId="77777777">
        <w:tblPrEx>
          <w:tblCellMar>
            <w:top w:w="0" w:type="dxa"/>
            <w:bottom w:w="0" w:type="dxa"/>
          </w:tblCellMar>
        </w:tblPrEx>
        <w:tc>
          <w:tcPr>
            <w:tcW w:w="135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0520EA23" w14:textId="77777777">
            <w:pPr>
              <w:overflowPunct/>
              <w:autoSpaceDE/>
              <w:autoSpaceDN/>
              <w:adjustRightInd/>
              <w:spacing w:after="200" w:line="276" w:lineRule="auto"/>
              <w:textAlignment w:val="auto"/>
              <w:rPr>
                <w:rFonts w:ascii="Helvetica" w:hAnsi="Helvetica"/>
                <w:b/>
                <w:bCs/>
                <w:color w:val="000000"/>
                <w:sz w:val="18"/>
                <w:szCs w:val="22"/>
              </w:rPr>
            </w:pPr>
            <w:r w:rsidRPr="00B857E3">
              <w:rPr>
                <w:rFonts w:ascii="Helvetica" w:hAnsi="Helvetica"/>
                <w:b/>
                <w:bCs/>
                <w:color w:val="000000"/>
                <w:sz w:val="18"/>
                <w:szCs w:val="22"/>
              </w:rPr>
              <w:t>Information Collection</w:t>
            </w:r>
          </w:p>
        </w:tc>
        <w:tc>
          <w:tcPr>
            <w:tcW w:w="135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5AC306D9" w14:textId="77777777">
            <w:pPr>
              <w:overflowPunct/>
              <w:autoSpaceDE/>
              <w:autoSpaceDN/>
              <w:adjustRightInd/>
              <w:spacing w:after="200" w:line="276" w:lineRule="auto"/>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06EA8D46" w14:textId="77777777">
            <w:pPr>
              <w:overflowPunct/>
              <w:autoSpaceDE/>
              <w:autoSpaceDN/>
              <w:adjustRightInd/>
              <w:spacing w:after="200" w:line="276" w:lineRule="auto"/>
              <w:ind w:left="72" w:right="-108"/>
              <w:jc w:val="center"/>
              <w:textAlignment w:val="auto"/>
              <w:rPr>
                <w:rFonts w:ascii="Helvetica" w:hAnsi="Helvetica"/>
                <w:b/>
                <w:bCs/>
                <w:color w:val="000000"/>
                <w:sz w:val="18"/>
                <w:szCs w:val="22"/>
              </w:rPr>
            </w:pPr>
            <w:r w:rsidRPr="00B857E3">
              <w:rPr>
                <w:rFonts w:ascii="Helvetica" w:hAnsi="Helvetica"/>
                <w:b/>
                <w:bCs/>
                <w:color w:val="000000"/>
                <w:sz w:val="18"/>
                <w:szCs w:val="22"/>
              </w:rPr>
              <w:t>Frequency of Response</w:t>
            </w:r>
          </w:p>
        </w:tc>
        <w:tc>
          <w:tcPr>
            <w:tcW w:w="126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6F3A731E" w14:textId="77777777">
            <w:pPr>
              <w:overflowPunct/>
              <w:autoSpaceDE/>
              <w:autoSpaceDN/>
              <w:adjustRightInd/>
              <w:spacing w:after="200" w:line="276" w:lineRule="auto"/>
              <w:jc w:val="center"/>
              <w:textAlignment w:val="auto"/>
              <w:rPr>
                <w:rFonts w:ascii="Helvetica" w:hAnsi="Helvetica"/>
                <w:b/>
                <w:bCs/>
                <w:color w:val="000000"/>
                <w:sz w:val="18"/>
                <w:szCs w:val="22"/>
              </w:rPr>
            </w:pPr>
            <w:r w:rsidRPr="00B857E3">
              <w:rPr>
                <w:rFonts w:ascii="Helvetica" w:hAnsi="Helvetica"/>
                <w:b/>
                <w:bCs/>
                <w:color w:val="000000"/>
                <w:sz w:val="18"/>
                <w:szCs w:val="22"/>
              </w:rPr>
              <w:t>Responses Per Year</w:t>
            </w:r>
          </w:p>
        </w:tc>
        <w:tc>
          <w:tcPr>
            <w:tcW w:w="117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305F4B0C" w14:textId="77777777">
            <w:pPr>
              <w:overflowPunct/>
              <w:autoSpaceDE/>
              <w:autoSpaceDN/>
              <w:adjustRightInd/>
              <w:spacing w:after="200" w:line="276" w:lineRule="auto"/>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Burden Hours Per Response</w:t>
            </w:r>
          </w:p>
        </w:tc>
        <w:tc>
          <w:tcPr>
            <w:tcW w:w="90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52CEDCA8" w14:textId="77777777">
            <w:pPr>
              <w:overflowPunct/>
              <w:autoSpaceDE/>
              <w:autoSpaceDN/>
              <w:adjustRightInd/>
              <w:spacing w:after="200" w:line="276" w:lineRule="auto"/>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64F3F5F1" w14:textId="77777777">
            <w:pPr>
              <w:overflowPunct/>
              <w:autoSpaceDE/>
              <w:autoSpaceDN/>
              <w:adjustRightInd/>
              <w:spacing w:after="200" w:line="276" w:lineRule="auto"/>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Hourly Cost per Response</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B857E3" w:rsidR="00E168C8" w:rsidP="00E168C8" w:rsidRDefault="00E168C8" w14:paraId="7E2F0161" w14:textId="77777777">
            <w:pPr>
              <w:overflowPunct/>
              <w:autoSpaceDE/>
              <w:autoSpaceDN/>
              <w:adjustRightInd/>
              <w:spacing w:after="200" w:line="276" w:lineRule="auto"/>
              <w:ind w:right="-108"/>
              <w:jc w:val="center"/>
              <w:textAlignment w:val="auto"/>
              <w:rPr>
                <w:rFonts w:ascii="Helvetica" w:hAnsi="Helvetica"/>
                <w:b/>
                <w:bCs/>
                <w:color w:val="000000"/>
                <w:sz w:val="18"/>
                <w:szCs w:val="22"/>
              </w:rPr>
            </w:pPr>
            <w:r w:rsidRPr="00B857E3">
              <w:rPr>
                <w:rFonts w:ascii="Helvetica" w:hAnsi="Helvetica"/>
                <w:b/>
                <w:bCs/>
                <w:color w:val="000000"/>
                <w:sz w:val="18"/>
                <w:szCs w:val="22"/>
              </w:rPr>
              <w:t>Total Annual Cost</w:t>
            </w:r>
          </w:p>
        </w:tc>
      </w:tr>
      <w:tr w:rsidRPr="00B857E3" w:rsidR="00E168C8" w:rsidTr="00DF5E82" w14:paraId="17B5CEEC" w14:textId="77777777">
        <w:tblPrEx>
          <w:tblCellMar>
            <w:top w:w="0" w:type="dxa"/>
            <w:bottom w:w="0" w:type="dxa"/>
          </w:tblCellMar>
        </w:tblPrEx>
        <w:tc>
          <w:tcPr>
            <w:tcW w:w="135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DF5E82" w14:paraId="0DB50A6C" w14:textId="77777777">
            <w:pPr>
              <w:overflowPunct/>
              <w:autoSpaceDE/>
              <w:autoSpaceDN/>
              <w:adjustRightInd/>
              <w:spacing w:after="200" w:line="276" w:lineRule="auto"/>
              <w:textAlignment w:val="auto"/>
              <w:rPr>
                <w:rFonts w:ascii="Helvetica" w:hAnsi="Helvetica"/>
                <w:bCs/>
                <w:color w:val="000000"/>
                <w:sz w:val="18"/>
                <w:szCs w:val="22"/>
              </w:rPr>
            </w:pPr>
            <w:r w:rsidRPr="00B857E3">
              <w:rPr>
                <w:rFonts w:ascii="Helvetica" w:hAnsi="Helvetica"/>
                <w:bCs/>
                <w:color w:val="000000"/>
                <w:sz w:val="18"/>
                <w:szCs w:val="22"/>
              </w:rPr>
              <w:t>HUD form 92273-S8</w:t>
            </w:r>
          </w:p>
        </w:tc>
        <w:tc>
          <w:tcPr>
            <w:tcW w:w="135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DF5E82" w14:paraId="755D8DB3" w14:textId="77777777">
            <w:pPr>
              <w:overflowPunct/>
              <w:autoSpaceDE/>
              <w:autoSpaceDN/>
              <w:adjustRightInd/>
              <w:spacing w:after="200" w:line="276" w:lineRule="auto"/>
              <w:jc w:val="center"/>
              <w:textAlignment w:val="auto"/>
              <w:rPr>
                <w:rFonts w:ascii="Helvetica" w:hAnsi="Helvetica"/>
                <w:bCs/>
                <w:color w:val="000000"/>
                <w:sz w:val="18"/>
                <w:szCs w:val="22"/>
              </w:rPr>
            </w:pPr>
            <w:r w:rsidRPr="00B857E3">
              <w:rPr>
                <w:rFonts w:ascii="Helvetica" w:hAnsi="Helvetica"/>
                <w:bCs/>
                <w:color w:val="000000"/>
                <w:sz w:val="18"/>
                <w:szCs w:val="22"/>
              </w:rPr>
              <w:t>1,080</w:t>
            </w:r>
          </w:p>
        </w:tc>
        <w:tc>
          <w:tcPr>
            <w:tcW w:w="117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DF5E82" w14:paraId="2111FC46" w14:textId="77777777">
            <w:pPr>
              <w:overflowPunct/>
              <w:autoSpaceDE/>
              <w:autoSpaceDN/>
              <w:adjustRightInd/>
              <w:spacing w:after="200" w:line="276" w:lineRule="auto"/>
              <w:jc w:val="center"/>
              <w:textAlignment w:val="auto"/>
              <w:rPr>
                <w:rFonts w:ascii="Helvetica" w:hAnsi="Helvetica"/>
                <w:bCs/>
                <w:color w:val="000000"/>
                <w:sz w:val="18"/>
                <w:szCs w:val="22"/>
              </w:rPr>
            </w:pPr>
            <w:r w:rsidRPr="00B857E3">
              <w:rPr>
                <w:rFonts w:ascii="Helvetica" w:hAnsi="Helvetica"/>
                <w:bCs/>
                <w:color w:val="000000"/>
                <w:sz w:val="18"/>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DF5E82" w14:paraId="4A07C0CD" w14:textId="77777777">
            <w:pPr>
              <w:overflowPunct/>
              <w:autoSpaceDE/>
              <w:autoSpaceDN/>
              <w:adjustRightInd/>
              <w:spacing w:after="200" w:line="276" w:lineRule="auto"/>
              <w:jc w:val="center"/>
              <w:textAlignment w:val="auto"/>
              <w:rPr>
                <w:rFonts w:ascii="Helvetica" w:hAnsi="Helvetica"/>
                <w:bCs/>
                <w:color w:val="000000"/>
                <w:sz w:val="18"/>
                <w:szCs w:val="22"/>
              </w:rPr>
            </w:pPr>
            <w:r w:rsidRPr="00B857E3">
              <w:rPr>
                <w:rFonts w:ascii="Helvetica" w:hAnsi="Helvetica"/>
                <w:bCs/>
                <w:color w:val="000000"/>
                <w:sz w:val="18"/>
                <w:szCs w:val="22"/>
              </w:rPr>
              <w:t>1080</w:t>
            </w:r>
          </w:p>
        </w:tc>
        <w:tc>
          <w:tcPr>
            <w:tcW w:w="117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DF5E82" w14:paraId="267C5B3B" w14:textId="77777777">
            <w:pPr>
              <w:overflowPunct/>
              <w:autoSpaceDE/>
              <w:autoSpaceDN/>
              <w:adjustRightInd/>
              <w:spacing w:after="200" w:line="276" w:lineRule="auto"/>
              <w:jc w:val="center"/>
              <w:textAlignment w:val="auto"/>
              <w:rPr>
                <w:rFonts w:ascii="Helvetica" w:hAnsi="Helvetica"/>
                <w:bCs/>
                <w:color w:val="000000"/>
                <w:sz w:val="18"/>
                <w:szCs w:val="22"/>
              </w:rPr>
            </w:pPr>
            <w:r w:rsidRPr="00B857E3">
              <w:rPr>
                <w:rFonts w:ascii="Helvetica" w:hAnsi="Helvetica"/>
                <w:bCs/>
                <w:color w:val="000000"/>
                <w:sz w:val="18"/>
                <w:szCs w:val="22"/>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DF5E82" w14:paraId="0BC4A959" w14:textId="77777777">
            <w:pPr>
              <w:overflowPunct/>
              <w:autoSpaceDE/>
              <w:autoSpaceDN/>
              <w:adjustRightInd/>
              <w:spacing w:after="200" w:line="276" w:lineRule="auto"/>
              <w:jc w:val="center"/>
              <w:textAlignment w:val="auto"/>
              <w:rPr>
                <w:rFonts w:ascii="Helvetica" w:hAnsi="Helvetica"/>
                <w:bCs/>
                <w:color w:val="000000"/>
                <w:sz w:val="18"/>
                <w:szCs w:val="22"/>
              </w:rPr>
            </w:pPr>
            <w:r w:rsidRPr="00B857E3">
              <w:rPr>
                <w:rFonts w:ascii="Helvetica" w:hAnsi="Helvetica"/>
                <w:bCs/>
                <w:color w:val="000000"/>
                <w:sz w:val="18"/>
                <w:szCs w:val="22"/>
              </w:rPr>
              <w:t>1,620</w:t>
            </w:r>
          </w:p>
        </w:tc>
        <w:tc>
          <w:tcPr>
            <w:tcW w:w="99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DF5E82" w14:paraId="12A176AE" w14:textId="77777777">
            <w:pPr>
              <w:overflowPunct/>
              <w:autoSpaceDE/>
              <w:autoSpaceDN/>
              <w:adjustRightInd/>
              <w:spacing w:after="200" w:line="276" w:lineRule="auto"/>
              <w:jc w:val="right"/>
              <w:textAlignment w:val="auto"/>
              <w:rPr>
                <w:rFonts w:ascii="Helvetica" w:hAnsi="Helvetica"/>
                <w:bCs/>
                <w:color w:val="000000"/>
                <w:sz w:val="18"/>
                <w:szCs w:val="22"/>
              </w:rPr>
            </w:pPr>
            <w:r w:rsidRPr="00B857E3">
              <w:rPr>
                <w:rFonts w:ascii="Helvetica" w:hAnsi="Helvetica"/>
                <w:bCs/>
                <w:color w:val="000000"/>
                <w:sz w:val="18"/>
                <w:szCs w:val="22"/>
              </w:rPr>
              <w:t>$ 39.07</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B857E3" w:rsidR="00E168C8" w:rsidP="00E168C8" w:rsidRDefault="00DF5E82" w14:paraId="57529F4A" w14:textId="77777777">
            <w:pPr>
              <w:overflowPunct/>
              <w:autoSpaceDE/>
              <w:autoSpaceDN/>
              <w:adjustRightInd/>
              <w:spacing w:after="200" w:line="276" w:lineRule="auto"/>
              <w:jc w:val="right"/>
              <w:textAlignment w:val="auto"/>
              <w:rPr>
                <w:rFonts w:ascii="Helvetica" w:hAnsi="Helvetica"/>
                <w:bCs/>
                <w:color w:val="000000"/>
                <w:sz w:val="18"/>
                <w:szCs w:val="22"/>
              </w:rPr>
            </w:pPr>
            <w:r w:rsidRPr="00B857E3">
              <w:rPr>
                <w:rFonts w:ascii="Helvetica" w:hAnsi="Helvetica"/>
                <w:bCs/>
                <w:color w:val="000000"/>
                <w:sz w:val="18"/>
                <w:szCs w:val="22"/>
              </w:rPr>
              <w:t>$63</w:t>
            </w:r>
            <w:r w:rsidRPr="00B857E3" w:rsidR="00C9690C">
              <w:rPr>
                <w:rFonts w:ascii="Helvetica" w:hAnsi="Helvetica"/>
                <w:bCs/>
                <w:color w:val="000000"/>
                <w:sz w:val="18"/>
                <w:szCs w:val="22"/>
              </w:rPr>
              <w:t>,</w:t>
            </w:r>
            <w:r w:rsidRPr="00B857E3">
              <w:rPr>
                <w:rFonts w:ascii="Helvetica" w:hAnsi="Helvetica"/>
                <w:bCs/>
                <w:color w:val="000000"/>
                <w:sz w:val="18"/>
                <w:szCs w:val="22"/>
              </w:rPr>
              <w:t>293.40</w:t>
            </w:r>
          </w:p>
        </w:tc>
      </w:tr>
      <w:tr w:rsidRPr="00B857E3" w:rsidR="00E168C8" w:rsidTr="00DF5E82" w14:paraId="31EDBE74" w14:textId="77777777">
        <w:tblPrEx>
          <w:tblCellMar>
            <w:top w:w="0" w:type="dxa"/>
            <w:bottom w:w="0" w:type="dxa"/>
          </w:tblCellMar>
        </w:tblPrEx>
        <w:tc>
          <w:tcPr>
            <w:tcW w:w="135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34D002EF" w14:textId="77777777">
            <w:pPr>
              <w:overflowPunct/>
              <w:autoSpaceDE/>
              <w:autoSpaceDN/>
              <w:adjustRightInd/>
              <w:spacing w:after="200" w:line="276" w:lineRule="auto"/>
              <w:textAlignment w:val="auto"/>
              <w:rPr>
                <w:rFonts w:ascii="Helvetica" w:hAnsi="Helvetica"/>
                <w:b/>
                <w:bCs/>
                <w:color w:val="000000"/>
                <w:sz w:val="18"/>
                <w:szCs w:val="22"/>
              </w:rPr>
            </w:pPr>
            <w:r w:rsidRPr="00B857E3">
              <w:rPr>
                <w:rFonts w:ascii="Helvetica" w:hAnsi="Helvetica"/>
                <w:b/>
                <w:bCs/>
                <w:color w:val="000000"/>
                <w:sz w:val="18"/>
                <w:szCs w:val="22"/>
              </w:rPr>
              <w:t>TOTALS</w:t>
            </w:r>
          </w:p>
        </w:tc>
        <w:tc>
          <w:tcPr>
            <w:tcW w:w="135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2B0D6471" w14:textId="77777777">
            <w:pPr>
              <w:overflowPunct/>
              <w:autoSpaceDE/>
              <w:autoSpaceDN/>
              <w:adjustRightInd/>
              <w:spacing w:after="200" w:line="276" w:lineRule="auto"/>
              <w:jc w:val="center"/>
              <w:textAlignment w:val="auto"/>
              <w:rPr>
                <w:rFonts w:ascii="Helvetica" w:hAnsi="Helvetica"/>
                <w:bCs/>
                <w:color w:val="000000"/>
                <w:sz w:val="18"/>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B857E3" w:rsidR="00E168C8" w:rsidP="00E168C8" w:rsidRDefault="00E168C8" w14:paraId="3BD2FFD1" w14:textId="77777777">
            <w:pPr>
              <w:overflowPunct/>
              <w:autoSpaceDE/>
              <w:autoSpaceDN/>
              <w:adjustRightInd/>
              <w:spacing w:after="200" w:line="276" w:lineRule="auto"/>
              <w:jc w:val="center"/>
              <w:textAlignment w:val="auto"/>
              <w:rPr>
                <w:rFonts w:ascii="Helvetica" w:hAnsi="Helvetica"/>
                <w:bCs/>
                <w:color w:val="000000"/>
                <w:sz w:val="18"/>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28ACDAAE" w14:textId="77777777">
            <w:pPr>
              <w:overflowPunct/>
              <w:autoSpaceDE/>
              <w:autoSpaceDN/>
              <w:adjustRightInd/>
              <w:spacing w:after="200" w:line="276" w:lineRule="auto"/>
              <w:jc w:val="center"/>
              <w:textAlignment w:val="auto"/>
              <w:rPr>
                <w:rFonts w:ascii="Helvetica" w:hAnsi="Helvetica"/>
                <w:bCs/>
                <w:color w:val="000000"/>
                <w:sz w:val="18"/>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B857E3" w:rsidR="00E168C8" w:rsidP="00E168C8" w:rsidRDefault="00E168C8" w14:paraId="0A4E1251" w14:textId="77777777">
            <w:pPr>
              <w:overflowPunct/>
              <w:autoSpaceDE/>
              <w:autoSpaceDN/>
              <w:adjustRightInd/>
              <w:spacing w:after="200" w:line="276" w:lineRule="auto"/>
              <w:jc w:val="center"/>
              <w:textAlignment w:val="auto"/>
              <w:rPr>
                <w:rFonts w:ascii="Helvetica" w:hAnsi="Helvetica"/>
                <w:bCs/>
                <w:color w:val="000000"/>
                <w:sz w:val="18"/>
                <w:szCs w:val="22"/>
              </w:rPr>
            </w:pPr>
          </w:p>
        </w:tc>
        <w:tc>
          <w:tcPr>
            <w:tcW w:w="900" w:type="dxa"/>
            <w:tcBorders>
              <w:top w:val="single" w:color="auto" w:sz="4" w:space="0"/>
              <w:left w:val="single" w:color="auto" w:sz="4" w:space="0"/>
              <w:bottom w:val="single" w:color="auto" w:sz="4" w:space="0"/>
              <w:right w:val="single" w:color="auto" w:sz="4" w:space="0"/>
            </w:tcBorders>
            <w:vAlign w:val="center"/>
          </w:tcPr>
          <w:p w:rsidRPr="00B857E3" w:rsidR="00E168C8" w:rsidP="00E168C8" w:rsidRDefault="00E168C8" w14:paraId="70215D61" w14:textId="77777777">
            <w:pPr>
              <w:overflowPunct/>
              <w:autoSpaceDE/>
              <w:autoSpaceDN/>
              <w:adjustRightInd/>
              <w:spacing w:after="200" w:line="276" w:lineRule="auto"/>
              <w:jc w:val="center"/>
              <w:textAlignment w:val="auto"/>
              <w:rPr>
                <w:rFonts w:ascii="Helvetica" w:hAnsi="Helvetica"/>
                <w:bCs/>
                <w:color w:val="000000"/>
                <w:sz w:val="18"/>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B857E3" w:rsidR="00E168C8" w:rsidP="00E168C8" w:rsidRDefault="00E168C8" w14:paraId="4B0835AB" w14:textId="77777777">
            <w:pPr>
              <w:overflowPunct/>
              <w:autoSpaceDE/>
              <w:autoSpaceDN/>
              <w:adjustRightInd/>
              <w:spacing w:after="200" w:line="276" w:lineRule="auto"/>
              <w:jc w:val="right"/>
              <w:textAlignment w:val="auto"/>
              <w:rPr>
                <w:rFonts w:ascii="Helvetica" w:hAnsi="Helvetica"/>
                <w:bCs/>
                <w:color w:val="000000"/>
                <w:sz w:val="18"/>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B857E3" w:rsidR="00E168C8" w:rsidP="00E168C8" w:rsidRDefault="00E168C8" w14:paraId="14FFBC76" w14:textId="77777777">
            <w:pPr>
              <w:overflowPunct/>
              <w:autoSpaceDE/>
              <w:autoSpaceDN/>
              <w:adjustRightInd/>
              <w:spacing w:after="200" w:line="276" w:lineRule="auto"/>
              <w:jc w:val="right"/>
              <w:textAlignment w:val="auto"/>
              <w:rPr>
                <w:rFonts w:ascii="Helvetica" w:hAnsi="Helvetica"/>
                <w:bCs/>
                <w:color w:val="000000"/>
                <w:sz w:val="18"/>
                <w:szCs w:val="22"/>
              </w:rPr>
            </w:pPr>
          </w:p>
        </w:tc>
      </w:tr>
    </w:tbl>
    <w:p w:rsidRPr="00B857E3" w:rsidR="00E168C8" w:rsidP="00E168C8" w:rsidRDefault="00E168C8" w14:paraId="08B03BD7" w14:textId="77777777">
      <w:pPr>
        <w:overflowPunct/>
        <w:autoSpaceDE/>
        <w:autoSpaceDN/>
        <w:adjustRightInd/>
        <w:textAlignment w:val="auto"/>
        <w:rPr>
          <w:color w:val="000000"/>
          <w:sz w:val="24"/>
          <w:szCs w:val="24"/>
        </w:rPr>
      </w:pPr>
    </w:p>
    <w:p w:rsidRPr="00B857E3" w:rsidR="004E7419" w:rsidP="001F1FE0" w:rsidRDefault="004E7419" w14:paraId="6BF45675" w14:textId="77777777">
      <w:pPr>
        <w:pStyle w:val="BodyTextIndent"/>
        <w:tabs>
          <w:tab w:val="left" w:pos="360"/>
        </w:tabs>
        <w:ind w:hanging="360"/>
        <w:rPr>
          <w:color w:val="000000"/>
          <w:szCs w:val="24"/>
        </w:rPr>
      </w:pPr>
      <w:r w:rsidRPr="00B857E3">
        <w:rPr>
          <w:color w:val="000000"/>
          <w:szCs w:val="24"/>
        </w:rPr>
        <w:t>15.</w:t>
      </w:r>
      <w:r w:rsidRPr="00B857E3">
        <w:rPr>
          <w:color w:val="000000"/>
          <w:szCs w:val="24"/>
        </w:rPr>
        <w:tab/>
      </w:r>
      <w:r w:rsidRPr="001F1FE0" w:rsidR="001F1FE0">
        <w:rPr>
          <w:color w:val="000000"/>
          <w:szCs w:val="24"/>
        </w:rPr>
        <w:t>Reinstatement, with change, of previously approved collection for which approval has expired</w:t>
      </w:r>
      <w:r w:rsidRPr="00B857E3" w:rsidR="00EF0882">
        <w:rPr>
          <w:color w:val="000000"/>
          <w:szCs w:val="24"/>
        </w:rPr>
        <w:t xml:space="preserve">.  </w:t>
      </w:r>
      <w:r w:rsidRPr="00B857E3" w:rsidR="00DB721B">
        <w:rPr>
          <w:color w:val="000000"/>
          <w:szCs w:val="24"/>
        </w:rPr>
        <w:t>The number of responses</w:t>
      </w:r>
      <w:r w:rsidRPr="00B857E3" w:rsidR="000C01B0">
        <w:rPr>
          <w:color w:val="000000"/>
          <w:szCs w:val="24"/>
        </w:rPr>
        <w:t xml:space="preserve"> </w:t>
      </w:r>
      <w:r w:rsidRPr="00B857E3" w:rsidR="00555C5A">
        <w:rPr>
          <w:color w:val="000000"/>
          <w:szCs w:val="24"/>
        </w:rPr>
        <w:t xml:space="preserve">and respondents </w:t>
      </w:r>
      <w:r w:rsidRPr="00B857E3" w:rsidR="00DF5E82">
        <w:rPr>
          <w:color w:val="000000"/>
          <w:szCs w:val="24"/>
        </w:rPr>
        <w:t xml:space="preserve">remains the same as </w:t>
      </w:r>
      <w:r w:rsidRPr="00B857E3">
        <w:rPr>
          <w:color w:val="000000"/>
          <w:szCs w:val="24"/>
        </w:rPr>
        <w:t>the last submission</w:t>
      </w:r>
      <w:r w:rsidRPr="00B857E3" w:rsidR="00555C5A">
        <w:rPr>
          <w:color w:val="000000"/>
          <w:szCs w:val="24"/>
        </w:rPr>
        <w:t>.</w:t>
      </w:r>
      <w:r w:rsidRPr="00B857E3" w:rsidR="000C01B0">
        <w:rPr>
          <w:color w:val="000000"/>
          <w:szCs w:val="24"/>
        </w:rPr>
        <w:t xml:space="preserve"> </w:t>
      </w:r>
    </w:p>
    <w:p w:rsidRPr="00B857E3" w:rsidR="004E7419" w:rsidP="004E7419" w:rsidRDefault="004E7419" w14:paraId="17A5BEEB" w14:textId="77777777">
      <w:pPr>
        <w:pStyle w:val="OmniPage517"/>
        <w:tabs>
          <w:tab w:val="clear" w:pos="4256"/>
          <w:tab w:val="left" w:pos="360"/>
          <w:tab w:val="right" w:pos="8910"/>
        </w:tabs>
        <w:ind w:left="360" w:right="74" w:hanging="360"/>
        <w:rPr>
          <w:color w:val="000000"/>
          <w:sz w:val="24"/>
          <w:szCs w:val="24"/>
        </w:rPr>
      </w:pPr>
      <w:r w:rsidRPr="00B857E3">
        <w:rPr>
          <w:color w:val="000000"/>
          <w:sz w:val="24"/>
          <w:szCs w:val="24"/>
        </w:rPr>
        <w:t xml:space="preserve"> </w:t>
      </w:r>
    </w:p>
    <w:p w:rsidRPr="00B857E3" w:rsidR="004E7419" w:rsidP="004E7419" w:rsidRDefault="004E7419" w14:paraId="4C99ECF3" w14:textId="77777777">
      <w:pPr>
        <w:pStyle w:val="OmniPage517"/>
        <w:tabs>
          <w:tab w:val="clear" w:pos="4256"/>
          <w:tab w:val="left" w:pos="360"/>
          <w:tab w:val="right" w:pos="8910"/>
        </w:tabs>
        <w:ind w:left="360" w:right="74" w:hanging="360"/>
        <w:rPr>
          <w:color w:val="000000"/>
          <w:sz w:val="24"/>
          <w:szCs w:val="24"/>
        </w:rPr>
      </w:pPr>
      <w:r w:rsidRPr="00B857E3">
        <w:rPr>
          <w:color w:val="000000"/>
          <w:sz w:val="24"/>
          <w:szCs w:val="24"/>
        </w:rPr>
        <w:t>16.</w:t>
      </w:r>
      <w:r w:rsidRPr="00B857E3">
        <w:rPr>
          <w:color w:val="000000"/>
          <w:sz w:val="24"/>
          <w:szCs w:val="24"/>
        </w:rPr>
        <w:tab/>
        <w:t>HUD does not plan to publish the results of this collection.</w:t>
      </w:r>
    </w:p>
    <w:p w:rsidRPr="00B857E3" w:rsidR="004E7419" w:rsidP="004E7419" w:rsidRDefault="004E7419" w14:paraId="48240D3B" w14:textId="77777777">
      <w:pPr>
        <w:pStyle w:val="OmniPage517"/>
        <w:tabs>
          <w:tab w:val="left" w:pos="360"/>
        </w:tabs>
        <w:ind w:left="360" w:hanging="360"/>
        <w:rPr>
          <w:color w:val="000000"/>
          <w:sz w:val="24"/>
          <w:szCs w:val="24"/>
        </w:rPr>
      </w:pPr>
      <w:r w:rsidRPr="00B857E3">
        <w:rPr>
          <w:color w:val="000000"/>
          <w:sz w:val="24"/>
          <w:szCs w:val="24"/>
        </w:rPr>
        <w:t xml:space="preserve"> </w:t>
      </w:r>
    </w:p>
    <w:p w:rsidRPr="00B857E3" w:rsidR="004E7419" w:rsidP="004E7419" w:rsidRDefault="004E7419" w14:paraId="2A1C59F1" w14:textId="77777777">
      <w:pPr>
        <w:pStyle w:val="OmniPage517"/>
        <w:tabs>
          <w:tab w:val="left" w:pos="360"/>
        </w:tabs>
        <w:ind w:left="360" w:right="720" w:hanging="360"/>
        <w:rPr>
          <w:color w:val="000000"/>
          <w:sz w:val="24"/>
          <w:szCs w:val="24"/>
        </w:rPr>
      </w:pPr>
      <w:r w:rsidRPr="00B857E3">
        <w:rPr>
          <w:color w:val="000000"/>
          <w:sz w:val="24"/>
          <w:szCs w:val="24"/>
        </w:rPr>
        <w:t>17.</w:t>
      </w:r>
      <w:r w:rsidRPr="00B857E3">
        <w:rPr>
          <w:color w:val="000000"/>
          <w:sz w:val="24"/>
          <w:szCs w:val="24"/>
        </w:rPr>
        <w:tab/>
        <w:t>HUD is not seeking to</w:t>
      </w:r>
      <w:r w:rsidRPr="00B857E3" w:rsidR="00FC395B">
        <w:rPr>
          <w:color w:val="000000"/>
          <w:sz w:val="24"/>
          <w:szCs w:val="24"/>
        </w:rPr>
        <w:t xml:space="preserve"> not</w:t>
      </w:r>
      <w:r w:rsidRPr="00B857E3">
        <w:rPr>
          <w:color w:val="000000"/>
          <w:sz w:val="24"/>
          <w:szCs w:val="24"/>
        </w:rPr>
        <w:t xml:space="preserve"> display the expiration date of OMB approval.</w:t>
      </w:r>
    </w:p>
    <w:p w:rsidRPr="00B857E3" w:rsidR="004E7419" w:rsidP="004E7419" w:rsidRDefault="004E7419" w14:paraId="1CB32D4C" w14:textId="77777777">
      <w:pPr>
        <w:pStyle w:val="OmniPage517"/>
        <w:tabs>
          <w:tab w:val="left" w:pos="360"/>
        </w:tabs>
        <w:ind w:left="360" w:hanging="360"/>
        <w:rPr>
          <w:color w:val="000000"/>
          <w:sz w:val="24"/>
          <w:szCs w:val="24"/>
        </w:rPr>
      </w:pPr>
    </w:p>
    <w:p w:rsidRPr="00B857E3" w:rsidR="004E7419" w:rsidP="004E7419" w:rsidRDefault="004E7419" w14:paraId="20DD7FAC" w14:textId="77777777">
      <w:pPr>
        <w:pStyle w:val="OmniPage517"/>
        <w:tabs>
          <w:tab w:val="left" w:pos="360"/>
        </w:tabs>
        <w:ind w:left="360" w:hanging="360"/>
        <w:rPr>
          <w:color w:val="000000"/>
          <w:sz w:val="24"/>
          <w:szCs w:val="24"/>
        </w:rPr>
      </w:pPr>
      <w:r w:rsidRPr="00B857E3">
        <w:rPr>
          <w:color w:val="000000"/>
          <w:sz w:val="24"/>
          <w:szCs w:val="24"/>
        </w:rPr>
        <w:t>18.</w:t>
      </w:r>
      <w:r w:rsidRPr="00B857E3">
        <w:rPr>
          <w:color w:val="000000"/>
          <w:sz w:val="24"/>
          <w:szCs w:val="24"/>
        </w:rPr>
        <w:tab/>
        <w:t xml:space="preserve">There are no exceptions to the Certification Statement. </w:t>
      </w:r>
    </w:p>
    <w:p w:rsidRPr="00B857E3" w:rsidR="004E7419" w:rsidP="004E7419" w:rsidRDefault="004E7419" w14:paraId="6C77B2C3" w14:textId="77777777">
      <w:pPr>
        <w:pStyle w:val="OmniPage518"/>
        <w:tabs>
          <w:tab w:val="left" w:pos="360"/>
        </w:tabs>
        <w:ind w:left="360" w:hanging="360"/>
        <w:rPr>
          <w:color w:val="000000"/>
          <w:sz w:val="24"/>
          <w:szCs w:val="24"/>
        </w:rPr>
      </w:pPr>
    </w:p>
    <w:p w:rsidRPr="00B857E3" w:rsidR="004E7419" w:rsidP="004E7419" w:rsidRDefault="004E7419" w14:paraId="4711D568" w14:textId="77777777">
      <w:pPr>
        <w:pStyle w:val="OmniPage518"/>
        <w:tabs>
          <w:tab w:val="left" w:pos="360"/>
        </w:tabs>
        <w:ind w:left="360" w:hanging="360"/>
        <w:rPr>
          <w:color w:val="000000"/>
          <w:sz w:val="24"/>
          <w:szCs w:val="24"/>
        </w:rPr>
      </w:pPr>
    </w:p>
    <w:p w:rsidRPr="00B857E3" w:rsidR="004E7419" w:rsidP="004E7419" w:rsidRDefault="004E7419" w14:paraId="1234C649" w14:textId="77777777">
      <w:pPr>
        <w:pStyle w:val="OmniPage518"/>
        <w:pBdr>
          <w:top w:val="single" w:color="auto" w:sz="4" w:space="1"/>
        </w:pBdr>
        <w:tabs>
          <w:tab w:val="left" w:pos="360"/>
        </w:tabs>
        <w:ind w:left="360" w:hanging="360"/>
        <w:rPr>
          <w:b/>
          <w:bCs/>
          <w:color w:val="000000"/>
          <w:sz w:val="24"/>
          <w:szCs w:val="24"/>
        </w:rPr>
      </w:pPr>
      <w:r w:rsidRPr="00B857E3">
        <w:rPr>
          <w:b/>
          <w:bCs/>
          <w:color w:val="000000"/>
          <w:sz w:val="24"/>
          <w:szCs w:val="24"/>
        </w:rPr>
        <w:t>B.</w:t>
      </w:r>
      <w:r w:rsidRPr="00B857E3">
        <w:rPr>
          <w:b/>
          <w:bCs/>
          <w:color w:val="000000"/>
          <w:sz w:val="24"/>
          <w:szCs w:val="24"/>
        </w:rPr>
        <w:tab/>
        <w:t>Collections if Information Employing Statistical Methods</w:t>
      </w:r>
    </w:p>
    <w:p w:rsidRPr="00B857E3" w:rsidR="004E7419" w:rsidP="004E7419" w:rsidRDefault="004E7419" w14:paraId="0DA78749" w14:textId="77777777">
      <w:pPr>
        <w:tabs>
          <w:tab w:val="left" w:pos="360"/>
          <w:tab w:val="right" w:pos="8720"/>
        </w:tabs>
        <w:ind w:left="360" w:hanging="360"/>
        <w:rPr>
          <w:b/>
          <w:bCs/>
          <w:color w:val="000000"/>
          <w:sz w:val="24"/>
          <w:szCs w:val="24"/>
        </w:rPr>
      </w:pPr>
    </w:p>
    <w:p w:rsidRPr="00B857E3" w:rsidR="004E7419" w:rsidRDefault="004E7419" w14:paraId="6EFDA7C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szCs w:val="24"/>
        </w:rPr>
      </w:pPr>
      <w:r w:rsidRPr="00B857E3">
        <w:rPr>
          <w:color w:val="000000"/>
          <w:sz w:val="24"/>
          <w:szCs w:val="24"/>
        </w:rPr>
        <w:tab/>
        <w:t>No statistical method</w:t>
      </w:r>
      <w:r w:rsidRPr="00B857E3" w:rsidR="00254E2A">
        <w:rPr>
          <w:color w:val="000000"/>
          <w:sz w:val="24"/>
          <w:szCs w:val="24"/>
        </w:rPr>
        <w:t>s</w:t>
      </w:r>
      <w:r w:rsidRPr="00B857E3">
        <w:rPr>
          <w:color w:val="000000"/>
          <w:sz w:val="24"/>
          <w:szCs w:val="24"/>
        </w:rPr>
        <w:t xml:space="preserve"> are used in this collection.  </w:t>
      </w:r>
    </w:p>
    <w:sectPr w:rsidRPr="00B857E3" w:rsidR="004E7419">
      <w:footerReference w:type="default" r:id="rId7"/>
      <w:footerReference w:type="first" r:id="rId8"/>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8434" w14:textId="77777777" w:rsidR="003B103D" w:rsidRDefault="003B103D">
      <w:r>
        <w:separator/>
      </w:r>
    </w:p>
  </w:endnote>
  <w:endnote w:type="continuationSeparator" w:id="0">
    <w:p w14:paraId="05CA46BF" w14:textId="77777777" w:rsidR="003B103D" w:rsidRDefault="003B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7700" w14:textId="77777777" w:rsidR="000442EF" w:rsidRDefault="000442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2AE">
      <w:rPr>
        <w:rStyle w:val="PageNumber"/>
        <w:noProof/>
      </w:rPr>
      <w:t>2</w:t>
    </w:r>
    <w:r>
      <w:rPr>
        <w:rStyle w:val="PageNumber"/>
      </w:rPr>
      <w:fldChar w:fldCharType="end"/>
    </w:r>
  </w:p>
  <w:p w14:paraId="661D16DC" w14:textId="77777777" w:rsidR="000442EF" w:rsidRDefault="000442EF" w:rsidP="00451C23">
    <w:pPr>
      <w:pStyle w:val="Footer"/>
      <w:pBdr>
        <w:top w:val="single" w:sz="6" w:space="1" w:color="auto"/>
      </w:pBdr>
      <w:tabs>
        <w:tab w:val="clear" w:pos="4320"/>
        <w:tab w:val="clear" w:pos="8640"/>
        <w:tab w:val="right" w:pos="10920"/>
      </w:tabs>
      <w:ind w:left="-120" w:right="-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0442EF" w14:paraId="12CB8A31" w14:textId="77777777">
      <w:tblPrEx>
        <w:tblCellMar>
          <w:top w:w="0" w:type="dxa"/>
          <w:bottom w:w="0" w:type="dxa"/>
        </w:tblCellMar>
      </w:tblPrEx>
      <w:tc>
        <w:tcPr>
          <w:tcW w:w="8388" w:type="dxa"/>
          <w:tcBorders>
            <w:top w:val="single" w:sz="6" w:space="0" w:color="auto"/>
            <w:left w:val="nil"/>
            <w:right w:val="single" w:sz="6" w:space="0" w:color="auto"/>
          </w:tcBorders>
        </w:tcPr>
        <w:p w14:paraId="5BE2CFBB" w14:textId="77777777" w:rsidR="000442EF" w:rsidRDefault="000442EF">
          <w:pPr>
            <w:pStyle w:val="Footer"/>
            <w:rPr>
              <w:rFonts w:ascii="Helvetica" w:hAnsi="Helvetica"/>
              <w:sz w:val="16"/>
            </w:rPr>
          </w:pPr>
        </w:p>
      </w:tc>
      <w:tc>
        <w:tcPr>
          <w:tcW w:w="2748" w:type="dxa"/>
          <w:tcBorders>
            <w:left w:val="nil"/>
          </w:tcBorders>
        </w:tcPr>
        <w:p w14:paraId="27481147" w14:textId="77777777" w:rsidR="000442EF" w:rsidRDefault="000442EF">
          <w:pPr>
            <w:pStyle w:val="Footer"/>
            <w:rPr>
              <w:rFonts w:ascii="Helvetica" w:hAnsi="Helvetica"/>
              <w:sz w:val="16"/>
            </w:rPr>
          </w:pPr>
        </w:p>
      </w:tc>
    </w:tr>
  </w:tbl>
  <w:p w14:paraId="25813286" w14:textId="77777777" w:rsidR="000442EF" w:rsidRDefault="000442EF" w:rsidP="00451C23">
    <w:pPr>
      <w:pStyle w:val="Footer"/>
      <w:pBdr>
        <w:top w:val="single" w:sz="6" w:space="1" w:color="auto"/>
      </w:pBdr>
      <w:tabs>
        <w:tab w:val="clear" w:pos="4320"/>
        <w:tab w:val="clear" w:pos="8640"/>
        <w:tab w:val="right" w:pos="10920"/>
      </w:tabs>
      <w:rPr>
        <w:rFonts w:ascii="Helvetica" w:hAnsi="Helvetica"/>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4ABA" w14:textId="77777777" w:rsidR="003B103D" w:rsidRDefault="003B103D">
      <w:r>
        <w:separator/>
      </w:r>
    </w:p>
  </w:footnote>
  <w:footnote w:type="continuationSeparator" w:id="0">
    <w:p w14:paraId="256D8ADC" w14:textId="77777777" w:rsidR="003B103D" w:rsidRDefault="003B1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3061ABB"/>
    <w:multiLevelType w:val="hybridMultilevel"/>
    <w:tmpl w:val="7A323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6" w15:restartNumberingAfterBreak="0">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7" w15:restartNumberingAfterBreak="0">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8" w15:restartNumberingAfterBreak="0">
    <w:nsid w:val="273733B4"/>
    <w:multiLevelType w:val="singleLevel"/>
    <w:tmpl w:val="78002294"/>
    <w:lvl w:ilvl="0">
      <w:start w:val="6"/>
      <w:numFmt w:val="decimal"/>
      <w:lvlText w:val="%1. "/>
      <w:legacy w:legacy="1" w:legacySpace="0" w:legacyIndent="360"/>
      <w:lvlJc w:val="left"/>
      <w:pPr>
        <w:ind w:left="360" w:hanging="360"/>
      </w:pPr>
      <w:rPr>
        <w:b w:val="0"/>
        <w:i w:val="0"/>
        <w:sz w:val="24"/>
      </w:rPr>
    </w:lvl>
  </w:abstractNum>
  <w:abstractNum w:abstractNumId="9" w15:restartNumberingAfterBreak="0">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10" w15:restartNumberingAfterBreak="0">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1" w15:restartNumberingAfterBreak="0">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2" w15:restartNumberingAfterBreak="0">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3" w15:restartNumberingAfterBreak="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4" w15:restartNumberingAfterBreak="0">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5"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6"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8" w15:restartNumberingAfterBreak="0">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9" w15:restartNumberingAfterBreak="0">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20" w15:restartNumberingAfterBreak="0">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1" w15:restartNumberingAfterBreak="0">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2" w15:restartNumberingAfterBreak="0">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3" w15:restartNumberingAfterBreak="0">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4" w15:restartNumberingAfterBreak="0">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15:restartNumberingAfterBreak="0">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9" w15:restartNumberingAfterBreak="0">
    <w:nsid w:val="7BE3004D"/>
    <w:multiLevelType w:val="singleLevel"/>
    <w:tmpl w:val="54B4D5EC"/>
    <w:lvl w:ilvl="0">
      <w:start w:val="1"/>
      <w:numFmt w:val="lowerLetter"/>
      <w:lvlText w:val="%1."/>
      <w:legacy w:legacy="1" w:legacySpace="120" w:legacyIndent="360"/>
      <w:lvlJc w:val="left"/>
      <w:pPr>
        <w:ind w:left="1080" w:hanging="360"/>
      </w:pPr>
    </w:lvl>
  </w:abstractNum>
  <w:num w:numId="1" w16cid:durableId="1136096443">
    <w:abstractNumId w:val="4"/>
  </w:num>
  <w:num w:numId="2" w16cid:durableId="124667183">
    <w:abstractNumId w:val="28"/>
  </w:num>
  <w:num w:numId="3" w16cid:durableId="1632906246">
    <w:abstractNumId w:val="2"/>
  </w:num>
  <w:num w:numId="4" w16cid:durableId="319970485">
    <w:abstractNumId w:val="27"/>
  </w:num>
  <w:num w:numId="5" w16cid:durableId="1225724742">
    <w:abstractNumId w:val="25"/>
  </w:num>
  <w:num w:numId="6" w16cid:durableId="574049841">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826759">
    <w:abstractNumId w:val="15"/>
  </w:num>
  <w:num w:numId="8" w16cid:durableId="20768602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451174202">
    <w:abstractNumId w:val="16"/>
  </w:num>
  <w:num w:numId="10" w16cid:durableId="1971279783">
    <w:abstractNumId w:val="5"/>
  </w:num>
  <w:num w:numId="11" w16cid:durableId="1819422394">
    <w:abstractNumId w:val="9"/>
  </w:num>
  <w:num w:numId="12" w16cid:durableId="1569220687">
    <w:abstractNumId w:val="29"/>
  </w:num>
  <w:num w:numId="13" w16cid:durableId="2112161973">
    <w:abstractNumId w:val="14"/>
  </w:num>
  <w:num w:numId="14" w16cid:durableId="943726287">
    <w:abstractNumId w:val="3"/>
  </w:num>
  <w:num w:numId="15" w16cid:durableId="732853920">
    <w:abstractNumId w:val="22"/>
  </w:num>
  <w:num w:numId="16" w16cid:durableId="437872107">
    <w:abstractNumId w:val="8"/>
  </w:num>
  <w:num w:numId="17" w16cid:durableId="788210259">
    <w:abstractNumId w:val="24"/>
  </w:num>
  <w:num w:numId="18" w16cid:durableId="1904101782">
    <w:abstractNumId w:val="13"/>
  </w:num>
  <w:num w:numId="19" w16cid:durableId="1177572969">
    <w:abstractNumId w:val="20"/>
  </w:num>
  <w:num w:numId="20" w16cid:durableId="877467976">
    <w:abstractNumId w:val="17"/>
  </w:num>
  <w:num w:numId="21" w16cid:durableId="244340673">
    <w:abstractNumId w:val="10"/>
  </w:num>
  <w:num w:numId="22" w16cid:durableId="1296370249">
    <w:abstractNumId w:val="23"/>
  </w:num>
  <w:num w:numId="23" w16cid:durableId="830365858">
    <w:abstractNumId w:val="6"/>
  </w:num>
  <w:num w:numId="24" w16cid:durableId="44062810">
    <w:abstractNumId w:val="11"/>
  </w:num>
  <w:num w:numId="25" w16cid:durableId="864948358">
    <w:abstractNumId w:val="19"/>
  </w:num>
  <w:num w:numId="26" w16cid:durableId="159006965">
    <w:abstractNumId w:val="7"/>
  </w:num>
  <w:num w:numId="27" w16cid:durableId="639728009">
    <w:abstractNumId w:val="12"/>
  </w:num>
  <w:num w:numId="28" w16cid:durableId="1349335311">
    <w:abstractNumId w:val="18"/>
  </w:num>
  <w:num w:numId="29" w16cid:durableId="615136864">
    <w:abstractNumId w:val="21"/>
  </w:num>
  <w:num w:numId="30" w16cid:durableId="596715599">
    <w:abstractNumId w:val="26"/>
  </w:num>
  <w:num w:numId="31" w16cid:durableId="65761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EB"/>
    <w:rsid w:val="00005227"/>
    <w:rsid w:val="000442EF"/>
    <w:rsid w:val="00095425"/>
    <w:rsid w:val="000C01B0"/>
    <w:rsid w:val="000C65BB"/>
    <w:rsid w:val="001060DD"/>
    <w:rsid w:val="00120A25"/>
    <w:rsid w:val="00176312"/>
    <w:rsid w:val="001A3188"/>
    <w:rsid w:val="001B52CC"/>
    <w:rsid w:val="001B55EF"/>
    <w:rsid w:val="001C58F4"/>
    <w:rsid w:val="001F1FE0"/>
    <w:rsid w:val="001F5A3B"/>
    <w:rsid w:val="00200601"/>
    <w:rsid w:val="00202A58"/>
    <w:rsid w:val="00211CA4"/>
    <w:rsid w:val="0021567A"/>
    <w:rsid w:val="002173FB"/>
    <w:rsid w:val="00220239"/>
    <w:rsid w:val="00250436"/>
    <w:rsid w:val="002523B1"/>
    <w:rsid w:val="00254E2A"/>
    <w:rsid w:val="00266531"/>
    <w:rsid w:val="00281098"/>
    <w:rsid w:val="002A1DE5"/>
    <w:rsid w:val="00300FEB"/>
    <w:rsid w:val="00311E91"/>
    <w:rsid w:val="003435D0"/>
    <w:rsid w:val="003A0DB7"/>
    <w:rsid w:val="003B103D"/>
    <w:rsid w:val="00421A7B"/>
    <w:rsid w:val="00451C23"/>
    <w:rsid w:val="00490C5A"/>
    <w:rsid w:val="004C0DF1"/>
    <w:rsid w:val="004E370C"/>
    <w:rsid w:val="004E7419"/>
    <w:rsid w:val="004E7924"/>
    <w:rsid w:val="00553DAB"/>
    <w:rsid w:val="00555C5A"/>
    <w:rsid w:val="005A1CBF"/>
    <w:rsid w:val="005D1998"/>
    <w:rsid w:val="006038C0"/>
    <w:rsid w:val="006270FE"/>
    <w:rsid w:val="00644A30"/>
    <w:rsid w:val="0064746C"/>
    <w:rsid w:val="006574EC"/>
    <w:rsid w:val="00661CA8"/>
    <w:rsid w:val="006C663E"/>
    <w:rsid w:val="006E36F2"/>
    <w:rsid w:val="0072524B"/>
    <w:rsid w:val="00730CCB"/>
    <w:rsid w:val="0078378D"/>
    <w:rsid w:val="007A5764"/>
    <w:rsid w:val="007D0C4D"/>
    <w:rsid w:val="007D2626"/>
    <w:rsid w:val="007F1036"/>
    <w:rsid w:val="008377A3"/>
    <w:rsid w:val="00844E41"/>
    <w:rsid w:val="008708A6"/>
    <w:rsid w:val="008A0396"/>
    <w:rsid w:val="008B22A7"/>
    <w:rsid w:val="008D72E9"/>
    <w:rsid w:val="008E2931"/>
    <w:rsid w:val="00920F7A"/>
    <w:rsid w:val="009248E1"/>
    <w:rsid w:val="00943CB6"/>
    <w:rsid w:val="00974C8F"/>
    <w:rsid w:val="00983B41"/>
    <w:rsid w:val="009A1564"/>
    <w:rsid w:val="009B7DE9"/>
    <w:rsid w:val="00A44B87"/>
    <w:rsid w:val="00A46E9B"/>
    <w:rsid w:val="00A6420F"/>
    <w:rsid w:val="00A970B1"/>
    <w:rsid w:val="00AD7A0F"/>
    <w:rsid w:val="00AE7C5B"/>
    <w:rsid w:val="00AF2EA0"/>
    <w:rsid w:val="00AF71E6"/>
    <w:rsid w:val="00B455C4"/>
    <w:rsid w:val="00B6760B"/>
    <w:rsid w:val="00B857E3"/>
    <w:rsid w:val="00B8607A"/>
    <w:rsid w:val="00BA671E"/>
    <w:rsid w:val="00BC497C"/>
    <w:rsid w:val="00C31598"/>
    <w:rsid w:val="00C575CC"/>
    <w:rsid w:val="00C926E0"/>
    <w:rsid w:val="00C9690C"/>
    <w:rsid w:val="00CA2698"/>
    <w:rsid w:val="00CA4117"/>
    <w:rsid w:val="00D07661"/>
    <w:rsid w:val="00D501A5"/>
    <w:rsid w:val="00D622AE"/>
    <w:rsid w:val="00D64464"/>
    <w:rsid w:val="00D70CDA"/>
    <w:rsid w:val="00D86F14"/>
    <w:rsid w:val="00D92170"/>
    <w:rsid w:val="00DB721B"/>
    <w:rsid w:val="00DC76C5"/>
    <w:rsid w:val="00DF132F"/>
    <w:rsid w:val="00DF5E82"/>
    <w:rsid w:val="00E168C8"/>
    <w:rsid w:val="00E47388"/>
    <w:rsid w:val="00EF0882"/>
    <w:rsid w:val="00F613FD"/>
    <w:rsid w:val="00F64211"/>
    <w:rsid w:val="00F710DF"/>
    <w:rsid w:val="00F76729"/>
    <w:rsid w:val="00FB6856"/>
    <w:rsid w:val="00FC395B"/>
    <w:rsid w:val="00FC6122"/>
    <w:rsid w:val="00FD12D9"/>
    <w:rsid w:val="00FF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5CBAA4"/>
  <w15:chartTrackingRefBased/>
  <w15:docId w15:val="{E90AB43E-B1EF-4011-835E-193EFBD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Helvetica" w:hAnsi="Helvetica"/>
      <w:b/>
      <w:sz w:val="28"/>
    </w:rPr>
  </w:style>
  <w:style w:type="paragraph" w:styleId="BodyText">
    <w:name w:val="Body Text"/>
    <w:basedOn w:val="Normal"/>
    <w:rPr>
      <w:sz w:val="24"/>
    </w:rPr>
  </w:style>
  <w:style w:type="paragraph" w:styleId="BodyTextIndent">
    <w:name w:val="Body Text Indent"/>
    <w:basedOn w:val="Normal"/>
    <w:pPr>
      <w:ind w:left="360"/>
    </w:pPr>
    <w:rPr>
      <w:sz w:val="24"/>
    </w:rPr>
  </w:style>
  <w:style w:type="paragraph" w:styleId="BlockText">
    <w:name w:val="Block Text"/>
    <w:basedOn w:val="Normal"/>
    <w:pPr>
      <w:tabs>
        <w:tab w:val="left" w:pos="240"/>
      </w:tabs>
      <w:spacing w:after="60"/>
      <w:ind w:left="120" w:right="-120"/>
    </w:pPr>
    <w:rPr>
      <w:color w:val="000000"/>
      <w:sz w:val="22"/>
    </w:rPr>
  </w:style>
  <w:style w:type="paragraph" w:styleId="BodyText2">
    <w:name w:val="Body Text 2"/>
    <w:basedOn w:val="Normal"/>
    <w:rPr>
      <w:color w:val="FF0000"/>
      <w:sz w:val="24"/>
    </w:rPr>
  </w:style>
  <w:style w:type="paragraph" w:styleId="BalloonText">
    <w:name w:val="Balloon Text"/>
    <w:basedOn w:val="Normal"/>
    <w:semiHidden/>
    <w:rsid w:val="00176312"/>
    <w:rPr>
      <w:rFonts w:ascii="Tahoma" w:hAnsi="Tahoma" w:cs="Tahoma"/>
      <w:sz w:val="16"/>
      <w:szCs w:val="16"/>
    </w:rPr>
  </w:style>
  <w:style w:type="paragraph" w:styleId="BodyTextIndent3">
    <w:name w:val="Body Text Indent 3"/>
    <w:basedOn w:val="Normal"/>
    <w:rsid w:val="004E7419"/>
    <w:pPr>
      <w:spacing w:after="120"/>
      <w:ind w:left="360"/>
    </w:pPr>
    <w:rPr>
      <w:sz w:val="16"/>
      <w:szCs w:val="16"/>
    </w:rPr>
  </w:style>
  <w:style w:type="paragraph" w:customStyle="1" w:styleId="OmniPage3">
    <w:name w:val="OmniPage #3"/>
    <w:basedOn w:val="Normal"/>
    <w:rsid w:val="004E7419"/>
    <w:pPr>
      <w:tabs>
        <w:tab w:val="left" w:pos="685"/>
        <w:tab w:val="right" w:pos="2657"/>
      </w:tabs>
      <w:ind w:left="1757" w:right="6953"/>
    </w:pPr>
    <w:rPr>
      <w:noProof/>
    </w:rPr>
  </w:style>
  <w:style w:type="paragraph" w:customStyle="1" w:styleId="OmniPage4">
    <w:name w:val="OmniPage #4"/>
    <w:basedOn w:val="Normal"/>
    <w:rsid w:val="004E7419"/>
    <w:pPr>
      <w:tabs>
        <w:tab w:val="left" w:pos="1409"/>
      </w:tabs>
      <w:ind w:left="1764" w:right="104" w:firstLine="736"/>
    </w:pPr>
    <w:rPr>
      <w:noProof/>
    </w:rPr>
  </w:style>
  <w:style w:type="paragraph" w:customStyle="1" w:styleId="OmniPage5">
    <w:name w:val="OmniPage #5"/>
    <w:basedOn w:val="Normal"/>
    <w:rsid w:val="004E7419"/>
    <w:pPr>
      <w:tabs>
        <w:tab w:val="left" w:pos="1445"/>
      </w:tabs>
      <w:ind w:left="1804" w:right="156" w:firstLine="703"/>
    </w:pPr>
    <w:rPr>
      <w:noProof/>
    </w:rPr>
  </w:style>
  <w:style w:type="paragraph" w:customStyle="1" w:styleId="OmniPage6">
    <w:name w:val="OmniPage #6"/>
    <w:basedOn w:val="Normal"/>
    <w:rsid w:val="004E7419"/>
    <w:pPr>
      <w:ind w:left="1818" w:right="100" w:firstLine="736"/>
    </w:pPr>
    <w:rPr>
      <w:noProof/>
    </w:rPr>
  </w:style>
  <w:style w:type="paragraph" w:customStyle="1" w:styleId="OmniPage258">
    <w:name w:val="OmniPage #258"/>
    <w:basedOn w:val="Normal"/>
    <w:rsid w:val="004E7419"/>
    <w:pPr>
      <w:tabs>
        <w:tab w:val="left" w:pos="1254"/>
        <w:tab w:val="right" w:pos="7310"/>
      </w:tabs>
      <w:ind w:left="2532" w:right="1710"/>
    </w:pPr>
    <w:rPr>
      <w:noProof/>
    </w:rPr>
  </w:style>
  <w:style w:type="paragraph" w:customStyle="1" w:styleId="OmniPage259">
    <w:name w:val="OmniPage #259"/>
    <w:basedOn w:val="Normal"/>
    <w:rsid w:val="004E7419"/>
    <w:pPr>
      <w:tabs>
        <w:tab w:val="left" w:pos="1317"/>
      </w:tabs>
      <w:ind w:left="2968" w:right="384" w:hanging="425"/>
    </w:pPr>
    <w:rPr>
      <w:noProof/>
    </w:rPr>
  </w:style>
  <w:style w:type="paragraph" w:customStyle="1" w:styleId="OmniPage261">
    <w:name w:val="OmniPage #261"/>
    <w:basedOn w:val="Normal"/>
    <w:rsid w:val="004E7419"/>
    <w:pPr>
      <w:tabs>
        <w:tab w:val="left" w:pos="1273"/>
        <w:tab w:val="right" w:pos="3570"/>
      </w:tabs>
      <w:ind w:left="2561" w:right="5450"/>
    </w:pPr>
    <w:rPr>
      <w:noProof/>
    </w:rPr>
  </w:style>
  <w:style w:type="paragraph" w:customStyle="1" w:styleId="OmniPage263">
    <w:name w:val="OmniPage #263"/>
    <w:basedOn w:val="Normal"/>
    <w:rsid w:val="004E7419"/>
    <w:pPr>
      <w:tabs>
        <w:tab w:val="left" w:pos="1279"/>
        <w:tab w:val="right" w:pos="2019"/>
      </w:tabs>
      <w:ind w:left="2567" w:right="7001"/>
    </w:pPr>
    <w:rPr>
      <w:noProof/>
    </w:rPr>
  </w:style>
  <w:style w:type="paragraph" w:customStyle="1" w:styleId="OmniPage264">
    <w:name w:val="OmniPage #264"/>
    <w:basedOn w:val="Normal"/>
    <w:rsid w:val="004E7419"/>
    <w:pPr>
      <w:tabs>
        <w:tab w:val="left" w:pos="1328"/>
      </w:tabs>
      <w:ind w:left="2979" w:right="1495" w:hanging="570"/>
    </w:pPr>
    <w:rPr>
      <w:noProof/>
    </w:rPr>
  </w:style>
  <w:style w:type="paragraph" w:customStyle="1" w:styleId="OmniPage265">
    <w:name w:val="OmniPage #265"/>
    <w:basedOn w:val="Normal"/>
    <w:rsid w:val="004E7419"/>
    <w:pPr>
      <w:tabs>
        <w:tab w:val="left" w:pos="1392"/>
      </w:tabs>
      <w:ind w:left="3043" w:right="1071" w:hanging="630"/>
    </w:pPr>
    <w:rPr>
      <w:noProof/>
    </w:rPr>
  </w:style>
  <w:style w:type="paragraph" w:customStyle="1" w:styleId="OmniPage266">
    <w:name w:val="OmniPage #266"/>
    <w:basedOn w:val="Normal"/>
    <w:rsid w:val="004E7419"/>
    <w:pPr>
      <w:ind w:left="2415" w:right="973"/>
    </w:pPr>
    <w:rPr>
      <w:noProof/>
    </w:rPr>
  </w:style>
  <w:style w:type="paragraph" w:customStyle="1" w:styleId="OmniPage517">
    <w:name w:val="OmniPage #517"/>
    <w:basedOn w:val="Normal"/>
    <w:rsid w:val="004E7419"/>
    <w:pPr>
      <w:tabs>
        <w:tab w:val="left" w:pos="1972"/>
        <w:tab w:val="right" w:pos="4256"/>
      </w:tabs>
      <w:ind w:left="2628" w:right="4728"/>
    </w:pPr>
    <w:rPr>
      <w:noProof/>
    </w:rPr>
  </w:style>
  <w:style w:type="paragraph" w:customStyle="1" w:styleId="OmniPage518">
    <w:name w:val="OmniPage #518"/>
    <w:basedOn w:val="Normal"/>
    <w:rsid w:val="004E7419"/>
    <w:pPr>
      <w:tabs>
        <w:tab w:val="right" w:pos="8720"/>
      </w:tabs>
      <w:ind w:left="1894" w:right="264"/>
    </w:pPr>
    <w:rPr>
      <w:noProof/>
    </w:rPr>
  </w:style>
  <w:style w:type="paragraph" w:styleId="HTMLPreformatted">
    <w:name w:val="HTML Preformatted"/>
    <w:basedOn w:val="Normal"/>
    <w:rsid w:val="004E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83-I-OMB</Template>
  <TotalTime>3</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Herring, Vivian M</cp:lastModifiedBy>
  <cp:revision>2</cp:revision>
  <cp:lastPrinted>2014-06-26T22:30:00Z</cp:lastPrinted>
  <dcterms:created xsi:type="dcterms:W3CDTF">2022-05-17T21:13:00Z</dcterms:created>
  <dcterms:modified xsi:type="dcterms:W3CDTF">2022-05-17T21:13:00Z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