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3B1" w:rsidP="006C7FAE" w:rsidRDefault="009E13B1" w14:paraId="4F25BA85" w14:textId="77777777">
      <w:pPr>
        <w:jc w:val="center"/>
        <w:rPr>
          <w:b/>
          <w:sz w:val="24"/>
          <w:szCs w:val="24"/>
        </w:rPr>
      </w:pPr>
      <w:r w:rsidRPr="00167E53">
        <w:rPr>
          <w:b/>
          <w:sz w:val="24"/>
          <w:szCs w:val="24"/>
        </w:rPr>
        <w:t>Supporting Statement for Paperwork Reduction Act Submissions</w:t>
      </w:r>
    </w:p>
    <w:p w:rsidRPr="00167E53" w:rsidR="00167E53" w:rsidRDefault="00167E53" w14:paraId="757170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w:t>
      </w:r>
      <w:r w:rsidR="00EB37DE">
        <w:rPr>
          <w:b/>
          <w:sz w:val="24"/>
          <w:szCs w:val="24"/>
        </w:rPr>
        <w:t>Ginnie Mae Digital Collateral Program</w:t>
      </w:r>
      <w:r>
        <w:rPr>
          <w:b/>
          <w:sz w:val="24"/>
          <w:szCs w:val="24"/>
        </w:rPr>
        <w:t>)</w:t>
      </w:r>
    </w:p>
    <w:p w:rsidRPr="00167E53" w:rsidR="00167E53" w:rsidRDefault="00167E53" w14:paraId="1BF51B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00EB37DE">
        <w:rPr>
          <w:b/>
          <w:sz w:val="24"/>
          <w:szCs w:val="24"/>
        </w:rPr>
        <w:t>2503-New</w:t>
      </w:r>
      <w:r w:rsidRPr="00167E53">
        <w:rPr>
          <w:b/>
          <w:sz w:val="24"/>
          <w:szCs w:val="24"/>
        </w:rPr>
        <w:t>)</w:t>
      </w:r>
    </w:p>
    <w:p w:rsidRPr="00167E53" w:rsidR="009E13B1" w:rsidP="006C7FAE" w:rsidRDefault="009E13B1" w14:paraId="253321B3" w14:textId="77777777">
      <w:pPr>
        <w:rPr>
          <w:b/>
          <w:sz w:val="24"/>
          <w:szCs w:val="24"/>
        </w:rPr>
      </w:pPr>
    </w:p>
    <w:p w:rsidRPr="006C7FAE" w:rsidR="009E13B1" w:rsidRDefault="009E13B1" w14:paraId="35A09AC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Pr="006C7FAE" w:rsidR="009E13B1" w:rsidRDefault="009E13B1" w14:paraId="6D5FB5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Pr="009020C7" w:rsidR="009B4A47" w:rsidP="009B4A47" w:rsidRDefault="009E13B1" w14:paraId="0BBBAE29" w14:textId="77777777">
      <w:pPr>
        <w:keepLines/>
        <w:numPr>
          <w:ilvl w:val="0"/>
          <w:numId w:val="15"/>
        </w:numPr>
        <w:tabs>
          <w:tab w:val="left" w:pos="360"/>
        </w:tabs>
        <w:spacing w:after="80"/>
        <w:rPr>
          <w:b/>
          <w:bCs/>
          <w:sz w:val="24"/>
          <w:szCs w:val="24"/>
        </w:rPr>
      </w:pPr>
      <w:r w:rsidRPr="009020C7">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B4A47" w:rsidP="009B4A47" w:rsidRDefault="009B4A47" w14:paraId="3A15042E" w14:textId="77777777">
      <w:pPr>
        <w:keepLines/>
        <w:tabs>
          <w:tab w:val="left" w:pos="360"/>
        </w:tabs>
        <w:spacing w:after="120"/>
        <w:ind w:left="360"/>
        <w:jc w:val="both"/>
        <w:rPr>
          <w:bCs/>
          <w:color w:val="000000"/>
          <w:sz w:val="24"/>
          <w:szCs w:val="24"/>
        </w:rPr>
      </w:pPr>
      <w:r w:rsidRPr="003F3C9B">
        <w:rPr>
          <w:bCs/>
          <w:color w:val="000000"/>
          <w:sz w:val="24"/>
          <w:szCs w:val="24"/>
        </w:rPr>
        <w:t>Ginnie Mae is a wholly owned corporation of the United States within the Department of Housing and Urban Development</w:t>
      </w:r>
      <w:r w:rsidR="00EB37DE">
        <w:rPr>
          <w:bCs/>
          <w:color w:val="000000"/>
          <w:sz w:val="24"/>
          <w:szCs w:val="24"/>
        </w:rPr>
        <w:t xml:space="preserve"> (HUD)</w:t>
      </w:r>
      <w:r w:rsidRPr="003F3C9B">
        <w:rPr>
          <w:bCs/>
          <w:color w:val="000000"/>
          <w:sz w:val="24"/>
          <w:szCs w:val="24"/>
        </w:rPr>
        <w:t xml:space="preserve">.  Its powers are prescribed generally by Title III of the National Housing Act, as amended, 12 U.S.C. 1716 et. seq.  Ginnie Mae is authorized by Section 306(g) of the National Housing Act to guarantee the timely payment of principal and interest on Mortgage-Backed Securities (MBS) secured by government home loans. These loans are insured or guaranteed by the Federal Housing Administration FHA, </w:t>
      </w:r>
      <w:r w:rsidR="00EB37DE">
        <w:rPr>
          <w:bCs/>
          <w:color w:val="000000"/>
          <w:sz w:val="24"/>
          <w:szCs w:val="24"/>
        </w:rPr>
        <w:t xml:space="preserve">the </w:t>
      </w:r>
      <w:r w:rsidRPr="003F3C9B">
        <w:rPr>
          <w:bCs/>
          <w:color w:val="000000"/>
          <w:sz w:val="24"/>
          <w:szCs w:val="24"/>
        </w:rPr>
        <w:t xml:space="preserve">Office of Public and Indian Housing (PIH), the U.S. Department of Veterans Affairs’ (VA) Home Loan Program for Veterans, the U.S. Department of Agriculture’s (USDA).  Rural Development Housing, </w:t>
      </w:r>
      <w:r w:rsidR="00EB37DE">
        <w:rPr>
          <w:bCs/>
          <w:color w:val="000000"/>
          <w:sz w:val="24"/>
          <w:szCs w:val="24"/>
        </w:rPr>
        <w:t>Single Family Housing Guaranteed Loan Program</w:t>
      </w:r>
      <w:r w:rsidRPr="003F3C9B">
        <w:rPr>
          <w:bCs/>
          <w:color w:val="000000"/>
          <w:sz w:val="24"/>
          <w:szCs w:val="24"/>
        </w:rPr>
        <w:t xml:space="preserve"> (RD)</w:t>
      </w:r>
      <w:r w:rsidR="00EB37DE">
        <w:rPr>
          <w:bCs/>
          <w:color w:val="000000"/>
          <w:sz w:val="24"/>
          <w:szCs w:val="24"/>
        </w:rPr>
        <w:t>.</w:t>
      </w:r>
      <w:r w:rsidRPr="003F3C9B">
        <w:rPr>
          <w:bCs/>
          <w:color w:val="000000"/>
          <w:sz w:val="24"/>
          <w:szCs w:val="24"/>
        </w:rPr>
        <w:t xml:space="preserve"> </w:t>
      </w:r>
      <w:r w:rsidRPr="003F3C9B">
        <w:rPr>
          <w:sz w:val="24"/>
          <w:szCs w:val="24"/>
        </w:rPr>
        <w:t>Ginnie Mae remains a self-financing, wholly owned U.S. Government Corporation within HUD.</w:t>
      </w:r>
      <w:r w:rsidRPr="003F3C9B">
        <w:rPr>
          <w:bCs/>
          <w:color w:val="000000"/>
          <w:sz w:val="24"/>
          <w:szCs w:val="24"/>
        </w:rPr>
        <w:t xml:space="preserve">  Ginnie Mae’s guaranty of mortgage-backed securities is backed by the full faith and credit of the United States.  The information being collected is necessary for Ginnie Mae to be able to properly administer its Mortgage-Backed Securities programs.</w:t>
      </w:r>
    </w:p>
    <w:p w:rsidRPr="003F3C9B" w:rsidR="009B4A47" w:rsidP="009B4A47" w:rsidRDefault="009B4A47" w14:paraId="534E35C5" w14:textId="77777777">
      <w:pPr>
        <w:keepLines/>
        <w:tabs>
          <w:tab w:val="left" w:pos="360"/>
        </w:tabs>
        <w:spacing w:after="120"/>
        <w:ind w:left="360"/>
        <w:jc w:val="both"/>
        <w:rPr>
          <w:bCs/>
          <w:color w:val="000000"/>
          <w:sz w:val="24"/>
          <w:szCs w:val="24"/>
        </w:rPr>
      </w:pPr>
      <w:r>
        <w:rPr>
          <w:bCs/>
          <w:color w:val="000000"/>
          <w:sz w:val="24"/>
          <w:szCs w:val="24"/>
        </w:rPr>
        <w:t xml:space="preserve">Ginnie Mae seeks emergency approval to </w:t>
      </w:r>
      <w:r w:rsidR="00EB37DE">
        <w:rPr>
          <w:bCs/>
          <w:color w:val="000000"/>
          <w:sz w:val="24"/>
          <w:szCs w:val="24"/>
        </w:rPr>
        <w:t xml:space="preserve">collect data on </w:t>
      </w:r>
      <w:r>
        <w:rPr>
          <w:bCs/>
          <w:color w:val="000000"/>
          <w:sz w:val="24"/>
          <w:szCs w:val="24"/>
        </w:rPr>
        <w:t xml:space="preserve">3 new forms to support </w:t>
      </w:r>
      <w:r w:rsidR="00293566">
        <w:rPr>
          <w:bCs/>
          <w:color w:val="000000"/>
          <w:sz w:val="24"/>
          <w:szCs w:val="24"/>
        </w:rPr>
        <w:t xml:space="preserve">expanding </w:t>
      </w:r>
      <w:r>
        <w:rPr>
          <w:bCs/>
          <w:color w:val="000000"/>
          <w:sz w:val="24"/>
          <w:szCs w:val="24"/>
        </w:rPr>
        <w:t>its Digital Collateral Program</w:t>
      </w:r>
      <w:r w:rsidR="003F5D60">
        <w:rPr>
          <w:bCs/>
          <w:color w:val="000000"/>
          <w:sz w:val="24"/>
          <w:szCs w:val="24"/>
        </w:rPr>
        <w:t xml:space="preserve"> (</w:t>
      </w:r>
      <w:r w:rsidR="000F2FA0">
        <w:rPr>
          <w:bCs/>
          <w:color w:val="000000"/>
          <w:sz w:val="24"/>
          <w:szCs w:val="24"/>
        </w:rPr>
        <w:t>P</w:t>
      </w:r>
      <w:r w:rsidR="003F5D60">
        <w:rPr>
          <w:bCs/>
          <w:color w:val="000000"/>
          <w:sz w:val="24"/>
          <w:szCs w:val="24"/>
        </w:rPr>
        <w:t>rogram)</w:t>
      </w:r>
      <w:r w:rsidR="00293566">
        <w:rPr>
          <w:bCs/>
          <w:color w:val="000000"/>
          <w:sz w:val="24"/>
          <w:szCs w:val="24"/>
        </w:rPr>
        <w:t xml:space="preserve"> beyond the </w:t>
      </w:r>
      <w:r w:rsidR="009020C7">
        <w:rPr>
          <w:bCs/>
          <w:color w:val="000000"/>
          <w:sz w:val="24"/>
          <w:szCs w:val="24"/>
        </w:rPr>
        <w:t>current pilot (less than 10 participants).</w:t>
      </w:r>
    </w:p>
    <w:p w:rsidR="009E13B1" w:rsidRDefault="009E13B1" w14:paraId="7A71B755" w14:textId="77777777">
      <w:pPr>
        <w:tabs>
          <w:tab w:val="left" w:pos="360"/>
        </w:tabs>
        <w:ind w:left="360" w:hanging="360"/>
        <w:rPr>
          <w:sz w:val="24"/>
          <w:szCs w:val="24"/>
        </w:rPr>
      </w:pPr>
    </w:p>
    <w:p w:rsidRPr="006C7FAE" w:rsidR="009B4A47" w:rsidRDefault="009B4A47" w14:paraId="77931FE0" w14:textId="77777777">
      <w:pPr>
        <w:tabs>
          <w:tab w:val="left" w:pos="360"/>
        </w:tabs>
        <w:ind w:left="360" w:hanging="360"/>
        <w:rPr>
          <w:sz w:val="24"/>
          <w:szCs w:val="24"/>
        </w:rPr>
      </w:pPr>
    </w:p>
    <w:p w:rsidRPr="009020C7" w:rsidR="009E13B1" w:rsidP="00293566" w:rsidRDefault="009E13B1" w14:paraId="623AD912" w14:textId="77777777">
      <w:pPr>
        <w:keepLines/>
        <w:numPr>
          <w:ilvl w:val="0"/>
          <w:numId w:val="15"/>
        </w:numPr>
        <w:tabs>
          <w:tab w:val="left" w:pos="360"/>
        </w:tabs>
        <w:spacing w:after="80"/>
        <w:rPr>
          <w:b/>
          <w:bCs/>
          <w:sz w:val="24"/>
          <w:szCs w:val="24"/>
        </w:rPr>
      </w:pPr>
      <w:r w:rsidRPr="009020C7">
        <w:rPr>
          <w:b/>
          <w:bCs/>
          <w:sz w:val="24"/>
          <w:szCs w:val="24"/>
        </w:rPr>
        <w:t>Indicate how, by whom and for what purpose the information is to be used.  Except for a new collection, indicate the actual use the agency has made of the information received from the current collection.</w:t>
      </w:r>
    </w:p>
    <w:p w:rsidR="00293566" w:rsidP="00293566" w:rsidRDefault="00293566" w14:paraId="06A67BC2" w14:textId="77777777">
      <w:pPr>
        <w:tabs>
          <w:tab w:val="left" w:pos="360"/>
          <w:tab w:val="left" w:pos="720"/>
        </w:tabs>
        <w:ind w:left="360"/>
        <w:jc w:val="both"/>
        <w:rPr>
          <w:sz w:val="24"/>
          <w:szCs w:val="24"/>
        </w:rPr>
      </w:pPr>
    </w:p>
    <w:p w:rsidR="00293566" w:rsidP="00293566" w:rsidRDefault="00293566" w14:paraId="3BE66A63" w14:textId="77777777">
      <w:pPr>
        <w:tabs>
          <w:tab w:val="left" w:pos="360"/>
          <w:tab w:val="left" w:pos="720"/>
        </w:tabs>
        <w:ind w:left="360"/>
        <w:jc w:val="both"/>
        <w:rPr>
          <w:sz w:val="24"/>
          <w:szCs w:val="24"/>
        </w:rPr>
      </w:pPr>
      <w:r>
        <w:rPr>
          <w:sz w:val="24"/>
          <w:szCs w:val="24"/>
        </w:rPr>
        <w:t>Ginnie Mae’</w:t>
      </w:r>
      <w:r w:rsidR="009C3698">
        <w:rPr>
          <w:sz w:val="24"/>
          <w:szCs w:val="24"/>
        </w:rPr>
        <w:t xml:space="preserve">s </w:t>
      </w:r>
      <w:r w:rsidR="000F2FA0">
        <w:rPr>
          <w:sz w:val="24"/>
          <w:szCs w:val="24"/>
        </w:rPr>
        <w:t>Digital Collateral Program</w:t>
      </w:r>
      <w:r w:rsidR="003F5D60">
        <w:rPr>
          <w:sz w:val="24"/>
          <w:szCs w:val="24"/>
        </w:rPr>
        <w:t xml:space="preserve"> provides for the securitization of mortgages wh</w:t>
      </w:r>
      <w:r w:rsidR="00F94CD0">
        <w:rPr>
          <w:sz w:val="24"/>
          <w:szCs w:val="24"/>
        </w:rPr>
        <w:t xml:space="preserve">ere the Note is an eligible </w:t>
      </w:r>
      <w:proofErr w:type="spellStart"/>
      <w:r w:rsidR="00F94CD0">
        <w:rPr>
          <w:sz w:val="24"/>
          <w:szCs w:val="24"/>
        </w:rPr>
        <w:t>eNote</w:t>
      </w:r>
      <w:proofErr w:type="spellEnd"/>
      <w:r w:rsidR="00F94CD0">
        <w:rPr>
          <w:sz w:val="24"/>
          <w:szCs w:val="24"/>
        </w:rPr>
        <w:t>.</w:t>
      </w:r>
      <w:r w:rsidR="009C3698">
        <w:rPr>
          <w:sz w:val="24"/>
          <w:szCs w:val="24"/>
        </w:rPr>
        <w:t xml:space="preserve">  The key documents are referred to as </w:t>
      </w:r>
      <w:proofErr w:type="spellStart"/>
      <w:r w:rsidR="009C3698">
        <w:rPr>
          <w:sz w:val="24"/>
          <w:szCs w:val="24"/>
        </w:rPr>
        <w:t>eNotes</w:t>
      </w:r>
      <w:proofErr w:type="spellEnd"/>
      <w:r w:rsidR="009C3698">
        <w:rPr>
          <w:sz w:val="24"/>
          <w:szCs w:val="24"/>
        </w:rPr>
        <w:t xml:space="preserve"> and </w:t>
      </w:r>
      <w:proofErr w:type="spellStart"/>
      <w:r w:rsidR="009C3698">
        <w:rPr>
          <w:sz w:val="24"/>
          <w:szCs w:val="24"/>
        </w:rPr>
        <w:t>eMortgages</w:t>
      </w:r>
      <w:proofErr w:type="spellEnd"/>
      <w:r w:rsidR="009C3698">
        <w:rPr>
          <w:sz w:val="24"/>
          <w:szCs w:val="24"/>
        </w:rPr>
        <w:t xml:space="preserve">, and in common parlance, the loans themselves are referred to as </w:t>
      </w:r>
      <w:proofErr w:type="spellStart"/>
      <w:r w:rsidR="009C3698">
        <w:rPr>
          <w:sz w:val="24"/>
          <w:szCs w:val="24"/>
        </w:rPr>
        <w:t>eMortgages</w:t>
      </w:r>
      <w:proofErr w:type="spellEnd"/>
      <w:r w:rsidR="009C3698">
        <w:rPr>
          <w:sz w:val="24"/>
          <w:szCs w:val="24"/>
        </w:rPr>
        <w:t xml:space="preserve">.  The Program </w:t>
      </w:r>
      <w:r>
        <w:rPr>
          <w:sz w:val="24"/>
          <w:szCs w:val="24"/>
        </w:rPr>
        <w:t xml:space="preserve">will be available to </w:t>
      </w:r>
      <w:r w:rsidR="009020C7">
        <w:rPr>
          <w:sz w:val="24"/>
          <w:szCs w:val="24"/>
        </w:rPr>
        <w:t>Issuers approved to issue Ginnie Mae Single Family MBS (both Ginnie Mae I and II MBS)</w:t>
      </w:r>
      <w:r w:rsidR="0013092C">
        <w:rPr>
          <w:sz w:val="24"/>
          <w:szCs w:val="24"/>
        </w:rPr>
        <w:t xml:space="preserve"> </w:t>
      </w:r>
      <w:r w:rsidR="009020C7">
        <w:rPr>
          <w:sz w:val="24"/>
          <w:szCs w:val="24"/>
        </w:rPr>
        <w:t xml:space="preserve">and Ginnie Mae approved Document Custodians. </w:t>
      </w:r>
      <w:r w:rsidR="0013092C">
        <w:rPr>
          <w:sz w:val="24"/>
          <w:szCs w:val="24"/>
        </w:rPr>
        <w:t>The</w:t>
      </w:r>
      <w:r w:rsidR="001E0B80">
        <w:rPr>
          <w:sz w:val="24"/>
          <w:szCs w:val="24"/>
        </w:rPr>
        <w:t xml:space="preserve"> forms in thi</w:t>
      </w:r>
      <w:r w:rsidR="0013092C">
        <w:rPr>
          <w:sz w:val="24"/>
          <w:szCs w:val="24"/>
        </w:rPr>
        <w:t>s request are new forms that are necessary</w:t>
      </w:r>
      <w:r>
        <w:rPr>
          <w:sz w:val="24"/>
          <w:szCs w:val="24"/>
        </w:rPr>
        <w:t xml:space="preserve"> due to the unique requirements of managing </w:t>
      </w:r>
      <w:proofErr w:type="spellStart"/>
      <w:r>
        <w:rPr>
          <w:sz w:val="24"/>
          <w:szCs w:val="24"/>
        </w:rPr>
        <w:t>eNotes</w:t>
      </w:r>
      <w:proofErr w:type="spellEnd"/>
      <w:r>
        <w:rPr>
          <w:sz w:val="24"/>
          <w:szCs w:val="24"/>
        </w:rPr>
        <w:t xml:space="preserve"> and </w:t>
      </w:r>
      <w:proofErr w:type="spellStart"/>
      <w:r>
        <w:rPr>
          <w:sz w:val="24"/>
          <w:szCs w:val="24"/>
        </w:rPr>
        <w:t>eMortgages</w:t>
      </w:r>
      <w:proofErr w:type="spellEnd"/>
      <w:r w:rsidR="0013092C">
        <w:rPr>
          <w:sz w:val="24"/>
          <w:szCs w:val="24"/>
        </w:rPr>
        <w:t>.</w:t>
      </w:r>
      <w:r>
        <w:rPr>
          <w:sz w:val="24"/>
          <w:szCs w:val="24"/>
        </w:rPr>
        <w:t xml:space="preserve"> </w:t>
      </w:r>
      <w:r w:rsidR="0013092C">
        <w:rPr>
          <w:sz w:val="24"/>
          <w:szCs w:val="24"/>
        </w:rPr>
        <w:t xml:space="preserve">It </w:t>
      </w:r>
      <w:r>
        <w:rPr>
          <w:sz w:val="24"/>
          <w:szCs w:val="24"/>
        </w:rPr>
        <w:t xml:space="preserve">is necessary for Ginnie Mae to </w:t>
      </w:r>
      <w:r w:rsidR="0013092C">
        <w:rPr>
          <w:sz w:val="24"/>
          <w:szCs w:val="24"/>
        </w:rPr>
        <w:t xml:space="preserve">obtain the information contained in the </w:t>
      </w:r>
      <w:proofErr w:type="spellStart"/>
      <w:r w:rsidR="001E0B80">
        <w:rPr>
          <w:sz w:val="24"/>
          <w:szCs w:val="24"/>
        </w:rPr>
        <w:t>e</w:t>
      </w:r>
      <w:r w:rsidR="0013092C">
        <w:rPr>
          <w:sz w:val="24"/>
          <w:szCs w:val="24"/>
        </w:rPr>
        <w:t>Issuer</w:t>
      </w:r>
      <w:proofErr w:type="spellEnd"/>
      <w:r w:rsidR="0013092C">
        <w:rPr>
          <w:sz w:val="24"/>
          <w:szCs w:val="24"/>
        </w:rPr>
        <w:t xml:space="preserve"> and </w:t>
      </w:r>
      <w:proofErr w:type="spellStart"/>
      <w:r w:rsidR="001E0B80">
        <w:rPr>
          <w:sz w:val="24"/>
          <w:szCs w:val="24"/>
        </w:rPr>
        <w:t>e</w:t>
      </w:r>
      <w:r w:rsidR="0013092C">
        <w:rPr>
          <w:sz w:val="24"/>
          <w:szCs w:val="24"/>
        </w:rPr>
        <w:t>Custodian</w:t>
      </w:r>
      <w:proofErr w:type="spellEnd"/>
      <w:r w:rsidR="0013092C">
        <w:rPr>
          <w:sz w:val="24"/>
          <w:szCs w:val="24"/>
        </w:rPr>
        <w:t xml:space="preserve"> applications to ensure they have the </w:t>
      </w:r>
      <w:r w:rsidR="000F2FA0">
        <w:rPr>
          <w:sz w:val="24"/>
          <w:szCs w:val="24"/>
        </w:rPr>
        <w:t xml:space="preserve">specialized knowledge and </w:t>
      </w:r>
      <w:r w:rsidR="0013092C">
        <w:rPr>
          <w:sz w:val="24"/>
          <w:szCs w:val="24"/>
        </w:rPr>
        <w:t xml:space="preserve">technological capability to issue and service Ginnie Mae MBS backed by </w:t>
      </w:r>
      <w:proofErr w:type="spellStart"/>
      <w:r w:rsidR="0013092C">
        <w:rPr>
          <w:sz w:val="24"/>
          <w:szCs w:val="24"/>
        </w:rPr>
        <w:t>eNotes</w:t>
      </w:r>
      <w:proofErr w:type="spellEnd"/>
      <w:r w:rsidR="0013092C">
        <w:rPr>
          <w:sz w:val="24"/>
          <w:szCs w:val="24"/>
        </w:rPr>
        <w:t xml:space="preserve"> and </w:t>
      </w:r>
      <w:proofErr w:type="spellStart"/>
      <w:r w:rsidR="0013092C">
        <w:rPr>
          <w:sz w:val="24"/>
          <w:szCs w:val="24"/>
        </w:rPr>
        <w:t>eMortgages</w:t>
      </w:r>
      <w:proofErr w:type="spellEnd"/>
      <w:r w:rsidR="0013092C">
        <w:rPr>
          <w:sz w:val="24"/>
          <w:szCs w:val="24"/>
        </w:rPr>
        <w:t>.  Additionally, due t</w:t>
      </w:r>
      <w:r w:rsidR="001E0B80">
        <w:rPr>
          <w:sz w:val="24"/>
          <w:szCs w:val="24"/>
        </w:rPr>
        <w:t>o</w:t>
      </w:r>
      <w:r w:rsidR="0013092C">
        <w:rPr>
          <w:sz w:val="24"/>
          <w:szCs w:val="24"/>
        </w:rPr>
        <w:t xml:space="preserve"> the unique nature of an </w:t>
      </w:r>
      <w:proofErr w:type="spellStart"/>
      <w:r w:rsidR="0013092C">
        <w:rPr>
          <w:sz w:val="24"/>
          <w:szCs w:val="24"/>
        </w:rPr>
        <w:t>eNote</w:t>
      </w:r>
      <w:proofErr w:type="spellEnd"/>
      <w:r w:rsidR="0013092C">
        <w:rPr>
          <w:sz w:val="24"/>
          <w:szCs w:val="24"/>
        </w:rPr>
        <w:t xml:space="preserve">, the Request for Release of Secured Party is needed to </w:t>
      </w:r>
      <w:proofErr w:type="gramStart"/>
      <w:r w:rsidR="0013092C">
        <w:rPr>
          <w:sz w:val="24"/>
          <w:szCs w:val="24"/>
        </w:rPr>
        <w:t xml:space="preserve">ensure proper possession and ownership of the </w:t>
      </w:r>
      <w:proofErr w:type="spellStart"/>
      <w:r w:rsidR="0013092C">
        <w:rPr>
          <w:sz w:val="24"/>
          <w:szCs w:val="24"/>
        </w:rPr>
        <w:t>eNote</w:t>
      </w:r>
      <w:proofErr w:type="spellEnd"/>
      <w:r w:rsidR="0013092C">
        <w:rPr>
          <w:sz w:val="24"/>
          <w:szCs w:val="24"/>
        </w:rPr>
        <w:t xml:space="preserve"> at all times</w:t>
      </w:r>
      <w:proofErr w:type="gramEnd"/>
      <w:r w:rsidR="0013092C">
        <w:rPr>
          <w:sz w:val="24"/>
          <w:szCs w:val="24"/>
        </w:rPr>
        <w:t>.</w:t>
      </w:r>
    </w:p>
    <w:p w:rsidR="00293566" w:rsidP="00293566" w:rsidRDefault="00293566" w14:paraId="118C388D" w14:textId="77777777">
      <w:pPr>
        <w:tabs>
          <w:tab w:val="left" w:pos="360"/>
          <w:tab w:val="left" w:pos="720"/>
        </w:tabs>
        <w:ind w:left="360"/>
        <w:jc w:val="both"/>
        <w:rPr>
          <w:sz w:val="24"/>
          <w:szCs w:val="24"/>
        </w:rPr>
      </w:pPr>
    </w:p>
    <w:p w:rsidR="00293566" w:rsidP="00383978" w:rsidRDefault="00293566" w14:paraId="4B6231DE" w14:textId="77777777">
      <w:pPr>
        <w:pStyle w:val="BodyTextIndent2"/>
        <w:tabs>
          <w:tab w:val="clear" w:pos="360"/>
          <w:tab w:val="clear" w:pos="720"/>
        </w:tabs>
        <w:spacing w:after="120"/>
        <w:jc w:val="both"/>
        <w:rPr>
          <w:b w:val="0"/>
          <w:bCs/>
          <w:noProof w:val="0"/>
          <w:sz w:val="24"/>
          <w:szCs w:val="24"/>
        </w:rPr>
      </w:pPr>
      <w:r w:rsidRPr="003F3C9B">
        <w:rPr>
          <w:b w:val="0"/>
          <w:bCs/>
          <w:noProof w:val="0"/>
          <w:sz w:val="24"/>
          <w:szCs w:val="24"/>
        </w:rPr>
        <w:t xml:space="preserve">The following describes how, by whom, how frequently, and for what purpose the information is to be used.  The forms are available in a PDF fillable format unless stated otherwise on our website at </w:t>
      </w:r>
      <w:hyperlink w:history="1" r:id="rId10">
        <w:r w:rsidRPr="003F3C9B">
          <w:rPr>
            <w:rStyle w:val="Hyperlink"/>
            <w:b w:val="0"/>
            <w:bCs/>
            <w:noProof w:val="0"/>
            <w:sz w:val="24"/>
            <w:szCs w:val="24"/>
          </w:rPr>
          <w:t>www.ginniemae.gov</w:t>
        </w:r>
      </w:hyperlink>
      <w:r w:rsidRPr="003F3C9B">
        <w:rPr>
          <w:b w:val="0"/>
          <w:bCs/>
          <w:noProof w:val="0"/>
          <w:sz w:val="24"/>
          <w:szCs w:val="24"/>
        </w:rPr>
        <w:t>.</w:t>
      </w:r>
    </w:p>
    <w:p w:rsidR="004F773C" w:rsidP="00383978" w:rsidRDefault="00060124" w14:paraId="111FF7C7" w14:textId="77777777">
      <w:pPr>
        <w:pStyle w:val="BodyTextIndent2"/>
        <w:tabs>
          <w:tab w:val="clear" w:pos="360"/>
          <w:tab w:val="clear" w:pos="720"/>
        </w:tabs>
        <w:spacing w:after="120"/>
        <w:jc w:val="both"/>
        <w:rPr>
          <w:noProof w:val="0"/>
          <w:sz w:val="24"/>
          <w:szCs w:val="24"/>
          <w:u w:val="single"/>
        </w:rPr>
      </w:pPr>
      <w:r>
        <w:rPr>
          <w:noProof w:val="0"/>
          <w:sz w:val="24"/>
          <w:szCs w:val="24"/>
          <w:u w:val="single"/>
        </w:rPr>
        <w:lastRenderedPageBreak/>
        <w:t>Forms Required for Approval to Participate in the Ginnie Mae Digital Collateral Program</w:t>
      </w:r>
    </w:p>
    <w:p w:rsidRPr="000A193F" w:rsidR="00060124" w:rsidP="00383978" w:rsidRDefault="000A193F" w14:paraId="127156E0" w14:textId="77777777">
      <w:pPr>
        <w:pStyle w:val="BodyTextIndent2"/>
        <w:tabs>
          <w:tab w:val="clear" w:pos="360"/>
          <w:tab w:val="clear" w:pos="720"/>
        </w:tabs>
        <w:spacing w:after="120"/>
        <w:jc w:val="both"/>
        <w:rPr>
          <w:noProof w:val="0"/>
          <w:sz w:val="24"/>
          <w:szCs w:val="24"/>
        </w:rPr>
      </w:pPr>
      <w:r>
        <w:rPr>
          <w:noProof w:val="0"/>
          <w:sz w:val="24"/>
          <w:szCs w:val="24"/>
        </w:rPr>
        <w:t xml:space="preserve">Appendix V-08 </w:t>
      </w:r>
      <w:proofErr w:type="spellStart"/>
      <w:r>
        <w:rPr>
          <w:noProof w:val="0"/>
          <w:sz w:val="24"/>
          <w:szCs w:val="24"/>
        </w:rPr>
        <w:t>eIssuer</w:t>
      </w:r>
      <w:proofErr w:type="spellEnd"/>
      <w:r>
        <w:rPr>
          <w:noProof w:val="0"/>
          <w:sz w:val="24"/>
          <w:szCs w:val="24"/>
        </w:rPr>
        <w:t xml:space="preserve"> Application to Participate in Digital Collateral Program</w:t>
      </w:r>
    </w:p>
    <w:p w:rsidR="00874FCA" w:rsidP="00293566" w:rsidRDefault="00383978" w14:paraId="211E9117" w14:textId="77777777">
      <w:pPr>
        <w:keepLines/>
        <w:tabs>
          <w:tab w:val="left" w:pos="360"/>
        </w:tabs>
        <w:spacing w:after="80"/>
        <w:ind w:left="360"/>
        <w:rPr>
          <w:sz w:val="24"/>
          <w:szCs w:val="24"/>
        </w:rPr>
      </w:pPr>
      <w:r>
        <w:rPr>
          <w:sz w:val="24"/>
          <w:szCs w:val="24"/>
        </w:rPr>
        <w:t xml:space="preserve">The application form will be used one time per </w:t>
      </w:r>
      <w:r w:rsidR="007F1A91">
        <w:rPr>
          <w:sz w:val="24"/>
          <w:szCs w:val="24"/>
        </w:rPr>
        <w:t>Issuer</w:t>
      </w:r>
      <w:r w:rsidR="00ED6B1E">
        <w:rPr>
          <w:sz w:val="24"/>
          <w:szCs w:val="24"/>
        </w:rPr>
        <w:t xml:space="preserve"> who opts to participate in </w:t>
      </w:r>
      <w:r w:rsidR="009C3698">
        <w:rPr>
          <w:sz w:val="24"/>
          <w:szCs w:val="24"/>
        </w:rPr>
        <w:t xml:space="preserve">Ginnie Mae’s </w:t>
      </w:r>
      <w:proofErr w:type="spellStart"/>
      <w:r w:rsidR="009C3698">
        <w:rPr>
          <w:sz w:val="24"/>
          <w:szCs w:val="24"/>
        </w:rPr>
        <w:t>eMortgage</w:t>
      </w:r>
      <w:proofErr w:type="spellEnd"/>
      <w:r w:rsidR="00ED6B1E">
        <w:rPr>
          <w:sz w:val="24"/>
          <w:szCs w:val="24"/>
        </w:rPr>
        <w:t xml:space="preserve"> program</w:t>
      </w:r>
      <w:r w:rsidR="000A193F">
        <w:rPr>
          <w:sz w:val="24"/>
          <w:szCs w:val="24"/>
        </w:rPr>
        <w:t xml:space="preserve"> and issue Ginnie Mae MBS backed by </w:t>
      </w:r>
      <w:proofErr w:type="spellStart"/>
      <w:r w:rsidR="000A193F">
        <w:rPr>
          <w:sz w:val="24"/>
          <w:szCs w:val="24"/>
        </w:rPr>
        <w:t>eNotes</w:t>
      </w:r>
      <w:proofErr w:type="spellEnd"/>
      <w:r w:rsidR="000A193F">
        <w:rPr>
          <w:sz w:val="24"/>
          <w:szCs w:val="24"/>
        </w:rPr>
        <w:t xml:space="preserve"> and </w:t>
      </w:r>
      <w:proofErr w:type="spellStart"/>
      <w:r w:rsidR="000A193F">
        <w:rPr>
          <w:sz w:val="24"/>
          <w:szCs w:val="24"/>
        </w:rPr>
        <w:t>eMortgages</w:t>
      </w:r>
      <w:proofErr w:type="spellEnd"/>
      <w:r>
        <w:rPr>
          <w:sz w:val="24"/>
          <w:szCs w:val="24"/>
        </w:rPr>
        <w:t xml:space="preserve">.  </w:t>
      </w:r>
      <w:r w:rsidR="00874FCA">
        <w:rPr>
          <w:sz w:val="24"/>
          <w:szCs w:val="24"/>
        </w:rPr>
        <w:t>The</w:t>
      </w:r>
      <w:r w:rsidR="00F87579">
        <w:rPr>
          <w:sz w:val="24"/>
          <w:szCs w:val="24"/>
        </w:rPr>
        <w:t xml:space="preserve"> purpose is</w:t>
      </w:r>
      <w:r w:rsidR="00874FCA">
        <w:rPr>
          <w:sz w:val="24"/>
          <w:szCs w:val="24"/>
        </w:rPr>
        <w:t xml:space="preserve"> </w:t>
      </w:r>
      <w:proofErr w:type="gramStart"/>
      <w:r w:rsidR="00874FCA">
        <w:rPr>
          <w:sz w:val="24"/>
          <w:szCs w:val="24"/>
        </w:rPr>
        <w:t>similar to</w:t>
      </w:r>
      <w:proofErr w:type="gramEnd"/>
      <w:r w:rsidR="00874FCA">
        <w:rPr>
          <w:sz w:val="24"/>
          <w:szCs w:val="24"/>
        </w:rPr>
        <w:t xml:space="preserve"> the HUD 11701</w:t>
      </w:r>
      <w:r w:rsidR="00F87579">
        <w:rPr>
          <w:sz w:val="24"/>
          <w:szCs w:val="24"/>
        </w:rPr>
        <w:t>—</w:t>
      </w:r>
      <w:r w:rsidR="00874FCA">
        <w:rPr>
          <w:sz w:val="24"/>
          <w:szCs w:val="24"/>
        </w:rPr>
        <w:t>Application</w:t>
      </w:r>
      <w:r w:rsidR="00F87579">
        <w:rPr>
          <w:sz w:val="24"/>
          <w:szCs w:val="24"/>
        </w:rPr>
        <w:t xml:space="preserve"> for Approval Ginnie Mae </w:t>
      </w:r>
      <w:r w:rsidR="009C3698">
        <w:rPr>
          <w:sz w:val="24"/>
          <w:szCs w:val="24"/>
        </w:rPr>
        <w:t>Mortgage-Backed</w:t>
      </w:r>
      <w:r w:rsidR="00F87579">
        <w:rPr>
          <w:sz w:val="24"/>
          <w:szCs w:val="24"/>
        </w:rPr>
        <w:t xml:space="preserve"> Securities Issuer, but the information needed differs.  </w:t>
      </w:r>
      <w:r w:rsidR="0043306F">
        <w:rPr>
          <w:sz w:val="24"/>
          <w:szCs w:val="24"/>
        </w:rPr>
        <w:t xml:space="preserve">As the applicant is </w:t>
      </w:r>
      <w:r w:rsidR="007F1A91">
        <w:rPr>
          <w:sz w:val="24"/>
          <w:szCs w:val="24"/>
        </w:rPr>
        <w:t xml:space="preserve">required to be </w:t>
      </w:r>
      <w:r w:rsidR="0043306F">
        <w:rPr>
          <w:sz w:val="24"/>
          <w:szCs w:val="24"/>
        </w:rPr>
        <w:t>an approved</w:t>
      </w:r>
      <w:r w:rsidR="007F1A91">
        <w:rPr>
          <w:sz w:val="24"/>
          <w:szCs w:val="24"/>
        </w:rPr>
        <w:t xml:space="preserve"> Ginnie Mae Single Family</w:t>
      </w:r>
      <w:r w:rsidR="0043306F">
        <w:rPr>
          <w:sz w:val="24"/>
          <w:szCs w:val="24"/>
        </w:rPr>
        <w:t xml:space="preserve"> Issuer, the</w:t>
      </w:r>
      <w:r w:rsidR="00ED6B1E">
        <w:rPr>
          <w:sz w:val="24"/>
          <w:szCs w:val="24"/>
        </w:rPr>
        <w:t xml:space="preserve"> </w:t>
      </w:r>
      <w:proofErr w:type="spellStart"/>
      <w:r w:rsidR="00F87579">
        <w:rPr>
          <w:sz w:val="24"/>
          <w:szCs w:val="24"/>
        </w:rPr>
        <w:t>eIssuer</w:t>
      </w:r>
      <w:proofErr w:type="spellEnd"/>
      <w:r w:rsidR="00F87579">
        <w:rPr>
          <w:sz w:val="24"/>
          <w:szCs w:val="24"/>
        </w:rPr>
        <w:t xml:space="preserve"> </w:t>
      </w:r>
      <w:r w:rsidR="00ED6B1E">
        <w:rPr>
          <w:sz w:val="24"/>
          <w:szCs w:val="24"/>
        </w:rPr>
        <w:t>application form</w:t>
      </w:r>
      <w:r w:rsidR="000A193F">
        <w:rPr>
          <w:sz w:val="24"/>
          <w:szCs w:val="24"/>
        </w:rPr>
        <w:t xml:space="preserve"> </w:t>
      </w:r>
      <w:r w:rsidR="00ED6B1E">
        <w:rPr>
          <w:sz w:val="24"/>
          <w:szCs w:val="24"/>
        </w:rPr>
        <w:t>collect</w:t>
      </w:r>
      <w:r w:rsidR="000A193F">
        <w:rPr>
          <w:sz w:val="24"/>
          <w:szCs w:val="24"/>
        </w:rPr>
        <w:t>s</w:t>
      </w:r>
      <w:r w:rsidR="0043306F">
        <w:rPr>
          <w:sz w:val="24"/>
          <w:szCs w:val="24"/>
        </w:rPr>
        <w:t xml:space="preserve"> only</w:t>
      </w:r>
      <w:r w:rsidR="00ED6B1E">
        <w:rPr>
          <w:sz w:val="24"/>
          <w:szCs w:val="24"/>
        </w:rPr>
        <w:t xml:space="preserve"> the information needed to evaluate the applicant’s fitness to participate</w:t>
      </w:r>
      <w:r w:rsidR="00F87579">
        <w:rPr>
          <w:sz w:val="24"/>
          <w:szCs w:val="24"/>
        </w:rPr>
        <w:t xml:space="preserve"> in the </w:t>
      </w:r>
      <w:proofErr w:type="spellStart"/>
      <w:r w:rsidR="009C3698">
        <w:rPr>
          <w:sz w:val="24"/>
          <w:szCs w:val="24"/>
        </w:rPr>
        <w:t>eMortgage</w:t>
      </w:r>
      <w:proofErr w:type="spellEnd"/>
      <w:r w:rsidR="00F87579">
        <w:rPr>
          <w:sz w:val="24"/>
          <w:szCs w:val="24"/>
        </w:rPr>
        <w:t xml:space="preserve"> program specifically</w:t>
      </w:r>
      <w:r w:rsidR="000A193F">
        <w:rPr>
          <w:sz w:val="24"/>
          <w:szCs w:val="24"/>
        </w:rPr>
        <w:t>,</w:t>
      </w:r>
      <w:r w:rsidR="00ED6B1E">
        <w:rPr>
          <w:sz w:val="24"/>
          <w:szCs w:val="24"/>
        </w:rPr>
        <w:t xml:space="preserve"> including eligible vendors, current production</w:t>
      </w:r>
      <w:r w:rsidR="00874FCA">
        <w:rPr>
          <w:sz w:val="24"/>
          <w:szCs w:val="24"/>
        </w:rPr>
        <w:t xml:space="preserve"> and </w:t>
      </w:r>
      <w:proofErr w:type="spellStart"/>
      <w:r w:rsidR="00874FCA">
        <w:rPr>
          <w:sz w:val="24"/>
          <w:szCs w:val="24"/>
        </w:rPr>
        <w:t>eNote</w:t>
      </w:r>
      <w:proofErr w:type="spellEnd"/>
      <w:r w:rsidR="00874FCA">
        <w:rPr>
          <w:sz w:val="24"/>
          <w:szCs w:val="24"/>
        </w:rPr>
        <w:t xml:space="preserve"> experience</w:t>
      </w:r>
      <w:r w:rsidR="00ED6B1E">
        <w:rPr>
          <w:sz w:val="24"/>
          <w:szCs w:val="24"/>
        </w:rPr>
        <w:t xml:space="preserve">, knowledgeable personnel, </w:t>
      </w:r>
      <w:r w:rsidR="00874FCA">
        <w:rPr>
          <w:sz w:val="24"/>
          <w:szCs w:val="24"/>
        </w:rPr>
        <w:t xml:space="preserve">systems, </w:t>
      </w:r>
      <w:proofErr w:type="gramStart"/>
      <w:r w:rsidR="00874FCA">
        <w:rPr>
          <w:sz w:val="24"/>
          <w:szCs w:val="24"/>
        </w:rPr>
        <w:t>processes</w:t>
      </w:r>
      <w:proofErr w:type="gramEnd"/>
      <w:r w:rsidR="00874FCA">
        <w:rPr>
          <w:sz w:val="24"/>
          <w:szCs w:val="24"/>
        </w:rPr>
        <w:t xml:space="preserve"> and procedures.</w:t>
      </w:r>
      <w:r w:rsidR="00F87579">
        <w:rPr>
          <w:sz w:val="24"/>
          <w:szCs w:val="24"/>
        </w:rPr>
        <w:t xml:space="preserve">  The information on the form is required by 24 CFR </w:t>
      </w:r>
      <w:r w:rsidR="0043306F">
        <w:rPr>
          <w:sz w:val="24"/>
          <w:szCs w:val="24"/>
        </w:rPr>
        <w:t>Part</w:t>
      </w:r>
      <w:r w:rsidR="00F87579">
        <w:rPr>
          <w:sz w:val="24"/>
          <w:szCs w:val="24"/>
        </w:rPr>
        <w:t xml:space="preserve"> 202 and Section 306(g) of the National Housing Act, or by HUD Handbook 5500.3 REV-1.  </w:t>
      </w:r>
      <w:r w:rsidR="003F5D60">
        <w:rPr>
          <w:sz w:val="24"/>
          <w:szCs w:val="24"/>
        </w:rPr>
        <w:t>The form takes approximately thirty (30) minutes for the applicant to review the instructions and complete.</w:t>
      </w:r>
    </w:p>
    <w:p w:rsidR="003F5D60" w:rsidP="00293566" w:rsidRDefault="003F5D60" w14:paraId="2CB0DE4C" w14:textId="77777777">
      <w:pPr>
        <w:keepLines/>
        <w:tabs>
          <w:tab w:val="left" w:pos="360"/>
        </w:tabs>
        <w:spacing w:after="80"/>
        <w:ind w:left="360"/>
        <w:rPr>
          <w:sz w:val="24"/>
          <w:szCs w:val="24"/>
        </w:rPr>
      </w:pPr>
    </w:p>
    <w:p w:rsidRPr="000A193F" w:rsidR="00874FCA" w:rsidP="00293566" w:rsidRDefault="000A193F" w14:paraId="184CD344" w14:textId="77777777">
      <w:pPr>
        <w:keepLines/>
        <w:tabs>
          <w:tab w:val="left" w:pos="360"/>
        </w:tabs>
        <w:spacing w:after="80"/>
        <w:ind w:left="360"/>
        <w:rPr>
          <w:b/>
          <w:bCs/>
          <w:sz w:val="24"/>
          <w:szCs w:val="24"/>
        </w:rPr>
      </w:pPr>
      <w:r>
        <w:rPr>
          <w:b/>
          <w:bCs/>
          <w:sz w:val="24"/>
          <w:szCs w:val="24"/>
        </w:rPr>
        <w:t xml:space="preserve">Appendix V-09 </w:t>
      </w:r>
      <w:proofErr w:type="spellStart"/>
      <w:r>
        <w:rPr>
          <w:b/>
          <w:bCs/>
          <w:sz w:val="24"/>
          <w:szCs w:val="24"/>
        </w:rPr>
        <w:t>eCustodian</w:t>
      </w:r>
      <w:proofErr w:type="spellEnd"/>
      <w:r>
        <w:rPr>
          <w:b/>
          <w:bCs/>
          <w:sz w:val="24"/>
          <w:szCs w:val="24"/>
        </w:rPr>
        <w:t xml:space="preserve"> Application to Participate in Digital Collateral Program</w:t>
      </w:r>
    </w:p>
    <w:p w:rsidR="009C3698" w:rsidP="009C3698" w:rsidRDefault="009C3698" w14:paraId="5651A062" w14:textId="77777777">
      <w:pPr>
        <w:keepLines/>
        <w:tabs>
          <w:tab w:val="left" w:pos="360"/>
        </w:tabs>
        <w:spacing w:after="80"/>
        <w:ind w:left="360"/>
        <w:rPr>
          <w:sz w:val="24"/>
          <w:szCs w:val="24"/>
        </w:rPr>
      </w:pPr>
      <w:r>
        <w:rPr>
          <w:sz w:val="24"/>
          <w:szCs w:val="24"/>
        </w:rPr>
        <w:t xml:space="preserve">The application form will be used one time per </w:t>
      </w:r>
      <w:r w:rsidR="007F1A91">
        <w:rPr>
          <w:sz w:val="24"/>
          <w:szCs w:val="24"/>
        </w:rPr>
        <w:t xml:space="preserve">Document Custodian </w:t>
      </w:r>
      <w:r>
        <w:rPr>
          <w:sz w:val="24"/>
          <w:szCs w:val="24"/>
        </w:rPr>
        <w:t xml:space="preserve">who opts to participate in the </w:t>
      </w:r>
      <w:proofErr w:type="spellStart"/>
      <w:r>
        <w:rPr>
          <w:sz w:val="24"/>
          <w:szCs w:val="24"/>
        </w:rPr>
        <w:t>eMortgage</w:t>
      </w:r>
      <w:proofErr w:type="spellEnd"/>
      <w:r>
        <w:rPr>
          <w:sz w:val="24"/>
          <w:szCs w:val="24"/>
        </w:rPr>
        <w:t xml:space="preserve"> program and </w:t>
      </w:r>
      <w:r w:rsidR="007F1A91">
        <w:rPr>
          <w:sz w:val="24"/>
          <w:szCs w:val="24"/>
        </w:rPr>
        <w:t>safeguard the collateral for</w:t>
      </w:r>
      <w:r>
        <w:rPr>
          <w:sz w:val="24"/>
          <w:szCs w:val="24"/>
        </w:rPr>
        <w:t xml:space="preserve"> Ginnie Mae MBS backed by </w:t>
      </w:r>
      <w:proofErr w:type="spellStart"/>
      <w:r>
        <w:rPr>
          <w:sz w:val="24"/>
          <w:szCs w:val="24"/>
        </w:rPr>
        <w:t>eNotes</w:t>
      </w:r>
      <w:proofErr w:type="spellEnd"/>
      <w:r>
        <w:rPr>
          <w:sz w:val="24"/>
          <w:szCs w:val="24"/>
        </w:rPr>
        <w:t xml:space="preserve"> and </w:t>
      </w:r>
      <w:proofErr w:type="spellStart"/>
      <w:r>
        <w:rPr>
          <w:sz w:val="24"/>
          <w:szCs w:val="24"/>
        </w:rPr>
        <w:t>eMortgages</w:t>
      </w:r>
      <w:proofErr w:type="spellEnd"/>
      <w:r>
        <w:rPr>
          <w:sz w:val="24"/>
          <w:szCs w:val="24"/>
        </w:rPr>
        <w:t xml:space="preserve">.  As the applicant is </w:t>
      </w:r>
      <w:r w:rsidR="007F1A91">
        <w:rPr>
          <w:sz w:val="24"/>
          <w:szCs w:val="24"/>
        </w:rPr>
        <w:t xml:space="preserve">required to be </w:t>
      </w:r>
      <w:r>
        <w:rPr>
          <w:sz w:val="24"/>
          <w:szCs w:val="24"/>
        </w:rPr>
        <w:t>an approved</w:t>
      </w:r>
      <w:r w:rsidR="007F1A91">
        <w:rPr>
          <w:sz w:val="24"/>
          <w:szCs w:val="24"/>
        </w:rPr>
        <w:t xml:space="preserve"> Ginnie Mae Document Custodian, the</w:t>
      </w:r>
      <w:r>
        <w:rPr>
          <w:sz w:val="24"/>
          <w:szCs w:val="24"/>
        </w:rPr>
        <w:t xml:space="preserve"> </w:t>
      </w:r>
      <w:proofErr w:type="spellStart"/>
      <w:r>
        <w:rPr>
          <w:sz w:val="24"/>
          <w:szCs w:val="24"/>
        </w:rPr>
        <w:t>e</w:t>
      </w:r>
      <w:r w:rsidR="007F1A91">
        <w:rPr>
          <w:sz w:val="24"/>
          <w:szCs w:val="24"/>
        </w:rPr>
        <w:t>Custodian</w:t>
      </w:r>
      <w:proofErr w:type="spellEnd"/>
      <w:r>
        <w:rPr>
          <w:sz w:val="24"/>
          <w:szCs w:val="24"/>
        </w:rPr>
        <w:t xml:space="preserve"> application form collects only the information needed to evaluate the applicant’s fitness to participate in the Digital Collateral program specifically, including eligible vendors, </w:t>
      </w:r>
      <w:proofErr w:type="spellStart"/>
      <w:r>
        <w:rPr>
          <w:sz w:val="24"/>
          <w:szCs w:val="24"/>
        </w:rPr>
        <w:t>eNote</w:t>
      </w:r>
      <w:proofErr w:type="spellEnd"/>
      <w:r>
        <w:rPr>
          <w:sz w:val="24"/>
          <w:szCs w:val="24"/>
        </w:rPr>
        <w:t xml:space="preserve"> experience, knowledgeable personnel, systems, </w:t>
      </w:r>
      <w:proofErr w:type="gramStart"/>
      <w:r>
        <w:rPr>
          <w:sz w:val="24"/>
          <w:szCs w:val="24"/>
        </w:rPr>
        <w:t>processes</w:t>
      </w:r>
      <w:proofErr w:type="gramEnd"/>
      <w:r>
        <w:rPr>
          <w:sz w:val="24"/>
          <w:szCs w:val="24"/>
        </w:rPr>
        <w:t xml:space="preserve"> and procedures.  The information on the form is required by 24 CFR Part 202 and Section 306(g) of the National Housing Act, or by HUD Handbook 5500.3 REV-1.  The form takes approximately thirty (30) minutes for the applicant to review the instructions and complete.</w:t>
      </w:r>
    </w:p>
    <w:p w:rsidR="009E13B1" w:rsidRDefault="009E13B1" w14:paraId="1482B0C9" w14:textId="77777777">
      <w:pPr>
        <w:keepLines/>
        <w:tabs>
          <w:tab w:val="left" w:pos="360"/>
          <w:tab w:val="left" w:pos="720"/>
        </w:tabs>
        <w:ind w:left="360"/>
        <w:rPr>
          <w:sz w:val="24"/>
          <w:szCs w:val="24"/>
        </w:rPr>
      </w:pPr>
    </w:p>
    <w:p w:rsidRPr="003F5D60" w:rsidR="003F5D60" w:rsidP="003F5D60" w:rsidRDefault="003F5D60" w14:paraId="74C4D90C" w14:textId="77777777">
      <w:pPr>
        <w:keepLines/>
        <w:tabs>
          <w:tab w:val="left" w:pos="360"/>
        </w:tabs>
        <w:spacing w:after="80"/>
        <w:ind w:left="360"/>
        <w:rPr>
          <w:b/>
          <w:bCs/>
          <w:sz w:val="24"/>
          <w:szCs w:val="24"/>
          <w:u w:val="single"/>
        </w:rPr>
      </w:pPr>
      <w:r>
        <w:rPr>
          <w:b/>
          <w:bCs/>
          <w:sz w:val="24"/>
          <w:szCs w:val="24"/>
          <w:u w:val="single"/>
        </w:rPr>
        <w:t>Form Required for Ginnie Mae’s Pools backed by Digital Collateral Administration</w:t>
      </w:r>
    </w:p>
    <w:p w:rsidR="003F5D60" w:rsidRDefault="003F5D60" w14:paraId="3EC78CE2" w14:textId="77777777">
      <w:pPr>
        <w:keepLines/>
        <w:tabs>
          <w:tab w:val="left" w:pos="360"/>
          <w:tab w:val="left" w:pos="720"/>
        </w:tabs>
        <w:ind w:left="360"/>
        <w:rPr>
          <w:b/>
          <w:bCs/>
          <w:sz w:val="24"/>
          <w:szCs w:val="24"/>
        </w:rPr>
      </w:pPr>
      <w:r>
        <w:rPr>
          <w:b/>
          <w:bCs/>
          <w:sz w:val="24"/>
          <w:szCs w:val="24"/>
        </w:rPr>
        <w:t>Request for Release of Secured Party</w:t>
      </w:r>
    </w:p>
    <w:p w:rsidR="009C3698" w:rsidP="009C3698" w:rsidRDefault="003F5D60" w14:paraId="087486C2" w14:textId="77777777">
      <w:pPr>
        <w:keepLines/>
        <w:tabs>
          <w:tab w:val="left" w:pos="360"/>
        </w:tabs>
        <w:spacing w:after="80"/>
        <w:ind w:left="360"/>
        <w:rPr>
          <w:sz w:val="24"/>
          <w:szCs w:val="24"/>
        </w:rPr>
      </w:pPr>
      <w:r>
        <w:rPr>
          <w:sz w:val="24"/>
          <w:szCs w:val="24"/>
        </w:rPr>
        <w:t>This form is required when a</w:t>
      </w:r>
      <w:r w:rsidR="007F1A91">
        <w:rPr>
          <w:sz w:val="24"/>
          <w:szCs w:val="24"/>
        </w:rPr>
        <w:t xml:space="preserve">n </w:t>
      </w:r>
      <w:proofErr w:type="spellStart"/>
      <w:r w:rsidR="007F1A91">
        <w:rPr>
          <w:sz w:val="24"/>
          <w:szCs w:val="24"/>
        </w:rPr>
        <w:t>eMortgage</w:t>
      </w:r>
      <w:proofErr w:type="spellEnd"/>
      <w:r w:rsidR="007F1A91">
        <w:rPr>
          <w:sz w:val="24"/>
          <w:szCs w:val="24"/>
        </w:rPr>
        <w:t xml:space="preserve"> is removed from a Ginnie Mae MBS for reasons</w:t>
      </w:r>
      <w:r w:rsidR="009C3698">
        <w:rPr>
          <w:sz w:val="24"/>
          <w:szCs w:val="24"/>
        </w:rPr>
        <w:t xml:space="preserve"> authorized by the </w:t>
      </w:r>
      <w:r w:rsidR="00F94CD0">
        <w:rPr>
          <w:sz w:val="24"/>
          <w:szCs w:val="24"/>
        </w:rPr>
        <w:t>MBS Guide</w:t>
      </w:r>
      <w:r w:rsidR="009C3698">
        <w:rPr>
          <w:sz w:val="24"/>
          <w:szCs w:val="24"/>
        </w:rPr>
        <w:t xml:space="preserve">. </w:t>
      </w:r>
      <w:r w:rsidR="007F1A91">
        <w:rPr>
          <w:sz w:val="24"/>
          <w:szCs w:val="24"/>
        </w:rPr>
        <w:t xml:space="preserve">For </w:t>
      </w:r>
      <w:proofErr w:type="spellStart"/>
      <w:r w:rsidR="007F1A91">
        <w:rPr>
          <w:sz w:val="24"/>
          <w:szCs w:val="24"/>
        </w:rPr>
        <w:t>eNotes</w:t>
      </w:r>
      <w:proofErr w:type="spellEnd"/>
      <w:r w:rsidR="007F1A91">
        <w:rPr>
          <w:sz w:val="24"/>
          <w:szCs w:val="24"/>
        </w:rPr>
        <w:t>, the</w:t>
      </w:r>
      <w:r w:rsidR="00197E89">
        <w:rPr>
          <w:sz w:val="24"/>
          <w:szCs w:val="24"/>
        </w:rPr>
        <w:t xml:space="preserve"> security interest must be released in the </w:t>
      </w:r>
      <w:r w:rsidR="00A7183E">
        <w:rPr>
          <w:sz w:val="24"/>
          <w:szCs w:val="24"/>
        </w:rPr>
        <w:t xml:space="preserve">MERS </w:t>
      </w:r>
      <w:proofErr w:type="spellStart"/>
      <w:r w:rsidR="00A7183E">
        <w:rPr>
          <w:sz w:val="24"/>
          <w:szCs w:val="24"/>
        </w:rPr>
        <w:t>eRegistry</w:t>
      </w:r>
      <w:proofErr w:type="spellEnd"/>
      <w:r w:rsidR="00A7183E">
        <w:rPr>
          <w:sz w:val="24"/>
          <w:szCs w:val="24"/>
        </w:rPr>
        <w:t xml:space="preserve"> to complete the process</w:t>
      </w:r>
      <w:r w:rsidR="006D3B84">
        <w:rPr>
          <w:sz w:val="24"/>
          <w:szCs w:val="24"/>
        </w:rPr>
        <w:t xml:space="preserve">, and this form collects the data necessary for Ginnie Mae to efficiently complete the release of the security interest on the MERS </w:t>
      </w:r>
      <w:proofErr w:type="spellStart"/>
      <w:r w:rsidR="006D3B84">
        <w:rPr>
          <w:sz w:val="24"/>
          <w:szCs w:val="24"/>
        </w:rPr>
        <w:t>eRegistry</w:t>
      </w:r>
      <w:proofErr w:type="spellEnd"/>
      <w:r w:rsidR="006D3B84">
        <w:rPr>
          <w:sz w:val="24"/>
          <w:szCs w:val="24"/>
        </w:rPr>
        <w:t>, which enables Issuers to proceed in effectively servicing the loans on behalf of borrowers</w:t>
      </w:r>
      <w:r w:rsidR="00A7183E">
        <w:rPr>
          <w:sz w:val="24"/>
          <w:szCs w:val="24"/>
        </w:rPr>
        <w:t xml:space="preserve">.  </w:t>
      </w:r>
      <w:r w:rsidR="009C3698">
        <w:rPr>
          <w:sz w:val="24"/>
          <w:szCs w:val="24"/>
        </w:rPr>
        <w:t xml:space="preserve">The information on the form is required by 24 CFR Part 202 and Section 306(g) of the National Housing Act, or by HUD Handbook 5500.3 REV-1.  The form takes approximately </w:t>
      </w:r>
      <w:r w:rsidR="000F2FA0">
        <w:rPr>
          <w:sz w:val="24"/>
          <w:szCs w:val="24"/>
        </w:rPr>
        <w:t>three</w:t>
      </w:r>
      <w:r w:rsidR="009C3698">
        <w:rPr>
          <w:sz w:val="24"/>
          <w:szCs w:val="24"/>
        </w:rPr>
        <w:t xml:space="preserve"> (</w:t>
      </w:r>
      <w:r w:rsidR="000F2FA0">
        <w:rPr>
          <w:sz w:val="24"/>
          <w:szCs w:val="24"/>
        </w:rPr>
        <w:t>3</w:t>
      </w:r>
      <w:r w:rsidR="009C3698">
        <w:rPr>
          <w:sz w:val="24"/>
          <w:szCs w:val="24"/>
        </w:rPr>
        <w:t xml:space="preserve">) minutes for the </w:t>
      </w:r>
      <w:r w:rsidR="00A7183E">
        <w:rPr>
          <w:sz w:val="24"/>
          <w:szCs w:val="24"/>
        </w:rPr>
        <w:t>Issuer to c</w:t>
      </w:r>
      <w:r w:rsidR="009C3698">
        <w:rPr>
          <w:sz w:val="24"/>
          <w:szCs w:val="24"/>
        </w:rPr>
        <w:t>omplete.</w:t>
      </w:r>
      <w:r w:rsidR="00F94CD0">
        <w:rPr>
          <w:sz w:val="24"/>
          <w:szCs w:val="24"/>
        </w:rPr>
        <w:t xml:space="preserve">  </w:t>
      </w:r>
    </w:p>
    <w:p w:rsidR="003F5D60" w:rsidRDefault="003F5D60" w14:paraId="79626CFB" w14:textId="77777777">
      <w:pPr>
        <w:keepLines/>
        <w:tabs>
          <w:tab w:val="left" w:pos="360"/>
          <w:tab w:val="left" w:pos="720"/>
        </w:tabs>
        <w:ind w:left="360"/>
        <w:rPr>
          <w:sz w:val="24"/>
          <w:szCs w:val="24"/>
        </w:rPr>
      </w:pPr>
    </w:p>
    <w:p w:rsidRPr="003F5D60" w:rsidR="003F5D60" w:rsidRDefault="003F5D60" w14:paraId="4FFBD557" w14:textId="77777777">
      <w:pPr>
        <w:keepLines/>
        <w:tabs>
          <w:tab w:val="left" w:pos="360"/>
          <w:tab w:val="left" w:pos="720"/>
        </w:tabs>
        <w:ind w:left="360"/>
        <w:rPr>
          <w:sz w:val="24"/>
          <w:szCs w:val="24"/>
        </w:rPr>
      </w:pPr>
    </w:p>
    <w:p w:rsidRPr="00BA558A" w:rsidR="009E13B1" w:rsidP="00383978" w:rsidRDefault="009E13B1" w14:paraId="0B3443B3" w14:textId="77777777">
      <w:pPr>
        <w:keepLines/>
        <w:numPr>
          <w:ilvl w:val="0"/>
          <w:numId w:val="15"/>
        </w:numPr>
        <w:tabs>
          <w:tab w:val="left" w:pos="360"/>
        </w:tabs>
        <w:spacing w:after="80"/>
        <w:rPr>
          <w:b/>
          <w:bCs/>
          <w:sz w:val="24"/>
          <w:szCs w:val="24"/>
        </w:rPr>
      </w:pPr>
      <w:r w:rsidRPr="00BA558A">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E0B80" w:rsidP="001E0B80" w:rsidRDefault="001E0B80" w14:paraId="6F15DC60" w14:textId="77777777">
      <w:pPr>
        <w:keepLines/>
        <w:tabs>
          <w:tab w:val="left" w:pos="360"/>
        </w:tabs>
        <w:spacing w:after="80"/>
        <w:ind w:left="720"/>
        <w:rPr>
          <w:sz w:val="24"/>
          <w:szCs w:val="24"/>
        </w:rPr>
      </w:pPr>
    </w:p>
    <w:p w:rsidRPr="006C7FAE" w:rsidR="00383978" w:rsidP="00383978" w:rsidRDefault="00383978" w14:paraId="34B4517A" w14:textId="77777777">
      <w:pPr>
        <w:keepLines/>
        <w:tabs>
          <w:tab w:val="left" w:pos="360"/>
        </w:tabs>
        <w:spacing w:after="80"/>
        <w:ind w:left="360"/>
        <w:rPr>
          <w:sz w:val="24"/>
          <w:szCs w:val="24"/>
        </w:rPr>
      </w:pPr>
      <w:r w:rsidRPr="00BA558A">
        <w:rPr>
          <w:sz w:val="24"/>
          <w:szCs w:val="24"/>
        </w:rPr>
        <w:t xml:space="preserve">The Application forms and Request for Release of Secured Party </w:t>
      </w:r>
      <w:r w:rsidRPr="00BA558A" w:rsidR="00D36BE9">
        <w:rPr>
          <w:sz w:val="24"/>
          <w:szCs w:val="24"/>
        </w:rPr>
        <w:t xml:space="preserve">are completed electronically utilizing a fillable PDF form and </w:t>
      </w:r>
      <w:r w:rsidRPr="00BA558A" w:rsidR="00384CA3">
        <w:rPr>
          <w:sz w:val="24"/>
          <w:szCs w:val="24"/>
        </w:rPr>
        <w:t xml:space="preserve">can be </w:t>
      </w:r>
      <w:r w:rsidRPr="00BA558A" w:rsidR="00D36BE9">
        <w:rPr>
          <w:sz w:val="24"/>
          <w:szCs w:val="24"/>
        </w:rPr>
        <w:t>email</w:t>
      </w:r>
      <w:r w:rsidRPr="00BA558A" w:rsidR="00384CA3">
        <w:rPr>
          <w:sz w:val="24"/>
          <w:szCs w:val="24"/>
        </w:rPr>
        <w:t xml:space="preserve">ed to </w:t>
      </w:r>
      <w:hyperlink w:history="1" r:id="rId11">
        <w:r w:rsidRPr="00BA558A" w:rsidR="00384CA3">
          <w:rPr>
            <w:rStyle w:val="Hyperlink"/>
            <w:sz w:val="24"/>
            <w:szCs w:val="24"/>
          </w:rPr>
          <w:t>DCPA@hud.gov</w:t>
        </w:r>
      </w:hyperlink>
      <w:r w:rsidRPr="00BA558A" w:rsidR="00384CA3">
        <w:rPr>
          <w:sz w:val="24"/>
          <w:szCs w:val="24"/>
        </w:rPr>
        <w:t xml:space="preserve"> for processing.</w:t>
      </w:r>
      <w:r w:rsidRPr="00BA558A" w:rsidR="000F2FA0">
        <w:rPr>
          <w:sz w:val="24"/>
          <w:szCs w:val="24"/>
        </w:rPr>
        <w:t xml:space="preserve">  For the Release of Secured Party form, if the </w:t>
      </w:r>
      <w:proofErr w:type="spellStart"/>
      <w:r w:rsidRPr="00BA558A" w:rsidR="000F2FA0">
        <w:rPr>
          <w:sz w:val="24"/>
          <w:szCs w:val="24"/>
        </w:rPr>
        <w:t>eIssuer</w:t>
      </w:r>
      <w:proofErr w:type="spellEnd"/>
      <w:r w:rsidRPr="00BA558A" w:rsidR="000F2FA0">
        <w:rPr>
          <w:sz w:val="24"/>
          <w:szCs w:val="24"/>
        </w:rPr>
        <w:t xml:space="preserve"> has multiple loans requiring release at the same time, a computer-generated list, that contains the same information as requested by the form, may be attached in lieu of listing them on the form itself.  </w:t>
      </w:r>
      <w:r w:rsidRPr="00BA558A" w:rsidR="002E0779">
        <w:rPr>
          <w:sz w:val="24"/>
          <w:szCs w:val="24"/>
        </w:rPr>
        <w:t>Nonetheless, the Issuer must complete the Issuer information and required signature on the form.</w:t>
      </w:r>
    </w:p>
    <w:p w:rsidRPr="006C7FAE" w:rsidR="009E13B1" w:rsidRDefault="009E13B1" w14:paraId="04A67FE1" w14:textId="77777777">
      <w:pPr>
        <w:tabs>
          <w:tab w:val="left" w:pos="360"/>
        </w:tabs>
        <w:ind w:left="360" w:hanging="360"/>
        <w:rPr>
          <w:sz w:val="24"/>
          <w:szCs w:val="24"/>
        </w:rPr>
      </w:pPr>
    </w:p>
    <w:p w:rsidRPr="00A7183E" w:rsidR="009E13B1" w:rsidP="002A5789" w:rsidRDefault="009E13B1" w14:paraId="028483F4" w14:textId="77777777">
      <w:pPr>
        <w:keepLines/>
        <w:numPr>
          <w:ilvl w:val="0"/>
          <w:numId w:val="15"/>
        </w:numPr>
        <w:tabs>
          <w:tab w:val="left" w:pos="360"/>
        </w:tabs>
        <w:spacing w:after="80"/>
        <w:rPr>
          <w:b/>
          <w:bCs/>
          <w:sz w:val="24"/>
          <w:szCs w:val="24"/>
        </w:rPr>
      </w:pPr>
      <w:r w:rsidRPr="00A7183E">
        <w:rPr>
          <w:b/>
          <w:bCs/>
          <w:sz w:val="24"/>
          <w:szCs w:val="24"/>
        </w:rPr>
        <w:t>Describe efforts to identify duplication.  Show specifically why any similar information already available cannot be used or modified for use for the purposes described in Item 2 above.</w:t>
      </w:r>
    </w:p>
    <w:p w:rsidR="002A5789" w:rsidP="002A5789" w:rsidRDefault="00D36BE9" w14:paraId="30C6D75F" w14:textId="77777777">
      <w:pPr>
        <w:keepLines/>
        <w:tabs>
          <w:tab w:val="left" w:pos="360"/>
        </w:tabs>
        <w:spacing w:after="80"/>
        <w:ind w:left="360"/>
        <w:rPr>
          <w:sz w:val="24"/>
          <w:szCs w:val="24"/>
        </w:rPr>
      </w:pPr>
      <w:r>
        <w:rPr>
          <w:sz w:val="24"/>
          <w:szCs w:val="24"/>
        </w:rPr>
        <w:t>Applicants must already be approved to participate in Ginnie Mae’s Single Family</w:t>
      </w:r>
      <w:r w:rsidR="00A7183E">
        <w:rPr>
          <w:sz w:val="24"/>
          <w:szCs w:val="24"/>
        </w:rPr>
        <w:t xml:space="preserve"> MBS</w:t>
      </w:r>
      <w:r>
        <w:rPr>
          <w:sz w:val="24"/>
          <w:szCs w:val="24"/>
        </w:rPr>
        <w:t xml:space="preserve"> program.  Because Ginnie Mae already has the participants basic information, t</w:t>
      </w:r>
      <w:r w:rsidR="002A5789">
        <w:rPr>
          <w:sz w:val="24"/>
          <w:szCs w:val="24"/>
        </w:rPr>
        <w:t>he</w:t>
      </w:r>
      <w:r w:rsidR="00A7183E">
        <w:rPr>
          <w:sz w:val="24"/>
          <w:szCs w:val="24"/>
        </w:rPr>
        <w:t xml:space="preserve"> data collected on the </w:t>
      </w:r>
      <w:proofErr w:type="spellStart"/>
      <w:r w:rsidR="00A7183E">
        <w:rPr>
          <w:sz w:val="24"/>
          <w:szCs w:val="24"/>
        </w:rPr>
        <w:t>eIssuer</w:t>
      </w:r>
      <w:proofErr w:type="spellEnd"/>
      <w:r w:rsidR="00A7183E">
        <w:rPr>
          <w:sz w:val="24"/>
          <w:szCs w:val="24"/>
        </w:rPr>
        <w:t xml:space="preserve"> and </w:t>
      </w:r>
      <w:proofErr w:type="spellStart"/>
      <w:r w:rsidR="00A7183E">
        <w:rPr>
          <w:sz w:val="24"/>
          <w:szCs w:val="24"/>
        </w:rPr>
        <w:t>eCustodian</w:t>
      </w:r>
      <w:proofErr w:type="spellEnd"/>
      <w:r w:rsidR="002A5789">
        <w:rPr>
          <w:sz w:val="24"/>
          <w:szCs w:val="24"/>
        </w:rPr>
        <w:t xml:space="preserve"> applications </w:t>
      </w:r>
      <w:r>
        <w:rPr>
          <w:sz w:val="24"/>
          <w:szCs w:val="24"/>
        </w:rPr>
        <w:t>are specific to the technological and business requirements needed to successfully issue</w:t>
      </w:r>
      <w:r w:rsidR="00A7183E">
        <w:rPr>
          <w:sz w:val="24"/>
          <w:szCs w:val="24"/>
        </w:rPr>
        <w:t xml:space="preserve"> and</w:t>
      </w:r>
      <w:r>
        <w:rPr>
          <w:sz w:val="24"/>
          <w:szCs w:val="24"/>
        </w:rPr>
        <w:t xml:space="preserve"> service Ginnie Mae MBS backed by </w:t>
      </w:r>
      <w:proofErr w:type="spellStart"/>
      <w:r>
        <w:rPr>
          <w:sz w:val="24"/>
          <w:szCs w:val="24"/>
        </w:rPr>
        <w:t>eNotes</w:t>
      </w:r>
      <w:proofErr w:type="spellEnd"/>
      <w:r>
        <w:rPr>
          <w:sz w:val="24"/>
          <w:szCs w:val="24"/>
        </w:rPr>
        <w:t xml:space="preserve"> and </w:t>
      </w:r>
      <w:proofErr w:type="spellStart"/>
      <w:r>
        <w:rPr>
          <w:sz w:val="24"/>
          <w:szCs w:val="24"/>
        </w:rPr>
        <w:t>eMortgages</w:t>
      </w:r>
      <w:proofErr w:type="spellEnd"/>
      <w:r>
        <w:rPr>
          <w:sz w:val="24"/>
          <w:szCs w:val="24"/>
        </w:rPr>
        <w:t xml:space="preserve">, </w:t>
      </w:r>
      <w:r w:rsidR="00A7183E">
        <w:rPr>
          <w:sz w:val="24"/>
          <w:szCs w:val="24"/>
        </w:rPr>
        <w:t>as well as safeguarding such collateral.  The forms</w:t>
      </w:r>
      <w:r>
        <w:rPr>
          <w:sz w:val="24"/>
          <w:szCs w:val="24"/>
        </w:rPr>
        <w:t xml:space="preserve"> do not request any information that Ginnie Mae otherwise has</w:t>
      </w:r>
      <w:r w:rsidR="001E0B80">
        <w:rPr>
          <w:sz w:val="24"/>
          <w:szCs w:val="24"/>
        </w:rPr>
        <w:t xml:space="preserve"> collected</w:t>
      </w:r>
      <w:r>
        <w:rPr>
          <w:sz w:val="24"/>
          <w:szCs w:val="24"/>
        </w:rPr>
        <w:t xml:space="preserve"> to avoid excess burden and duplication.  </w:t>
      </w:r>
    </w:p>
    <w:p w:rsidRPr="006C7FAE" w:rsidR="00D36BE9" w:rsidP="002A5789" w:rsidRDefault="00D36BE9" w14:paraId="5741260A" w14:textId="77777777">
      <w:pPr>
        <w:keepLines/>
        <w:tabs>
          <w:tab w:val="left" w:pos="360"/>
        </w:tabs>
        <w:spacing w:after="80"/>
        <w:ind w:left="360"/>
        <w:rPr>
          <w:sz w:val="24"/>
          <w:szCs w:val="24"/>
        </w:rPr>
      </w:pPr>
      <w:r>
        <w:rPr>
          <w:sz w:val="24"/>
          <w:szCs w:val="24"/>
        </w:rPr>
        <w:t xml:space="preserve">The Request for Release of Secured Party is </w:t>
      </w:r>
      <w:proofErr w:type="gramStart"/>
      <w:r>
        <w:rPr>
          <w:sz w:val="24"/>
          <w:szCs w:val="24"/>
        </w:rPr>
        <w:t>similar to</w:t>
      </w:r>
      <w:proofErr w:type="gramEnd"/>
      <w:r>
        <w:rPr>
          <w:sz w:val="24"/>
          <w:szCs w:val="24"/>
        </w:rPr>
        <w:t xml:space="preserve"> the </w:t>
      </w:r>
      <w:r w:rsidR="000046AA">
        <w:rPr>
          <w:sz w:val="24"/>
          <w:szCs w:val="24"/>
        </w:rPr>
        <w:t>HUD-</w:t>
      </w:r>
      <w:r>
        <w:rPr>
          <w:sz w:val="24"/>
          <w:szCs w:val="24"/>
        </w:rPr>
        <w:t>11</w:t>
      </w:r>
      <w:r w:rsidR="00A7183E">
        <w:rPr>
          <w:sz w:val="24"/>
          <w:szCs w:val="24"/>
        </w:rPr>
        <w:t>708 that is</w:t>
      </w:r>
      <w:r>
        <w:rPr>
          <w:sz w:val="24"/>
          <w:szCs w:val="24"/>
        </w:rPr>
        <w:t xml:space="preserve"> already approved.  </w:t>
      </w:r>
      <w:r w:rsidR="00A7183E">
        <w:rPr>
          <w:sz w:val="24"/>
          <w:szCs w:val="24"/>
        </w:rPr>
        <w:t xml:space="preserve">It collects only the information necessary to identify the loan(s) and release the secured party interest in the MERS </w:t>
      </w:r>
      <w:proofErr w:type="spellStart"/>
      <w:r w:rsidR="00A7183E">
        <w:rPr>
          <w:sz w:val="24"/>
          <w:szCs w:val="24"/>
        </w:rPr>
        <w:t>eRegistry</w:t>
      </w:r>
      <w:proofErr w:type="spellEnd"/>
      <w:r w:rsidR="00A7183E">
        <w:rPr>
          <w:sz w:val="24"/>
          <w:szCs w:val="24"/>
        </w:rPr>
        <w:t>.</w:t>
      </w:r>
      <w:r w:rsidR="000046AA">
        <w:rPr>
          <w:sz w:val="24"/>
          <w:szCs w:val="24"/>
        </w:rPr>
        <w:t xml:space="preserve">  </w:t>
      </w:r>
    </w:p>
    <w:p w:rsidRPr="006C7FAE" w:rsidR="009E13B1" w:rsidRDefault="009E13B1" w14:paraId="795D25E5" w14:textId="77777777">
      <w:pPr>
        <w:keepLines/>
        <w:tabs>
          <w:tab w:val="left" w:pos="360"/>
          <w:tab w:val="left" w:pos="720"/>
        </w:tabs>
        <w:ind w:left="360"/>
        <w:rPr>
          <w:sz w:val="24"/>
          <w:szCs w:val="24"/>
        </w:rPr>
      </w:pPr>
    </w:p>
    <w:p w:rsidRPr="00A7183E" w:rsidR="009E13B1" w:rsidP="000046AA" w:rsidRDefault="009E13B1" w14:paraId="0583C159" w14:textId="77777777">
      <w:pPr>
        <w:keepLines/>
        <w:numPr>
          <w:ilvl w:val="0"/>
          <w:numId w:val="15"/>
        </w:numPr>
        <w:tabs>
          <w:tab w:val="left" w:pos="360"/>
        </w:tabs>
        <w:spacing w:after="80"/>
        <w:rPr>
          <w:b/>
          <w:bCs/>
          <w:sz w:val="24"/>
          <w:szCs w:val="24"/>
        </w:rPr>
      </w:pPr>
      <w:r w:rsidRPr="00A7183E">
        <w:rPr>
          <w:b/>
          <w:bCs/>
          <w:sz w:val="24"/>
          <w:szCs w:val="24"/>
        </w:rPr>
        <w:t>If the collection of information impacts small businesses or other small entities (Item 5 of OMB Form 83-I) describe any methods used to minimize burden.</w:t>
      </w:r>
    </w:p>
    <w:p w:rsidRPr="006C7FAE" w:rsidR="000046AA" w:rsidP="000046AA" w:rsidRDefault="000046AA" w14:paraId="2A9D3040" w14:textId="77777777">
      <w:pPr>
        <w:keepLines/>
        <w:tabs>
          <w:tab w:val="left" w:pos="360"/>
        </w:tabs>
        <w:spacing w:after="80"/>
        <w:ind w:left="360"/>
        <w:rPr>
          <w:sz w:val="24"/>
          <w:szCs w:val="24"/>
        </w:rPr>
      </w:pPr>
      <w:r>
        <w:rPr>
          <w:sz w:val="24"/>
          <w:szCs w:val="24"/>
        </w:rPr>
        <w:t>There is no significant impact on small businesses or entities through the collection of the information.  The forms are designed to minimize burden, and Ginnie Mae is continually reviewing its forms and processes to see how they can be streamlined to further minimize burden.</w:t>
      </w:r>
    </w:p>
    <w:p w:rsidRPr="006C7FAE" w:rsidR="009E13B1" w:rsidRDefault="009E13B1" w14:paraId="6B50D493" w14:textId="77777777">
      <w:pPr>
        <w:tabs>
          <w:tab w:val="left" w:pos="360"/>
        </w:tabs>
        <w:ind w:left="360" w:hanging="360"/>
        <w:rPr>
          <w:sz w:val="24"/>
          <w:szCs w:val="24"/>
        </w:rPr>
      </w:pPr>
    </w:p>
    <w:p w:rsidRPr="00A7183E" w:rsidR="009E13B1" w:rsidP="00D419B2" w:rsidRDefault="009E13B1" w14:paraId="16F7F6A1" w14:textId="77777777">
      <w:pPr>
        <w:keepLines/>
        <w:numPr>
          <w:ilvl w:val="0"/>
          <w:numId w:val="15"/>
        </w:numPr>
        <w:tabs>
          <w:tab w:val="left" w:pos="360"/>
        </w:tabs>
        <w:spacing w:after="80"/>
        <w:rPr>
          <w:b/>
          <w:bCs/>
          <w:sz w:val="24"/>
          <w:szCs w:val="24"/>
        </w:rPr>
      </w:pPr>
      <w:r w:rsidRPr="00A7183E">
        <w:rPr>
          <w:b/>
          <w:bCs/>
          <w:sz w:val="24"/>
          <w:szCs w:val="24"/>
        </w:rPr>
        <w:t>Describe the consequence to Federal program or policy activities if the collection is not conducted or is conducted less frequently, as well as any technical or legal obstacles to reducing burden.</w:t>
      </w:r>
    </w:p>
    <w:p w:rsidR="00D419B2" w:rsidP="00D419B2" w:rsidRDefault="00D419B2" w14:paraId="41BD2F44" w14:textId="77777777">
      <w:pPr>
        <w:keepLines/>
        <w:tabs>
          <w:tab w:val="left" w:pos="360"/>
        </w:tabs>
        <w:spacing w:after="80"/>
        <w:ind w:left="360"/>
        <w:rPr>
          <w:bCs/>
          <w:color w:val="000000"/>
          <w:sz w:val="24"/>
          <w:szCs w:val="24"/>
        </w:rPr>
      </w:pPr>
      <w:r w:rsidRPr="003F3C9B">
        <w:rPr>
          <w:bCs/>
          <w:color w:val="000000"/>
          <w:sz w:val="24"/>
          <w:szCs w:val="24"/>
        </w:rPr>
        <w:t xml:space="preserve">Ginnie Mae is a wholly owned corporation of the United States within the Department of Housing and Urban Development whose guaranty of mortgage-backed securities is back by the full faith and credit of the United States Government. As such, the information required from issuers is necessary for Ginnie Mae to issue mortgage-backed securities as each security is unique and determined by the information provided on the forms received from the issuers.  </w:t>
      </w:r>
      <w:bookmarkStart w:name="_Hlk103683157" w:id="0"/>
      <w:r w:rsidRPr="003F3C9B">
        <w:rPr>
          <w:bCs/>
          <w:color w:val="000000"/>
          <w:sz w:val="24"/>
          <w:szCs w:val="24"/>
        </w:rPr>
        <w:t>T</w:t>
      </w:r>
      <w:r w:rsidR="003C6D58">
        <w:rPr>
          <w:bCs/>
          <w:color w:val="000000"/>
          <w:sz w:val="24"/>
          <w:szCs w:val="24"/>
        </w:rPr>
        <w:t>his</w:t>
      </w:r>
      <w:r w:rsidRPr="003F3C9B">
        <w:rPr>
          <w:bCs/>
          <w:color w:val="000000"/>
          <w:sz w:val="24"/>
          <w:szCs w:val="24"/>
        </w:rPr>
        <w:t xml:space="preserve"> collection permit</w:t>
      </w:r>
      <w:r w:rsidR="003C6D58">
        <w:rPr>
          <w:bCs/>
          <w:color w:val="000000"/>
          <w:sz w:val="24"/>
          <w:szCs w:val="24"/>
        </w:rPr>
        <w:t>s</w:t>
      </w:r>
      <w:r w:rsidRPr="003F3C9B">
        <w:rPr>
          <w:bCs/>
          <w:color w:val="000000"/>
          <w:sz w:val="24"/>
          <w:szCs w:val="24"/>
        </w:rPr>
        <w:t xml:space="preserve"> Ginnie Mae to verify:  </w:t>
      </w:r>
      <w:r w:rsidR="003C6D58">
        <w:rPr>
          <w:bCs/>
          <w:color w:val="000000"/>
          <w:sz w:val="24"/>
          <w:szCs w:val="24"/>
        </w:rPr>
        <w:t xml:space="preserve">1) that </w:t>
      </w:r>
      <w:proofErr w:type="spellStart"/>
      <w:r w:rsidR="003C6D58">
        <w:rPr>
          <w:bCs/>
          <w:color w:val="000000"/>
          <w:sz w:val="24"/>
          <w:szCs w:val="24"/>
        </w:rPr>
        <w:t>eIssuers</w:t>
      </w:r>
      <w:proofErr w:type="spellEnd"/>
      <w:r w:rsidR="003C6D58">
        <w:rPr>
          <w:bCs/>
          <w:color w:val="000000"/>
          <w:sz w:val="24"/>
          <w:szCs w:val="24"/>
        </w:rPr>
        <w:t xml:space="preserve"> and </w:t>
      </w:r>
      <w:proofErr w:type="spellStart"/>
      <w:r w:rsidR="003C6D58">
        <w:rPr>
          <w:bCs/>
          <w:color w:val="000000"/>
          <w:sz w:val="24"/>
          <w:szCs w:val="24"/>
        </w:rPr>
        <w:t>eMortgages</w:t>
      </w:r>
      <w:proofErr w:type="spellEnd"/>
      <w:r w:rsidR="003C6D58">
        <w:rPr>
          <w:bCs/>
          <w:color w:val="000000"/>
          <w:sz w:val="24"/>
          <w:szCs w:val="24"/>
        </w:rPr>
        <w:t xml:space="preserve"> have the specialized knowledge and experience to participate; 2) that </w:t>
      </w:r>
      <w:proofErr w:type="spellStart"/>
      <w:r w:rsidR="003C6D58">
        <w:rPr>
          <w:bCs/>
          <w:color w:val="000000"/>
          <w:sz w:val="24"/>
          <w:szCs w:val="24"/>
        </w:rPr>
        <w:t>eIssuers</w:t>
      </w:r>
      <w:proofErr w:type="spellEnd"/>
      <w:r w:rsidR="003C6D58">
        <w:rPr>
          <w:bCs/>
          <w:color w:val="000000"/>
          <w:sz w:val="24"/>
          <w:szCs w:val="24"/>
        </w:rPr>
        <w:t xml:space="preserve"> and </w:t>
      </w:r>
      <w:proofErr w:type="spellStart"/>
      <w:r w:rsidR="003C6D58">
        <w:rPr>
          <w:bCs/>
          <w:color w:val="000000"/>
          <w:sz w:val="24"/>
          <w:szCs w:val="24"/>
        </w:rPr>
        <w:t>eCustodians</w:t>
      </w:r>
      <w:proofErr w:type="spellEnd"/>
      <w:r w:rsidR="003C6D58">
        <w:rPr>
          <w:bCs/>
          <w:color w:val="000000"/>
          <w:sz w:val="24"/>
          <w:szCs w:val="24"/>
        </w:rPr>
        <w:t xml:space="preserve"> have the technological capability to service </w:t>
      </w:r>
      <w:proofErr w:type="spellStart"/>
      <w:r w:rsidR="003C6D58">
        <w:rPr>
          <w:bCs/>
          <w:color w:val="000000"/>
          <w:sz w:val="24"/>
          <w:szCs w:val="24"/>
        </w:rPr>
        <w:t>eMortgages</w:t>
      </w:r>
      <w:proofErr w:type="spellEnd"/>
      <w:r w:rsidR="003C6D58">
        <w:rPr>
          <w:bCs/>
          <w:color w:val="000000"/>
          <w:sz w:val="24"/>
          <w:szCs w:val="24"/>
        </w:rPr>
        <w:t xml:space="preserve"> and safeguard </w:t>
      </w:r>
      <w:proofErr w:type="spellStart"/>
      <w:r w:rsidR="003C6D58">
        <w:rPr>
          <w:bCs/>
          <w:color w:val="000000"/>
          <w:sz w:val="24"/>
          <w:szCs w:val="24"/>
        </w:rPr>
        <w:t>eMortgage</w:t>
      </w:r>
      <w:proofErr w:type="spellEnd"/>
      <w:r w:rsidR="003C6D58">
        <w:rPr>
          <w:bCs/>
          <w:color w:val="000000"/>
          <w:sz w:val="24"/>
          <w:szCs w:val="24"/>
        </w:rPr>
        <w:t xml:space="preserve"> documents; 3) </w:t>
      </w:r>
      <w:r w:rsidRPr="003F3C9B">
        <w:rPr>
          <w:bCs/>
          <w:color w:val="000000"/>
          <w:sz w:val="24"/>
          <w:szCs w:val="24"/>
        </w:rPr>
        <w:t xml:space="preserve">the name and location of the entities responsible for the various Ginnie Mae accounts and </w:t>
      </w:r>
      <w:proofErr w:type="spellStart"/>
      <w:r w:rsidR="003C6D58">
        <w:rPr>
          <w:bCs/>
          <w:color w:val="000000"/>
          <w:sz w:val="24"/>
          <w:szCs w:val="24"/>
        </w:rPr>
        <w:t>eM</w:t>
      </w:r>
      <w:r w:rsidRPr="003F3C9B">
        <w:rPr>
          <w:bCs/>
          <w:color w:val="000000"/>
          <w:sz w:val="24"/>
          <w:szCs w:val="24"/>
        </w:rPr>
        <w:t>ortgage</w:t>
      </w:r>
      <w:proofErr w:type="spellEnd"/>
      <w:r w:rsidRPr="003F3C9B">
        <w:rPr>
          <w:bCs/>
          <w:color w:val="000000"/>
          <w:sz w:val="24"/>
          <w:szCs w:val="24"/>
        </w:rPr>
        <w:t xml:space="preserve"> documents, and </w:t>
      </w:r>
      <w:r w:rsidR="002E0779">
        <w:rPr>
          <w:bCs/>
          <w:color w:val="000000"/>
          <w:sz w:val="24"/>
          <w:szCs w:val="24"/>
        </w:rPr>
        <w:t>4</w:t>
      </w:r>
      <w:r w:rsidRPr="003F3C9B">
        <w:rPr>
          <w:bCs/>
          <w:color w:val="000000"/>
          <w:sz w:val="24"/>
          <w:szCs w:val="24"/>
        </w:rPr>
        <w:t xml:space="preserve">) those entities that are responsible for servicing the </w:t>
      </w:r>
      <w:proofErr w:type="spellStart"/>
      <w:r w:rsidR="003C6D58">
        <w:rPr>
          <w:bCs/>
          <w:color w:val="000000"/>
          <w:sz w:val="24"/>
          <w:szCs w:val="24"/>
        </w:rPr>
        <w:t>eM</w:t>
      </w:r>
      <w:r w:rsidRPr="003F3C9B">
        <w:rPr>
          <w:bCs/>
          <w:color w:val="000000"/>
          <w:sz w:val="24"/>
          <w:szCs w:val="24"/>
        </w:rPr>
        <w:t>ortgages</w:t>
      </w:r>
      <w:proofErr w:type="spellEnd"/>
      <w:r w:rsidRPr="003F3C9B">
        <w:rPr>
          <w:bCs/>
          <w:color w:val="000000"/>
          <w:sz w:val="24"/>
          <w:szCs w:val="24"/>
        </w:rPr>
        <w:t xml:space="preserve"> that back the Ginnie Mae pools.  Ginnie Mae needs this information to mitigate risk and evaluate its business operations, </w:t>
      </w:r>
      <w:proofErr w:type="gramStart"/>
      <w:r w:rsidRPr="003F3C9B">
        <w:rPr>
          <w:bCs/>
          <w:color w:val="000000"/>
          <w:sz w:val="24"/>
          <w:szCs w:val="24"/>
        </w:rPr>
        <w:t>procedures</w:t>
      </w:r>
      <w:proofErr w:type="gramEnd"/>
      <w:r w:rsidRPr="003F3C9B">
        <w:rPr>
          <w:bCs/>
          <w:color w:val="000000"/>
          <w:sz w:val="24"/>
          <w:szCs w:val="24"/>
        </w:rPr>
        <w:t xml:space="preserve"> and programs</w:t>
      </w:r>
      <w:r w:rsidR="00357954">
        <w:rPr>
          <w:bCs/>
          <w:color w:val="000000"/>
          <w:sz w:val="24"/>
          <w:szCs w:val="24"/>
        </w:rPr>
        <w:t>, and assist lenders in processing borrower requests more efficiently</w:t>
      </w:r>
      <w:r w:rsidRPr="003F3C9B">
        <w:rPr>
          <w:bCs/>
          <w:color w:val="000000"/>
          <w:sz w:val="24"/>
          <w:szCs w:val="24"/>
        </w:rPr>
        <w:t>.  Ginnie Mae also requires the collection of information to ensure that there are no deficiencies, which could affect the pass through of securities to its investors.</w:t>
      </w:r>
    </w:p>
    <w:bookmarkEnd w:id="0"/>
    <w:p w:rsidRPr="006C7FAE" w:rsidR="00D419B2" w:rsidP="00D419B2" w:rsidRDefault="00CA6A19" w14:paraId="11CB2710" w14:textId="77777777">
      <w:pPr>
        <w:keepLines/>
        <w:tabs>
          <w:tab w:val="left" w:pos="360"/>
        </w:tabs>
        <w:spacing w:after="80"/>
        <w:ind w:left="360"/>
        <w:rPr>
          <w:sz w:val="24"/>
          <w:szCs w:val="24"/>
        </w:rPr>
      </w:pPr>
      <w:r>
        <w:rPr>
          <w:bCs/>
          <w:color w:val="000000"/>
          <w:sz w:val="24"/>
          <w:szCs w:val="24"/>
        </w:rPr>
        <w:t>Concurrently</w:t>
      </w:r>
      <w:r w:rsidR="00D419B2">
        <w:rPr>
          <w:bCs/>
          <w:color w:val="000000"/>
          <w:sz w:val="24"/>
          <w:szCs w:val="24"/>
        </w:rPr>
        <w:t xml:space="preserve">, Ginnie Mae must be able to manage the risk to its program presented by counter-party strength and market conditions.  Currently, the necessary volume and breadth of participation is not sufficient to support a liquid and viable market for the mortgage servicing rights (MSRs) associated with Ginnie Mae MBS backed by </w:t>
      </w:r>
      <w:proofErr w:type="spellStart"/>
      <w:r w:rsidR="00D419B2">
        <w:rPr>
          <w:bCs/>
          <w:color w:val="000000"/>
          <w:sz w:val="24"/>
          <w:szCs w:val="24"/>
        </w:rPr>
        <w:t>eNotes</w:t>
      </w:r>
      <w:proofErr w:type="spellEnd"/>
      <w:r w:rsidR="00D419B2">
        <w:rPr>
          <w:bCs/>
          <w:color w:val="000000"/>
          <w:sz w:val="24"/>
          <w:szCs w:val="24"/>
        </w:rPr>
        <w:t xml:space="preserve"> and </w:t>
      </w:r>
      <w:proofErr w:type="spellStart"/>
      <w:r w:rsidR="00D419B2">
        <w:rPr>
          <w:bCs/>
          <w:color w:val="000000"/>
          <w:sz w:val="24"/>
          <w:szCs w:val="24"/>
        </w:rPr>
        <w:t>eMortgages</w:t>
      </w:r>
      <w:proofErr w:type="spellEnd"/>
      <w:r w:rsidR="00D419B2">
        <w:rPr>
          <w:bCs/>
          <w:color w:val="000000"/>
          <w:sz w:val="24"/>
          <w:szCs w:val="24"/>
        </w:rPr>
        <w:t xml:space="preserve"> due to the limitations of the pilot.  MSRs are a significant asset on Ginnie Mae’s participants’ balance sheets.  Inability to effectively manage them could </w:t>
      </w:r>
      <w:r>
        <w:rPr>
          <w:bCs/>
          <w:color w:val="000000"/>
          <w:sz w:val="24"/>
          <w:szCs w:val="24"/>
        </w:rPr>
        <w:t xml:space="preserve">cause a participant to suffer a </w:t>
      </w:r>
      <w:r w:rsidR="00D419B2">
        <w:rPr>
          <w:bCs/>
          <w:color w:val="000000"/>
          <w:sz w:val="24"/>
          <w:szCs w:val="24"/>
        </w:rPr>
        <w:t>financial impairment</w:t>
      </w:r>
      <w:r>
        <w:rPr>
          <w:bCs/>
          <w:color w:val="000000"/>
          <w:sz w:val="24"/>
          <w:szCs w:val="24"/>
        </w:rPr>
        <w:t>, or cause a participant to default on its obligations, and expose Ginnie Mae to losses.  Ginnie Mae has met the goals of the pilot, has determined it is ready to open the Digital Collateral program to additional participants, and has determined it is necessary to do so as quickly as possible to bring the additional liquidity to the market, and avoid loss exposure to Ginnie Mae.</w:t>
      </w:r>
    </w:p>
    <w:p w:rsidRPr="006C7FAE" w:rsidR="009E13B1" w:rsidRDefault="009E13B1" w14:paraId="39A63EBF" w14:textId="77777777">
      <w:pPr>
        <w:keepLines/>
        <w:tabs>
          <w:tab w:val="left" w:pos="360"/>
          <w:tab w:val="left" w:pos="720"/>
        </w:tabs>
        <w:ind w:left="360"/>
        <w:rPr>
          <w:sz w:val="24"/>
          <w:szCs w:val="24"/>
        </w:rPr>
      </w:pPr>
    </w:p>
    <w:p w:rsidRPr="00802A6F" w:rsidR="009E13B1" w:rsidRDefault="009E13B1" w14:paraId="39C1E620" w14:textId="77777777">
      <w:pPr>
        <w:numPr>
          <w:ilvl w:val="0"/>
          <w:numId w:val="13"/>
        </w:numPr>
        <w:tabs>
          <w:tab w:val="left" w:pos="360"/>
        </w:tabs>
        <w:rPr>
          <w:b/>
          <w:bCs/>
          <w:sz w:val="24"/>
          <w:szCs w:val="24"/>
        </w:rPr>
      </w:pPr>
      <w:r w:rsidRPr="00802A6F">
        <w:rPr>
          <w:b/>
          <w:bCs/>
          <w:sz w:val="24"/>
          <w:szCs w:val="24"/>
        </w:rPr>
        <w:t xml:space="preserve">Explain any special circumstances that would cause an information collection to be conducted in a manner: </w:t>
      </w:r>
    </w:p>
    <w:p w:rsidR="009E13B1" w:rsidP="00DF085E" w:rsidRDefault="009E13B1" w14:paraId="5EA63111" w14:textId="77777777">
      <w:pPr>
        <w:numPr>
          <w:ilvl w:val="0"/>
          <w:numId w:val="14"/>
        </w:numPr>
        <w:tabs>
          <w:tab w:val="left" w:pos="600"/>
        </w:tabs>
        <w:ind w:left="864"/>
        <w:rPr>
          <w:sz w:val="24"/>
          <w:szCs w:val="24"/>
        </w:rPr>
      </w:pPr>
      <w:r w:rsidRPr="00DF085E">
        <w:rPr>
          <w:b/>
          <w:bCs/>
          <w:sz w:val="24"/>
          <w:szCs w:val="24"/>
        </w:rPr>
        <w:t>requiring respondents to report information to the agency more than quarterly</w:t>
      </w:r>
      <w:r w:rsidRPr="006C7FAE">
        <w:rPr>
          <w:sz w:val="24"/>
          <w:szCs w:val="24"/>
        </w:rPr>
        <w:t xml:space="preserve">; </w:t>
      </w:r>
    </w:p>
    <w:p w:rsidRPr="006C7FAE" w:rsidR="00941143" w:rsidP="00941143" w:rsidRDefault="009721A2" w14:paraId="28B5320B" w14:textId="77777777">
      <w:pPr>
        <w:numPr>
          <w:ilvl w:val="0"/>
          <w:numId w:val="14"/>
        </w:numPr>
        <w:tabs>
          <w:tab w:val="left" w:pos="600"/>
        </w:tabs>
        <w:ind w:left="1584"/>
        <w:rPr>
          <w:sz w:val="24"/>
          <w:szCs w:val="24"/>
        </w:rPr>
      </w:pPr>
      <w:r>
        <w:rPr>
          <w:sz w:val="24"/>
          <w:szCs w:val="24"/>
        </w:rPr>
        <w:t xml:space="preserve">The Request for Release of Secured Party will be required any time an </w:t>
      </w:r>
      <w:proofErr w:type="spellStart"/>
      <w:r>
        <w:rPr>
          <w:sz w:val="24"/>
          <w:szCs w:val="24"/>
        </w:rPr>
        <w:t>e</w:t>
      </w:r>
      <w:r w:rsidR="00802A6F">
        <w:rPr>
          <w:sz w:val="24"/>
          <w:szCs w:val="24"/>
        </w:rPr>
        <w:t>Mortgage</w:t>
      </w:r>
      <w:proofErr w:type="spellEnd"/>
      <w:r>
        <w:rPr>
          <w:sz w:val="24"/>
          <w:szCs w:val="24"/>
        </w:rPr>
        <w:t xml:space="preserve"> </w:t>
      </w:r>
      <w:r w:rsidR="00802A6F">
        <w:rPr>
          <w:sz w:val="24"/>
          <w:szCs w:val="24"/>
        </w:rPr>
        <w:t>is removed from the MBS</w:t>
      </w:r>
      <w:r>
        <w:rPr>
          <w:sz w:val="24"/>
          <w:szCs w:val="24"/>
        </w:rPr>
        <w:t xml:space="preserve">.  The frequency will vary depending on how the participant manages its </w:t>
      </w:r>
      <w:proofErr w:type="spellStart"/>
      <w:r>
        <w:rPr>
          <w:sz w:val="24"/>
          <w:szCs w:val="24"/>
        </w:rPr>
        <w:t>eNote</w:t>
      </w:r>
      <w:proofErr w:type="spellEnd"/>
      <w:r>
        <w:rPr>
          <w:sz w:val="24"/>
          <w:szCs w:val="24"/>
        </w:rPr>
        <w:t xml:space="preserve"> and </w:t>
      </w:r>
      <w:proofErr w:type="spellStart"/>
      <w:r>
        <w:rPr>
          <w:sz w:val="24"/>
          <w:szCs w:val="24"/>
        </w:rPr>
        <w:t>eMortgage</w:t>
      </w:r>
      <w:proofErr w:type="spellEnd"/>
      <w:r>
        <w:rPr>
          <w:sz w:val="24"/>
          <w:szCs w:val="24"/>
        </w:rPr>
        <w:t xml:space="preserve"> </w:t>
      </w:r>
      <w:r w:rsidR="00802A6F">
        <w:rPr>
          <w:sz w:val="24"/>
          <w:szCs w:val="24"/>
        </w:rPr>
        <w:t>servicing</w:t>
      </w:r>
      <w:r>
        <w:rPr>
          <w:sz w:val="24"/>
          <w:szCs w:val="24"/>
        </w:rPr>
        <w:t>.</w:t>
      </w:r>
    </w:p>
    <w:p w:rsidRPr="00DF085E" w:rsidR="009E13B1" w:rsidP="00DF085E" w:rsidRDefault="009E13B1" w14:paraId="4A4D93CE" w14:textId="77777777">
      <w:pPr>
        <w:numPr>
          <w:ilvl w:val="0"/>
          <w:numId w:val="14"/>
        </w:numPr>
        <w:tabs>
          <w:tab w:val="left" w:pos="600"/>
        </w:tabs>
        <w:ind w:left="864"/>
        <w:rPr>
          <w:b/>
          <w:bCs/>
          <w:sz w:val="24"/>
          <w:szCs w:val="24"/>
        </w:rPr>
      </w:pPr>
      <w:r w:rsidRPr="00DF085E">
        <w:rPr>
          <w:b/>
          <w:bCs/>
          <w:sz w:val="24"/>
          <w:szCs w:val="24"/>
        </w:rPr>
        <w:t xml:space="preserve">requiring respondents to prepare a written response to a collection of information in fewer than 30 days after receipt of it; </w:t>
      </w:r>
    </w:p>
    <w:p w:rsidRPr="006C7FAE" w:rsidR="009721A2" w:rsidP="009721A2" w:rsidRDefault="009721A2" w14:paraId="1D2C2E70" w14:textId="77777777">
      <w:pPr>
        <w:numPr>
          <w:ilvl w:val="0"/>
          <w:numId w:val="14"/>
        </w:numPr>
        <w:tabs>
          <w:tab w:val="left" w:pos="600"/>
        </w:tabs>
        <w:ind w:left="1584"/>
        <w:rPr>
          <w:sz w:val="24"/>
          <w:szCs w:val="24"/>
        </w:rPr>
      </w:pPr>
      <w:r>
        <w:rPr>
          <w:sz w:val="24"/>
          <w:szCs w:val="24"/>
        </w:rPr>
        <w:t>Not applicable</w:t>
      </w:r>
      <w:r w:rsidR="00802A6F">
        <w:rPr>
          <w:sz w:val="24"/>
          <w:szCs w:val="24"/>
        </w:rPr>
        <w:t xml:space="preserve">, there is no time limit </w:t>
      </w:r>
      <w:r w:rsidR="00DF085E">
        <w:rPr>
          <w:sz w:val="24"/>
          <w:szCs w:val="24"/>
        </w:rPr>
        <w:t>for completing</w:t>
      </w:r>
      <w:r w:rsidR="00802A6F">
        <w:rPr>
          <w:sz w:val="24"/>
          <w:szCs w:val="24"/>
        </w:rPr>
        <w:t xml:space="preserve"> the application forms, and the Request for Release of Secured Party is transactional in nature.  It is completed based on the Issuers servicing activities.  For example, if the borrower is delinquent and requests a loan modification, the Issuer must remove the loan from the MBS first, before the loan modification can be completed.</w:t>
      </w:r>
      <w:r w:rsidR="00DF085E">
        <w:rPr>
          <w:sz w:val="24"/>
          <w:szCs w:val="24"/>
        </w:rPr>
        <w:t xml:space="preserve"> </w:t>
      </w:r>
      <w:proofErr w:type="gramStart"/>
      <w:r w:rsidR="00DF085E">
        <w:rPr>
          <w:sz w:val="24"/>
          <w:szCs w:val="24"/>
        </w:rPr>
        <w:t>Thus</w:t>
      </w:r>
      <w:proofErr w:type="gramEnd"/>
      <w:r w:rsidR="00DF085E">
        <w:rPr>
          <w:sz w:val="24"/>
          <w:szCs w:val="24"/>
        </w:rPr>
        <w:t xml:space="preserve"> a Request for Release of Secured Party would be required to complete the release.</w:t>
      </w:r>
    </w:p>
    <w:p w:rsidRPr="00DF085E" w:rsidR="009E13B1" w:rsidP="00DF085E" w:rsidRDefault="009E13B1" w14:paraId="42FE480B" w14:textId="77777777">
      <w:pPr>
        <w:numPr>
          <w:ilvl w:val="0"/>
          <w:numId w:val="14"/>
        </w:numPr>
        <w:tabs>
          <w:tab w:val="left" w:pos="600"/>
        </w:tabs>
        <w:ind w:left="864"/>
        <w:rPr>
          <w:b/>
          <w:bCs/>
          <w:sz w:val="24"/>
          <w:szCs w:val="24"/>
        </w:rPr>
      </w:pPr>
      <w:r w:rsidRPr="00DF085E">
        <w:rPr>
          <w:b/>
          <w:bCs/>
          <w:sz w:val="24"/>
          <w:szCs w:val="24"/>
        </w:rPr>
        <w:t xml:space="preserve">requiring respondents to submit more than an original and two copies of any document; </w:t>
      </w:r>
    </w:p>
    <w:p w:rsidRPr="006C7FAE" w:rsidR="009721A2" w:rsidP="009721A2" w:rsidRDefault="009721A2" w14:paraId="301EA12B" w14:textId="77777777">
      <w:pPr>
        <w:numPr>
          <w:ilvl w:val="0"/>
          <w:numId w:val="14"/>
        </w:numPr>
        <w:tabs>
          <w:tab w:val="left" w:pos="600"/>
        </w:tabs>
        <w:ind w:left="1584"/>
        <w:rPr>
          <w:sz w:val="24"/>
          <w:szCs w:val="24"/>
        </w:rPr>
      </w:pPr>
      <w:r>
        <w:rPr>
          <w:sz w:val="24"/>
          <w:szCs w:val="24"/>
        </w:rPr>
        <w:t>Not applicable</w:t>
      </w:r>
      <w:r w:rsidR="001635D4">
        <w:rPr>
          <w:sz w:val="24"/>
          <w:szCs w:val="24"/>
        </w:rPr>
        <w:t>.</w:t>
      </w:r>
    </w:p>
    <w:p w:rsidRPr="00DF085E" w:rsidR="009E13B1" w:rsidP="00DF085E" w:rsidRDefault="009E13B1" w14:paraId="2219B9ED" w14:textId="77777777">
      <w:pPr>
        <w:numPr>
          <w:ilvl w:val="0"/>
          <w:numId w:val="14"/>
        </w:numPr>
        <w:tabs>
          <w:tab w:val="left" w:pos="600"/>
        </w:tabs>
        <w:ind w:left="864"/>
        <w:rPr>
          <w:b/>
          <w:bCs/>
          <w:sz w:val="24"/>
          <w:szCs w:val="24"/>
        </w:rPr>
      </w:pPr>
      <w:r w:rsidRPr="00DF085E">
        <w:rPr>
          <w:b/>
          <w:bCs/>
          <w:sz w:val="24"/>
          <w:szCs w:val="24"/>
        </w:rPr>
        <w:t xml:space="preserve">requiring respondents to retain records other than health, medical, government contract, grant-in-aid, or tax records for more than three years; </w:t>
      </w:r>
    </w:p>
    <w:p w:rsidRPr="006C7FAE" w:rsidR="009721A2" w:rsidP="009721A2" w:rsidRDefault="009721A2" w14:paraId="4FFE81A1" w14:textId="77777777">
      <w:pPr>
        <w:numPr>
          <w:ilvl w:val="0"/>
          <w:numId w:val="14"/>
        </w:numPr>
        <w:tabs>
          <w:tab w:val="left" w:pos="600"/>
        </w:tabs>
        <w:ind w:left="1584"/>
        <w:rPr>
          <w:sz w:val="24"/>
          <w:szCs w:val="24"/>
        </w:rPr>
      </w:pPr>
      <w:r>
        <w:rPr>
          <w:sz w:val="24"/>
          <w:szCs w:val="24"/>
        </w:rPr>
        <w:t>Not applicable</w:t>
      </w:r>
      <w:r w:rsidR="001635D4">
        <w:rPr>
          <w:sz w:val="24"/>
          <w:szCs w:val="24"/>
        </w:rPr>
        <w:t>.</w:t>
      </w:r>
    </w:p>
    <w:p w:rsidRPr="00DF085E" w:rsidR="009E13B1" w:rsidP="00DF085E" w:rsidRDefault="009E13B1" w14:paraId="71BFD0BB" w14:textId="77777777">
      <w:pPr>
        <w:numPr>
          <w:ilvl w:val="0"/>
          <w:numId w:val="14"/>
        </w:numPr>
        <w:tabs>
          <w:tab w:val="left" w:pos="600"/>
        </w:tabs>
        <w:ind w:left="864"/>
        <w:rPr>
          <w:b/>
          <w:bCs/>
          <w:sz w:val="24"/>
          <w:szCs w:val="24"/>
        </w:rPr>
      </w:pPr>
      <w:r w:rsidRPr="00DF085E">
        <w:rPr>
          <w:b/>
          <w:bCs/>
          <w:sz w:val="24"/>
          <w:szCs w:val="24"/>
        </w:rPr>
        <w:t xml:space="preserve">in connection with a statistical survey, that is not designed to produce valid and reliable results than can be generalized to the universe of study; </w:t>
      </w:r>
    </w:p>
    <w:p w:rsidRPr="006C7FAE" w:rsidR="009721A2" w:rsidP="009721A2" w:rsidRDefault="009721A2" w14:paraId="66B78E91" w14:textId="77777777">
      <w:pPr>
        <w:numPr>
          <w:ilvl w:val="0"/>
          <w:numId w:val="14"/>
        </w:numPr>
        <w:tabs>
          <w:tab w:val="left" w:pos="600"/>
        </w:tabs>
        <w:ind w:left="1584"/>
        <w:rPr>
          <w:sz w:val="24"/>
          <w:szCs w:val="24"/>
        </w:rPr>
      </w:pPr>
      <w:r>
        <w:rPr>
          <w:sz w:val="24"/>
          <w:szCs w:val="24"/>
        </w:rPr>
        <w:t>Not applicable</w:t>
      </w:r>
      <w:r w:rsidR="001635D4">
        <w:rPr>
          <w:sz w:val="24"/>
          <w:szCs w:val="24"/>
        </w:rPr>
        <w:t>.</w:t>
      </w:r>
    </w:p>
    <w:p w:rsidRPr="00DF085E" w:rsidR="009E13B1" w:rsidP="00DF085E" w:rsidRDefault="009E13B1" w14:paraId="2AE53B9A" w14:textId="77777777">
      <w:pPr>
        <w:numPr>
          <w:ilvl w:val="0"/>
          <w:numId w:val="14"/>
        </w:numPr>
        <w:tabs>
          <w:tab w:val="left" w:pos="600"/>
        </w:tabs>
        <w:ind w:left="864"/>
        <w:rPr>
          <w:b/>
          <w:bCs/>
          <w:sz w:val="24"/>
          <w:szCs w:val="24"/>
        </w:rPr>
      </w:pPr>
      <w:r w:rsidRPr="00DF085E">
        <w:rPr>
          <w:b/>
          <w:bCs/>
          <w:sz w:val="24"/>
          <w:szCs w:val="24"/>
        </w:rPr>
        <w:t xml:space="preserve">requiring the use of a statistical data classification that has not been reviewed and approved by OMB; </w:t>
      </w:r>
    </w:p>
    <w:p w:rsidR="009721A2" w:rsidP="009721A2" w:rsidRDefault="009721A2" w14:paraId="372C3E24" w14:textId="77777777">
      <w:pPr>
        <w:numPr>
          <w:ilvl w:val="0"/>
          <w:numId w:val="14"/>
        </w:numPr>
        <w:tabs>
          <w:tab w:val="left" w:pos="600"/>
        </w:tabs>
        <w:ind w:left="1584"/>
        <w:rPr>
          <w:sz w:val="24"/>
          <w:szCs w:val="24"/>
        </w:rPr>
      </w:pPr>
      <w:r>
        <w:rPr>
          <w:sz w:val="24"/>
          <w:szCs w:val="24"/>
        </w:rPr>
        <w:t>Not applicable</w:t>
      </w:r>
      <w:r w:rsidR="001635D4">
        <w:rPr>
          <w:sz w:val="24"/>
          <w:szCs w:val="24"/>
        </w:rPr>
        <w:t>.</w:t>
      </w:r>
    </w:p>
    <w:p w:rsidRPr="006C7FAE" w:rsidR="00802A6F" w:rsidP="00802A6F" w:rsidRDefault="00802A6F" w14:paraId="3758B196" w14:textId="77777777">
      <w:pPr>
        <w:tabs>
          <w:tab w:val="left" w:pos="600"/>
        </w:tabs>
        <w:ind w:left="1584"/>
        <w:rPr>
          <w:sz w:val="24"/>
          <w:szCs w:val="24"/>
        </w:rPr>
      </w:pPr>
    </w:p>
    <w:p w:rsidRPr="00DF085E" w:rsidR="009E13B1" w:rsidP="00DF085E" w:rsidRDefault="009E13B1" w14:paraId="60A19E68" w14:textId="77777777">
      <w:pPr>
        <w:numPr>
          <w:ilvl w:val="0"/>
          <w:numId w:val="14"/>
        </w:numPr>
        <w:tabs>
          <w:tab w:val="left" w:pos="600"/>
        </w:tabs>
        <w:ind w:left="864"/>
        <w:rPr>
          <w:b/>
          <w:bCs/>
          <w:sz w:val="24"/>
          <w:szCs w:val="24"/>
        </w:rPr>
      </w:pPr>
      <w:r w:rsidRPr="00DF085E">
        <w:rPr>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06AE3" w:rsidP="00406AE3" w:rsidRDefault="00406AE3" w14:paraId="3346F098" w14:textId="77777777">
      <w:pPr>
        <w:pStyle w:val="ListParagraph"/>
        <w:rPr>
          <w:sz w:val="24"/>
          <w:szCs w:val="24"/>
        </w:rPr>
      </w:pPr>
    </w:p>
    <w:p w:rsidRPr="001635D4" w:rsidR="00406AE3" w:rsidP="0091491C" w:rsidRDefault="00406AE3" w14:paraId="4388D7E0" w14:textId="77777777">
      <w:pPr>
        <w:numPr>
          <w:ilvl w:val="0"/>
          <w:numId w:val="17"/>
        </w:numPr>
        <w:tabs>
          <w:tab w:val="left" w:pos="600"/>
        </w:tabs>
        <w:rPr>
          <w:sz w:val="24"/>
          <w:szCs w:val="24"/>
        </w:rPr>
      </w:pPr>
      <w:r w:rsidRPr="001635D4">
        <w:rPr>
          <w:sz w:val="24"/>
          <w:szCs w:val="24"/>
        </w:rPr>
        <w:t>Not applicable</w:t>
      </w:r>
      <w:r w:rsidR="001635D4">
        <w:rPr>
          <w:sz w:val="24"/>
          <w:szCs w:val="24"/>
        </w:rPr>
        <w:t>.</w:t>
      </w:r>
    </w:p>
    <w:p w:rsidRPr="00DF085E" w:rsidR="009E13B1" w:rsidP="00DF085E" w:rsidRDefault="009E13B1" w14:paraId="73CE9259" w14:textId="77777777">
      <w:pPr>
        <w:keepLines/>
        <w:numPr>
          <w:ilvl w:val="0"/>
          <w:numId w:val="14"/>
        </w:numPr>
        <w:tabs>
          <w:tab w:val="left" w:pos="600"/>
        </w:tabs>
        <w:spacing w:after="80"/>
        <w:ind w:left="960" w:hanging="360"/>
        <w:rPr>
          <w:b/>
          <w:bCs/>
          <w:sz w:val="24"/>
          <w:szCs w:val="24"/>
        </w:rPr>
      </w:pPr>
      <w:r w:rsidRPr="00DF085E">
        <w:rPr>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9721A2" w:rsidR="009721A2" w:rsidP="00DF085E" w:rsidRDefault="0065214E" w14:paraId="56D168B3" w14:textId="77777777">
      <w:pPr>
        <w:keepLines/>
        <w:numPr>
          <w:ilvl w:val="0"/>
          <w:numId w:val="14"/>
        </w:numPr>
        <w:tabs>
          <w:tab w:val="left" w:pos="600"/>
        </w:tabs>
        <w:spacing w:after="80"/>
        <w:ind w:left="1320" w:hanging="360"/>
        <w:rPr>
          <w:sz w:val="24"/>
          <w:szCs w:val="24"/>
        </w:rPr>
      </w:pPr>
      <w:r>
        <w:rPr>
          <w:sz w:val="24"/>
          <w:szCs w:val="24"/>
        </w:rPr>
        <w:t>Not Applicable</w:t>
      </w:r>
      <w:r w:rsidR="001635D4">
        <w:rPr>
          <w:sz w:val="24"/>
          <w:szCs w:val="24"/>
        </w:rPr>
        <w:t>.</w:t>
      </w:r>
    </w:p>
    <w:p w:rsidR="009E13B1" w:rsidP="00751260" w:rsidRDefault="009E13B1" w14:paraId="3AAA8B58" w14:textId="77777777">
      <w:pPr>
        <w:numPr>
          <w:ilvl w:val="0"/>
          <w:numId w:val="13"/>
        </w:numPr>
        <w:tabs>
          <w:tab w:val="left" w:pos="360"/>
        </w:tabs>
        <w:rPr>
          <w:b/>
          <w:bCs/>
          <w:sz w:val="24"/>
          <w:szCs w:val="24"/>
        </w:rPr>
      </w:pPr>
      <w:r w:rsidRPr="00751260">
        <w:rPr>
          <w:b/>
          <w:bCs/>
          <w:sz w:val="24"/>
          <w:szCs w:val="24"/>
        </w:rPr>
        <w:t xml:space="preserve">If applicable, provide a copy and identify the date and page number of </w:t>
      </w:r>
      <w:proofErr w:type="gramStart"/>
      <w:r w:rsidRPr="00751260">
        <w:rPr>
          <w:b/>
          <w:bCs/>
          <w:sz w:val="24"/>
          <w:szCs w:val="24"/>
        </w:rPr>
        <w:t>publication</w:t>
      </w:r>
      <w:proofErr w:type="gramEnd"/>
      <w:r w:rsidRPr="00751260">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BE40B8" w:rsidP="00BE40B8" w:rsidRDefault="00BE40B8" w14:paraId="3BB09386" w14:textId="77777777">
      <w:pPr>
        <w:tabs>
          <w:tab w:val="left" w:pos="360"/>
        </w:tabs>
        <w:ind w:left="360"/>
        <w:rPr>
          <w:b/>
          <w:bCs/>
          <w:sz w:val="24"/>
          <w:szCs w:val="24"/>
        </w:rPr>
      </w:pPr>
    </w:p>
    <w:p w:rsidRPr="00EA3059" w:rsidR="00BE40B8" w:rsidP="00BE40B8" w:rsidRDefault="00EA3059" w14:paraId="00184C62" w14:textId="77777777">
      <w:pPr>
        <w:tabs>
          <w:tab w:val="left" w:pos="360"/>
        </w:tabs>
        <w:ind w:left="360"/>
        <w:rPr>
          <w:sz w:val="24"/>
          <w:szCs w:val="24"/>
        </w:rPr>
      </w:pPr>
      <w:r w:rsidRPr="00EA3059">
        <w:rPr>
          <w:sz w:val="24"/>
          <w:szCs w:val="24"/>
        </w:rPr>
        <w:t>H</w:t>
      </w:r>
      <w:r w:rsidRPr="00EA3059" w:rsidR="00815167">
        <w:rPr>
          <w:sz w:val="24"/>
          <w:szCs w:val="24"/>
        </w:rPr>
        <w:t>ud is seeking publication in the Federal Register for seven days for public comment</w:t>
      </w:r>
      <w:r>
        <w:rPr>
          <w:sz w:val="24"/>
          <w:szCs w:val="24"/>
        </w:rPr>
        <w:t>.</w:t>
      </w:r>
    </w:p>
    <w:p w:rsidRPr="006C7FAE" w:rsidR="00751260" w:rsidP="00751260" w:rsidRDefault="00751260" w14:paraId="3F36F0C4" w14:textId="77777777">
      <w:pPr>
        <w:tabs>
          <w:tab w:val="left" w:pos="360"/>
        </w:tabs>
        <w:ind w:left="360"/>
        <w:rPr>
          <w:sz w:val="24"/>
          <w:szCs w:val="24"/>
        </w:rPr>
      </w:pPr>
    </w:p>
    <w:p w:rsidRPr="0065214E" w:rsidR="00471CB6" w:rsidP="00471CB6" w:rsidRDefault="009E13B1" w14:paraId="39BF6CA4" w14:textId="77777777">
      <w:pPr>
        <w:numPr>
          <w:ilvl w:val="0"/>
          <w:numId w:val="14"/>
        </w:numPr>
        <w:tabs>
          <w:tab w:val="left" w:pos="360"/>
        </w:tabs>
        <w:ind w:left="480"/>
        <w:rPr>
          <w:b/>
          <w:bCs/>
          <w:sz w:val="24"/>
          <w:szCs w:val="24"/>
        </w:rPr>
      </w:pPr>
      <w:r w:rsidRPr="0065214E">
        <w:rPr>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751260" w:rsidP="00751260" w:rsidRDefault="00751260" w14:paraId="7FB7A418" w14:textId="77777777">
      <w:pPr>
        <w:tabs>
          <w:tab w:val="left" w:pos="360"/>
        </w:tabs>
        <w:ind w:left="480"/>
        <w:rPr>
          <w:sz w:val="24"/>
          <w:szCs w:val="24"/>
        </w:rPr>
      </w:pPr>
    </w:p>
    <w:p w:rsidR="00751260" w:rsidP="00751260" w:rsidRDefault="00DF085E" w14:paraId="431F28BA" w14:textId="77777777">
      <w:pPr>
        <w:numPr>
          <w:ilvl w:val="0"/>
          <w:numId w:val="17"/>
        </w:numPr>
        <w:tabs>
          <w:tab w:val="left" w:pos="360"/>
        </w:tabs>
        <w:rPr>
          <w:sz w:val="24"/>
          <w:szCs w:val="24"/>
        </w:rPr>
      </w:pPr>
      <w:r>
        <w:rPr>
          <w:sz w:val="24"/>
          <w:szCs w:val="24"/>
        </w:rPr>
        <w:t xml:space="preserve">Ginnie </w:t>
      </w:r>
      <w:r w:rsidR="0065214E">
        <w:rPr>
          <w:sz w:val="24"/>
          <w:szCs w:val="24"/>
        </w:rPr>
        <w:t>Mae meets with its business partners on an</w:t>
      </w:r>
      <w:r w:rsidR="00BE40B8">
        <w:rPr>
          <w:sz w:val="24"/>
          <w:szCs w:val="24"/>
        </w:rPr>
        <w:t xml:space="preserve"> ongoing</w:t>
      </w:r>
      <w:r w:rsidR="0065214E">
        <w:rPr>
          <w:sz w:val="24"/>
          <w:szCs w:val="24"/>
        </w:rPr>
        <w:t xml:space="preserve"> basis, both formally and informally.  Arenas include the Mortgage Bankers Association’s Ginnie Mae Liaison Committee meetings which are held three times a year, regular Issuer training sessions, Document Custodian outreach, and on-site Issuer field visits performed by Ginnie Mae Account Executives.</w:t>
      </w:r>
      <w:r>
        <w:rPr>
          <w:sz w:val="24"/>
          <w:szCs w:val="24"/>
        </w:rPr>
        <w:t xml:space="preserve">  Ginnie Mae also communicates regularly with pilot participants obtaining feedback and suggestions for improving the Digital Collateral Program.</w:t>
      </w:r>
    </w:p>
    <w:p w:rsidRPr="00471CB6" w:rsidR="0065214E" w:rsidP="0065214E" w:rsidRDefault="0065214E" w14:paraId="1D6A32BA" w14:textId="77777777">
      <w:pPr>
        <w:tabs>
          <w:tab w:val="left" w:pos="360"/>
        </w:tabs>
        <w:ind w:left="1404"/>
        <w:rPr>
          <w:sz w:val="24"/>
          <w:szCs w:val="24"/>
        </w:rPr>
      </w:pPr>
    </w:p>
    <w:p w:rsidR="009E13B1" w:rsidRDefault="009E13B1" w14:paraId="0E28C42B" w14:textId="77777777">
      <w:pPr>
        <w:keepLines/>
        <w:numPr>
          <w:ilvl w:val="0"/>
          <w:numId w:val="14"/>
        </w:numPr>
        <w:tabs>
          <w:tab w:val="left" w:pos="360"/>
        </w:tabs>
        <w:spacing w:after="80"/>
        <w:ind w:left="480"/>
        <w:rPr>
          <w:b/>
          <w:bCs/>
          <w:sz w:val="24"/>
          <w:szCs w:val="24"/>
        </w:rPr>
      </w:pPr>
      <w:r w:rsidRPr="0065214E">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65214E" w:rsidP="0065214E" w:rsidRDefault="0065214E" w14:paraId="4CFA5ABF" w14:textId="77777777">
      <w:pPr>
        <w:keepLines/>
        <w:tabs>
          <w:tab w:val="left" w:pos="360"/>
        </w:tabs>
        <w:spacing w:after="80"/>
        <w:rPr>
          <w:b/>
          <w:bCs/>
          <w:sz w:val="24"/>
          <w:szCs w:val="24"/>
        </w:rPr>
      </w:pPr>
    </w:p>
    <w:p w:rsidRPr="0065214E" w:rsidR="0065214E" w:rsidP="0065214E" w:rsidRDefault="0065214E" w14:paraId="3B7822E9" w14:textId="77777777">
      <w:pPr>
        <w:keepLines/>
        <w:numPr>
          <w:ilvl w:val="0"/>
          <w:numId w:val="17"/>
        </w:numPr>
        <w:tabs>
          <w:tab w:val="left" w:pos="360"/>
        </w:tabs>
        <w:spacing w:after="80"/>
        <w:rPr>
          <w:b/>
          <w:bCs/>
          <w:sz w:val="24"/>
          <w:szCs w:val="24"/>
        </w:rPr>
      </w:pPr>
      <w:r>
        <w:rPr>
          <w:sz w:val="24"/>
          <w:szCs w:val="24"/>
        </w:rPr>
        <w:t>As detailed above, Ginnie Mae regularly consults with its business partners formally and informally multiple times a year</w:t>
      </w:r>
      <w:r>
        <w:rPr>
          <w:b/>
          <w:bCs/>
          <w:sz w:val="24"/>
          <w:szCs w:val="24"/>
        </w:rPr>
        <w:t>.</w:t>
      </w:r>
    </w:p>
    <w:p w:rsidR="00471CB6" w:rsidP="00640B69" w:rsidRDefault="00471CB6" w14:paraId="0AE0101A" w14:textId="77777777">
      <w:pPr>
        <w:pStyle w:val="ListParagraph"/>
        <w:keepLines/>
        <w:tabs>
          <w:tab w:val="left" w:pos="360"/>
        </w:tabs>
        <w:spacing w:after="120"/>
        <w:ind w:left="1584"/>
        <w:jc w:val="both"/>
        <w:rPr>
          <w:bCs/>
          <w:color w:val="000000"/>
          <w:sz w:val="24"/>
          <w:szCs w:val="24"/>
        </w:rPr>
      </w:pPr>
    </w:p>
    <w:p w:rsidRPr="006C7FAE" w:rsidR="00471CB6" w:rsidP="00640B69" w:rsidRDefault="00471CB6" w14:paraId="50D6658C" w14:textId="77777777">
      <w:pPr>
        <w:keepLines/>
        <w:tabs>
          <w:tab w:val="left" w:pos="360"/>
        </w:tabs>
        <w:spacing w:after="80"/>
        <w:ind w:left="1584"/>
        <w:rPr>
          <w:sz w:val="24"/>
          <w:szCs w:val="24"/>
        </w:rPr>
      </w:pPr>
    </w:p>
    <w:p w:rsidRPr="006C7FAE" w:rsidR="009E13B1" w:rsidRDefault="009E13B1" w14:paraId="4C029D3A" w14:textId="77777777">
      <w:pPr>
        <w:tabs>
          <w:tab w:val="left" w:pos="360"/>
        </w:tabs>
        <w:ind w:left="360" w:hanging="360"/>
        <w:rPr>
          <w:sz w:val="24"/>
          <w:szCs w:val="24"/>
        </w:rPr>
      </w:pPr>
    </w:p>
    <w:p w:rsidR="00471CB6" w:rsidP="00471CB6" w:rsidRDefault="009E13B1" w14:paraId="1B568D18" w14:textId="77777777">
      <w:pPr>
        <w:keepLines/>
        <w:numPr>
          <w:ilvl w:val="0"/>
          <w:numId w:val="13"/>
        </w:numPr>
        <w:tabs>
          <w:tab w:val="left" w:pos="360"/>
        </w:tabs>
        <w:spacing w:after="80"/>
        <w:rPr>
          <w:sz w:val="24"/>
          <w:szCs w:val="24"/>
        </w:rPr>
      </w:pPr>
      <w:r w:rsidRPr="00640B69">
        <w:rPr>
          <w:b/>
          <w:bCs/>
          <w:sz w:val="24"/>
          <w:szCs w:val="24"/>
        </w:rPr>
        <w:t xml:space="preserve">Explain any decision to provide any payment or gift to respondents, other than </w:t>
      </w:r>
      <w:r w:rsidRPr="00640B69" w:rsidR="00DF085E">
        <w:rPr>
          <w:b/>
          <w:bCs/>
          <w:sz w:val="24"/>
          <w:szCs w:val="24"/>
        </w:rPr>
        <w:t>remuneration</w:t>
      </w:r>
      <w:r w:rsidRPr="00640B69">
        <w:rPr>
          <w:b/>
          <w:bCs/>
          <w:sz w:val="24"/>
          <w:szCs w:val="24"/>
        </w:rPr>
        <w:t xml:space="preserve"> of contractors or grantees</w:t>
      </w:r>
      <w:r w:rsidRPr="006C7FAE">
        <w:rPr>
          <w:sz w:val="24"/>
          <w:szCs w:val="24"/>
        </w:rPr>
        <w:t>.</w:t>
      </w:r>
    </w:p>
    <w:p w:rsidRPr="00471CB6" w:rsidR="00471CB6" w:rsidP="00471CB6" w:rsidRDefault="00640B69" w14:paraId="626F8F15" w14:textId="77777777">
      <w:pPr>
        <w:keepLines/>
        <w:numPr>
          <w:ilvl w:val="0"/>
          <w:numId w:val="16"/>
        </w:numPr>
        <w:tabs>
          <w:tab w:val="left" w:pos="360"/>
        </w:tabs>
        <w:spacing w:after="80"/>
        <w:rPr>
          <w:sz w:val="24"/>
          <w:szCs w:val="24"/>
        </w:rPr>
      </w:pPr>
      <w:r>
        <w:rPr>
          <w:sz w:val="24"/>
          <w:szCs w:val="24"/>
        </w:rPr>
        <w:t>There are no payments or gifts other than remuneration of contractors or grantees.</w:t>
      </w:r>
    </w:p>
    <w:p w:rsidRPr="006C7FAE" w:rsidR="009E13B1" w:rsidRDefault="009E13B1" w14:paraId="6CD10FC3" w14:textId="77777777">
      <w:pPr>
        <w:tabs>
          <w:tab w:val="left" w:pos="360"/>
        </w:tabs>
        <w:ind w:left="360" w:hanging="360"/>
        <w:rPr>
          <w:sz w:val="24"/>
          <w:szCs w:val="24"/>
        </w:rPr>
      </w:pPr>
    </w:p>
    <w:p w:rsidRPr="00640B69" w:rsidR="009E13B1" w:rsidP="00471CB6" w:rsidRDefault="009E13B1" w14:paraId="2B56A4B3" w14:textId="77777777">
      <w:pPr>
        <w:keepLines/>
        <w:numPr>
          <w:ilvl w:val="0"/>
          <w:numId w:val="13"/>
        </w:numPr>
        <w:tabs>
          <w:tab w:val="left" w:pos="360"/>
        </w:tabs>
        <w:spacing w:after="80"/>
        <w:rPr>
          <w:b/>
          <w:bCs/>
          <w:sz w:val="24"/>
          <w:szCs w:val="24"/>
        </w:rPr>
      </w:pPr>
      <w:r w:rsidRPr="00640B69">
        <w:rPr>
          <w:b/>
          <w:bCs/>
          <w:sz w:val="24"/>
          <w:szCs w:val="24"/>
        </w:rPr>
        <w:t xml:space="preserve">Describe any assurance of confidentiality provided to respondents and the basis for assurance in statute, </w:t>
      </w:r>
      <w:proofErr w:type="gramStart"/>
      <w:r w:rsidRPr="00640B69">
        <w:rPr>
          <w:b/>
          <w:bCs/>
          <w:sz w:val="24"/>
          <w:szCs w:val="24"/>
        </w:rPr>
        <w:t>regulation</w:t>
      </w:r>
      <w:proofErr w:type="gramEnd"/>
      <w:r w:rsidRPr="00640B69">
        <w:rPr>
          <w:b/>
          <w:bCs/>
          <w:sz w:val="24"/>
          <w:szCs w:val="24"/>
        </w:rPr>
        <w:t xml:space="preserve"> or agency policy.</w:t>
      </w:r>
    </w:p>
    <w:p w:rsidR="00471CB6" w:rsidP="00471CB6" w:rsidRDefault="00471CB6" w14:paraId="35F9406B" w14:textId="77777777">
      <w:pPr>
        <w:keepLines/>
        <w:numPr>
          <w:ilvl w:val="0"/>
          <w:numId w:val="16"/>
        </w:numPr>
        <w:tabs>
          <w:tab w:val="left" w:pos="360"/>
        </w:tabs>
        <w:spacing w:after="80"/>
        <w:jc w:val="both"/>
        <w:rPr>
          <w:bCs/>
          <w:color w:val="000000"/>
          <w:sz w:val="24"/>
          <w:szCs w:val="24"/>
        </w:rPr>
      </w:pPr>
      <w:r w:rsidRPr="003F3C9B">
        <w:rPr>
          <w:bCs/>
          <w:color w:val="000000"/>
          <w:sz w:val="24"/>
          <w:szCs w:val="24"/>
        </w:rPr>
        <w:t>The forms comply with the Privacy Act.  The information collected contains no personal or organizational identifiers.</w:t>
      </w:r>
      <w:r>
        <w:rPr>
          <w:bCs/>
          <w:color w:val="000000"/>
          <w:sz w:val="24"/>
          <w:szCs w:val="24"/>
        </w:rPr>
        <w:t xml:space="preserve"> Assurance of confidentiality is neither provided nor needed for any of these information collections. Personal identifiable information is covered under the Privacy Act of 1974 (U.S.C. 552)</w:t>
      </w:r>
    </w:p>
    <w:p w:rsidRPr="00471CB6" w:rsidR="009E13B1" w:rsidP="00471CB6" w:rsidRDefault="009E13B1" w14:paraId="36291719" w14:textId="77777777">
      <w:pPr>
        <w:keepLines/>
        <w:tabs>
          <w:tab w:val="left" w:pos="360"/>
        </w:tabs>
        <w:spacing w:after="80"/>
        <w:ind w:left="1800"/>
        <w:rPr>
          <w:sz w:val="24"/>
          <w:szCs w:val="24"/>
        </w:rPr>
      </w:pPr>
    </w:p>
    <w:p w:rsidRPr="00640B69" w:rsidR="009E13B1" w:rsidP="00471CB6" w:rsidRDefault="009E13B1" w14:paraId="6167E5D5" w14:textId="77777777">
      <w:pPr>
        <w:keepLines/>
        <w:numPr>
          <w:ilvl w:val="0"/>
          <w:numId w:val="13"/>
        </w:numPr>
        <w:tabs>
          <w:tab w:val="left" w:pos="360"/>
        </w:tabs>
        <w:spacing w:after="80"/>
        <w:rPr>
          <w:b/>
          <w:bCs/>
          <w:sz w:val="24"/>
          <w:szCs w:val="24"/>
        </w:rPr>
      </w:pPr>
      <w:r w:rsidRPr="00640B69">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C7FAE" w:rsidR="00471CB6" w:rsidP="00471CB6" w:rsidRDefault="00A022F1" w14:paraId="69E90EB8" w14:textId="77777777">
      <w:pPr>
        <w:keepLines/>
        <w:numPr>
          <w:ilvl w:val="0"/>
          <w:numId w:val="16"/>
        </w:numPr>
        <w:tabs>
          <w:tab w:val="left" w:pos="360"/>
        </w:tabs>
        <w:spacing w:after="80"/>
        <w:rPr>
          <w:sz w:val="24"/>
          <w:szCs w:val="24"/>
        </w:rPr>
      </w:pPr>
      <w:r>
        <w:rPr>
          <w:sz w:val="24"/>
          <w:szCs w:val="24"/>
        </w:rPr>
        <w:t>The information collected contains no questions of a sensitive nature, therefore, no justification is required.</w:t>
      </w:r>
    </w:p>
    <w:p w:rsidRPr="006C7FAE" w:rsidR="009E13B1" w:rsidRDefault="009E13B1" w14:paraId="2CE689BA" w14:textId="77777777">
      <w:pPr>
        <w:tabs>
          <w:tab w:val="left" w:pos="360"/>
        </w:tabs>
        <w:ind w:left="360" w:hanging="360"/>
        <w:rPr>
          <w:sz w:val="24"/>
          <w:szCs w:val="24"/>
        </w:rPr>
      </w:pPr>
    </w:p>
    <w:p w:rsidRPr="009E1B44" w:rsidR="009E13B1" w:rsidRDefault="009E13B1" w14:paraId="233E7917" w14:textId="77777777">
      <w:pPr>
        <w:tabs>
          <w:tab w:val="left" w:pos="360"/>
        </w:tabs>
        <w:ind w:left="360" w:hanging="360"/>
        <w:rPr>
          <w:b/>
          <w:bCs/>
          <w:sz w:val="24"/>
          <w:szCs w:val="24"/>
        </w:rPr>
      </w:pPr>
      <w:r w:rsidRPr="006C7FAE">
        <w:rPr>
          <w:sz w:val="24"/>
          <w:szCs w:val="24"/>
        </w:rPr>
        <w:t>12.</w:t>
      </w:r>
      <w:r w:rsidRPr="006C7FAE">
        <w:rPr>
          <w:sz w:val="24"/>
          <w:szCs w:val="24"/>
        </w:rPr>
        <w:tab/>
      </w:r>
      <w:r w:rsidRPr="009E1B44">
        <w:rPr>
          <w:b/>
          <w:bCs/>
          <w:sz w:val="24"/>
          <w:szCs w:val="24"/>
        </w:rPr>
        <w:t xml:space="preserve">Provide estimates of the hour burden of the collection of information.  The statement should: </w:t>
      </w:r>
    </w:p>
    <w:p w:rsidRPr="009E1B44" w:rsidR="009E13B1" w:rsidRDefault="009E13B1" w14:paraId="2EB83D00" w14:textId="77777777">
      <w:pPr>
        <w:numPr>
          <w:ilvl w:val="0"/>
          <w:numId w:val="14"/>
        </w:numPr>
        <w:tabs>
          <w:tab w:val="left" w:pos="480"/>
        </w:tabs>
        <w:ind w:left="480"/>
        <w:rPr>
          <w:b/>
          <w:bCs/>
          <w:sz w:val="24"/>
          <w:szCs w:val="24"/>
        </w:rPr>
      </w:pPr>
      <w:r w:rsidRPr="009E1B44">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9E1B44" w:rsidR="006C7FAE">
        <w:rPr>
          <w:b/>
          <w:bCs/>
          <w:sz w:val="24"/>
          <w:szCs w:val="24"/>
        </w:rPr>
        <w:t>Generally,</w:t>
      </w:r>
      <w:r w:rsidRPr="009E1B44">
        <w:rPr>
          <w:b/>
          <w:bCs/>
          <w:sz w:val="24"/>
          <w:szCs w:val="24"/>
        </w:rPr>
        <w:t xml:space="preserve"> estimates should not include burden hours for customary and usual business practices; </w:t>
      </w:r>
    </w:p>
    <w:p w:rsidRPr="009E1B44" w:rsidR="009E13B1" w:rsidRDefault="009E13B1" w14:paraId="6D08F413" w14:textId="77777777">
      <w:pPr>
        <w:numPr>
          <w:ilvl w:val="0"/>
          <w:numId w:val="14"/>
        </w:numPr>
        <w:tabs>
          <w:tab w:val="left" w:pos="480"/>
        </w:tabs>
        <w:ind w:left="480"/>
        <w:rPr>
          <w:b/>
          <w:bCs/>
          <w:sz w:val="24"/>
          <w:szCs w:val="24"/>
        </w:rPr>
      </w:pPr>
      <w:r w:rsidRPr="009E1B44">
        <w:rPr>
          <w:b/>
          <w:bCs/>
          <w:sz w:val="24"/>
          <w:szCs w:val="24"/>
        </w:rPr>
        <w:t>if this request covers more than one form, provide separate hour burden estimates for each form and aggregate the hour burdens in Item 13 of OMB Form 83-</w:t>
      </w:r>
      <w:proofErr w:type="gramStart"/>
      <w:r w:rsidRPr="009E1B44">
        <w:rPr>
          <w:b/>
          <w:bCs/>
          <w:sz w:val="24"/>
          <w:szCs w:val="24"/>
        </w:rPr>
        <w:t>I;</w:t>
      </w:r>
      <w:proofErr w:type="gramEnd"/>
      <w:r w:rsidRPr="009E1B44">
        <w:rPr>
          <w:b/>
          <w:bCs/>
          <w:sz w:val="24"/>
          <w:szCs w:val="24"/>
        </w:rPr>
        <w:t xml:space="preserve"> and </w:t>
      </w:r>
    </w:p>
    <w:p w:rsidRPr="009E1B44" w:rsidR="009E13B1" w:rsidRDefault="009E13B1" w14:paraId="0B887D42" w14:textId="77777777">
      <w:pPr>
        <w:keepLines/>
        <w:numPr>
          <w:ilvl w:val="0"/>
          <w:numId w:val="14"/>
        </w:numPr>
        <w:tabs>
          <w:tab w:val="left" w:pos="480"/>
        </w:tabs>
        <w:spacing w:after="80"/>
        <w:ind w:left="480"/>
        <w:rPr>
          <w:b/>
          <w:bCs/>
          <w:sz w:val="24"/>
          <w:szCs w:val="24"/>
        </w:rPr>
      </w:pPr>
      <w:r w:rsidRPr="009E1B44">
        <w:rPr>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9E1B44">
        <w:rPr>
          <w:b/>
          <w:bCs/>
          <w:sz w:val="24"/>
          <w:szCs w:val="24"/>
        </w:rPr>
        <w:t>Instead</w:t>
      </w:r>
      <w:proofErr w:type="gramEnd"/>
      <w:r w:rsidRPr="009E1B44">
        <w:rPr>
          <w:b/>
          <w:bCs/>
          <w:sz w:val="24"/>
          <w:szCs w:val="24"/>
        </w:rPr>
        <w:t xml:space="preserve"> this cost should be included in Item 13.</w:t>
      </w:r>
    </w:p>
    <w:p w:rsidR="00BC50C0" w:rsidP="00BC50C0" w:rsidRDefault="00BC50C0" w14:paraId="0E3A064D" w14:textId="77777777">
      <w:pPr>
        <w:keepLines/>
        <w:tabs>
          <w:tab w:val="left" w:pos="480"/>
        </w:tabs>
        <w:spacing w:after="80"/>
        <w:ind w:left="480"/>
        <w:rPr>
          <w:sz w:val="24"/>
          <w:szCs w:val="24"/>
        </w:rPr>
      </w:pPr>
    </w:p>
    <w:p w:rsidR="009E1B44" w:rsidP="009E1B44" w:rsidRDefault="009E1B44" w14:paraId="631069B9" w14:textId="77777777">
      <w:pPr>
        <w:tabs>
          <w:tab w:val="left" w:pos="360"/>
        </w:tabs>
        <w:spacing w:after="120"/>
        <w:ind w:left="1080"/>
        <w:jc w:val="both"/>
        <w:rPr>
          <w:bCs/>
          <w:color w:val="000000"/>
          <w:sz w:val="24"/>
          <w:szCs w:val="24"/>
        </w:rPr>
      </w:pPr>
      <w:r w:rsidRPr="003F3C9B">
        <w:rPr>
          <w:bCs/>
          <w:color w:val="000000"/>
          <w:sz w:val="24"/>
          <w:szCs w:val="24"/>
        </w:rPr>
        <w:t xml:space="preserve">There are </w:t>
      </w:r>
      <w:r>
        <w:rPr>
          <w:bCs/>
          <w:color w:val="000000"/>
          <w:sz w:val="24"/>
          <w:szCs w:val="24"/>
        </w:rPr>
        <w:t>three</w:t>
      </w:r>
      <w:r w:rsidRPr="003F3C9B">
        <w:rPr>
          <w:bCs/>
          <w:color w:val="000000"/>
          <w:sz w:val="24"/>
          <w:szCs w:val="24"/>
        </w:rPr>
        <w:t xml:space="preserve"> forms included with this submission.  If there are more than 10 respondents, the collection will be PRA compliant.  </w:t>
      </w:r>
    </w:p>
    <w:p w:rsidR="009E1B44" w:rsidP="009E1B44" w:rsidRDefault="009E1B44" w14:paraId="07B4CF6D" w14:textId="77777777">
      <w:pPr>
        <w:pStyle w:val="NoSpacing"/>
      </w:pPr>
      <w:r>
        <w:tab/>
      </w:r>
    </w:p>
    <w:p w:rsidR="00E71428" w:rsidP="009E1B44" w:rsidRDefault="009E1B44" w14:paraId="3E864DAF" w14:textId="77777777">
      <w:pPr>
        <w:tabs>
          <w:tab w:val="left" w:pos="360"/>
        </w:tabs>
        <w:spacing w:after="120"/>
        <w:ind w:left="1080" w:hanging="360"/>
        <w:jc w:val="both"/>
        <w:rPr>
          <w:bCs/>
          <w:color w:val="000000"/>
          <w:sz w:val="24"/>
          <w:szCs w:val="24"/>
        </w:rPr>
      </w:pPr>
      <w:r>
        <w:rPr>
          <w:bCs/>
          <w:color w:val="000000"/>
          <w:sz w:val="24"/>
          <w:szCs w:val="24"/>
        </w:rPr>
        <w:tab/>
        <w:t>T</w:t>
      </w:r>
      <w:r w:rsidRPr="003F3C9B">
        <w:rPr>
          <w:bCs/>
          <w:color w:val="000000"/>
          <w:sz w:val="24"/>
          <w:szCs w:val="24"/>
        </w:rPr>
        <w:t>he calculations</w:t>
      </w:r>
      <w:r>
        <w:rPr>
          <w:bCs/>
          <w:color w:val="000000"/>
          <w:sz w:val="24"/>
          <w:szCs w:val="24"/>
        </w:rPr>
        <w:t xml:space="preserve"> for the </w:t>
      </w:r>
      <w:proofErr w:type="spellStart"/>
      <w:r>
        <w:rPr>
          <w:bCs/>
          <w:color w:val="000000"/>
          <w:sz w:val="24"/>
          <w:szCs w:val="24"/>
        </w:rPr>
        <w:t>eIssuer</w:t>
      </w:r>
      <w:proofErr w:type="spellEnd"/>
      <w:r>
        <w:rPr>
          <w:bCs/>
          <w:color w:val="000000"/>
          <w:sz w:val="24"/>
          <w:szCs w:val="24"/>
        </w:rPr>
        <w:t xml:space="preserve"> and </w:t>
      </w:r>
      <w:proofErr w:type="spellStart"/>
      <w:r>
        <w:rPr>
          <w:bCs/>
          <w:color w:val="000000"/>
          <w:sz w:val="24"/>
          <w:szCs w:val="24"/>
        </w:rPr>
        <w:t>eCustodian</w:t>
      </w:r>
      <w:proofErr w:type="spellEnd"/>
      <w:r>
        <w:rPr>
          <w:bCs/>
          <w:color w:val="000000"/>
          <w:sz w:val="24"/>
          <w:szCs w:val="24"/>
        </w:rPr>
        <w:t xml:space="preserve"> applications</w:t>
      </w:r>
      <w:r w:rsidRPr="003F3C9B">
        <w:rPr>
          <w:bCs/>
          <w:color w:val="000000"/>
          <w:sz w:val="24"/>
          <w:szCs w:val="24"/>
        </w:rPr>
        <w:t xml:space="preserve"> are based on </w:t>
      </w:r>
      <w:r w:rsidR="005F36F5">
        <w:rPr>
          <w:bCs/>
          <w:color w:val="000000"/>
          <w:sz w:val="24"/>
          <w:szCs w:val="24"/>
        </w:rPr>
        <w:t xml:space="preserve">the estimated </w:t>
      </w:r>
      <w:r w:rsidRPr="003F3C9B">
        <w:rPr>
          <w:bCs/>
          <w:color w:val="000000"/>
          <w:sz w:val="24"/>
          <w:szCs w:val="24"/>
        </w:rPr>
        <w:t>number of respondents multiplied by the frequency of response</w:t>
      </w:r>
      <w:r>
        <w:rPr>
          <w:bCs/>
          <w:color w:val="000000"/>
          <w:sz w:val="24"/>
          <w:szCs w:val="24"/>
        </w:rPr>
        <w:t>. The calculation for</w:t>
      </w:r>
      <w:r w:rsidRPr="003F3C9B">
        <w:rPr>
          <w:bCs/>
          <w:color w:val="000000"/>
          <w:sz w:val="24"/>
          <w:szCs w:val="24"/>
        </w:rPr>
        <w:t xml:space="preserve"> the</w:t>
      </w:r>
      <w:r>
        <w:rPr>
          <w:bCs/>
          <w:color w:val="000000"/>
          <w:sz w:val="24"/>
          <w:szCs w:val="24"/>
        </w:rPr>
        <w:t xml:space="preserve"> Request for Release of Secured Party i</w:t>
      </w:r>
      <w:r w:rsidR="00DD5686">
        <w:rPr>
          <w:bCs/>
          <w:color w:val="000000"/>
          <w:sz w:val="24"/>
          <w:szCs w:val="24"/>
        </w:rPr>
        <w:t>s based on volume.</w:t>
      </w:r>
      <w:r w:rsidRPr="003F3C9B">
        <w:rPr>
          <w:bCs/>
          <w:color w:val="000000"/>
          <w:sz w:val="24"/>
          <w:szCs w:val="24"/>
        </w:rPr>
        <w:t xml:space="preserve"> </w:t>
      </w:r>
      <w:r w:rsidR="00DD5686">
        <w:rPr>
          <w:bCs/>
          <w:color w:val="000000"/>
          <w:sz w:val="24"/>
          <w:szCs w:val="24"/>
        </w:rPr>
        <w:t>Ginnie Mae has 322</w:t>
      </w:r>
      <w:r w:rsidRPr="003F3C9B">
        <w:rPr>
          <w:bCs/>
          <w:color w:val="000000"/>
          <w:sz w:val="24"/>
          <w:szCs w:val="24"/>
        </w:rPr>
        <w:t xml:space="preserve"> approved Issuers, not all of them are actively pooling</w:t>
      </w:r>
      <w:r w:rsidR="005F36F5">
        <w:rPr>
          <w:bCs/>
          <w:color w:val="000000"/>
          <w:sz w:val="24"/>
          <w:szCs w:val="24"/>
        </w:rPr>
        <w:t xml:space="preserve">, and not all of them will </w:t>
      </w:r>
      <w:r w:rsidR="00DF085E">
        <w:rPr>
          <w:bCs/>
          <w:color w:val="000000"/>
          <w:sz w:val="24"/>
          <w:szCs w:val="24"/>
        </w:rPr>
        <w:t>choose</w:t>
      </w:r>
      <w:r w:rsidR="005F36F5">
        <w:rPr>
          <w:bCs/>
          <w:color w:val="000000"/>
          <w:sz w:val="24"/>
          <w:szCs w:val="24"/>
        </w:rPr>
        <w:t xml:space="preserve"> to issue MBS </w:t>
      </w:r>
      <w:r w:rsidR="00DF085E">
        <w:rPr>
          <w:bCs/>
          <w:color w:val="000000"/>
          <w:sz w:val="24"/>
          <w:szCs w:val="24"/>
        </w:rPr>
        <w:t xml:space="preserve">backed by </w:t>
      </w:r>
      <w:proofErr w:type="spellStart"/>
      <w:r w:rsidR="00DF085E">
        <w:rPr>
          <w:bCs/>
          <w:color w:val="000000"/>
          <w:sz w:val="24"/>
          <w:szCs w:val="24"/>
        </w:rPr>
        <w:t>eMortgages</w:t>
      </w:r>
      <w:proofErr w:type="spellEnd"/>
      <w:r w:rsidR="00DF085E">
        <w:rPr>
          <w:bCs/>
          <w:color w:val="000000"/>
          <w:sz w:val="24"/>
          <w:szCs w:val="24"/>
        </w:rPr>
        <w:t xml:space="preserve"> </w:t>
      </w:r>
      <w:r w:rsidR="005F36F5">
        <w:rPr>
          <w:bCs/>
          <w:color w:val="000000"/>
          <w:sz w:val="24"/>
          <w:szCs w:val="24"/>
        </w:rPr>
        <w:t>and service</w:t>
      </w:r>
      <w:r w:rsidR="00DF085E">
        <w:rPr>
          <w:bCs/>
          <w:color w:val="000000"/>
          <w:sz w:val="24"/>
          <w:szCs w:val="24"/>
        </w:rPr>
        <w:t xml:space="preserve"> those</w:t>
      </w:r>
      <w:r w:rsidR="005F36F5">
        <w:rPr>
          <w:bCs/>
          <w:color w:val="000000"/>
          <w:sz w:val="24"/>
          <w:szCs w:val="24"/>
        </w:rPr>
        <w:t xml:space="preserve"> </w:t>
      </w:r>
      <w:proofErr w:type="spellStart"/>
      <w:r w:rsidR="005F36F5">
        <w:rPr>
          <w:bCs/>
          <w:color w:val="000000"/>
          <w:sz w:val="24"/>
          <w:szCs w:val="24"/>
        </w:rPr>
        <w:t>eMortgages</w:t>
      </w:r>
      <w:proofErr w:type="spellEnd"/>
      <w:r w:rsidRPr="003F3C9B">
        <w:rPr>
          <w:bCs/>
          <w:color w:val="000000"/>
          <w:sz w:val="24"/>
          <w:szCs w:val="24"/>
        </w:rPr>
        <w:t xml:space="preserve">.  We have some program participants that issue only a few pools and others that issue hundreds.  </w:t>
      </w:r>
      <w:r w:rsidR="00EF05C4">
        <w:rPr>
          <w:bCs/>
          <w:color w:val="000000"/>
          <w:sz w:val="24"/>
          <w:szCs w:val="24"/>
        </w:rPr>
        <w:t xml:space="preserve">Due to the technological requirements and specialized expertise required to issue and service Ginnie Mae MBS backed by </w:t>
      </w:r>
      <w:proofErr w:type="spellStart"/>
      <w:r w:rsidR="00EF05C4">
        <w:rPr>
          <w:bCs/>
          <w:color w:val="000000"/>
          <w:sz w:val="24"/>
          <w:szCs w:val="24"/>
        </w:rPr>
        <w:t>eMortgages</w:t>
      </w:r>
      <w:proofErr w:type="spellEnd"/>
      <w:r w:rsidR="00EF05C4">
        <w:rPr>
          <w:bCs/>
          <w:color w:val="000000"/>
          <w:sz w:val="24"/>
          <w:szCs w:val="24"/>
        </w:rPr>
        <w:t>, we estimate that the number of additional participants will be 20 per year.  Ginnie Mae has</w:t>
      </w:r>
      <w:r w:rsidR="00E41A3B">
        <w:rPr>
          <w:bCs/>
          <w:color w:val="000000"/>
          <w:sz w:val="24"/>
          <w:szCs w:val="24"/>
        </w:rPr>
        <w:t xml:space="preserve"> 27 approved Document Custodians, and for the same reasons as for Issuers, we estimate that the annual number of e Custodian applications</w:t>
      </w:r>
      <w:r w:rsidR="00E71428">
        <w:rPr>
          <w:bCs/>
          <w:color w:val="000000"/>
          <w:sz w:val="24"/>
          <w:szCs w:val="24"/>
        </w:rPr>
        <w:t xml:space="preserve"> will be five (5).</w:t>
      </w:r>
      <w:r w:rsidR="00E41A3B">
        <w:rPr>
          <w:bCs/>
          <w:color w:val="000000"/>
          <w:sz w:val="24"/>
          <w:szCs w:val="24"/>
        </w:rPr>
        <w:t xml:space="preserve"> </w:t>
      </w:r>
    </w:p>
    <w:p w:rsidRPr="003F3C9B" w:rsidR="009E1B44" w:rsidP="009E1B44" w:rsidRDefault="00E71428" w14:paraId="415EF82F" w14:textId="77777777">
      <w:pPr>
        <w:tabs>
          <w:tab w:val="left" w:pos="360"/>
        </w:tabs>
        <w:spacing w:after="120"/>
        <w:ind w:left="1080" w:hanging="360"/>
        <w:jc w:val="both"/>
        <w:rPr>
          <w:bCs/>
          <w:color w:val="000000"/>
          <w:sz w:val="24"/>
          <w:szCs w:val="24"/>
        </w:rPr>
      </w:pPr>
      <w:r>
        <w:rPr>
          <w:bCs/>
          <w:color w:val="000000"/>
          <w:sz w:val="24"/>
          <w:szCs w:val="24"/>
        </w:rPr>
        <w:tab/>
        <w:t xml:space="preserve">The calculation of the Request for Release of Secured Party is based on an estimated volume.  </w:t>
      </w:r>
    </w:p>
    <w:p w:rsidRPr="003F3C9B" w:rsidR="009E1B44" w:rsidP="009E1B44" w:rsidRDefault="009E1B44" w14:paraId="7363F318" w14:textId="77777777">
      <w:pPr>
        <w:tabs>
          <w:tab w:val="left" w:pos="360"/>
        </w:tabs>
        <w:spacing w:after="120"/>
        <w:ind w:left="1080" w:hanging="30"/>
        <w:jc w:val="both"/>
        <w:rPr>
          <w:bCs/>
          <w:color w:val="000000"/>
          <w:sz w:val="24"/>
          <w:szCs w:val="24"/>
        </w:rPr>
      </w:pPr>
      <w:r w:rsidRPr="003F3C9B">
        <w:rPr>
          <w:bCs/>
          <w:color w:val="000000"/>
          <w:sz w:val="24"/>
          <w:szCs w:val="24"/>
        </w:rPr>
        <w:t>The average hourly cost is $</w:t>
      </w:r>
      <w:r w:rsidR="005F36F5">
        <w:rPr>
          <w:bCs/>
          <w:color w:val="000000"/>
          <w:sz w:val="24"/>
          <w:szCs w:val="24"/>
        </w:rPr>
        <w:t>32</w:t>
      </w:r>
      <w:r w:rsidRPr="003F3C9B">
        <w:rPr>
          <w:bCs/>
          <w:color w:val="000000"/>
          <w:sz w:val="24"/>
          <w:szCs w:val="24"/>
        </w:rPr>
        <w:t xml:space="preserve"> per hour</w:t>
      </w:r>
      <w:r w:rsidR="00E71428">
        <w:rPr>
          <w:bCs/>
          <w:color w:val="000000"/>
          <w:sz w:val="24"/>
          <w:szCs w:val="24"/>
        </w:rPr>
        <w:t xml:space="preserve">, which we arrived at by using the average hourly cost used </w:t>
      </w:r>
      <w:r w:rsidR="00EA3059">
        <w:rPr>
          <w:bCs/>
          <w:color w:val="000000"/>
          <w:sz w:val="24"/>
          <w:szCs w:val="24"/>
        </w:rPr>
        <w:t>for Collection 2503-0033</w:t>
      </w:r>
      <w:r w:rsidR="00E71428">
        <w:rPr>
          <w:bCs/>
          <w:color w:val="000000"/>
          <w:sz w:val="24"/>
          <w:szCs w:val="24"/>
        </w:rPr>
        <w:t xml:space="preserve"> and increasing by 10% (rounded to the nearest dollar) to reflect inflation.</w:t>
      </w:r>
      <w:r w:rsidRPr="003F3C9B">
        <w:rPr>
          <w:bCs/>
          <w:color w:val="000000"/>
          <w:sz w:val="24"/>
          <w:szCs w:val="24"/>
        </w:rPr>
        <w:t xml:space="preserve"> </w:t>
      </w:r>
      <w:r w:rsidRPr="003F3C9B">
        <w:rPr>
          <w:sz w:val="24"/>
          <w:szCs w:val="24"/>
        </w:rPr>
        <w:t>T</w:t>
      </w:r>
      <w:r w:rsidRPr="003F3C9B">
        <w:rPr>
          <w:bCs/>
          <w:color w:val="000000"/>
          <w:sz w:val="24"/>
          <w:szCs w:val="24"/>
        </w:rPr>
        <w:t xml:space="preserve">he cost to respondents is based on the average hourly wages of mortgage industry employees to review, </w:t>
      </w:r>
      <w:proofErr w:type="gramStart"/>
      <w:r w:rsidRPr="003F3C9B">
        <w:rPr>
          <w:bCs/>
          <w:color w:val="000000"/>
          <w:sz w:val="24"/>
          <w:szCs w:val="24"/>
        </w:rPr>
        <w:t>collect</w:t>
      </w:r>
      <w:proofErr w:type="gramEnd"/>
      <w:r w:rsidRPr="003F3C9B">
        <w:rPr>
          <w:bCs/>
          <w:color w:val="000000"/>
          <w:sz w:val="24"/>
          <w:szCs w:val="24"/>
        </w:rPr>
        <w:t xml:space="preserve"> and submit the information to Ginnie Mae or its agent</w:t>
      </w:r>
      <w:r>
        <w:rPr>
          <w:bCs/>
          <w:color w:val="000000"/>
          <w:sz w:val="24"/>
          <w:szCs w:val="24"/>
        </w:rPr>
        <w:t>.</w:t>
      </w:r>
    </w:p>
    <w:p w:rsidRPr="006C7FAE" w:rsidR="009E1B44" w:rsidP="00BC50C0" w:rsidRDefault="009E1B44" w14:paraId="5C71DF9F" w14:textId="77777777">
      <w:pPr>
        <w:keepLines/>
        <w:tabs>
          <w:tab w:val="left" w:pos="480"/>
        </w:tabs>
        <w:spacing w:after="80"/>
        <w:ind w:left="480"/>
        <w:rPr>
          <w:sz w:val="24"/>
          <w:szCs w:val="24"/>
        </w:rPr>
      </w:pPr>
    </w:p>
    <w:p w:rsidRPr="006C7FAE" w:rsidR="009E13B1" w:rsidRDefault="009E13B1" w14:paraId="179CB300"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0" w:type="auto"/>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590"/>
        <w:gridCol w:w="1138"/>
        <w:gridCol w:w="1164"/>
        <w:gridCol w:w="1129"/>
        <w:gridCol w:w="1048"/>
        <w:gridCol w:w="887"/>
        <w:gridCol w:w="1236"/>
        <w:gridCol w:w="1336"/>
      </w:tblGrid>
      <w:tr w:rsidRPr="006C7FAE" w:rsidR="00167E53" w:rsidTr="00B513E4" w14:paraId="1A553790" w14:textId="77777777">
        <w:tc>
          <w:tcPr>
            <w:tcW w:w="1590" w:type="dxa"/>
            <w:tcMar>
              <w:top w:w="0" w:type="dxa"/>
              <w:left w:w="108" w:type="dxa"/>
              <w:bottom w:w="0" w:type="dxa"/>
              <w:right w:w="108" w:type="dxa"/>
            </w:tcMar>
            <w:hideMark/>
          </w:tcPr>
          <w:p w:rsidRPr="006C7FAE" w:rsidR="00167E53" w:rsidP="00167E53" w:rsidRDefault="00167E53" w14:paraId="718BD17A" w14:textId="77777777">
            <w:pPr>
              <w:adjustRightInd/>
              <w:jc w:val="center"/>
              <w:textAlignment w:val="auto"/>
              <w:rPr>
                <w:rFonts w:eastAsia="Calibri"/>
                <w:b/>
                <w:bCs/>
                <w:color w:val="000000"/>
              </w:rPr>
            </w:pPr>
            <w:bookmarkStart w:name="_Hlk72491044" w:id="1"/>
            <w:r w:rsidRPr="006C7FAE">
              <w:rPr>
                <w:rFonts w:eastAsia="Calibri"/>
                <w:b/>
                <w:bCs/>
                <w:color w:val="000000"/>
              </w:rPr>
              <w:t>Information Collection</w:t>
            </w:r>
          </w:p>
        </w:tc>
        <w:tc>
          <w:tcPr>
            <w:tcW w:w="1138" w:type="dxa"/>
            <w:tcMar>
              <w:top w:w="0" w:type="dxa"/>
              <w:left w:w="108" w:type="dxa"/>
              <w:bottom w:w="0" w:type="dxa"/>
              <w:right w:w="108" w:type="dxa"/>
            </w:tcMar>
            <w:hideMark/>
          </w:tcPr>
          <w:p w:rsidRPr="006C7FAE" w:rsidR="00167E53" w:rsidP="00167E53" w:rsidRDefault="00167E53" w14:paraId="1BF0244B"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164" w:type="dxa"/>
            <w:tcMar>
              <w:top w:w="0" w:type="dxa"/>
              <w:left w:w="108" w:type="dxa"/>
              <w:bottom w:w="0" w:type="dxa"/>
              <w:right w:w="108" w:type="dxa"/>
            </w:tcMar>
            <w:hideMark/>
          </w:tcPr>
          <w:p w:rsidRPr="006C7FAE" w:rsidR="00167E53" w:rsidP="00167E53" w:rsidRDefault="00167E53" w14:paraId="66AD052B"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29" w:type="dxa"/>
            <w:tcMar>
              <w:top w:w="0" w:type="dxa"/>
              <w:left w:w="108" w:type="dxa"/>
              <w:bottom w:w="0" w:type="dxa"/>
              <w:right w:w="108" w:type="dxa"/>
            </w:tcMar>
            <w:hideMark/>
          </w:tcPr>
          <w:p w:rsidRPr="006C7FAE" w:rsidR="00167E53" w:rsidP="00167E53" w:rsidRDefault="00167E53" w14:paraId="16AC3E1B"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Pr="006C7FAE" w:rsidR="00167E53" w:rsidP="00167E53" w:rsidRDefault="00167E53" w14:paraId="68D75278" w14:textId="77777777">
            <w:pPr>
              <w:adjustRightInd/>
              <w:jc w:val="center"/>
              <w:textAlignment w:val="auto"/>
              <w:rPr>
                <w:rFonts w:eastAsia="Calibri"/>
                <w:b/>
                <w:bCs/>
                <w:color w:val="000000"/>
              </w:rPr>
            </w:pPr>
            <w:r w:rsidRPr="006C7FAE">
              <w:rPr>
                <w:rFonts w:eastAsia="Calibri"/>
                <w:b/>
                <w:bCs/>
                <w:color w:val="000000"/>
              </w:rPr>
              <w:t>Per Annum</w:t>
            </w:r>
          </w:p>
        </w:tc>
        <w:tc>
          <w:tcPr>
            <w:tcW w:w="1048" w:type="dxa"/>
            <w:tcMar>
              <w:top w:w="0" w:type="dxa"/>
              <w:left w:w="108" w:type="dxa"/>
              <w:bottom w:w="0" w:type="dxa"/>
              <w:right w:w="108" w:type="dxa"/>
            </w:tcMar>
            <w:hideMark/>
          </w:tcPr>
          <w:p w:rsidRPr="006C7FAE" w:rsidR="00167E53" w:rsidP="00167E53" w:rsidRDefault="00167E53" w14:paraId="2783BC6F"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887" w:type="dxa"/>
            <w:tcMar>
              <w:top w:w="0" w:type="dxa"/>
              <w:left w:w="108" w:type="dxa"/>
              <w:bottom w:w="0" w:type="dxa"/>
              <w:right w:w="108" w:type="dxa"/>
            </w:tcMar>
            <w:hideMark/>
          </w:tcPr>
          <w:p w:rsidRPr="006C7FAE" w:rsidR="00167E53" w:rsidP="00167E53" w:rsidRDefault="00167E53" w14:paraId="03E0A4F3" w14:textId="77777777">
            <w:pPr>
              <w:adjustRightInd/>
              <w:jc w:val="center"/>
              <w:textAlignment w:val="auto"/>
              <w:rPr>
                <w:rFonts w:eastAsia="Calibri"/>
                <w:b/>
                <w:bCs/>
                <w:color w:val="000000"/>
              </w:rPr>
            </w:pPr>
            <w:r w:rsidRPr="006C7FAE">
              <w:rPr>
                <w:rFonts w:eastAsia="Calibri"/>
                <w:b/>
                <w:bCs/>
                <w:color w:val="000000"/>
              </w:rPr>
              <w:t>Annual Burden Hours</w:t>
            </w:r>
          </w:p>
        </w:tc>
        <w:tc>
          <w:tcPr>
            <w:tcW w:w="1236" w:type="dxa"/>
            <w:tcMar>
              <w:top w:w="0" w:type="dxa"/>
              <w:left w:w="108" w:type="dxa"/>
              <w:bottom w:w="0" w:type="dxa"/>
              <w:right w:w="108" w:type="dxa"/>
            </w:tcMar>
            <w:hideMark/>
          </w:tcPr>
          <w:p w:rsidRPr="006C7FAE" w:rsidR="00167E53" w:rsidP="00167E53" w:rsidRDefault="00167E53" w14:paraId="5C24C1B6"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336" w:type="dxa"/>
            <w:tcMar>
              <w:top w:w="0" w:type="dxa"/>
              <w:left w:w="108" w:type="dxa"/>
              <w:bottom w:w="0" w:type="dxa"/>
              <w:right w:w="108" w:type="dxa"/>
            </w:tcMar>
          </w:tcPr>
          <w:p w:rsidRPr="006C7FAE" w:rsidR="00167E53" w:rsidP="00167E53" w:rsidRDefault="00167E53" w14:paraId="09284F3E"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Pr="006C7FAE" w:rsidR="00167E53" w:rsidP="00167E53" w:rsidRDefault="00167E53" w14:paraId="6A74B51E" w14:textId="77777777">
            <w:pPr>
              <w:adjustRightInd/>
              <w:jc w:val="center"/>
              <w:textAlignment w:val="auto"/>
              <w:rPr>
                <w:rFonts w:eastAsia="Calibri"/>
                <w:b/>
                <w:bCs/>
                <w:color w:val="000000"/>
              </w:rPr>
            </w:pPr>
          </w:p>
        </w:tc>
      </w:tr>
      <w:tr w:rsidRPr="006C7FAE" w:rsidR="00167E53" w:rsidTr="00B513E4" w14:paraId="4605A0CD" w14:textId="77777777">
        <w:tc>
          <w:tcPr>
            <w:tcW w:w="1590" w:type="dxa"/>
            <w:tcMar>
              <w:top w:w="0" w:type="dxa"/>
              <w:left w:w="108" w:type="dxa"/>
              <w:bottom w:w="0" w:type="dxa"/>
              <w:right w:w="108" w:type="dxa"/>
            </w:tcMar>
          </w:tcPr>
          <w:p w:rsidR="00167E53" w:rsidP="00167E53" w:rsidRDefault="005F36F5" w14:paraId="524145DC" w14:textId="77777777">
            <w:pPr>
              <w:adjustRightInd/>
              <w:textAlignment w:val="auto"/>
              <w:rPr>
                <w:rFonts w:eastAsia="Calibri"/>
                <w:b/>
                <w:bCs/>
                <w:color w:val="000000"/>
              </w:rPr>
            </w:pPr>
            <w:proofErr w:type="spellStart"/>
            <w:r>
              <w:rPr>
                <w:rFonts w:eastAsia="Calibri"/>
                <w:b/>
                <w:bCs/>
                <w:color w:val="000000"/>
              </w:rPr>
              <w:t>eIssuer</w:t>
            </w:r>
            <w:proofErr w:type="spellEnd"/>
            <w:r>
              <w:rPr>
                <w:rFonts w:eastAsia="Calibri"/>
                <w:b/>
                <w:bCs/>
                <w:color w:val="000000"/>
              </w:rPr>
              <w:t xml:space="preserve"> Application</w:t>
            </w:r>
          </w:p>
          <w:p w:rsidRPr="006C7FAE" w:rsidR="00B513E4" w:rsidP="00167E53" w:rsidRDefault="00B513E4" w14:paraId="2D21EBC1" w14:textId="77777777">
            <w:pPr>
              <w:adjustRightInd/>
              <w:textAlignment w:val="auto"/>
              <w:rPr>
                <w:rFonts w:eastAsia="Calibri"/>
                <w:b/>
                <w:bCs/>
                <w:color w:val="000000"/>
              </w:rPr>
            </w:pPr>
            <w:r>
              <w:rPr>
                <w:rFonts w:eastAsia="Calibri"/>
                <w:b/>
                <w:bCs/>
                <w:color w:val="000000"/>
              </w:rPr>
              <w:t>(HUD11701A)</w:t>
            </w:r>
          </w:p>
        </w:tc>
        <w:tc>
          <w:tcPr>
            <w:tcW w:w="1138" w:type="dxa"/>
            <w:tcMar>
              <w:top w:w="0" w:type="dxa"/>
              <w:left w:w="108" w:type="dxa"/>
              <w:bottom w:w="0" w:type="dxa"/>
              <w:right w:w="108" w:type="dxa"/>
            </w:tcMar>
          </w:tcPr>
          <w:p w:rsidRPr="006C7FAE" w:rsidR="00167E53" w:rsidP="00167E53" w:rsidRDefault="00E71428" w14:paraId="095E14FF" w14:textId="77777777">
            <w:pPr>
              <w:adjustRightInd/>
              <w:jc w:val="center"/>
              <w:textAlignment w:val="auto"/>
              <w:rPr>
                <w:rFonts w:eastAsia="Calibri"/>
                <w:b/>
                <w:bCs/>
                <w:color w:val="000000"/>
              </w:rPr>
            </w:pPr>
            <w:r>
              <w:rPr>
                <w:rFonts w:eastAsia="Calibri"/>
                <w:b/>
                <w:bCs/>
                <w:color w:val="000000"/>
              </w:rPr>
              <w:t>20</w:t>
            </w:r>
          </w:p>
        </w:tc>
        <w:tc>
          <w:tcPr>
            <w:tcW w:w="1164" w:type="dxa"/>
            <w:tcMar>
              <w:top w:w="0" w:type="dxa"/>
              <w:left w:w="108" w:type="dxa"/>
              <w:bottom w:w="0" w:type="dxa"/>
              <w:right w:w="108" w:type="dxa"/>
            </w:tcMar>
          </w:tcPr>
          <w:p w:rsidRPr="006C7FAE" w:rsidR="00167E53" w:rsidP="00167E53" w:rsidRDefault="005F36F5" w14:paraId="795831DB" w14:textId="77777777">
            <w:pPr>
              <w:adjustRightInd/>
              <w:jc w:val="center"/>
              <w:textAlignment w:val="auto"/>
              <w:rPr>
                <w:rFonts w:eastAsia="Calibri"/>
                <w:b/>
                <w:bCs/>
                <w:color w:val="000000"/>
              </w:rPr>
            </w:pPr>
            <w:r>
              <w:rPr>
                <w:rFonts w:eastAsia="Calibri"/>
                <w:b/>
                <w:bCs/>
                <w:color w:val="000000"/>
              </w:rPr>
              <w:t>1</w:t>
            </w:r>
          </w:p>
        </w:tc>
        <w:tc>
          <w:tcPr>
            <w:tcW w:w="1129" w:type="dxa"/>
            <w:tcMar>
              <w:top w:w="0" w:type="dxa"/>
              <w:left w:w="108" w:type="dxa"/>
              <w:bottom w:w="0" w:type="dxa"/>
              <w:right w:w="108" w:type="dxa"/>
            </w:tcMar>
          </w:tcPr>
          <w:p w:rsidRPr="006C7FAE" w:rsidR="00167E53" w:rsidP="00167E53" w:rsidRDefault="00E71428" w14:paraId="477D99BE" w14:textId="77777777">
            <w:pPr>
              <w:adjustRightInd/>
              <w:jc w:val="center"/>
              <w:textAlignment w:val="auto"/>
              <w:rPr>
                <w:rFonts w:eastAsia="Calibri"/>
                <w:b/>
                <w:bCs/>
                <w:color w:val="000000"/>
              </w:rPr>
            </w:pPr>
            <w:r>
              <w:rPr>
                <w:rFonts w:eastAsia="Calibri"/>
                <w:b/>
                <w:bCs/>
                <w:color w:val="000000"/>
              </w:rPr>
              <w:t>20</w:t>
            </w:r>
          </w:p>
        </w:tc>
        <w:tc>
          <w:tcPr>
            <w:tcW w:w="1048" w:type="dxa"/>
            <w:tcMar>
              <w:top w:w="0" w:type="dxa"/>
              <w:left w:w="108" w:type="dxa"/>
              <w:bottom w:w="0" w:type="dxa"/>
              <w:right w:w="108" w:type="dxa"/>
            </w:tcMar>
          </w:tcPr>
          <w:p w:rsidRPr="006C7FAE" w:rsidR="00167E53" w:rsidP="00167E53" w:rsidRDefault="005F36F5" w14:paraId="387FD92D" w14:textId="77777777">
            <w:pPr>
              <w:adjustRightInd/>
              <w:jc w:val="center"/>
              <w:textAlignment w:val="auto"/>
              <w:rPr>
                <w:rFonts w:eastAsia="Calibri"/>
                <w:b/>
                <w:bCs/>
                <w:color w:val="000000"/>
              </w:rPr>
            </w:pPr>
            <w:r>
              <w:rPr>
                <w:rFonts w:eastAsia="Calibri"/>
                <w:b/>
                <w:bCs/>
                <w:color w:val="000000"/>
              </w:rPr>
              <w:t>.5</w:t>
            </w:r>
          </w:p>
        </w:tc>
        <w:tc>
          <w:tcPr>
            <w:tcW w:w="887" w:type="dxa"/>
            <w:tcMar>
              <w:top w:w="0" w:type="dxa"/>
              <w:left w:w="108" w:type="dxa"/>
              <w:bottom w:w="0" w:type="dxa"/>
              <w:right w:w="108" w:type="dxa"/>
            </w:tcMar>
          </w:tcPr>
          <w:p w:rsidRPr="006C7FAE" w:rsidR="00167E53" w:rsidP="00167E53" w:rsidRDefault="00E71428" w14:paraId="1BBB744F" w14:textId="77777777">
            <w:pPr>
              <w:adjustRightInd/>
              <w:jc w:val="center"/>
              <w:textAlignment w:val="auto"/>
              <w:rPr>
                <w:rFonts w:eastAsia="Calibri"/>
                <w:b/>
                <w:bCs/>
                <w:color w:val="000000"/>
              </w:rPr>
            </w:pPr>
            <w:r>
              <w:rPr>
                <w:rFonts w:eastAsia="Calibri"/>
                <w:b/>
                <w:bCs/>
                <w:color w:val="000000"/>
              </w:rPr>
              <w:t>10</w:t>
            </w:r>
          </w:p>
        </w:tc>
        <w:tc>
          <w:tcPr>
            <w:tcW w:w="1236" w:type="dxa"/>
            <w:tcMar>
              <w:top w:w="0" w:type="dxa"/>
              <w:left w:w="108" w:type="dxa"/>
              <w:bottom w:w="0" w:type="dxa"/>
              <w:right w:w="108" w:type="dxa"/>
            </w:tcMar>
          </w:tcPr>
          <w:p w:rsidRPr="006C7FAE" w:rsidR="00167E53" w:rsidP="005F36F5" w:rsidRDefault="005F36F5" w14:paraId="0169AFD4" w14:textId="77777777">
            <w:pPr>
              <w:adjustRightInd/>
              <w:jc w:val="center"/>
              <w:textAlignment w:val="auto"/>
              <w:rPr>
                <w:rFonts w:eastAsia="Calibri"/>
                <w:b/>
                <w:bCs/>
                <w:color w:val="000000"/>
              </w:rPr>
            </w:pPr>
            <w:r>
              <w:rPr>
                <w:rFonts w:eastAsia="Calibri"/>
                <w:b/>
                <w:bCs/>
                <w:color w:val="000000"/>
              </w:rPr>
              <w:t>$32</w:t>
            </w:r>
          </w:p>
        </w:tc>
        <w:tc>
          <w:tcPr>
            <w:tcW w:w="1336" w:type="dxa"/>
            <w:tcMar>
              <w:top w:w="0" w:type="dxa"/>
              <w:left w:w="108" w:type="dxa"/>
              <w:bottom w:w="0" w:type="dxa"/>
              <w:right w:w="108" w:type="dxa"/>
            </w:tcMar>
          </w:tcPr>
          <w:p w:rsidRPr="006C7FAE" w:rsidR="00167E53" w:rsidP="00BA558A" w:rsidRDefault="005F36F5" w14:paraId="4E8B032C" w14:textId="77777777">
            <w:pPr>
              <w:adjustRightInd/>
              <w:jc w:val="center"/>
              <w:textAlignment w:val="auto"/>
              <w:rPr>
                <w:rFonts w:eastAsia="Calibri"/>
                <w:b/>
                <w:bCs/>
                <w:color w:val="000000"/>
              </w:rPr>
            </w:pPr>
            <w:r>
              <w:rPr>
                <w:rFonts w:eastAsia="Calibri"/>
                <w:b/>
                <w:bCs/>
                <w:color w:val="000000"/>
              </w:rPr>
              <w:t>$</w:t>
            </w:r>
            <w:r w:rsidR="00E71428">
              <w:rPr>
                <w:rFonts w:eastAsia="Calibri"/>
                <w:b/>
                <w:bCs/>
                <w:color w:val="000000"/>
              </w:rPr>
              <w:t>320</w:t>
            </w:r>
          </w:p>
        </w:tc>
      </w:tr>
      <w:tr w:rsidRPr="006C7FAE" w:rsidR="00D717DB" w:rsidTr="00B513E4" w14:paraId="51B1E93D" w14:textId="77777777">
        <w:tc>
          <w:tcPr>
            <w:tcW w:w="1590" w:type="dxa"/>
            <w:tcMar>
              <w:top w:w="0" w:type="dxa"/>
              <w:left w:w="108" w:type="dxa"/>
              <w:bottom w:w="0" w:type="dxa"/>
              <w:right w:w="108" w:type="dxa"/>
            </w:tcMar>
          </w:tcPr>
          <w:p w:rsidR="00106B04" w:rsidP="00167E53" w:rsidRDefault="005F36F5" w14:paraId="60F6BA67" w14:textId="77777777">
            <w:pPr>
              <w:adjustRightInd/>
              <w:textAlignment w:val="auto"/>
              <w:rPr>
                <w:rFonts w:eastAsia="Calibri"/>
                <w:b/>
                <w:bCs/>
                <w:color w:val="000000"/>
              </w:rPr>
            </w:pPr>
            <w:proofErr w:type="spellStart"/>
            <w:r>
              <w:rPr>
                <w:rFonts w:eastAsia="Calibri"/>
                <w:b/>
                <w:bCs/>
                <w:color w:val="000000"/>
              </w:rPr>
              <w:t>eCustodian</w:t>
            </w:r>
            <w:proofErr w:type="spellEnd"/>
            <w:r>
              <w:rPr>
                <w:rFonts w:eastAsia="Calibri"/>
                <w:b/>
                <w:bCs/>
                <w:color w:val="000000"/>
              </w:rPr>
              <w:t xml:space="preserve"> Application</w:t>
            </w:r>
          </w:p>
          <w:p w:rsidRPr="006C7FAE" w:rsidR="00E065A0" w:rsidP="00167E53" w:rsidRDefault="00E065A0" w14:paraId="7459EAC4" w14:textId="77777777">
            <w:pPr>
              <w:adjustRightInd/>
              <w:textAlignment w:val="auto"/>
              <w:rPr>
                <w:rFonts w:eastAsia="Calibri"/>
                <w:b/>
                <w:bCs/>
                <w:color w:val="000000"/>
              </w:rPr>
            </w:pPr>
            <w:r>
              <w:rPr>
                <w:rFonts w:eastAsia="Calibri"/>
                <w:b/>
                <w:bCs/>
                <w:color w:val="000000"/>
              </w:rPr>
              <w:t>(HUD 11071B)</w:t>
            </w:r>
          </w:p>
        </w:tc>
        <w:tc>
          <w:tcPr>
            <w:tcW w:w="1138" w:type="dxa"/>
            <w:tcMar>
              <w:top w:w="0" w:type="dxa"/>
              <w:left w:w="108" w:type="dxa"/>
              <w:bottom w:w="0" w:type="dxa"/>
              <w:right w:w="108" w:type="dxa"/>
            </w:tcMar>
          </w:tcPr>
          <w:p w:rsidRPr="006C7FAE" w:rsidR="00D717DB" w:rsidP="00167E53" w:rsidRDefault="005F36F5" w14:paraId="389049E1" w14:textId="77777777">
            <w:pPr>
              <w:adjustRightInd/>
              <w:jc w:val="center"/>
              <w:textAlignment w:val="auto"/>
              <w:rPr>
                <w:rFonts w:eastAsia="Calibri"/>
                <w:b/>
                <w:bCs/>
                <w:color w:val="000000"/>
              </w:rPr>
            </w:pPr>
            <w:r>
              <w:rPr>
                <w:rFonts w:eastAsia="Calibri"/>
                <w:b/>
                <w:bCs/>
                <w:color w:val="000000"/>
              </w:rPr>
              <w:t>5</w:t>
            </w:r>
          </w:p>
        </w:tc>
        <w:tc>
          <w:tcPr>
            <w:tcW w:w="1164" w:type="dxa"/>
            <w:tcMar>
              <w:top w:w="0" w:type="dxa"/>
              <w:left w:w="108" w:type="dxa"/>
              <w:bottom w:w="0" w:type="dxa"/>
              <w:right w:w="108" w:type="dxa"/>
            </w:tcMar>
          </w:tcPr>
          <w:p w:rsidRPr="006C7FAE" w:rsidR="00D717DB" w:rsidP="00167E53" w:rsidRDefault="005F36F5" w14:paraId="126F0D24" w14:textId="77777777">
            <w:pPr>
              <w:adjustRightInd/>
              <w:jc w:val="center"/>
              <w:textAlignment w:val="auto"/>
              <w:rPr>
                <w:rFonts w:eastAsia="Calibri"/>
                <w:b/>
                <w:bCs/>
                <w:color w:val="000000"/>
              </w:rPr>
            </w:pPr>
            <w:r>
              <w:rPr>
                <w:rFonts w:eastAsia="Calibri"/>
                <w:b/>
                <w:bCs/>
                <w:color w:val="000000"/>
              </w:rPr>
              <w:t>1</w:t>
            </w:r>
          </w:p>
        </w:tc>
        <w:tc>
          <w:tcPr>
            <w:tcW w:w="1129" w:type="dxa"/>
            <w:tcMar>
              <w:top w:w="0" w:type="dxa"/>
              <w:left w:w="108" w:type="dxa"/>
              <w:bottom w:w="0" w:type="dxa"/>
              <w:right w:w="108" w:type="dxa"/>
            </w:tcMar>
          </w:tcPr>
          <w:p w:rsidRPr="006C7FAE" w:rsidR="00D717DB" w:rsidP="00167E53" w:rsidRDefault="005F36F5" w14:paraId="4957CDBB" w14:textId="77777777">
            <w:pPr>
              <w:adjustRightInd/>
              <w:jc w:val="center"/>
              <w:textAlignment w:val="auto"/>
              <w:rPr>
                <w:rFonts w:eastAsia="Calibri"/>
                <w:b/>
                <w:bCs/>
                <w:color w:val="000000"/>
              </w:rPr>
            </w:pPr>
            <w:r>
              <w:rPr>
                <w:rFonts w:eastAsia="Calibri"/>
                <w:b/>
                <w:bCs/>
                <w:color w:val="000000"/>
              </w:rPr>
              <w:t>5</w:t>
            </w:r>
          </w:p>
        </w:tc>
        <w:tc>
          <w:tcPr>
            <w:tcW w:w="1048" w:type="dxa"/>
            <w:tcMar>
              <w:top w:w="0" w:type="dxa"/>
              <w:left w:w="108" w:type="dxa"/>
              <w:bottom w:w="0" w:type="dxa"/>
              <w:right w:w="108" w:type="dxa"/>
            </w:tcMar>
          </w:tcPr>
          <w:p w:rsidRPr="006C7FAE" w:rsidR="00D717DB" w:rsidP="00167E53" w:rsidRDefault="005F36F5" w14:paraId="487C6CDA" w14:textId="77777777">
            <w:pPr>
              <w:adjustRightInd/>
              <w:jc w:val="center"/>
              <w:textAlignment w:val="auto"/>
              <w:rPr>
                <w:rFonts w:eastAsia="Calibri"/>
                <w:b/>
                <w:bCs/>
                <w:color w:val="000000"/>
              </w:rPr>
            </w:pPr>
            <w:r>
              <w:rPr>
                <w:rFonts w:eastAsia="Calibri"/>
                <w:b/>
                <w:bCs/>
                <w:color w:val="000000"/>
              </w:rPr>
              <w:t>.5</w:t>
            </w:r>
          </w:p>
        </w:tc>
        <w:tc>
          <w:tcPr>
            <w:tcW w:w="887" w:type="dxa"/>
            <w:tcMar>
              <w:top w:w="0" w:type="dxa"/>
              <w:left w:w="108" w:type="dxa"/>
              <w:bottom w:w="0" w:type="dxa"/>
              <w:right w:w="108" w:type="dxa"/>
            </w:tcMar>
          </w:tcPr>
          <w:p w:rsidRPr="006C7FAE" w:rsidR="00D717DB" w:rsidP="00167E53" w:rsidRDefault="005F36F5" w14:paraId="6868D2F1" w14:textId="77777777">
            <w:pPr>
              <w:adjustRightInd/>
              <w:jc w:val="center"/>
              <w:textAlignment w:val="auto"/>
              <w:rPr>
                <w:rFonts w:eastAsia="Calibri"/>
                <w:b/>
                <w:bCs/>
                <w:color w:val="000000"/>
              </w:rPr>
            </w:pPr>
            <w:r>
              <w:rPr>
                <w:rFonts w:eastAsia="Calibri"/>
                <w:b/>
                <w:bCs/>
                <w:color w:val="000000"/>
              </w:rPr>
              <w:t>2.5</w:t>
            </w:r>
          </w:p>
        </w:tc>
        <w:tc>
          <w:tcPr>
            <w:tcW w:w="1236" w:type="dxa"/>
            <w:tcMar>
              <w:top w:w="0" w:type="dxa"/>
              <w:left w:w="108" w:type="dxa"/>
              <w:bottom w:w="0" w:type="dxa"/>
              <w:right w:w="108" w:type="dxa"/>
            </w:tcMar>
          </w:tcPr>
          <w:p w:rsidRPr="006C7FAE" w:rsidR="00D717DB" w:rsidP="005F36F5" w:rsidRDefault="005F36F5" w14:paraId="18714909" w14:textId="77777777">
            <w:pPr>
              <w:adjustRightInd/>
              <w:jc w:val="center"/>
              <w:textAlignment w:val="auto"/>
              <w:rPr>
                <w:rFonts w:eastAsia="Calibri"/>
                <w:b/>
                <w:bCs/>
                <w:color w:val="000000"/>
              </w:rPr>
            </w:pPr>
            <w:r>
              <w:rPr>
                <w:rFonts w:eastAsia="Calibri"/>
                <w:b/>
                <w:bCs/>
                <w:color w:val="000000"/>
              </w:rPr>
              <w:t>$32</w:t>
            </w:r>
          </w:p>
        </w:tc>
        <w:tc>
          <w:tcPr>
            <w:tcW w:w="1336" w:type="dxa"/>
            <w:tcMar>
              <w:top w:w="0" w:type="dxa"/>
              <w:left w:w="108" w:type="dxa"/>
              <w:bottom w:w="0" w:type="dxa"/>
              <w:right w:w="108" w:type="dxa"/>
            </w:tcMar>
          </w:tcPr>
          <w:p w:rsidRPr="006C7FAE" w:rsidR="00D717DB" w:rsidP="00BA558A" w:rsidRDefault="005F36F5" w14:paraId="4D0B9DCF" w14:textId="77777777">
            <w:pPr>
              <w:adjustRightInd/>
              <w:jc w:val="center"/>
              <w:textAlignment w:val="auto"/>
              <w:rPr>
                <w:rFonts w:eastAsia="Calibri"/>
                <w:b/>
                <w:bCs/>
                <w:color w:val="000000"/>
              </w:rPr>
            </w:pPr>
            <w:r>
              <w:rPr>
                <w:rFonts w:eastAsia="Calibri"/>
                <w:b/>
                <w:bCs/>
                <w:color w:val="000000"/>
              </w:rPr>
              <w:t>$80</w:t>
            </w:r>
          </w:p>
        </w:tc>
      </w:tr>
      <w:tr w:rsidRPr="006C7FAE" w:rsidR="00D717DB" w:rsidTr="00B513E4" w14:paraId="01D2A3DA" w14:textId="77777777">
        <w:trPr>
          <w:trHeight w:val="1241"/>
        </w:trPr>
        <w:tc>
          <w:tcPr>
            <w:tcW w:w="1590" w:type="dxa"/>
            <w:tcMar>
              <w:top w:w="0" w:type="dxa"/>
              <w:left w:w="108" w:type="dxa"/>
              <w:bottom w:w="0" w:type="dxa"/>
              <w:right w:w="108" w:type="dxa"/>
            </w:tcMar>
          </w:tcPr>
          <w:p w:rsidRPr="006C7FAE" w:rsidR="00D717DB" w:rsidP="00167E53" w:rsidRDefault="005F36F5" w14:paraId="314D973D" w14:textId="77777777">
            <w:pPr>
              <w:adjustRightInd/>
              <w:textAlignment w:val="auto"/>
              <w:rPr>
                <w:rFonts w:eastAsia="Calibri"/>
                <w:b/>
                <w:bCs/>
                <w:color w:val="000000"/>
              </w:rPr>
            </w:pPr>
            <w:r>
              <w:rPr>
                <w:rFonts w:eastAsia="Calibri"/>
                <w:b/>
                <w:bCs/>
                <w:color w:val="000000"/>
              </w:rPr>
              <w:t>Request for Release of Secured Party</w:t>
            </w:r>
            <w:r w:rsidR="00106B04">
              <w:rPr>
                <w:rFonts w:eastAsia="Calibri"/>
                <w:b/>
                <w:bCs/>
                <w:color w:val="000000"/>
              </w:rPr>
              <w:t xml:space="preserve"> (HUD 11708</w:t>
            </w:r>
            <w:r w:rsidR="00E065A0">
              <w:rPr>
                <w:rFonts w:eastAsia="Calibri"/>
                <w:b/>
                <w:bCs/>
                <w:color w:val="000000"/>
              </w:rPr>
              <w:t xml:space="preserve"> SI</w:t>
            </w:r>
            <w:r w:rsidR="00106B04">
              <w:rPr>
                <w:rFonts w:eastAsia="Calibri"/>
                <w:b/>
                <w:bCs/>
                <w:color w:val="000000"/>
              </w:rPr>
              <w:t>)</w:t>
            </w:r>
          </w:p>
        </w:tc>
        <w:tc>
          <w:tcPr>
            <w:tcW w:w="1138" w:type="dxa"/>
            <w:tcMar>
              <w:top w:w="0" w:type="dxa"/>
              <w:left w:w="108" w:type="dxa"/>
              <w:bottom w:w="0" w:type="dxa"/>
              <w:right w:w="108" w:type="dxa"/>
            </w:tcMar>
          </w:tcPr>
          <w:p w:rsidRPr="006C7FAE" w:rsidR="00D717DB" w:rsidP="00167E53" w:rsidRDefault="005F36F5" w14:paraId="08AFBCFB" w14:textId="77777777">
            <w:pPr>
              <w:adjustRightInd/>
              <w:jc w:val="center"/>
              <w:textAlignment w:val="auto"/>
              <w:rPr>
                <w:rFonts w:eastAsia="Calibri"/>
                <w:b/>
                <w:bCs/>
                <w:color w:val="000000"/>
              </w:rPr>
            </w:pPr>
            <w:r>
              <w:rPr>
                <w:rFonts w:eastAsia="Calibri"/>
                <w:b/>
                <w:bCs/>
                <w:color w:val="000000"/>
              </w:rPr>
              <w:t xml:space="preserve"> 300</w:t>
            </w:r>
          </w:p>
        </w:tc>
        <w:tc>
          <w:tcPr>
            <w:tcW w:w="1164" w:type="dxa"/>
            <w:tcMar>
              <w:top w:w="0" w:type="dxa"/>
              <w:left w:w="108" w:type="dxa"/>
              <w:bottom w:w="0" w:type="dxa"/>
              <w:right w:w="108" w:type="dxa"/>
            </w:tcMar>
          </w:tcPr>
          <w:p w:rsidRPr="006C7FAE" w:rsidR="00D717DB" w:rsidP="00167E53" w:rsidRDefault="005F36F5" w14:paraId="58F1970A" w14:textId="77777777">
            <w:pPr>
              <w:adjustRightInd/>
              <w:jc w:val="center"/>
              <w:textAlignment w:val="auto"/>
              <w:rPr>
                <w:rFonts w:eastAsia="Calibri"/>
                <w:b/>
                <w:bCs/>
                <w:color w:val="000000"/>
              </w:rPr>
            </w:pPr>
            <w:r>
              <w:rPr>
                <w:rFonts w:eastAsia="Calibri"/>
                <w:b/>
                <w:bCs/>
                <w:color w:val="000000"/>
              </w:rPr>
              <w:t>1</w:t>
            </w:r>
          </w:p>
        </w:tc>
        <w:tc>
          <w:tcPr>
            <w:tcW w:w="1129" w:type="dxa"/>
            <w:tcMar>
              <w:top w:w="0" w:type="dxa"/>
              <w:left w:w="108" w:type="dxa"/>
              <w:bottom w:w="0" w:type="dxa"/>
              <w:right w:w="108" w:type="dxa"/>
            </w:tcMar>
          </w:tcPr>
          <w:p w:rsidRPr="006C7FAE" w:rsidR="00D717DB" w:rsidP="00167E53" w:rsidRDefault="005F36F5" w14:paraId="473C3AC4" w14:textId="77777777">
            <w:pPr>
              <w:adjustRightInd/>
              <w:jc w:val="center"/>
              <w:textAlignment w:val="auto"/>
              <w:rPr>
                <w:rFonts w:eastAsia="Calibri"/>
                <w:b/>
                <w:bCs/>
                <w:color w:val="000000"/>
              </w:rPr>
            </w:pPr>
            <w:r>
              <w:rPr>
                <w:rFonts w:eastAsia="Calibri"/>
                <w:b/>
                <w:bCs/>
                <w:color w:val="000000"/>
              </w:rPr>
              <w:t>300</w:t>
            </w:r>
          </w:p>
        </w:tc>
        <w:tc>
          <w:tcPr>
            <w:tcW w:w="1048" w:type="dxa"/>
            <w:tcMar>
              <w:top w:w="0" w:type="dxa"/>
              <w:left w:w="108" w:type="dxa"/>
              <w:bottom w:w="0" w:type="dxa"/>
              <w:right w:w="108" w:type="dxa"/>
            </w:tcMar>
          </w:tcPr>
          <w:p w:rsidRPr="006C7FAE" w:rsidR="00D717DB" w:rsidP="00167E53" w:rsidRDefault="005F36F5" w14:paraId="6CA74CC3" w14:textId="77777777">
            <w:pPr>
              <w:adjustRightInd/>
              <w:jc w:val="center"/>
              <w:textAlignment w:val="auto"/>
              <w:rPr>
                <w:rFonts w:eastAsia="Calibri"/>
                <w:b/>
                <w:bCs/>
                <w:color w:val="000000"/>
              </w:rPr>
            </w:pPr>
            <w:r>
              <w:rPr>
                <w:rFonts w:eastAsia="Calibri"/>
                <w:b/>
                <w:bCs/>
                <w:color w:val="000000"/>
              </w:rPr>
              <w:t>.05</w:t>
            </w:r>
          </w:p>
        </w:tc>
        <w:tc>
          <w:tcPr>
            <w:tcW w:w="887" w:type="dxa"/>
            <w:tcMar>
              <w:top w:w="0" w:type="dxa"/>
              <w:left w:w="108" w:type="dxa"/>
              <w:bottom w:w="0" w:type="dxa"/>
              <w:right w:w="108" w:type="dxa"/>
            </w:tcMar>
          </w:tcPr>
          <w:p w:rsidRPr="006C7FAE" w:rsidR="00D717DB" w:rsidP="00167E53" w:rsidRDefault="005F36F5" w14:paraId="6938D3B1" w14:textId="77777777">
            <w:pPr>
              <w:adjustRightInd/>
              <w:jc w:val="center"/>
              <w:textAlignment w:val="auto"/>
              <w:rPr>
                <w:rFonts w:eastAsia="Calibri"/>
                <w:b/>
                <w:bCs/>
                <w:color w:val="000000"/>
              </w:rPr>
            </w:pPr>
            <w:r>
              <w:rPr>
                <w:rFonts w:eastAsia="Calibri"/>
                <w:b/>
                <w:bCs/>
                <w:color w:val="000000"/>
              </w:rPr>
              <w:t>15</w:t>
            </w:r>
          </w:p>
        </w:tc>
        <w:tc>
          <w:tcPr>
            <w:tcW w:w="1236" w:type="dxa"/>
            <w:tcMar>
              <w:top w:w="0" w:type="dxa"/>
              <w:left w:w="108" w:type="dxa"/>
              <w:bottom w:w="0" w:type="dxa"/>
              <w:right w:w="108" w:type="dxa"/>
            </w:tcMar>
          </w:tcPr>
          <w:p w:rsidR="00D717DB" w:rsidP="00B513E4" w:rsidRDefault="005F36F5" w14:paraId="441E1B12" w14:textId="77777777">
            <w:pPr>
              <w:adjustRightInd/>
              <w:jc w:val="center"/>
              <w:textAlignment w:val="auto"/>
              <w:rPr>
                <w:rFonts w:eastAsia="Calibri"/>
                <w:b/>
                <w:bCs/>
                <w:color w:val="000000"/>
              </w:rPr>
            </w:pPr>
            <w:r>
              <w:rPr>
                <w:rFonts w:eastAsia="Calibri"/>
                <w:b/>
                <w:bCs/>
                <w:color w:val="000000"/>
              </w:rPr>
              <w:t>$32</w:t>
            </w:r>
          </w:p>
          <w:p w:rsidRPr="00E065A0" w:rsidR="00E065A0" w:rsidP="00E065A0" w:rsidRDefault="00E065A0" w14:paraId="52015F59" w14:textId="77777777">
            <w:pPr>
              <w:rPr>
                <w:rFonts w:eastAsia="Calibri"/>
              </w:rPr>
            </w:pPr>
          </w:p>
          <w:p w:rsidR="00E065A0" w:rsidP="00E065A0" w:rsidRDefault="00E065A0" w14:paraId="19B3C30F" w14:textId="77777777">
            <w:pPr>
              <w:rPr>
                <w:rFonts w:eastAsia="Calibri"/>
                <w:b/>
                <w:bCs/>
                <w:color w:val="000000"/>
              </w:rPr>
            </w:pPr>
          </w:p>
          <w:p w:rsidR="00E065A0" w:rsidP="00E065A0" w:rsidRDefault="00E065A0" w14:paraId="204ED53E" w14:textId="77777777">
            <w:pPr>
              <w:tabs>
                <w:tab w:val="left" w:pos="732"/>
              </w:tabs>
              <w:rPr>
                <w:rFonts w:eastAsia="Calibri"/>
              </w:rPr>
            </w:pPr>
            <w:r>
              <w:rPr>
                <w:rFonts w:eastAsia="Calibri"/>
              </w:rPr>
              <w:tab/>
            </w:r>
          </w:p>
          <w:p w:rsidRPr="00E065A0" w:rsidR="00E065A0" w:rsidP="00E065A0" w:rsidRDefault="00E065A0" w14:paraId="0B57673F" w14:textId="77777777">
            <w:pPr>
              <w:tabs>
                <w:tab w:val="left" w:pos="732"/>
              </w:tabs>
              <w:rPr>
                <w:rFonts w:eastAsia="Calibri"/>
              </w:rPr>
            </w:pPr>
          </w:p>
        </w:tc>
        <w:tc>
          <w:tcPr>
            <w:tcW w:w="1336" w:type="dxa"/>
            <w:tcMar>
              <w:top w:w="0" w:type="dxa"/>
              <w:left w:w="108" w:type="dxa"/>
              <w:bottom w:w="0" w:type="dxa"/>
              <w:right w:w="108" w:type="dxa"/>
            </w:tcMar>
          </w:tcPr>
          <w:p w:rsidRPr="006C7FAE" w:rsidR="00D717DB" w:rsidP="00BA558A" w:rsidRDefault="00BE4440" w14:paraId="33208672" w14:textId="77777777">
            <w:pPr>
              <w:adjustRightInd/>
              <w:jc w:val="center"/>
              <w:textAlignment w:val="auto"/>
              <w:rPr>
                <w:rFonts w:eastAsia="Calibri"/>
                <w:b/>
                <w:bCs/>
                <w:color w:val="000000"/>
              </w:rPr>
            </w:pPr>
            <w:r>
              <w:rPr>
                <w:rFonts w:eastAsia="Calibri"/>
                <w:b/>
                <w:bCs/>
                <w:color w:val="000000"/>
              </w:rPr>
              <w:t>$480</w:t>
            </w:r>
          </w:p>
        </w:tc>
      </w:tr>
      <w:tr w:rsidRPr="006C7FAE" w:rsidR="00E065A0" w:rsidTr="00B513E4" w14:paraId="14E8A0CA" w14:textId="77777777">
        <w:tc>
          <w:tcPr>
            <w:tcW w:w="1590" w:type="dxa"/>
            <w:tcMar>
              <w:top w:w="0" w:type="dxa"/>
              <w:left w:w="108" w:type="dxa"/>
              <w:bottom w:w="0" w:type="dxa"/>
              <w:right w:w="108" w:type="dxa"/>
            </w:tcMar>
          </w:tcPr>
          <w:p w:rsidR="00E065A0" w:rsidP="00E065A0" w:rsidRDefault="00E065A0" w14:paraId="08E48CE8" w14:textId="77777777">
            <w:pPr>
              <w:adjustRightInd/>
              <w:textAlignment w:val="auto"/>
              <w:rPr>
                <w:rFonts w:eastAsia="Calibri"/>
                <w:b/>
                <w:bCs/>
                <w:color w:val="000000"/>
              </w:rPr>
            </w:pPr>
          </w:p>
          <w:p w:rsidR="00E065A0" w:rsidP="00E065A0" w:rsidRDefault="00E065A0" w14:paraId="42FE684A" w14:textId="77777777">
            <w:pPr>
              <w:adjustRightInd/>
              <w:textAlignment w:val="auto"/>
              <w:rPr>
                <w:rFonts w:eastAsia="Calibri"/>
                <w:b/>
                <w:bCs/>
                <w:color w:val="000000"/>
              </w:rPr>
            </w:pPr>
            <w:r>
              <w:rPr>
                <w:rFonts w:eastAsia="Calibri"/>
                <w:b/>
                <w:bCs/>
                <w:color w:val="000000"/>
              </w:rPr>
              <w:t>Total</w:t>
            </w:r>
          </w:p>
        </w:tc>
        <w:tc>
          <w:tcPr>
            <w:tcW w:w="1138" w:type="dxa"/>
            <w:tcMar>
              <w:top w:w="0" w:type="dxa"/>
              <w:left w:w="108" w:type="dxa"/>
              <w:bottom w:w="0" w:type="dxa"/>
              <w:right w:w="108" w:type="dxa"/>
            </w:tcMar>
          </w:tcPr>
          <w:p w:rsidR="00E065A0" w:rsidP="00E065A0" w:rsidRDefault="00E065A0" w14:paraId="34F3BEB5" w14:textId="77777777">
            <w:pPr>
              <w:adjustRightInd/>
              <w:jc w:val="center"/>
              <w:textAlignment w:val="auto"/>
              <w:rPr>
                <w:rFonts w:eastAsia="Calibri"/>
                <w:b/>
                <w:bCs/>
                <w:color w:val="000000"/>
              </w:rPr>
            </w:pPr>
          </w:p>
          <w:p w:rsidR="00E065A0" w:rsidP="00E065A0" w:rsidRDefault="00E065A0" w14:paraId="05E7FC86" w14:textId="77777777">
            <w:pPr>
              <w:adjustRightInd/>
              <w:jc w:val="center"/>
              <w:textAlignment w:val="auto"/>
              <w:rPr>
                <w:rFonts w:eastAsia="Calibri"/>
                <w:b/>
                <w:bCs/>
                <w:color w:val="000000"/>
              </w:rPr>
            </w:pPr>
            <w:r>
              <w:rPr>
                <w:rFonts w:eastAsia="Calibri"/>
                <w:b/>
                <w:bCs/>
                <w:color w:val="000000"/>
              </w:rPr>
              <w:t>Varies</w:t>
            </w:r>
          </w:p>
        </w:tc>
        <w:tc>
          <w:tcPr>
            <w:tcW w:w="1164" w:type="dxa"/>
            <w:tcMar>
              <w:top w:w="0" w:type="dxa"/>
              <w:left w:w="108" w:type="dxa"/>
              <w:bottom w:w="0" w:type="dxa"/>
              <w:right w:w="108" w:type="dxa"/>
            </w:tcMar>
          </w:tcPr>
          <w:p w:rsidR="00E065A0" w:rsidP="00B513E4" w:rsidRDefault="00E065A0" w14:paraId="2FCF6132" w14:textId="77777777">
            <w:pPr>
              <w:tabs>
                <w:tab w:val="left" w:pos="252"/>
                <w:tab w:val="center" w:pos="502"/>
              </w:tabs>
              <w:adjustRightInd/>
              <w:jc w:val="center"/>
              <w:textAlignment w:val="auto"/>
              <w:rPr>
                <w:rFonts w:eastAsia="Calibri"/>
                <w:b/>
                <w:bCs/>
                <w:color w:val="000000"/>
              </w:rPr>
            </w:pPr>
          </w:p>
          <w:p w:rsidR="00E065A0" w:rsidP="00B513E4" w:rsidRDefault="00E065A0" w14:paraId="41D07DB3" w14:textId="77777777">
            <w:pPr>
              <w:adjustRightInd/>
              <w:jc w:val="center"/>
              <w:textAlignment w:val="auto"/>
              <w:rPr>
                <w:rFonts w:eastAsia="Calibri"/>
                <w:b/>
                <w:bCs/>
                <w:color w:val="000000"/>
              </w:rPr>
            </w:pPr>
            <w:r>
              <w:rPr>
                <w:rFonts w:eastAsia="Calibri"/>
                <w:b/>
                <w:bCs/>
                <w:color w:val="000000"/>
              </w:rPr>
              <w:t>1</w:t>
            </w:r>
          </w:p>
        </w:tc>
        <w:tc>
          <w:tcPr>
            <w:tcW w:w="1129" w:type="dxa"/>
            <w:tcMar>
              <w:top w:w="0" w:type="dxa"/>
              <w:left w:w="108" w:type="dxa"/>
              <w:bottom w:w="0" w:type="dxa"/>
              <w:right w:w="108" w:type="dxa"/>
            </w:tcMar>
          </w:tcPr>
          <w:p w:rsidR="00E065A0" w:rsidP="00B513E4" w:rsidRDefault="00E065A0" w14:paraId="76732141" w14:textId="77777777">
            <w:pPr>
              <w:adjustRightInd/>
              <w:jc w:val="center"/>
              <w:textAlignment w:val="auto"/>
              <w:rPr>
                <w:rFonts w:eastAsia="Calibri"/>
                <w:b/>
                <w:bCs/>
                <w:color w:val="000000"/>
              </w:rPr>
            </w:pPr>
          </w:p>
          <w:p w:rsidR="00E065A0" w:rsidP="00B513E4" w:rsidRDefault="00E065A0" w14:paraId="39CFA3AA" w14:textId="77777777">
            <w:pPr>
              <w:adjustRightInd/>
              <w:jc w:val="center"/>
              <w:textAlignment w:val="auto"/>
              <w:rPr>
                <w:rFonts w:eastAsia="Calibri"/>
                <w:b/>
                <w:bCs/>
                <w:color w:val="000000"/>
              </w:rPr>
            </w:pPr>
            <w:r>
              <w:rPr>
                <w:rFonts w:eastAsia="Calibri"/>
                <w:b/>
                <w:bCs/>
                <w:color w:val="000000"/>
              </w:rPr>
              <w:t>325</w:t>
            </w:r>
          </w:p>
        </w:tc>
        <w:tc>
          <w:tcPr>
            <w:tcW w:w="1048" w:type="dxa"/>
            <w:tcMar>
              <w:top w:w="0" w:type="dxa"/>
              <w:left w:w="108" w:type="dxa"/>
              <w:bottom w:w="0" w:type="dxa"/>
              <w:right w:w="108" w:type="dxa"/>
            </w:tcMar>
          </w:tcPr>
          <w:p w:rsidR="00E065A0" w:rsidP="00B513E4" w:rsidRDefault="00E065A0" w14:paraId="6DC67DB5" w14:textId="77777777">
            <w:pPr>
              <w:adjustRightInd/>
              <w:jc w:val="center"/>
              <w:textAlignment w:val="auto"/>
              <w:rPr>
                <w:rFonts w:eastAsia="Calibri"/>
                <w:b/>
                <w:bCs/>
                <w:color w:val="000000"/>
              </w:rPr>
            </w:pPr>
          </w:p>
          <w:p w:rsidR="00E065A0" w:rsidP="00B513E4" w:rsidRDefault="00E065A0" w14:paraId="72D1777F" w14:textId="77777777">
            <w:pPr>
              <w:adjustRightInd/>
              <w:jc w:val="center"/>
              <w:textAlignment w:val="auto"/>
              <w:rPr>
                <w:rFonts w:eastAsia="Calibri"/>
                <w:b/>
                <w:bCs/>
                <w:color w:val="000000"/>
              </w:rPr>
            </w:pPr>
            <w:r>
              <w:rPr>
                <w:rFonts w:eastAsia="Calibri"/>
                <w:b/>
                <w:bCs/>
                <w:color w:val="000000"/>
              </w:rPr>
              <w:t>Varies</w:t>
            </w:r>
          </w:p>
        </w:tc>
        <w:tc>
          <w:tcPr>
            <w:tcW w:w="887" w:type="dxa"/>
            <w:tcMar>
              <w:top w:w="0" w:type="dxa"/>
              <w:left w:w="108" w:type="dxa"/>
              <w:bottom w:w="0" w:type="dxa"/>
              <w:right w:w="108" w:type="dxa"/>
            </w:tcMar>
          </w:tcPr>
          <w:p w:rsidR="00E065A0" w:rsidP="00B513E4" w:rsidRDefault="00E065A0" w14:paraId="68E22EF5" w14:textId="77777777">
            <w:pPr>
              <w:tabs>
                <w:tab w:val="center" w:pos="355"/>
              </w:tabs>
              <w:adjustRightInd/>
              <w:jc w:val="center"/>
              <w:textAlignment w:val="auto"/>
              <w:rPr>
                <w:rFonts w:eastAsia="Calibri"/>
                <w:b/>
                <w:bCs/>
                <w:color w:val="000000"/>
              </w:rPr>
            </w:pPr>
          </w:p>
          <w:p w:rsidR="00E065A0" w:rsidP="00B513E4" w:rsidRDefault="00E065A0" w14:paraId="48305587" w14:textId="77777777">
            <w:pPr>
              <w:adjustRightInd/>
              <w:jc w:val="center"/>
              <w:textAlignment w:val="auto"/>
              <w:rPr>
                <w:rFonts w:eastAsia="Calibri"/>
                <w:b/>
                <w:bCs/>
                <w:color w:val="000000"/>
              </w:rPr>
            </w:pPr>
            <w:r>
              <w:rPr>
                <w:rFonts w:eastAsia="Calibri"/>
                <w:b/>
                <w:bCs/>
                <w:color w:val="000000"/>
              </w:rPr>
              <w:t>27.5</w:t>
            </w:r>
          </w:p>
        </w:tc>
        <w:tc>
          <w:tcPr>
            <w:tcW w:w="1236" w:type="dxa"/>
            <w:tcMar>
              <w:top w:w="0" w:type="dxa"/>
              <w:left w:w="108" w:type="dxa"/>
              <w:bottom w:w="0" w:type="dxa"/>
              <w:right w:w="108" w:type="dxa"/>
            </w:tcMar>
          </w:tcPr>
          <w:p w:rsidR="00E065A0" w:rsidP="00B513E4" w:rsidRDefault="00E065A0" w14:paraId="014E04CC" w14:textId="77777777">
            <w:pPr>
              <w:tabs>
                <w:tab w:val="center" w:pos="440"/>
                <w:tab w:val="right" w:pos="881"/>
              </w:tabs>
              <w:adjustRightInd/>
              <w:jc w:val="center"/>
              <w:textAlignment w:val="auto"/>
              <w:rPr>
                <w:rFonts w:eastAsia="Calibri"/>
                <w:b/>
                <w:bCs/>
                <w:color w:val="000000"/>
              </w:rPr>
            </w:pPr>
          </w:p>
          <w:p w:rsidR="00E065A0" w:rsidP="00B513E4" w:rsidRDefault="00E065A0" w14:paraId="291AB70A" w14:textId="77777777">
            <w:pPr>
              <w:adjustRightInd/>
              <w:jc w:val="center"/>
              <w:textAlignment w:val="auto"/>
              <w:rPr>
                <w:rFonts w:eastAsia="Calibri"/>
                <w:b/>
                <w:bCs/>
                <w:color w:val="000000"/>
              </w:rPr>
            </w:pPr>
            <w:r>
              <w:rPr>
                <w:rFonts w:eastAsia="Calibri"/>
                <w:b/>
                <w:bCs/>
                <w:color w:val="000000"/>
              </w:rPr>
              <w:t>$32</w:t>
            </w:r>
          </w:p>
        </w:tc>
        <w:tc>
          <w:tcPr>
            <w:tcW w:w="1336" w:type="dxa"/>
            <w:tcMar>
              <w:top w:w="0" w:type="dxa"/>
              <w:left w:w="108" w:type="dxa"/>
              <w:bottom w:w="0" w:type="dxa"/>
              <w:right w:w="108" w:type="dxa"/>
            </w:tcMar>
          </w:tcPr>
          <w:p w:rsidR="00E065A0" w:rsidP="00B513E4" w:rsidRDefault="00E065A0" w14:paraId="00ECC591" w14:textId="77777777">
            <w:pPr>
              <w:tabs>
                <w:tab w:val="center" w:pos="409"/>
                <w:tab w:val="right" w:pos="818"/>
              </w:tabs>
              <w:adjustRightInd/>
              <w:jc w:val="center"/>
              <w:textAlignment w:val="auto"/>
              <w:rPr>
                <w:rFonts w:eastAsia="Calibri"/>
                <w:b/>
                <w:bCs/>
                <w:color w:val="000000"/>
              </w:rPr>
            </w:pPr>
          </w:p>
          <w:p w:rsidR="00E065A0" w:rsidP="00B513E4" w:rsidRDefault="00E065A0" w14:paraId="1663FCDE" w14:textId="77777777">
            <w:pPr>
              <w:adjustRightInd/>
              <w:jc w:val="center"/>
              <w:textAlignment w:val="auto"/>
              <w:rPr>
                <w:rFonts w:eastAsia="Calibri"/>
                <w:b/>
                <w:bCs/>
                <w:color w:val="000000"/>
              </w:rPr>
            </w:pPr>
            <w:r>
              <w:rPr>
                <w:rFonts w:eastAsia="Calibri"/>
                <w:b/>
                <w:bCs/>
                <w:color w:val="000000"/>
              </w:rPr>
              <w:t>$880</w:t>
            </w:r>
          </w:p>
        </w:tc>
      </w:tr>
      <w:bookmarkEnd w:id="1"/>
    </w:tbl>
    <w:p w:rsidRPr="006C7FAE" w:rsidR="00167E53" w:rsidP="00167E53" w:rsidRDefault="00167E53" w14:paraId="3B6D1B55"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Pr="00BE4440" w:rsidR="009E13B1" w:rsidRDefault="009E13B1" w14:paraId="63BE5D53" w14:textId="77777777">
      <w:pPr>
        <w:tabs>
          <w:tab w:val="left" w:pos="360"/>
        </w:tabs>
        <w:ind w:left="360" w:hanging="360"/>
        <w:rPr>
          <w:b/>
          <w:bCs/>
          <w:sz w:val="24"/>
          <w:szCs w:val="24"/>
        </w:rPr>
      </w:pPr>
      <w:r w:rsidRPr="006C7FAE">
        <w:rPr>
          <w:sz w:val="24"/>
          <w:szCs w:val="24"/>
        </w:rPr>
        <w:t>13.</w:t>
      </w:r>
      <w:r w:rsidRPr="006C7FAE">
        <w:rPr>
          <w:sz w:val="24"/>
          <w:szCs w:val="24"/>
        </w:rPr>
        <w:tab/>
      </w:r>
      <w:r w:rsidRPr="00BE4440">
        <w:rPr>
          <w:b/>
          <w:bCs/>
          <w:sz w:val="24"/>
          <w:szCs w:val="24"/>
        </w:rPr>
        <w:t xml:space="preserve">Provide an estimate of the total annual cost burden to respondents or recordkeepers resulting from the collection of information (do not include the cost of any hour burden shown in Items 12 and 14). </w:t>
      </w:r>
    </w:p>
    <w:p w:rsidRPr="00BE4440" w:rsidR="009E13B1" w:rsidRDefault="009E13B1" w14:paraId="190F2401" w14:textId="77777777">
      <w:pPr>
        <w:numPr>
          <w:ilvl w:val="0"/>
          <w:numId w:val="14"/>
        </w:numPr>
        <w:tabs>
          <w:tab w:val="left" w:pos="360"/>
        </w:tabs>
        <w:ind w:left="480"/>
        <w:rPr>
          <w:b/>
          <w:bCs/>
          <w:sz w:val="24"/>
          <w:szCs w:val="24"/>
        </w:rPr>
      </w:pPr>
      <w:r w:rsidRPr="00BE4440">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BE4440">
        <w:rPr>
          <w:b/>
          <w:bCs/>
          <w:sz w:val="24"/>
          <w:szCs w:val="24"/>
        </w:rPr>
        <w:t>take into account</w:t>
      </w:r>
      <w:proofErr w:type="gramEnd"/>
      <w:r w:rsidRPr="00BE4440">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BE4440">
        <w:rPr>
          <w:b/>
          <w:bCs/>
          <w:sz w:val="24"/>
          <w:szCs w:val="24"/>
        </w:rPr>
        <w:t>time period</w:t>
      </w:r>
      <w:proofErr w:type="gramEnd"/>
      <w:r w:rsidRPr="00BE4440">
        <w:rPr>
          <w:b/>
          <w:bCs/>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BE4440">
        <w:rPr>
          <w:b/>
          <w:bCs/>
          <w:sz w:val="24"/>
          <w:szCs w:val="24"/>
        </w:rPr>
        <w:t>drilling</w:t>
      </w:r>
      <w:proofErr w:type="gramEnd"/>
      <w:r w:rsidRPr="00BE4440">
        <w:rPr>
          <w:b/>
          <w:bCs/>
          <w:sz w:val="24"/>
          <w:szCs w:val="24"/>
        </w:rPr>
        <w:t xml:space="preserve"> and testing equipment; and record storage </w:t>
      </w:r>
      <w:r w:rsidRPr="00BE4440" w:rsidR="00B513E4">
        <w:rPr>
          <w:b/>
          <w:bCs/>
          <w:sz w:val="24"/>
          <w:szCs w:val="24"/>
        </w:rPr>
        <w:t>facilities.</w:t>
      </w:r>
      <w:r w:rsidRPr="00BE4440">
        <w:rPr>
          <w:b/>
          <w:bCs/>
          <w:sz w:val="24"/>
          <w:szCs w:val="24"/>
        </w:rPr>
        <w:t xml:space="preserve"> </w:t>
      </w:r>
    </w:p>
    <w:p w:rsidRPr="00BE4440" w:rsidR="009E13B1" w:rsidRDefault="009E13B1" w14:paraId="74E4EE96" w14:textId="77777777">
      <w:pPr>
        <w:numPr>
          <w:ilvl w:val="0"/>
          <w:numId w:val="14"/>
        </w:numPr>
        <w:tabs>
          <w:tab w:val="left" w:pos="360"/>
        </w:tabs>
        <w:ind w:left="480"/>
        <w:rPr>
          <w:b/>
          <w:bCs/>
          <w:sz w:val="24"/>
          <w:szCs w:val="24"/>
        </w:rPr>
      </w:pPr>
      <w:r w:rsidRPr="00BE4440">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BE4440" w:rsidR="009E13B1" w:rsidRDefault="009E13B1" w14:paraId="0DA1E17D" w14:textId="77777777">
      <w:pPr>
        <w:keepLines/>
        <w:numPr>
          <w:ilvl w:val="0"/>
          <w:numId w:val="14"/>
        </w:numPr>
        <w:tabs>
          <w:tab w:val="left" w:pos="360"/>
        </w:tabs>
        <w:spacing w:after="80"/>
        <w:ind w:left="480"/>
        <w:rPr>
          <w:b/>
          <w:bCs/>
          <w:sz w:val="24"/>
          <w:szCs w:val="24"/>
        </w:rPr>
      </w:pPr>
      <w:r w:rsidRPr="00BE4440">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E13B1" w:rsidP="00BE4440" w:rsidRDefault="009E13B1" w14:paraId="16542898" w14:textId="77777777">
      <w:pPr>
        <w:keepLines/>
        <w:tabs>
          <w:tab w:val="left" w:pos="360"/>
          <w:tab w:val="left" w:pos="720"/>
        </w:tabs>
        <w:ind w:left="720" w:hanging="360"/>
        <w:rPr>
          <w:sz w:val="24"/>
          <w:szCs w:val="24"/>
        </w:rPr>
      </w:pPr>
    </w:p>
    <w:p w:rsidR="00BE4440" w:rsidP="00BE4440" w:rsidRDefault="00BE4440" w14:paraId="35A5FAD4" w14:textId="77777777">
      <w:pPr>
        <w:keepLines/>
        <w:tabs>
          <w:tab w:val="left" w:pos="360"/>
          <w:tab w:val="left" w:pos="720"/>
        </w:tabs>
        <w:ind w:left="720" w:hanging="360"/>
        <w:rPr>
          <w:sz w:val="24"/>
          <w:szCs w:val="24"/>
        </w:rPr>
      </w:pPr>
      <w:r>
        <w:rPr>
          <w:sz w:val="24"/>
          <w:szCs w:val="24"/>
        </w:rPr>
        <w:t>There are no additional costs to respondents.</w:t>
      </w:r>
    </w:p>
    <w:p w:rsidRPr="006C7FAE" w:rsidR="00210671" w:rsidP="00BE4440" w:rsidRDefault="00210671" w14:paraId="3B9465EA" w14:textId="77777777">
      <w:pPr>
        <w:keepLines/>
        <w:tabs>
          <w:tab w:val="left" w:pos="360"/>
          <w:tab w:val="left" w:pos="720"/>
        </w:tabs>
        <w:ind w:left="720" w:hanging="360"/>
        <w:rPr>
          <w:sz w:val="24"/>
          <w:szCs w:val="24"/>
        </w:rPr>
      </w:pPr>
    </w:p>
    <w:p w:rsidRPr="00BE4440" w:rsidR="009E13B1" w:rsidRDefault="009E13B1" w14:paraId="4716A61D" w14:textId="77777777">
      <w:pPr>
        <w:keepLines/>
        <w:tabs>
          <w:tab w:val="left" w:pos="360"/>
        </w:tabs>
        <w:spacing w:after="80"/>
        <w:ind w:left="360" w:hanging="360"/>
        <w:rPr>
          <w:b/>
          <w:bCs/>
          <w:sz w:val="24"/>
          <w:szCs w:val="24"/>
        </w:rPr>
      </w:pPr>
      <w:r w:rsidRPr="006C7FAE">
        <w:rPr>
          <w:sz w:val="24"/>
          <w:szCs w:val="24"/>
        </w:rPr>
        <w:t>14.</w:t>
      </w:r>
      <w:r w:rsidRPr="006C7FAE">
        <w:rPr>
          <w:sz w:val="24"/>
          <w:szCs w:val="24"/>
        </w:rPr>
        <w:tab/>
      </w:r>
      <w:r w:rsidRPr="00BE4440">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C7FAE" w:rsidR="00167E53" w:rsidP="00167E53" w:rsidRDefault="00167E53" w14:paraId="4AEF73C9" w14:textId="77777777">
      <w:pPr>
        <w:overflowPunct/>
        <w:autoSpaceDE/>
        <w:autoSpaceDN/>
        <w:adjustRightInd/>
        <w:spacing w:after="80"/>
        <w:ind w:left="360"/>
        <w:textAlignment w:val="auto"/>
        <w:rPr>
          <w:rFonts w:eastAsia="Calibri"/>
          <w:color w:val="000000"/>
        </w:rPr>
      </w:pPr>
    </w:p>
    <w:tbl>
      <w:tblPr>
        <w:tblW w:w="0" w:type="auto"/>
        <w:tblInd w:w="468" w:type="dxa"/>
        <w:tblCellMar>
          <w:left w:w="0" w:type="dxa"/>
          <w:right w:w="0" w:type="dxa"/>
        </w:tblCellMar>
        <w:tblLook w:val="04A0" w:firstRow="1" w:lastRow="0" w:firstColumn="1" w:lastColumn="0" w:noHBand="0" w:noVBand="1"/>
      </w:tblPr>
      <w:tblGrid>
        <w:gridCol w:w="1469"/>
        <w:gridCol w:w="1419"/>
        <w:gridCol w:w="1224"/>
        <w:gridCol w:w="1186"/>
        <w:gridCol w:w="1100"/>
        <w:gridCol w:w="929"/>
        <w:gridCol w:w="1116"/>
        <w:gridCol w:w="1041"/>
      </w:tblGrid>
      <w:tr w:rsidRPr="006C7FAE" w:rsidR="00167E53" w:rsidTr="00167E53" w14:paraId="7263205B" w14:textId="77777777">
        <w:tc>
          <w:tcPr>
            <w:tcW w:w="14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5F39CA46"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4711BA9E"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0E311B6A"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0CF56716"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Pr="006C7FAE" w:rsidR="00167E53" w:rsidP="00167E53" w:rsidRDefault="00167E53" w14:paraId="3D806599"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01C677AD"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35E9DA33"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6764B2C4" w14:textId="77777777">
            <w:pPr>
              <w:adjustRightInd/>
              <w:jc w:val="center"/>
              <w:textAlignment w:val="auto"/>
              <w:rPr>
                <w:rFonts w:eastAsia="Calibri"/>
                <w:b/>
                <w:bCs/>
                <w:color w:val="000000"/>
              </w:rPr>
            </w:pPr>
            <w:r w:rsidRPr="006C7FAE">
              <w:rPr>
                <w:rFonts w:eastAsia="Calibri"/>
                <w:b/>
                <w:bCs/>
                <w:color w:val="000000"/>
              </w:rPr>
              <w:t>Hourly Cost Per Response</w:t>
            </w:r>
            <w:r w:rsidR="007D7881">
              <w:rPr>
                <w:rFonts w:eastAsia="Calibri"/>
                <w:b/>
                <w:bCs/>
                <w:color w:val="000000"/>
              </w:rPr>
              <w:t>*</w:t>
            </w:r>
          </w:p>
        </w:tc>
        <w:tc>
          <w:tcPr>
            <w:tcW w:w="104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C7FAE" w:rsidR="00167E53" w:rsidP="00167E53" w:rsidRDefault="00167E53" w14:paraId="1D2AEAB0"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Pr="006C7FAE" w:rsidR="00167E53" w:rsidP="00167E53" w:rsidRDefault="00167E53" w14:paraId="127A217B" w14:textId="77777777">
            <w:pPr>
              <w:adjustRightInd/>
              <w:jc w:val="center"/>
              <w:textAlignment w:val="auto"/>
              <w:rPr>
                <w:rFonts w:eastAsia="Calibri"/>
                <w:b/>
                <w:bCs/>
                <w:color w:val="000000"/>
              </w:rPr>
            </w:pPr>
          </w:p>
        </w:tc>
      </w:tr>
      <w:tr w:rsidRPr="006C7FAE" w:rsidR="00167E53" w:rsidTr="00D717DB" w14:paraId="0D69C4E5" w14:textId="77777777">
        <w:tc>
          <w:tcPr>
            <w:tcW w:w="1469" w:type="dxa"/>
            <w:tcBorders>
              <w:top w:val="nil"/>
              <w:left w:val="single" w:color="auto" w:sz="8" w:space="0"/>
              <w:bottom w:val="nil"/>
              <w:right w:val="single" w:color="auto" w:sz="8" w:space="0"/>
            </w:tcBorders>
            <w:tcMar>
              <w:top w:w="0" w:type="dxa"/>
              <w:left w:w="108" w:type="dxa"/>
              <w:bottom w:w="0" w:type="dxa"/>
              <w:right w:w="108" w:type="dxa"/>
            </w:tcMar>
          </w:tcPr>
          <w:p w:rsidRPr="006C7FAE" w:rsidR="00167E53" w:rsidP="00167E53" w:rsidRDefault="00BE4440" w14:paraId="5FDD377F" w14:textId="77777777">
            <w:pPr>
              <w:adjustRightInd/>
              <w:textAlignment w:val="auto"/>
              <w:rPr>
                <w:rFonts w:eastAsia="Calibri"/>
                <w:b/>
                <w:bCs/>
                <w:color w:val="000000"/>
              </w:rPr>
            </w:pPr>
            <w:proofErr w:type="spellStart"/>
            <w:r>
              <w:rPr>
                <w:rFonts w:eastAsia="Calibri"/>
                <w:b/>
                <w:bCs/>
                <w:color w:val="000000"/>
              </w:rPr>
              <w:t>eIssuer</w:t>
            </w:r>
            <w:proofErr w:type="spellEnd"/>
            <w:r>
              <w:rPr>
                <w:rFonts w:eastAsia="Calibri"/>
                <w:b/>
                <w:bCs/>
                <w:color w:val="000000"/>
              </w:rPr>
              <w:t xml:space="preserve"> Application</w:t>
            </w:r>
          </w:p>
        </w:tc>
        <w:tc>
          <w:tcPr>
            <w:tcW w:w="1419" w:type="dxa"/>
            <w:tcBorders>
              <w:top w:val="nil"/>
              <w:left w:val="nil"/>
              <w:bottom w:val="nil"/>
              <w:right w:val="single" w:color="auto" w:sz="8" w:space="0"/>
            </w:tcBorders>
            <w:tcMar>
              <w:top w:w="0" w:type="dxa"/>
              <w:left w:w="108" w:type="dxa"/>
              <w:bottom w:w="0" w:type="dxa"/>
              <w:right w:w="108" w:type="dxa"/>
            </w:tcMar>
          </w:tcPr>
          <w:p w:rsidRPr="006C7FAE" w:rsidR="00167E53" w:rsidP="00A721F3" w:rsidRDefault="00F452DC" w14:paraId="44A6E777" w14:textId="77777777">
            <w:pPr>
              <w:adjustRightInd/>
              <w:jc w:val="center"/>
              <w:textAlignment w:val="auto"/>
              <w:rPr>
                <w:rFonts w:eastAsia="Calibri"/>
                <w:b/>
                <w:bCs/>
                <w:color w:val="000000"/>
              </w:rPr>
            </w:pPr>
            <w:r>
              <w:rPr>
                <w:rFonts w:eastAsia="Calibri"/>
                <w:b/>
                <w:bCs/>
                <w:color w:val="000000"/>
              </w:rPr>
              <w:t>20</w:t>
            </w:r>
          </w:p>
        </w:tc>
        <w:tc>
          <w:tcPr>
            <w:tcW w:w="1224" w:type="dxa"/>
            <w:tcBorders>
              <w:top w:val="nil"/>
              <w:left w:val="nil"/>
              <w:bottom w:val="nil"/>
              <w:right w:val="single" w:color="auto" w:sz="8" w:space="0"/>
            </w:tcBorders>
            <w:tcMar>
              <w:top w:w="0" w:type="dxa"/>
              <w:left w:w="108" w:type="dxa"/>
              <w:bottom w:w="0" w:type="dxa"/>
              <w:right w:w="108" w:type="dxa"/>
            </w:tcMar>
          </w:tcPr>
          <w:p w:rsidRPr="006C7FAE" w:rsidR="00167E53" w:rsidP="00A721F3" w:rsidRDefault="00BE4440" w14:paraId="520AA263" w14:textId="77777777">
            <w:pPr>
              <w:adjustRightInd/>
              <w:jc w:val="center"/>
              <w:textAlignment w:val="auto"/>
              <w:rPr>
                <w:rFonts w:eastAsia="Calibri"/>
                <w:b/>
                <w:bCs/>
                <w:color w:val="000000"/>
              </w:rPr>
            </w:pPr>
            <w:r>
              <w:rPr>
                <w:rFonts w:eastAsia="Calibri"/>
                <w:b/>
                <w:bCs/>
                <w:color w:val="000000"/>
              </w:rPr>
              <w:t>1</w:t>
            </w:r>
          </w:p>
        </w:tc>
        <w:tc>
          <w:tcPr>
            <w:tcW w:w="1186" w:type="dxa"/>
            <w:tcBorders>
              <w:top w:val="nil"/>
              <w:left w:val="nil"/>
              <w:bottom w:val="nil"/>
              <w:right w:val="single" w:color="auto" w:sz="8" w:space="0"/>
            </w:tcBorders>
            <w:tcMar>
              <w:top w:w="0" w:type="dxa"/>
              <w:left w:w="108" w:type="dxa"/>
              <w:bottom w:w="0" w:type="dxa"/>
              <w:right w:w="108" w:type="dxa"/>
            </w:tcMar>
          </w:tcPr>
          <w:p w:rsidRPr="006C7FAE" w:rsidR="00167E53" w:rsidP="00A721F3" w:rsidRDefault="00F452DC" w14:paraId="7D0487DA" w14:textId="77777777">
            <w:pPr>
              <w:adjustRightInd/>
              <w:jc w:val="center"/>
              <w:textAlignment w:val="auto"/>
              <w:rPr>
                <w:rFonts w:eastAsia="Calibri"/>
                <w:b/>
                <w:bCs/>
                <w:color w:val="000000"/>
              </w:rPr>
            </w:pPr>
            <w:r>
              <w:rPr>
                <w:rFonts w:eastAsia="Calibri"/>
                <w:b/>
                <w:bCs/>
                <w:color w:val="000000"/>
              </w:rPr>
              <w:t>20</w:t>
            </w:r>
          </w:p>
        </w:tc>
        <w:tc>
          <w:tcPr>
            <w:tcW w:w="1100" w:type="dxa"/>
            <w:tcBorders>
              <w:top w:val="nil"/>
              <w:left w:val="nil"/>
              <w:bottom w:val="nil"/>
              <w:right w:val="single" w:color="auto" w:sz="8" w:space="0"/>
            </w:tcBorders>
            <w:tcMar>
              <w:top w:w="0" w:type="dxa"/>
              <w:left w:w="108" w:type="dxa"/>
              <w:bottom w:w="0" w:type="dxa"/>
              <w:right w:w="108" w:type="dxa"/>
            </w:tcMar>
          </w:tcPr>
          <w:p w:rsidRPr="006C7FAE" w:rsidR="00167E53" w:rsidP="00A721F3" w:rsidRDefault="00BE4440" w14:paraId="31DCB8DF" w14:textId="77777777">
            <w:pPr>
              <w:adjustRightInd/>
              <w:jc w:val="center"/>
              <w:textAlignment w:val="auto"/>
              <w:rPr>
                <w:rFonts w:eastAsia="Calibri"/>
                <w:b/>
                <w:bCs/>
                <w:color w:val="000000"/>
              </w:rPr>
            </w:pPr>
            <w:r>
              <w:rPr>
                <w:rFonts w:eastAsia="Calibri"/>
                <w:b/>
                <w:bCs/>
                <w:color w:val="000000"/>
              </w:rPr>
              <w:t>1</w:t>
            </w:r>
          </w:p>
        </w:tc>
        <w:tc>
          <w:tcPr>
            <w:tcW w:w="929" w:type="dxa"/>
            <w:tcBorders>
              <w:top w:val="nil"/>
              <w:left w:val="nil"/>
              <w:bottom w:val="nil"/>
              <w:right w:val="single" w:color="auto" w:sz="8" w:space="0"/>
            </w:tcBorders>
            <w:tcMar>
              <w:top w:w="0" w:type="dxa"/>
              <w:left w:w="108" w:type="dxa"/>
              <w:bottom w:w="0" w:type="dxa"/>
              <w:right w:w="108" w:type="dxa"/>
            </w:tcMar>
          </w:tcPr>
          <w:p w:rsidRPr="006C7FAE" w:rsidR="00167E53" w:rsidP="00A721F3" w:rsidRDefault="001635D4" w14:paraId="7BAD1475" w14:textId="77777777">
            <w:pPr>
              <w:adjustRightInd/>
              <w:jc w:val="center"/>
              <w:textAlignment w:val="auto"/>
              <w:rPr>
                <w:rFonts w:eastAsia="Calibri"/>
                <w:b/>
                <w:bCs/>
                <w:color w:val="000000"/>
              </w:rPr>
            </w:pPr>
            <w:r>
              <w:rPr>
                <w:rFonts w:eastAsia="Calibri"/>
                <w:b/>
                <w:bCs/>
                <w:color w:val="000000"/>
              </w:rPr>
              <w:t>20</w:t>
            </w:r>
          </w:p>
        </w:tc>
        <w:tc>
          <w:tcPr>
            <w:tcW w:w="1100" w:type="dxa"/>
            <w:tcBorders>
              <w:top w:val="nil"/>
              <w:left w:val="nil"/>
              <w:bottom w:val="nil"/>
              <w:right w:val="single" w:color="auto" w:sz="8" w:space="0"/>
            </w:tcBorders>
            <w:tcMar>
              <w:top w:w="0" w:type="dxa"/>
              <w:left w:w="108" w:type="dxa"/>
              <w:bottom w:w="0" w:type="dxa"/>
              <w:right w:w="108" w:type="dxa"/>
            </w:tcMar>
          </w:tcPr>
          <w:p w:rsidRPr="006C7FAE" w:rsidR="00167E53" w:rsidP="00A721F3" w:rsidRDefault="007D7881" w14:paraId="39F6B75A" w14:textId="77777777">
            <w:pPr>
              <w:adjustRightInd/>
              <w:jc w:val="center"/>
              <w:textAlignment w:val="auto"/>
              <w:rPr>
                <w:rFonts w:eastAsia="Calibri"/>
                <w:b/>
                <w:bCs/>
                <w:color w:val="000000"/>
              </w:rPr>
            </w:pPr>
            <w:r>
              <w:rPr>
                <w:rFonts w:eastAsia="Calibri"/>
                <w:b/>
                <w:bCs/>
                <w:color w:val="000000"/>
              </w:rPr>
              <w:t>$</w:t>
            </w:r>
            <w:r w:rsidR="009943F1">
              <w:rPr>
                <w:rFonts w:eastAsia="Calibri"/>
                <w:b/>
                <w:bCs/>
                <w:color w:val="000000"/>
              </w:rPr>
              <w:t>78.26</w:t>
            </w:r>
          </w:p>
        </w:tc>
        <w:tc>
          <w:tcPr>
            <w:tcW w:w="1041" w:type="dxa"/>
            <w:tcBorders>
              <w:top w:val="nil"/>
              <w:left w:val="nil"/>
              <w:bottom w:val="nil"/>
              <w:right w:val="single" w:color="auto" w:sz="8" w:space="0"/>
            </w:tcBorders>
            <w:tcMar>
              <w:top w:w="0" w:type="dxa"/>
              <w:left w:w="108" w:type="dxa"/>
              <w:bottom w:w="0" w:type="dxa"/>
              <w:right w:w="108" w:type="dxa"/>
            </w:tcMar>
          </w:tcPr>
          <w:p w:rsidRPr="006C7FAE" w:rsidR="00675BF0" w:rsidP="001635D4" w:rsidRDefault="007D7881" w14:paraId="48E4D26F" w14:textId="77777777">
            <w:pPr>
              <w:adjustRightInd/>
              <w:jc w:val="center"/>
              <w:textAlignment w:val="auto"/>
              <w:rPr>
                <w:rFonts w:eastAsia="Calibri"/>
                <w:b/>
                <w:bCs/>
                <w:color w:val="000000"/>
              </w:rPr>
            </w:pPr>
            <w:r>
              <w:rPr>
                <w:rFonts w:eastAsia="Calibri"/>
                <w:b/>
                <w:bCs/>
                <w:color w:val="000000"/>
              </w:rPr>
              <w:t>$</w:t>
            </w:r>
            <w:r w:rsidR="001635D4">
              <w:rPr>
                <w:rFonts w:eastAsia="Calibri"/>
                <w:b/>
                <w:bCs/>
                <w:color w:val="000000"/>
              </w:rPr>
              <w:t>1,565.20</w:t>
            </w:r>
          </w:p>
        </w:tc>
      </w:tr>
      <w:tr w:rsidRPr="006C7FAE" w:rsidR="00D717DB" w:rsidTr="00167E53" w14:paraId="2927FF7E"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C7FAE" w:rsidR="00D717DB" w:rsidP="00167E53" w:rsidRDefault="00D717DB" w14:paraId="2DB32D21" w14:textId="77777777">
            <w:pPr>
              <w:adjustRightInd/>
              <w:textAlignment w:val="auto"/>
              <w:rPr>
                <w:rFonts w:eastAsia="Calibri"/>
                <w:b/>
                <w:bCs/>
                <w:color w:val="000000"/>
              </w:rPr>
            </w:pP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6C7FAE" w:rsidR="00D717DB" w:rsidP="00A721F3" w:rsidRDefault="00D717DB" w14:paraId="4DD71DB5" w14:textId="77777777">
            <w:pPr>
              <w:adjustRightInd/>
              <w:jc w:val="center"/>
              <w:textAlignment w:val="auto"/>
              <w:rPr>
                <w:rFonts w:eastAsia="Calibri"/>
                <w:b/>
                <w:bCs/>
                <w:color w:val="000000"/>
              </w:rPr>
            </w:pP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6C7FAE" w:rsidR="00D717DB" w:rsidP="00A721F3" w:rsidRDefault="00D717DB" w14:paraId="509B96F9" w14:textId="77777777">
            <w:pPr>
              <w:adjustRightInd/>
              <w:jc w:val="center"/>
              <w:textAlignment w:val="auto"/>
              <w:rPr>
                <w:rFonts w:eastAsia="Calibri"/>
                <w:b/>
                <w:bCs/>
                <w:color w:val="000000"/>
              </w:rPr>
            </w:pP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6C7FAE" w:rsidR="00D717DB" w:rsidP="00A721F3" w:rsidRDefault="00D717DB" w14:paraId="7BFBAFB6" w14:textId="77777777">
            <w:pPr>
              <w:adjustRightInd/>
              <w:jc w:val="center"/>
              <w:textAlignment w:val="auto"/>
              <w:rPr>
                <w:rFonts w:eastAsia="Calibri"/>
                <w:b/>
                <w:bCs/>
                <w:color w:val="000000"/>
              </w:rPr>
            </w:pP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C7FAE" w:rsidR="00D717DB" w:rsidP="00A721F3" w:rsidRDefault="00D717DB" w14:paraId="0190D07B" w14:textId="77777777">
            <w:pPr>
              <w:adjustRightInd/>
              <w:jc w:val="center"/>
              <w:textAlignment w:val="auto"/>
              <w:rPr>
                <w:rFonts w:eastAsia="Calibri"/>
                <w:b/>
                <w:bCs/>
                <w:color w:val="000000"/>
              </w:rPr>
            </w:pP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6C7FAE" w:rsidR="00D717DB" w:rsidP="00A721F3" w:rsidRDefault="00D717DB" w14:paraId="2B9ABFCC" w14:textId="77777777">
            <w:pPr>
              <w:adjustRightInd/>
              <w:jc w:val="center"/>
              <w:textAlignment w:val="auto"/>
              <w:rPr>
                <w:rFonts w:eastAsia="Calibri"/>
                <w:b/>
                <w:bCs/>
                <w:color w:val="000000"/>
              </w:rPr>
            </w:pP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C7FAE" w:rsidR="00D717DB" w:rsidP="00A721F3" w:rsidRDefault="00D717DB" w14:paraId="6ABCC907" w14:textId="77777777">
            <w:pPr>
              <w:adjustRightInd/>
              <w:jc w:val="center"/>
              <w:textAlignment w:val="auto"/>
              <w:rPr>
                <w:rFonts w:eastAsia="Calibri"/>
                <w:b/>
                <w:bCs/>
                <w:color w:val="000000"/>
              </w:rPr>
            </w:pP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Pr="006C7FAE" w:rsidR="00D717DB" w:rsidP="00A721F3" w:rsidRDefault="00D717DB" w14:paraId="677907AA" w14:textId="77777777">
            <w:pPr>
              <w:adjustRightInd/>
              <w:jc w:val="center"/>
              <w:textAlignment w:val="auto"/>
              <w:rPr>
                <w:rFonts w:eastAsia="Calibri"/>
                <w:b/>
                <w:bCs/>
                <w:color w:val="000000"/>
              </w:rPr>
            </w:pPr>
          </w:p>
        </w:tc>
      </w:tr>
      <w:tr w:rsidRPr="006C7FAE" w:rsidR="00D717DB" w:rsidTr="00167E53" w14:paraId="04FF8218"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C7FAE" w:rsidR="00D717DB" w:rsidP="00167E53" w:rsidRDefault="007D7881" w14:paraId="7E814C7A" w14:textId="77777777">
            <w:pPr>
              <w:adjustRightInd/>
              <w:textAlignment w:val="auto"/>
              <w:rPr>
                <w:rFonts w:eastAsia="Calibri"/>
                <w:b/>
                <w:bCs/>
                <w:color w:val="000000"/>
              </w:rPr>
            </w:pPr>
            <w:proofErr w:type="spellStart"/>
            <w:r>
              <w:rPr>
                <w:rFonts w:eastAsia="Calibri"/>
                <w:b/>
                <w:bCs/>
                <w:color w:val="000000"/>
              </w:rPr>
              <w:t>eCustodian</w:t>
            </w:r>
            <w:proofErr w:type="spellEnd"/>
            <w:r>
              <w:rPr>
                <w:rFonts w:eastAsia="Calibri"/>
                <w:b/>
                <w:bCs/>
                <w:color w:val="000000"/>
              </w:rPr>
              <w:t xml:space="preserve"> Application</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6C7FAE" w:rsidR="00D717DB" w:rsidP="00A721F3" w:rsidRDefault="007D7881" w14:paraId="415FDE01" w14:textId="77777777">
            <w:pPr>
              <w:adjustRightInd/>
              <w:jc w:val="center"/>
              <w:textAlignment w:val="auto"/>
              <w:rPr>
                <w:rFonts w:eastAsia="Calibri"/>
                <w:b/>
                <w:bCs/>
                <w:color w:val="000000"/>
              </w:rPr>
            </w:pPr>
            <w:r>
              <w:rPr>
                <w:rFonts w:eastAsia="Calibri"/>
                <w:b/>
                <w:bCs/>
                <w:color w:val="000000"/>
              </w:rPr>
              <w:t>5</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6C7FAE" w:rsidR="00D717DB" w:rsidP="00A721F3" w:rsidRDefault="007D7881" w14:paraId="15D4A59B" w14:textId="77777777">
            <w:pPr>
              <w:adjustRightInd/>
              <w:jc w:val="center"/>
              <w:textAlignment w:val="auto"/>
              <w:rPr>
                <w:rFonts w:eastAsia="Calibri"/>
                <w:b/>
                <w:bCs/>
                <w:color w:val="000000"/>
              </w:rPr>
            </w:pPr>
            <w:r>
              <w:rPr>
                <w:rFonts w:eastAsia="Calibri"/>
                <w:b/>
                <w:bCs/>
                <w:color w:val="000000"/>
              </w:rPr>
              <w:t>1</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6C7FAE" w:rsidR="00D717DB" w:rsidP="00A721F3" w:rsidRDefault="007D7881" w14:paraId="19E1EB9A" w14:textId="77777777">
            <w:pPr>
              <w:adjustRightInd/>
              <w:jc w:val="center"/>
              <w:textAlignment w:val="auto"/>
              <w:rPr>
                <w:rFonts w:eastAsia="Calibri"/>
                <w:b/>
                <w:bCs/>
                <w:color w:val="000000"/>
              </w:rPr>
            </w:pPr>
            <w:r>
              <w:rPr>
                <w:rFonts w:eastAsia="Calibri"/>
                <w:b/>
                <w:bCs/>
                <w:color w:val="000000"/>
              </w:rPr>
              <w:t>5</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C7FAE" w:rsidR="00D717DB" w:rsidP="00A721F3" w:rsidRDefault="007D7881" w14:paraId="0B182095" w14:textId="77777777">
            <w:pPr>
              <w:adjustRightInd/>
              <w:jc w:val="center"/>
              <w:textAlignment w:val="auto"/>
              <w:rPr>
                <w:rFonts w:eastAsia="Calibri"/>
                <w:b/>
                <w:bCs/>
                <w:color w:val="000000"/>
              </w:rPr>
            </w:pPr>
            <w:r>
              <w:rPr>
                <w:rFonts w:eastAsia="Calibri"/>
                <w:b/>
                <w:bCs/>
                <w:color w:val="000000"/>
              </w:rPr>
              <w:t>1</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6C7FAE" w:rsidR="00D717DB" w:rsidP="00A721F3" w:rsidRDefault="007D7881" w14:paraId="37A698FF" w14:textId="77777777">
            <w:pPr>
              <w:adjustRightInd/>
              <w:jc w:val="center"/>
              <w:textAlignment w:val="auto"/>
              <w:rPr>
                <w:rFonts w:eastAsia="Calibri"/>
                <w:b/>
                <w:bCs/>
                <w:color w:val="000000"/>
              </w:rPr>
            </w:pPr>
            <w:r>
              <w:rPr>
                <w:rFonts w:eastAsia="Calibri"/>
                <w:b/>
                <w:bCs/>
                <w:color w:val="000000"/>
              </w:rPr>
              <w:t>5</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C7FAE" w:rsidR="00D717DB" w:rsidP="00A721F3" w:rsidRDefault="007D7881" w14:paraId="0D483034" w14:textId="77777777">
            <w:pPr>
              <w:adjustRightInd/>
              <w:jc w:val="center"/>
              <w:textAlignment w:val="auto"/>
              <w:rPr>
                <w:rFonts w:eastAsia="Calibri"/>
                <w:b/>
                <w:bCs/>
                <w:color w:val="000000"/>
              </w:rPr>
            </w:pPr>
            <w:r>
              <w:rPr>
                <w:rFonts w:eastAsia="Calibri"/>
                <w:b/>
                <w:bCs/>
                <w:color w:val="000000"/>
              </w:rPr>
              <w:t>$</w:t>
            </w:r>
            <w:r w:rsidR="009943F1">
              <w:rPr>
                <w:rFonts w:eastAsia="Calibri"/>
                <w:b/>
                <w:bCs/>
                <w:color w:val="000000"/>
              </w:rPr>
              <w:t>78.26</w:t>
            </w: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Pr="006C7FAE" w:rsidR="00D717DB" w:rsidP="00A721F3" w:rsidRDefault="007D7881" w14:paraId="256DEBE5" w14:textId="77777777">
            <w:pPr>
              <w:adjustRightInd/>
              <w:jc w:val="center"/>
              <w:textAlignment w:val="auto"/>
              <w:rPr>
                <w:rFonts w:eastAsia="Calibri"/>
                <w:b/>
                <w:bCs/>
                <w:color w:val="000000"/>
              </w:rPr>
            </w:pPr>
            <w:r>
              <w:rPr>
                <w:rFonts w:eastAsia="Calibri"/>
                <w:b/>
                <w:bCs/>
                <w:color w:val="000000"/>
              </w:rPr>
              <w:t>$3</w:t>
            </w:r>
            <w:r w:rsidR="00675BF0">
              <w:rPr>
                <w:rFonts w:eastAsia="Calibri"/>
                <w:b/>
                <w:bCs/>
                <w:color w:val="000000"/>
              </w:rPr>
              <w:t>91</w:t>
            </w:r>
            <w:r w:rsidR="001635D4">
              <w:rPr>
                <w:rFonts w:eastAsia="Calibri"/>
                <w:b/>
                <w:bCs/>
                <w:color w:val="000000"/>
              </w:rPr>
              <w:t>.30</w:t>
            </w:r>
          </w:p>
        </w:tc>
      </w:tr>
      <w:tr w:rsidRPr="006C7FAE" w:rsidR="00D717DB" w:rsidTr="00F452DC" w14:paraId="6AF5A577" w14:textId="77777777">
        <w:tc>
          <w:tcPr>
            <w:tcW w:w="1469" w:type="dxa"/>
            <w:tcBorders>
              <w:top w:val="nil"/>
              <w:left w:val="single" w:color="auto" w:sz="8" w:space="0"/>
              <w:bottom w:val="nil"/>
              <w:right w:val="single" w:color="auto" w:sz="8" w:space="0"/>
            </w:tcBorders>
            <w:tcMar>
              <w:top w:w="0" w:type="dxa"/>
              <w:left w:w="108" w:type="dxa"/>
              <w:bottom w:w="0" w:type="dxa"/>
              <w:right w:w="108" w:type="dxa"/>
            </w:tcMar>
          </w:tcPr>
          <w:p w:rsidRPr="006C7FAE" w:rsidR="00D717DB" w:rsidP="00167E53" w:rsidRDefault="007D7881" w14:paraId="592E7449" w14:textId="77777777">
            <w:pPr>
              <w:adjustRightInd/>
              <w:textAlignment w:val="auto"/>
              <w:rPr>
                <w:rFonts w:eastAsia="Calibri"/>
                <w:b/>
                <w:bCs/>
                <w:color w:val="000000"/>
              </w:rPr>
            </w:pPr>
            <w:r>
              <w:rPr>
                <w:rFonts w:eastAsia="Calibri"/>
                <w:b/>
                <w:bCs/>
                <w:color w:val="000000"/>
              </w:rPr>
              <w:t>Request for Release of Secured Party</w:t>
            </w:r>
          </w:p>
        </w:tc>
        <w:tc>
          <w:tcPr>
            <w:tcW w:w="1419" w:type="dxa"/>
            <w:tcBorders>
              <w:top w:val="nil"/>
              <w:left w:val="nil"/>
              <w:bottom w:val="nil"/>
              <w:right w:val="single" w:color="auto" w:sz="8" w:space="0"/>
            </w:tcBorders>
            <w:tcMar>
              <w:top w:w="0" w:type="dxa"/>
              <w:left w:w="108" w:type="dxa"/>
              <w:bottom w:w="0" w:type="dxa"/>
              <w:right w:w="108" w:type="dxa"/>
            </w:tcMar>
          </w:tcPr>
          <w:p w:rsidR="007D7881" w:rsidP="00A721F3" w:rsidRDefault="007D7881" w14:paraId="662FFCBE" w14:textId="77777777">
            <w:pPr>
              <w:adjustRightInd/>
              <w:jc w:val="center"/>
              <w:textAlignment w:val="auto"/>
              <w:rPr>
                <w:rFonts w:eastAsia="Calibri"/>
                <w:b/>
                <w:bCs/>
                <w:color w:val="000000"/>
              </w:rPr>
            </w:pPr>
            <w:r>
              <w:rPr>
                <w:rFonts w:eastAsia="Calibri"/>
                <w:b/>
                <w:bCs/>
                <w:color w:val="000000"/>
              </w:rPr>
              <w:t>Est. Volume</w:t>
            </w:r>
          </w:p>
          <w:p w:rsidRPr="006C7FAE" w:rsidR="00D717DB" w:rsidP="00A721F3" w:rsidRDefault="007D7881" w14:paraId="59FFF843" w14:textId="77777777">
            <w:pPr>
              <w:adjustRightInd/>
              <w:jc w:val="center"/>
              <w:textAlignment w:val="auto"/>
              <w:rPr>
                <w:rFonts w:eastAsia="Calibri"/>
                <w:b/>
                <w:bCs/>
                <w:color w:val="000000"/>
              </w:rPr>
            </w:pPr>
            <w:r>
              <w:rPr>
                <w:rFonts w:eastAsia="Calibri"/>
                <w:b/>
                <w:bCs/>
                <w:color w:val="000000"/>
              </w:rPr>
              <w:t>300</w:t>
            </w:r>
          </w:p>
        </w:tc>
        <w:tc>
          <w:tcPr>
            <w:tcW w:w="1224" w:type="dxa"/>
            <w:tcBorders>
              <w:top w:val="nil"/>
              <w:left w:val="nil"/>
              <w:bottom w:val="nil"/>
              <w:right w:val="single" w:color="auto" w:sz="8" w:space="0"/>
            </w:tcBorders>
            <w:tcMar>
              <w:top w:w="0" w:type="dxa"/>
              <w:left w:w="108" w:type="dxa"/>
              <w:bottom w:w="0" w:type="dxa"/>
              <w:right w:w="108" w:type="dxa"/>
            </w:tcMar>
          </w:tcPr>
          <w:p w:rsidRPr="006C7FAE" w:rsidR="00D717DB" w:rsidP="00A721F3" w:rsidRDefault="007D7881" w14:paraId="4BE40A1D" w14:textId="77777777">
            <w:pPr>
              <w:adjustRightInd/>
              <w:jc w:val="center"/>
              <w:textAlignment w:val="auto"/>
              <w:rPr>
                <w:rFonts w:eastAsia="Calibri"/>
                <w:b/>
                <w:bCs/>
                <w:color w:val="000000"/>
              </w:rPr>
            </w:pPr>
            <w:r>
              <w:rPr>
                <w:rFonts w:eastAsia="Calibri"/>
                <w:b/>
                <w:bCs/>
                <w:color w:val="000000"/>
              </w:rPr>
              <w:t>1</w:t>
            </w:r>
          </w:p>
        </w:tc>
        <w:tc>
          <w:tcPr>
            <w:tcW w:w="1186" w:type="dxa"/>
            <w:tcBorders>
              <w:top w:val="nil"/>
              <w:left w:val="nil"/>
              <w:bottom w:val="nil"/>
              <w:right w:val="single" w:color="auto" w:sz="8" w:space="0"/>
            </w:tcBorders>
            <w:tcMar>
              <w:top w:w="0" w:type="dxa"/>
              <w:left w:w="108" w:type="dxa"/>
              <w:bottom w:w="0" w:type="dxa"/>
              <w:right w:w="108" w:type="dxa"/>
            </w:tcMar>
          </w:tcPr>
          <w:p w:rsidRPr="006C7FAE" w:rsidR="00D717DB" w:rsidP="00A721F3" w:rsidRDefault="007D7881" w14:paraId="0664EA55" w14:textId="77777777">
            <w:pPr>
              <w:adjustRightInd/>
              <w:jc w:val="center"/>
              <w:textAlignment w:val="auto"/>
              <w:rPr>
                <w:rFonts w:eastAsia="Calibri"/>
                <w:b/>
                <w:bCs/>
                <w:color w:val="000000"/>
              </w:rPr>
            </w:pPr>
            <w:r>
              <w:rPr>
                <w:rFonts w:eastAsia="Calibri"/>
                <w:b/>
                <w:bCs/>
                <w:color w:val="000000"/>
              </w:rPr>
              <w:t>300</w:t>
            </w:r>
          </w:p>
        </w:tc>
        <w:tc>
          <w:tcPr>
            <w:tcW w:w="1100" w:type="dxa"/>
            <w:tcBorders>
              <w:top w:val="nil"/>
              <w:left w:val="nil"/>
              <w:bottom w:val="nil"/>
              <w:right w:val="single" w:color="auto" w:sz="8" w:space="0"/>
            </w:tcBorders>
            <w:tcMar>
              <w:top w:w="0" w:type="dxa"/>
              <w:left w:w="108" w:type="dxa"/>
              <w:bottom w:w="0" w:type="dxa"/>
              <w:right w:w="108" w:type="dxa"/>
            </w:tcMar>
          </w:tcPr>
          <w:p w:rsidRPr="006C7FAE" w:rsidR="00D717DB" w:rsidP="00A721F3" w:rsidRDefault="001635D4" w14:paraId="687E72A7" w14:textId="77777777">
            <w:pPr>
              <w:adjustRightInd/>
              <w:jc w:val="center"/>
              <w:textAlignment w:val="auto"/>
              <w:rPr>
                <w:rFonts w:eastAsia="Calibri"/>
                <w:b/>
                <w:bCs/>
                <w:color w:val="000000"/>
              </w:rPr>
            </w:pPr>
            <w:r>
              <w:rPr>
                <w:rFonts w:eastAsia="Calibri"/>
                <w:b/>
                <w:bCs/>
                <w:color w:val="000000"/>
              </w:rPr>
              <w:t>.05</w:t>
            </w:r>
          </w:p>
        </w:tc>
        <w:tc>
          <w:tcPr>
            <w:tcW w:w="929" w:type="dxa"/>
            <w:tcBorders>
              <w:top w:val="nil"/>
              <w:left w:val="nil"/>
              <w:bottom w:val="nil"/>
              <w:right w:val="single" w:color="auto" w:sz="8" w:space="0"/>
            </w:tcBorders>
            <w:tcMar>
              <w:top w:w="0" w:type="dxa"/>
              <w:left w:w="108" w:type="dxa"/>
              <w:bottom w:w="0" w:type="dxa"/>
              <w:right w:w="108" w:type="dxa"/>
            </w:tcMar>
          </w:tcPr>
          <w:p w:rsidRPr="006C7FAE" w:rsidR="00D717DB" w:rsidP="00A721F3" w:rsidRDefault="001635D4" w14:paraId="56015E36" w14:textId="77777777">
            <w:pPr>
              <w:adjustRightInd/>
              <w:jc w:val="center"/>
              <w:textAlignment w:val="auto"/>
              <w:rPr>
                <w:rFonts w:eastAsia="Calibri"/>
                <w:b/>
                <w:bCs/>
                <w:color w:val="000000"/>
              </w:rPr>
            </w:pPr>
            <w:r>
              <w:rPr>
                <w:rFonts w:eastAsia="Calibri"/>
                <w:b/>
                <w:bCs/>
                <w:color w:val="000000"/>
              </w:rPr>
              <w:t>15</w:t>
            </w:r>
          </w:p>
        </w:tc>
        <w:tc>
          <w:tcPr>
            <w:tcW w:w="1100" w:type="dxa"/>
            <w:tcBorders>
              <w:top w:val="nil"/>
              <w:left w:val="nil"/>
              <w:bottom w:val="nil"/>
              <w:right w:val="single" w:color="auto" w:sz="8" w:space="0"/>
            </w:tcBorders>
            <w:tcMar>
              <w:top w:w="0" w:type="dxa"/>
              <w:left w:w="108" w:type="dxa"/>
              <w:bottom w:w="0" w:type="dxa"/>
              <w:right w:w="108" w:type="dxa"/>
            </w:tcMar>
          </w:tcPr>
          <w:p w:rsidRPr="006C7FAE" w:rsidR="00D717DB" w:rsidP="00A721F3" w:rsidRDefault="007D7881" w14:paraId="0D882CE4" w14:textId="77777777">
            <w:pPr>
              <w:adjustRightInd/>
              <w:jc w:val="center"/>
              <w:textAlignment w:val="auto"/>
              <w:rPr>
                <w:rFonts w:eastAsia="Calibri"/>
                <w:b/>
                <w:bCs/>
                <w:color w:val="000000"/>
              </w:rPr>
            </w:pPr>
            <w:r>
              <w:rPr>
                <w:rFonts w:eastAsia="Calibri"/>
                <w:b/>
                <w:bCs/>
                <w:color w:val="000000"/>
              </w:rPr>
              <w:t>$</w:t>
            </w:r>
            <w:r w:rsidR="009943F1">
              <w:rPr>
                <w:rFonts w:eastAsia="Calibri"/>
                <w:b/>
                <w:bCs/>
                <w:color w:val="000000"/>
              </w:rPr>
              <w:t>78.26</w:t>
            </w:r>
          </w:p>
        </w:tc>
        <w:tc>
          <w:tcPr>
            <w:tcW w:w="1041" w:type="dxa"/>
            <w:tcBorders>
              <w:top w:val="nil"/>
              <w:left w:val="nil"/>
              <w:bottom w:val="nil"/>
              <w:right w:val="single" w:color="auto" w:sz="8" w:space="0"/>
            </w:tcBorders>
            <w:tcMar>
              <w:top w:w="0" w:type="dxa"/>
              <w:left w:w="108" w:type="dxa"/>
              <w:bottom w:w="0" w:type="dxa"/>
              <w:right w:w="108" w:type="dxa"/>
            </w:tcMar>
          </w:tcPr>
          <w:p w:rsidRPr="006C7FAE" w:rsidR="00D717DB" w:rsidP="00A721F3" w:rsidRDefault="007D7881" w14:paraId="3C2ED030" w14:textId="77777777">
            <w:pPr>
              <w:adjustRightInd/>
              <w:jc w:val="center"/>
              <w:textAlignment w:val="auto"/>
              <w:rPr>
                <w:rFonts w:eastAsia="Calibri"/>
                <w:b/>
                <w:bCs/>
                <w:color w:val="000000"/>
              </w:rPr>
            </w:pPr>
            <w:r>
              <w:rPr>
                <w:rFonts w:eastAsia="Calibri"/>
                <w:b/>
                <w:bCs/>
                <w:color w:val="000000"/>
              </w:rPr>
              <w:t>$</w:t>
            </w:r>
            <w:r w:rsidR="001635D4">
              <w:rPr>
                <w:rFonts w:eastAsia="Calibri"/>
                <w:b/>
                <w:bCs/>
                <w:color w:val="000000"/>
              </w:rPr>
              <w:t>1,173.90</w:t>
            </w:r>
          </w:p>
        </w:tc>
      </w:tr>
      <w:tr w:rsidRPr="006C7FAE" w:rsidR="00F452DC" w:rsidTr="00167E53" w14:paraId="12E94BE9"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F452DC" w:rsidP="00167E53" w:rsidRDefault="00F452DC" w14:paraId="6CD9B2E0" w14:textId="77777777">
            <w:pPr>
              <w:adjustRightInd/>
              <w:textAlignment w:val="auto"/>
              <w:rPr>
                <w:rFonts w:eastAsia="Calibri"/>
                <w:b/>
                <w:bCs/>
                <w:color w:val="000000"/>
              </w:rPr>
            </w:pPr>
            <w:r>
              <w:rPr>
                <w:rFonts w:eastAsia="Calibri"/>
                <w:b/>
                <w:bCs/>
                <w:color w:val="000000"/>
              </w:rPr>
              <w:t>Totals</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00F452DC" w:rsidP="00A721F3" w:rsidRDefault="00F452DC" w14:paraId="76B023E6" w14:textId="77777777">
            <w:pPr>
              <w:adjustRightInd/>
              <w:jc w:val="center"/>
              <w:textAlignment w:val="auto"/>
              <w:rPr>
                <w:rFonts w:eastAsia="Calibri"/>
                <w:b/>
                <w:bCs/>
                <w:color w:val="000000"/>
              </w:rPr>
            </w:pPr>
            <w:r>
              <w:rPr>
                <w:rFonts w:eastAsia="Calibri"/>
                <w:b/>
                <w:bCs/>
                <w:color w:val="000000"/>
              </w:rPr>
              <w:t>Varies</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00F452DC" w:rsidP="00A721F3" w:rsidRDefault="00F452DC" w14:paraId="5E5E1761" w14:textId="77777777">
            <w:pPr>
              <w:adjustRightInd/>
              <w:jc w:val="center"/>
              <w:textAlignment w:val="auto"/>
              <w:rPr>
                <w:rFonts w:eastAsia="Calibri"/>
                <w:b/>
                <w:bCs/>
                <w:color w:val="000000"/>
              </w:rPr>
            </w:pPr>
            <w:r>
              <w:rPr>
                <w:rFonts w:eastAsia="Calibri"/>
                <w:b/>
                <w:bCs/>
                <w:color w:val="000000"/>
              </w:rPr>
              <w:t>1</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00F452DC" w:rsidP="00A721F3" w:rsidRDefault="00F452DC" w14:paraId="5AB3C292" w14:textId="77777777">
            <w:pPr>
              <w:adjustRightInd/>
              <w:jc w:val="center"/>
              <w:textAlignment w:val="auto"/>
              <w:rPr>
                <w:rFonts w:eastAsia="Calibri"/>
                <w:b/>
                <w:bCs/>
                <w:color w:val="000000"/>
              </w:rPr>
            </w:pPr>
            <w:r>
              <w:rPr>
                <w:rFonts w:eastAsia="Calibri"/>
                <w:b/>
                <w:bCs/>
                <w:color w:val="000000"/>
              </w:rPr>
              <w:t>325</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00F452DC" w:rsidP="00A721F3" w:rsidRDefault="00F452DC" w14:paraId="3D3C4F2E" w14:textId="77777777">
            <w:pPr>
              <w:adjustRightInd/>
              <w:jc w:val="center"/>
              <w:textAlignment w:val="auto"/>
              <w:rPr>
                <w:rFonts w:eastAsia="Calibri"/>
                <w:b/>
                <w:bCs/>
                <w:color w:val="000000"/>
              </w:rPr>
            </w:pPr>
            <w:r>
              <w:rPr>
                <w:rFonts w:eastAsia="Calibri"/>
                <w:b/>
                <w:bCs/>
                <w:color w:val="000000"/>
              </w:rPr>
              <w:t>Varies</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00F452DC" w:rsidP="00A721F3" w:rsidRDefault="001635D4" w14:paraId="4DB66004" w14:textId="77777777">
            <w:pPr>
              <w:adjustRightInd/>
              <w:jc w:val="center"/>
              <w:textAlignment w:val="auto"/>
              <w:rPr>
                <w:rFonts w:eastAsia="Calibri"/>
                <w:b/>
                <w:bCs/>
                <w:color w:val="000000"/>
              </w:rPr>
            </w:pPr>
            <w:r>
              <w:rPr>
                <w:rFonts w:eastAsia="Calibri"/>
                <w:b/>
                <w:bCs/>
                <w:color w:val="000000"/>
              </w:rPr>
              <w:t>4</w:t>
            </w:r>
            <w:r w:rsidR="00F452DC">
              <w:rPr>
                <w:rFonts w:eastAsia="Calibri"/>
                <w:b/>
                <w:bCs/>
                <w:color w:val="000000"/>
              </w:rPr>
              <w:t>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00F452DC" w:rsidP="00A721F3" w:rsidRDefault="00F452DC" w14:paraId="688E5E28" w14:textId="77777777">
            <w:pPr>
              <w:adjustRightInd/>
              <w:jc w:val="center"/>
              <w:textAlignment w:val="auto"/>
              <w:rPr>
                <w:rFonts w:eastAsia="Calibri"/>
                <w:b/>
                <w:bCs/>
                <w:color w:val="000000"/>
              </w:rPr>
            </w:pP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00F452DC" w:rsidP="00A721F3" w:rsidRDefault="00F452DC" w14:paraId="38BF032B" w14:textId="77777777">
            <w:pPr>
              <w:adjustRightInd/>
              <w:jc w:val="center"/>
              <w:textAlignment w:val="auto"/>
              <w:rPr>
                <w:rFonts w:eastAsia="Calibri"/>
                <w:b/>
                <w:bCs/>
                <w:color w:val="000000"/>
              </w:rPr>
            </w:pPr>
            <w:r>
              <w:rPr>
                <w:rFonts w:eastAsia="Calibri"/>
                <w:b/>
                <w:bCs/>
                <w:color w:val="000000"/>
              </w:rPr>
              <w:t>$</w:t>
            </w:r>
            <w:r w:rsidR="001635D4">
              <w:rPr>
                <w:rFonts w:eastAsia="Calibri"/>
                <w:b/>
                <w:bCs/>
                <w:color w:val="000000"/>
              </w:rPr>
              <w:t>3,130.40</w:t>
            </w:r>
          </w:p>
        </w:tc>
      </w:tr>
    </w:tbl>
    <w:p w:rsidRPr="006C7FAE" w:rsidR="009E13B1" w:rsidP="007D7881" w:rsidRDefault="007D7881" w14:paraId="1B11E178" w14:textId="77777777">
      <w:pPr>
        <w:keepLines/>
        <w:tabs>
          <w:tab w:val="left" w:pos="360"/>
          <w:tab w:val="left" w:pos="720"/>
        </w:tabs>
      </w:pPr>
      <w:r>
        <w:t>*Hourly cost based on a GS-15, Step 4 employee salary, rounded to the nearest dollar</w:t>
      </w:r>
    </w:p>
    <w:p w:rsidR="009E13B1" w:rsidRDefault="009E13B1" w14:paraId="1803786F" w14:textId="77777777">
      <w:pPr>
        <w:tabs>
          <w:tab w:val="left" w:pos="360"/>
        </w:tabs>
        <w:ind w:left="360" w:hanging="360"/>
        <w:rPr>
          <w:sz w:val="24"/>
          <w:szCs w:val="24"/>
        </w:rPr>
      </w:pPr>
    </w:p>
    <w:p w:rsidRPr="006C7FAE" w:rsidR="006C7FAE" w:rsidRDefault="006C7FAE" w14:paraId="58300ADF" w14:textId="77777777">
      <w:pPr>
        <w:tabs>
          <w:tab w:val="left" w:pos="360"/>
        </w:tabs>
        <w:ind w:left="360" w:hanging="360"/>
        <w:rPr>
          <w:sz w:val="24"/>
          <w:szCs w:val="24"/>
        </w:rPr>
      </w:pPr>
    </w:p>
    <w:p w:rsidR="009E13B1" w:rsidRDefault="009E13B1" w14:paraId="461DF0F7" w14:textId="77777777">
      <w:pPr>
        <w:keepLines/>
        <w:tabs>
          <w:tab w:val="left" w:pos="360"/>
        </w:tabs>
        <w:spacing w:after="80"/>
        <w:ind w:left="360" w:hanging="360"/>
        <w:rPr>
          <w:b/>
          <w:bCs/>
          <w:sz w:val="24"/>
          <w:szCs w:val="24"/>
        </w:rPr>
      </w:pPr>
      <w:r w:rsidRPr="006C7FAE">
        <w:rPr>
          <w:sz w:val="24"/>
          <w:szCs w:val="24"/>
        </w:rPr>
        <w:t>15.</w:t>
      </w:r>
      <w:r w:rsidRPr="006C7FAE">
        <w:rPr>
          <w:sz w:val="24"/>
          <w:szCs w:val="24"/>
        </w:rPr>
        <w:tab/>
      </w:r>
      <w:r w:rsidRPr="007D7881">
        <w:rPr>
          <w:b/>
          <w:bCs/>
          <w:sz w:val="24"/>
          <w:szCs w:val="24"/>
        </w:rPr>
        <w:t>Explain the reasons for any program changes or adjustments reported in Items 13 and 14 of the OMB Form 83-I.</w:t>
      </w:r>
    </w:p>
    <w:p w:rsidRPr="007D7881" w:rsidR="007D7881" w:rsidP="007D7881" w:rsidRDefault="009943F1" w14:paraId="05B21969" w14:textId="77777777">
      <w:pPr>
        <w:keepLines/>
        <w:numPr>
          <w:ilvl w:val="0"/>
          <w:numId w:val="16"/>
        </w:numPr>
        <w:tabs>
          <w:tab w:val="left" w:pos="360"/>
        </w:tabs>
        <w:spacing w:after="80"/>
        <w:rPr>
          <w:b/>
          <w:bCs/>
          <w:sz w:val="24"/>
          <w:szCs w:val="24"/>
        </w:rPr>
      </w:pPr>
      <w:r>
        <w:rPr>
          <w:sz w:val="24"/>
          <w:szCs w:val="24"/>
        </w:rPr>
        <w:t>New Collection</w:t>
      </w:r>
    </w:p>
    <w:p w:rsidRPr="006C7FAE" w:rsidR="009E13B1" w:rsidRDefault="009E13B1" w14:paraId="1C859748" w14:textId="77777777">
      <w:pPr>
        <w:keepLines/>
        <w:tabs>
          <w:tab w:val="left" w:pos="360"/>
          <w:tab w:val="left" w:pos="720"/>
        </w:tabs>
        <w:ind w:left="360"/>
        <w:rPr>
          <w:sz w:val="24"/>
          <w:szCs w:val="24"/>
        </w:rPr>
      </w:pPr>
    </w:p>
    <w:p w:rsidR="009E13B1" w:rsidRDefault="009E13B1" w14:paraId="4C09593B" w14:textId="77777777">
      <w:pPr>
        <w:keepLines/>
        <w:tabs>
          <w:tab w:val="left" w:pos="360"/>
        </w:tabs>
        <w:spacing w:after="80"/>
        <w:ind w:left="360" w:hanging="360"/>
        <w:rPr>
          <w:b/>
          <w:bCs/>
          <w:sz w:val="24"/>
          <w:szCs w:val="24"/>
        </w:rPr>
      </w:pPr>
      <w:r w:rsidRPr="006C7FAE">
        <w:rPr>
          <w:sz w:val="24"/>
          <w:szCs w:val="24"/>
        </w:rPr>
        <w:t>16.</w:t>
      </w:r>
      <w:r w:rsidRPr="006C7FAE">
        <w:rPr>
          <w:sz w:val="24"/>
          <w:szCs w:val="24"/>
        </w:rPr>
        <w:tab/>
      </w:r>
      <w:r w:rsidRPr="007D7881">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635D4" w:rsidR="009E13B1" w:rsidP="001635D4" w:rsidRDefault="007D7881" w14:paraId="1DB10F7E" w14:textId="77777777">
      <w:pPr>
        <w:keepLines/>
        <w:numPr>
          <w:ilvl w:val="0"/>
          <w:numId w:val="16"/>
        </w:numPr>
        <w:tabs>
          <w:tab w:val="left" w:pos="360"/>
        </w:tabs>
        <w:spacing w:after="80"/>
        <w:rPr>
          <w:sz w:val="24"/>
          <w:szCs w:val="24"/>
        </w:rPr>
      </w:pPr>
      <w:r w:rsidRPr="001635D4">
        <w:rPr>
          <w:sz w:val="24"/>
          <w:szCs w:val="24"/>
        </w:rPr>
        <w:t>Not Applicable</w:t>
      </w:r>
      <w:r w:rsidR="001635D4">
        <w:rPr>
          <w:sz w:val="24"/>
          <w:szCs w:val="24"/>
        </w:rPr>
        <w:t>.</w:t>
      </w:r>
    </w:p>
    <w:p w:rsidRPr="006C7FAE" w:rsidR="009E13B1" w:rsidRDefault="009E13B1" w14:paraId="2CAC0D32" w14:textId="77777777">
      <w:pPr>
        <w:keepLines/>
        <w:tabs>
          <w:tab w:val="left" w:pos="360"/>
        </w:tabs>
        <w:spacing w:after="80"/>
        <w:ind w:left="360" w:hanging="360"/>
        <w:rPr>
          <w:sz w:val="24"/>
          <w:szCs w:val="24"/>
        </w:rPr>
      </w:pPr>
      <w:r w:rsidRPr="006C7FAE">
        <w:rPr>
          <w:sz w:val="24"/>
          <w:szCs w:val="24"/>
        </w:rPr>
        <w:t>17.</w:t>
      </w:r>
      <w:r w:rsidRPr="006C7FAE">
        <w:rPr>
          <w:sz w:val="24"/>
          <w:szCs w:val="24"/>
        </w:rPr>
        <w:tab/>
      </w:r>
      <w:r w:rsidRPr="007D7881">
        <w:rPr>
          <w:b/>
          <w:bCs/>
          <w:sz w:val="24"/>
          <w:szCs w:val="24"/>
        </w:rPr>
        <w:t>If seeking approval to not display the expiration date for OMB approval of the information collection, explain the reasons that display would be inappropriate.</w:t>
      </w:r>
    </w:p>
    <w:p w:rsidRPr="001635D4" w:rsidR="007D7881" w:rsidP="0091491C" w:rsidRDefault="007D7881" w14:paraId="5F830862" w14:textId="77777777">
      <w:pPr>
        <w:keepLines/>
        <w:numPr>
          <w:ilvl w:val="0"/>
          <w:numId w:val="16"/>
        </w:numPr>
        <w:tabs>
          <w:tab w:val="left" w:pos="360"/>
          <w:tab w:val="left" w:pos="720"/>
        </w:tabs>
        <w:rPr>
          <w:b/>
          <w:bCs/>
          <w:sz w:val="24"/>
          <w:szCs w:val="24"/>
        </w:rPr>
      </w:pPr>
      <w:r w:rsidRPr="001635D4">
        <w:rPr>
          <w:sz w:val="24"/>
          <w:szCs w:val="24"/>
        </w:rPr>
        <w:t>Not Applicable</w:t>
      </w:r>
      <w:r w:rsidR="001635D4">
        <w:rPr>
          <w:sz w:val="24"/>
          <w:szCs w:val="24"/>
        </w:rPr>
        <w:t>.</w:t>
      </w:r>
    </w:p>
    <w:p w:rsidRPr="00F452DC" w:rsidR="009E13B1" w:rsidRDefault="009E13B1" w14:paraId="40E593E8" w14:textId="77777777">
      <w:pPr>
        <w:keepLines/>
        <w:tabs>
          <w:tab w:val="left" w:pos="360"/>
        </w:tabs>
        <w:spacing w:after="80"/>
        <w:ind w:left="360" w:hanging="360"/>
        <w:rPr>
          <w:rFonts w:ascii="Courier" w:hAnsi="Courier"/>
          <w:b/>
          <w:bCs/>
          <w:sz w:val="24"/>
          <w:szCs w:val="24"/>
        </w:rPr>
      </w:pPr>
      <w:r w:rsidRPr="00F452DC">
        <w:rPr>
          <w:b/>
          <w:bCs/>
          <w:sz w:val="24"/>
          <w:szCs w:val="24"/>
        </w:rPr>
        <w:t>18.</w:t>
      </w:r>
      <w:r w:rsidRPr="00F452DC">
        <w:rPr>
          <w:b/>
          <w:bCs/>
          <w:sz w:val="24"/>
          <w:szCs w:val="24"/>
        </w:rPr>
        <w:tab/>
        <w:t>Explain each exception to the certification statement identified in item 19.</w:t>
      </w:r>
    </w:p>
    <w:p w:rsidRPr="006C7FAE" w:rsidR="009E13B1" w:rsidP="00EF05C4" w:rsidRDefault="00EF05C4" w14:paraId="4268123C" w14:textId="77777777">
      <w:pPr>
        <w:keepLines/>
        <w:numPr>
          <w:ilvl w:val="0"/>
          <w:numId w:val="16"/>
        </w:numPr>
        <w:tabs>
          <w:tab w:val="left" w:pos="360"/>
          <w:tab w:val="left" w:pos="720"/>
        </w:tabs>
        <w:rPr>
          <w:sz w:val="24"/>
          <w:szCs w:val="24"/>
        </w:rPr>
      </w:pPr>
      <w:r>
        <w:rPr>
          <w:sz w:val="24"/>
          <w:szCs w:val="24"/>
        </w:rPr>
        <w:t>Ginnie Mae is not requesting an exception to the certification statement identified in item 19.</w:t>
      </w:r>
    </w:p>
    <w:p w:rsidRPr="006C7FAE" w:rsidR="009E13B1" w:rsidRDefault="009E13B1" w14:paraId="2D90514E" w14:textId="77777777">
      <w:pPr>
        <w:tabs>
          <w:tab w:val="left" w:pos="360"/>
          <w:tab w:val="left" w:pos="720"/>
        </w:tabs>
        <w:rPr>
          <w:sz w:val="24"/>
          <w:szCs w:val="24"/>
        </w:rPr>
      </w:pPr>
    </w:p>
    <w:p w:rsidRPr="006C7FAE" w:rsidR="009E13B1" w:rsidP="00167E53" w:rsidRDefault="009E13B1" w14:paraId="148BD815"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w:t>
      </w:r>
      <w:r w:rsidR="00675BF0">
        <w:rPr>
          <w:rFonts w:ascii="Helvetica" w:hAnsi="Helvetica"/>
          <w:b/>
          <w:sz w:val="24"/>
          <w:szCs w:val="24"/>
        </w:rPr>
        <w:t>1</w:t>
      </w:r>
      <w:r w:rsidRPr="006C7FAE">
        <w:rPr>
          <w:rFonts w:ascii="Helvetica" w:hAnsi="Helvetica"/>
          <w:b/>
          <w:sz w:val="24"/>
          <w:szCs w:val="24"/>
        </w:rPr>
        <w:t>n Employing Statistical Methods</w:t>
      </w:r>
    </w:p>
    <w:sectPr w:rsidRPr="006C7FAE" w:rsidR="009E13B1" w:rsidSect="006C7FAE">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D163B" w14:textId="77777777" w:rsidR="009301BE" w:rsidRDefault="009301BE">
      <w:r>
        <w:separator/>
      </w:r>
    </w:p>
  </w:endnote>
  <w:endnote w:type="continuationSeparator" w:id="0">
    <w:p w14:paraId="146F7B74" w14:textId="77777777" w:rsidR="009301BE" w:rsidRDefault="0093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CA79" w14:textId="77777777" w:rsidR="009301BE" w:rsidRDefault="009301BE">
      <w:r>
        <w:separator/>
      </w:r>
    </w:p>
  </w:footnote>
  <w:footnote w:type="continuationSeparator" w:id="0">
    <w:p w14:paraId="75CDB8BE" w14:textId="77777777" w:rsidR="009301BE" w:rsidRDefault="00930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0DC16A2"/>
    <w:multiLevelType w:val="hybridMultilevel"/>
    <w:tmpl w:val="71A8A1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15:restartNumberingAfterBreak="0">
    <w:nsid w:val="0FB11DF7"/>
    <w:multiLevelType w:val="hybridMultilevel"/>
    <w:tmpl w:val="EAD6D1CA"/>
    <w:lvl w:ilvl="0" w:tplc="CF663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0"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4" w15:restartNumberingAfterBreak="0">
    <w:nsid w:val="7FD43A9E"/>
    <w:multiLevelType w:val="hybridMultilevel"/>
    <w:tmpl w:val="66E02DA4"/>
    <w:lvl w:ilvl="0" w:tplc="04090001">
      <w:start w:val="1"/>
      <w:numFmt w:val="bullet"/>
      <w:lvlText w:val=""/>
      <w:lvlJc w:val="left"/>
      <w:pPr>
        <w:ind w:left="1404" w:hanging="360"/>
      </w:pPr>
      <w:rPr>
        <w:rFonts w:ascii="Symbol" w:hAnsi="Symbol"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num w:numId="1" w16cid:durableId="900094664">
    <w:abstractNumId w:val="6"/>
  </w:num>
  <w:num w:numId="2" w16cid:durableId="1927956473">
    <w:abstractNumId w:val="3"/>
  </w:num>
  <w:num w:numId="3" w16cid:durableId="1910845396">
    <w:abstractNumId w:val="10"/>
  </w:num>
  <w:num w:numId="4" w16cid:durableId="169225041">
    <w:abstractNumId w:val="7"/>
  </w:num>
  <w:num w:numId="5" w16cid:durableId="244804263">
    <w:abstractNumId w:val="8"/>
  </w:num>
  <w:num w:numId="6" w16cid:durableId="1764256761">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2072380370">
    <w:abstractNumId w:val="5"/>
  </w:num>
  <w:num w:numId="8" w16cid:durableId="1292859627">
    <w:abstractNumId w:val="13"/>
  </w:num>
  <w:num w:numId="9" w16cid:durableId="302738794">
    <w:abstractNumId w:val="2"/>
  </w:num>
  <w:num w:numId="10" w16cid:durableId="1534461742">
    <w:abstractNumId w:val="12"/>
  </w:num>
  <w:num w:numId="11" w16cid:durableId="390154810">
    <w:abstractNumId w:val="11"/>
  </w:num>
  <w:num w:numId="12" w16cid:durableId="141068789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2060398268">
    <w:abstractNumId w:val="9"/>
  </w:num>
  <w:num w:numId="14" w16cid:durableId="676737320">
    <w:abstractNumId w:val="0"/>
    <w:lvlOverride w:ilvl="0">
      <w:lvl w:ilvl="0">
        <w:start w:val="1"/>
        <w:numFmt w:val="bullet"/>
        <w:lvlText w:val=""/>
        <w:legacy w:legacy="1" w:legacySpace="0" w:legacyIndent="144"/>
        <w:lvlJc w:val="left"/>
        <w:pPr>
          <w:ind w:left="1764" w:hanging="144"/>
        </w:pPr>
        <w:rPr>
          <w:rFonts w:ascii="Symbol" w:hAnsi="Symbol" w:hint="default"/>
          <w:sz w:val="16"/>
        </w:rPr>
      </w:lvl>
    </w:lvlOverride>
  </w:num>
  <w:num w:numId="15" w16cid:durableId="446123172">
    <w:abstractNumId w:val="4"/>
  </w:num>
  <w:num w:numId="16" w16cid:durableId="2106881897">
    <w:abstractNumId w:val="1"/>
  </w:num>
  <w:num w:numId="17" w16cid:durableId="9969561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xMTMzNDSxtDQyMrZQ0lEKTi0uzszPAykwrAUA31baVywAAAA="/>
  </w:docVars>
  <w:rsids>
    <w:rsidRoot w:val="00B01940"/>
    <w:rsid w:val="000046AA"/>
    <w:rsid w:val="00016A97"/>
    <w:rsid w:val="00060124"/>
    <w:rsid w:val="000A1639"/>
    <w:rsid w:val="000A193F"/>
    <w:rsid w:val="000C117C"/>
    <w:rsid w:val="000E00A8"/>
    <w:rsid w:val="000E2A89"/>
    <w:rsid w:val="000F0001"/>
    <w:rsid w:val="000F2FA0"/>
    <w:rsid w:val="00106B04"/>
    <w:rsid w:val="0013092C"/>
    <w:rsid w:val="001635D4"/>
    <w:rsid w:val="00167E53"/>
    <w:rsid w:val="001929C1"/>
    <w:rsid w:val="00197E89"/>
    <w:rsid w:val="001E0B80"/>
    <w:rsid w:val="00210671"/>
    <w:rsid w:val="0023256B"/>
    <w:rsid w:val="00293566"/>
    <w:rsid w:val="002A5789"/>
    <w:rsid w:val="002E0779"/>
    <w:rsid w:val="002F6CE8"/>
    <w:rsid w:val="00357954"/>
    <w:rsid w:val="00360090"/>
    <w:rsid w:val="00383757"/>
    <w:rsid w:val="00383978"/>
    <w:rsid w:val="00384CA3"/>
    <w:rsid w:val="003C6D58"/>
    <w:rsid w:val="003F5D60"/>
    <w:rsid w:val="00406AE3"/>
    <w:rsid w:val="00424E8F"/>
    <w:rsid w:val="0043306F"/>
    <w:rsid w:val="00450591"/>
    <w:rsid w:val="00471CB6"/>
    <w:rsid w:val="004817A5"/>
    <w:rsid w:val="004B2A13"/>
    <w:rsid w:val="004F773C"/>
    <w:rsid w:val="0055132B"/>
    <w:rsid w:val="0058747D"/>
    <w:rsid w:val="005F3032"/>
    <w:rsid w:val="005F36F5"/>
    <w:rsid w:val="00640B69"/>
    <w:rsid w:val="0065214E"/>
    <w:rsid w:val="00675BF0"/>
    <w:rsid w:val="006B7674"/>
    <w:rsid w:val="006C7FAE"/>
    <w:rsid w:val="006D3B84"/>
    <w:rsid w:val="00710E02"/>
    <w:rsid w:val="00736985"/>
    <w:rsid w:val="00751260"/>
    <w:rsid w:val="007B4A33"/>
    <w:rsid w:val="007D7881"/>
    <w:rsid w:val="007F1A91"/>
    <w:rsid w:val="00802A6F"/>
    <w:rsid w:val="00815167"/>
    <w:rsid w:val="00874FCA"/>
    <w:rsid w:val="008A7175"/>
    <w:rsid w:val="008C601D"/>
    <w:rsid w:val="008E2EC7"/>
    <w:rsid w:val="009020C7"/>
    <w:rsid w:val="0091491C"/>
    <w:rsid w:val="009301BE"/>
    <w:rsid w:val="00941143"/>
    <w:rsid w:val="009721A2"/>
    <w:rsid w:val="009943F1"/>
    <w:rsid w:val="009B4A47"/>
    <w:rsid w:val="009C3698"/>
    <w:rsid w:val="009E0C3E"/>
    <w:rsid w:val="009E13B1"/>
    <w:rsid w:val="009E1B44"/>
    <w:rsid w:val="00A022F1"/>
    <w:rsid w:val="00A7183E"/>
    <w:rsid w:val="00A721F3"/>
    <w:rsid w:val="00A7648E"/>
    <w:rsid w:val="00A83E46"/>
    <w:rsid w:val="00B01940"/>
    <w:rsid w:val="00B04BA6"/>
    <w:rsid w:val="00B12975"/>
    <w:rsid w:val="00B513E4"/>
    <w:rsid w:val="00B51561"/>
    <w:rsid w:val="00B94401"/>
    <w:rsid w:val="00BA558A"/>
    <w:rsid w:val="00BC10AF"/>
    <w:rsid w:val="00BC50C0"/>
    <w:rsid w:val="00BE40B8"/>
    <w:rsid w:val="00BE4440"/>
    <w:rsid w:val="00CA6A19"/>
    <w:rsid w:val="00CE1567"/>
    <w:rsid w:val="00D36BE9"/>
    <w:rsid w:val="00D419B2"/>
    <w:rsid w:val="00D717DB"/>
    <w:rsid w:val="00DD5686"/>
    <w:rsid w:val="00DF085E"/>
    <w:rsid w:val="00DF6F3A"/>
    <w:rsid w:val="00E065A0"/>
    <w:rsid w:val="00E41A3B"/>
    <w:rsid w:val="00E71428"/>
    <w:rsid w:val="00EA3059"/>
    <w:rsid w:val="00EB37DE"/>
    <w:rsid w:val="00ED6B1E"/>
    <w:rsid w:val="00EF05C4"/>
    <w:rsid w:val="00F27C8F"/>
    <w:rsid w:val="00F452DC"/>
    <w:rsid w:val="00F5145B"/>
    <w:rsid w:val="00F87579"/>
    <w:rsid w:val="00F94CD0"/>
    <w:rsid w:val="00FC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57D8C"/>
  <w15:chartTrackingRefBased/>
  <w15:docId w15:val="{6DD87C20-2045-45C6-BC39-80172CD2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BodyTextIndent2">
    <w:name w:val="Body Text Indent 2"/>
    <w:basedOn w:val="Normal"/>
    <w:link w:val="BodyTextIndent2Char"/>
    <w:rsid w:val="00293566"/>
    <w:pPr>
      <w:tabs>
        <w:tab w:val="left" w:pos="360"/>
        <w:tab w:val="left" w:pos="720"/>
      </w:tabs>
      <w:ind w:left="360"/>
    </w:pPr>
    <w:rPr>
      <w:b/>
      <w:noProof/>
    </w:rPr>
  </w:style>
  <w:style w:type="character" w:customStyle="1" w:styleId="BodyTextIndent2Char">
    <w:name w:val="Body Text Indent 2 Char"/>
    <w:link w:val="BodyTextIndent2"/>
    <w:rsid w:val="00293566"/>
    <w:rPr>
      <w:b/>
      <w:noProof/>
    </w:rPr>
  </w:style>
  <w:style w:type="character" w:styleId="Hyperlink">
    <w:name w:val="Hyperlink"/>
    <w:uiPriority w:val="99"/>
    <w:unhideWhenUsed/>
    <w:rsid w:val="00293566"/>
    <w:rPr>
      <w:color w:val="0563C1"/>
      <w:u w:val="single"/>
    </w:rPr>
  </w:style>
  <w:style w:type="paragraph" w:styleId="ListParagraph">
    <w:name w:val="List Paragraph"/>
    <w:basedOn w:val="Normal"/>
    <w:uiPriority w:val="34"/>
    <w:qFormat/>
    <w:rsid w:val="00471CB6"/>
    <w:pPr>
      <w:ind w:left="720"/>
      <w:contextualSpacing/>
    </w:pPr>
  </w:style>
  <w:style w:type="paragraph" w:styleId="NoSpacing">
    <w:name w:val="No Spacing"/>
    <w:uiPriority w:val="1"/>
    <w:qFormat/>
    <w:rsid w:val="009E1B44"/>
    <w:pPr>
      <w:overflowPunct w:val="0"/>
      <w:autoSpaceDE w:val="0"/>
      <w:autoSpaceDN w:val="0"/>
      <w:adjustRightInd w:val="0"/>
      <w:textAlignment w:val="baseline"/>
    </w:pPr>
  </w:style>
  <w:style w:type="character" w:styleId="CommentReference">
    <w:name w:val="annotation reference"/>
    <w:uiPriority w:val="99"/>
    <w:semiHidden/>
    <w:unhideWhenUsed/>
    <w:rsid w:val="00DF6F3A"/>
    <w:rPr>
      <w:sz w:val="16"/>
      <w:szCs w:val="16"/>
    </w:rPr>
  </w:style>
  <w:style w:type="paragraph" w:styleId="CommentText">
    <w:name w:val="annotation text"/>
    <w:basedOn w:val="Normal"/>
    <w:link w:val="CommentTextChar"/>
    <w:uiPriority w:val="99"/>
    <w:semiHidden/>
    <w:unhideWhenUsed/>
    <w:rsid w:val="00DF6F3A"/>
  </w:style>
  <w:style w:type="character" w:customStyle="1" w:styleId="CommentTextChar">
    <w:name w:val="Comment Text Char"/>
    <w:basedOn w:val="DefaultParagraphFont"/>
    <w:link w:val="CommentText"/>
    <w:uiPriority w:val="99"/>
    <w:semiHidden/>
    <w:rsid w:val="00DF6F3A"/>
  </w:style>
  <w:style w:type="paragraph" w:styleId="CommentSubject">
    <w:name w:val="annotation subject"/>
    <w:basedOn w:val="CommentText"/>
    <w:next w:val="CommentText"/>
    <w:link w:val="CommentSubjectChar"/>
    <w:uiPriority w:val="99"/>
    <w:semiHidden/>
    <w:unhideWhenUsed/>
    <w:rsid w:val="00DF6F3A"/>
    <w:rPr>
      <w:b/>
      <w:bCs/>
    </w:rPr>
  </w:style>
  <w:style w:type="character" w:customStyle="1" w:styleId="CommentSubjectChar">
    <w:name w:val="Comment Subject Char"/>
    <w:link w:val="CommentSubject"/>
    <w:uiPriority w:val="99"/>
    <w:semiHidden/>
    <w:rsid w:val="00DF6F3A"/>
    <w:rPr>
      <w:b/>
      <w:bCs/>
    </w:rPr>
  </w:style>
  <w:style w:type="character" w:styleId="UnresolvedMention">
    <w:name w:val="Unresolved Mention"/>
    <w:uiPriority w:val="99"/>
    <w:semiHidden/>
    <w:unhideWhenUsed/>
    <w:rsid w:val="00384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CPA@hud.gov" TargetMode="External"/><Relationship Id="rId5" Type="http://schemas.openxmlformats.org/officeDocument/2006/relationships/styles" Target="styles.xml"/><Relationship Id="rId10" Type="http://schemas.openxmlformats.org/officeDocument/2006/relationships/hyperlink" Target="http://www.ginniemae.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3.xml><?xml version="1.0" encoding="utf-8"?>
<ds:datastoreItem xmlns:ds="http://schemas.openxmlformats.org/officeDocument/2006/customXml" ds:itemID="{E222F77E-2289-4463-A251-56FA7B03F34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3420</Words>
  <Characters>19499</Characters>
  <Application>Microsoft Office Word</Application>
  <DocSecurity>2</DocSecurity>
  <Lines>162</Lines>
  <Paragraphs>45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22874</CharactersWithSpaces>
  <SharedDoc>false</SharedDoc>
  <HLinks>
    <vt:vector size="12" baseType="variant">
      <vt:variant>
        <vt:i4>131107</vt:i4>
      </vt:variant>
      <vt:variant>
        <vt:i4>3</vt:i4>
      </vt:variant>
      <vt:variant>
        <vt:i4>0</vt:i4>
      </vt:variant>
      <vt:variant>
        <vt:i4>5</vt:i4>
      </vt:variant>
      <vt:variant>
        <vt:lpwstr>mailto:DCPA@hud.gov</vt:lpwstr>
      </vt:variant>
      <vt:variant>
        <vt:lpwstr/>
      </vt:variant>
      <vt:variant>
        <vt:i4>5373970</vt:i4>
      </vt:variant>
      <vt:variant>
        <vt:i4>0</vt:i4>
      </vt:variant>
      <vt:variant>
        <vt:i4>0</vt:i4>
      </vt:variant>
      <vt:variant>
        <vt:i4>5</vt:i4>
      </vt:variant>
      <vt:variant>
        <vt:lpwstr>http://www.ginniemae.gov/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Cooper, Diane J</cp:lastModifiedBy>
  <cp:revision>2</cp:revision>
  <cp:lastPrinted>2016-10-19T20:19:00Z</cp:lastPrinted>
  <dcterms:created xsi:type="dcterms:W3CDTF">2022-05-19T20:49:00Z</dcterms:created>
  <dcterms:modified xsi:type="dcterms:W3CDTF">2022-05-19T20:49:00Z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