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6537" w:rsidRPr="00495C22" w:rsidP="00334E84"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00606AD2" w:rsidRPr="00495C22" w:rsidP="00606AD2" w14:paraId="2A3D288A" w14:textId="77777777">
      <w:pPr>
        <w:rPr>
          <w:b/>
          <w:sz w:val="24"/>
          <w:szCs w:val="24"/>
        </w:rPr>
      </w:pPr>
    </w:p>
    <w:p w:rsidR="00606AD2" w:rsidRPr="00495C22" w:rsidP="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P="00606AD2" w14:paraId="152820F9" w14:textId="77777777">
      <w:pPr>
        <w:pStyle w:val="ListParagraph"/>
        <w:ind w:left="360"/>
        <w:rPr>
          <w:sz w:val="24"/>
          <w:szCs w:val="24"/>
        </w:rPr>
      </w:pPr>
    </w:p>
    <w:p w:rsidR="00317D73" w:rsidP="00317D73" w14:paraId="286C49BA" w14:textId="00E91F3F">
      <w:pPr>
        <w:autoSpaceDE w:val="0"/>
        <w:autoSpaceDN w:val="0"/>
        <w:adjustRightInd w:val="0"/>
        <w:ind w:left="360"/>
        <w:rPr>
          <w:sz w:val="24"/>
          <w:szCs w:val="24"/>
        </w:rPr>
      </w:pPr>
      <w:r w:rsidRPr="00D85216">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233E47">
        <w:rPr>
          <w:sz w:val="24"/>
          <w:szCs w:val="24"/>
        </w:rPr>
        <w:t xml:space="preserve">Information is requested by </w:t>
      </w:r>
      <w:r>
        <w:rPr>
          <w:sz w:val="24"/>
          <w:szCs w:val="24"/>
        </w:rPr>
        <w:t xml:space="preserve">VA Form 21-526EZ, </w:t>
      </w:r>
      <w:r w:rsidRPr="00252B49">
        <w:rPr>
          <w:i/>
          <w:sz w:val="24"/>
          <w:szCs w:val="24"/>
        </w:rPr>
        <w:t>Application for Disability Compensation and Related Compensation Benefits</w:t>
      </w:r>
      <w:r>
        <w:rPr>
          <w:sz w:val="24"/>
          <w:szCs w:val="24"/>
        </w:rPr>
        <w:t xml:space="preserve">, </w:t>
      </w:r>
      <w:r w:rsidR="00233E47">
        <w:rPr>
          <w:sz w:val="24"/>
          <w:szCs w:val="24"/>
        </w:rPr>
        <w:t xml:space="preserve">under the authority of 38 U.S.C. </w:t>
      </w:r>
      <w:r w:rsidR="0018463F">
        <w:rPr>
          <w:sz w:val="24"/>
          <w:szCs w:val="24"/>
        </w:rPr>
        <w:t xml:space="preserve">5101, </w:t>
      </w:r>
      <w:r w:rsidRPr="0018463F" w:rsidR="0018463F">
        <w:rPr>
          <w:i/>
          <w:iCs/>
          <w:sz w:val="24"/>
          <w:szCs w:val="24"/>
        </w:rPr>
        <w:t>Claims and Forms</w:t>
      </w:r>
      <w:r w:rsidR="0018463F">
        <w:rPr>
          <w:sz w:val="24"/>
          <w:szCs w:val="24"/>
        </w:rPr>
        <w:t xml:space="preserve">. </w:t>
      </w:r>
      <w:bookmarkStart w:id="0" w:name="_Hlk114753381"/>
      <w:r w:rsidR="0018463F">
        <w:rPr>
          <w:sz w:val="24"/>
          <w:szCs w:val="24"/>
        </w:rPr>
        <w:t xml:space="preserve">This information collection is </w:t>
      </w:r>
      <w:r>
        <w:rPr>
          <w:sz w:val="24"/>
          <w:szCs w:val="24"/>
        </w:rPr>
        <w:t>used to collect the information needed to process a claim for disability compensation and related compensation benefits. Though, this form was initially created to be used to submit fully developed claims (FDC), it has evolved into a standard claim form to be used for any benefit associated with disability compensation; to include new or initial claims</w:t>
      </w:r>
      <w:r w:rsidR="00F46EDC">
        <w:rPr>
          <w:sz w:val="24"/>
          <w:szCs w:val="24"/>
        </w:rPr>
        <w:t xml:space="preserve"> </w:t>
      </w:r>
      <w:r>
        <w:rPr>
          <w:sz w:val="24"/>
          <w:szCs w:val="24"/>
        </w:rPr>
        <w:t>and claims for increase.</w:t>
      </w:r>
      <w:r w:rsidR="00233E47">
        <w:rPr>
          <w:sz w:val="24"/>
          <w:szCs w:val="24"/>
        </w:rPr>
        <w:t xml:space="preserve"> </w:t>
      </w:r>
      <w:r>
        <w:rPr>
          <w:sz w:val="24"/>
          <w:szCs w:val="24"/>
        </w:rPr>
        <w:t xml:space="preserve"> </w:t>
      </w:r>
    </w:p>
    <w:p w:rsidR="00317D73" w:rsidP="00317D73" w14:paraId="5D552D79" w14:textId="77777777">
      <w:pPr>
        <w:autoSpaceDE w:val="0"/>
        <w:autoSpaceDN w:val="0"/>
        <w:adjustRightInd w:val="0"/>
        <w:ind w:left="360"/>
        <w:rPr>
          <w:sz w:val="24"/>
          <w:szCs w:val="24"/>
        </w:rPr>
      </w:pPr>
    </w:p>
    <w:p w:rsidR="00C4766F" w:rsidP="00BB3591" w14:paraId="34882031" w14:textId="77777777">
      <w:pPr>
        <w:ind w:left="360" w:right="540"/>
        <w:rPr>
          <w:sz w:val="24"/>
          <w:szCs w:val="24"/>
        </w:rPr>
      </w:pPr>
      <w:r w:rsidRPr="00BB3591">
        <w:rPr>
          <w:sz w:val="24"/>
          <w:szCs w:val="24"/>
        </w:rPr>
        <w:t xml:space="preserve">The respondent burden for VA Form 21-526EZ has increased due </w:t>
      </w:r>
      <w:r w:rsidR="00A457DD">
        <w:rPr>
          <w:sz w:val="24"/>
          <w:szCs w:val="24"/>
        </w:rPr>
        <w:t xml:space="preserve">to: the </w:t>
      </w:r>
      <w:r w:rsidRPr="00BB3591">
        <w:rPr>
          <w:sz w:val="24"/>
          <w:szCs w:val="24"/>
        </w:rPr>
        <w:t>number of receivables averaged over the past year</w:t>
      </w:r>
      <w:r w:rsidR="00A457DD">
        <w:rPr>
          <w:sz w:val="24"/>
          <w:szCs w:val="24"/>
        </w:rPr>
        <w:t xml:space="preserve">, </w:t>
      </w:r>
      <w:r w:rsidRPr="00BB3591">
        <w:rPr>
          <w:sz w:val="24"/>
          <w:szCs w:val="24"/>
        </w:rPr>
        <w:t>g</w:t>
      </w:r>
      <w:r w:rsidRPr="00BB3591" w:rsidR="00317D73">
        <w:rPr>
          <w:sz w:val="24"/>
          <w:szCs w:val="24"/>
        </w:rPr>
        <w:t>eneral program changes</w:t>
      </w:r>
      <w:r w:rsidR="00A457DD">
        <w:rPr>
          <w:sz w:val="24"/>
          <w:szCs w:val="24"/>
        </w:rPr>
        <w:t xml:space="preserve"> -</w:t>
      </w:r>
      <w:r w:rsidRPr="00BB3591" w:rsidR="00317D73">
        <w:rPr>
          <w:sz w:val="24"/>
          <w:szCs w:val="24"/>
        </w:rPr>
        <w:t xml:space="preserve"> such as regulatory changes</w:t>
      </w:r>
      <w:r w:rsidRPr="00BB3591">
        <w:rPr>
          <w:sz w:val="24"/>
          <w:szCs w:val="24"/>
        </w:rPr>
        <w:t>,</w:t>
      </w:r>
      <w:r w:rsidRPr="00BB3591" w:rsidR="00317D73">
        <w:rPr>
          <w:sz w:val="24"/>
          <w:szCs w:val="24"/>
        </w:rPr>
        <w:t xml:space="preserve"> and the </w:t>
      </w:r>
      <w:r w:rsidRPr="00BB3591">
        <w:rPr>
          <w:sz w:val="24"/>
          <w:szCs w:val="24"/>
        </w:rPr>
        <w:t>continuing improvement of VA’s electronic claims processing</w:t>
      </w:r>
      <w:r w:rsidR="00A457DD">
        <w:rPr>
          <w:sz w:val="24"/>
          <w:szCs w:val="24"/>
        </w:rPr>
        <w:t xml:space="preserve"> systems</w:t>
      </w:r>
      <w:r w:rsidRPr="00BB3591">
        <w:rPr>
          <w:sz w:val="24"/>
          <w:szCs w:val="24"/>
        </w:rPr>
        <w:t>.</w:t>
      </w:r>
      <w:r>
        <w:rPr>
          <w:sz w:val="24"/>
          <w:szCs w:val="24"/>
        </w:rPr>
        <w:t xml:space="preserve">  </w:t>
      </w:r>
    </w:p>
    <w:p w:rsidR="00C4766F" w:rsidP="00BB3591" w14:paraId="0E735B91" w14:textId="77777777">
      <w:pPr>
        <w:ind w:left="360" w:right="540"/>
        <w:rPr>
          <w:sz w:val="24"/>
          <w:szCs w:val="24"/>
        </w:rPr>
      </w:pPr>
    </w:p>
    <w:p w:rsidR="00C4766F" w:rsidP="00C4766F" w14:paraId="3E92DF05" w14:textId="057151CC">
      <w:pPr>
        <w:ind w:left="360" w:right="540"/>
        <w:rPr>
          <w:sz w:val="24"/>
          <w:szCs w:val="24"/>
        </w:rPr>
      </w:pPr>
      <w:r>
        <w:rPr>
          <w:sz w:val="24"/>
          <w:szCs w:val="24"/>
        </w:rPr>
        <w:t xml:space="preserve">Within the new burden estimate, VA has separated out the paper and electronic burdens for tracking/informational purposes as we move to continue improving our electronic claims process.  </w:t>
      </w:r>
    </w:p>
    <w:p w:rsidR="007B09B6" w:rsidP="00C4766F" w14:paraId="675BAFF6" w14:textId="437A5AB1">
      <w:pPr>
        <w:ind w:left="360" w:right="540"/>
        <w:rPr>
          <w:sz w:val="24"/>
          <w:szCs w:val="24"/>
        </w:rPr>
      </w:pPr>
    </w:p>
    <w:p w:rsidR="007B09B6" w:rsidRPr="007B09B6" w:rsidP="007B09B6" w14:paraId="74F9E46C" w14:textId="1AD9BA07">
      <w:pPr>
        <w:ind w:left="360" w:right="540"/>
        <w:rPr>
          <w:sz w:val="24"/>
          <w:szCs w:val="24"/>
        </w:rPr>
      </w:pPr>
      <w:r w:rsidRPr="007B09B6">
        <w:rPr>
          <w:sz w:val="24"/>
          <w:szCs w:val="24"/>
        </w:rPr>
        <w:t>VA Form 21-526EZ has been updated, to include:</w:t>
      </w:r>
    </w:p>
    <w:p w:rsidR="007B09B6" w:rsidRPr="007B09B6" w:rsidP="007B09B6" w14:paraId="31BCF37A" w14:textId="2B02B30C">
      <w:pPr>
        <w:pStyle w:val="ListParagraph"/>
        <w:numPr>
          <w:ilvl w:val="0"/>
          <w:numId w:val="12"/>
        </w:numPr>
        <w:ind w:right="540"/>
        <w:rPr>
          <w:sz w:val="24"/>
          <w:szCs w:val="24"/>
        </w:rPr>
      </w:pPr>
      <w:r w:rsidRPr="007B09B6">
        <w:rPr>
          <w:sz w:val="24"/>
          <w:szCs w:val="24"/>
        </w:rPr>
        <w:t xml:space="preserve">Added </w:t>
      </w:r>
      <w:r w:rsidR="00F46EDC">
        <w:rPr>
          <w:sz w:val="24"/>
          <w:szCs w:val="24"/>
        </w:rPr>
        <w:t>new i</w:t>
      </w:r>
      <w:r w:rsidRPr="007B09B6">
        <w:rPr>
          <w:sz w:val="24"/>
          <w:szCs w:val="24"/>
        </w:rPr>
        <w:t xml:space="preserve">nstructions </w:t>
      </w:r>
      <w:r w:rsidR="00F46EDC">
        <w:rPr>
          <w:sz w:val="24"/>
          <w:szCs w:val="24"/>
        </w:rPr>
        <w:t>on</w:t>
      </w:r>
      <w:r w:rsidRPr="007B09B6">
        <w:rPr>
          <w:sz w:val="24"/>
          <w:szCs w:val="24"/>
        </w:rPr>
        <w:t xml:space="preserve"> </w:t>
      </w:r>
      <w:r w:rsidR="00F46EDC">
        <w:rPr>
          <w:sz w:val="24"/>
          <w:szCs w:val="24"/>
        </w:rPr>
        <w:t xml:space="preserve">presumptive service connection criteria.  </w:t>
      </w:r>
    </w:p>
    <w:p w:rsidR="007B09B6" w:rsidRPr="007B09B6" w:rsidP="007B09B6" w14:paraId="2ADA99A0" w14:textId="27BFB7B5">
      <w:pPr>
        <w:pStyle w:val="ListParagraph"/>
        <w:numPr>
          <w:ilvl w:val="0"/>
          <w:numId w:val="12"/>
        </w:numPr>
        <w:ind w:right="540"/>
        <w:rPr>
          <w:sz w:val="24"/>
          <w:szCs w:val="24"/>
        </w:rPr>
      </w:pPr>
      <w:r w:rsidRPr="007B09B6">
        <w:rPr>
          <w:sz w:val="24"/>
          <w:szCs w:val="24"/>
        </w:rPr>
        <w:t xml:space="preserve">Removed the GENDER question.  </w:t>
      </w:r>
    </w:p>
    <w:p w:rsidR="007B09B6" w:rsidRPr="007B09B6" w:rsidP="007B09B6" w14:paraId="2384B381" w14:textId="23A94799">
      <w:pPr>
        <w:pStyle w:val="ListParagraph"/>
        <w:numPr>
          <w:ilvl w:val="0"/>
          <w:numId w:val="12"/>
        </w:numPr>
        <w:ind w:right="540"/>
        <w:rPr>
          <w:sz w:val="24"/>
          <w:szCs w:val="24"/>
        </w:rPr>
      </w:pPr>
      <w:r w:rsidRPr="007B09B6">
        <w:rPr>
          <w:sz w:val="24"/>
          <w:szCs w:val="24"/>
        </w:rPr>
        <w:t xml:space="preserve">Added new Section IV: Exposure Information, </w:t>
      </w:r>
      <w:r w:rsidR="00F46EDC">
        <w:rPr>
          <w:sz w:val="24"/>
          <w:szCs w:val="24"/>
        </w:rPr>
        <w:t xml:space="preserve">including new </w:t>
      </w:r>
      <w:r w:rsidRPr="007B09B6">
        <w:rPr>
          <w:sz w:val="24"/>
          <w:szCs w:val="24"/>
        </w:rPr>
        <w:t>questions</w:t>
      </w:r>
      <w:r w:rsidR="00F46EDC">
        <w:rPr>
          <w:sz w:val="24"/>
          <w:szCs w:val="24"/>
        </w:rPr>
        <w:t xml:space="preserve"> that identify </w:t>
      </w:r>
      <w:r w:rsidRPr="007B09B6">
        <w:rPr>
          <w:sz w:val="24"/>
          <w:szCs w:val="24"/>
        </w:rPr>
        <w:t xml:space="preserve">toxic exposures the claimant may have been exposed to during service. </w:t>
      </w:r>
    </w:p>
    <w:p w:rsidR="007B09B6" w:rsidRPr="007B09B6" w:rsidP="007B09B6" w14:paraId="6858F53B" w14:textId="564DD1BC">
      <w:pPr>
        <w:pStyle w:val="ListParagraph"/>
        <w:numPr>
          <w:ilvl w:val="0"/>
          <w:numId w:val="12"/>
        </w:numPr>
        <w:ind w:right="540"/>
        <w:rPr>
          <w:sz w:val="24"/>
          <w:szCs w:val="24"/>
        </w:rPr>
      </w:pPr>
      <w:r w:rsidRPr="007B09B6">
        <w:rPr>
          <w:sz w:val="24"/>
          <w:szCs w:val="24"/>
        </w:rPr>
        <w:t xml:space="preserve">An ‘Addendum’ has been added to provide additional space for disabilities if the claimant has more than the space provided in Section V: Claim Information.   </w:t>
      </w:r>
    </w:p>
    <w:p w:rsidR="007B09B6" w:rsidRPr="007B09B6" w:rsidP="007B09B6" w14:paraId="04C08273" w14:textId="475C7400">
      <w:pPr>
        <w:pStyle w:val="ListParagraph"/>
        <w:numPr>
          <w:ilvl w:val="0"/>
          <w:numId w:val="12"/>
        </w:numPr>
        <w:ind w:right="540"/>
        <w:rPr>
          <w:sz w:val="24"/>
          <w:szCs w:val="24"/>
        </w:rPr>
      </w:pPr>
      <w:r w:rsidRPr="007B09B6">
        <w:rPr>
          <w:sz w:val="24"/>
          <w:szCs w:val="24"/>
        </w:rPr>
        <w:t xml:space="preserve">Reformatted and renumbered the form, as needed.  </w:t>
      </w:r>
    </w:p>
    <w:bookmarkEnd w:id="0"/>
    <w:p w:rsidR="00317D73" w:rsidRPr="00C6263F" w:rsidP="00317D73" w14:paraId="428E29F9" w14:textId="77777777">
      <w:pPr>
        <w:ind w:right="540"/>
        <w:rPr>
          <w:sz w:val="24"/>
          <w:szCs w:val="24"/>
        </w:rPr>
      </w:pPr>
    </w:p>
    <w:p w:rsidR="00334E84" w:rsidRPr="00495C22" w:rsidP="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14:paraId="769A570C" w14:textId="77777777">
      <w:pPr>
        <w:tabs>
          <w:tab w:val="left" w:pos="480"/>
          <w:tab w:val="right" w:pos="8640"/>
        </w:tabs>
        <w:ind w:right="684"/>
        <w:rPr>
          <w:sz w:val="24"/>
          <w:szCs w:val="24"/>
        </w:rPr>
      </w:pPr>
    </w:p>
    <w:p w:rsidR="00334E84" w:rsidP="00A93791" w14:paraId="1A39E7D3" w14:textId="2280FF7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A93791">
        <w:rPr>
          <w:sz w:val="24"/>
          <w:szCs w:val="24"/>
        </w:rPr>
        <w:t xml:space="preserve">VA Form 21-526EZ is used to collect the information needed to process </w:t>
      </w:r>
      <w:r>
        <w:rPr>
          <w:sz w:val="24"/>
          <w:szCs w:val="24"/>
        </w:rPr>
        <w:t xml:space="preserve">a </w:t>
      </w:r>
      <w:r w:rsidRPr="00A93791">
        <w:rPr>
          <w:sz w:val="24"/>
          <w:szCs w:val="24"/>
        </w:rPr>
        <w:t xml:space="preserve">claim for disability compensation and/or related compensation benefits. </w:t>
      </w:r>
      <w:r>
        <w:rPr>
          <w:sz w:val="24"/>
          <w:szCs w:val="24"/>
        </w:rPr>
        <w:t>T</w:t>
      </w:r>
      <w:r w:rsidRPr="00A93791">
        <w:rPr>
          <w:sz w:val="24"/>
          <w:szCs w:val="24"/>
        </w:rPr>
        <w:t>he form has evolved</w:t>
      </w:r>
      <w:r>
        <w:rPr>
          <w:sz w:val="24"/>
          <w:szCs w:val="24"/>
        </w:rPr>
        <w:t xml:space="preserve"> over time</w:t>
      </w:r>
      <w:r w:rsidRPr="00A93791">
        <w:rPr>
          <w:sz w:val="24"/>
          <w:szCs w:val="24"/>
        </w:rPr>
        <w:t xml:space="preserve"> into a standard claim form to be used for any benefit associated with disability compensation; to include new or initial claims</w:t>
      </w:r>
      <w:r>
        <w:rPr>
          <w:sz w:val="24"/>
          <w:szCs w:val="24"/>
        </w:rPr>
        <w:t xml:space="preserve"> </w:t>
      </w:r>
      <w:r w:rsidRPr="00A93791">
        <w:rPr>
          <w:sz w:val="24"/>
          <w:szCs w:val="24"/>
        </w:rPr>
        <w:t>and claims for increase.</w:t>
      </w:r>
      <w:r>
        <w:rPr>
          <w:sz w:val="24"/>
          <w:szCs w:val="24"/>
        </w:rPr>
        <w:t xml:space="preserve"> </w:t>
      </w:r>
      <w:r w:rsidRPr="00A93791" w:rsidR="00A93791">
        <w:rPr>
          <w:sz w:val="24"/>
          <w:szCs w:val="24"/>
        </w:rPr>
        <w:t xml:space="preserve"> </w:t>
      </w:r>
    </w:p>
    <w:p w:rsidR="00A93791" w:rsidRPr="00495C22" w:rsidP="00334E84" w14:paraId="09E219C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P="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r w:rsidRPr="00495C22">
        <w:rPr>
          <w:b/>
          <w:sz w:val="24"/>
          <w:szCs w:val="24"/>
        </w:rPr>
        <w:t>e.g.</w:t>
      </w:r>
      <w:r w:rsidRPr="00495C22">
        <w:rPr>
          <w:b/>
          <w:sz w:val="24"/>
          <w:szCs w:val="24"/>
        </w:rPr>
        <w:t xml:space="preserve">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00334E84" w:rsidRPr="00495C22" w14:paraId="3EC9079E" w14:textId="77777777">
      <w:pPr>
        <w:pStyle w:val="BodyText2"/>
        <w:rPr>
          <w:rFonts w:ascii="Times New Roman" w:hAnsi="Times New Roman"/>
          <w:sz w:val="24"/>
          <w:szCs w:val="24"/>
        </w:rPr>
      </w:pPr>
    </w:p>
    <w:p w:rsidR="00A457DD" w:rsidRPr="00DE674E" w:rsidP="00A457DD" w14:paraId="74302722" w14:textId="2F8CDACD">
      <w:pPr>
        <w:pStyle w:val="NoSpacing"/>
        <w:ind w:left="360"/>
      </w:pPr>
      <w:r w:rsidRPr="00DE13A6">
        <w:t>VA Form</w:t>
      </w:r>
      <w:r>
        <w:t xml:space="preserve"> 21-526EZ, is available on the One-VA web site in a fillable electronic format.  </w:t>
      </w:r>
      <w:r w:rsidRPr="00DE674E">
        <w:t xml:space="preserve">VBA is currently hosting this form on a secure server. Validation edits are performed to assure data integrity. There currently is </w:t>
      </w:r>
      <w:r>
        <w:t>a</w:t>
      </w:r>
      <w:r w:rsidRPr="00DE674E">
        <w:t xml:space="preserve"> utility process in place that will allow the data submitted on the form to be incorporated with an exist</w:t>
      </w:r>
      <w:r>
        <w:t xml:space="preserve">ing centralized legacy database. Also, there are several electronic portals available that expedite processing, including </w:t>
      </w:r>
      <w:r>
        <w:t>eBenefits</w:t>
      </w:r>
      <w:r>
        <w:t xml:space="preserve"> (transitioning to VA.gov),  Stakeholder Enterprise Portal, Digits-to-Digits, and Enterprise Veterans Self Service.  It is estimated that within the next three years, the number of claims received electronically will increase.  This increase reduces the estimated time to complete the form.      </w:t>
      </w:r>
    </w:p>
    <w:p w:rsidR="00495C22" w:rsidRPr="00495C22" w:rsidP="00617D2B" w14:paraId="513E6D27" w14:textId="1EAA0EE3">
      <w:pPr>
        <w:rPr>
          <w:sz w:val="24"/>
          <w:szCs w:val="24"/>
        </w:rPr>
      </w:pPr>
    </w:p>
    <w:p w:rsidR="005E4CE3" w:rsidRPr="00495C22" w:rsidP="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P="005E4CE3"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00495C22">
        <w:rPr>
          <w:sz w:val="24"/>
          <w:szCs w:val="24"/>
        </w:rPr>
        <w:t>Department</w:t>
      </w:r>
      <w:r w:rsidRPr="00495C22">
        <w:rPr>
          <w:sz w:val="24"/>
          <w:szCs w:val="24"/>
        </w:rPr>
        <w:t>.</w:t>
      </w:r>
    </w:p>
    <w:p w:rsidR="00310573" w:rsidRPr="00495C22"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726753" w:rsidP="00726753"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00310573" w:rsidRPr="00495C22" w14:paraId="3E492F7E" w14:textId="77777777">
      <w:pPr>
        <w:tabs>
          <w:tab w:val="left" w:pos="480"/>
          <w:tab w:val="right" w:pos="8640"/>
        </w:tabs>
        <w:ind w:right="684"/>
        <w:rPr>
          <w:sz w:val="24"/>
          <w:szCs w:val="24"/>
        </w:rPr>
      </w:pPr>
    </w:p>
    <w:p w:rsidR="00310573" w:rsidRPr="00495C22" w:rsidP="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C17C77" w:rsidP="00A457DD" w14:paraId="2973C1B7" w14:textId="4FD02A7C">
      <w:pPr>
        <w:ind w:left="360" w:right="540"/>
        <w:rPr>
          <w:sz w:val="24"/>
        </w:rPr>
      </w:pPr>
      <w:r w:rsidRPr="00A93791">
        <w:rPr>
          <w:sz w:val="24"/>
          <w:szCs w:val="24"/>
        </w:rPr>
        <w:t xml:space="preserve">VA Form 21-526EZ is used to collect the information needed to process </w:t>
      </w:r>
      <w:r>
        <w:rPr>
          <w:sz w:val="24"/>
          <w:szCs w:val="24"/>
        </w:rPr>
        <w:t xml:space="preserve">a </w:t>
      </w:r>
      <w:r w:rsidRPr="00A93791">
        <w:rPr>
          <w:sz w:val="24"/>
          <w:szCs w:val="24"/>
        </w:rPr>
        <w:t xml:space="preserve">claim for disability compensation and/or related compensation benefits. </w:t>
      </w:r>
      <w:r>
        <w:rPr>
          <w:sz w:val="24"/>
          <w:szCs w:val="24"/>
        </w:rPr>
        <w:t>T</w:t>
      </w:r>
      <w:r w:rsidRPr="00A93791">
        <w:rPr>
          <w:sz w:val="24"/>
          <w:szCs w:val="24"/>
        </w:rPr>
        <w:t>he form has evolved</w:t>
      </w:r>
      <w:r>
        <w:rPr>
          <w:sz w:val="24"/>
          <w:szCs w:val="24"/>
        </w:rPr>
        <w:t xml:space="preserve"> over time</w:t>
      </w:r>
      <w:r w:rsidRPr="00A93791">
        <w:rPr>
          <w:sz w:val="24"/>
          <w:szCs w:val="24"/>
        </w:rPr>
        <w:t xml:space="preserve"> into a standard claim form to be used for any benefit associated with disability compensation; to include new or initial claims</w:t>
      </w:r>
      <w:r>
        <w:rPr>
          <w:sz w:val="24"/>
          <w:szCs w:val="24"/>
        </w:rPr>
        <w:t xml:space="preserve"> </w:t>
      </w:r>
      <w:r w:rsidRPr="00A93791">
        <w:rPr>
          <w:sz w:val="24"/>
          <w:szCs w:val="24"/>
        </w:rPr>
        <w:t>and claims for increase.</w:t>
      </w:r>
      <w:r>
        <w:rPr>
          <w:sz w:val="24"/>
          <w:szCs w:val="24"/>
        </w:rPr>
        <w:t xml:space="preserve"> </w:t>
      </w:r>
      <w:r w:rsidRPr="00A457DD" w:rsidR="001D52F4">
        <w:rPr>
          <w:bCs/>
          <w:sz w:val="24"/>
        </w:rPr>
        <w:t>Without this infor</w:t>
      </w:r>
      <w:r w:rsidRPr="00A457DD" w:rsidR="00142589">
        <w:rPr>
          <w:bCs/>
          <w:sz w:val="24"/>
        </w:rPr>
        <w:t>mation, determination of entitlement would not be possible.</w:t>
      </w:r>
      <w:r w:rsidR="00430D02">
        <w:rPr>
          <w:bCs/>
          <w:sz w:val="24"/>
        </w:rPr>
        <w:t xml:space="preserve"> </w:t>
      </w:r>
    </w:p>
    <w:p w:rsidR="00E36537" w:rsidRPr="00495C22" w14:paraId="58DB5468" w14:textId="77777777">
      <w:pPr>
        <w:rPr>
          <w:sz w:val="24"/>
          <w:szCs w:val="24"/>
        </w:rPr>
      </w:pPr>
    </w:p>
    <w:p w:rsidR="00726753" w:rsidP="0072675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495C22">
        <w:rPr>
          <w:b/>
          <w:sz w:val="24"/>
          <w:szCs w:val="24"/>
        </w:rPr>
        <w:t>reliable results that can be generalized to the universe of study and require the use of a statistical data classification that has not been reviewed and approved by OMB.</w:t>
      </w:r>
    </w:p>
    <w:p w:rsidR="00726753"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726753" w:rsidP="00726753"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00D94A38" w:rsidRPr="00495C22"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14:paraId="06A6D83D" w14:textId="3D78D870">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RPr="00726753" w:rsidP="00726753" w14:paraId="56A7E42C" w14:textId="18DD4211">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F128C4">
        <w:rPr>
          <w:sz w:val="24"/>
          <w:szCs w:val="24"/>
        </w:rPr>
        <w:t xml:space="preserve">July 8, 2022, </w:t>
      </w:r>
      <w:r w:rsidRPr="0095533E">
        <w:rPr>
          <w:sz w:val="24"/>
          <w:szCs w:val="24"/>
        </w:rPr>
        <w:t>Volume</w:t>
      </w:r>
      <w:r w:rsidR="00F128C4">
        <w:rPr>
          <w:sz w:val="24"/>
          <w:szCs w:val="24"/>
        </w:rPr>
        <w:t xml:space="preserve"> 87</w:t>
      </w:r>
      <w:r w:rsidRPr="0095533E">
        <w:rPr>
          <w:sz w:val="24"/>
          <w:szCs w:val="24"/>
        </w:rPr>
        <w:t xml:space="preserve">, No. </w:t>
      </w:r>
      <w:r w:rsidR="00F128C4">
        <w:rPr>
          <w:sz w:val="24"/>
          <w:szCs w:val="24"/>
        </w:rPr>
        <w:t xml:space="preserve">130, </w:t>
      </w:r>
      <w:r w:rsidRPr="0095533E">
        <w:rPr>
          <w:sz w:val="24"/>
          <w:szCs w:val="24"/>
        </w:rPr>
        <w:t>pages</w:t>
      </w:r>
      <w:r w:rsidR="00EC2DC9">
        <w:rPr>
          <w:sz w:val="24"/>
          <w:szCs w:val="24"/>
        </w:rPr>
        <w:t xml:space="preserve"> </w:t>
      </w:r>
      <w:r w:rsidR="00F128C4">
        <w:rPr>
          <w:sz w:val="24"/>
          <w:szCs w:val="24"/>
        </w:rPr>
        <w:t>40885 and 40886</w:t>
      </w:r>
      <w:r w:rsidRPr="0095533E">
        <w:rPr>
          <w:sz w:val="24"/>
          <w:szCs w:val="24"/>
        </w:rPr>
        <w:t>. No comments were received in response to this notice.</w:t>
      </w:r>
    </w:p>
    <w:p w:rsidR="00072B8C" w:rsidRPr="00F81B22" w:rsidP="00F81B22" w14:paraId="6FDC1929" w14:textId="77777777">
      <w:pPr>
        <w:tabs>
          <w:tab w:val="left" w:pos="547"/>
          <w:tab w:val="left" w:pos="1080"/>
          <w:tab w:val="left" w:pos="1627"/>
          <w:tab w:val="left" w:pos="2160"/>
          <w:tab w:val="left" w:pos="2880"/>
        </w:tabs>
        <w:rPr>
          <w:b/>
          <w:sz w:val="24"/>
          <w:szCs w:val="24"/>
        </w:rPr>
      </w:pPr>
    </w:p>
    <w:p w:rsidR="00310573" w:rsidRPr="00495C22" w:rsidP="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P="00310573" w14:paraId="3D2A37E8" w14:textId="77777777">
      <w:pPr>
        <w:pStyle w:val="ListParagraph"/>
        <w:tabs>
          <w:tab w:val="left" w:pos="547"/>
          <w:tab w:val="left" w:pos="1080"/>
          <w:tab w:val="left" w:pos="1627"/>
          <w:tab w:val="left" w:pos="2160"/>
          <w:tab w:val="left" w:pos="2880"/>
        </w:tabs>
        <w:ind w:left="360"/>
        <w:rPr>
          <w:b/>
          <w:sz w:val="24"/>
          <w:szCs w:val="24"/>
        </w:rPr>
      </w:pPr>
    </w:p>
    <w:p w:rsidR="00E36537" w:rsidRPr="00495C22" w:rsidP="00310573"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00310573" w:rsidRPr="00495C22" w:rsidP="00310573" w14:paraId="475E22C0" w14:textId="77777777">
      <w:pPr>
        <w:pStyle w:val="ListParagraph"/>
        <w:tabs>
          <w:tab w:val="left" w:pos="547"/>
          <w:tab w:val="left" w:pos="1080"/>
          <w:tab w:val="left" w:pos="1627"/>
          <w:tab w:val="left" w:pos="2160"/>
          <w:tab w:val="left" w:pos="2880"/>
        </w:tabs>
        <w:ind w:left="360"/>
        <w:rPr>
          <w:b/>
          <w:sz w:val="24"/>
          <w:szCs w:val="24"/>
        </w:rPr>
      </w:pPr>
    </w:p>
    <w:p w:rsidR="00726753" w:rsidRPr="00726753" w:rsidP="0072675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14:paraId="59D827C4" w14:textId="77777777">
      <w:pPr>
        <w:pStyle w:val="ListParagraph"/>
        <w:ind w:left="360"/>
        <w:rPr>
          <w:b/>
          <w:color w:val="000000"/>
          <w:sz w:val="24"/>
          <w:szCs w:val="24"/>
        </w:rPr>
      </w:pPr>
    </w:p>
    <w:p w:rsidR="0057258A" w:rsidRPr="002007B4" w:rsidP="0057258A" w14:paraId="014526E7" w14:textId="63454176">
      <w:pPr>
        <w:ind w:left="360"/>
        <w:rPr>
          <w:sz w:val="24"/>
          <w:szCs w:val="24"/>
        </w:rPr>
      </w:pPr>
      <w:r>
        <w:rPr>
          <w:sz w:val="24"/>
          <w:szCs w:val="24"/>
        </w:rPr>
        <w:t>The records are maintained in the appropriate Privacy Act System of Records identified as “Compensation, Pension, Education, and V</w:t>
      </w:r>
      <w:r w:rsidR="00216351">
        <w:rPr>
          <w:sz w:val="24"/>
          <w:szCs w:val="24"/>
        </w:rPr>
        <w:t>eteran</w:t>
      </w:r>
      <w:r>
        <w:rPr>
          <w:sz w:val="24"/>
          <w:szCs w:val="24"/>
        </w:rPr>
        <w:t xml:space="preserve"> R</w:t>
      </w:r>
      <w:r w:rsidR="00216351">
        <w:rPr>
          <w:sz w:val="24"/>
          <w:szCs w:val="24"/>
        </w:rPr>
        <w:t>eadiness</w:t>
      </w:r>
      <w:r>
        <w:rPr>
          <w:sz w:val="24"/>
          <w:szCs w:val="24"/>
        </w:rPr>
        <w:t xml:space="preserve"> and Employment Records-VA (58VA21/22/28),” published at 74 FR 29275 on June 19, 2009, </w:t>
      </w:r>
      <w:r w:rsidRPr="002007B4">
        <w:rPr>
          <w:sz w:val="24"/>
          <w:szCs w:val="24"/>
        </w:rPr>
        <w:t xml:space="preserve">and last </w:t>
      </w:r>
      <w:r w:rsidRPr="00A457DD">
        <w:rPr>
          <w:sz w:val="24"/>
          <w:szCs w:val="24"/>
        </w:rPr>
        <w:t>amended at 87 FR 8740 (February 16, 2022).</w:t>
      </w:r>
    </w:p>
    <w:p w:rsidR="00E36537" w:rsidRPr="00495C22" w:rsidP="0057258A" w14:paraId="45CE1490" w14:textId="54F21221">
      <w:pPr>
        <w:ind w:left="360"/>
        <w:rPr>
          <w:sz w:val="24"/>
          <w:szCs w:val="24"/>
        </w:rPr>
      </w:pPr>
    </w:p>
    <w:p w:rsidR="00726753" w:rsidP="0072675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14:paraId="56EE9BF8" w14:textId="77777777">
      <w:pPr>
        <w:pStyle w:val="NormalWeb"/>
        <w:spacing w:before="0" w:beforeAutospacing="0" w:after="0" w:afterAutospacing="0"/>
        <w:ind w:left="360"/>
        <w:rPr>
          <w:b/>
          <w:sz w:val="24"/>
          <w:szCs w:val="24"/>
        </w:rPr>
      </w:pPr>
    </w:p>
    <w:p w:rsidR="00E36537" w:rsidRPr="00726753" w:rsidP="00726753"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00E36537" w:rsidRPr="00495C22" w14:paraId="089F24D7" w14:textId="77777777">
      <w:pPr>
        <w:tabs>
          <w:tab w:val="left" w:pos="480"/>
          <w:tab w:val="right" w:pos="8640"/>
        </w:tabs>
        <w:ind w:right="684"/>
        <w:rPr>
          <w:sz w:val="24"/>
          <w:szCs w:val="24"/>
        </w:rPr>
      </w:pPr>
    </w:p>
    <w:p w:rsidR="00310573" w:rsidRPr="003B6D49" w:rsidP="003B6D49" w14:paraId="5C550AF8" w14:textId="77777777">
      <w:pPr>
        <w:pStyle w:val="ListParagraph"/>
        <w:numPr>
          <w:ilvl w:val="0"/>
          <w:numId w:val="5"/>
        </w:numPr>
        <w:tabs>
          <w:tab w:val="left" w:pos="547"/>
          <w:tab w:val="left" w:pos="1080"/>
          <w:tab w:val="left" w:pos="1627"/>
          <w:tab w:val="left" w:pos="2160"/>
          <w:tab w:val="left" w:pos="2880"/>
        </w:tabs>
        <w:rPr>
          <w:b/>
          <w:sz w:val="24"/>
          <w:szCs w:val="24"/>
        </w:rPr>
      </w:pPr>
      <w:bookmarkStart w:id="1" w:name="_Hlk100146812"/>
      <w:r w:rsidRPr="003B6D49">
        <w:rPr>
          <w:b/>
          <w:sz w:val="24"/>
          <w:szCs w:val="24"/>
        </w:rPr>
        <w:t>Estimate of the hour burden of the collection of information:</w:t>
      </w:r>
    </w:p>
    <w:p w:rsidR="00E36537" w:rsidRPr="00495C22" w14:paraId="4592B525" w14:textId="77777777">
      <w:pPr>
        <w:tabs>
          <w:tab w:val="left" w:pos="480"/>
          <w:tab w:val="right" w:pos="8640"/>
        </w:tabs>
        <w:ind w:right="684"/>
        <w:rPr>
          <w:sz w:val="24"/>
          <w:szCs w:val="24"/>
        </w:rPr>
      </w:pPr>
    </w:p>
    <w:p w:rsidR="004F7CA0" w:rsidRPr="00751817" w:rsidP="004F7CA0" w14:paraId="7F2D1AEA" w14:textId="341A91CD">
      <w:pPr>
        <w:numPr>
          <w:ilvl w:val="0"/>
          <w:numId w:val="8"/>
        </w:numPr>
        <w:tabs>
          <w:tab w:val="left" w:pos="480"/>
          <w:tab w:val="right" w:pos="720"/>
        </w:tabs>
        <w:ind w:right="684"/>
      </w:pPr>
      <w:bookmarkStart w:id="2" w:name="_Hlk100146777"/>
      <w:r>
        <w:rPr>
          <w:sz w:val="24"/>
        </w:rPr>
        <w:t>Total n</w:t>
      </w:r>
      <w:r w:rsidRPr="00981B90">
        <w:rPr>
          <w:sz w:val="24"/>
        </w:rPr>
        <w:t xml:space="preserve">umber of Respondents is estimated </w:t>
      </w:r>
      <w:r w:rsidRPr="00285A7C">
        <w:rPr>
          <w:sz w:val="24"/>
        </w:rPr>
        <w:t xml:space="preserve">at </w:t>
      </w:r>
      <w:r w:rsidRPr="004F7CA0">
        <w:rPr>
          <w:sz w:val="24"/>
          <w:u w:val="single"/>
        </w:rPr>
        <w:t>2,</w:t>
      </w:r>
      <w:r w:rsidR="00C4766F">
        <w:rPr>
          <w:sz w:val="24"/>
          <w:u w:val="single"/>
        </w:rPr>
        <w:t>0</w:t>
      </w:r>
      <w:r w:rsidRPr="004F7CA0">
        <w:rPr>
          <w:sz w:val="24"/>
          <w:u w:val="single"/>
        </w:rPr>
        <w:t>15,367</w:t>
      </w:r>
      <w:r w:rsidRPr="00285A7C">
        <w:rPr>
          <w:sz w:val="24"/>
        </w:rPr>
        <w:t xml:space="preserve"> per</w:t>
      </w:r>
      <w:r w:rsidRPr="00981B90">
        <w:rPr>
          <w:sz w:val="24"/>
        </w:rPr>
        <w:t xml:space="preserve"> year.</w:t>
      </w:r>
    </w:p>
    <w:p w:rsidR="004F7CA0" w:rsidP="004F7CA0" w14:paraId="37C79DB5" w14:textId="77777777">
      <w:pPr>
        <w:tabs>
          <w:tab w:val="left" w:pos="480"/>
          <w:tab w:val="right" w:pos="720"/>
        </w:tabs>
        <w:ind w:left="720" w:right="684"/>
        <w:rPr>
          <w:sz w:val="24"/>
        </w:rPr>
      </w:pPr>
    </w:p>
    <w:p w:rsidR="004F7CA0" w:rsidP="004F7CA0" w14:paraId="006E6C49" w14:textId="7C5467A3">
      <w:pPr>
        <w:tabs>
          <w:tab w:val="left" w:pos="480"/>
          <w:tab w:val="right" w:pos="720"/>
        </w:tabs>
        <w:ind w:left="720" w:right="684"/>
        <w:rPr>
          <w:sz w:val="24"/>
        </w:rPr>
      </w:pPr>
      <w:r>
        <w:rPr>
          <w:sz w:val="24"/>
        </w:rPr>
        <w:t xml:space="preserve">Estimated paper respondents: </w:t>
      </w:r>
      <w:r w:rsidR="00C4766F">
        <w:rPr>
          <w:sz w:val="24"/>
        </w:rPr>
        <w:t>503,842</w:t>
      </w:r>
      <w:r>
        <w:rPr>
          <w:sz w:val="24"/>
        </w:rPr>
        <w:t xml:space="preserve">. </w:t>
      </w:r>
    </w:p>
    <w:p w:rsidR="004F7CA0" w:rsidRPr="007E4590" w:rsidP="004F7CA0" w14:paraId="273CE7F1" w14:textId="326C8163">
      <w:pPr>
        <w:tabs>
          <w:tab w:val="left" w:pos="480"/>
          <w:tab w:val="right" w:pos="720"/>
        </w:tabs>
        <w:ind w:left="720" w:right="684"/>
      </w:pPr>
      <w:r>
        <w:rPr>
          <w:sz w:val="24"/>
        </w:rPr>
        <w:t>Estimated electronic respondents: 1,</w:t>
      </w:r>
      <w:r w:rsidR="00C4766F">
        <w:rPr>
          <w:sz w:val="24"/>
        </w:rPr>
        <w:t>511,525</w:t>
      </w:r>
      <w:r>
        <w:rPr>
          <w:sz w:val="24"/>
        </w:rPr>
        <w:t>.</w:t>
      </w:r>
    </w:p>
    <w:p w:rsidR="004F7CA0" w:rsidP="004F7CA0" w14:paraId="669ABD99" w14:textId="77777777">
      <w:pPr>
        <w:tabs>
          <w:tab w:val="left" w:pos="480"/>
          <w:tab w:val="right" w:pos="720"/>
        </w:tabs>
        <w:ind w:left="720" w:right="684"/>
      </w:pPr>
    </w:p>
    <w:p w:rsidR="004F7CA0" w:rsidRPr="00DF6B2C" w:rsidP="004F7CA0" w14:paraId="6C59E225" w14:textId="0C245CCC">
      <w:pPr>
        <w:tabs>
          <w:tab w:val="left" w:pos="480"/>
          <w:tab w:val="right" w:pos="720"/>
        </w:tabs>
        <w:ind w:left="720" w:right="684"/>
        <w:rPr>
          <w:sz w:val="24"/>
          <w:szCs w:val="24"/>
        </w:rPr>
      </w:pPr>
      <w:r>
        <w:rPr>
          <w:sz w:val="24"/>
          <w:szCs w:val="24"/>
        </w:rPr>
        <w:t xml:space="preserve">Note: VA estimates that 75 percent of claims received are through the online electronic portals. </w:t>
      </w:r>
      <w:r w:rsidRPr="00DF6B2C">
        <w:rPr>
          <w:sz w:val="24"/>
          <w:szCs w:val="24"/>
        </w:rPr>
        <w:t xml:space="preserve">  </w:t>
      </w:r>
    </w:p>
    <w:p w:rsidR="004F7CA0" w:rsidRPr="0081029E" w:rsidP="004F7CA0" w14:paraId="4F45983B" w14:textId="77777777">
      <w:pPr>
        <w:tabs>
          <w:tab w:val="left" w:pos="480"/>
          <w:tab w:val="right" w:pos="720"/>
        </w:tabs>
        <w:ind w:left="720" w:right="684"/>
      </w:pPr>
      <w:r w:rsidRPr="0081029E">
        <w:t xml:space="preserve"> </w:t>
      </w:r>
    </w:p>
    <w:p w:rsidR="004F7CA0" w:rsidP="004F7CA0" w14:paraId="3BEDF3C3" w14:textId="77777777">
      <w:pPr>
        <w:numPr>
          <w:ilvl w:val="0"/>
          <w:numId w:val="8"/>
        </w:numPr>
        <w:tabs>
          <w:tab w:val="left" w:pos="480"/>
          <w:tab w:val="right" w:pos="720"/>
        </w:tabs>
        <w:ind w:right="684"/>
        <w:rPr>
          <w:sz w:val="24"/>
        </w:rPr>
      </w:pPr>
      <w:r w:rsidRPr="00634344">
        <w:rPr>
          <w:sz w:val="24"/>
        </w:rPr>
        <w:t xml:space="preserve">Frequency of Response is once.  </w:t>
      </w:r>
    </w:p>
    <w:p w:rsidR="004F7CA0" w:rsidRPr="00634344" w:rsidP="004F7CA0" w14:paraId="32AD61FF" w14:textId="77777777">
      <w:pPr>
        <w:tabs>
          <w:tab w:val="left" w:pos="480"/>
          <w:tab w:val="right" w:pos="720"/>
        </w:tabs>
        <w:ind w:left="720" w:right="684"/>
        <w:rPr>
          <w:sz w:val="24"/>
        </w:rPr>
      </w:pPr>
    </w:p>
    <w:p w:rsidR="004F7CA0" w:rsidP="004F7CA0" w14:paraId="40954B87" w14:textId="4913E0BB">
      <w:pPr>
        <w:numPr>
          <w:ilvl w:val="0"/>
          <w:numId w:val="8"/>
        </w:numPr>
        <w:tabs>
          <w:tab w:val="left" w:pos="480"/>
          <w:tab w:val="right" w:pos="720"/>
        </w:tabs>
        <w:ind w:right="684"/>
        <w:rPr>
          <w:sz w:val="24"/>
        </w:rPr>
      </w:pPr>
      <w:r>
        <w:rPr>
          <w:sz w:val="24"/>
        </w:rPr>
        <w:t>Total a</w:t>
      </w:r>
      <w:r w:rsidRPr="00981B90">
        <w:rPr>
          <w:sz w:val="24"/>
        </w:rPr>
        <w:t xml:space="preserve">nnual burden </w:t>
      </w:r>
      <w:r w:rsidRPr="00285A7C">
        <w:rPr>
          <w:sz w:val="24"/>
        </w:rPr>
        <w:t>is</w:t>
      </w:r>
      <w:r>
        <w:rPr>
          <w:sz w:val="24"/>
        </w:rPr>
        <w:t xml:space="preserve"> </w:t>
      </w:r>
      <w:r w:rsidRPr="00C4766F" w:rsidR="00C4766F">
        <w:rPr>
          <w:sz w:val="24"/>
          <w:u w:val="single"/>
        </w:rPr>
        <w:t>587,815</w:t>
      </w:r>
      <w:r>
        <w:rPr>
          <w:sz w:val="24"/>
        </w:rPr>
        <w:t xml:space="preserve"> </w:t>
      </w:r>
      <w:r w:rsidRPr="00981B90">
        <w:rPr>
          <w:sz w:val="24"/>
        </w:rPr>
        <w:t>hours.</w:t>
      </w:r>
    </w:p>
    <w:p w:rsidR="004F7CA0" w:rsidP="004F7CA0" w14:paraId="3A7F565B" w14:textId="77777777">
      <w:pPr>
        <w:pStyle w:val="ListParagraph"/>
        <w:rPr>
          <w:sz w:val="24"/>
        </w:rPr>
      </w:pPr>
    </w:p>
    <w:p w:rsidR="004F7CA0" w:rsidP="004F7CA0" w14:paraId="4220B281" w14:textId="1C296E3E">
      <w:pPr>
        <w:tabs>
          <w:tab w:val="left" w:pos="480"/>
          <w:tab w:val="right" w:pos="720"/>
        </w:tabs>
        <w:ind w:left="720" w:right="684"/>
        <w:rPr>
          <w:sz w:val="24"/>
        </w:rPr>
      </w:pPr>
      <w:r>
        <w:rPr>
          <w:sz w:val="24"/>
        </w:rPr>
        <w:t xml:space="preserve">Estimated paper burden is </w:t>
      </w:r>
      <w:r w:rsidR="00C4766F">
        <w:rPr>
          <w:sz w:val="24"/>
        </w:rPr>
        <w:t>209,934</w:t>
      </w:r>
      <w:r>
        <w:rPr>
          <w:sz w:val="24"/>
        </w:rPr>
        <w:t xml:space="preserve"> hours.</w:t>
      </w:r>
    </w:p>
    <w:p w:rsidR="004F7CA0" w:rsidP="004F7CA0" w14:paraId="7B6CE9B5" w14:textId="362F79BF">
      <w:pPr>
        <w:tabs>
          <w:tab w:val="left" w:pos="480"/>
          <w:tab w:val="right" w:pos="720"/>
        </w:tabs>
        <w:ind w:left="720" w:right="684"/>
        <w:rPr>
          <w:sz w:val="24"/>
        </w:rPr>
      </w:pPr>
      <w:r>
        <w:rPr>
          <w:sz w:val="24"/>
        </w:rPr>
        <w:t xml:space="preserve">Estimated electronic burden is </w:t>
      </w:r>
      <w:r w:rsidR="00C4766F">
        <w:rPr>
          <w:sz w:val="24"/>
        </w:rPr>
        <w:t>377,881</w:t>
      </w:r>
      <w:r>
        <w:rPr>
          <w:sz w:val="24"/>
        </w:rPr>
        <w:t xml:space="preserve">hours.  </w:t>
      </w:r>
    </w:p>
    <w:p w:rsidR="004F7CA0" w:rsidRPr="00FB5C85" w:rsidP="004F7CA0" w14:paraId="1C4EC5B5" w14:textId="77777777">
      <w:pPr>
        <w:pStyle w:val="NoSpacing"/>
        <w:ind w:left="1440"/>
      </w:pPr>
    </w:p>
    <w:p w:rsidR="00092583" w:rsidRPr="0018463F" w:rsidP="0018463F" w14:paraId="229275F8" w14:textId="489AD25C">
      <w:pPr>
        <w:pStyle w:val="ListParagraph"/>
        <w:numPr>
          <w:ilvl w:val="0"/>
          <w:numId w:val="8"/>
        </w:numPr>
        <w:tabs>
          <w:tab w:val="left" w:pos="480"/>
          <w:tab w:val="right" w:pos="720"/>
        </w:tabs>
        <w:ind w:right="684"/>
        <w:rPr>
          <w:sz w:val="24"/>
        </w:rPr>
      </w:pPr>
      <w:r w:rsidRPr="0018463F">
        <w:rPr>
          <w:sz w:val="24"/>
        </w:rPr>
        <w:t xml:space="preserve">The total estimated average time to complete this data collection is 25 minutes for the paper form and 15 minutes for the electronic version.  </w:t>
      </w:r>
    </w:p>
    <w:p w:rsidR="00092583" w:rsidP="00092583" w14:paraId="67C4830F" w14:textId="77777777">
      <w:pPr>
        <w:pStyle w:val="ListParagraph"/>
        <w:tabs>
          <w:tab w:val="left" w:pos="480"/>
          <w:tab w:val="right" w:pos="720"/>
        </w:tabs>
        <w:ind w:right="684"/>
        <w:rPr>
          <w:sz w:val="24"/>
        </w:rPr>
      </w:pPr>
    </w:p>
    <w:p w:rsidR="00092583" w:rsidP="00092583" w14:paraId="78E4C53A" w14:textId="788466E4">
      <w:pPr>
        <w:pStyle w:val="ListParagraph"/>
        <w:tabs>
          <w:tab w:val="left" w:pos="480"/>
          <w:tab w:val="right" w:pos="720"/>
        </w:tabs>
        <w:ind w:right="684"/>
        <w:rPr>
          <w:sz w:val="24"/>
        </w:rPr>
      </w:pPr>
      <w:r>
        <w:rPr>
          <w:sz w:val="24"/>
        </w:rPr>
        <w:t xml:space="preserve">The average burden estimated due to the 75/25 split as depicted in 12a, totals </w:t>
      </w:r>
      <w:r w:rsidRPr="00092583">
        <w:rPr>
          <w:sz w:val="24"/>
          <w:u w:val="single"/>
        </w:rPr>
        <w:t>17.5</w:t>
      </w:r>
      <w:r>
        <w:rPr>
          <w:sz w:val="24"/>
        </w:rPr>
        <w:t xml:space="preserve"> minutes.  </w:t>
      </w:r>
    </w:p>
    <w:p w:rsidR="00C4766F" w:rsidRPr="00EE4B75" w:rsidP="00092583" w14:paraId="0A6C2D92" w14:textId="77777777">
      <w:pPr>
        <w:pStyle w:val="ListParagraph"/>
        <w:tabs>
          <w:tab w:val="left" w:pos="480"/>
          <w:tab w:val="right" w:pos="720"/>
        </w:tabs>
        <w:ind w:right="684"/>
        <w:rPr>
          <w:sz w:val="24"/>
        </w:rPr>
      </w:pPr>
    </w:p>
    <w:p w:rsidR="00782C13" w:rsidRPr="00782C13" w:rsidP="004F7CA0" w14:paraId="3C294A41" w14:textId="4A60529C">
      <w:pPr>
        <w:pStyle w:val="ListParagraph"/>
        <w:numPr>
          <w:ilvl w:val="0"/>
          <w:numId w:val="8"/>
        </w:numPr>
        <w:tabs>
          <w:tab w:val="left" w:pos="480"/>
          <w:tab w:val="right" w:pos="720"/>
        </w:tabs>
        <w:ind w:right="684"/>
        <w:rPr>
          <w:sz w:val="24"/>
        </w:rPr>
      </w:pPr>
      <w:r w:rsidRPr="00F515C3">
        <w:rPr>
          <w:sz w:val="24"/>
          <w:szCs w:val="24"/>
        </w:rPr>
        <w:t>The respondent population for VA Form</w:t>
      </w:r>
      <w:r>
        <w:rPr>
          <w:sz w:val="24"/>
          <w:szCs w:val="24"/>
        </w:rPr>
        <w:t xml:space="preserve"> </w:t>
      </w:r>
      <w:r w:rsidRPr="00F515C3">
        <w:rPr>
          <w:sz w:val="24"/>
          <w:szCs w:val="24"/>
        </w:rPr>
        <w:t>21-</w:t>
      </w:r>
      <w:r>
        <w:rPr>
          <w:sz w:val="24"/>
          <w:szCs w:val="24"/>
        </w:rPr>
        <w:t>526EZ</w:t>
      </w:r>
      <w:r w:rsidRPr="00F515C3">
        <w:rPr>
          <w:sz w:val="24"/>
          <w:szCs w:val="24"/>
        </w:rPr>
        <w:t xml:space="preserve"> is composed of individuals gathering the necessary information </w:t>
      </w:r>
      <w:r w:rsidRPr="00FC0B96">
        <w:rPr>
          <w:sz w:val="24"/>
          <w:szCs w:val="24"/>
        </w:rPr>
        <w:t>for disability compensation claims</w:t>
      </w:r>
      <w:r>
        <w:rPr>
          <w:sz w:val="24"/>
          <w:szCs w:val="24"/>
        </w:rPr>
        <w:t>, both in paper form and electronically</w:t>
      </w:r>
      <w:r w:rsidRPr="00F515C3">
        <w:rPr>
          <w:sz w:val="24"/>
          <w:szCs w:val="24"/>
        </w:rPr>
        <w:t xml:space="preserve">. </w:t>
      </w:r>
      <w:r w:rsidRPr="00A411DD">
        <w:rPr>
          <w:sz w:val="24"/>
          <w:szCs w:val="24"/>
        </w:rPr>
        <w:t>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00782C13" w:rsidRPr="00143AA5" w:rsidP="00782C13" w14:paraId="17128153" w14:textId="77777777">
      <w:pPr>
        <w:tabs>
          <w:tab w:val="right" w:pos="720"/>
        </w:tabs>
        <w:ind w:left="720"/>
        <w:rPr>
          <w:sz w:val="24"/>
          <w:szCs w:val="24"/>
        </w:rPr>
      </w:pPr>
    </w:p>
    <w:p w:rsidR="001E2E15" w:rsidP="001E2E15" w14:paraId="784F1753" w14:textId="51E74245">
      <w:pPr>
        <w:tabs>
          <w:tab w:val="left" w:pos="480"/>
          <w:tab w:val="right" w:pos="8640"/>
          <w:tab w:val="left" w:pos="9504"/>
        </w:tabs>
        <w:ind w:left="720" w:right="54"/>
        <w:rPr>
          <w:sz w:val="24"/>
          <w:szCs w:val="24"/>
        </w:rPr>
      </w:pPr>
      <w:bookmarkStart w:id="3" w:name="_Hlk2954761"/>
      <w:r w:rsidRPr="00823C3C">
        <w:rPr>
          <w:sz w:val="24"/>
          <w:szCs w:val="24"/>
        </w:rPr>
        <w:t xml:space="preserve">The Bureau of Labor Statistics (BLS) gathers information on full-time wage and salary workers.  According to the latest available BLS data, </w:t>
      </w:r>
      <w:r w:rsidRPr="00C4766F">
        <w:rPr>
          <w:sz w:val="24"/>
          <w:szCs w:val="24"/>
        </w:rPr>
        <w:t>the mean hourly wage is $</w:t>
      </w:r>
      <w:r w:rsidRPr="00C4766F" w:rsidR="00DC0CDA">
        <w:rPr>
          <w:sz w:val="24"/>
          <w:szCs w:val="24"/>
        </w:rPr>
        <w:t>2</w:t>
      </w:r>
      <w:r w:rsidRPr="00C4766F" w:rsidR="00145314">
        <w:rPr>
          <w:sz w:val="24"/>
          <w:szCs w:val="24"/>
        </w:rPr>
        <w:t>8.01</w:t>
      </w:r>
      <w:r w:rsidRPr="00C4766F">
        <w:rPr>
          <w:sz w:val="24"/>
          <w:szCs w:val="24"/>
        </w:rPr>
        <w:t xml:space="preserve"> based on the BLS wage code – “00-0000 All Occupations.”  This information</w:t>
      </w:r>
      <w:r w:rsidRPr="00823C3C">
        <w:rPr>
          <w:sz w:val="24"/>
          <w:szCs w:val="24"/>
        </w:rPr>
        <w:t xml:space="preserve"> was taken from the following website</w:t>
      </w:r>
      <w:r w:rsidRPr="004B104B">
        <w:rPr>
          <w:sz w:val="24"/>
          <w:szCs w:val="24"/>
        </w:rPr>
        <w:t xml:space="preserve">: </w:t>
      </w:r>
      <w:hyperlink r:id="rId8" w:history="1">
        <w:r w:rsidRPr="004B104B">
          <w:rPr>
            <w:rStyle w:val="Hyperlink"/>
            <w:sz w:val="24"/>
            <w:szCs w:val="24"/>
          </w:rPr>
          <w:t>https://www.bls.gov/oes/current/oes_nat.htm</w:t>
        </w:r>
      </w:hyperlink>
      <w:r>
        <w:t xml:space="preserve">.  </w:t>
      </w:r>
      <w:r>
        <w:rPr>
          <w:sz w:val="24"/>
          <w:szCs w:val="24"/>
        </w:rPr>
        <w:t xml:space="preserve"> </w:t>
      </w:r>
    </w:p>
    <w:p w:rsidR="001E2E15" w:rsidP="001E2E15" w14:paraId="0D3EB6FA" w14:textId="77777777">
      <w:pPr>
        <w:tabs>
          <w:tab w:val="left" w:pos="480"/>
          <w:tab w:val="right" w:pos="8640"/>
          <w:tab w:val="left" w:pos="9504"/>
        </w:tabs>
        <w:ind w:left="720" w:right="54"/>
        <w:rPr>
          <w:sz w:val="24"/>
          <w:szCs w:val="24"/>
        </w:rPr>
      </w:pPr>
    </w:p>
    <w:p w:rsidR="001E2E15" w:rsidRPr="00782C13" w:rsidP="001E2E15" w14:paraId="39FE56FC" w14:textId="24302A9F">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C4766F">
        <w:t>16,464,698.20</w:t>
      </w:r>
      <w:r w:rsidRPr="00F174D2">
        <w:t xml:space="preserve"> (</w:t>
      </w:r>
      <w:r w:rsidRPr="00C4766F" w:rsidR="00C4766F">
        <w:t>587,815</w:t>
      </w:r>
      <w:r w:rsidRPr="00F174D2">
        <w:t xml:space="preserve"> burden </w:t>
      </w:r>
      <w:r w:rsidRPr="00C4766F">
        <w:t>hours x $</w:t>
      </w:r>
      <w:r w:rsidRPr="00C4766F" w:rsidR="00DC0CDA">
        <w:t>2</w:t>
      </w:r>
      <w:r w:rsidRPr="00C4766F" w:rsidR="00145314">
        <w:t>8.01</w:t>
      </w:r>
      <w:r w:rsidRPr="00C4766F">
        <w:t xml:space="preserve"> per hour</w:t>
      </w:r>
      <w:r w:rsidRPr="00F174D2">
        <w:t xml:space="preserve">). </w:t>
      </w:r>
      <w:bookmarkEnd w:id="3"/>
      <w:bookmarkEnd w:id="2"/>
      <w:r w:rsidRPr="00F174D2">
        <w:t xml:space="preserve"> </w:t>
      </w:r>
      <w:bookmarkEnd w:id="1"/>
    </w:p>
    <w:p w:rsidR="00C17C77" w:rsidRPr="00C17C77" w:rsidP="00C17C77" w14:paraId="79B895B9" w14:textId="77777777">
      <w:pPr>
        <w:tabs>
          <w:tab w:val="left" w:pos="480"/>
          <w:tab w:val="right" w:pos="8640"/>
        </w:tabs>
        <w:ind w:right="684"/>
        <w:rPr>
          <w:sz w:val="24"/>
          <w:szCs w:val="24"/>
        </w:rPr>
      </w:pPr>
    </w:p>
    <w:p w:rsidR="00C75126" w:rsidP="00C75126" w14:paraId="5760F770" w14:textId="77777777">
      <w:pPr>
        <w:pStyle w:val="BodyText3"/>
        <w:numPr>
          <w:ilvl w:val="0"/>
          <w:numId w:val="5"/>
        </w:numPr>
        <w:tabs>
          <w:tab w:val="left" w:pos="547"/>
          <w:tab w:val="left" w:pos="1627"/>
        </w:tabs>
        <w:rPr>
          <w:b/>
          <w:sz w:val="24"/>
          <w:szCs w:val="24"/>
        </w:rPr>
      </w:pPr>
      <w:bookmarkStart w:id="4" w:name="_Hlk2954995"/>
      <w:r w:rsidRPr="00495C22">
        <w:rPr>
          <w:b/>
          <w:sz w:val="24"/>
          <w:szCs w:val="24"/>
        </w:rPr>
        <w:t>Provide an estimate of the total annual cost burden to respondents or recordkeepers resulting from the collection of information.  (Do not include the cost of any hour burden shown in Items 12 and 14).</w:t>
      </w:r>
    </w:p>
    <w:p w:rsidR="0018463F" w:rsidP="00B32D2A" w14:paraId="555397C9" w14:textId="77777777">
      <w:pPr>
        <w:pStyle w:val="NoSpacing"/>
        <w:ind w:left="360"/>
      </w:pPr>
    </w:p>
    <w:p w:rsidR="00B32D2A" w:rsidP="00B32D2A" w14:paraId="1442D7DD" w14:textId="0E1BA347">
      <w:pPr>
        <w:pStyle w:val="NoSpacing"/>
        <w:ind w:left="360"/>
      </w:pPr>
      <w:r w:rsidRPr="00FB5C85">
        <w:t>This submission does not involve any recordkeeping costs.</w:t>
      </w:r>
    </w:p>
    <w:bookmarkEnd w:id="4"/>
    <w:p w:rsidR="00B32D2A" w:rsidP="00B32D2A" w14:paraId="5266B3B6" w14:textId="77777777">
      <w:pPr>
        <w:pStyle w:val="BodyText3"/>
        <w:tabs>
          <w:tab w:val="left" w:pos="547"/>
          <w:tab w:val="left" w:pos="1627"/>
        </w:tabs>
        <w:rPr>
          <w:b/>
          <w:sz w:val="24"/>
          <w:szCs w:val="24"/>
        </w:rPr>
      </w:pPr>
    </w:p>
    <w:p w:rsidR="00F54C17" w:rsidRPr="004D09F8" w:rsidP="00F54C17" w14:paraId="5F2A2FBE" w14:textId="24CADD22">
      <w:pPr>
        <w:pStyle w:val="NoSpacing"/>
        <w:numPr>
          <w:ilvl w:val="0"/>
          <w:numId w:val="5"/>
        </w:numPr>
        <w:rPr>
          <w:b/>
        </w:rPr>
      </w:pPr>
      <w:bookmarkStart w:id="5" w:name="_Hlk92179753"/>
      <w:r w:rsidRPr="004D09F8">
        <w:rPr>
          <w:b/>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w:t>
      </w:r>
      <w:r w:rsidRPr="004D09F8">
        <w:rPr>
          <w:b/>
        </w:rPr>
        <w:t>information.  Agencies also may aggregate cost estimates from Items 12, 13, and 14 in a single table.</w:t>
      </w:r>
    </w:p>
    <w:p w:rsidR="0018463F" w14:paraId="1C6767C5" w14:textId="302C847C">
      <w:pPr>
        <w:rPr>
          <w:sz w:val="24"/>
        </w:rPr>
      </w:pPr>
    </w:p>
    <w:p w:rsidR="00F54C17" w:rsidP="00F54C17" w14:paraId="0E41E681" w14:textId="7FBD4E07">
      <w:pPr>
        <w:tabs>
          <w:tab w:val="left" w:pos="480"/>
          <w:tab w:val="right" w:pos="8640"/>
        </w:tabs>
        <w:ind w:left="360" w:right="684"/>
        <w:rPr>
          <w:sz w:val="24"/>
        </w:rPr>
      </w:pPr>
      <w:r w:rsidRPr="00794474">
        <w:rPr>
          <w:sz w:val="24"/>
        </w:rPr>
        <w:t>Estimated Costs to the Federal Government:</w:t>
      </w:r>
    </w:p>
    <w:p w:rsidR="00C4766F" w:rsidP="00F54C17" w14:paraId="4B87D4B1" w14:textId="77777777">
      <w:pPr>
        <w:tabs>
          <w:tab w:val="left" w:pos="480"/>
          <w:tab w:val="right" w:pos="8640"/>
        </w:tabs>
        <w:ind w:left="360" w:right="684"/>
        <w:rPr>
          <w:sz w:val="24"/>
        </w:rPr>
      </w:pPr>
    </w:p>
    <w:tbl>
      <w:tblPr>
        <w:tblW w:w="7920" w:type="dxa"/>
        <w:tblInd w:w="620" w:type="dxa"/>
        <w:tblLayout w:type="fixed"/>
        <w:tblLook w:val="04A0"/>
      </w:tblPr>
      <w:tblGrid>
        <w:gridCol w:w="720"/>
        <w:gridCol w:w="607"/>
        <w:gridCol w:w="797"/>
        <w:gridCol w:w="898"/>
        <w:gridCol w:w="976"/>
        <w:gridCol w:w="978"/>
        <w:gridCol w:w="1096"/>
        <w:gridCol w:w="1848"/>
      </w:tblGrid>
      <w:tr w14:paraId="7499D2F7" w14:textId="77777777" w:rsidTr="0018463F">
        <w:tblPrEx>
          <w:tblW w:w="7920" w:type="dxa"/>
          <w:tblInd w:w="620" w:type="dxa"/>
          <w:tblLayout w:type="fixed"/>
          <w:tblLook w:val="04A0"/>
        </w:tblPrEx>
        <w:trPr>
          <w:trHeight w:val="765"/>
        </w:trPr>
        <w:tc>
          <w:tcPr>
            <w:tcW w:w="720" w:type="dxa"/>
            <w:tcBorders>
              <w:top w:val="single" w:sz="8" w:space="0" w:color="auto"/>
              <w:left w:val="single" w:sz="8" w:space="0" w:color="auto"/>
              <w:bottom w:val="single" w:sz="8" w:space="0" w:color="auto"/>
              <w:right w:val="single" w:sz="8" w:space="0" w:color="auto"/>
            </w:tcBorders>
            <w:shd w:val="clear" w:color="000000" w:fill="B7DEE8"/>
            <w:vAlign w:val="center"/>
            <w:hideMark/>
          </w:tcPr>
          <w:p w:rsidR="00C4766F" w:rsidRPr="00C4766F" w:rsidP="00C4766F" w14:paraId="4658CE28" w14:textId="77777777">
            <w:pPr>
              <w:jc w:val="center"/>
              <w:rPr>
                <w:b/>
                <w:bCs/>
                <w:color w:val="000000"/>
                <w:sz w:val="18"/>
                <w:szCs w:val="18"/>
              </w:rPr>
            </w:pPr>
            <w:r w:rsidRPr="00C4766F">
              <w:rPr>
                <w:b/>
                <w:bCs/>
                <w:color w:val="000000"/>
                <w:sz w:val="18"/>
                <w:szCs w:val="18"/>
              </w:rPr>
              <w:t>Grade</w:t>
            </w:r>
          </w:p>
        </w:tc>
        <w:tc>
          <w:tcPr>
            <w:tcW w:w="607"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57E9AE98" w14:textId="77777777">
            <w:pPr>
              <w:jc w:val="center"/>
              <w:rPr>
                <w:b/>
                <w:bCs/>
                <w:color w:val="000000"/>
                <w:sz w:val="18"/>
                <w:szCs w:val="18"/>
              </w:rPr>
            </w:pPr>
            <w:r w:rsidRPr="00C4766F">
              <w:rPr>
                <w:b/>
                <w:bCs/>
                <w:color w:val="000000"/>
                <w:sz w:val="18"/>
                <w:szCs w:val="18"/>
              </w:rPr>
              <w:t>Step</w:t>
            </w:r>
          </w:p>
        </w:tc>
        <w:tc>
          <w:tcPr>
            <w:tcW w:w="797"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3ADBE3CC" w14:textId="77777777">
            <w:pPr>
              <w:jc w:val="center"/>
              <w:rPr>
                <w:b/>
                <w:bCs/>
                <w:color w:val="000000"/>
                <w:sz w:val="18"/>
                <w:szCs w:val="18"/>
              </w:rPr>
            </w:pPr>
            <w:r w:rsidRPr="00C4766F">
              <w:rPr>
                <w:b/>
                <w:bCs/>
                <w:color w:val="000000"/>
                <w:sz w:val="18"/>
                <w:szCs w:val="18"/>
              </w:rPr>
              <w:t>Burden Time</w:t>
            </w:r>
          </w:p>
        </w:tc>
        <w:tc>
          <w:tcPr>
            <w:tcW w:w="898"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20BED623" w14:textId="77777777">
            <w:pPr>
              <w:jc w:val="center"/>
              <w:rPr>
                <w:b/>
                <w:bCs/>
                <w:color w:val="000000"/>
                <w:sz w:val="18"/>
                <w:szCs w:val="18"/>
              </w:rPr>
            </w:pPr>
            <w:r w:rsidRPr="00C4766F">
              <w:rPr>
                <w:b/>
                <w:bCs/>
                <w:color w:val="000000"/>
                <w:sz w:val="18"/>
                <w:szCs w:val="18"/>
              </w:rPr>
              <w:t>Fraction of Hour</w:t>
            </w:r>
          </w:p>
        </w:tc>
        <w:tc>
          <w:tcPr>
            <w:tcW w:w="976"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5429CC10" w14:textId="77777777">
            <w:pPr>
              <w:jc w:val="center"/>
              <w:rPr>
                <w:b/>
                <w:bCs/>
                <w:color w:val="000000"/>
                <w:sz w:val="18"/>
                <w:szCs w:val="18"/>
              </w:rPr>
            </w:pPr>
            <w:r w:rsidRPr="00C4766F">
              <w:rPr>
                <w:b/>
                <w:bCs/>
                <w:color w:val="000000"/>
                <w:sz w:val="18"/>
                <w:szCs w:val="18"/>
              </w:rPr>
              <w:t>Hourly Rate</w:t>
            </w:r>
          </w:p>
        </w:tc>
        <w:tc>
          <w:tcPr>
            <w:tcW w:w="978"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6286695D" w14:textId="77777777">
            <w:pPr>
              <w:jc w:val="center"/>
              <w:rPr>
                <w:b/>
                <w:bCs/>
                <w:color w:val="000000"/>
                <w:sz w:val="18"/>
                <w:szCs w:val="18"/>
              </w:rPr>
            </w:pPr>
            <w:r w:rsidRPr="00C4766F">
              <w:rPr>
                <w:b/>
                <w:bCs/>
                <w:color w:val="000000"/>
                <w:sz w:val="18"/>
                <w:szCs w:val="18"/>
              </w:rPr>
              <w:t>Cost Per Response</w:t>
            </w:r>
          </w:p>
        </w:tc>
        <w:tc>
          <w:tcPr>
            <w:tcW w:w="1096"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5984EFAC" w14:textId="77777777">
            <w:pPr>
              <w:jc w:val="center"/>
              <w:rPr>
                <w:b/>
                <w:bCs/>
                <w:color w:val="000000"/>
                <w:sz w:val="18"/>
                <w:szCs w:val="18"/>
              </w:rPr>
            </w:pPr>
            <w:r w:rsidRPr="00C4766F">
              <w:rPr>
                <w:b/>
                <w:bCs/>
                <w:color w:val="000000"/>
                <w:sz w:val="18"/>
                <w:szCs w:val="18"/>
              </w:rPr>
              <w:t>Total Responses</w:t>
            </w:r>
          </w:p>
        </w:tc>
        <w:tc>
          <w:tcPr>
            <w:tcW w:w="1848" w:type="dxa"/>
            <w:tcBorders>
              <w:top w:val="single" w:sz="8" w:space="0" w:color="auto"/>
              <w:left w:val="nil"/>
              <w:bottom w:val="single" w:sz="8" w:space="0" w:color="auto"/>
              <w:right w:val="single" w:sz="8" w:space="0" w:color="auto"/>
            </w:tcBorders>
            <w:shd w:val="clear" w:color="000000" w:fill="B7DEE8"/>
            <w:vAlign w:val="center"/>
            <w:hideMark/>
          </w:tcPr>
          <w:p w:rsidR="00C4766F" w:rsidRPr="00C4766F" w:rsidP="00C4766F" w14:paraId="5BEB7FFC" w14:textId="77777777">
            <w:pPr>
              <w:jc w:val="center"/>
              <w:rPr>
                <w:b/>
                <w:bCs/>
                <w:color w:val="000000"/>
                <w:sz w:val="18"/>
                <w:szCs w:val="18"/>
              </w:rPr>
            </w:pPr>
            <w:r w:rsidRPr="00C4766F">
              <w:rPr>
                <w:b/>
                <w:bCs/>
                <w:color w:val="000000"/>
                <w:sz w:val="18"/>
                <w:szCs w:val="18"/>
              </w:rPr>
              <w:t>Total</w:t>
            </w:r>
          </w:p>
        </w:tc>
      </w:tr>
      <w:tr w14:paraId="53FA7CC3" w14:textId="77777777" w:rsidTr="0018463F">
        <w:tblPrEx>
          <w:tblW w:w="7920" w:type="dxa"/>
          <w:tblInd w:w="620" w:type="dxa"/>
          <w:tblLayout w:type="fixed"/>
          <w:tblLook w:val="04A0"/>
        </w:tblPrEx>
        <w:trPr>
          <w:trHeight w:val="300"/>
        </w:trPr>
        <w:tc>
          <w:tcPr>
            <w:tcW w:w="720" w:type="dxa"/>
            <w:tcBorders>
              <w:top w:val="nil"/>
              <w:left w:val="single" w:sz="8" w:space="0" w:color="auto"/>
              <w:bottom w:val="single" w:sz="4" w:space="0" w:color="auto"/>
              <w:right w:val="single" w:sz="4" w:space="0" w:color="auto"/>
            </w:tcBorders>
            <w:shd w:val="clear" w:color="auto" w:fill="auto"/>
            <w:vAlign w:val="center"/>
            <w:hideMark/>
          </w:tcPr>
          <w:p w:rsidR="00C4766F" w:rsidRPr="00C4766F" w:rsidP="00C4766F" w14:paraId="4C3F4790" w14:textId="77777777">
            <w:pPr>
              <w:jc w:val="center"/>
              <w:rPr>
                <w:color w:val="000000"/>
                <w:sz w:val="22"/>
                <w:szCs w:val="22"/>
              </w:rPr>
            </w:pPr>
            <w:r w:rsidRPr="00C4766F">
              <w:rPr>
                <w:color w:val="000000"/>
                <w:sz w:val="22"/>
                <w:szCs w:val="22"/>
              </w:rPr>
              <w:t>7</w:t>
            </w:r>
          </w:p>
        </w:tc>
        <w:tc>
          <w:tcPr>
            <w:tcW w:w="607" w:type="dxa"/>
            <w:tcBorders>
              <w:top w:val="nil"/>
              <w:left w:val="nil"/>
              <w:bottom w:val="single" w:sz="4" w:space="0" w:color="auto"/>
              <w:right w:val="single" w:sz="4" w:space="0" w:color="auto"/>
            </w:tcBorders>
            <w:shd w:val="clear" w:color="auto" w:fill="auto"/>
            <w:vAlign w:val="center"/>
            <w:hideMark/>
          </w:tcPr>
          <w:p w:rsidR="00C4766F" w:rsidRPr="00C4766F" w:rsidP="00C4766F" w14:paraId="32A946A4" w14:textId="77777777">
            <w:pPr>
              <w:jc w:val="center"/>
              <w:rPr>
                <w:color w:val="000000"/>
                <w:sz w:val="22"/>
                <w:szCs w:val="22"/>
              </w:rPr>
            </w:pPr>
            <w:r w:rsidRPr="00C4766F">
              <w:rPr>
                <w:color w:val="000000"/>
                <w:sz w:val="22"/>
                <w:szCs w:val="22"/>
              </w:rPr>
              <w:t>3</w:t>
            </w:r>
          </w:p>
        </w:tc>
        <w:tc>
          <w:tcPr>
            <w:tcW w:w="797" w:type="dxa"/>
            <w:tcBorders>
              <w:top w:val="nil"/>
              <w:left w:val="nil"/>
              <w:bottom w:val="single" w:sz="4" w:space="0" w:color="auto"/>
              <w:right w:val="single" w:sz="4" w:space="0" w:color="auto"/>
            </w:tcBorders>
            <w:shd w:val="clear" w:color="auto" w:fill="auto"/>
            <w:vAlign w:val="center"/>
            <w:hideMark/>
          </w:tcPr>
          <w:p w:rsidR="00C4766F" w:rsidRPr="00C4766F" w:rsidP="00C4766F" w14:paraId="2307C790" w14:textId="77777777">
            <w:pPr>
              <w:jc w:val="center"/>
              <w:rPr>
                <w:color w:val="000000"/>
                <w:sz w:val="22"/>
                <w:szCs w:val="22"/>
              </w:rPr>
            </w:pPr>
            <w:r w:rsidRPr="00C4766F">
              <w:rPr>
                <w:color w:val="000000"/>
                <w:sz w:val="22"/>
                <w:szCs w:val="22"/>
              </w:rPr>
              <w:t>15</w:t>
            </w:r>
          </w:p>
        </w:tc>
        <w:tc>
          <w:tcPr>
            <w:tcW w:w="898" w:type="dxa"/>
            <w:tcBorders>
              <w:top w:val="nil"/>
              <w:left w:val="nil"/>
              <w:bottom w:val="single" w:sz="4" w:space="0" w:color="auto"/>
              <w:right w:val="single" w:sz="4" w:space="0" w:color="auto"/>
            </w:tcBorders>
            <w:shd w:val="clear" w:color="auto" w:fill="auto"/>
            <w:vAlign w:val="center"/>
            <w:hideMark/>
          </w:tcPr>
          <w:p w:rsidR="00C4766F" w:rsidRPr="00C4766F" w:rsidP="00C4766F" w14:paraId="7C7FABD0" w14:textId="77777777">
            <w:pPr>
              <w:jc w:val="center"/>
              <w:rPr>
                <w:color w:val="000000"/>
                <w:sz w:val="22"/>
                <w:szCs w:val="22"/>
              </w:rPr>
            </w:pPr>
            <w:r w:rsidRPr="00C4766F">
              <w:rPr>
                <w:color w:val="000000"/>
                <w:sz w:val="22"/>
                <w:szCs w:val="22"/>
              </w:rPr>
              <w:t>0.25</w:t>
            </w:r>
          </w:p>
        </w:tc>
        <w:tc>
          <w:tcPr>
            <w:tcW w:w="976" w:type="dxa"/>
            <w:tcBorders>
              <w:top w:val="nil"/>
              <w:left w:val="nil"/>
              <w:bottom w:val="single" w:sz="4" w:space="0" w:color="auto"/>
              <w:right w:val="single" w:sz="4" w:space="0" w:color="auto"/>
            </w:tcBorders>
            <w:shd w:val="clear" w:color="auto" w:fill="auto"/>
            <w:vAlign w:val="center"/>
            <w:hideMark/>
          </w:tcPr>
          <w:p w:rsidR="00C4766F" w:rsidRPr="00C4766F" w:rsidP="00C4766F" w14:paraId="48EF35DC" w14:textId="77777777">
            <w:pPr>
              <w:jc w:val="center"/>
              <w:rPr>
                <w:color w:val="000000"/>
                <w:sz w:val="22"/>
                <w:szCs w:val="22"/>
              </w:rPr>
            </w:pPr>
            <w:r w:rsidRPr="00C4766F">
              <w:rPr>
                <w:color w:val="000000"/>
                <w:sz w:val="22"/>
                <w:szCs w:val="22"/>
              </w:rPr>
              <w:t xml:space="preserve"> $19.68 </w:t>
            </w:r>
          </w:p>
        </w:tc>
        <w:tc>
          <w:tcPr>
            <w:tcW w:w="978" w:type="dxa"/>
            <w:tcBorders>
              <w:top w:val="nil"/>
              <w:left w:val="nil"/>
              <w:bottom w:val="single" w:sz="4" w:space="0" w:color="auto"/>
              <w:right w:val="single" w:sz="4" w:space="0" w:color="auto"/>
            </w:tcBorders>
            <w:shd w:val="clear" w:color="auto" w:fill="auto"/>
            <w:vAlign w:val="center"/>
            <w:hideMark/>
          </w:tcPr>
          <w:p w:rsidR="00C4766F" w:rsidRPr="00C4766F" w:rsidP="00C4766F" w14:paraId="1BF216F6" w14:textId="77777777">
            <w:pPr>
              <w:jc w:val="center"/>
              <w:rPr>
                <w:color w:val="000000"/>
                <w:sz w:val="22"/>
                <w:szCs w:val="22"/>
              </w:rPr>
            </w:pPr>
            <w:r w:rsidRPr="00C4766F">
              <w:rPr>
                <w:color w:val="000000"/>
                <w:sz w:val="22"/>
                <w:szCs w:val="22"/>
              </w:rPr>
              <w:t>4.920</w:t>
            </w:r>
          </w:p>
        </w:tc>
        <w:tc>
          <w:tcPr>
            <w:tcW w:w="1096" w:type="dxa"/>
            <w:tcBorders>
              <w:top w:val="nil"/>
              <w:left w:val="nil"/>
              <w:bottom w:val="single" w:sz="4" w:space="0" w:color="auto"/>
              <w:right w:val="single" w:sz="4" w:space="0" w:color="auto"/>
            </w:tcBorders>
            <w:shd w:val="clear" w:color="auto" w:fill="auto"/>
            <w:vAlign w:val="center"/>
            <w:hideMark/>
          </w:tcPr>
          <w:p w:rsidR="00C4766F" w:rsidRPr="00C4766F" w:rsidP="0018463F" w14:paraId="31678D45" w14:textId="63CBA67A">
            <w:pPr>
              <w:rPr>
                <w:color w:val="000000"/>
                <w:sz w:val="22"/>
                <w:szCs w:val="22"/>
              </w:rPr>
            </w:pPr>
            <w:r w:rsidRPr="00C4766F">
              <w:rPr>
                <w:color w:val="000000"/>
                <w:sz w:val="22"/>
                <w:szCs w:val="22"/>
              </w:rPr>
              <w:t xml:space="preserve">2,015,367 </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6CA368DB" w14:textId="77777777">
            <w:pPr>
              <w:jc w:val="center"/>
              <w:rPr>
                <w:color w:val="000000"/>
                <w:sz w:val="22"/>
                <w:szCs w:val="22"/>
              </w:rPr>
            </w:pPr>
            <w:r w:rsidRPr="00C4766F">
              <w:rPr>
                <w:color w:val="000000"/>
                <w:sz w:val="22"/>
                <w:szCs w:val="22"/>
              </w:rPr>
              <w:t xml:space="preserve"> $    9,915,605.64 </w:t>
            </w:r>
          </w:p>
        </w:tc>
      </w:tr>
      <w:tr w14:paraId="258E55F1"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4B91318F" w14:textId="77777777">
            <w:pPr>
              <w:rPr>
                <w:color w:val="000000"/>
                <w:sz w:val="22"/>
                <w:szCs w:val="22"/>
              </w:rPr>
            </w:pPr>
            <w:r w:rsidRPr="00C4766F">
              <w:rPr>
                <w:color w:val="000000"/>
                <w:sz w:val="22"/>
                <w:szCs w:val="22"/>
              </w:rPr>
              <w:t>Overhead at 100% Salary</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1C272A4C" w14:textId="77777777">
            <w:pPr>
              <w:jc w:val="center"/>
              <w:rPr>
                <w:color w:val="000000"/>
                <w:sz w:val="22"/>
                <w:szCs w:val="22"/>
              </w:rPr>
            </w:pPr>
            <w:r w:rsidRPr="00C4766F">
              <w:rPr>
                <w:color w:val="000000"/>
                <w:sz w:val="22"/>
                <w:szCs w:val="22"/>
              </w:rPr>
              <w:t xml:space="preserve"> $    9,915,605.64 </w:t>
            </w:r>
          </w:p>
        </w:tc>
      </w:tr>
      <w:tr w14:paraId="202DC258" w14:textId="77777777" w:rsidTr="0018463F">
        <w:tblPrEx>
          <w:tblW w:w="7920" w:type="dxa"/>
          <w:tblInd w:w="620" w:type="dxa"/>
          <w:tblLayout w:type="fixed"/>
          <w:tblLook w:val="04A0"/>
        </w:tblPrEx>
        <w:trPr>
          <w:trHeight w:val="300"/>
        </w:trPr>
        <w:tc>
          <w:tcPr>
            <w:tcW w:w="720" w:type="dxa"/>
            <w:tcBorders>
              <w:top w:val="nil"/>
              <w:left w:val="single" w:sz="8" w:space="0" w:color="auto"/>
              <w:bottom w:val="single" w:sz="4" w:space="0" w:color="auto"/>
              <w:right w:val="single" w:sz="4" w:space="0" w:color="auto"/>
            </w:tcBorders>
            <w:shd w:val="clear" w:color="auto" w:fill="auto"/>
            <w:vAlign w:val="center"/>
            <w:hideMark/>
          </w:tcPr>
          <w:p w:rsidR="00C4766F" w:rsidRPr="00C4766F" w:rsidP="00C4766F" w14:paraId="6083B818" w14:textId="77777777">
            <w:pPr>
              <w:jc w:val="center"/>
              <w:rPr>
                <w:color w:val="000000"/>
                <w:sz w:val="22"/>
                <w:szCs w:val="22"/>
              </w:rPr>
            </w:pPr>
            <w:r w:rsidRPr="00C4766F">
              <w:rPr>
                <w:color w:val="000000"/>
                <w:sz w:val="22"/>
                <w:szCs w:val="22"/>
              </w:rPr>
              <w:t>9</w:t>
            </w:r>
          </w:p>
        </w:tc>
        <w:tc>
          <w:tcPr>
            <w:tcW w:w="607" w:type="dxa"/>
            <w:tcBorders>
              <w:top w:val="nil"/>
              <w:left w:val="nil"/>
              <w:bottom w:val="single" w:sz="4" w:space="0" w:color="auto"/>
              <w:right w:val="single" w:sz="4" w:space="0" w:color="auto"/>
            </w:tcBorders>
            <w:shd w:val="clear" w:color="auto" w:fill="auto"/>
            <w:vAlign w:val="center"/>
            <w:hideMark/>
          </w:tcPr>
          <w:p w:rsidR="00C4766F" w:rsidRPr="00C4766F" w:rsidP="00C4766F" w14:paraId="383A5DBD" w14:textId="77777777">
            <w:pPr>
              <w:jc w:val="center"/>
              <w:rPr>
                <w:color w:val="000000"/>
                <w:sz w:val="22"/>
                <w:szCs w:val="22"/>
              </w:rPr>
            </w:pPr>
            <w:r w:rsidRPr="00C4766F">
              <w:rPr>
                <w:color w:val="000000"/>
                <w:sz w:val="22"/>
                <w:szCs w:val="22"/>
              </w:rPr>
              <w:t>3</w:t>
            </w:r>
          </w:p>
        </w:tc>
        <w:tc>
          <w:tcPr>
            <w:tcW w:w="797" w:type="dxa"/>
            <w:tcBorders>
              <w:top w:val="nil"/>
              <w:left w:val="nil"/>
              <w:bottom w:val="single" w:sz="4" w:space="0" w:color="auto"/>
              <w:right w:val="single" w:sz="4" w:space="0" w:color="auto"/>
            </w:tcBorders>
            <w:shd w:val="clear" w:color="auto" w:fill="auto"/>
            <w:vAlign w:val="center"/>
            <w:hideMark/>
          </w:tcPr>
          <w:p w:rsidR="00C4766F" w:rsidRPr="00C4766F" w:rsidP="00C4766F" w14:paraId="322B0084" w14:textId="77777777">
            <w:pPr>
              <w:jc w:val="center"/>
              <w:rPr>
                <w:color w:val="000000"/>
                <w:sz w:val="22"/>
                <w:szCs w:val="22"/>
              </w:rPr>
            </w:pPr>
            <w:r w:rsidRPr="00C4766F">
              <w:rPr>
                <w:color w:val="000000"/>
                <w:sz w:val="22"/>
                <w:szCs w:val="22"/>
              </w:rPr>
              <w:t>15</w:t>
            </w:r>
          </w:p>
        </w:tc>
        <w:tc>
          <w:tcPr>
            <w:tcW w:w="898" w:type="dxa"/>
            <w:tcBorders>
              <w:top w:val="nil"/>
              <w:left w:val="nil"/>
              <w:bottom w:val="single" w:sz="4" w:space="0" w:color="auto"/>
              <w:right w:val="single" w:sz="4" w:space="0" w:color="auto"/>
            </w:tcBorders>
            <w:shd w:val="clear" w:color="auto" w:fill="auto"/>
            <w:vAlign w:val="center"/>
            <w:hideMark/>
          </w:tcPr>
          <w:p w:rsidR="00C4766F" w:rsidRPr="00C4766F" w:rsidP="00C4766F" w14:paraId="36BF8E29" w14:textId="77777777">
            <w:pPr>
              <w:jc w:val="center"/>
              <w:rPr>
                <w:color w:val="000000"/>
                <w:sz w:val="22"/>
                <w:szCs w:val="22"/>
              </w:rPr>
            </w:pPr>
            <w:r w:rsidRPr="00C4766F">
              <w:rPr>
                <w:color w:val="000000"/>
                <w:sz w:val="22"/>
                <w:szCs w:val="22"/>
              </w:rPr>
              <w:t>0.25</w:t>
            </w:r>
          </w:p>
        </w:tc>
        <w:tc>
          <w:tcPr>
            <w:tcW w:w="976" w:type="dxa"/>
            <w:tcBorders>
              <w:top w:val="nil"/>
              <w:left w:val="nil"/>
              <w:bottom w:val="single" w:sz="4" w:space="0" w:color="auto"/>
              <w:right w:val="single" w:sz="4" w:space="0" w:color="auto"/>
            </w:tcBorders>
            <w:shd w:val="clear" w:color="auto" w:fill="auto"/>
            <w:vAlign w:val="center"/>
            <w:hideMark/>
          </w:tcPr>
          <w:p w:rsidR="00C4766F" w:rsidRPr="00C4766F" w:rsidP="00C4766F" w14:paraId="6DBD9C4D" w14:textId="77777777">
            <w:pPr>
              <w:jc w:val="center"/>
              <w:rPr>
                <w:color w:val="000000"/>
                <w:sz w:val="22"/>
                <w:szCs w:val="22"/>
              </w:rPr>
            </w:pPr>
            <w:r w:rsidRPr="00C4766F">
              <w:rPr>
                <w:color w:val="000000"/>
                <w:sz w:val="22"/>
                <w:szCs w:val="22"/>
              </w:rPr>
              <w:t xml:space="preserve"> $24.07 </w:t>
            </w:r>
          </w:p>
        </w:tc>
        <w:tc>
          <w:tcPr>
            <w:tcW w:w="978" w:type="dxa"/>
            <w:tcBorders>
              <w:top w:val="nil"/>
              <w:left w:val="nil"/>
              <w:bottom w:val="single" w:sz="4" w:space="0" w:color="auto"/>
              <w:right w:val="single" w:sz="4" w:space="0" w:color="auto"/>
            </w:tcBorders>
            <w:shd w:val="clear" w:color="auto" w:fill="auto"/>
            <w:vAlign w:val="center"/>
            <w:hideMark/>
          </w:tcPr>
          <w:p w:rsidR="00C4766F" w:rsidRPr="00C4766F" w:rsidP="00C4766F" w14:paraId="1E2214E9" w14:textId="77777777">
            <w:pPr>
              <w:jc w:val="center"/>
              <w:rPr>
                <w:color w:val="000000"/>
                <w:sz w:val="22"/>
                <w:szCs w:val="22"/>
              </w:rPr>
            </w:pPr>
            <w:r w:rsidRPr="00C4766F">
              <w:rPr>
                <w:color w:val="000000"/>
                <w:sz w:val="22"/>
                <w:szCs w:val="22"/>
              </w:rPr>
              <w:t>6.018</w:t>
            </w:r>
          </w:p>
        </w:tc>
        <w:tc>
          <w:tcPr>
            <w:tcW w:w="1096" w:type="dxa"/>
            <w:tcBorders>
              <w:top w:val="nil"/>
              <w:left w:val="nil"/>
              <w:bottom w:val="single" w:sz="4" w:space="0" w:color="auto"/>
              <w:right w:val="single" w:sz="4" w:space="0" w:color="auto"/>
            </w:tcBorders>
            <w:shd w:val="clear" w:color="auto" w:fill="auto"/>
            <w:vAlign w:val="center"/>
            <w:hideMark/>
          </w:tcPr>
          <w:p w:rsidR="00C4766F" w:rsidRPr="00C4766F" w:rsidP="0018463F" w14:paraId="1C88E785" w14:textId="40D9809F">
            <w:pPr>
              <w:rPr>
                <w:color w:val="000000"/>
                <w:sz w:val="22"/>
                <w:szCs w:val="22"/>
              </w:rPr>
            </w:pPr>
            <w:r w:rsidRPr="00C4766F">
              <w:rPr>
                <w:color w:val="000000"/>
                <w:sz w:val="22"/>
                <w:szCs w:val="22"/>
              </w:rPr>
              <w:t xml:space="preserve">2,015,367 </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4B26879F" w14:textId="77777777">
            <w:pPr>
              <w:jc w:val="center"/>
              <w:rPr>
                <w:color w:val="000000"/>
                <w:sz w:val="22"/>
                <w:szCs w:val="22"/>
              </w:rPr>
            </w:pPr>
            <w:r w:rsidRPr="00C4766F">
              <w:rPr>
                <w:color w:val="000000"/>
                <w:sz w:val="22"/>
                <w:szCs w:val="22"/>
              </w:rPr>
              <w:t xml:space="preserve"> $  12,127,470.92 </w:t>
            </w:r>
          </w:p>
        </w:tc>
      </w:tr>
      <w:tr w14:paraId="3AF8E0F8"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16856CCF" w14:textId="77777777">
            <w:pPr>
              <w:rPr>
                <w:color w:val="000000"/>
                <w:sz w:val="22"/>
                <w:szCs w:val="22"/>
              </w:rPr>
            </w:pPr>
            <w:r w:rsidRPr="00C4766F">
              <w:rPr>
                <w:color w:val="000000"/>
                <w:sz w:val="22"/>
                <w:szCs w:val="22"/>
              </w:rPr>
              <w:t>Overhead at 100% Salary</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17ABF594" w14:textId="77777777">
            <w:pPr>
              <w:jc w:val="center"/>
              <w:rPr>
                <w:color w:val="000000"/>
                <w:sz w:val="22"/>
                <w:szCs w:val="22"/>
              </w:rPr>
            </w:pPr>
            <w:r w:rsidRPr="00C4766F">
              <w:rPr>
                <w:color w:val="000000"/>
                <w:sz w:val="22"/>
                <w:szCs w:val="22"/>
              </w:rPr>
              <w:t xml:space="preserve"> $  12,127,470.92 </w:t>
            </w:r>
          </w:p>
        </w:tc>
      </w:tr>
      <w:tr w14:paraId="138DE8BE" w14:textId="77777777" w:rsidTr="0018463F">
        <w:tblPrEx>
          <w:tblW w:w="7920" w:type="dxa"/>
          <w:tblInd w:w="620" w:type="dxa"/>
          <w:tblLayout w:type="fixed"/>
          <w:tblLook w:val="04A0"/>
        </w:tblPrEx>
        <w:trPr>
          <w:trHeight w:val="300"/>
        </w:trPr>
        <w:tc>
          <w:tcPr>
            <w:tcW w:w="720" w:type="dxa"/>
            <w:tcBorders>
              <w:top w:val="nil"/>
              <w:left w:val="single" w:sz="8" w:space="0" w:color="auto"/>
              <w:bottom w:val="single" w:sz="4" w:space="0" w:color="auto"/>
              <w:right w:val="single" w:sz="4" w:space="0" w:color="auto"/>
            </w:tcBorders>
            <w:shd w:val="clear" w:color="auto" w:fill="auto"/>
            <w:vAlign w:val="center"/>
            <w:hideMark/>
          </w:tcPr>
          <w:p w:rsidR="00C4766F" w:rsidRPr="00C4766F" w:rsidP="00C4766F" w14:paraId="78DB5864" w14:textId="77777777">
            <w:pPr>
              <w:jc w:val="center"/>
              <w:rPr>
                <w:color w:val="000000"/>
                <w:sz w:val="22"/>
                <w:szCs w:val="22"/>
              </w:rPr>
            </w:pPr>
            <w:r w:rsidRPr="00C4766F">
              <w:rPr>
                <w:color w:val="000000"/>
                <w:sz w:val="22"/>
                <w:szCs w:val="22"/>
              </w:rPr>
              <w:t>11</w:t>
            </w:r>
          </w:p>
        </w:tc>
        <w:tc>
          <w:tcPr>
            <w:tcW w:w="607" w:type="dxa"/>
            <w:tcBorders>
              <w:top w:val="nil"/>
              <w:left w:val="nil"/>
              <w:bottom w:val="single" w:sz="4" w:space="0" w:color="auto"/>
              <w:right w:val="single" w:sz="4" w:space="0" w:color="auto"/>
            </w:tcBorders>
            <w:shd w:val="clear" w:color="auto" w:fill="auto"/>
            <w:vAlign w:val="center"/>
            <w:hideMark/>
          </w:tcPr>
          <w:p w:rsidR="00C4766F" w:rsidRPr="00C4766F" w:rsidP="00C4766F" w14:paraId="11DAED6A" w14:textId="77777777">
            <w:pPr>
              <w:jc w:val="center"/>
              <w:rPr>
                <w:color w:val="000000"/>
                <w:sz w:val="22"/>
                <w:szCs w:val="22"/>
              </w:rPr>
            </w:pPr>
            <w:r w:rsidRPr="00C4766F">
              <w:rPr>
                <w:color w:val="000000"/>
                <w:sz w:val="22"/>
                <w:szCs w:val="22"/>
              </w:rPr>
              <w:t>3</w:t>
            </w:r>
          </w:p>
        </w:tc>
        <w:tc>
          <w:tcPr>
            <w:tcW w:w="797" w:type="dxa"/>
            <w:tcBorders>
              <w:top w:val="nil"/>
              <w:left w:val="nil"/>
              <w:bottom w:val="single" w:sz="4" w:space="0" w:color="auto"/>
              <w:right w:val="single" w:sz="4" w:space="0" w:color="auto"/>
            </w:tcBorders>
            <w:shd w:val="clear" w:color="auto" w:fill="auto"/>
            <w:vAlign w:val="center"/>
            <w:hideMark/>
          </w:tcPr>
          <w:p w:rsidR="00C4766F" w:rsidRPr="00C4766F" w:rsidP="00C4766F" w14:paraId="16D2C35E" w14:textId="77777777">
            <w:pPr>
              <w:jc w:val="center"/>
              <w:rPr>
                <w:color w:val="000000"/>
                <w:sz w:val="22"/>
                <w:szCs w:val="22"/>
              </w:rPr>
            </w:pPr>
            <w:r w:rsidRPr="00C4766F">
              <w:rPr>
                <w:color w:val="000000"/>
                <w:sz w:val="22"/>
                <w:szCs w:val="22"/>
              </w:rPr>
              <w:t>5</w:t>
            </w:r>
          </w:p>
        </w:tc>
        <w:tc>
          <w:tcPr>
            <w:tcW w:w="898" w:type="dxa"/>
            <w:tcBorders>
              <w:top w:val="nil"/>
              <w:left w:val="nil"/>
              <w:bottom w:val="single" w:sz="4" w:space="0" w:color="auto"/>
              <w:right w:val="single" w:sz="4" w:space="0" w:color="auto"/>
            </w:tcBorders>
            <w:shd w:val="clear" w:color="auto" w:fill="auto"/>
            <w:vAlign w:val="center"/>
            <w:hideMark/>
          </w:tcPr>
          <w:p w:rsidR="00C4766F" w:rsidRPr="00C4766F" w:rsidP="00C4766F" w14:paraId="2E9DA80B" w14:textId="77777777">
            <w:pPr>
              <w:jc w:val="center"/>
              <w:rPr>
                <w:color w:val="000000"/>
                <w:sz w:val="22"/>
                <w:szCs w:val="22"/>
              </w:rPr>
            </w:pPr>
            <w:r w:rsidRPr="00C4766F">
              <w:rPr>
                <w:color w:val="000000"/>
                <w:sz w:val="22"/>
                <w:szCs w:val="22"/>
              </w:rPr>
              <w:t>0.08</w:t>
            </w:r>
          </w:p>
        </w:tc>
        <w:tc>
          <w:tcPr>
            <w:tcW w:w="976" w:type="dxa"/>
            <w:tcBorders>
              <w:top w:val="nil"/>
              <w:left w:val="nil"/>
              <w:bottom w:val="single" w:sz="4" w:space="0" w:color="auto"/>
              <w:right w:val="single" w:sz="4" w:space="0" w:color="auto"/>
            </w:tcBorders>
            <w:shd w:val="clear" w:color="auto" w:fill="auto"/>
            <w:vAlign w:val="center"/>
            <w:hideMark/>
          </w:tcPr>
          <w:p w:rsidR="00C4766F" w:rsidRPr="00C4766F" w:rsidP="00C4766F" w14:paraId="71447EFE" w14:textId="77777777">
            <w:pPr>
              <w:jc w:val="center"/>
              <w:rPr>
                <w:color w:val="000000"/>
                <w:sz w:val="22"/>
                <w:szCs w:val="22"/>
              </w:rPr>
            </w:pPr>
            <w:r w:rsidRPr="00C4766F">
              <w:rPr>
                <w:color w:val="000000"/>
                <w:sz w:val="22"/>
                <w:szCs w:val="22"/>
              </w:rPr>
              <w:t xml:space="preserve"> $29.12 </w:t>
            </w:r>
          </w:p>
        </w:tc>
        <w:tc>
          <w:tcPr>
            <w:tcW w:w="978" w:type="dxa"/>
            <w:tcBorders>
              <w:top w:val="nil"/>
              <w:left w:val="nil"/>
              <w:bottom w:val="single" w:sz="4" w:space="0" w:color="auto"/>
              <w:right w:val="single" w:sz="4" w:space="0" w:color="auto"/>
            </w:tcBorders>
            <w:shd w:val="clear" w:color="auto" w:fill="auto"/>
            <w:vAlign w:val="center"/>
            <w:hideMark/>
          </w:tcPr>
          <w:p w:rsidR="00C4766F" w:rsidRPr="00C4766F" w:rsidP="00C4766F" w14:paraId="6BC8BDAC" w14:textId="77777777">
            <w:pPr>
              <w:jc w:val="center"/>
              <w:rPr>
                <w:color w:val="000000"/>
                <w:sz w:val="22"/>
                <w:szCs w:val="22"/>
              </w:rPr>
            </w:pPr>
            <w:r w:rsidRPr="00C4766F">
              <w:rPr>
                <w:color w:val="000000"/>
                <w:sz w:val="22"/>
                <w:szCs w:val="22"/>
              </w:rPr>
              <w:t>2.427</w:t>
            </w:r>
          </w:p>
        </w:tc>
        <w:tc>
          <w:tcPr>
            <w:tcW w:w="1096" w:type="dxa"/>
            <w:tcBorders>
              <w:top w:val="nil"/>
              <w:left w:val="nil"/>
              <w:bottom w:val="single" w:sz="4" w:space="0" w:color="auto"/>
              <w:right w:val="single" w:sz="4" w:space="0" w:color="auto"/>
            </w:tcBorders>
            <w:shd w:val="clear" w:color="auto" w:fill="auto"/>
            <w:vAlign w:val="center"/>
            <w:hideMark/>
          </w:tcPr>
          <w:p w:rsidR="00C4766F" w:rsidRPr="00C4766F" w:rsidP="0018463F" w14:paraId="0F2162CD" w14:textId="5DC150D8">
            <w:pPr>
              <w:rPr>
                <w:color w:val="000000"/>
                <w:sz w:val="22"/>
                <w:szCs w:val="22"/>
              </w:rPr>
            </w:pPr>
            <w:r>
              <w:rPr>
                <w:color w:val="000000"/>
                <w:sz w:val="22"/>
                <w:szCs w:val="22"/>
              </w:rPr>
              <w:t>2</w:t>
            </w:r>
            <w:r w:rsidRPr="00C4766F">
              <w:rPr>
                <w:color w:val="000000"/>
                <w:sz w:val="22"/>
                <w:szCs w:val="22"/>
              </w:rPr>
              <w:t xml:space="preserve">,015,367 </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0ED81AEF" w14:textId="77777777">
            <w:pPr>
              <w:jc w:val="center"/>
              <w:rPr>
                <w:color w:val="000000"/>
                <w:sz w:val="22"/>
                <w:szCs w:val="22"/>
              </w:rPr>
            </w:pPr>
            <w:r w:rsidRPr="00C4766F">
              <w:rPr>
                <w:color w:val="000000"/>
                <w:sz w:val="22"/>
                <w:szCs w:val="22"/>
              </w:rPr>
              <w:t xml:space="preserve"> $    4,890,623.92 </w:t>
            </w:r>
          </w:p>
        </w:tc>
      </w:tr>
      <w:tr w14:paraId="68E17E67"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4626710D" w14:textId="77777777">
            <w:pPr>
              <w:rPr>
                <w:color w:val="000000"/>
                <w:sz w:val="22"/>
                <w:szCs w:val="22"/>
              </w:rPr>
            </w:pPr>
            <w:r w:rsidRPr="00C4766F">
              <w:rPr>
                <w:color w:val="000000"/>
                <w:sz w:val="22"/>
                <w:szCs w:val="22"/>
              </w:rPr>
              <w:t>Overhead at 100% Salary</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4BCBEA1F" w14:textId="77777777">
            <w:pPr>
              <w:jc w:val="center"/>
              <w:rPr>
                <w:color w:val="000000"/>
                <w:sz w:val="22"/>
                <w:szCs w:val="22"/>
              </w:rPr>
            </w:pPr>
            <w:r w:rsidRPr="00C4766F">
              <w:rPr>
                <w:color w:val="000000"/>
                <w:sz w:val="22"/>
                <w:szCs w:val="22"/>
              </w:rPr>
              <w:t xml:space="preserve"> $    4,890,623.92 </w:t>
            </w:r>
          </w:p>
        </w:tc>
      </w:tr>
      <w:tr w14:paraId="3923C9CF"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2DBB18C6" w14:textId="77777777">
            <w:pPr>
              <w:jc w:val="center"/>
              <w:rPr>
                <w:color w:val="000000"/>
                <w:sz w:val="22"/>
                <w:szCs w:val="22"/>
              </w:rPr>
            </w:pPr>
            <w:r w:rsidRPr="00C4766F">
              <w:rPr>
                <w:color w:val="000000"/>
                <w:sz w:val="22"/>
                <w:szCs w:val="22"/>
              </w:rPr>
              <w:t> </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7DB23838" w14:textId="77777777">
            <w:pPr>
              <w:jc w:val="center"/>
              <w:rPr>
                <w:color w:val="000000"/>
                <w:sz w:val="22"/>
                <w:szCs w:val="22"/>
              </w:rPr>
            </w:pPr>
            <w:r w:rsidRPr="00C4766F">
              <w:rPr>
                <w:color w:val="000000"/>
                <w:sz w:val="22"/>
                <w:szCs w:val="22"/>
              </w:rPr>
              <w:t> </w:t>
            </w:r>
          </w:p>
        </w:tc>
      </w:tr>
      <w:tr w14:paraId="1E54BE3A"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2D01E1A4" w14:textId="77777777">
            <w:pPr>
              <w:rPr>
                <w:color w:val="000000"/>
                <w:sz w:val="22"/>
                <w:szCs w:val="22"/>
              </w:rPr>
            </w:pPr>
            <w:r w:rsidRPr="00C4766F">
              <w:rPr>
                <w:color w:val="000000"/>
                <w:sz w:val="22"/>
                <w:szCs w:val="22"/>
              </w:rPr>
              <w:t>Processing / Analyzing Costs</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3C3A2972" w14:textId="77777777">
            <w:pPr>
              <w:jc w:val="center"/>
              <w:rPr>
                <w:color w:val="000000"/>
                <w:sz w:val="22"/>
                <w:szCs w:val="22"/>
              </w:rPr>
            </w:pPr>
            <w:r w:rsidRPr="00C4766F">
              <w:rPr>
                <w:color w:val="000000"/>
                <w:sz w:val="22"/>
                <w:szCs w:val="22"/>
              </w:rPr>
              <w:t xml:space="preserve"> $  53,867,400.97 </w:t>
            </w:r>
          </w:p>
        </w:tc>
      </w:tr>
      <w:tr w14:paraId="67970D41" w14:textId="77777777" w:rsidTr="0018463F">
        <w:tblPrEx>
          <w:tblW w:w="7920" w:type="dxa"/>
          <w:tblInd w:w="620" w:type="dxa"/>
          <w:tblLayout w:type="fixed"/>
          <w:tblLook w:val="04A0"/>
        </w:tblPrEx>
        <w:trPr>
          <w:trHeight w:val="300"/>
        </w:trPr>
        <w:tc>
          <w:tcPr>
            <w:tcW w:w="6072" w:type="dxa"/>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C4766F" w:rsidRPr="00C4766F" w:rsidP="00C4766F" w14:paraId="3412794F" w14:textId="77777777">
            <w:pPr>
              <w:rPr>
                <w:color w:val="000000"/>
                <w:sz w:val="22"/>
                <w:szCs w:val="22"/>
              </w:rPr>
            </w:pPr>
            <w:r w:rsidRPr="00C4766F">
              <w:rPr>
                <w:color w:val="000000"/>
                <w:sz w:val="22"/>
                <w:szCs w:val="22"/>
              </w:rPr>
              <w:t>Printing and Production Cost</w:t>
            </w:r>
          </w:p>
        </w:tc>
        <w:tc>
          <w:tcPr>
            <w:tcW w:w="1848" w:type="dxa"/>
            <w:tcBorders>
              <w:top w:val="nil"/>
              <w:left w:val="nil"/>
              <w:bottom w:val="single" w:sz="4" w:space="0" w:color="auto"/>
              <w:right w:val="single" w:sz="8" w:space="0" w:color="auto"/>
            </w:tcBorders>
            <w:shd w:val="clear" w:color="auto" w:fill="auto"/>
            <w:vAlign w:val="center"/>
            <w:hideMark/>
          </w:tcPr>
          <w:p w:rsidR="00C4766F" w:rsidRPr="00C4766F" w:rsidP="00C4766F" w14:paraId="43C4950E" w14:textId="77777777">
            <w:pPr>
              <w:jc w:val="center"/>
              <w:rPr>
                <w:color w:val="000000"/>
                <w:sz w:val="22"/>
                <w:szCs w:val="22"/>
              </w:rPr>
            </w:pPr>
            <w:r w:rsidRPr="00C4766F">
              <w:rPr>
                <w:color w:val="000000"/>
                <w:sz w:val="22"/>
                <w:szCs w:val="22"/>
              </w:rPr>
              <w:t xml:space="preserve"> $      598,526.68 </w:t>
            </w:r>
          </w:p>
        </w:tc>
      </w:tr>
      <w:tr w14:paraId="4680E52F" w14:textId="77777777" w:rsidTr="0018463F">
        <w:tblPrEx>
          <w:tblW w:w="7920" w:type="dxa"/>
          <w:tblInd w:w="620" w:type="dxa"/>
          <w:tblLayout w:type="fixed"/>
          <w:tblLook w:val="04A0"/>
        </w:tblPrEx>
        <w:trPr>
          <w:trHeight w:val="315"/>
        </w:trPr>
        <w:tc>
          <w:tcPr>
            <w:tcW w:w="6072" w:type="dxa"/>
            <w:gridSpan w:val="7"/>
            <w:tcBorders>
              <w:top w:val="single" w:sz="4" w:space="0" w:color="auto"/>
              <w:left w:val="single" w:sz="8" w:space="0" w:color="auto"/>
              <w:bottom w:val="single" w:sz="8" w:space="0" w:color="auto"/>
              <w:right w:val="single" w:sz="4" w:space="0" w:color="000000"/>
            </w:tcBorders>
            <w:shd w:val="clear" w:color="auto" w:fill="auto"/>
            <w:vAlign w:val="center"/>
            <w:hideMark/>
          </w:tcPr>
          <w:p w:rsidR="00C4766F" w:rsidRPr="00C4766F" w:rsidP="00C4766F" w14:paraId="28E46848" w14:textId="77777777">
            <w:pPr>
              <w:rPr>
                <w:color w:val="000000"/>
                <w:sz w:val="22"/>
                <w:szCs w:val="22"/>
              </w:rPr>
            </w:pPr>
            <w:r w:rsidRPr="00C4766F">
              <w:rPr>
                <w:color w:val="000000"/>
                <w:sz w:val="22"/>
                <w:szCs w:val="22"/>
              </w:rPr>
              <w:t>Total Cost to Government</w:t>
            </w:r>
          </w:p>
        </w:tc>
        <w:tc>
          <w:tcPr>
            <w:tcW w:w="1848" w:type="dxa"/>
            <w:tcBorders>
              <w:top w:val="nil"/>
              <w:left w:val="nil"/>
              <w:bottom w:val="single" w:sz="8" w:space="0" w:color="auto"/>
              <w:right w:val="single" w:sz="8" w:space="0" w:color="auto"/>
            </w:tcBorders>
            <w:shd w:val="clear" w:color="auto" w:fill="auto"/>
            <w:vAlign w:val="center"/>
            <w:hideMark/>
          </w:tcPr>
          <w:p w:rsidR="00C4766F" w:rsidRPr="00C4766F" w:rsidP="00C4766F" w14:paraId="5D815AAF" w14:textId="77777777">
            <w:pPr>
              <w:jc w:val="center"/>
              <w:rPr>
                <w:color w:val="000000"/>
                <w:sz w:val="22"/>
                <w:szCs w:val="22"/>
              </w:rPr>
            </w:pPr>
            <w:r w:rsidRPr="00C4766F">
              <w:rPr>
                <w:color w:val="000000"/>
                <w:sz w:val="22"/>
                <w:szCs w:val="22"/>
              </w:rPr>
              <w:t xml:space="preserve"> $  54,465,927.64 </w:t>
            </w:r>
          </w:p>
        </w:tc>
      </w:tr>
    </w:tbl>
    <w:p w:rsidR="00F54C17" w:rsidP="00F54C17" w14:paraId="0DAA24D6" w14:textId="77777777">
      <w:pPr>
        <w:pStyle w:val="ListParagraph"/>
        <w:tabs>
          <w:tab w:val="right" w:pos="8370"/>
        </w:tabs>
        <w:ind w:left="360" w:right="576"/>
        <w:jc w:val="both"/>
        <w:rPr>
          <w:sz w:val="24"/>
          <w:szCs w:val="24"/>
        </w:rPr>
      </w:pPr>
      <w:r>
        <w:rPr>
          <w:sz w:val="24"/>
          <w:szCs w:val="24"/>
        </w:rPr>
        <w:tab/>
      </w:r>
    </w:p>
    <w:p w:rsidR="003D0AC3" w:rsidP="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14:paraId="3820ECDA" w14:textId="77777777">
      <w:pPr>
        <w:pStyle w:val="ListParagraph"/>
        <w:ind w:left="360" w:right="576"/>
        <w:rPr>
          <w:sz w:val="24"/>
          <w:szCs w:val="24"/>
        </w:rPr>
      </w:pPr>
    </w:p>
    <w:p w:rsidR="003D0AC3" w:rsidRPr="00C4766F" w:rsidP="003D0AC3" w14:paraId="622B4860" w14:textId="77777777">
      <w:pPr>
        <w:pStyle w:val="ListParagraph"/>
        <w:ind w:left="360" w:right="576"/>
        <w:rPr>
          <w:sz w:val="24"/>
          <w:szCs w:val="24"/>
        </w:rPr>
      </w:pPr>
      <w:r>
        <w:rPr>
          <w:sz w:val="24"/>
          <w:szCs w:val="24"/>
        </w:rPr>
        <w:t xml:space="preserve">Printing and production costs approximates the cost of printing this information </w:t>
      </w:r>
      <w:r w:rsidRPr="00C4766F">
        <w:rPr>
          <w:sz w:val="24"/>
          <w:szCs w:val="24"/>
        </w:rPr>
        <w:t>collection per year.  (Processing/Analyzing Cost total divided by $90).</w:t>
      </w:r>
    </w:p>
    <w:p w:rsidR="003D0AC3" w:rsidRPr="00C4766F" w:rsidP="003D0AC3" w14:paraId="31847B45" w14:textId="77777777">
      <w:pPr>
        <w:pStyle w:val="ListParagraph"/>
        <w:ind w:left="0" w:right="576"/>
        <w:jc w:val="both"/>
        <w:rPr>
          <w:sz w:val="24"/>
          <w:szCs w:val="24"/>
        </w:rPr>
      </w:pPr>
    </w:p>
    <w:p w:rsidR="003D0AC3" w:rsidP="003D0AC3" w14:paraId="4279CB3A" w14:textId="2EC2B483">
      <w:pPr>
        <w:ind w:left="360"/>
        <w:rPr>
          <w:sz w:val="24"/>
          <w:szCs w:val="24"/>
        </w:rPr>
      </w:pPr>
      <w:bookmarkStart w:id="6" w:name="_Hlk29579534"/>
      <w:r w:rsidRPr="00C4766F">
        <w:rPr>
          <w:sz w:val="24"/>
          <w:szCs w:val="24"/>
        </w:rPr>
        <w:t>Note: The hourly wage information above is based on the hourly 202</w:t>
      </w:r>
      <w:r w:rsidRPr="00C4766F" w:rsidR="00BA45CB">
        <w:rPr>
          <w:sz w:val="24"/>
          <w:szCs w:val="24"/>
        </w:rPr>
        <w:t>2</w:t>
      </w:r>
      <w:r w:rsidRPr="00C4766F">
        <w:rPr>
          <w:sz w:val="24"/>
          <w:szCs w:val="24"/>
        </w:rPr>
        <w:t xml:space="preserve"> General Schedule (Base) Pay (</w:t>
      </w:r>
      <w:hyperlink r:id="rId9" w:history="1">
        <w:r w:rsidRPr="00C4766F" w:rsidR="00BA45CB">
          <w:rPr>
            <w:rStyle w:val="Hyperlink"/>
            <w:sz w:val="24"/>
            <w:szCs w:val="24"/>
          </w:rPr>
          <w:t>SALARY TABLE 2022-GS (opm.gov)</w:t>
        </w:r>
      </w:hyperlink>
      <w:r w:rsidRPr="00C4766F">
        <w:rPr>
          <w:sz w:val="24"/>
          <w:szCs w:val="24"/>
        </w:rPr>
        <w:t>). This rate does not include any locality adjustment as applicable.</w:t>
      </w:r>
    </w:p>
    <w:bookmarkEnd w:id="6"/>
    <w:p w:rsidR="003D0AC3" w:rsidP="003D0AC3" w14:paraId="55763CA5" w14:textId="77777777">
      <w:pPr>
        <w:ind w:left="360"/>
        <w:rPr>
          <w:sz w:val="24"/>
          <w:szCs w:val="24"/>
        </w:rPr>
      </w:pPr>
    </w:p>
    <w:p w:rsidR="003D0AC3" w:rsidP="003D0AC3" w14:paraId="34017835" w14:textId="77777777">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5"/>
    <w:p w:rsidR="00541318" w:rsidRPr="00495C22" w:rsidP="00541318" w14:paraId="7C3F7693" w14:textId="77777777">
      <w:pPr>
        <w:tabs>
          <w:tab w:val="left" w:pos="480"/>
          <w:tab w:val="right" w:pos="8640"/>
        </w:tabs>
        <w:ind w:right="684"/>
        <w:rPr>
          <w:sz w:val="24"/>
          <w:szCs w:val="24"/>
        </w:rPr>
      </w:pPr>
    </w:p>
    <w:p w:rsidR="00495C22" w:rsidRPr="008C254F" w:rsidP="008C254F"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14:paraId="79403E0C" w14:textId="77777777">
      <w:pPr>
        <w:pStyle w:val="OmniPage9"/>
        <w:tabs>
          <w:tab w:val="clear" w:pos="100"/>
          <w:tab w:val="left" w:pos="540"/>
          <w:tab w:val="left" w:pos="1080"/>
          <w:tab w:val="clear" w:pos="9162"/>
        </w:tabs>
        <w:rPr>
          <w:rFonts w:ascii="Times New Roman" w:hAnsi="Times New Roman"/>
          <w:sz w:val="24"/>
          <w:szCs w:val="24"/>
        </w:rPr>
      </w:pPr>
    </w:p>
    <w:p w:rsidR="0018463F" w:rsidP="0018463F" w14:paraId="5D40AFBC" w14:textId="77777777">
      <w:pPr>
        <w:ind w:left="360" w:right="540"/>
        <w:rPr>
          <w:sz w:val="24"/>
          <w:szCs w:val="24"/>
        </w:rPr>
      </w:pPr>
      <w:r w:rsidRPr="00BB3591">
        <w:rPr>
          <w:sz w:val="24"/>
          <w:szCs w:val="24"/>
        </w:rPr>
        <w:t xml:space="preserve">The respondent burden for VA Form 21-526EZ has increased due </w:t>
      </w:r>
      <w:r>
        <w:rPr>
          <w:sz w:val="24"/>
          <w:szCs w:val="24"/>
        </w:rPr>
        <w:t xml:space="preserve">to: the </w:t>
      </w:r>
      <w:r w:rsidRPr="00BB3591">
        <w:rPr>
          <w:sz w:val="24"/>
          <w:szCs w:val="24"/>
        </w:rPr>
        <w:t>number of receivables averaged over the past year</w:t>
      </w:r>
      <w:r>
        <w:rPr>
          <w:sz w:val="24"/>
          <w:szCs w:val="24"/>
        </w:rPr>
        <w:t xml:space="preserve">, </w:t>
      </w:r>
      <w:r w:rsidRPr="00BB3591">
        <w:rPr>
          <w:sz w:val="24"/>
          <w:szCs w:val="24"/>
        </w:rPr>
        <w:t>general program changes</w:t>
      </w:r>
      <w:r>
        <w:rPr>
          <w:sz w:val="24"/>
          <w:szCs w:val="24"/>
        </w:rPr>
        <w:t xml:space="preserve"> -</w:t>
      </w:r>
      <w:r w:rsidRPr="00BB3591">
        <w:rPr>
          <w:sz w:val="24"/>
          <w:szCs w:val="24"/>
        </w:rPr>
        <w:t xml:space="preserve"> such as regulatory changes, and the continuing improvement of VA’s electronic claims processing</w:t>
      </w:r>
      <w:r>
        <w:rPr>
          <w:sz w:val="24"/>
          <w:szCs w:val="24"/>
        </w:rPr>
        <w:t xml:space="preserve"> systems</w:t>
      </w:r>
      <w:r w:rsidRPr="00BB3591">
        <w:rPr>
          <w:sz w:val="24"/>
          <w:szCs w:val="24"/>
        </w:rPr>
        <w:t>.</w:t>
      </w:r>
      <w:r>
        <w:rPr>
          <w:sz w:val="24"/>
          <w:szCs w:val="24"/>
        </w:rPr>
        <w:t xml:space="preserve">  </w:t>
      </w:r>
    </w:p>
    <w:p w:rsidR="0018463F" w:rsidRPr="008C254F" w:rsidP="00F54C17" w14:paraId="605DE9BA" w14:textId="77777777">
      <w:pPr>
        <w:pStyle w:val="OmniPage9"/>
        <w:tabs>
          <w:tab w:val="clear" w:pos="100"/>
          <w:tab w:val="left" w:pos="540"/>
          <w:tab w:val="left" w:pos="1080"/>
          <w:tab w:val="clear" w:pos="9162"/>
        </w:tabs>
        <w:ind w:left="360"/>
        <w:rPr>
          <w:b/>
          <w:sz w:val="24"/>
          <w:szCs w:val="24"/>
        </w:rPr>
      </w:pPr>
    </w:p>
    <w:p w:rsidR="008C254F" w:rsidP="008C254F" w14:paraId="2912EA89" w14:textId="77777777">
      <w:pPr>
        <w:pStyle w:val="BodyText3"/>
        <w:numPr>
          <w:ilvl w:val="0"/>
          <w:numId w:val="5"/>
        </w:numPr>
        <w:tabs>
          <w:tab w:val="left" w:pos="547"/>
          <w:tab w:val="left" w:pos="1627"/>
        </w:tabs>
        <w:rPr>
          <w:b/>
          <w:sz w:val="24"/>
          <w:szCs w:val="24"/>
        </w:rPr>
      </w:pPr>
      <w:r w:rsidRPr="008C254F">
        <w:rPr>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C254F">
        <w:rPr>
          <w:b/>
          <w:sz w:val="24"/>
          <w:szCs w:val="24"/>
        </w:rPr>
        <w:t>dates of the collection of information, completion of report, publication dates, and other actions.</w:t>
      </w:r>
    </w:p>
    <w:p w:rsidR="00E36537" w:rsidRPr="008C254F" w:rsidP="008C254F"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00E36537" w:rsidRPr="00495C22" w14:paraId="3249E2C4" w14:textId="77777777">
      <w:pPr>
        <w:tabs>
          <w:tab w:val="left" w:pos="480"/>
          <w:tab w:val="right" w:pos="8640"/>
        </w:tabs>
        <w:ind w:right="684"/>
        <w:rPr>
          <w:sz w:val="24"/>
          <w:szCs w:val="24"/>
        </w:rPr>
      </w:pPr>
    </w:p>
    <w:p w:rsidR="008C254F" w:rsidP="008C254F"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P="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008C254F" w:rsidRPr="008C254F" w14:paraId="4DBFDD39" w14:textId="77777777">
      <w:pPr>
        <w:tabs>
          <w:tab w:val="left" w:pos="480"/>
          <w:tab w:val="right" w:pos="8640"/>
        </w:tabs>
        <w:ind w:right="684"/>
        <w:rPr>
          <w:b/>
          <w:sz w:val="24"/>
          <w:szCs w:val="24"/>
        </w:rPr>
      </w:pPr>
    </w:p>
    <w:p w:rsidR="008C254F" w:rsidP="008C254F"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P="00F54C17" w14:paraId="34363DE7" w14:textId="4C58A8E9">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008C254F" w:rsidRPr="008C254F" w:rsidP="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P="008C254F" w14:paraId="11AE7B4D" w14:textId="77777777">
      <w:pPr>
        <w:rPr>
          <w:sz w:val="24"/>
          <w:szCs w:val="24"/>
        </w:rPr>
      </w:pPr>
    </w:p>
    <w:p w:rsidR="00E36537" w:rsidRPr="00495C22" w:rsidP="00495C22"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B22" w:rsidRPr="00F81B22" w:rsidP="00F81B22" w14:paraId="0D655E30" w14:textId="429396BC">
    <w:pPr>
      <w:jc w:val="center"/>
      <w:rPr>
        <w:b/>
        <w:sz w:val="24"/>
        <w:szCs w:val="24"/>
      </w:rPr>
    </w:pPr>
    <w:r w:rsidRPr="00F81B22">
      <w:rPr>
        <w:sz w:val="24"/>
        <w:szCs w:val="24"/>
      </w:rPr>
      <w:t>Supporting Statement for VA Form 21-</w:t>
    </w:r>
    <w:r w:rsidR="00317D73">
      <w:rPr>
        <w:sz w:val="24"/>
        <w:szCs w:val="24"/>
      </w:rPr>
      <w:t>526EZ</w:t>
    </w:r>
    <w:r w:rsidRPr="00F81B22">
      <w:rPr>
        <w:sz w:val="24"/>
        <w:szCs w:val="24"/>
      </w:rPr>
      <w:t>,</w:t>
    </w:r>
  </w:p>
  <w:p w:rsidR="00606AD2" w:rsidRPr="00F128C4" w:rsidP="00F81B22" w14:paraId="1A687DB3" w14:textId="137DFDE5">
    <w:pPr>
      <w:jc w:val="center"/>
      <w:rPr>
        <w:bCs/>
        <w:i/>
        <w:iCs/>
        <w:sz w:val="24"/>
        <w:szCs w:val="24"/>
      </w:rPr>
    </w:pPr>
    <w:r w:rsidRPr="00F128C4">
      <w:rPr>
        <w:bCs/>
        <w:i/>
        <w:iCs/>
        <w:sz w:val="24"/>
        <w:szCs w:val="24"/>
      </w:rPr>
      <w:t>Application for Disability Compensation and Related Compensation Benefits</w:t>
    </w:r>
  </w:p>
  <w:p w:rsidR="00726753" w:rsidRPr="00F81B22" w:rsidP="00F81B22" w14:paraId="75B0C283" w14:textId="69559044">
    <w:pPr>
      <w:jc w:val="center"/>
      <w:rPr>
        <w:sz w:val="24"/>
        <w:szCs w:val="24"/>
      </w:rPr>
    </w:pPr>
    <w:r>
      <w:rPr>
        <w:sz w:val="24"/>
        <w:szCs w:val="24"/>
      </w:rPr>
      <w:t>OMB #</w:t>
    </w:r>
    <w:r w:rsidRPr="00F81B22">
      <w:rPr>
        <w:sz w:val="24"/>
        <w:szCs w:val="24"/>
      </w:rPr>
      <w:t>2900-</w:t>
    </w:r>
    <w:r w:rsidR="00317D73">
      <w:rPr>
        <w:sz w:val="24"/>
        <w:szCs w:val="24"/>
      </w:rPr>
      <w:t>0747</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6B3F1BB2"/>
    <w:multiLevelType w:val="hybridMultilevel"/>
    <w:tmpl w:val="78E8BBF0"/>
    <w:lvl w:ilvl="0">
      <w:start w:val="1"/>
      <w:numFmt w:val="bullet"/>
      <w:lvlText w:val=""/>
      <w:lvlJc w:val="left"/>
      <w:pPr>
        <w:ind w:left="1196" w:hanging="360"/>
      </w:pPr>
      <w:rPr>
        <w:rFonts w:ascii="Symbol" w:hAnsi="Symbol" w:hint="default"/>
      </w:rPr>
    </w:lvl>
    <w:lvl w:ilvl="1" w:tentative="1">
      <w:start w:val="1"/>
      <w:numFmt w:val="bullet"/>
      <w:lvlText w:val="o"/>
      <w:lvlJc w:val="left"/>
      <w:pPr>
        <w:ind w:left="1916" w:hanging="360"/>
      </w:pPr>
      <w:rPr>
        <w:rFonts w:ascii="Courier New" w:hAnsi="Courier New" w:cs="Courier New" w:hint="default"/>
      </w:rPr>
    </w:lvl>
    <w:lvl w:ilvl="2" w:tentative="1">
      <w:start w:val="1"/>
      <w:numFmt w:val="bullet"/>
      <w:lvlText w:val=""/>
      <w:lvlJc w:val="left"/>
      <w:pPr>
        <w:ind w:left="2636" w:hanging="360"/>
      </w:pPr>
      <w:rPr>
        <w:rFonts w:ascii="Wingdings" w:hAnsi="Wingdings" w:hint="default"/>
      </w:rPr>
    </w:lvl>
    <w:lvl w:ilvl="3" w:tentative="1">
      <w:start w:val="1"/>
      <w:numFmt w:val="bullet"/>
      <w:lvlText w:val=""/>
      <w:lvlJc w:val="left"/>
      <w:pPr>
        <w:ind w:left="3356" w:hanging="360"/>
      </w:pPr>
      <w:rPr>
        <w:rFonts w:ascii="Symbol" w:hAnsi="Symbol" w:hint="default"/>
      </w:rPr>
    </w:lvl>
    <w:lvl w:ilvl="4" w:tentative="1">
      <w:start w:val="1"/>
      <w:numFmt w:val="bullet"/>
      <w:lvlText w:val="o"/>
      <w:lvlJc w:val="left"/>
      <w:pPr>
        <w:ind w:left="4076" w:hanging="360"/>
      </w:pPr>
      <w:rPr>
        <w:rFonts w:ascii="Courier New" w:hAnsi="Courier New" w:cs="Courier New" w:hint="default"/>
      </w:rPr>
    </w:lvl>
    <w:lvl w:ilvl="5" w:tentative="1">
      <w:start w:val="1"/>
      <w:numFmt w:val="bullet"/>
      <w:lvlText w:val=""/>
      <w:lvlJc w:val="left"/>
      <w:pPr>
        <w:ind w:left="4796" w:hanging="360"/>
      </w:pPr>
      <w:rPr>
        <w:rFonts w:ascii="Wingdings" w:hAnsi="Wingdings" w:hint="default"/>
      </w:rPr>
    </w:lvl>
    <w:lvl w:ilvl="6" w:tentative="1">
      <w:start w:val="1"/>
      <w:numFmt w:val="bullet"/>
      <w:lvlText w:val=""/>
      <w:lvlJc w:val="left"/>
      <w:pPr>
        <w:ind w:left="5516" w:hanging="360"/>
      </w:pPr>
      <w:rPr>
        <w:rFonts w:ascii="Symbol" w:hAnsi="Symbol" w:hint="default"/>
      </w:rPr>
    </w:lvl>
    <w:lvl w:ilvl="7" w:tentative="1">
      <w:start w:val="1"/>
      <w:numFmt w:val="bullet"/>
      <w:lvlText w:val="o"/>
      <w:lvlJc w:val="left"/>
      <w:pPr>
        <w:ind w:left="6236" w:hanging="360"/>
      </w:pPr>
      <w:rPr>
        <w:rFonts w:ascii="Courier New" w:hAnsi="Courier New" w:cs="Courier New" w:hint="default"/>
      </w:rPr>
    </w:lvl>
    <w:lvl w:ilvl="8" w:tentative="1">
      <w:start w:val="1"/>
      <w:numFmt w:val="bullet"/>
      <w:lvlText w:val=""/>
      <w:lvlJc w:val="left"/>
      <w:pPr>
        <w:ind w:left="6956" w:hanging="360"/>
      </w:pPr>
      <w:rPr>
        <w:rFonts w:ascii="Wingdings" w:hAnsi="Wingdings" w:hint="default"/>
      </w:rPr>
    </w:lvl>
  </w:abstractNum>
  <w:abstractNum w:abstractNumId="10">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92583"/>
    <w:rsid w:val="000A3F32"/>
    <w:rsid w:val="00142589"/>
    <w:rsid w:val="001437B8"/>
    <w:rsid w:val="00143AA5"/>
    <w:rsid w:val="00145314"/>
    <w:rsid w:val="0016376A"/>
    <w:rsid w:val="00171C87"/>
    <w:rsid w:val="00174B1F"/>
    <w:rsid w:val="0018463F"/>
    <w:rsid w:val="001968BC"/>
    <w:rsid w:val="001D52F4"/>
    <w:rsid w:val="001D6D11"/>
    <w:rsid w:val="001E2E15"/>
    <w:rsid w:val="002007B4"/>
    <w:rsid w:val="00216351"/>
    <w:rsid w:val="00233E47"/>
    <w:rsid w:val="00252B49"/>
    <w:rsid w:val="00272B57"/>
    <w:rsid w:val="00285A7C"/>
    <w:rsid w:val="00295605"/>
    <w:rsid w:val="00303259"/>
    <w:rsid w:val="00310573"/>
    <w:rsid w:val="00312610"/>
    <w:rsid w:val="00317D73"/>
    <w:rsid w:val="003210D0"/>
    <w:rsid w:val="00334E84"/>
    <w:rsid w:val="00347A7B"/>
    <w:rsid w:val="003A209D"/>
    <w:rsid w:val="003B6D49"/>
    <w:rsid w:val="003B797D"/>
    <w:rsid w:val="003D0AC3"/>
    <w:rsid w:val="003F663E"/>
    <w:rsid w:val="0043068B"/>
    <w:rsid w:val="00430D02"/>
    <w:rsid w:val="004410BA"/>
    <w:rsid w:val="00447F72"/>
    <w:rsid w:val="00486812"/>
    <w:rsid w:val="00495C22"/>
    <w:rsid w:val="004B104B"/>
    <w:rsid w:val="004D09F8"/>
    <w:rsid w:val="004D3BF6"/>
    <w:rsid w:val="004E0438"/>
    <w:rsid w:val="004F7CA0"/>
    <w:rsid w:val="0051524F"/>
    <w:rsid w:val="00517283"/>
    <w:rsid w:val="0053151A"/>
    <w:rsid w:val="0053466D"/>
    <w:rsid w:val="00541318"/>
    <w:rsid w:val="00547E0C"/>
    <w:rsid w:val="00563695"/>
    <w:rsid w:val="0057258A"/>
    <w:rsid w:val="00581C1C"/>
    <w:rsid w:val="005E4CE3"/>
    <w:rsid w:val="005E651E"/>
    <w:rsid w:val="00606AD2"/>
    <w:rsid w:val="00617D2B"/>
    <w:rsid w:val="00634344"/>
    <w:rsid w:val="00651FB2"/>
    <w:rsid w:val="0066426E"/>
    <w:rsid w:val="006729B9"/>
    <w:rsid w:val="00672C40"/>
    <w:rsid w:val="006A4E5C"/>
    <w:rsid w:val="006A4F03"/>
    <w:rsid w:val="006C4C6F"/>
    <w:rsid w:val="00710DDD"/>
    <w:rsid w:val="007201B3"/>
    <w:rsid w:val="00723416"/>
    <w:rsid w:val="00726753"/>
    <w:rsid w:val="00747FF1"/>
    <w:rsid w:val="00751817"/>
    <w:rsid w:val="00763A4D"/>
    <w:rsid w:val="00772F07"/>
    <w:rsid w:val="00773666"/>
    <w:rsid w:val="00782C13"/>
    <w:rsid w:val="00794474"/>
    <w:rsid w:val="007B09B6"/>
    <w:rsid w:val="007D0781"/>
    <w:rsid w:val="007D14AB"/>
    <w:rsid w:val="007D2741"/>
    <w:rsid w:val="007E4590"/>
    <w:rsid w:val="007F3759"/>
    <w:rsid w:val="007F4953"/>
    <w:rsid w:val="0081029E"/>
    <w:rsid w:val="00823C3C"/>
    <w:rsid w:val="0084157F"/>
    <w:rsid w:val="0089361A"/>
    <w:rsid w:val="008A445C"/>
    <w:rsid w:val="008A68B3"/>
    <w:rsid w:val="008B76E8"/>
    <w:rsid w:val="008C254F"/>
    <w:rsid w:val="009135FA"/>
    <w:rsid w:val="0094691E"/>
    <w:rsid w:val="0095533E"/>
    <w:rsid w:val="00981B90"/>
    <w:rsid w:val="00993FA5"/>
    <w:rsid w:val="009A5278"/>
    <w:rsid w:val="009B5624"/>
    <w:rsid w:val="009D1D80"/>
    <w:rsid w:val="009E2696"/>
    <w:rsid w:val="009E3506"/>
    <w:rsid w:val="00A073C3"/>
    <w:rsid w:val="00A21543"/>
    <w:rsid w:val="00A22565"/>
    <w:rsid w:val="00A25D47"/>
    <w:rsid w:val="00A411DD"/>
    <w:rsid w:val="00A457DD"/>
    <w:rsid w:val="00A93791"/>
    <w:rsid w:val="00B03501"/>
    <w:rsid w:val="00B32D2A"/>
    <w:rsid w:val="00B37719"/>
    <w:rsid w:val="00B40113"/>
    <w:rsid w:val="00B449BB"/>
    <w:rsid w:val="00B6651E"/>
    <w:rsid w:val="00B713C7"/>
    <w:rsid w:val="00B82974"/>
    <w:rsid w:val="00BA0556"/>
    <w:rsid w:val="00BA45CB"/>
    <w:rsid w:val="00BB3591"/>
    <w:rsid w:val="00BD7201"/>
    <w:rsid w:val="00C11F92"/>
    <w:rsid w:val="00C17C77"/>
    <w:rsid w:val="00C34486"/>
    <w:rsid w:val="00C4766F"/>
    <w:rsid w:val="00C47978"/>
    <w:rsid w:val="00C6263F"/>
    <w:rsid w:val="00C75126"/>
    <w:rsid w:val="00CA418A"/>
    <w:rsid w:val="00CA7E43"/>
    <w:rsid w:val="00D20A37"/>
    <w:rsid w:val="00D656BB"/>
    <w:rsid w:val="00D7449F"/>
    <w:rsid w:val="00D85216"/>
    <w:rsid w:val="00D944D7"/>
    <w:rsid w:val="00D94A38"/>
    <w:rsid w:val="00D975C9"/>
    <w:rsid w:val="00DC0CDA"/>
    <w:rsid w:val="00DD0140"/>
    <w:rsid w:val="00DD5D06"/>
    <w:rsid w:val="00DE13A6"/>
    <w:rsid w:val="00DE674E"/>
    <w:rsid w:val="00DF6B2C"/>
    <w:rsid w:val="00E3211D"/>
    <w:rsid w:val="00E36537"/>
    <w:rsid w:val="00E87FDC"/>
    <w:rsid w:val="00E915F3"/>
    <w:rsid w:val="00E948A8"/>
    <w:rsid w:val="00EC2DC9"/>
    <w:rsid w:val="00EC2E2D"/>
    <w:rsid w:val="00EE4B75"/>
    <w:rsid w:val="00F01D5F"/>
    <w:rsid w:val="00F128C4"/>
    <w:rsid w:val="00F174D2"/>
    <w:rsid w:val="00F458E2"/>
    <w:rsid w:val="00F46EDC"/>
    <w:rsid w:val="00F47131"/>
    <w:rsid w:val="00F515C3"/>
    <w:rsid w:val="00F531B6"/>
    <w:rsid w:val="00F54C17"/>
    <w:rsid w:val="00F81B22"/>
    <w:rsid w:val="00F9546D"/>
    <w:rsid w:val="00FB23B0"/>
    <w:rsid w:val="00FB5C85"/>
    <w:rsid w:val="00FC0B96"/>
    <w:rsid w:val="00FD4DFF"/>
    <w:rsid w:val="00FD7F94"/>
    <w:rsid w:val="00FE3FEA"/>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nhideWhenUsed/>
    <w:rsid w:val="00606AD2"/>
    <w:pPr>
      <w:tabs>
        <w:tab w:val="center" w:pos="4680"/>
        <w:tab w:val="right" w:pos="9360"/>
      </w:tabs>
    </w:pPr>
  </w:style>
  <w:style w:type="character" w:customStyle="1" w:styleId="FooterChar">
    <w:name w:val="Footer Char"/>
    <w:basedOn w:val="DefaultParagraphFont"/>
    <w:link w:val="Footer"/>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2022-06-29T14:22:00Z</dcterms:created>
  <dcterms:modified xsi:type="dcterms:W3CDTF">2022-09-28T18:54:00Z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