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478C" w:rsidR="00C30F90" w:rsidP="00162EFF" w:rsidRDefault="00C30F90" w14:paraId="3532F40C" w14:textId="10759637">
      <w:pPr>
        <w:pStyle w:val="Heading2"/>
        <w:numPr>
          <w:ilvl w:val="0"/>
          <w:numId w:val="0"/>
        </w:numPr>
        <w:spacing w:after="0" w:line="240" w:lineRule="auto"/>
        <w:jc w:val="both"/>
        <w:rPr>
          <w:b/>
          <w:bCs/>
        </w:rPr>
      </w:pPr>
      <w:r w:rsidRPr="00137F86">
        <w:rPr>
          <w:b/>
          <w:bCs/>
          <w:i w:val="0"/>
          <w:iCs w:val="0"/>
        </w:rPr>
        <w:t>High-Cost Universal Service Support</w:t>
      </w:r>
      <w:r>
        <w:rPr>
          <w:b/>
          <w:bCs/>
          <w:i w:val="0"/>
          <w:iCs w:val="0"/>
        </w:rPr>
        <w:tab/>
      </w:r>
      <w:r>
        <w:rPr>
          <w:b/>
          <w:bCs/>
          <w:i w:val="0"/>
          <w:iCs w:val="0"/>
        </w:rPr>
        <w:tab/>
      </w:r>
      <w:r>
        <w:rPr>
          <w:b/>
          <w:bCs/>
          <w:i w:val="0"/>
          <w:iCs w:val="0"/>
        </w:rPr>
        <w:tab/>
      </w:r>
      <w:r>
        <w:rPr>
          <w:b/>
          <w:bCs/>
          <w:i w:val="0"/>
          <w:iCs w:val="0"/>
        </w:rPr>
        <w:tab/>
      </w:r>
      <w:r>
        <w:rPr>
          <w:b/>
          <w:bCs/>
          <w:i w:val="0"/>
          <w:iCs w:val="0"/>
        </w:rPr>
        <w:tab/>
      </w:r>
      <w:r>
        <w:rPr>
          <w:b/>
          <w:bCs/>
          <w:i w:val="0"/>
          <w:iCs w:val="0"/>
        </w:rPr>
        <w:tab/>
        <w:t>3060-0986</w:t>
      </w:r>
      <w:r w:rsidRPr="00137F86">
        <w:rPr>
          <w:b/>
          <w:bCs/>
          <w:i w:val="0"/>
          <w:iCs w:val="0"/>
        </w:rPr>
        <w:tab/>
      </w:r>
      <w:r w:rsidRPr="00137F86">
        <w:rPr>
          <w:b/>
          <w:bCs/>
          <w:i w:val="0"/>
          <w:iCs w:val="0"/>
        </w:rPr>
        <w:tab/>
      </w:r>
      <w:r w:rsidRPr="00137F86">
        <w:rPr>
          <w:b/>
          <w:bCs/>
          <w:i w:val="0"/>
          <w:iCs w:val="0"/>
        </w:rPr>
        <w:tab/>
      </w:r>
      <w:r w:rsidRPr="00137F86">
        <w:rPr>
          <w:b/>
          <w:bCs/>
          <w:i w:val="0"/>
          <w:iCs w:val="0"/>
        </w:rPr>
        <w:tab/>
      </w:r>
      <w:r w:rsidRPr="00137F86">
        <w:rPr>
          <w:b/>
          <w:bCs/>
          <w:i w:val="0"/>
          <w:iCs w:val="0"/>
        </w:rPr>
        <w:tab/>
        <w:t xml:space="preserve">                                                  </w:t>
      </w:r>
      <w:r>
        <w:rPr>
          <w:b/>
          <w:bCs/>
          <w:i w:val="0"/>
          <w:iCs w:val="0"/>
        </w:rPr>
        <w:tab/>
      </w:r>
      <w:r>
        <w:rPr>
          <w:b/>
          <w:bCs/>
          <w:i w:val="0"/>
          <w:iCs w:val="0"/>
        </w:rPr>
        <w:tab/>
      </w:r>
      <w:r>
        <w:rPr>
          <w:b/>
          <w:bCs/>
          <w:i w:val="0"/>
          <w:iCs w:val="0"/>
        </w:rPr>
        <w:tab/>
      </w:r>
      <w:r w:rsidR="00AE33CF">
        <w:rPr>
          <w:b/>
          <w:bCs/>
          <w:i w:val="0"/>
          <w:iCs w:val="0"/>
        </w:rPr>
        <w:t xml:space="preserve">June </w:t>
      </w:r>
      <w:r w:rsidRPr="00137F86">
        <w:rPr>
          <w:b/>
          <w:bCs/>
          <w:i w:val="0"/>
          <w:iCs w:val="0"/>
        </w:rPr>
        <w:t>202</w:t>
      </w:r>
      <w:r w:rsidR="00BD29D1">
        <w:rPr>
          <w:b/>
          <w:bCs/>
          <w:i w:val="0"/>
          <w:iCs w:val="0"/>
        </w:rPr>
        <w:t>2</w:t>
      </w:r>
    </w:p>
    <w:p w:rsidRPr="00FC68E9" w:rsidR="003D2A5F" w:rsidP="00162EFF" w:rsidRDefault="003D2A5F" w14:paraId="0C7FA4FE" w14:textId="12973206">
      <w:pPr>
        <w:spacing w:after="0" w:line="240" w:lineRule="auto"/>
      </w:pPr>
    </w:p>
    <w:p w:rsidR="00FC68E9" w:rsidP="00162EFF" w:rsidRDefault="00FC68E9" w14:paraId="4D66D6C3" w14:textId="116D941F">
      <w:pPr>
        <w:pStyle w:val="Title"/>
        <w:spacing w:after="0" w:line="240" w:lineRule="auto"/>
      </w:pPr>
      <w:r w:rsidRPr="00FC68E9">
        <w:t>Supporting Statement</w:t>
      </w:r>
    </w:p>
    <w:p w:rsidRPr="00ED5773" w:rsidR="007522BA" w:rsidP="00162EFF" w:rsidRDefault="007522BA" w14:paraId="33D82F2C" w14:textId="77777777">
      <w:pPr>
        <w:spacing w:after="0" w:line="240" w:lineRule="auto"/>
      </w:pPr>
    </w:p>
    <w:p w:rsidR="00FC68E9" w:rsidP="00162EFF" w:rsidRDefault="00FC68E9" w14:paraId="28BA9D66" w14:textId="17695EE2">
      <w:pPr>
        <w:pStyle w:val="Subtitle"/>
        <w:spacing w:after="0" w:line="240" w:lineRule="auto"/>
        <w:ind w:left="0"/>
      </w:pPr>
      <w:r>
        <w:t xml:space="preserve">This collection is being submitted to the Office of Management and Budget (OMB) to seek approval for revised information collection requirements as a result of recent </w:t>
      </w:r>
      <w:r w:rsidR="00F65A99">
        <w:t xml:space="preserve">Federal Communications </w:t>
      </w:r>
      <w:r>
        <w:t xml:space="preserve">Commission </w:t>
      </w:r>
      <w:r w:rsidR="00F65A99">
        <w:t>(</w:t>
      </w:r>
      <w:r w:rsidR="00D1489D">
        <w:t xml:space="preserve">FCC or </w:t>
      </w:r>
      <w:r w:rsidR="00F65A99">
        <w:t xml:space="preserve">Commission) </w:t>
      </w:r>
      <w:r>
        <w:t>orders as explained below.  This collection</w:t>
      </w:r>
      <w:r w:rsidR="00FC2262">
        <w:t xml:space="preserve"> also</w:t>
      </w:r>
      <w:r>
        <w:t xml:space="preserve"> </w:t>
      </w:r>
      <w:r w:rsidR="006A36C9">
        <w:t xml:space="preserve">revises </w:t>
      </w:r>
      <w:r>
        <w:t>FCC Form 481 and its instruction</w:t>
      </w:r>
      <w:r w:rsidR="00C30F90">
        <w:t>s</w:t>
      </w:r>
      <w:r>
        <w:t xml:space="preserve">, as well as the projected burdens associated with other forms necessary for carriers to receive high-cost universal service support under the various Connect America Fund (CAF) </w:t>
      </w:r>
      <w:r w:rsidR="00BD29D1">
        <w:t xml:space="preserve">and Rural Digital Opportunity Fund (RDOF) </w:t>
      </w:r>
      <w:r>
        <w:t xml:space="preserve">mechanisms. </w:t>
      </w:r>
    </w:p>
    <w:p w:rsidRPr="00ED5773" w:rsidR="007522BA" w:rsidP="00162EFF" w:rsidRDefault="007522BA" w14:paraId="3E6D9135" w14:textId="77777777">
      <w:pPr>
        <w:spacing w:after="0" w:line="240" w:lineRule="auto"/>
      </w:pPr>
    </w:p>
    <w:p w:rsidR="00FC68E9" w:rsidP="00162EFF" w:rsidRDefault="00FC68E9" w14:paraId="0195D5A7" w14:textId="439F643A">
      <w:pPr>
        <w:pStyle w:val="Heading1"/>
        <w:spacing w:after="0" w:line="240" w:lineRule="auto"/>
      </w:pPr>
      <w:r w:rsidRPr="001C5CB4">
        <w:t>Justification:</w:t>
      </w:r>
    </w:p>
    <w:p w:rsidRPr="00ED5773" w:rsidR="007522BA" w:rsidP="00162EFF" w:rsidRDefault="007522BA" w14:paraId="1D83B186" w14:textId="77777777">
      <w:pPr>
        <w:spacing w:after="0" w:line="240" w:lineRule="auto"/>
      </w:pPr>
    </w:p>
    <w:p w:rsidR="00FC68E9" w:rsidP="00162EFF" w:rsidRDefault="00FC68E9" w14:paraId="6CF3893C" w14:textId="54D4DFE2">
      <w:pPr>
        <w:pStyle w:val="Heading2"/>
        <w:spacing w:after="0" w:line="240" w:lineRule="auto"/>
      </w:pPr>
      <w:r w:rsidRPr="001C5CB4">
        <w:t>Circumstances that make the collection necessary.</w:t>
      </w:r>
    </w:p>
    <w:p w:rsidRPr="00ED5773" w:rsidR="007522BA" w:rsidP="00162EFF" w:rsidRDefault="007522BA" w14:paraId="4BF1AC58" w14:textId="77777777">
      <w:pPr>
        <w:spacing w:after="0" w:line="240" w:lineRule="auto"/>
      </w:pPr>
    </w:p>
    <w:p w:rsidR="00FC68E9" w:rsidP="00162EFF" w:rsidRDefault="00FC68E9" w14:paraId="06425925" w14:textId="7A2853DD">
      <w:pPr>
        <w:spacing w:after="0" w:line="240" w:lineRule="auto"/>
      </w:pPr>
      <w:r w:rsidRPr="001C5CB4">
        <w:t>T</w:t>
      </w:r>
      <w:r w:rsidRPr="00FC68E9">
        <w:t>he requirements in this information collection are used to determine the amount of, and eligibility for, high-cost universal service support received by incumbent and competitive eligible telecommunications carriers (ETCs) under the CAF</w:t>
      </w:r>
      <w:r w:rsidR="00BD29D1">
        <w:t xml:space="preserve"> and RDOF</w:t>
      </w:r>
      <w:r w:rsidR="00DC2199">
        <w:t xml:space="preserve"> mechanisms</w:t>
      </w:r>
      <w:r w:rsidRPr="00FC68E9">
        <w:t xml:space="preserve">. </w:t>
      </w:r>
    </w:p>
    <w:p w:rsidR="007522BA" w:rsidRDefault="007522BA" w14:paraId="78330BF9" w14:textId="77777777">
      <w:pPr>
        <w:spacing w:after="0" w:line="240" w:lineRule="auto"/>
      </w:pPr>
    </w:p>
    <w:p w:rsidR="00FC68E9" w:rsidRDefault="00FC68E9" w14:paraId="54C5A69F" w14:textId="595F46AB">
      <w:pPr>
        <w:spacing w:after="0" w:line="240" w:lineRule="auto"/>
      </w:pPr>
      <w:r>
        <w:t xml:space="preserve">The Communications </w:t>
      </w:r>
      <w:r w:rsidRPr="00AC27FF">
        <w:t>Act of 1934, as amended</w:t>
      </w:r>
      <w:r>
        <w:t>,</w:t>
      </w:r>
      <w:r w:rsidRPr="00AC27FF">
        <w:t xml:space="preserve"> (the Act) requires the “preservation and advancement of universal service.”  The information collection requirements reported under this control number are the result of various Commission actions to promote the Act’s universal service goals, while minimizing waste, fraud, and abuse.</w:t>
      </w:r>
    </w:p>
    <w:p w:rsidR="007522BA" w:rsidRDefault="007522BA" w14:paraId="3726E7A9" w14:textId="77777777">
      <w:pPr>
        <w:spacing w:after="0" w:line="240" w:lineRule="auto"/>
      </w:pPr>
    </w:p>
    <w:p w:rsidRPr="00D43798" w:rsidR="00FE1D97" w:rsidRDefault="00FC68E9" w14:paraId="1ECD774D" w14:textId="5F0689BF">
      <w:pPr>
        <w:spacing w:after="0" w:line="240" w:lineRule="auto"/>
        <w:rPr>
          <w:color w:val="010101"/>
        </w:rPr>
      </w:pPr>
      <w:bookmarkStart w:name="_Hlk56453379" w:id="0"/>
      <w:r>
        <w:rPr>
          <w:color w:val="000000"/>
        </w:rPr>
        <w:t xml:space="preserve">On </w:t>
      </w:r>
      <w:r w:rsidRPr="00AC27FF">
        <w:rPr>
          <w:color w:val="000000"/>
        </w:rPr>
        <w:t xml:space="preserve">November </w:t>
      </w:r>
      <w:r>
        <w:rPr>
          <w:color w:val="000000"/>
        </w:rPr>
        <w:t xml:space="preserve">18, </w:t>
      </w:r>
      <w:r w:rsidRPr="00AC27FF">
        <w:rPr>
          <w:color w:val="000000"/>
        </w:rPr>
        <w:t xml:space="preserve">2011, the Commission adopted an order reforming its high-cost universal service support mechanisms.  </w:t>
      </w:r>
      <w:r w:rsidRPr="00AC27FF">
        <w:rPr>
          <w:i/>
          <w:color w:val="000000"/>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Pr="00AC27FF">
        <w:rPr>
          <w:color w:val="000000"/>
        </w:rPr>
        <w:t xml:space="preserve">, WC Docket Nos. 10-90, 07-135, 05-337, 03-109; GN Docket No. 09-51; CC Docket Nos. 01-92, 96-45; WT Docket No. 10-208, Order and Further Notice of Proposed Rulemaking, </w:t>
      </w:r>
      <w:r w:rsidRPr="00AC27FF">
        <w:t>26 FCC Rcd 17663 (2011) (</w:t>
      </w:r>
      <w:r w:rsidRPr="00AC27FF">
        <w:rPr>
          <w:i/>
        </w:rPr>
        <w:t>USF/ICC Transformation Order</w:t>
      </w:r>
      <w:r w:rsidRPr="00AC27FF">
        <w:t>)</w:t>
      </w:r>
      <w:r w:rsidR="00A46344">
        <w:t>.</w:t>
      </w:r>
      <w:r w:rsidRPr="00AC27FF">
        <w:t xml:space="preserve"> </w:t>
      </w:r>
      <w:r w:rsidR="00A46344">
        <w:t>T</w:t>
      </w:r>
      <w:r w:rsidRPr="00AC27FF" w:rsidR="00A46344">
        <w:t xml:space="preserve">he </w:t>
      </w:r>
      <w:r w:rsidRPr="00AC27FF">
        <w:t xml:space="preserve">Commission and Wireline Competition Bureau have since adopted a number of orders that  implement the </w:t>
      </w:r>
      <w:r w:rsidRPr="008D1CA8">
        <w:rPr>
          <w:i/>
        </w:rPr>
        <w:t>USF/ICC Transformation Order</w:t>
      </w:r>
      <w:r w:rsidRPr="00AC27FF">
        <w:t xml:space="preserve">; </w:t>
      </w:r>
      <w:r w:rsidRPr="00AC27FF">
        <w:rPr>
          <w:i/>
        </w:rPr>
        <w:t xml:space="preserve">see also </w:t>
      </w:r>
      <w:r w:rsidRPr="00AC27FF">
        <w:rPr>
          <w:i/>
          <w:color w:val="000000"/>
        </w:rPr>
        <w:t>Connect America Fund et al.</w:t>
      </w:r>
      <w:r w:rsidRPr="00AC27FF">
        <w:rPr>
          <w:color w:val="000000"/>
        </w:rPr>
        <w:t xml:space="preserve">, WC Docket No. 10-90 et al., </w:t>
      </w:r>
      <w:r w:rsidRPr="00AC27FF">
        <w:t xml:space="preserve">Third Order on Reconsideration, </w:t>
      </w:r>
      <w:r w:rsidRPr="00AC27FF">
        <w:rPr>
          <w:iCs/>
        </w:rPr>
        <w:t>27 FCC Rcd 5622</w:t>
      </w:r>
      <w:r w:rsidRPr="00AC27FF">
        <w:t xml:space="preserve"> (2012); </w:t>
      </w:r>
      <w:r w:rsidRPr="00AC27FF">
        <w:rPr>
          <w:i/>
          <w:color w:val="000000"/>
        </w:rPr>
        <w:t>Connect America Fund et al.</w:t>
      </w:r>
      <w:r w:rsidRPr="00AC27FF">
        <w:rPr>
          <w:color w:val="000000"/>
        </w:rPr>
        <w:t xml:space="preserve">, WC Docket No. 10-90 et al., </w:t>
      </w:r>
      <w:r w:rsidRPr="00AC27FF">
        <w:rPr>
          <w:color w:val="010101"/>
        </w:rPr>
        <w:t xml:space="preserve">Order, </w:t>
      </w:r>
      <w:r w:rsidRPr="00AC27FF">
        <w:rPr>
          <w:color w:val="252525"/>
        </w:rPr>
        <w:t>27 FCC Rcd 605</w:t>
      </w:r>
      <w:r w:rsidRPr="00AC27FF">
        <w:rPr>
          <w:color w:val="010101"/>
        </w:rPr>
        <w:t xml:space="preserve"> (Wireline Comp. Bur. 2012); </w:t>
      </w:r>
      <w:r w:rsidRPr="00AC27FF">
        <w:rPr>
          <w:i/>
          <w:color w:val="010101"/>
        </w:rPr>
        <w:t>Connect America Fund et al.</w:t>
      </w:r>
      <w:r w:rsidRPr="00AC27FF">
        <w:rPr>
          <w:color w:val="010101"/>
        </w:rPr>
        <w:t xml:space="preserve">, WC Docket No. 10-90 et al., Fifth Order on Reconsideration, 27 FCC Rcd 14549 (2012); </w:t>
      </w:r>
      <w:r w:rsidRPr="00AC27FF">
        <w:rPr>
          <w:i/>
          <w:color w:val="010101"/>
        </w:rPr>
        <w:t>Connect America Fund et al.</w:t>
      </w:r>
      <w:r w:rsidRPr="00AC27FF">
        <w:rPr>
          <w:color w:val="010101"/>
        </w:rPr>
        <w:t xml:space="preserve">, WC Docket No. 10-90 et al., Order, 28 FCC Rcd 2051 (Wireline Comp. Bur. 2013); </w:t>
      </w:r>
      <w:r w:rsidRPr="00AC27FF">
        <w:rPr>
          <w:i/>
          <w:color w:val="010101"/>
        </w:rPr>
        <w:t>Connect America Fund et al.</w:t>
      </w:r>
      <w:r w:rsidRPr="00AC27FF">
        <w:rPr>
          <w:color w:val="010101"/>
        </w:rPr>
        <w:t>, WC Docket No. 10-90 et al., Order, 28 FCC Rcd 7227 (Wireline Comp. Bur. 2013)</w:t>
      </w:r>
      <w:r>
        <w:rPr>
          <w:color w:val="010101"/>
        </w:rPr>
        <w:t xml:space="preserve">; </w:t>
      </w:r>
      <w:r w:rsidRPr="00AC27FF">
        <w:rPr>
          <w:i/>
          <w:color w:val="000000"/>
        </w:rPr>
        <w:t>Connect America Fund</w:t>
      </w:r>
      <w:r w:rsidRPr="00AC27FF">
        <w:rPr>
          <w:color w:val="000000"/>
        </w:rPr>
        <w:t>, WC Docket</w:t>
      </w:r>
      <w:r>
        <w:rPr>
          <w:color w:val="000000"/>
        </w:rPr>
        <w:t xml:space="preserve"> No.</w:t>
      </w:r>
      <w:r w:rsidRPr="00AC27FF">
        <w:rPr>
          <w:color w:val="000000"/>
        </w:rPr>
        <w:t xml:space="preserve"> 10-90, Report and Order, </w:t>
      </w:r>
      <w:r>
        <w:rPr>
          <w:color w:val="000000"/>
        </w:rPr>
        <w:t>28 FCC Rcd 7766</w:t>
      </w:r>
      <w:r w:rsidRPr="00AC27FF">
        <w:rPr>
          <w:color w:val="000000"/>
        </w:rPr>
        <w:t xml:space="preserve"> (</w:t>
      </w:r>
      <w:r>
        <w:rPr>
          <w:color w:val="000000"/>
        </w:rPr>
        <w:t>Wireline Comp. Bur.</w:t>
      </w:r>
      <w:r w:rsidRPr="00AC27FF">
        <w:rPr>
          <w:color w:val="000000"/>
        </w:rPr>
        <w:t xml:space="preserve"> 2013)</w:t>
      </w:r>
      <w:r>
        <w:rPr>
          <w:color w:val="000000"/>
        </w:rPr>
        <w:t xml:space="preserve">; </w:t>
      </w:r>
      <w:r w:rsidRPr="00E209F0">
        <w:rPr>
          <w:i/>
          <w:color w:val="000000"/>
        </w:rPr>
        <w:t>Connect America Fund</w:t>
      </w:r>
      <w:r>
        <w:rPr>
          <w:color w:val="000000"/>
        </w:rPr>
        <w:t xml:space="preserve">, WC Docket No. 10-90, Report and Order, 28 FCC Rcd 7211 (Wireline Comp. Bur. 2013); </w:t>
      </w:r>
      <w:r w:rsidRPr="00AC27FF">
        <w:rPr>
          <w:i/>
          <w:color w:val="000000"/>
        </w:rPr>
        <w:t>Connect America Fund</w:t>
      </w:r>
      <w:r w:rsidRPr="00AC27FF">
        <w:rPr>
          <w:color w:val="000000"/>
        </w:rPr>
        <w:t>, WC Docket</w:t>
      </w:r>
      <w:r>
        <w:rPr>
          <w:color w:val="000000"/>
        </w:rPr>
        <w:t xml:space="preserve"> No.</w:t>
      </w:r>
      <w:r w:rsidRPr="00AC27FF">
        <w:rPr>
          <w:color w:val="000000"/>
        </w:rPr>
        <w:t xml:space="preserve"> 10-90, Report and Order, </w:t>
      </w:r>
      <w:r>
        <w:rPr>
          <w:color w:val="000000"/>
        </w:rPr>
        <w:t>28 FCC Rcd 10488</w:t>
      </w:r>
      <w:r w:rsidRPr="00AC27FF">
        <w:rPr>
          <w:color w:val="000000"/>
        </w:rPr>
        <w:t xml:space="preserve"> (</w:t>
      </w:r>
      <w:r>
        <w:rPr>
          <w:color w:val="000000"/>
        </w:rPr>
        <w:t>Wireline Comp. Bur.</w:t>
      </w:r>
      <w:r w:rsidRPr="00AC27FF">
        <w:rPr>
          <w:color w:val="000000"/>
        </w:rPr>
        <w:t xml:space="preserve"> 2013)</w:t>
      </w:r>
      <w:r>
        <w:rPr>
          <w:color w:val="010101"/>
        </w:rPr>
        <w:t xml:space="preserve">; </w:t>
      </w:r>
      <w:r w:rsidRPr="001A1877">
        <w:rPr>
          <w:i/>
        </w:rPr>
        <w:t xml:space="preserve">Connect </w:t>
      </w:r>
      <w:r w:rsidRPr="001A1877">
        <w:rPr>
          <w:i/>
        </w:rPr>
        <w:lastRenderedPageBreak/>
        <w:t>America Fund et al.</w:t>
      </w:r>
      <w:r w:rsidRPr="001A1877">
        <w:t>, WC Docket No. 10-90 et al., Report and Order, Order and Order on Reconsideration and Further Notice of Proposed Rulemaking, 31 FCC Rcd 3087 (2016)</w:t>
      </w:r>
      <w:r>
        <w:t>;</w:t>
      </w:r>
      <w:r w:rsidRPr="00D87D19">
        <w:t xml:space="preserve"> </w:t>
      </w:r>
      <w:r w:rsidRPr="00D43798" w:rsidR="00761053">
        <w:rPr>
          <w:i/>
        </w:rPr>
        <w:t>Connect America Fund</w:t>
      </w:r>
      <w:r w:rsidR="00761053">
        <w:rPr>
          <w:i/>
        </w:rPr>
        <w:t>, et al.</w:t>
      </w:r>
      <w:r w:rsidR="00761053">
        <w:t xml:space="preserve">, WC Docket No. 10-90, et al., Report and Order and Further Notice of Proposed Rulemaking, 31 FCC Rcd 5949 (2016); </w:t>
      </w:r>
      <w:r w:rsidRPr="00084739">
        <w:rPr>
          <w:i/>
          <w:color w:val="000000"/>
        </w:rPr>
        <w:t xml:space="preserve">Connect America Fund et al., </w:t>
      </w:r>
      <w:r>
        <w:rPr>
          <w:color w:val="000000"/>
        </w:rPr>
        <w:t xml:space="preserve">WC Docket Nos. 10-90, 16-271; WT Docket No. 10-208, </w:t>
      </w:r>
      <w:r w:rsidRPr="00084739">
        <w:t>Report and Order and Further Notice of Proposed Rulemaking, 31 FCC Rcd 10139 (2016)</w:t>
      </w:r>
      <w:r>
        <w:t>;</w:t>
      </w:r>
      <w:r w:rsidRPr="00D87D19">
        <w:t xml:space="preserve"> </w:t>
      </w:r>
      <w:r w:rsidR="00D1489D">
        <w:rPr>
          <w:i/>
        </w:rPr>
        <w:t>Connect America Fund; ETC Annual Reports and Certifications</w:t>
      </w:r>
      <w:r w:rsidR="00D1489D">
        <w:t>, WC Docket Nos. 10-90, 14-58, Order, 32 FCC Rcd 968 (2017);</w:t>
      </w:r>
      <w:r w:rsidRPr="00D1489D" w:rsidR="00D1489D">
        <w:rPr>
          <w:i/>
        </w:rPr>
        <w:t xml:space="preserve"> </w:t>
      </w:r>
      <w:r w:rsidR="00D1489D">
        <w:rPr>
          <w:i/>
        </w:rPr>
        <w:t>Connect America Fund et al.</w:t>
      </w:r>
      <w:r w:rsidR="00D1489D">
        <w:t xml:space="preserve">, WC Docket No. 10-90 et al., Report and Order, Further Notice of Proposed Rulemaking, and Order on Reconsideration, 33 FCC Rcd 11893 (2018); </w:t>
      </w:r>
      <w:r>
        <w:rPr>
          <w:i/>
        </w:rPr>
        <w:t>Connect America Fund; ETC Annual Reports and Certifications</w:t>
      </w:r>
      <w:r>
        <w:t>, WC Docket Nos. 10-90, 14-58, Report and Order, 32 FCC Rcd 5944 (2017).</w:t>
      </w:r>
    </w:p>
    <w:p w:rsidRPr="00D43798" w:rsidR="00FE1D97" w:rsidRDefault="00FE1D97" w14:paraId="35C2DE77" w14:textId="77777777">
      <w:pPr>
        <w:spacing w:after="0" w:line="240" w:lineRule="auto"/>
        <w:rPr>
          <w:color w:val="010101"/>
        </w:rPr>
      </w:pPr>
    </w:p>
    <w:p w:rsidR="00CA411C" w:rsidRDefault="00DC2199" w14:paraId="3D6C12A0" w14:textId="7E08723A">
      <w:pPr>
        <w:spacing w:after="0" w:line="240" w:lineRule="auto"/>
      </w:pPr>
      <w:r>
        <w:rPr>
          <w:color w:val="010101"/>
        </w:rPr>
        <w:t>In 2019</w:t>
      </w:r>
      <w:r w:rsidRPr="00D43798" w:rsidR="00BD29D1">
        <w:rPr>
          <w:color w:val="010101"/>
        </w:rPr>
        <w:t xml:space="preserve">, the Commission adopted </w:t>
      </w:r>
      <w:r w:rsidR="00BD29D1">
        <w:rPr>
          <w:color w:val="010101"/>
        </w:rPr>
        <w:t xml:space="preserve">an order establishing a separate, parallel high-cost program for the </w:t>
      </w:r>
      <w:r w:rsidRPr="00D43798" w:rsidR="00BD29D1">
        <w:rPr>
          <w:color w:val="010101"/>
        </w:rPr>
        <w:t xml:space="preserve">U.S. territories </w:t>
      </w:r>
      <w:r w:rsidR="00BD29D1">
        <w:rPr>
          <w:color w:val="010101"/>
        </w:rPr>
        <w:t>suffering</w:t>
      </w:r>
      <w:r w:rsidRPr="00D43798" w:rsidR="00BD29D1">
        <w:rPr>
          <w:color w:val="010101"/>
        </w:rPr>
        <w:t xml:space="preserve"> extensive infrastructure damage due to Hurricanes Irma and Maria.  </w:t>
      </w:r>
      <w:r w:rsidR="00BD29D1">
        <w:rPr>
          <w:i/>
          <w:iCs/>
        </w:rPr>
        <w:t xml:space="preserve">The </w:t>
      </w:r>
      <w:proofErr w:type="spellStart"/>
      <w:r w:rsidR="00BD29D1">
        <w:rPr>
          <w:i/>
          <w:iCs/>
        </w:rPr>
        <w:t>Uniendo</w:t>
      </w:r>
      <w:proofErr w:type="spellEnd"/>
      <w:r w:rsidR="00BD29D1">
        <w:rPr>
          <w:i/>
          <w:iCs/>
        </w:rPr>
        <w:t xml:space="preserve"> a Puerto Rico Fund and the Connect USVI Fund, et al.</w:t>
      </w:r>
      <w:r w:rsidR="00BD29D1">
        <w:t>, WC Docket No. 18-143, et al., Report and Order and Order on Reconsideration, 34 FCC Rcd 9109 (2019) (</w:t>
      </w:r>
      <w:r w:rsidR="00BD29D1">
        <w:rPr>
          <w:i/>
          <w:iCs/>
        </w:rPr>
        <w:t>Puerto Rico and USVI Stage 2 Order)</w:t>
      </w:r>
      <w:r w:rsidR="00BD29D1">
        <w:rPr>
          <w:iCs/>
        </w:rPr>
        <w:t xml:space="preserve">.  </w:t>
      </w:r>
      <w:r w:rsidR="00B4273B">
        <w:rPr>
          <w:iCs/>
        </w:rPr>
        <w:t>Also</w:t>
      </w:r>
      <w:r w:rsidR="00FE1D97">
        <w:rPr>
          <w:iCs/>
        </w:rPr>
        <w:t xml:space="preserve">, </w:t>
      </w:r>
      <w:r w:rsidR="00FE1D97">
        <w:t xml:space="preserve">in the </w:t>
      </w:r>
      <w:r w:rsidR="00FE1D97">
        <w:rPr>
          <w:i/>
        </w:rPr>
        <w:t>2019 Supply Chain Order</w:t>
      </w:r>
      <w:r w:rsidR="00FE1D97">
        <w:t xml:space="preserve">, the Commission adopted a rule prohibiting the use of </w:t>
      </w:r>
      <w:r w:rsidR="00E76980">
        <w:t>Universal Service Fund (USF)</w:t>
      </w:r>
      <w:r w:rsidR="00FE1D97">
        <w:t xml:space="preserve"> support</w:t>
      </w:r>
      <w:r w:rsidR="00E76980">
        <w:t>, including high-cost universal service support,</w:t>
      </w:r>
      <w:r w:rsidR="00FE1D97">
        <w:t xml:space="preserve"> to purchase or obtain any equipment or services produced or provided by a covered company posing a national security threat to the integrity of communications networks or the communications supply chain. </w:t>
      </w:r>
      <w:r w:rsidR="00FE1D97">
        <w:rPr>
          <w:i/>
          <w:iCs/>
        </w:rPr>
        <w:t>Protecting Against National Security Threats to the Communications Supply Chain Through FCC Programs</w:t>
      </w:r>
      <w:r w:rsidR="00FE1D97">
        <w:t xml:space="preserve">, WC Docket No. 18-89, Report and Order, Further Notice of Proposed Rulemaking, and Order, 34 FCC Rcd 11423, 11433, para. 26. </w:t>
      </w:r>
      <w:r w:rsidR="00FE1D97">
        <w:rPr>
          <w:i/>
          <w:iCs/>
        </w:rPr>
        <w:t xml:space="preserve"> </w:t>
      </w:r>
      <w:r w:rsidR="00FE1D97">
        <w:rPr>
          <w:i/>
        </w:rPr>
        <w:t xml:space="preserve">See also </w:t>
      </w:r>
      <w:r w:rsidR="00FE1D97">
        <w:t>47 C.F.R. § 54.9.</w:t>
      </w:r>
    </w:p>
    <w:p w:rsidR="00CA411C" w:rsidRDefault="00CA411C" w14:paraId="281C3E67" w14:textId="77777777">
      <w:pPr>
        <w:spacing w:after="0" w:line="240" w:lineRule="auto"/>
      </w:pPr>
    </w:p>
    <w:p w:rsidR="00FC68E9" w:rsidRDefault="00FC68E9" w14:paraId="6AD311D4" w14:textId="22FABA9D">
      <w:pPr>
        <w:spacing w:after="0" w:line="240" w:lineRule="auto"/>
        <w:rPr>
          <w:color w:val="000000"/>
        </w:rPr>
      </w:pPr>
      <w:r w:rsidRPr="00AC27FF">
        <w:rPr>
          <w:color w:val="010101"/>
        </w:rPr>
        <w:t>T</w:t>
      </w:r>
      <w:r w:rsidRPr="00AC27FF">
        <w:rPr>
          <w:color w:val="000000"/>
        </w:rPr>
        <w:t xml:space="preserve">he Commission has received OMB approval for most of the information collections required by </w:t>
      </w:r>
      <w:r w:rsidRPr="00084739">
        <w:rPr>
          <w:color w:val="000000"/>
        </w:rPr>
        <w:t>these orders</w:t>
      </w:r>
      <w:r w:rsidR="00763D28">
        <w:rPr>
          <w:color w:val="000000"/>
        </w:rPr>
        <w:t>, and this revision seeks approval of the remaining requirements</w:t>
      </w:r>
      <w:r w:rsidRPr="00084739">
        <w:rPr>
          <w:color w:val="000000"/>
        </w:rPr>
        <w:t>.</w:t>
      </w:r>
    </w:p>
    <w:p w:rsidRPr="002D766F" w:rsidR="00FE1D97" w:rsidRDefault="00FE1D97" w14:paraId="18C2E46A" w14:textId="77777777">
      <w:pPr>
        <w:spacing w:after="0" w:line="240" w:lineRule="auto"/>
        <w:ind w:left="0"/>
        <w:rPr>
          <w:color w:val="000000"/>
        </w:rPr>
      </w:pPr>
    </w:p>
    <w:p w:rsidR="00FC68E9" w:rsidRDefault="00FC68E9" w14:paraId="00C54CB7" w14:textId="69DBF4A9">
      <w:pPr>
        <w:spacing w:after="0" w:line="240" w:lineRule="auto"/>
        <w:rPr>
          <w:color w:val="000000"/>
        </w:rPr>
      </w:pPr>
      <w:r>
        <w:rPr>
          <w:color w:val="000000"/>
        </w:rPr>
        <w:t>Through several orders, the Commission has</w:t>
      </w:r>
      <w:r w:rsidRPr="002D766F">
        <w:rPr>
          <w:color w:val="000000"/>
        </w:rPr>
        <w:t xml:space="preserve"> </w:t>
      </w:r>
      <w:r>
        <w:rPr>
          <w:color w:val="000000"/>
        </w:rPr>
        <w:t>changed</w:t>
      </w:r>
      <w:r w:rsidR="002F2CA8">
        <w:rPr>
          <w:color w:val="000000"/>
        </w:rPr>
        <w:t xml:space="preserve">, </w:t>
      </w:r>
      <w:r>
        <w:rPr>
          <w:color w:val="000000"/>
        </w:rPr>
        <w:t>modified</w:t>
      </w:r>
      <w:r w:rsidR="002F2CA8">
        <w:rPr>
          <w:color w:val="000000"/>
        </w:rPr>
        <w:t>, and eliminated certain</w:t>
      </w:r>
      <w:r>
        <w:rPr>
          <w:color w:val="000000"/>
        </w:rPr>
        <w:t xml:space="preserve"> reporting obligations for </w:t>
      </w:r>
      <w:r w:rsidRPr="002D766F">
        <w:rPr>
          <w:color w:val="000000"/>
        </w:rPr>
        <w:t>high-cost support</w:t>
      </w:r>
      <w:r>
        <w:rPr>
          <w:color w:val="000000"/>
        </w:rPr>
        <w:t>.  These changes are outlined below:</w:t>
      </w:r>
    </w:p>
    <w:p w:rsidR="00533C57" w:rsidRDefault="00533C57" w14:paraId="047A0A38" w14:textId="77777777">
      <w:pPr>
        <w:spacing w:after="0" w:line="240" w:lineRule="auto"/>
      </w:pPr>
    </w:p>
    <w:p w:rsidR="006E59BB" w:rsidRDefault="00E76980" w14:paraId="41BDFEC0" w14:textId="2B1E2D97">
      <w:pPr>
        <w:spacing w:after="0" w:line="240" w:lineRule="auto"/>
      </w:pPr>
      <w:r>
        <w:t>On January 30, 2020</w:t>
      </w:r>
      <w:r w:rsidR="0039523B">
        <w:t xml:space="preserve">, the Commission </w:t>
      </w:r>
      <w:r>
        <w:t xml:space="preserve">adopted an order establishing the framework for the RDOF, building on the successful CAF Phase II auction.  </w:t>
      </w:r>
      <w:r w:rsidR="005C49AD">
        <w:rPr>
          <w:i/>
        </w:rPr>
        <w:t>Rural Digital Opportunity Fund; Connect America Fund</w:t>
      </w:r>
      <w:r w:rsidR="005C49AD">
        <w:t>, WC Docket Nos. 19-126 and 10-90, Report and Order, 35 FCC Rcd 686 (2020) (</w:t>
      </w:r>
      <w:r w:rsidR="005C49AD">
        <w:rPr>
          <w:i/>
        </w:rPr>
        <w:t>RDOF Order</w:t>
      </w:r>
      <w:r w:rsidR="005C49AD">
        <w:t>).</w:t>
      </w:r>
      <w:r w:rsidRPr="00FC64DA" w:rsidR="005C49AD">
        <w:t xml:space="preserve">  </w:t>
      </w:r>
      <w:r>
        <w:t>T</w:t>
      </w:r>
      <w:r w:rsidRPr="00E76980">
        <w:t xml:space="preserve">he </w:t>
      </w:r>
      <w:r>
        <w:t>RDOF</w:t>
      </w:r>
      <w:r w:rsidRPr="00E76980">
        <w:t xml:space="preserve"> represents the Commission’s single biggest step to close the digital divide by providing up to $20.4 billion to connect millions more rural homes and small businesses to high-speed broadband networks.</w:t>
      </w:r>
      <w:r>
        <w:t xml:space="preserve">  In the </w:t>
      </w:r>
      <w:r>
        <w:rPr>
          <w:i/>
        </w:rPr>
        <w:t>RDOF Order</w:t>
      </w:r>
      <w:r>
        <w:t>, “[t]</w:t>
      </w:r>
      <w:r w:rsidRPr="00E76980">
        <w:t>o ensure that support recipients are meeting their deployment obligations</w:t>
      </w:r>
      <w:r>
        <w:t xml:space="preserve">,” the Commission “adopt[ed] essentially the same </w:t>
      </w:r>
      <w:r w:rsidRPr="00E76980">
        <w:t>reporting requirements for the Rural Opportunity Digital Fund that the Commission adopt</w:t>
      </w:r>
      <w:r>
        <w:t>ed for the CAF Phase II auction.”</w:t>
      </w:r>
      <w:r w:rsidR="007B3FA4">
        <w:t xml:space="preserve"> </w:t>
      </w:r>
      <w:r w:rsidR="005C49AD">
        <w:rPr>
          <w:i/>
        </w:rPr>
        <w:t xml:space="preserve">Id. </w:t>
      </w:r>
      <w:r w:rsidR="005C49AD">
        <w:t>at 712, p</w:t>
      </w:r>
      <w:r w:rsidR="007B3FA4">
        <w:t xml:space="preserve">ara. 56. </w:t>
      </w:r>
    </w:p>
    <w:p w:rsidR="00455080" w:rsidRDefault="00455080" w14:paraId="134F0120" w14:textId="77777777">
      <w:pPr>
        <w:spacing w:after="0" w:line="240" w:lineRule="auto"/>
      </w:pPr>
    </w:p>
    <w:p w:rsidRPr="00CD2144" w:rsidR="00CD2144" w:rsidRDefault="00937DC2" w14:paraId="1CDDB204" w14:textId="21CF20F4">
      <w:pPr>
        <w:spacing w:after="0" w:line="240" w:lineRule="auto"/>
      </w:pPr>
      <w:r>
        <w:t xml:space="preserve">In the </w:t>
      </w:r>
      <w:r w:rsidRPr="00FC64DA">
        <w:rPr>
          <w:i/>
        </w:rPr>
        <w:t>2020 Supply Chain Order</w:t>
      </w:r>
      <w:r>
        <w:t xml:space="preserve">, the Commission </w:t>
      </w:r>
      <w:r w:rsidRPr="00CD2144" w:rsidR="00CD2144">
        <w:t>adopted two additional supply chain rules</w:t>
      </w:r>
      <w:r w:rsidR="00605EFF">
        <w:t xml:space="preserve"> associated with newly required certifications</w:t>
      </w:r>
      <w:r w:rsidRPr="00CD2144" w:rsidR="00CD2144">
        <w:t xml:space="preserve">. </w:t>
      </w:r>
      <w:r>
        <w:t xml:space="preserve"> </w:t>
      </w:r>
      <w:r>
        <w:rPr>
          <w:i/>
          <w:iCs/>
        </w:rPr>
        <w:t>Protecting Against National Security Threats to the Communications Supply Chain Through FCC Programs</w:t>
      </w:r>
      <w:r>
        <w:t>, WC Docket No. 18-89, Second Report and Order, 35 FCC Rcd 14284 (2020) (</w:t>
      </w:r>
      <w:r>
        <w:rPr>
          <w:i/>
        </w:rPr>
        <w:t>2020 Supply Chain Order</w:t>
      </w:r>
      <w:r>
        <w:t>).</w:t>
      </w:r>
      <w:r w:rsidRPr="00FC64DA">
        <w:t xml:space="preserve"> </w:t>
      </w:r>
      <w:r>
        <w:t xml:space="preserve"> </w:t>
      </w:r>
      <w:r w:rsidRPr="00CD2144" w:rsidR="00CD2144">
        <w:t>First,</w:t>
      </w:r>
      <w:r>
        <w:t xml:space="preserve"> the Commission adopted a rule, 47 C</w:t>
      </w:r>
      <w:r w:rsidR="005C3323">
        <w:t>.</w:t>
      </w:r>
      <w:r>
        <w:t>F</w:t>
      </w:r>
      <w:r w:rsidR="005C3323">
        <w:t>.</w:t>
      </w:r>
      <w:r>
        <w:t>R</w:t>
      </w:r>
      <w:r w:rsidR="005C3323">
        <w:t>.</w:t>
      </w:r>
      <w:r>
        <w:t xml:space="preserve"> § 54.10,</w:t>
      </w:r>
      <w:r w:rsidRPr="00CD2144" w:rsidR="00CD2144">
        <w:t xml:space="preserve"> to prohibit the use of a Federal subsidy made </w:t>
      </w:r>
      <w:r w:rsidRPr="00CD2144" w:rsidR="00CD2144">
        <w:lastRenderedPageBreak/>
        <w:t xml:space="preserve">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w:t>
      </w:r>
      <w:r>
        <w:t xml:space="preserve"> </w:t>
      </w:r>
      <w:r w:rsidRPr="00CD2144" w:rsidR="00CD2144">
        <w:t>Second,</w:t>
      </w:r>
      <w:r>
        <w:t xml:space="preserve"> the Commission adopted a rule, 47 C</w:t>
      </w:r>
      <w:r w:rsidR="005C3323">
        <w:t>.</w:t>
      </w:r>
      <w:r>
        <w:t>F</w:t>
      </w:r>
      <w:r w:rsidR="005C3323">
        <w:t>.</w:t>
      </w:r>
      <w:r>
        <w:t>R</w:t>
      </w:r>
      <w:r w:rsidR="005C3323">
        <w:t>.</w:t>
      </w:r>
      <w:r>
        <w:t xml:space="preserve"> § 54.11</w:t>
      </w:r>
      <w:r w:rsidRPr="00CD2144" w:rsidR="00CD2144">
        <w:t xml:space="preserve">, which requires each eligible telecommunications carrier receiving universal service fund support to remove and replace all covered communications equipment and services from their networks, and subsequently certify prior to receiving a funding commitment or support that it does not use covered communications equipment or services. </w:t>
      </w:r>
      <w:r>
        <w:t xml:space="preserve"> </w:t>
      </w:r>
      <w:r w:rsidRPr="00CD2144" w:rsidR="00CD2144">
        <w:t xml:space="preserve">The Commission also adopted procedures, consistent with the Secure and Trusted Communications Networks Act of </w:t>
      </w:r>
      <w:r w:rsidRPr="00D43798" w:rsidR="00CD2144">
        <w:t xml:space="preserve">2019 </w:t>
      </w:r>
      <w:r w:rsidRPr="00CD2144" w:rsidR="00CD2144">
        <w:t>(Pub. L. No. 116-124), to identify such covered equipment and services and publish a Covered List.</w:t>
      </w:r>
      <w:r>
        <w:t xml:space="preserve"> </w:t>
      </w:r>
      <w:r w:rsidRPr="00CD2144" w:rsidR="00CD2144">
        <w:t xml:space="preserve"> That list was published March 12, 2021 and will be updated as needed</w:t>
      </w:r>
      <w:r>
        <w:t>.</w:t>
      </w:r>
      <w:r w:rsidR="00605EFF">
        <w:t xml:space="preserve"> </w:t>
      </w:r>
    </w:p>
    <w:p w:rsidR="00455080" w:rsidRDefault="00455080" w14:paraId="06BCAB2C" w14:textId="62E4BAC6">
      <w:pPr>
        <w:spacing w:after="0" w:line="240" w:lineRule="auto"/>
      </w:pPr>
    </w:p>
    <w:p w:rsidR="002F2CA8" w:rsidRDefault="002F2CA8" w14:paraId="166CB191" w14:textId="3F813852">
      <w:pPr>
        <w:spacing w:after="0" w:line="240" w:lineRule="auto"/>
      </w:pPr>
      <w:r>
        <w:t xml:space="preserve">In the </w:t>
      </w:r>
      <w:r w:rsidRPr="0036306C">
        <w:rPr>
          <w:i/>
        </w:rPr>
        <w:t>Rate Floor Repeal Order</w:t>
      </w:r>
      <w:r>
        <w:t xml:space="preserve">, the Commission decided to “eliminate </w:t>
      </w:r>
      <w:r w:rsidRPr="00383092">
        <w:rPr>
          <w:color w:val="000000"/>
        </w:rPr>
        <w:t>the rate floor and, following a one-year period of monitoring residential retail rates, eliminate the accompanying reporting obligations after July 1, 2020</w:t>
      </w:r>
      <w:r>
        <w:rPr>
          <w:color w:val="000000"/>
        </w:rPr>
        <w:t xml:space="preserve">.” </w:t>
      </w:r>
      <w:r w:rsidR="00477A58">
        <w:rPr>
          <w:color w:val="000000"/>
        </w:rPr>
        <w:t xml:space="preserve"> </w:t>
      </w:r>
      <w:r w:rsidRPr="00383092" w:rsidR="00477A58">
        <w:rPr>
          <w:i/>
          <w:color w:val="000000"/>
        </w:rPr>
        <w:t>Connect America Fund</w:t>
      </w:r>
      <w:r w:rsidRPr="00383092" w:rsidR="00477A58">
        <w:rPr>
          <w:color w:val="000000"/>
        </w:rPr>
        <w:t>, WC Docket No. 10-90, Order</w:t>
      </w:r>
      <w:r w:rsidRPr="00D43798" w:rsidR="00477A58">
        <w:rPr>
          <w:color w:val="000000"/>
        </w:rPr>
        <w:t xml:space="preserve">, 34 FCC Rcd </w:t>
      </w:r>
      <w:r w:rsidRPr="00383092" w:rsidR="00477A58">
        <w:rPr>
          <w:color w:val="000000"/>
        </w:rPr>
        <w:t>2621, 2621</w:t>
      </w:r>
      <w:r w:rsidRPr="00D43798" w:rsidR="00477A58">
        <w:rPr>
          <w:color w:val="000000"/>
        </w:rPr>
        <w:t xml:space="preserve"> para. </w:t>
      </w:r>
      <w:r w:rsidRPr="00383092" w:rsidR="00477A58">
        <w:rPr>
          <w:color w:val="000000"/>
        </w:rPr>
        <w:t>2 (2019) (</w:t>
      </w:r>
      <w:r w:rsidRPr="00383092" w:rsidR="00477A58">
        <w:rPr>
          <w:i/>
          <w:color w:val="000000"/>
        </w:rPr>
        <w:t>Rate Floor Repeal Order</w:t>
      </w:r>
      <w:r w:rsidRPr="00383092" w:rsidR="00477A58">
        <w:rPr>
          <w:color w:val="000000"/>
        </w:rPr>
        <w:t>)</w:t>
      </w:r>
      <w:r w:rsidR="00477A58">
        <w:rPr>
          <w:color w:val="000000"/>
        </w:rPr>
        <w:t>;</w:t>
      </w:r>
      <w:r w:rsidRPr="00D43798" w:rsidR="00477A58">
        <w:rPr>
          <w:color w:val="000000"/>
        </w:rPr>
        <w:t xml:space="preserve"> </w:t>
      </w:r>
      <w:r w:rsidRPr="00D43798" w:rsidR="00477A58">
        <w:rPr>
          <w:i/>
          <w:color w:val="000000"/>
        </w:rPr>
        <w:t xml:space="preserve">see also </w:t>
      </w:r>
      <w:r w:rsidRPr="00D43798" w:rsidR="00477A58">
        <w:rPr>
          <w:color w:val="000000"/>
        </w:rPr>
        <w:t>47 C.F.R. § 54.</w:t>
      </w:r>
      <w:r w:rsidR="00477A58">
        <w:rPr>
          <w:color w:val="000000"/>
        </w:rPr>
        <w:t xml:space="preserve">313(h).  As explained in the </w:t>
      </w:r>
      <w:r w:rsidRPr="0036306C" w:rsidR="00477A58">
        <w:rPr>
          <w:i/>
          <w:color w:val="000000"/>
        </w:rPr>
        <w:t>Order</w:t>
      </w:r>
      <w:r w:rsidR="00477A58">
        <w:rPr>
          <w:color w:val="000000"/>
        </w:rPr>
        <w:t>, the rate floor was “[</w:t>
      </w:r>
      <w:proofErr w:type="spellStart"/>
      <w:r w:rsidR="00477A58">
        <w:rPr>
          <w:color w:val="000000"/>
        </w:rPr>
        <w:t>i</w:t>
      </w:r>
      <w:proofErr w:type="spellEnd"/>
      <w:r w:rsidR="00477A58">
        <w:rPr>
          <w:color w:val="000000"/>
        </w:rPr>
        <w:t>]</w:t>
      </w:r>
      <w:proofErr w:type="spellStart"/>
      <w:r w:rsidR="00477A58">
        <w:rPr>
          <w:color w:val="000000"/>
        </w:rPr>
        <w:t>ntended</w:t>
      </w:r>
      <w:proofErr w:type="spellEnd"/>
      <w:r w:rsidR="00477A58">
        <w:rPr>
          <w:color w:val="000000"/>
        </w:rPr>
        <w:t xml:space="preserve"> to guard against artificial subsidization of rural end user rates significantly below the national urban average” but, practically speaking, “increase[d] the telephone rates of rural subscribers . . . and individuals living on Tribal lands.”  </w:t>
      </w:r>
      <w:r w:rsidR="00477A58">
        <w:rPr>
          <w:i/>
          <w:color w:val="000000"/>
        </w:rPr>
        <w:t>Rate Floor Repeal Order</w:t>
      </w:r>
      <w:r w:rsidR="00477A58">
        <w:rPr>
          <w:color w:val="000000"/>
        </w:rPr>
        <w:t>, 34 FCC Rcd at 2621 para. 1</w:t>
      </w:r>
      <w:r w:rsidRPr="00D43798" w:rsidR="00477A58">
        <w:rPr>
          <w:color w:val="000000"/>
        </w:rPr>
        <w:t>.</w:t>
      </w:r>
    </w:p>
    <w:p w:rsidRPr="00990FC5" w:rsidR="007522BA" w:rsidRDefault="007522BA" w14:paraId="33ABC910" w14:textId="77777777">
      <w:pPr>
        <w:spacing w:after="0" w:line="240" w:lineRule="auto"/>
        <w:rPr>
          <w:iCs/>
        </w:rPr>
      </w:pPr>
    </w:p>
    <w:p w:rsidR="00FC68E9" w:rsidRDefault="00FC68E9" w14:paraId="7429C16A" w14:textId="305052C5">
      <w:pPr>
        <w:spacing w:after="0" w:line="240" w:lineRule="auto"/>
      </w:pPr>
      <w:r>
        <w:t xml:space="preserve">We therefore propose to revise this information collection, as well as </w:t>
      </w:r>
      <w:r w:rsidR="00502C9D">
        <w:t xml:space="preserve">the </w:t>
      </w:r>
      <w:r>
        <w:t xml:space="preserve">Form 481 and its accompanying instructions, to reflect these </w:t>
      </w:r>
      <w:r w:rsidR="0045313E">
        <w:t>modified and eliminated</w:t>
      </w:r>
      <w:r w:rsidR="00477A58">
        <w:t xml:space="preserve"> </w:t>
      </w:r>
      <w:r>
        <w:t>requirements.</w:t>
      </w:r>
      <w:r w:rsidR="00533C57">
        <w:t xml:space="preserve"> </w:t>
      </w:r>
      <w:r>
        <w:t xml:space="preserve"> </w:t>
      </w:r>
      <w:r w:rsidR="00CF0F7B">
        <w:t xml:space="preserve">Finally, we </w:t>
      </w:r>
      <w:r>
        <w:t>propose to increase the burdens associated with existing reporting requirements to account for additional carriers that will be subject to those requirements.</w:t>
      </w:r>
    </w:p>
    <w:bookmarkEnd w:id="0"/>
    <w:p w:rsidRPr="003B723A" w:rsidR="0007324E" w:rsidRDefault="0007324E" w14:paraId="1674BFCA" w14:textId="26BCDBDB">
      <w:pPr>
        <w:spacing w:after="0"/>
        <w:ind w:left="0"/>
      </w:pPr>
    </w:p>
    <w:p w:rsidR="00EA53C5" w:rsidRDefault="0007324E" w14:paraId="3A026939" w14:textId="504506BF">
      <w:pPr>
        <w:pStyle w:val="Heading3"/>
        <w:spacing w:after="0" w:line="240" w:lineRule="auto"/>
      </w:pPr>
      <w:r>
        <w:t>Currently approved requirements that are being revised:</w:t>
      </w:r>
    </w:p>
    <w:p w:rsidRPr="00990FC5" w:rsidR="00EA53C5" w:rsidRDefault="00EA53C5" w14:paraId="0320B2C5" w14:textId="77777777">
      <w:pPr>
        <w:spacing w:after="0"/>
      </w:pPr>
    </w:p>
    <w:p w:rsidR="0079380D" w:rsidRDefault="003E4D3D" w14:paraId="0BD36A24" w14:textId="6A6A06A0">
      <w:pPr>
        <w:pStyle w:val="ListParagraph"/>
        <w:numPr>
          <w:ilvl w:val="0"/>
          <w:numId w:val="46"/>
        </w:numPr>
        <w:spacing w:after="0" w:line="240" w:lineRule="auto"/>
        <w:rPr>
          <w:u w:val="none"/>
        </w:rPr>
      </w:pPr>
      <w:r w:rsidRPr="001C5CB4">
        <w:t>Connect America Fund Phase II Auction</w:t>
      </w:r>
      <w:r>
        <w:t xml:space="preserve">, </w:t>
      </w:r>
      <w:proofErr w:type="spellStart"/>
      <w:r>
        <w:t>Uniendo</w:t>
      </w:r>
      <w:proofErr w:type="spellEnd"/>
      <w:r>
        <w:t xml:space="preserve"> a Puerto Rico Stage 2, Connect USVI Fund Stage 2</w:t>
      </w:r>
      <w:r w:rsidR="000448EC">
        <w:t>, and Rural Digital Opportunity Fund</w:t>
      </w:r>
      <w:r w:rsidRPr="001C5CB4">
        <w:t xml:space="preserve"> Reporting and Certifications (See 12.</w:t>
      </w:r>
      <w:r w:rsidR="003A70A6">
        <w:t>a</w:t>
      </w:r>
      <w:r w:rsidRPr="001C5CB4">
        <w:t>)</w:t>
      </w:r>
      <w:r w:rsidRPr="00D43798">
        <w:rPr>
          <w:u w:val="none"/>
        </w:rPr>
        <w:t>:</w:t>
      </w:r>
      <w:r w:rsidRPr="003E4D3D">
        <w:rPr>
          <w:u w:val="none"/>
        </w:rPr>
        <w:t xml:space="preserve"> </w:t>
      </w:r>
      <w:r w:rsidR="000448EC">
        <w:rPr>
          <w:u w:val="none"/>
        </w:rPr>
        <w:t xml:space="preserve">Requirements </w:t>
      </w:r>
      <w:r w:rsidR="0045313E">
        <w:rPr>
          <w:u w:val="none"/>
        </w:rPr>
        <w:t>applicable</w:t>
      </w:r>
      <w:r w:rsidR="000448EC">
        <w:rPr>
          <w:u w:val="none"/>
        </w:rPr>
        <w:t xml:space="preserve"> to recipients of </w:t>
      </w:r>
      <w:r w:rsidRPr="003E4D3D">
        <w:rPr>
          <w:u w:val="none"/>
        </w:rPr>
        <w:t xml:space="preserve">Connect America Phase II auction support, </w:t>
      </w:r>
      <w:proofErr w:type="spellStart"/>
      <w:r w:rsidRPr="003E4D3D">
        <w:rPr>
          <w:u w:val="none"/>
        </w:rPr>
        <w:t>Uniendo</w:t>
      </w:r>
      <w:proofErr w:type="spellEnd"/>
      <w:r w:rsidRPr="003E4D3D">
        <w:rPr>
          <w:u w:val="none"/>
        </w:rPr>
        <w:t xml:space="preserve"> a Puerto Rico Stage 2 fixed support, or Connect USVI Fund Stage 2 fixed support</w:t>
      </w:r>
      <w:r w:rsidR="000448EC">
        <w:rPr>
          <w:u w:val="none"/>
        </w:rPr>
        <w:t xml:space="preserve"> </w:t>
      </w:r>
      <w:r w:rsidR="0045313E">
        <w:rPr>
          <w:u w:val="none"/>
        </w:rPr>
        <w:t>are being revised to include</w:t>
      </w:r>
      <w:r w:rsidR="000448EC">
        <w:rPr>
          <w:u w:val="none"/>
        </w:rPr>
        <w:t xml:space="preserve"> RDOF support recipients</w:t>
      </w:r>
      <w:r w:rsidR="0079380D">
        <w:rPr>
          <w:u w:val="none"/>
        </w:rPr>
        <w:t>.</w:t>
      </w:r>
    </w:p>
    <w:p w:rsidR="0079380D" w:rsidP="001861C7" w:rsidRDefault="0079380D" w14:paraId="15CF9C63" w14:textId="77777777">
      <w:pPr>
        <w:pStyle w:val="ListParagraph"/>
        <w:numPr>
          <w:ilvl w:val="0"/>
          <w:numId w:val="0"/>
        </w:numPr>
        <w:spacing w:after="0" w:line="240" w:lineRule="auto"/>
        <w:ind w:left="720"/>
        <w:rPr>
          <w:u w:val="none"/>
        </w:rPr>
      </w:pPr>
    </w:p>
    <w:p w:rsidR="00D5566E" w:rsidP="001861C7" w:rsidRDefault="000448EC" w14:paraId="2D67E959" w14:textId="0A1072FB">
      <w:pPr>
        <w:pStyle w:val="ListParagraph"/>
        <w:numPr>
          <w:ilvl w:val="0"/>
          <w:numId w:val="0"/>
        </w:numPr>
        <w:spacing w:after="0" w:line="240" w:lineRule="auto"/>
        <w:ind w:left="720"/>
        <w:rPr>
          <w:u w:val="none"/>
        </w:rPr>
      </w:pPr>
      <w:r>
        <w:rPr>
          <w:u w:val="none"/>
        </w:rPr>
        <w:t xml:space="preserve">Specifically, recipients of those kinds of support must </w:t>
      </w:r>
      <w:r w:rsidRPr="003E4D3D" w:rsidR="003E4D3D">
        <w:rPr>
          <w:u w:val="none"/>
        </w:rPr>
        <w:t xml:space="preserve">report (A) the number, names, and addresses of community anchor institutions to which the carrier began providing access to broadband service in the preceding calendar year, (B) the total amount of support used for capital expenditures in the previous calendar year, and (C) a certification that it bid on category one telecommunications and Internet access services in response to all FCC Form 470 postings seeking broadband service that meets the connectivity targets for the schools and libraries universal service support program for eligible schools and libraries located within any area in a census block where the carrier is receiving support awarded </w:t>
      </w:r>
      <w:r w:rsidRPr="003E4D3D" w:rsidR="003E4D3D">
        <w:rPr>
          <w:u w:val="none"/>
        </w:rPr>
        <w:lastRenderedPageBreak/>
        <w:t xml:space="preserve">through the auction, and that such bids were at rates reasonably comparable to rates charged to eligible schools and libraries in urban areas for comparable offerings.  </w:t>
      </w:r>
    </w:p>
    <w:p w:rsidRPr="003E4D3D" w:rsidR="003E4D3D" w:rsidP="001861C7" w:rsidRDefault="003E4D3D" w14:paraId="5059D8C4" w14:textId="08973F66">
      <w:pPr>
        <w:pStyle w:val="ListParagraph"/>
        <w:numPr>
          <w:ilvl w:val="0"/>
          <w:numId w:val="0"/>
        </w:numPr>
        <w:spacing w:after="0" w:line="240" w:lineRule="auto"/>
        <w:ind w:left="720"/>
        <w:rPr>
          <w:u w:val="none"/>
        </w:rPr>
      </w:pPr>
      <w:r w:rsidRPr="003E4D3D">
        <w:rPr>
          <w:u w:val="none"/>
        </w:rPr>
        <w:t>47 C.F.R. § 54.313(e)(2)(</w:t>
      </w:r>
      <w:proofErr w:type="spellStart"/>
      <w:r w:rsidRPr="003E4D3D">
        <w:rPr>
          <w:u w:val="none"/>
        </w:rPr>
        <w:t>i</w:t>
      </w:r>
      <w:proofErr w:type="spellEnd"/>
      <w:r w:rsidRPr="003E4D3D">
        <w:rPr>
          <w:u w:val="none"/>
        </w:rPr>
        <w:t xml:space="preserve">)(A)-(C).  </w:t>
      </w:r>
      <w:r w:rsidR="000448EC">
        <w:rPr>
          <w:u w:val="none"/>
        </w:rPr>
        <w:t>Additionally, t</w:t>
      </w:r>
      <w:r w:rsidRPr="003E4D3D">
        <w:rPr>
          <w:u w:val="none"/>
        </w:rPr>
        <w:t>hese carriers must certify that the recipient has available funds for all project costs that will exceed the amount of support received for the next calendar year and,</w:t>
      </w:r>
      <w:r w:rsidR="000448EC">
        <w:rPr>
          <w:u w:val="none"/>
        </w:rPr>
        <w:t xml:space="preserve"> after the</w:t>
      </w:r>
      <w:r w:rsidRPr="003E4D3D">
        <w:rPr>
          <w:u w:val="none"/>
        </w:rPr>
        <w:t xml:space="preserve"> recipient’s final deployment milestone, that the Phase II-funded, </w:t>
      </w:r>
      <w:proofErr w:type="spellStart"/>
      <w:r w:rsidRPr="003E4D3D">
        <w:rPr>
          <w:u w:val="none"/>
        </w:rPr>
        <w:t>Uniendo</w:t>
      </w:r>
      <w:proofErr w:type="spellEnd"/>
      <w:r w:rsidRPr="003E4D3D">
        <w:rPr>
          <w:u w:val="none"/>
        </w:rPr>
        <w:t xml:space="preserve"> a Puerto Rico Stage 2-funded, Connect USVI Fund Stage 2-funded</w:t>
      </w:r>
      <w:r w:rsidR="000448EC">
        <w:rPr>
          <w:u w:val="none"/>
        </w:rPr>
        <w:t xml:space="preserve">, or RDOF-funded </w:t>
      </w:r>
      <w:r w:rsidRPr="003E4D3D">
        <w:rPr>
          <w:u w:val="none"/>
        </w:rPr>
        <w:t xml:space="preserve">network the recipient operated in the prior year meets the relevant performance requirements. 47 C.F.R. § 54.313(e)(2)(ii), (e)(2)(iii). </w:t>
      </w:r>
      <w:r w:rsidRPr="003E4D3D">
        <w:rPr>
          <w:rFonts w:eastAsia="Segoe UI Emoji"/>
          <w:u w:val="none"/>
        </w:rPr>
        <w:t xml:space="preserve"> </w:t>
      </w:r>
      <w:r w:rsidRPr="003E4D3D">
        <w:rPr>
          <w:u w:val="none"/>
        </w:rPr>
        <w:t xml:space="preserve">These disclosures provide the Commission assurance that Phase II auction, </w:t>
      </w:r>
      <w:proofErr w:type="spellStart"/>
      <w:r w:rsidRPr="003E4D3D">
        <w:rPr>
          <w:u w:val="none"/>
        </w:rPr>
        <w:t>Uniendo</w:t>
      </w:r>
      <w:proofErr w:type="spellEnd"/>
      <w:r w:rsidRPr="003E4D3D">
        <w:rPr>
          <w:u w:val="none"/>
        </w:rPr>
        <w:t xml:space="preserve"> a Puerto Rico Stage 2, Connect USVI Fund Stage 2</w:t>
      </w:r>
      <w:r w:rsidR="000448EC">
        <w:rPr>
          <w:u w:val="none"/>
        </w:rPr>
        <w:t>, and RDOF</w:t>
      </w:r>
      <w:r w:rsidRPr="003E4D3D">
        <w:rPr>
          <w:u w:val="none"/>
        </w:rPr>
        <w:t xml:space="preserve"> support recipients use high-cost support for appropriate purposes and have obtained enough funding to meet their </w:t>
      </w:r>
      <w:r w:rsidR="000448EC">
        <w:rPr>
          <w:u w:val="none"/>
        </w:rPr>
        <w:t xml:space="preserve">public service </w:t>
      </w:r>
      <w:r w:rsidRPr="003E4D3D">
        <w:rPr>
          <w:u w:val="none"/>
        </w:rPr>
        <w:t xml:space="preserve">obligations. </w:t>
      </w:r>
    </w:p>
    <w:p w:rsidRPr="003E4D3D" w:rsidR="003E4D3D" w:rsidRDefault="003E4D3D" w14:paraId="35DF91B3" w14:textId="77777777">
      <w:pPr>
        <w:spacing w:after="0"/>
      </w:pPr>
    </w:p>
    <w:p w:rsidRPr="00FC64DA" w:rsidR="000F21C0" w:rsidRDefault="00C563C1" w14:paraId="671D9A49" w14:textId="4C25BCB1">
      <w:pPr>
        <w:pStyle w:val="ListParagraph"/>
        <w:numPr>
          <w:ilvl w:val="0"/>
          <w:numId w:val="46"/>
        </w:numPr>
        <w:spacing w:after="0"/>
      </w:pPr>
      <w:r w:rsidRPr="003B723A">
        <w:t xml:space="preserve">Supply Chain Certification for all </w:t>
      </w:r>
      <w:r w:rsidR="00C33690">
        <w:t>High-Cost</w:t>
      </w:r>
      <w:r w:rsidRPr="003B723A">
        <w:t xml:space="preserve"> Recipients</w:t>
      </w:r>
      <w:r w:rsidR="003A70A6">
        <w:t xml:space="preserve"> (See 12.b</w:t>
      </w:r>
      <w:r>
        <w:t>)</w:t>
      </w:r>
      <w:r w:rsidRPr="00D43798">
        <w:rPr>
          <w:u w:val="none"/>
        </w:rPr>
        <w:t>:</w:t>
      </w:r>
      <w:r w:rsidRPr="00FC64DA">
        <w:rPr>
          <w:u w:val="none"/>
        </w:rPr>
        <w:t xml:space="preserve"> </w:t>
      </w:r>
      <w:r w:rsidRPr="00FC64DA">
        <w:rPr>
          <w:rFonts w:eastAsia="Times New Roman"/>
          <w:u w:val="none"/>
        </w:rPr>
        <w:t>The Commission requires that all recipients of Connect America Fund</w:t>
      </w:r>
      <w:r w:rsidR="00C33690">
        <w:rPr>
          <w:rFonts w:eastAsia="Times New Roman"/>
          <w:u w:val="none"/>
        </w:rPr>
        <w:t>, Rural Digital Opportunity Fund, or other high-cost USF</w:t>
      </w:r>
      <w:r w:rsidRPr="00FC64DA">
        <w:rPr>
          <w:rFonts w:eastAsia="Times New Roman"/>
          <w:u w:val="none"/>
        </w:rPr>
        <w:t xml:space="preserve"> support certify they have not used USF support to purchase, obtain, maintain, improve, modify, manage, or otherwise support Huawei or ZTE equipment or services in any way, including upgrades to existing Huawei or ZTE equipment and services.  </w:t>
      </w:r>
      <w:r w:rsidRPr="00FC64DA">
        <w:rPr>
          <w:i/>
          <w:iCs/>
          <w:u w:val="none"/>
        </w:rPr>
        <w:t>2019 Supply Chain Order</w:t>
      </w:r>
      <w:r w:rsidRPr="00FC64DA">
        <w:rPr>
          <w:u w:val="none"/>
        </w:rPr>
        <w:t xml:space="preserve">, 34 FCC Rcd at 11454, para. 79; </w:t>
      </w:r>
      <w:r w:rsidRPr="00FC64DA">
        <w:rPr>
          <w:i/>
          <w:iCs/>
          <w:u w:val="none"/>
        </w:rPr>
        <w:t>see also</w:t>
      </w:r>
      <w:r w:rsidRPr="00FC64DA">
        <w:rPr>
          <w:rFonts w:eastAsia="Times New Roman"/>
          <w:u w:val="none"/>
        </w:rPr>
        <w:t xml:space="preserve"> </w:t>
      </w:r>
      <w:r w:rsidRPr="00DB3537" w:rsidR="005C3323">
        <w:rPr>
          <w:rFonts w:eastAsia="Times New Roman"/>
          <w:u w:val="none"/>
        </w:rPr>
        <w:t>47 C</w:t>
      </w:r>
      <w:r w:rsidR="005C3323">
        <w:rPr>
          <w:rFonts w:eastAsia="Times New Roman"/>
          <w:u w:val="none"/>
        </w:rPr>
        <w:t>.</w:t>
      </w:r>
      <w:r w:rsidRPr="005C3323" w:rsidR="005C3323">
        <w:rPr>
          <w:rFonts w:eastAsia="Times New Roman"/>
          <w:u w:val="none"/>
        </w:rPr>
        <w:t>F</w:t>
      </w:r>
      <w:r w:rsidR="005C3323">
        <w:rPr>
          <w:rFonts w:eastAsia="Times New Roman"/>
          <w:u w:val="none"/>
        </w:rPr>
        <w:t>.</w:t>
      </w:r>
      <w:r w:rsidRPr="005C3323" w:rsidR="005C3323">
        <w:rPr>
          <w:rFonts w:eastAsia="Times New Roman"/>
          <w:u w:val="none"/>
        </w:rPr>
        <w:t>R</w:t>
      </w:r>
      <w:r w:rsidR="005C3323">
        <w:rPr>
          <w:rFonts w:eastAsia="Times New Roman"/>
          <w:u w:val="none"/>
        </w:rPr>
        <w:t>.</w:t>
      </w:r>
      <w:r w:rsidRPr="005C3323" w:rsidR="000F21C0">
        <w:rPr>
          <w:rFonts w:eastAsia="Times New Roman"/>
          <w:u w:val="none"/>
        </w:rPr>
        <w:t xml:space="preserve"> § 54.9.</w:t>
      </w:r>
    </w:p>
    <w:p w:rsidRPr="00FC64DA" w:rsidR="004A5C2C" w:rsidP="001861C7" w:rsidRDefault="004A5C2C" w14:paraId="621B4B54" w14:textId="77777777">
      <w:pPr>
        <w:pStyle w:val="ListParagraph"/>
        <w:numPr>
          <w:ilvl w:val="0"/>
          <w:numId w:val="0"/>
        </w:numPr>
        <w:spacing w:after="0"/>
        <w:ind w:left="720"/>
      </w:pPr>
    </w:p>
    <w:p w:rsidR="000F21C0" w:rsidP="001861C7" w:rsidRDefault="000F21C0" w14:paraId="03925076" w14:textId="4BE0D347">
      <w:pPr>
        <w:pStyle w:val="ListParagraph"/>
        <w:numPr>
          <w:ilvl w:val="0"/>
          <w:numId w:val="0"/>
        </w:numPr>
        <w:spacing w:after="0"/>
        <w:ind w:left="720"/>
        <w:rPr>
          <w:u w:val="none"/>
        </w:rPr>
      </w:pPr>
      <w:r w:rsidRPr="00FC64DA">
        <w:rPr>
          <w:u w:val="none"/>
        </w:rPr>
        <w:t xml:space="preserve">Additionally, the Commission requires that </w:t>
      </w:r>
      <w:r w:rsidRPr="00FC64DA" w:rsidR="00FA3AC3">
        <w:rPr>
          <w:u w:val="none"/>
        </w:rPr>
        <w:t xml:space="preserve">recipients of </w:t>
      </w:r>
      <w:r w:rsidRPr="00FC64DA" w:rsidR="005C3323">
        <w:rPr>
          <w:u w:val="none"/>
        </w:rPr>
        <w:t>USF</w:t>
      </w:r>
      <w:r w:rsidRPr="00FC64DA" w:rsidR="00FA3AC3">
        <w:rPr>
          <w:u w:val="none"/>
        </w:rPr>
        <w:t xml:space="preserve"> support</w:t>
      </w:r>
      <w:r w:rsidRPr="00FC64DA" w:rsidR="005C3323">
        <w:rPr>
          <w:u w:val="none"/>
        </w:rPr>
        <w:t xml:space="preserve">, including high-cost support, certify that they have complied with 47 C.F.R. § 54.10, which prohibits the use of Federal subsidies for equipment and services on the Covered list.  </w:t>
      </w:r>
      <w:r w:rsidRPr="00FC64DA" w:rsidR="005C3323">
        <w:rPr>
          <w:i/>
          <w:u w:val="none"/>
        </w:rPr>
        <w:t>2020 Supply Chain Order</w:t>
      </w:r>
      <w:r w:rsidRPr="00FC64DA" w:rsidR="005C3323">
        <w:rPr>
          <w:u w:val="none"/>
        </w:rPr>
        <w:t xml:space="preserve">, 35 FCC Rcd at 14329, para. 103.  </w:t>
      </w:r>
      <w:r w:rsidR="00817C5D">
        <w:rPr>
          <w:u w:val="none"/>
        </w:rPr>
        <w:t>R</w:t>
      </w:r>
      <w:r w:rsidRPr="00FC64DA" w:rsidR="005C3323">
        <w:rPr>
          <w:u w:val="none"/>
        </w:rPr>
        <w:t>ecipients of USF support</w:t>
      </w:r>
      <w:r w:rsidR="00817C5D">
        <w:rPr>
          <w:u w:val="none"/>
        </w:rPr>
        <w:t xml:space="preserve"> are also required</w:t>
      </w:r>
      <w:r w:rsidRPr="00FC64DA" w:rsidR="005C3323">
        <w:rPr>
          <w:u w:val="none"/>
        </w:rPr>
        <w:t xml:space="preserve"> to certify that they have complied with 47 C.F.R. § 54.11, which requires the removal of equipment and services on the Covered List.  </w:t>
      </w:r>
      <w:r w:rsidRPr="00FC64DA" w:rsidR="00742420">
        <w:rPr>
          <w:u w:val="none"/>
        </w:rPr>
        <w:t xml:space="preserve">The first </w:t>
      </w:r>
      <w:r w:rsidRPr="00FC64DA" w:rsidR="005C3323">
        <w:rPr>
          <w:u w:val="none"/>
        </w:rPr>
        <w:t xml:space="preserve">such </w:t>
      </w:r>
      <w:r w:rsidRPr="00FC64DA" w:rsidR="00742420">
        <w:rPr>
          <w:u w:val="none"/>
        </w:rPr>
        <w:t>certification will be required one year after the Wireline Competition Bureau Public Notice announcing the acceptance of applications filed during the initial filing window to participate in the Reimbursement Program.</w:t>
      </w:r>
      <w:r w:rsidR="007C2FC8">
        <w:rPr>
          <w:u w:val="none"/>
        </w:rPr>
        <w:t xml:space="preserve">  </w:t>
      </w:r>
      <w:r w:rsidRPr="007C2FC8" w:rsidR="007C2FC8">
        <w:rPr>
          <w:i/>
          <w:iCs/>
          <w:u w:val="none"/>
        </w:rPr>
        <w:t>See</w:t>
      </w:r>
      <w:r w:rsidR="007C2FC8">
        <w:rPr>
          <w:i/>
          <w:iCs/>
          <w:u w:val="none"/>
        </w:rPr>
        <w:t xml:space="preserve"> </w:t>
      </w:r>
      <w:r w:rsidRPr="007C2FC8" w:rsidR="007C2FC8">
        <w:rPr>
          <w:i/>
          <w:iCs/>
          <w:u w:val="none"/>
        </w:rPr>
        <w:t>Wireline Competition Bureau Announces Applications Filed for the Secure and Trusted Communications Networks Reimbursement Program</w:t>
      </w:r>
      <w:r w:rsidR="007C2FC8">
        <w:rPr>
          <w:u w:val="none"/>
        </w:rPr>
        <w:t>, WC Docket No. 18-89, Public Notice, DA 22-131 (WCB 2022).</w:t>
      </w:r>
      <w:r w:rsidRPr="00FC64DA" w:rsidR="00742420">
        <w:rPr>
          <w:u w:val="none"/>
        </w:rPr>
        <w:t xml:space="preserve"> </w:t>
      </w:r>
      <w:r w:rsidRPr="00FC64DA" w:rsidR="005C3323">
        <w:rPr>
          <w:u w:val="none"/>
        </w:rPr>
        <w:t xml:space="preserve"> </w:t>
      </w:r>
      <w:r w:rsidRPr="00FC64DA" w:rsidR="00742420">
        <w:rPr>
          <w:u w:val="none"/>
        </w:rPr>
        <w:t>Once the one-year period has expired, ETCs receiving USF support will then need to certify going forward that they are not using equipment or services identified on the Covered List before receiving USF support each funding year.</w:t>
      </w:r>
      <w:r w:rsidRPr="00FC64DA" w:rsidR="00605EFF">
        <w:rPr>
          <w:u w:val="none"/>
        </w:rPr>
        <w:t xml:space="preserve">  </w:t>
      </w:r>
      <w:r w:rsidRPr="00FC64DA" w:rsidR="00605EFF">
        <w:rPr>
          <w:i/>
          <w:u w:val="none"/>
        </w:rPr>
        <w:t>2020 Supply Chain Order</w:t>
      </w:r>
      <w:r w:rsidRPr="00FC64DA" w:rsidR="00605EFF">
        <w:rPr>
          <w:u w:val="none"/>
        </w:rPr>
        <w:t>, 35 FCC Rcd at 14308, para. 49.</w:t>
      </w:r>
      <w:r w:rsidRPr="00FC64DA" w:rsidR="00831476">
        <w:rPr>
          <w:u w:val="none"/>
        </w:rPr>
        <w:t xml:space="preserve"> </w:t>
      </w:r>
      <w:r w:rsidR="00D27AAF">
        <w:rPr>
          <w:u w:val="none"/>
        </w:rPr>
        <w:t>This requirement is being revised to include these new certifications.</w:t>
      </w:r>
    </w:p>
    <w:p w:rsidRPr="00FC64DA" w:rsidR="004A5C2C" w:rsidP="001861C7" w:rsidRDefault="004A5C2C" w14:paraId="027F201E" w14:textId="77777777">
      <w:pPr>
        <w:pStyle w:val="ListParagraph"/>
        <w:numPr>
          <w:ilvl w:val="0"/>
          <w:numId w:val="0"/>
        </w:numPr>
        <w:spacing w:after="0"/>
        <w:ind w:left="720"/>
        <w:rPr>
          <w:u w:val="none"/>
        </w:rPr>
      </w:pPr>
    </w:p>
    <w:p w:rsidRPr="00FC64DA" w:rsidR="000448EC" w:rsidP="001861C7" w:rsidRDefault="005C3323" w14:paraId="62A13AAD" w14:textId="7F43D88F">
      <w:pPr>
        <w:pStyle w:val="ListParagraph"/>
        <w:numPr>
          <w:ilvl w:val="0"/>
          <w:numId w:val="0"/>
        </w:numPr>
        <w:spacing w:after="0"/>
        <w:ind w:left="720"/>
      </w:pPr>
      <w:r w:rsidRPr="005C3323">
        <w:rPr>
          <w:rFonts w:eastAsia="Times New Roman"/>
          <w:u w:val="none"/>
        </w:rPr>
        <w:t>Th</w:t>
      </w:r>
      <w:r>
        <w:rPr>
          <w:rFonts w:eastAsia="Times New Roman"/>
          <w:u w:val="none"/>
        </w:rPr>
        <w:t>e</w:t>
      </w:r>
      <w:r w:rsidRPr="00FC64DA" w:rsidR="00C563C1">
        <w:rPr>
          <w:rFonts w:eastAsia="Times New Roman"/>
          <w:u w:val="none"/>
        </w:rPr>
        <w:t>s</w:t>
      </w:r>
      <w:r>
        <w:rPr>
          <w:rFonts w:eastAsia="Times New Roman"/>
          <w:u w:val="none"/>
        </w:rPr>
        <w:t>e</w:t>
      </w:r>
      <w:r w:rsidRPr="005C3323">
        <w:rPr>
          <w:rFonts w:eastAsia="Times New Roman"/>
          <w:u w:val="none"/>
        </w:rPr>
        <w:t xml:space="preserve"> disclosure</w:t>
      </w:r>
      <w:r>
        <w:rPr>
          <w:rFonts w:eastAsia="Times New Roman"/>
          <w:u w:val="none"/>
        </w:rPr>
        <w:t>s</w:t>
      </w:r>
      <w:r w:rsidRPr="005C3323">
        <w:rPr>
          <w:rFonts w:eastAsia="Times New Roman"/>
          <w:u w:val="none"/>
        </w:rPr>
        <w:t xml:space="preserve"> </w:t>
      </w:r>
      <w:r>
        <w:rPr>
          <w:rFonts w:eastAsia="Times New Roman"/>
          <w:u w:val="none"/>
        </w:rPr>
        <w:t>are</w:t>
      </w:r>
      <w:r w:rsidRPr="00FC64DA" w:rsidR="00C563C1">
        <w:rPr>
          <w:rFonts w:eastAsia="Times New Roman"/>
          <w:u w:val="none"/>
        </w:rPr>
        <w:t xml:space="preserve"> low-burden measure</w:t>
      </w:r>
      <w:r w:rsidRPr="00FC64DA">
        <w:rPr>
          <w:rFonts w:eastAsia="Times New Roman"/>
          <w:u w:val="none"/>
        </w:rPr>
        <w:t>s that help</w:t>
      </w:r>
      <w:r w:rsidRPr="00FC64DA" w:rsidR="00C563C1">
        <w:rPr>
          <w:rFonts w:eastAsia="Times New Roman"/>
          <w:u w:val="none"/>
        </w:rPr>
        <w:t xml:space="preserve"> protect the integrity of the communications supply chain</w:t>
      </w:r>
      <w:r w:rsidRPr="00FC64DA" w:rsidR="005B1882">
        <w:rPr>
          <w:rFonts w:eastAsia="Times New Roman"/>
          <w:u w:val="none"/>
        </w:rPr>
        <w:t xml:space="preserve">, and </w:t>
      </w:r>
      <w:r w:rsidR="00817C5D">
        <w:rPr>
          <w:rFonts w:eastAsia="Times New Roman"/>
          <w:u w:val="none"/>
        </w:rPr>
        <w:t>the Commission</w:t>
      </w:r>
      <w:r w:rsidRPr="00FC64DA" w:rsidR="00817C5D">
        <w:rPr>
          <w:u w:val="none"/>
        </w:rPr>
        <w:t xml:space="preserve"> </w:t>
      </w:r>
      <w:r w:rsidRPr="00FC64DA" w:rsidR="005B1882">
        <w:rPr>
          <w:u w:val="none"/>
        </w:rPr>
        <w:t>expect</w:t>
      </w:r>
      <w:r w:rsidR="00817C5D">
        <w:rPr>
          <w:u w:val="none"/>
        </w:rPr>
        <w:t>s</w:t>
      </w:r>
      <w:r w:rsidRPr="00FC64DA" w:rsidR="005B1882">
        <w:rPr>
          <w:u w:val="none"/>
        </w:rPr>
        <w:t xml:space="preserve"> that the time required to make the supply chain certifications will be </w:t>
      </w:r>
      <w:r w:rsidRPr="00FC64DA" w:rsidR="005B1882">
        <w:rPr>
          <w:i/>
          <w:u w:val="none"/>
        </w:rPr>
        <w:t>de minimis</w:t>
      </w:r>
      <w:r w:rsidRPr="00FC64DA" w:rsidR="005B1882">
        <w:rPr>
          <w:u w:val="none"/>
        </w:rPr>
        <w:t>.</w:t>
      </w:r>
    </w:p>
    <w:p w:rsidR="000448EC" w:rsidP="001861C7" w:rsidRDefault="000448EC" w14:paraId="69ADAC00" w14:textId="77777777">
      <w:pPr>
        <w:pStyle w:val="ListParagraph"/>
        <w:numPr>
          <w:ilvl w:val="0"/>
          <w:numId w:val="0"/>
        </w:numPr>
        <w:spacing w:after="0" w:line="240" w:lineRule="auto"/>
        <w:ind w:left="720"/>
      </w:pPr>
    </w:p>
    <w:p w:rsidRPr="00FC64DA" w:rsidR="00760D1D" w:rsidRDefault="000448EC" w14:paraId="20048B80" w14:textId="1CFB8EB2">
      <w:pPr>
        <w:pStyle w:val="ListParagraph"/>
        <w:numPr>
          <w:ilvl w:val="0"/>
          <w:numId w:val="46"/>
        </w:numPr>
        <w:spacing w:after="0" w:line="240" w:lineRule="auto"/>
      </w:pPr>
      <w:r w:rsidRPr="001C5CB4">
        <w:t>Reasonably Comparable Rate Certification for Broadband for High-Cost Recipients (See 12.</w:t>
      </w:r>
      <w:r w:rsidR="003A70A6">
        <w:t>c</w:t>
      </w:r>
      <w:r w:rsidRPr="001C5CB4">
        <w:t>)</w:t>
      </w:r>
      <w:r w:rsidRPr="00D43798">
        <w:rPr>
          <w:u w:val="none"/>
        </w:rPr>
        <w:t>:</w:t>
      </w:r>
      <w:r w:rsidRPr="00FC64DA">
        <w:rPr>
          <w:u w:val="none"/>
        </w:rPr>
        <w:t xml:space="preserve">  The Commission requires high-cost recipients to certify in their FCC Form 481 reports that the pricing of a service that meets the Commission’s broadband public </w:t>
      </w:r>
      <w:r w:rsidRPr="00FC64DA">
        <w:rPr>
          <w:u w:val="none"/>
        </w:rPr>
        <w:lastRenderedPageBreak/>
        <w:t xml:space="preserve">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47 C.F.R. § 54.313(a)(3).  Recipients also are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w:t>
      </w:r>
      <w:r w:rsidRPr="00FC64DA" w:rsidR="00760D1D">
        <w:rPr>
          <w:u w:val="none"/>
        </w:rPr>
        <w:t>areas for comparable services.</w:t>
      </w:r>
      <w:r w:rsidRPr="00D43798" w:rsidR="00760D1D">
        <w:t xml:space="preserve"> </w:t>
      </w:r>
    </w:p>
    <w:p w:rsidR="00760D1D" w:rsidP="001861C7" w:rsidRDefault="00760D1D" w14:paraId="0F342710" w14:textId="77777777">
      <w:pPr>
        <w:pStyle w:val="ListParagraph"/>
        <w:numPr>
          <w:ilvl w:val="0"/>
          <w:numId w:val="0"/>
        </w:numPr>
        <w:spacing w:after="0" w:line="240" w:lineRule="auto"/>
        <w:ind w:left="720"/>
        <w:rPr>
          <w:u w:val="none"/>
        </w:rPr>
      </w:pPr>
    </w:p>
    <w:p w:rsidRPr="00D43798" w:rsidR="0089530F" w:rsidP="001861C7" w:rsidRDefault="000448EC" w14:paraId="74AB1E11" w14:textId="68D7DE5B">
      <w:pPr>
        <w:pStyle w:val="ListParagraph"/>
        <w:numPr>
          <w:ilvl w:val="0"/>
          <w:numId w:val="0"/>
        </w:numPr>
        <w:spacing w:after="0" w:line="240" w:lineRule="auto"/>
        <w:ind w:left="720"/>
        <w:rPr>
          <w:u w:val="none"/>
        </w:rPr>
      </w:pPr>
      <w:r w:rsidRPr="000448EC">
        <w:rPr>
          <w:u w:val="none"/>
        </w:rPr>
        <w:t xml:space="preserve">Competitive ETCs participating in the Alaska Plan shall certify that one service plan that offers broadband data services, if they offer such plans, is (1) substantially similar to a service plan offered by at least one mobile wireless service provider in the CMA for Anchorage, Alaska, and (2) offered for the same or a lower rate than the matching plan in the CMA for Anchorage.  </w:t>
      </w:r>
      <w:r w:rsidRPr="000448EC">
        <w:rPr>
          <w:i/>
          <w:u w:val="none"/>
        </w:rPr>
        <w:t xml:space="preserve">See </w:t>
      </w:r>
      <w:r w:rsidRPr="000448EC">
        <w:rPr>
          <w:u w:val="none"/>
        </w:rPr>
        <w:t>47 C.F.R. § 54.308(d).</w:t>
      </w:r>
      <w:r w:rsidR="00760D1D">
        <w:rPr>
          <w:u w:val="none"/>
        </w:rPr>
        <w:t xml:space="preserve">  In addition to this annual certification, competitive ETCs participating in the Alaska Plan must also demonstrate compliance with the requirement at the end of the </w:t>
      </w:r>
      <w:r w:rsidR="00127047">
        <w:rPr>
          <w:u w:val="none"/>
        </w:rPr>
        <w:t xml:space="preserve">competitive </w:t>
      </w:r>
      <w:r w:rsidR="00760D1D">
        <w:rPr>
          <w:u w:val="none"/>
        </w:rPr>
        <w:t xml:space="preserve">ETC’s five-year and 10-year milestones.  </w:t>
      </w:r>
      <w:r w:rsidR="00760D1D">
        <w:rPr>
          <w:i/>
          <w:u w:val="none"/>
        </w:rPr>
        <w:t>See id.</w:t>
      </w:r>
      <w:r w:rsidR="00760D1D">
        <w:rPr>
          <w:u w:val="none"/>
        </w:rPr>
        <w:t xml:space="preserve">  </w:t>
      </w:r>
      <w:r w:rsidR="00D27AAF">
        <w:rPr>
          <w:u w:val="none"/>
        </w:rPr>
        <w:t>This collection is being revised to include the</w:t>
      </w:r>
      <w:r w:rsidR="00760D1D">
        <w:rPr>
          <w:u w:val="none"/>
        </w:rPr>
        <w:t xml:space="preserve"> required demonstrations at the five-year and 10-year milestones.</w:t>
      </w:r>
    </w:p>
    <w:p w:rsidRPr="001C5CB4" w:rsidR="00745A69" w:rsidRDefault="00745A69" w14:paraId="418D6387" w14:textId="77777777">
      <w:pPr>
        <w:spacing w:after="0" w:line="240" w:lineRule="auto"/>
        <w:ind w:left="0"/>
      </w:pPr>
    </w:p>
    <w:p w:rsidR="00F71D27" w:rsidRDefault="00F71D27" w14:paraId="2E0D136B" w14:textId="7CFB277A">
      <w:pPr>
        <w:pStyle w:val="Heading3"/>
        <w:spacing w:after="0" w:line="240" w:lineRule="auto"/>
      </w:pPr>
      <w:r>
        <w:t>Currently approved requirements that are being eliminated:</w:t>
      </w:r>
    </w:p>
    <w:p w:rsidRPr="00B061A6" w:rsidR="00B061A6" w:rsidP="001861C7" w:rsidRDefault="00B061A6" w14:paraId="4A267EFD" w14:textId="77777777">
      <w:pPr>
        <w:spacing w:after="0"/>
      </w:pPr>
    </w:p>
    <w:p w:rsidRPr="00B061A6" w:rsidR="00B061A6" w:rsidP="001861C7" w:rsidRDefault="00B061A6" w14:paraId="4B45E9E0" w14:textId="542A2259">
      <w:pPr>
        <w:pStyle w:val="ListParagraph"/>
        <w:numPr>
          <w:ilvl w:val="0"/>
          <w:numId w:val="46"/>
        </w:numPr>
        <w:spacing w:after="0" w:line="240" w:lineRule="auto"/>
      </w:pPr>
      <w:r w:rsidRPr="003A18D6">
        <w:rPr>
          <w:color w:val="000000"/>
        </w:rPr>
        <w:t>Residential Rate Updates.  47 C.F.R. § 54.313(h) (See 12.d)</w:t>
      </w:r>
      <w:r w:rsidRPr="003A18D6">
        <w:rPr>
          <w:color w:val="000000"/>
          <w:u w:val="none"/>
        </w:rPr>
        <w:t xml:space="preserve">:  The Commission has eliminated this requirement </w:t>
      </w:r>
      <w:r w:rsidRPr="003A18D6">
        <w:rPr>
          <w:u w:val="none"/>
        </w:rPr>
        <w:t>and</w:t>
      </w:r>
      <w:r w:rsidRPr="005161A1">
        <w:rPr>
          <w:u w:val="none"/>
        </w:rPr>
        <w:t>, therefore, is being eliminated from this information collection</w:t>
      </w:r>
      <w:r w:rsidRPr="005161A1">
        <w:rPr>
          <w:color w:val="000000"/>
          <w:u w:val="none"/>
        </w:rPr>
        <w:t xml:space="preserve">.  </w:t>
      </w:r>
      <w:r w:rsidRPr="005161A1">
        <w:rPr>
          <w:i/>
          <w:color w:val="000000"/>
          <w:u w:val="none"/>
        </w:rPr>
        <w:t>See Connect America Fund</w:t>
      </w:r>
      <w:r w:rsidRPr="005161A1">
        <w:rPr>
          <w:color w:val="000000"/>
          <w:u w:val="none"/>
        </w:rPr>
        <w:t xml:space="preserve">, WC Docket No. 10-90, Order, </w:t>
      </w:r>
      <w:r w:rsidRPr="00B061A6">
        <w:rPr>
          <w:color w:val="000000"/>
          <w:u w:val="none"/>
        </w:rPr>
        <w:t>34 FCC Rcd 2621, 2621 para. 2 (2019) (</w:t>
      </w:r>
      <w:r w:rsidRPr="001861C7">
        <w:rPr>
          <w:i/>
          <w:color w:val="000000"/>
          <w:u w:val="none"/>
        </w:rPr>
        <w:t>Rate Floor Repeal Order</w:t>
      </w:r>
      <w:r w:rsidRPr="00B061A6">
        <w:rPr>
          <w:color w:val="000000"/>
          <w:u w:val="none"/>
        </w:rPr>
        <w:t>) (“[W]e now eliminate the rate floor and, following a one-year period of monitoring residential retail rates, eliminate the accompanying reporting obligations after July 1, 2020.”).</w:t>
      </w:r>
      <w:r w:rsidRPr="001861C7">
        <w:rPr>
          <w:i/>
          <w:color w:val="000000"/>
          <w:u w:val="none"/>
        </w:rPr>
        <w:t xml:space="preserve">  </w:t>
      </w:r>
      <w:r w:rsidRPr="00B061A6">
        <w:rPr>
          <w:color w:val="000000"/>
          <w:u w:val="none"/>
        </w:rPr>
        <w:t>All incumbent local exchange carrier recipients of high-cost support were required to 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 and the number of lines for each rate specified.  In addition to the annual filing, local exchange carriers were able to file updates of their rates for residential local service, as well as state fees, on January 2 of each year.  If a local exchange carrier reduced its rates and the sum of the reduced rates and state fees were below the rate floor, the local exchange carrier were to file such an update.  For the update, carriers were to report lines and rates in effect as of Decemb</w:t>
      </w:r>
      <w:r w:rsidRPr="00B061A6">
        <w:rPr>
          <w:u w:val="none"/>
        </w:rPr>
        <w:t>er 1.</w:t>
      </w:r>
    </w:p>
    <w:p w:rsidRPr="00C91299" w:rsidR="00AA70D7" w:rsidP="001861C7" w:rsidRDefault="00AA70D7" w14:paraId="12C42595" w14:textId="77777777">
      <w:pPr>
        <w:pStyle w:val="ListParagraph"/>
        <w:numPr>
          <w:ilvl w:val="0"/>
          <w:numId w:val="0"/>
        </w:numPr>
        <w:spacing w:after="0" w:line="240" w:lineRule="auto"/>
        <w:ind w:left="720"/>
      </w:pPr>
    </w:p>
    <w:p w:rsidRPr="001C5CB4" w:rsidR="00AA70D7" w:rsidRDefault="00AA70D7" w14:paraId="7E42826A" w14:textId="04D1B0D6">
      <w:pPr>
        <w:pStyle w:val="ListParagraph"/>
        <w:numPr>
          <w:ilvl w:val="0"/>
          <w:numId w:val="46"/>
        </w:numPr>
        <w:spacing w:after="0" w:line="240" w:lineRule="auto"/>
      </w:pPr>
      <w:r w:rsidRPr="001C5CB4">
        <w:t>Local End User Rates and State Regulated Fees (See 12.</w:t>
      </w:r>
      <w:r w:rsidR="003B2547">
        <w:t>e</w:t>
      </w:r>
      <w:r w:rsidRPr="001C5CB4">
        <w:t>)</w:t>
      </w:r>
      <w:r w:rsidRPr="0036306C">
        <w:rPr>
          <w:u w:val="none"/>
        </w:rPr>
        <w:t>:</w:t>
      </w:r>
      <w:r w:rsidRPr="004B5855" w:rsidR="00881EB1">
        <w:rPr>
          <w:color w:val="000000"/>
          <w:u w:val="none"/>
        </w:rPr>
        <w:t xml:space="preserve">  </w:t>
      </w:r>
      <w:r w:rsidRPr="0036306C" w:rsidR="00881EB1">
        <w:rPr>
          <w:color w:val="000000"/>
          <w:u w:val="none"/>
        </w:rPr>
        <w:t>The Commission has eliminated this requirement</w:t>
      </w:r>
      <w:r w:rsidR="003A18D6">
        <w:rPr>
          <w:color w:val="000000"/>
          <w:u w:val="none"/>
        </w:rPr>
        <w:t xml:space="preserve"> </w:t>
      </w:r>
      <w:r w:rsidRPr="000550CE" w:rsidR="003A18D6">
        <w:rPr>
          <w:u w:val="none"/>
        </w:rPr>
        <w:t>and, therefore, is being eliminated from this information collection</w:t>
      </w:r>
      <w:r w:rsidRPr="0036306C" w:rsidR="00881EB1">
        <w:rPr>
          <w:color w:val="000000"/>
          <w:u w:val="none"/>
        </w:rPr>
        <w:t xml:space="preserve">.  </w:t>
      </w:r>
      <w:r w:rsidRPr="0036306C" w:rsidR="00881EB1">
        <w:rPr>
          <w:i/>
          <w:color w:val="000000"/>
          <w:u w:val="none"/>
        </w:rPr>
        <w:t>See Rate Floor Repeal Order</w:t>
      </w:r>
      <w:r w:rsidRPr="0036306C" w:rsidR="00881EB1">
        <w:rPr>
          <w:color w:val="000000"/>
          <w:u w:val="none"/>
        </w:rPr>
        <w:t>, 34 FCC Rcd at 2621 para. 2 (“[W]e now eliminate the rate floor and, following a one-year period of monitoring residential retail rates, eliminate the accompanying reporting obligations after July 1, 2020.”).</w:t>
      </w:r>
      <w:r w:rsidRPr="0036306C" w:rsidR="00881EB1">
        <w:rPr>
          <w:i/>
          <w:color w:val="000000"/>
          <w:u w:val="none"/>
        </w:rPr>
        <w:t xml:space="preserve">  </w:t>
      </w:r>
      <w:r w:rsidR="00881EB1">
        <w:rPr>
          <w:color w:val="000000"/>
          <w:u w:val="none"/>
        </w:rPr>
        <w:t>The Commission required</w:t>
      </w:r>
      <w:r w:rsidRPr="00AA70D7">
        <w:rPr>
          <w:color w:val="000000"/>
          <w:u w:val="none"/>
        </w:rPr>
        <w:t xml:space="preserve"> carriers receiving high-cost loop support or Connect America Phase I support to report, on an annual basis, the local end user rates that fall below a </w:t>
      </w:r>
      <w:r w:rsidRPr="00AA70D7">
        <w:rPr>
          <w:color w:val="000000"/>
          <w:u w:val="none"/>
        </w:rPr>
        <w:lastRenderedPageBreak/>
        <w:t xml:space="preserve">specified urban rate floor and the number of lines associated with each rate.  </w:t>
      </w:r>
      <w:r w:rsidRPr="00AA70D7">
        <w:rPr>
          <w:i/>
          <w:u w:val="none"/>
        </w:rPr>
        <w:t>See</w:t>
      </w:r>
      <w:r w:rsidRPr="00AA70D7">
        <w:rPr>
          <w:u w:val="none"/>
        </w:rPr>
        <w:t xml:space="preserve"> 47 C</w:t>
      </w:r>
      <w:r w:rsidR="00881EB1">
        <w:rPr>
          <w:u w:val="none"/>
        </w:rPr>
        <w:t>.F.R. § 54.313(h).  This permitted</w:t>
      </w:r>
      <w:r w:rsidRPr="00AA70D7">
        <w:rPr>
          <w:u w:val="none"/>
        </w:rPr>
        <w:t xml:space="preserve"> </w:t>
      </w:r>
      <w:r w:rsidR="001861C7">
        <w:rPr>
          <w:u w:val="none"/>
        </w:rPr>
        <w:t xml:space="preserve">the </w:t>
      </w:r>
      <w:r w:rsidR="00162EFF">
        <w:rPr>
          <w:u w:val="none"/>
        </w:rPr>
        <w:t>Universal Service Administrative Company (</w:t>
      </w:r>
      <w:r w:rsidRPr="00AA70D7">
        <w:rPr>
          <w:u w:val="none"/>
        </w:rPr>
        <w:t>USAC</w:t>
      </w:r>
      <w:r w:rsidR="00F97CF1">
        <w:rPr>
          <w:u w:val="none"/>
        </w:rPr>
        <w:t xml:space="preserve"> or the Administrator</w:t>
      </w:r>
      <w:r w:rsidR="00162EFF">
        <w:rPr>
          <w:u w:val="none"/>
        </w:rPr>
        <w:t>)</w:t>
      </w:r>
      <w:r w:rsidRPr="00AA70D7">
        <w:rPr>
          <w:u w:val="none"/>
        </w:rPr>
        <w:t xml:space="preserve"> to </w:t>
      </w:r>
      <w:r w:rsidRPr="00AA70D7">
        <w:rPr>
          <w:color w:val="000000"/>
          <w:u w:val="none"/>
        </w:rPr>
        <w:t xml:space="preserve">calculate reductions in support.  Carriers </w:t>
      </w:r>
      <w:r w:rsidR="00881EB1">
        <w:rPr>
          <w:color w:val="000000"/>
          <w:u w:val="none"/>
        </w:rPr>
        <w:t>were</w:t>
      </w:r>
      <w:r w:rsidRPr="00AA70D7">
        <w:rPr>
          <w:color w:val="000000"/>
          <w:u w:val="none"/>
        </w:rPr>
        <w:t xml:space="preserve"> expected to provide local end user rate and state fee information in electronic form.</w:t>
      </w:r>
    </w:p>
    <w:p w:rsidRPr="002606FF" w:rsidR="00F71D27" w:rsidRDefault="00F71D27" w14:paraId="5C6163DC" w14:textId="77777777">
      <w:pPr>
        <w:pStyle w:val="Heading3"/>
        <w:spacing w:after="0" w:line="240" w:lineRule="auto"/>
      </w:pPr>
    </w:p>
    <w:p w:rsidR="003B2547" w:rsidRDefault="003B723A" w14:paraId="68156109" w14:textId="7D3810E6">
      <w:pPr>
        <w:pStyle w:val="Heading3"/>
        <w:spacing w:after="0" w:line="240" w:lineRule="auto"/>
      </w:pPr>
      <w:r w:rsidRPr="001C5CB4">
        <w:t>Currently approved requirements in this information collection (no changes to requirements):</w:t>
      </w:r>
    </w:p>
    <w:p w:rsidRPr="00162EFF" w:rsidR="00162EFF" w:rsidP="001861C7" w:rsidRDefault="00162EFF" w14:paraId="6AED3B9E" w14:textId="77777777">
      <w:pPr>
        <w:spacing w:after="0"/>
      </w:pPr>
    </w:p>
    <w:p w:rsidRPr="002563EB" w:rsidR="00D43798" w:rsidRDefault="00D43798" w14:paraId="5488DE07" w14:textId="77777777">
      <w:pPr>
        <w:spacing w:after="0" w:line="240" w:lineRule="auto"/>
        <w:ind w:left="270"/>
      </w:pPr>
      <w:r w:rsidRPr="004217E0">
        <w:t xml:space="preserve">Through the </w:t>
      </w:r>
      <w:r>
        <w:t>Commission’s high-cost universal service programs</w:t>
      </w:r>
      <w:r w:rsidRPr="004217E0">
        <w:t>, the Commission provides substantial amounts of funding to private entities in order to deploy advanced vo</w:t>
      </w:r>
      <w:r w:rsidRPr="00351E83">
        <w:t xml:space="preserve">ice and broadband networks throughout the country.  To ensure these funds are properly used, various reporting requirements are imposed on funding recipients.  The reports, information, and certifications discussed in </w:t>
      </w:r>
      <w:r w:rsidRPr="002563EB">
        <w:t xml:space="preserve">this section must be submitted annually to the Administrator.  </w:t>
      </w:r>
    </w:p>
    <w:p w:rsidR="00D43798" w:rsidRDefault="00D43798" w14:paraId="5108AAAF" w14:textId="77777777">
      <w:pPr>
        <w:widowControl w:val="0"/>
        <w:tabs>
          <w:tab w:val="left" w:pos="0"/>
        </w:tabs>
        <w:suppressAutoHyphens/>
        <w:spacing w:after="0" w:line="240" w:lineRule="auto"/>
      </w:pPr>
    </w:p>
    <w:p w:rsidRPr="00137F86" w:rsidR="003B2547" w:rsidRDefault="003B2547" w14:paraId="25616910" w14:textId="2A71A2BE">
      <w:pPr>
        <w:pStyle w:val="ListParagraph"/>
        <w:spacing w:after="0" w:line="240" w:lineRule="auto"/>
        <w:ind w:hanging="450"/>
        <w:rPr>
          <w:b/>
          <w:i/>
        </w:rPr>
      </w:pPr>
      <w:r w:rsidRPr="001C5CB4">
        <w:t>Annual Reporting</w:t>
      </w:r>
      <w:r>
        <w:t xml:space="preserve"> Requirements for All Funding Recipients</w:t>
      </w:r>
      <w:r w:rsidRPr="001C5CB4">
        <w:t xml:space="preserve"> (See 12.</w:t>
      </w:r>
      <w:r>
        <w:t>f</w:t>
      </w:r>
      <w:r w:rsidRPr="001C5CB4">
        <w:t>)</w:t>
      </w:r>
      <w:r w:rsidRPr="00A13937">
        <w:t>:</w:t>
      </w:r>
      <w:r w:rsidRPr="001C5CB4">
        <w:t xml:space="preserve">  </w:t>
      </w:r>
      <w:r w:rsidRPr="00D43798">
        <w:rPr>
          <w:u w:val="none"/>
        </w:rPr>
        <w:t xml:space="preserve">All ETCs must include in their annual reports the information that is required by section 54.313, as appropriate.  See 47 C.F.R. § 54.313.  It is necessary and appropriate for the Commission to obtain such information from all ETCs, both federal-and state-designated, to ensure the continued availability of high-quality voice services and monitor progress in achieving the Commission’s broadband goals and to assist the FCC in determining whether the funds are being used appropriately.  This reporting requirement ensures that ETCs comply with the conditions of the ETC designation and that universal service funds are used for their intended purposes. </w:t>
      </w:r>
    </w:p>
    <w:p w:rsidRPr="001C5CB4" w:rsidR="003B2547" w:rsidP="001861C7" w:rsidRDefault="003B2547" w14:paraId="25085571" w14:textId="77777777">
      <w:pPr>
        <w:pStyle w:val="ListParagraph"/>
        <w:numPr>
          <w:ilvl w:val="0"/>
          <w:numId w:val="0"/>
        </w:numPr>
        <w:spacing w:after="0" w:line="240" w:lineRule="auto"/>
        <w:ind w:left="720"/>
        <w:rPr>
          <w:b/>
          <w:i/>
        </w:rPr>
      </w:pPr>
      <w:r w:rsidRPr="001C5CB4">
        <w:rPr>
          <w:u w:val="none"/>
        </w:rPr>
        <w:t xml:space="preserve">   </w:t>
      </w:r>
    </w:p>
    <w:p w:rsidRPr="001C5CB4" w:rsidR="003B2547" w:rsidRDefault="003B2547" w14:paraId="4BC2A698" w14:textId="2EBF2806">
      <w:pPr>
        <w:pStyle w:val="ListParagraph"/>
        <w:widowControl w:val="0"/>
        <w:numPr>
          <w:ilvl w:val="0"/>
          <w:numId w:val="10"/>
        </w:numPr>
        <w:tabs>
          <w:tab w:val="left" w:pos="0"/>
        </w:tabs>
        <w:suppressAutoHyphens/>
        <w:spacing w:after="0" w:line="240" w:lineRule="auto"/>
        <w:contextualSpacing w:val="0"/>
        <w:rPr>
          <w:color w:val="000000"/>
        </w:rPr>
      </w:pPr>
      <w:r w:rsidRPr="001C5CB4">
        <w:rPr>
          <w:color w:val="000000"/>
        </w:rPr>
        <w:t>Annual Reporting.  47 C.F.R. § 54.313(a)(4) (See 12.</w:t>
      </w:r>
      <w:r>
        <w:rPr>
          <w:color w:val="000000"/>
        </w:rPr>
        <w:t>f</w:t>
      </w:r>
      <w:r w:rsidRPr="001C5CB4">
        <w:rPr>
          <w:color w:val="000000"/>
        </w:rPr>
        <w:t>)</w:t>
      </w:r>
      <w:r w:rsidRPr="00A13937">
        <w:rPr>
          <w:color w:val="000000"/>
          <w:u w:val="none"/>
        </w:rPr>
        <w:t xml:space="preserve">.  </w:t>
      </w:r>
      <w:r w:rsidRPr="001C5CB4">
        <w:rPr>
          <w:color w:val="000000"/>
          <w:u w:val="none"/>
        </w:rPr>
        <w:t xml:space="preserve">To help the Commission reduce waste, fraud, and abuse, increase accountability in its universal service programs, and ensure compliance with various requirements that take into account holding company structure, support recipients are required to report the holding company, operating companies, affiliates, and any branding (a “dba” or “doing-business-as company” or brand designation), for each such entity by Study Area Codes.  </w:t>
      </w:r>
    </w:p>
    <w:p w:rsidRPr="003B723A" w:rsidR="003B2547" w:rsidRDefault="003B2547" w14:paraId="057DE732" w14:textId="77777777">
      <w:pPr>
        <w:pStyle w:val="ListParagraph"/>
        <w:widowControl w:val="0"/>
        <w:numPr>
          <w:ilvl w:val="0"/>
          <w:numId w:val="0"/>
        </w:numPr>
        <w:tabs>
          <w:tab w:val="left" w:pos="0"/>
        </w:tabs>
        <w:suppressAutoHyphens/>
        <w:spacing w:after="0" w:line="240" w:lineRule="auto"/>
        <w:ind w:left="1440"/>
        <w:contextualSpacing w:val="0"/>
        <w:rPr>
          <w:color w:val="000000"/>
        </w:rPr>
      </w:pPr>
    </w:p>
    <w:p w:rsidR="003B2547" w:rsidRDefault="003B2547" w14:paraId="4A1B11B3" w14:textId="2222C7EB">
      <w:pPr>
        <w:widowControl w:val="0"/>
        <w:numPr>
          <w:ilvl w:val="0"/>
          <w:numId w:val="10"/>
        </w:numPr>
        <w:tabs>
          <w:tab w:val="left" w:pos="0"/>
        </w:tabs>
        <w:suppressAutoHyphens/>
        <w:spacing w:after="0" w:line="240" w:lineRule="auto"/>
      </w:pPr>
      <w:r w:rsidRPr="003B723A">
        <w:rPr>
          <w:color w:val="000000"/>
          <w:u w:val="single"/>
        </w:rPr>
        <w:t>Annual Reporting.  47 C.F.R. § 54.313(a)(1)</w:t>
      </w:r>
      <w:r w:rsidRPr="003B723A">
        <w:rPr>
          <w:u w:val="single"/>
        </w:rPr>
        <w:t xml:space="preserve"> (See 12.</w:t>
      </w:r>
      <w:r>
        <w:rPr>
          <w:u w:val="single"/>
        </w:rPr>
        <w:t>f</w:t>
      </w:r>
      <w:r w:rsidRPr="003B723A">
        <w:rPr>
          <w:u w:val="single"/>
        </w:rPr>
        <w:t>)</w:t>
      </w:r>
      <w:r w:rsidRPr="003B723A">
        <w:rPr>
          <w:color w:val="000000"/>
        </w:rPr>
        <w:t xml:space="preserve">.  ETCs are required to submit information and data required by 47 C.F.R. § 54.313(a)(1) separately broken out for both voice and broadband service.  ETCs must </w:t>
      </w:r>
      <w:r>
        <w:t xml:space="preserve">certify that they are able to function in emergency situations as set forth in 47 C.F.R. § 54.202(a)(2).  47 C.F.R. § 54.313(a)(1).  </w:t>
      </w:r>
    </w:p>
    <w:p w:rsidRPr="003E26A9" w:rsidR="003B2547" w:rsidRDefault="003B2547" w14:paraId="0B82E423" w14:textId="77777777">
      <w:pPr>
        <w:spacing w:after="0" w:line="240" w:lineRule="auto"/>
      </w:pPr>
    </w:p>
    <w:p w:rsidRPr="002563EB" w:rsidR="003B2547" w:rsidRDefault="003B2547" w14:paraId="5543CECD" w14:textId="0EBAF2C7">
      <w:pPr>
        <w:widowControl w:val="0"/>
        <w:numPr>
          <w:ilvl w:val="0"/>
          <w:numId w:val="10"/>
        </w:numPr>
        <w:tabs>
          <w:tab w:val="left" w:pos="0"/>
        </w:tabs>
        <w:suppressAutoHyphens/>
        <w:spacing w:after="0" w:line="240" w:lineRule="auto"/>
      </w:pPr>
      <w:r w:rsidRPr="0040798A">
        <w:rPr>
          <w:color w:val="000000"/>
          <w:u w:val="single"/>
        </w:rPr>
        <w:t>Annual Reporting.  47 C.F.R. § 54.313(a)</w:t>
      </w:r>
      <w:r w:rsidRPr="00F54719">
        <w:rPr>
          <w:color w:val="000000"/>
          <w:u w:val="single"/>
        </w:rPr>
        <w:t>(2)</w:t>
      </w:r>
      <w:r w:rsidRPr="002D766F">
        <w:rPr>
          <w:u w:val="single"/>
        </w:rPr>
        <w:t xml:space="preserve"> (See 12.</w:t>
      </w:r>
      <w:r>
        <w:rPr>
          <w:u w:val="single"/>
        </w:rPr>
        <w:t>f</w:t>
      </w:r>
      <w:r w:rsidRPr="002D766F">
        <w:rPr>
          <w:u w:val="single"/>
        </w:rPr>
        <w:t>)</w:t>
      </w:r>
      <w:r w:rsidRPr="003E26A9">
        <w:rPr>
          <w:color w:val="000000"/>
        </w:rPr>
        <w:t xml:space="preserve">.  To ensure parity between urban and rural rates, ETCs are required to submit a self-certification that the pricing of their voice services is no more than two standard deviations above the national average urban rate for voice services.  </w:t>
      </w:r>
      <w:r>
        <w:rPr>
          <w:color w:val="000000"/>
        </w:rPr>
        <w:t xml:space="preserve">Competitive ETCs participating in the Alaska Plan must certify that their required stand-alone voice plan is (1) substantially </w:t>
      </w:r>
      <w:r>
        <w:rPr>
          <w:lang w:eastAsia="ja-JP"/>
        </w:rPr>
        <w:t xml:space="preserve">similar to a service plan offered by at least one mobile wireless service provider in the cellular market area (CMA) for Anchorage, Alaska, and (2) offered for the same or a lower rate than the matching plan in the CMA for Anchorage.  </w:t>
      </w:r>
      <w:r>
        <w:rPr>
          <w:i/>
          <w:lang w:eastAsia="ja-JP"/>
        </w:rPr>
        <w:t xml:space="preserve">See </w:t>
      </w:r>
      <w:r>
        <w:rPr>
          <w:lang w:eastAsia="ja-JP"/>
        </w:rPr>
        <w:t>47 C.F.R. § 54.308(d).</w:t>
      </w:r>
    </w:p>
    <w:p w:rsidRPr="00726CFE" w:rsidR="003B723A" w:rsidRDefault="003B723A" w14:paraId="392E2C93" w14:textId="77777777">
      <w:pPr>
        <w:widowControl w:val="0"/>
        <w:tabs>
          <w:tab w:val="left" w:pos="0"/>
        </w:tabs>
        <w:suppressAutoHyphens/>
        <w:spacing w:after="0" w:line="240" w:lineRule="auto"/>
      </w:pPr>
    </w:p>
    <w:p w:rsidRPr="002563EB" w:rsidR="00442012" w:rsidRDefault="00442012" w14:paraId="74CBB9C7" w14:textId="2FADE4A5">
      <w:pPr>
        <w:pStyle w:val="ListParagraph"/>
        <w:spacing w:after="0" w:line="240" w:lineRule="auto"/>
        <w:ind w:hanging="450"/>
        <w:rPr>
          <w:u w:val="none"/>
        </w:rPr>
      </w:pPr>
      <w:r w:rsidRPr="00137F86">
        <w:t xml:space="preserve">Connect America Fund Phase II Requirements, Rate-of-Return Carrier Requirements. </w:t>
      </w:r>
      <w:r w:rsidRPr="00062560">
        <w:t>47 C.F.R. § 54.313(e)(1), and (f)(1) (See 12.</w:t>
      </w:r>
      <w:r w:rsidR="00881EB1">
        <w:t>g</w:t>
      </w:r>
      <w:r w:rsidRPr="00062560">
        <w:t xml:space="preserve"> &amp; 12.</w:t>
      </w:r>
      <w:r w:rsidR="00881EB1">
        <w:t>h</w:t>
      </w:r>
      <w:r w:rsidRPr="00137F86">
        <w:t>)</w:t>
      </w:r>
      <w:r w:rsidRPr="00D43798">
        <w:rPr>
          <w:u w:val="none"/>
        </w:rPr>
        <w:t>:</w:t>
      </w:r>
      <w:r w:rsidRPr="002C30BC">
        <w:rPr>
          <w:u w:val="none"/>
        </w:rPr>
        <w:t xml:space="preserve">  Price cap carriers and rate-of-return carriers must report the number, names, and addresses of community anchor institutions to which they newly began providing access to broadband service in the preceding calendar year in the required template associated with FCC Form 481.  To the extent applicable, rate-of-return carriers additionally must certify they are offering broadband meeting the Commission’s requirements upon reasonable request.  Rate-of-return carriers participating in the Alaska Plan must instead certify that they are offering broadband service consistent with their approved performance plans.  </w:t>
      </w:r>
      <w:r w:rsidRPr="002563EB">
        <w:rPr>
          <w:u w:val="none"/>
        </w:rPr>
        <w:t>Rate-of-return carriers receiving CAF-ACAM support must certify that they are meeting the relevant reasonable request standard, and rate-of-return ETCs receiving legacy high-cost support must now certify that they are meeting a 25 Mbps/3 Mbps reasonable request standard.  47 C.F.R. § 54.313(f)(1)(i).</w:t>
      </w:r>
    </w:p>
    <w:p w:rsidR="00442012" w:rsidP="001861C7" w:rsidRDefault="00442012" w14:paraId="12FC5168" w14:textId="77777777">
      <w:pPr>
        <w:pStyle w:val="ListParagraph"/>
        <w:widowControl w:val="0"/>
        <w:numPr>
          <w:ilvl w:val="0"/>
          <w:numId w:val="0"/>
        </w:numPr>
        <w:tabs>
          <w:tab w:val="left" w:pos="360"/>
        </w:tabs>
        <w:suppressAutoHyphens/>
        <w:spacing w:after="0" w:line="240" w:lineRule="auto"/>
        <w:ind w:left="720"/>
      </w:pPr>
    </w:p>
    <w:p w:rsidRPr="003B723A" w:rsidR="003B723A" w:rsidRDefault="003B723A" w14:paraId="73578B88" w14:textId="3D295F77">
      <w:pPr>
        <w:pStyle w:val="ListParagraph"/>
        <w:widowControl w:val="0"/>
        <w:tabs>
          <w:tab w:val="left" w:pos="360"/>
        </w:tabs>
        <w:suppressAutoHyphens/>
        <w:spacing w:after="0" w:line="240" w:lineRule="auto"/>
      </w:pPr>
      <w:r w:rsidRPr="001C5CB4">
        <w:t>Capital Expenditure Reporting for Phase II Model-Based Support Recipients (See 12.</w:t>
      </w:r>
      <w:r w:rsidR="00881EB1">
        <w:t>i</w:t>
      </w:r>
      <w:r w:rsidRPr="001C5CB4">
        <w:t>)</w:t>
      </w:r>
      <w:r w:rsidRPr="00D43798">
        <w:rPr>
          <w:u w:val="none"/>
        </w:rPr>
        <w:t>:</w:t>
      </w:r>
      <w:r w:rsidRPr="00DB7F59">
        <w:t xml:space="preserve"> </w:t>
      </w:r>
      <w:r>
        <w:t xml:space="preserve"> </w:t>
      </w:r>
      <w:r w:rsidRPr="001C5CB4">
        <w:rPr>
          <w:u w:val="none"/>
        </w:rPr>
        <w:t>Each year, price cap carriers are required to report the total amount of Phase II support, if any, the price cap carrier used for capital expenditures in the previous calendar year.  The Commission requires that price cap carriers submit this information so that it can monitor price cap carriers’ progress in meeting buildout milestones associated with their accepted support.  47 C.F.R. § 54.313(e).</w:t>
      </w:r>
    </w:p>
    <w:p w:rsidR="003B723A" w:rsidP="001861C7" w:rsidRDefault="003B723A" w14:paraId="4C8504A0" w14:textId="77777777">
      <w:pPr>
        <w:pStyle w:val="ListParagraph"/>
        <w:widowControl w:val="0"/>
        <w:numPr>
          <w:ilvl w:val="0"/>
          <w:numId w:val="0"/>
        </w:numPr>
        <w:tabs>
          <w:tab w:val="left" w:pos="360"/>
        </w:tabs>
        <w:suppressAutoHyphens/>
        <w:spacing w:after="0" w:line="240" w:lineRule="auto"/>
        <w:ind w:left="720"/>
      </w:pPr>
    </w:p>
    <w:p w:rsidRPr="001C5CB4" w:rsidR="003B723A" w:rsidRDefault="003B723A" w14:paraId="0090C3EA" w14:textId="39F18ABC">
      <w:pPr>
        <w:pStyle w:val="ListParagraph"/>
        <w:spacing w:after="0" w:line="240" w:lineRule="auto"/>
        <w:rPr>
          <w:u w:val="none"/>
        </w:rPr>
      </w:pPr>
      <w:r w:rsidRPr="001C5CB4">
        <w:t>E-rate Certification Requirement for Phase II Model-Based Support Recipients and Rate-of-Return Carrier High-Cost Recipients (See 12.</w:t>
      </w:r>
      <w:r w:rsidR="00881EB1">
        <w:t>j</w:t>
      </w:r>
      <w:r w:rsidRPr="001C5CB4">
        <w:t>)</w:t>
      </w:r>
      <w:r w:rsidRPr="00D43798">
        <w:rPr>
          <w:u w:val="none"/>
        </w:rPr>
        <w:t>:</w:t>
      </w:r>
      <w:r w:rsidRPr="00990FC5">
        <w:rPr>
          <w:u w:val="none"/>
        </w:rPr>
        <w:t xml:space="preserve"> </w:t>
      </w:r>
      <w:r w:rsidRPr="001C5CB4">
        <w:rPr>
          <w:u w:val="none"/>
        </w:rPr>
        <w:t xml:space="preserve"> The Commission requires price cap carriers that elect Phase II model-based support and rate-of-return carriers that receive high-cost support to bid on category one telecommunications and Internet access services in response to all FCC Form 470 postings seeking broadband service that meets connectivity targets for the schools and libraries universal service support program for eligible schools and libraries located within any area in a census block where the price cap carrier is receiving Phase II model-based support or in the service area of a rate-of-return carrier.  Such bids must be at rates reasonably comparable to rates charged to eligible schools </w:t>
      </w:r>
      <w:r w:rsidR="00ED61D0">
        <w:rPr>
          <w:u w:val="none"/>
        </w:rPr>
        <w:t>and</w:t>
      </w:r>
      <w:r w:rsidRPr="001C5CB4">
        <w:rPr>
          <w:u w:val="none"/>
        </w:rPr>
        <w:t xml:space="preserve"> libraries in urban areas for comparable offerings.  Once this requirement has been fully implemented, price cap carriers that accepted Phase II model-based support and rate-of-return carriers that receive high-cost support will be required to certify in their annual FCC Form 481 reports that they have met this requirement.  47 C.F.R. § 54.313(e)</w:t>
      </w:r>
      <w:r w:rsidRPr="001C5CB4" w:rsidR="0058028B">
        <w:rPr>
          <w:u w:val="none"/>
        </w:rPr>
        <w:t>(</w:t>
      </w:r>
      <w:r w:rsidR="0058028B">
        <w:rPr>
          <w:u w:val="none"/>
        </w:rPr>
        <w:t>1)</w:t>
      </w:r>
      <w:r w:rsidRPr="003B723A">
        <w:rPr>
          <w:u w:val="none"/>
        </w:rPr>
        <w:t>(</w:t>
      </w:r>
      <w:r w:rsidR="0058028B">
        <w:rPr>
          <w:u w:val="none"/>
        </w:rPr>
        <w:t>ii</w:t>
      </w:r>
      <w:r w:rsidRPr="003B723A">
        <w:rPr>
          <w:u w:val="none"/>
        </w:rPr>
        <w:t>)(</w:t>
      </w:r>
      <w:r w:rsidR="0058028B">
        <w:rPr>
          <w:u w:val="none"/>
        </w:rPr>
        <w:t>C</w:t>
      </w:r>
      <w:r w:rsidRPr="001C5CB4">
        <w:rPr>
          <w:u w:val="none"/>
        </w:rPr>
        <w:t>), (f)(1)(iii).  This certification requirement enable</w:t>
      </w:r>
      <w:r w:rsidR="005161A1">
        <w:rPr>
          <w:u w:val="none"/>
        </w:rPr>
        <w:t>s</w:t>
      </w:r>
      <w:r w:rsidRPr="001C5CB4">
        <w:rPr>
          <w:u w:val="none"/>
        </w:rPr>
        <w:t xml:space="preserve"> the Commission to monitor price cap carriers’ and rate-of-return carriers’ compliance with this requirement.</w:t>
      </w:r>
    </w:p>
    <w:p w:rsidRPr="001C5CB4" w:rsidR="003B723A" w:rsidRDefault="003B723A" w14:paraId="45A4168D" w14:textId="77777777">
      <w:pPr>
        <w:spacing w:after="0"/>
        <w:ind w:left="0"/>
      </w:pPr>
    </w:p>
    <w:p w:rsidRPr="001C5CB4" w:rsidR="003B723A" w:rsidRDefault="003B723A" w14:paraId="305F8354" w14:textId="79C06F92">
      <w:pPr>
        <w:pStyle w:val="ListParagraph"/>
        <w:spacing w:after="0" w:line="240" w:lineRule="auto"/>
        <w:ind w:hanging="450"/>
        <w:rPr>
          <w:u w:val="none"/>
        </w:rPr>
      </w:pPr>
      <w:r w:rsidRPr="001C5CB4">
        <w:t>Carriers Lacking Terrestrial Backhaul Certification.  47 C.F.R. § 54.313(g) (See 12.</w:t>
      </w:r>
      <w:r w:rsidR="00881EB1">
        <w:t>k</w:t>
      </w:r>
      <w:r w:rsidRPr="001C5CB4">
        <w:t>)</w:t>
      </w:r>
      <w:r w:rsidRPr="00D43798">
        <w:rPr>
          <w:u w:val="none"/>
        </w:rPr>
        <w:t xml:space="preserve">: </w:t>
      </w:r>
      <w:r w:rsidRPr="001C5CB4">
        <w:t xml:space="preserve"> </w:t>
      </w:r>
      <w:r w:rsidRPr="001C5CB4">
        <w:rPr>
          <w:u w:val="none"/>
        </w:rPr>
        <w:t xml:space="preserve">The Commission recognizes that satellite backhaul may limit the performance of broadband networks as compared to terrestrial backhaul; thus, carriers that are compelled to rely exclusively on satellite backhaul in their study area must certify annually that no terrestrial backhaul options exist.  The annual certifications must indicate that the carriers offer broadband service at actual speeds of at least 1 Mbps downstream and 256 kbps upstream within the supported area served by satellite middle-mile facilities.  Latency </w:t>
      </w:r>
      <w:r w:rsidRPr="001C5CB4">
        <w:rPr>
          <w:u w:val="none"/>
        </w:rPr>
        <w:lastRenderedPageBreak/>
        <w:t xml:space="preserve">and capacity requirements do 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Rate-of-return carriers participating in the Alaska Plan must certify whether, in any portions of a carrier’s study area relying exclusively on satellite backhaul, the carrier provides service consistent with its approved performance plan.  </w:t>
      </w:r>
      <w:r w:rsidRPr="001C5CB4">
        <w:rPr>
          <w:i/>
          <w:u w:val="none"/>
        </w:rPr>
        <w:t xml:space="preserve">See </w:t>
      </w:r>
      <w:r w:rsidRPr="001C5CB4">
        <w:rPr>
          <w:u w:val="none"/>
        </w:rPr>
        <w:t>47 C.F.R. § 54.313(g).</w:t>
      </w:r>
    </w:p>
    <w:p w:rsidRPr="003B723A" w:rsidR="003B723A" w:rsidP="001861C7" w:rsidRDefault="003B723A" w14:paraId="6069631C" w14:textId="460C1D63">
      <w:pPr>
        <w:pStyle w:val="ListParagraph"/>
        <w:widowControl w:val="0"/>
        <w:numPr>
          <w:ilvl w:val="0"/>
          <w:numId w:val="0"/>
        </w:numPr>
        <w:tabs>
          <w:tab w:val="left" w:pos="0"/>
        </w:tabs>
        <w:suppressAutoHyphens/>
        <w:spacing w:after="0" w:line="240" w:lineRule="auto"/>
        <w:ind w:left="720"/>
      </w:pPr>
    </w:p>
    <w:p w:rsidRPr="001C5CB4" w:rsidR="003B723A" w:rsidRDefault="003B723A" w14:paraId="46142B59" w14:textId="668534FD">
      <w:pPr>
        <w:pStyle w:val="ListParagraph"/>
        <w:widowControl w:val="0"/>
        <w:numPr>
          <w:ilvl w:val="0"/>
          <w:numId w:val="8"/>
        </w:numPr>
        <w:tabs>
          <w:tab w:val="left" w:pos="0"/>
        </w:tabs>
        <w:suppressAutoHyphens/>
        <w:spacing w:after="0" w:line="240" w:lineRule="auto"/>
        <w:ind w:hanging="450"/>
        <w:rPr>
          <w:u w:val="none"/>
        </w:rPr>
      </w:pPr>
      <w:r w:rsidRPr="001C5CB4">
        <w:rPr>
          <w:color w:val="000000"/>
        </w:rPr>
        <w:t>Tribal Engagement Reporting.  47 C.F.R. § 54.313(a)(5) (See 12.</w:t>
      </w:r>
      <w:r w:rsidR="00881EB1">
        <w:rPr>
          <w:color w:val="000000"/>
        </w:rPr>
        <w:t>l</w:t>
      </w:r>
      <w:r w:rsidRPr="001C5CB4">
        <w:rPr>
          <w:color w:val="000000"/>
        </w:rPr>
        <w:t>)</w:t>
      </w:r>
      <w:r w:rsidRPr="00D43798">
        <w:rPr>
          <w:color w:val="000000"/>
          <w:u w:val="none"/>
        </w:rPr>
        <w:t>:</w:t>
      </w:r>
      <w:r w:rsidRPr="00990FC5">
        <w:rPr>
          <w:color w:val="000000"/>
          <w:u w:val="none"/>
        </w:rPr>
        <w:t xml:space="preserve"> </w:t>
      </w:r>
      <w:r w:rsidRPr="001C5CB4">
        <w:rPr>
          <w:color w:val="000000"/>
          <w:u w:val="none"/>
        </w:rPr>
        <w:t xml:space="preserve">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engaged with Tribal governments.  The </w:t>
      </w:r>
      <w:r w:rsidRPr="001C5CB4">
        <w:rPr>
          <w:i/>
          <w:color w:val="000000"/>
          <w:u w:val="none"/>
        </w:rPr>
        <w:t xml:space="preserve">ETC Reporting Streamlining Order </w:t>
      </w:r>
      <w:r w:rsidRPr="001C5CB4">
        <w:rPr>
          <w:color w:val="000000"/>
          <w:u w:val="none"/>
        </w:rPr>
        <w:t>moved this requirement from 47 C.F.R. § 54.313(a)(9) to 47 C.F.R. § 54.313(a)(5), but the requirement remains the same.</w:t>
      </w:r>
    </w:p>
    <w:p w:rsidR="00442012" w:rsidP="001861C7" w:rsidRDefault="00442012" w14:paraId="7380D1A1" w14:textId="77777777">
      <w:pPr>
        <w:pStyle w:val="ListParagraph"/>
        <w:numPr>
          <w:ilvl w:val="0"/>
          <w:numId w:val="0"/>
        </w:numPr>
        <w:spacing w:after="0" w:line="240" w:lineRule="auto"/>
        <w:ind w:left="720"/>
        <w:rPr>
          <w:color w:val="000000"/>
        </w:rPr>
      </w:pPr>
    </w:p>
    <w:p w:rsidRPr="003B723A" w:rsidR="003B723A" w:rsidRDefault="00A24D92" w14:paraId="3B7C8E66" w14:textId="2B015A55">
      <w:pPr>
        <w:pStyle w:val="ListParagraph"/>
        <w:spacing w:after="0" w:line="240" w:lineRule="auto"/>
        <w:ind w:hanging="450"/>
        <w:rPr>
          <w:color w:val="000000"/>
        </w:rPr>
      </w:pPr>
      <w:r>
        <w:rPr>
          <w:color w:val="000000"/>
        </w:rPr>
        <w:t xml:space="preserve">Price Cap Carrier </w:t>
      </w:r>
      <w:r w:rsidRPr="001C5CB4" w:rsidR="003B723A">
        <w:rPr>
          <w:color w:val="000000"/>
        </w:rPr>
        <w:t>Frozen High</w:t>
      </w:r>
      <w:r w:rsidR="001A7248">
        <w:rPr>
          <w:color w:val="000000"/>
        </w:rPr>
        <w:t>-</w:t>
      </w:r>
      <w:r w:rsidRPr="001C5CB4" w:rsidR="003B723A">
        <w:rPr>
          <w:color w:val="000000"/>
        </w:rPr>
        <w:t>Cost Support Certification.  47 C.F.R. § 54.313(c) (See 12.</w:t>
      </w:r>
      <w:r w:rsidR="00881EB1">
        <w:rPr>
          <w:color w:val="000000"/>
        </w:rPr>
        <w:t>m</w:t>
      </w:r>
      <w:r w:rsidRPr="001C5CB4" w:rsidR="003B723A">
        <w:rPr>
          <w:color w:val="000000"/>
        </w:rPr>
        <w:t>)</w:t>
      </w:r>
      <w:r w:rsidRPr="00D43798" w:rsidR="003B723A">
        <w:rPr>
          <w:color w:val="000000"/>
          <w:u w:val="none"/>
        </w:rPr>
        <w:t>:</w:t>
      </w:r>
      <w:r w:rsidRPr="001C5CB4" w:rsidR="003B723A">
        <w:rPr>
          <w:color w:val="000000"/>
          <w:u w:val="none"/>
        </w:rPr>
        <w:t xml:space="preserve">  </w:t>
      </w:r>
      <w:r w:rsidRPr="001C5CB4" w:rsidR="003B723A">
        <w:rPr>
          <w:u w:val="none"/>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Pr="001C5CB4" w:rsidR="003B723A">
        <w:rPr>
          <w:color w:val="000000"/>
          <w:u w:val="none"/>
        </w:rPr>
        <w:t>Recipients of frozen high-cost support must annually certify that increasing levels of support have been used to achieve the goal of universal availability of voice and broadband.  Recipients must certify that all funding was used to build and operate broadband-capable networks used to offer the provider’s own retail broadband service in areas substantially unserved by an unsubsidized competitor.</w:t>
      </w:r>
    </w:p>
    <w:p w:rsidRPr="003B723A" w:rsidR="003B723A" w:rsidP="001861C7" w:rsidRDefault="003B723A" w14:paraId="4480A932" w14:textId="77777777">
      <w:pPr>
        <w:pStyle w:val="ListParagraph"/>
        <w:numPr>
          <w:ilvl w:val="0"/>
          <w:numId w:val="0"/>
        </w:numPr>
        <w:spacing w:after="0" w:line="240" w:lineRule="auto"/>
        <w:ind w:left="720"/>
        <w:rPr>
          <w:color w:val="000000"/>
        </w:rPr>
      </w:pPr>
    </w:p>
    <w:p w:rsidRPr="002563EB" w:rsidR="002563EB" w:rsidRDefault="002563EB" w14:paraId="0108231A" w14:textId="6DF33CBA">
      <w:pPr>
        <w:pStyle w:val="ListParagraph"/>
        <w:spacing w:after="0" w:line="240" w:lineRule="auto"/>
        <w:ind w:hanging="450"/>
      </w:pPr>
      <w:r>
        <w:t>Voice Certification for Phase-Down Support Recipients (See 12.</w:t>
      </w:r>
      <w:r w:rsidR="00881EB1">
        <w:t>n</w:t>
      </w:r>
      <w:r>
        <w:t>)</w:t>
      </w:r>
      <w:r w:rsidRPr="00D43798">
        <w:rPr>
          <w:u w:val="none"/>
        </w:rPr>
        <w:t>:</w:t>
      </w:r>
      <w:r w:rsidRPr="002563EB">
        <w:rPr>
          <w:u w:val="none"/>
        </w:rPr>
        <w:t xml:space="preserve"> The Commission requires that any price cap carriers and fixed competitive ETCs that receive support pursuant to sections 54.312(d) or 54.307(e)(2)(iii) must certify that all such support the company received in the previous year was used to provide voice service throughout the high-cost and extremely high-cost census blocks where they continue to have the federal high-cost eligible telecommunications carrier obligation at rates that are reasonably comparable to comparable offerings in urban areas. 47 C.F.R. § 54.313(m).</w:t>
      </w:r>
    </w:p>
    <w:p w:rsidRPr="002563EB" w:rsidR="002563EB" w:rsidP="001861C7" w:rsidRDefault="002563EB" w14:paraId="303741FC" w14:textId="77777777">
      <w:pPr>
        <w:pStyle w:val="ListParagraph"/>
        <w:numPr>
          <w:ilvl w:val="0"/>
          <w:numId w:val="0"/>
        </w:numPr>
        <w:spacing w:after="0" w:line="240" w:lineRule="auto"/>
        <w:ind w:left="720"/>
        <w:rPr>
          <w:color w:val="000000"/>
        </w:rPr>
      </w:pPr>
    </w:p>
    <w:p w:rsidRPr="001C5CB4" w:rsidR="003B723A" w:rsidRDefault="003B723A" w14:paraId="393EE6E8" w14:textId="276DA136">
      <w:pPr>
        <w:pStyle w:val="ListParagraph"/>
        <w:spacing w:after="0" w:line="240" w:lineRule="auto"/>
        <w:ind w:hanging="450"/>
      </w:pPr>
      <w:r w:rsidRPr="001C5CB4">
        <w:rPr>
          <w:color w:val="000000"/>
        </w:rPr>
        <w:t>Price Cap Carrier High-Cost Support for Access Charges Certification.  47 C.F.R. § 54.313(d) (See 12.</w:t>
      </w:r>
      <w:r w:rsidR="00881EB1">
        <w:rPr>
          <w:color w:val="000000"/>
        </w:rPr>
        <w:t>o</w:t>
      </w:r>
      <w:r w:rsidRPr="001C5CB4">
        <w:rPr>
          <w:color w:val="000000"/>
        </w:rPr>
        <w:t>)</w:t>
      </w:r>
      <w:r w:rsidRPr="00D43798">
        <w:rPr>
          <w:color w:val="000000"/>
          <w:u w:val="none"/>
        </w:rPr>
        <w:t>:</w:t>
      </w:r>
      <w:r w:rsidRPr="001C5CB4">
        <w:rPr>
          <w:color w:val="000000"/>
          <w:u w:val="none"/>
        </w:rPr>
        <w:t xml:space="preserve">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rsidRPr="001C5CB4" w:rsidR="002563EB" w:rsidP="001861C7" w:rsidRDefault="002563EB" w14:paraId="523168C5" w14:textId="04AB6F70">
      <w:pPr>
        <w:pStyle w:val="ListParagraph"/>
        <w:widowControl w:val="0"/>
        <w:numPr>
          <w:ilvl w:val="0"/>
          <w:numId w:val="0"/>
        </w:numPr>
        <w:tabs>
          <w:tab w:val="left" w:pos="0"/>
        </w:tabs>
        <w:suppressAutoHyphens/>
        <w:spacing w:after="0" w:line="240" w:lineRule="auto"/>
        <w:ind w:left="720"/>
      </w:pPr>
    </w:p>
    <w:p w:rsidRPr="00C91299" w:rsidR="003B723A" w:rsidRDefault="003B723A" w14:paraId="05032480" w14:textId="33CE4EFD">
      <w:pPr>
        <w:pStyle w:val="ListParagraph"/>
        <w:widowControl w:val="0"/>
        <w:tabs>
          <w:tab w:val="left" w:pos="0"/>
        </w:tabs>
        <w:suppressAutoHyphens/>
        <w:spacing w:after="0" w:line="240" w:lineRule="auto"/>
        <w:ind w:hanging="450"/>
      </w:pPr>
      <w:r w:rsidRPr="001C5CB4">
        <w:rPr>
          <w:color w:val="000000"/>
        </w:rPr>
        <w:lastRenderedPageBreak/>
        <w:t xml:space="preserve">Privately Held Rate-of-Return </w:t>
      </w:r>
      <w:r w:rsidR="0053400D">
        <w:rPr>
          <w:color w:val="000000"/>
        </w:rPr>
        <w:t xml:space="preserve">Carrier </w:t>
      </w:r>
      <w:r w:rsidRPr="001C5CB4">
        <w:rPr>
          <w:color w:val="000000"/>
        </w:rPr>
        <w:t>Financial Information.  47 C.F.R. § 54.313(f)(2) (See 12.</w:t>
      </w:r>
      <w:r w:rsidR="00881EB1">
        <w:rPr>
          <w:color w:val="000000"/>
        </w:rPr>
        <w:t>p</w:t>
      </w:r>
      <w:r w:rsidRPr="001C5CB4">
        <w:rPr>
          <w:color w:val="000000"/>
        </w:rPr>
        <w:t>)</w:t>
      </w:r>
      <w:r w:rsidRPr="00D43798">
        <w:rPr>
          <w:color w:val="000000"/>
          <w:u w:val="none"/>
        </w:rPr>
        <w:t>:</w:t>
      </w:r>
      <w:r w:rsidRPr="001C5CB4">
        <w:rPr>
          <w:color w:val="000000"/>
          <w:u w:val="none"/>
        </w:rPr>
        <w:t xml:space="preserve">  The Commission can obtain publicly available financial information from publicly traded companies.  To ensure that support is sufficient but not excessive, privately held rate-of-return carriers that receive high-cost support must submit various forms of financial statements.  Those companies that borrow funds from the Rural Utilities Service (RUS) must submit a copy of their RUS Operating Report for Telecommunications Borrowers.  Carriers that do not borrow from RUS, but that undergo financial audits in the ordinary course of business, must either file a copy of their audited financial statements or provide financial information in a form consistent with the RUS Operating Report for Telecommunications Borrowers.  Carriers that are not audited in the ordinary course of business must either file a financial statement that has been subject to review by a certified public accountant or file financial information in a format consistent with the RUS Operating Report for Telecommunications Borrowers.  These financial disclosures may be filed pursuant to a protective order.</w:t>
      </w:r>
    </w:p>
    <w:p w:rsidR="00C91299" w:rsidP="001861C7" w:rsidRDefault="00C91299" w14:paraId="4B1C0CC4" w14:textId="77777777">
      <w:pPr>
        <w:pStyle w:val="ListParagraph"/>
        <w:widowControl w:val="0"/>
        <w:numPr>
          <w:ilvl w:val="0"/>
          <w:numId w:val="0"/>
        </w:numPr>
        <w:tabs>
          <w:tab w:val="left" w:pos="0"/>
        </w:tabs>
        <w:suppressAutoHyphens/>
        <w:spacing w:after="0" w:line="240" w:lineRule="auto"/>
        <w:ind w:left="720"/>
      </w:pPr>
    </w:p>
    <w:p w:rsidRPr="00C91299" w:rsidR="003B723A" w:rsidRDefault="003B723A" w14:paraId="4EE4C1BB" w14:textId="3CBC36B9">
      <w:pPr>
        <w:pStyle w:val="ListParagraph"/>
        <w:numPr>
          <w:ilvl w:val="0"/>
          <w:numId w:val="8"/>
        </w:numPr>
        <w:spacing w:after="0" w:line="240" w:lineRule="auto"/>
        <w:ind w:hanging="450"/>
        <w:contextualSpacing w:val="0"/>
      </w:pPr>
      <w:r w:rsidRPr="001C5CB4">
        <w:t>Cost Consultant Information for Rate-of-Return Carriers (See 12.</w:t>
      </w:r>
      <w:r w:rsidR="00881EB1">
        <w:t>q</w:t>
      </w:r>
      <w:r w:rsidRPr="001C5CB4">
        <w:t>)</w:t>
      </w:r>
      <w:r w:rsidRPr="00D43798">
        <w:rPr>
          <w:u w:val="none"/>
        </w:rPr>
        <w:t>:</w:t>
      </w:r>
      <w:r w:rsidRPr="001C5CB4">
        <w:rPr>
          <w:u w:val="none"/>
        </w:rPr>
        <w:t xml:space="preserve">  The Commission requires that rate-of-return carriers provide the name of any cost consultant and cost consulting firm, or other third-party, retained to prepare financial and operations data disclosures submitted to NECA, USAC, or the Commission.  47 C.F.R. § 54.313(f)(4). </w:t>
      </w:r>
      <w:r w:rsidR="003A60FE">
        <w:rPr>
          <w:u w:val="none"/>
        </w:rPr>
        <w:t xml:space="preserve">  </w:t>
      </w:r>
    </w:p>
    <w:p w:rsidR="00C91299" w:rsidP="001861C7" w:rsidRDefault="00C91299" w14:paraId="18CB5820" w14:textId="77777777">
      <w:pPr>
        <w:pStyle w:val="ListParagraph"/>
        <w:numPr>
          <w:ilvl w:val="0"/>
          <w:numId w:val="0"/>
        </w:numPr>
        <w:spacing w:after="0" w:line="240" w:lineRule="auto"/>
        <w:ind w:left="720"/>
      </w:pPr>
    </w:p>
    <w:p w:rsidRPr="00137F86" w:rsidR="00B435F1" w:rsidRDefault="003B723A" w14:paraId="373AEED0" w14:textId="6D565E9D">
      <w:pPr>
        <w:pStyle w:val="ListParagraph"/>
        <w:spacing w:after="0" w:line="240" w:lineRule="auto"/>
        <w:ind w:hanging="450"/>
      </w:pPr>
      <w:r w:rsidRPr="001C5CB4">
        <w:t>Additional Reporting Requirements for Rural Broadband Experiment Support Recipients (See 12.</w:t>
      </w:r>
      <w:r w:rsidR="00881EB1">
        <w:t>r</w:t>
      </w:r>
      <w:r w:rsidRPr="001C5CB4">
        <w:t>)</w:t>
      </w:r>
      <w:r w:rsidRPr="00D43798">
        <w:rPr>
          <w:u w:val="none"/>
        </w:rPr>
        <w:t>:</w:t>
      </w:r>
      <w:r w:rsidRPr="001C5CB4">
        <w:rPr>
          <w:u w:val="none"/>
        </w:rPr>
        <w:t xml:space="preserve">  Recipients of rural broadband experiment support are required to deploy service meeting the Commission’s public interest obligations to a set number of locations by specific build-out milestones.  The Commission requires that rural broadband experiment recipients submit location information so that the Commission can monitor rural broadband experiment recipients’ progress in meeting such milestones along with evidence showing that the recipient is deploying service that meets the Commission’s public interest obligations.  </w:t>
      </w:r>
      <w:r w:rsidRPr="001C5CB4">
        <w:rPr>
          <w:i/>
          <w:u w:val="none"/>
        </w:rPr>
        <w:t>Connect America Fund et al.</w:t>
      </w:r>
      <w:r w:rsidRPr="001C5CB4">
        <w:rPr>
          <w:u w:val="none"/>
        </w:rPr>
        <w:t>, WC Docket No. 10-90 et al., Report and Order and Further Notice of Proposed Rulemaking, 29 FCC Rcd 8769 (2014).  Rural broadband experiment recipients also are required to submit evidence demonstrating that recipients are meeting the public service obligations for the relevant experiment category (e.g., marketing materials that show the voice and broadband packages available to each location, detailing the pricing, offered broadband speed, and data usage allowances available in the relevant geographic area) for each location.</w:t>
      </w:r>
    </w:p>
    <w:p w:rsidRPr="00EA0C41" w:rsidR="003B723A" w:rsidP="001861C7" w:rsidRDefault="003B723A" w14:paraId="3D922FF1" w14:textId="4B528165">
      <w:pPr>
        <w:pStyle w:val="ListParagraph"/>
        <w:numPr>
          <w:ilvl w:val="0"/>
          <w:numId w:val="0"/>
        </w:numPr>
        <w:spacing w:after="0" w:line="240" w:lineRule="auto"/>
        <w:ind w:left="720"/>
      </w:pPr>
      <w:r w:rsidRPr="001C5CB4">
        <w:rPr>
          <w:u w:val="none"/>
        </w:rPr>
        <w:t xml:space="preserve">  </w:t>
      </w:r>
    </w:p>
    <w:p w:rsidRPr="003E26A9" w:rsidR="003B723A" w:rsidRDefault="003B723A" w14:paraId="12A836EE" w14:textId="77777777">
      <w:pPr>
        <w:widowControl w:val="0"/>
        <w:tabs>
          <w:tab w:val="left" w:pos="0"/>
        </w:tabs>
        <w:suppressAutoHyphens/>
        <w:spacing w:after="0" w:line="240" w:lineRule="auto"/>
        <w:ind w:left="720"/>
      </w:pPr>
      <w:r>
        <w:t>R</w:t>
      </w:r>
      <w:r w:rsidRPr="003E26A9">
        <w:t xml:space="preserve">ural broadband experiment recipients </w:t>
      </w:r>
      <w:r>
        <w:t>must certify</w:t>
      </w:r>
      <w:r w:rsidRPr="003E26A9">
        <w:t xml:space="preserve"> in each FCC Form 481 annual report that the recipient is offering broadband meeting the requisite public interest obligations consistent with the category for which they were selected, including broadband speed, latency, usage capacity, and rates that are reasonably comparable to rates for comparable offerings in urban areas</w:t>
      </w:r>
      <w:r>
        <w:t>.</w:t>
      </w:r>
      <w:r w:rsidRPr="003E26A9">
        <w:t xml:space="preserve">  </w:t>
      </w:r>
      <w:r w:rsidRPr="003E26A9">
        <w:rPr>
          <w:i/>
        </w:rPr>
        <w:t>Connect America Fund et al.</w:t>
      </w:r>
      <w:r w:rsidRPr="003E26A9">
        <w:t xml:space="preserve">, WC Docket No. 10-90 et al., Report and Order and Further Notice of Proposed Rulemaking, 29 FCC Rcd 8769 (2014).  This certification requirement </w:t>
      </w:r>
      <w:r>
        <w:t>enables</w:t>
      </w:r>
      <w:r w:rsidRPr="003E26A9">
        <w:t xml:space="preserve"> the Commission to monitor rural broadband experiment recipients to ensure they are using the support for its intended purposes and are meeting the relevant public interest obligations. </w:t>
      </w:r>
    </w:p>
    <w:p w:rsidRPr="003E26A9" w:rsidR="00B435F1" w:rsidRDefault="00B435F1" w14:paraId="7038399A" w14:textId="77777777">
      <w:pPr>
        <w:spacing w:after="0" w:line="240" w:lineRule="auto"/>
        <w:ind w:left="720"/>
      </w:pPr>
    </w:p>
    <w:p w:rsidR="003B723A" w:rsidRDefault="003B723A" w14:paraId="0713CC46" w14:textId="3266357E">
      <w:pPr>
        <w:widowControl w:val="0"/>
        <w:tabs>
          <w:tab w:val="left" w:pos="360"/>
        </w:tabs>
        <w:suppressAutoHyphens/>
        <w:spacing w:after="0" w:line="240" w:lineRule="auto"/>
        <w:ind w:left="720"/>
      </w:pPr>
      <w:r>
        <w:t>R</w:t>
      </w:r>
      <w:r w:rsidRPr="003E26A9">
        <w:t xml:space="preserve">ecipients of rural broadband experiment support </w:t>
      </w:r>
      <w:r>
        <w:t>are</w:t>
      </w:r>
      <w:r w:rsidRPr="003E26A9">
        <w:t xml:space="preserve"> required to report in their FCC </w:t>
      </w:r>
      <w:r w:rsidRPr="003E26A9">
        <w:lastRenderedPageBreak/>
        <w:t xml:space="preserve">Form 481 annual reports the number, names, and addresses of community anchor institutions to which the recipients newly began providing access to broadband service in the preceding calendar year.  This requirement </w:t>
      </w:r>
      <w:r>
        <w:t>is</w:t>
      </w:r>
      <w:r w:rsidRPr="003E26A9">
        <w:t xml:space="preserve"> a valuable way for the Commission to monitor how recipients are engaging with community anchor institutions and learn how the networks supported by the experiments will impact anchor institutions and the </w:t>
      </w:r>
      <w:r w:rsidRPr="00C91299">
        <w:t>communities they serve.</w:t>
      </w:r>
    </w:p>
    <w:p w:rsidRPr="00C91299" w:rsidR="007522BA" w:rsidRDefault="007522BA" w14:paraId="63488E8E" w14:textId="77777777">
      <w:pPr>
        <w:widowControl w:val="0"/>
        <w:tabs>
          <w:tab w:val="left" w:pos="360"/>
        </w:tabs>
        <w:suppressAutoHyphens/>
        <w:spacing w:after="0" w:line="240" w:lineRule="auto"/>
        <w:ind w:left="720"/>
        <w:rPr>
          <w:color w:val="000000"/>
        </w:rPr>
      </w:pPr>
    </w:p>
    <w:p w:rsidRPr="001C5CB4" w:rsidR="003B723A" w:rsidRDefault="003B723A" w14:paraId="45A95D85" w14:textId="1FBDA461">
      <w:pPr>
        <w:pStyle w:val="ListParagraph"/>
        <w:tabs>
          <w:tab w:val="left" w:pos="720"/>
        </w:tabs>
        <w:spacing w:after="0" w:line="240" w:lineRule="auto"/>
        <w:ind w:hanging="450"/>
      </w:pPr>
      <w:r w:rsidRPr="001C5CB4">
        <w:t>Newly Available Backhaul Reporting for Alaska Plan Participants (See 12.</w:t>
      </w:r>
      <w:r w:rsidR="00881EB1">
        <w:t>s</w:t>
      </w:r>
      <w:r w:rsidRPr="001C5CB4">
        <w:t>)</w:t>
      </w:r>
      <w:r w:rsidRPr="00D43798">
        <w:rPr>
          <w:u w:val="none"/>
        </w:rPr>
        <w:t xml:space="preserve">:  </w:t>
      </w:r>
      <w:r w:rsidRPr="001C5CB4">
        <w:rPr>
          <w:u w:val="none"/>
        </w:rPr>
        <w:t>To help the Commission monitor the availability of infrastructure for Alaska Plan participants, rate-of-return carriers and competitive ETCs participating in the Alaska Plan must certify in their FCC Form 481 whether any terrestrial backhaul or other satellite backhaul became commercially available in the previous calendar year in areas that previously were served exclusively by satellite backhaul, if the funding recipient identified in its approved performance plans that it exclusively relied on satellite backhaul for a certain portion of the population in its service area.  To the extent that new terrestrial backhaul facilities are constructed or other satellite backhaul become commercially available, the funding recipient must provide a description of the backhaul technology;</w:t>
      </w:r>
      <w:r w:rsidRPr="001C5CB4">
        <w:rPr>
          <w:kern w:val="28"/>
          <w:u w:val="none"/>
        </w:rPr>
        <w:t xml:space="preserve"> and </w:t>
      </w:r>
      <w:r w:rsidRPr="001C5CB4">
        <w:rPr>
          <w:u w:val="none"/>
        </w:rPr>
        <w:t>provide the date on which that backhaul was made commercially available to the carrier.  Rate-of-return carriers participating in the Alaska Plan must provide the number of locations within their service area that are served by the newly available backhaul option.  Competitive ETCs participating in the Alaska Plan must instead provide the number of the population within their service area that is served by the newly available backhaul option.  47 C.F.R. §§ 54.313(f)(3), 54.313(l).</w:t>
      </w:r>
    </w:p>
    <w:p w:rsidR="007522BA" w:rsidRDefault="007522BA" w14:paraId="64266B46" w14:textId="77777777">
      <w:pPr>
        <w:tabs>
          <w:tab w:val="left" w:pos="720"/>
        </w:tabs>
        <w:spacing w:after="0" w:line="240" w:lineRule="auto"/>
        <w:ind w:left="720"/>
        <w:rPr>
          <w:lang w:eastAsia="x-none"/>
        </w:rPr>
      </w:pPr>
    </w:p>
    <w:p w:rsidR="003B723A" w:rsidRDefault="003B723A" w14:paraId="72657C2A" w14:textId="3806B4EB">
      <w:pPr>
        <w:tabs>
          <w:tab w:val="left" w:pos="720"/>
        </w:tabs>
        <w:spacing w:after="0" w:line="240" w:lineRule="auto"/>
        <w:ind w:left="720"/>
        <w:rPr>
          <w:lang w:eastAsia="ja-JP"/>
        </w:rPr>
      </w:pPr>
      <w:r w:rsidRPr="009E1FAB">
        <w:rPr>
          <w:lang w:eastAsia="x-none"/>
        </w:rPr>
        <w:t>Separate from Alaska Plan participants’ FCC Form 481 reporting, w</w:t>
      </w:r>
      <w:r w:rsidRPr="009E1FAB">
        <w:rPr>
          <w:lang w:eastAsia="ja-JP"/>
        </w:rPr>
        <w:t>ithin 12 months of backhaul facilities becoming commercially available</w:t>
      </w:r>
      <w:r>
        <w:rPr>
          <w:lang w:eastAsia="ja-JP"/>
        </w:rPr>
        <w:t xml:space="preserve"> to those locations served by the new backhaul reported pursuant to 47 C.F.R. § 54.313(f)(3)</w:t>
      </w:r>
      <w:r w:rsidRPr="009E1FAB">
        <w:rPr>
          <w:lang w:eastAsia="ja-JP"/>
        </w:rPr>
        <w:t>, rate-of-return carriers must certify that they are offering broadband service with latency suitable for real-time applications, including Voice over Internet Protocol, and usage capacity that is reasonably comparable to comparable offerings in urban areas</w:t>
      </w:r>
      <w:r>
        <w:rPr>
          <w:lang w:eastAsia="ja-JP"/>
        </w:rPr>
        <w:t xml:space="preserve">.  </w:t>
      </w:r>
      <w:r w:rsidRPr="009E1FAB">
        <w:rPr>
          <w:lang w:eastAsia="ja-JP"/>
        </w:rPr>
        <w:t>Competitive ETCs must,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r w:rsidRPr="00FF6B6C">
        <w:rPr>
          <w:b/>
          <w:lang w:eastAsia="ja-JP"/>
        </w:rPr>
        <w:t xml:space="preserve"> </w:t>
      </w:r>
      <w:r>
        <w:rPr>
          <w:b/>
          <w:lang w:eastAsia="ja-JP"/>
        </w:rPr>
        <w:t xml:space="preserve"> </w:t>
      </w:r>
      <w:r>
        <w:rPr>
          <w:lang w:eastAsia="ja-JP"/>
        </w:rPr>
        <w:t>47 C.F.R. §§ 54.313(f)(3), 54.313(l).</w:t>
      </w:r>
    </w:p>
    <w:p w:rsidRPr="001C5CB4" w:rsidR="00B435F1" w:rsidRDefault="00B435F1" w14:paraId="74576B77" w14:textId="77777777">
      <w:pPr>
        <w:tabs>
          <w:tab w:val="left" w:pos="720"/>
        </w:tabs>
        <w:spacing w:after="0" w:line="240" w:lineRule="auto"/>
        <w:ind w:left="720"/>
        <w:rPr>
          <w:b/>
          <w:lang w:val="x-none"/>
        </w:rPr>
      </w:pPr>
    </w:p>
    <w:p w:rsidRPr="00FC64DA" w:rsidR="003B723A" w:rsidRDefault="003B723A" w14:paraId="113AD315" w14:textId="48F1AE06">
      <w:pPr>
        <w:pStyle w:val="ListParagraph"/>
        <w:spacing w:after="0" w:line="240" w:lineRule="auto"/>
        <w:ind w:hanging="450"/>
        <w:rPr>
          <w:color w:val="000000"/>
        </w:rPr>
      </w:pPr>
      <w:r w:rsidRPr="001C5CB4">
        <w:t>Capital Expenditure Documentation for Rate-of-Return and Competitive ETC Alaska Plan Participants (See 12.</w:t>
      </w:r>
      <w:r w:rsidR="00881EB1">
        <w:rPr>
          <w:lang w:eastAsia="x-none"/>
        </w:rPr>
        <w:t>t</w:t>
      </w:r>
      <w:r w:rsidRPr="001C5CB4">
        <w:t>)</w:t>
      </w:r>
      <w:r w:rsidRPr="00D43798">
        <w:rPr>
          <w:u w:val="none"/>
          <w:lang w:eastAsia="x-none"/>
        </w:rPr>
        <w:t>:</w:t>
      </w:r>
      <w:r w:rsidRPr="001C5CB4">
        <w:rPr>
          <w:u w:val="none"/>
        </w:rPr>
        <w:t xml:space="preserve">  Alaska Plan rate-of-return participants that propose to maintain their existing networks throughout the 10-year support term without newly deploying or upgrading service to locations within their service area and all Alaska Plan competitive ETC participants are required to retain documentation on how much of their Alaska Plan support was spent on capital expenses and operating expenses and be prepared to produce such documentation upon request.  We do not expect that this requirement will unduly burden recipients because they track their capital and operating expenditures in the regular course of business.</w:t>
      </w:r>
    </w:p>
    <w:p w:rsidRPr="001C5CB4" w:rsidR="000448EC" w:rsidP="001861C7" w:rsidRDefault="000448EC" w14:paraId="6FACD308" w14:textId="77777777">
      <w:pPr>
        <w:pStyle w:val="ListParagraph"/>
        <w:numPr>
          <w:ilvl w:val="0"/>
          <w:numId w:val="0"/>
        </w:numPr>
        <w:spacing w:after="0" w:line="240" w:lineRule="auto"/>
        <w:ind w:left="720"/>
        <w:rPr>
          <w:color w:val="000000"/>
        </w:rPr>
      </w:pPr>
    </w:p>
    <w:p w:rsidR="000448EC" w:rsidRDefault="000448EC" w14:paraId="7A7E9A4C" w14:textId="46D33C59">
      <w:pPr>
        <w:pStyle w:val="ListParagraph"/>
        <w:spacing w:after="0"/>
        <w:ind w:hanging="450"/>
      </w:pPr>
      <w:proofErr w:type="spellStart"/>
      <w:r w:rsidRPr="00605EFF">
        <w:t>Uniendo</w:t>
      </w:r>
      <w:proofErr w:type="spellEnd"/>
      <w:r w:rsidRPr="00605EFF">
        <w:t xml:space="preserve"> a Puerto Rico Fund and Connect USVI Fund Certification Requirements for Fixe</w:t>
      </w:r>
      <w:r w:rsidR="003A70A6">
        <w:t>d and Mobile Providers (See 12.</w:t>
      </w:r>
      <w:r w:rsidR="00881EB1">
        <w:t>u</w:t>
      </w:r>
      <w:r w:rsidRPr="00605EFF">
        <w:t>)</w:t>
      </w:r>
      <w:r w:rsidRPr="00D43798">
        <w:rPr>
          <w:u w:val="none"/>
        </w:rPr>
        <w:t>:</w:t>
      </w:r>
      <w:r w:rsidRPr="00FC64DA">
        <w:rPr>
          <w:u w:val="none"/>
        </w:rPr>
        <w:t xml:space="preserve">  The Commission requires that all recipients of </w:t>
      </w:r>
      <w:proofErr w:type="spellStart"/>
      <w:r w:rsidRPr="00FC64DA">
        <w:rPr>
          <w:u w:val="none"/>
        </w:rPr>
        <w:t>Uniendo</w:t>
      </w:r>
      <w:proofErr w:type="spellEnd"/>
      <w:r w:rsidRPr="00FC64DA">
        <w:rPr>
          <w:u w:val="none"/>
        </w:rPr>
        <w:t xml:space="preserve"> a Puerto Rico Fund and/or Connect USVI Fund support certify that such support was not used for costs that are (or will be) reimbursed by other sources of support, that support was not used for other purposes not directly related to network restoration, hardening, and expansion, and that they have conducted an annual review of the documentation required by 47 C.F.R. § 54.1515(a)-(c) to determine the need for and to implement changes or revisions to disaster preparation and response documentation.   </w:t>
      </w:r>
      <w:r w:rsidRPr="00FC64DA">
        <w:rPr>
          <w:i/>
          <w:iCs/>
          <w:szCs w:val="20"/>
          <w:u w:val="none"/>
        </w:rPr>
        <w:t>Puerto Rico and USVI Stage 2 Order</w:t>
      </w:r>
      <w:r w:rsidRPr="00FC64DA">
        <w:rPr>
          <w:szCs w:val="20"/>
          <w:u w:val="none"/>
        </w:rPr>
        <w:t>, 34 FCC Rcd at 9149-50</w:t>
      </w:r>
      <w:r w:rsidRPr="00FC64DA">
        <w:rPr>
          <w:u w:val="none"/>
        </w:rPr>
        <w:t>, para. 73.</w:t>
      </w:r>
    </w:p>
    <w:p w:rsidRPr="003B723A" w:rsidR="000448EC" w:rsidP="001861C7" w:rsidRDefault="000448EC" w14:paraId="65F25BF4" w14:textId="77777777">
      <w:pPr>
        <w:pStyle w:val="ListParagraph"/>
        <w:numPr>
          <w:ilvl w:val="0"/>
          <w:numId w:val="0"/>
        </w:numPr>
        <w:spacing w:after="0" w:line="240" w:lineRule="auto"/>
        <w:ind w:left="720"/>
      </w:pPr>
    </w:p>
    <w:p w:rsidRPr="00510AA2" w:rsidR="000448EC" w:rsidRDefault="000448EC" w14:paraId="1DBE93B5" w14:textId="30BF0EE8">
      <w:pPr>
        <w:pStyle w:val="ListParagraph"/>
        <w:spacing w:after="0" w:line="240" w:lineRule="auto"/>
        <w:ind w:hanging="450"/>
      </w:pPr>
      <w:proofErr w:type="spellStart"/>
      <w:r w:rsidRPr="006B121F">
        <w:rPr>
          <w:bCs/>
        </w:rPr>
        <w:t>Uniendo</w:t>
      </w:r>
      <w:proofErr w:type="spellEnd"/>
      <w:r w:rsidRPr="006B121F">
        <w:rPr>
          <w:bCs/>
        </w:rPr>
        <w:t xml:space="preserve"> a Puerto Rico Fund and Connect USVI Fund Certification Requirements for Mobile Providers</w:t>
      </w:r>
      <w:r w:rsidR="003A70A6">
        <w:rPr>
          <w:bCs/>
        </w:rPr>
        <w:t xml:space="preserve"> (See 12.</w:t>
      </w:r>
      <w:r w:rsidR="00881EB1">
        <w:rPr>
          <w:bCs/>
        </w:rPr>
        <w:t>v</w:t>
      </w:r>
      <w:r>
        <w:rPr>
          <w:bCs/>
        </w:rPr>
        <w:t>)</w:t>
      </w:r>
      <w:r>
        <w:rPr>
          <w:bCs/>
          <w:u w:val="none"/>
        </w:rPr>
        <w:t xml:space="preserve">:  </w:t>
      </w:r>
      <w:r w:rsidRPr="003B723A">
        <w:rPr>
          <w:rFonts w:eastAsia="Times New Roman"/>
          <w:bCs/>
          <w:u w:val="none"/>
        </w:rPr>
        <w:t xml:space="preserve">The Commission requires that mobile providers that receive </w:t>
      </w:r>
      <w:proofErr w:type="spellStart"/>
      <w:r w:rsidRPr="003B723A">
        <w:rPr>
          <w:rFonts w:eastAsia="Times New Roman"/>
          <w:bCs/>
          <w:u w:val="none"/>
        </w:rPr>
        <w:t>Uniendo</w:t>
      </w:r>
      <w:proofErr w:type="spellEnd"/>
      <w:r w:rsidRPr="003B723A">
        <w:rPr>
          <w:rFonts w:eastAsia="Times New Roman"/>
          <w:bCs/>
          <w:u w:val="none"/>
        </w:rPr>
        <w:t xml:space="preserve"> a Puert</w:t>
      </w:r>
      <w:r w:rsidR="00605EFF">
        <w:rPr>
          <w:rFonts w:eastAsia="Times New Roman"/>
          <w:bCs/>
          <w:u w:val="none"/>
        </w:rPr>
        <w:t>o Rico Fund and/or Connect USVI</w:t>
      </w:r>
      <w:r w:rsidRPr="003B723A">
        <w:rPr>
          <w:rFonts w:eastAsia="Times New Roman"/>
          <w:bCs/>
          <w:u w:val="none"/>
        </w:rPr>
        <w:t xml:space="preserve"> Fund support shall certify that they are in compliance with all requirements for receipt of such support to continue receiving Stage II mobile disbursements.  </w:t>
      </w:r>
      <w:r w:rsidRPr="003B723A">
        <w:rPr>
          <w:rFonts w:eastAsia="Times New Roman"/>
          <w:i/>
          <w:iCs/>
          <w:szCs w:val="20"/>
          <w:u w:val="none"/>
        </w:rPr>
        <w:t xml:space="preserve">Puerto Rico and USVI Stage </w:t>
      </w:r>
      <w:r>
        <w:rPr>
          <w:rFonts w:eastAsia="Times New Roman"/>
          <w:i/>
          <w:iCs/>
          <w:szCs w:val="20"/>
          <w:u w:val="none"/>
        </w:rPr>
        <w:t>2</w:t>
      </w:r>
      <w:r w:rsidRPr="003B723A">
        <w:rPr>
          <w:rFonts w:eastAsia="Times New Roman"/>
          <w:i/>
          <w:iCs/>
          <w:szCs w:val="20"/>
          <w:u w:val="none"/>
        </w:rPr>
        <w:t xml:space="preserve"> Order</w:t>
      </w:r>
      <w:r w:rsidRPr="003B723A">
        <w:rPr>
          <w:rFonts w:eastAsia="Times New Roman"/>
          <w:szCs w:val="20"/>
          <w:u w:val="none"/>
        </w:rPr>
        <w:t>, 34 FCC Rcd at 9149-50</w:t>
      </w:r>
      <w:r w:rsidRPr="003B723A">
        <w:rPr>
          <w:rFonts w:eastAsia="Times New Roman"/>
          <w:bCs/>
          <w:u w:val="none"/>
        </w:rPr>
        <w:t>, para. 73.</w:t>
      </w:r>
    </w:p>
    <w:p w:rsidRPr="00D36895" w:rsidR="00C91299" w:rsidP="001861C7" w:rsidRDefault="00C91299" w14:paraId="09FB7262" w14:textId="77777777">
      <w:pPr>
        <w:pStyle w:val="ListParagraph"/>
        <w:numPr>
          <w:ilvl w:val="0"/>
          <w:numId w:val="0"/>
        </w:numPr>
        <w:spacing w:after="0" w:line="240" w:lineRule="auto"/>
        <w:ind w:left="720"/>
      </w:pPr>
    </w:p>
    <w:p w:rsidRPr="00165F1C" w:rsidR="003B723A" w:rsidRDefault="003B723A" w14:paraId="177EAC72" w14:textId="584DE351">
      <w:pPr>
        <w:pStyle w:val="ListParagraph"/>
        <w:spacing w:after="0" w:line="240" w:lineRule="auto"/>
        <w:ind w:hanging="450"/>
      </w:pPr>
      <w:r w:rsidRPr="001C5CB4">
        <w:t>State Certification Letter under 254(e) of the Act (See 12.</w:t>
      </w:r>
      <w:r w:rsidR="00881EB1">
        <w:t>w</w:t>
      </w:r>
      <w:r w:rsidRPr="001C5CB4">
        <w:t>)</w:t>
      </w:r>
      <w:r w:rsidRPr="00D43798">
        <w:rPr>
          <w:u w:val="none"/>
        </w:rPr>
        <w:t>:</w:t>
      </w:r>
      <w:r w:rsidRPr="001C5CB4">
        <w:rPr>
          <w:u w:val="none"/>
        </w:rPr>
        <w:t xml:space="preserve">  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with section 254(e).  Accordingly, the Commission requires states that wish to receive federal universal service high-cost support for carriers within their boundaries (or ETCs where the state lacks jurisdiction over ETCs) to file a certification with the Commission and USAC stating that all federal high-cost funds flowing to carriers in that state has been and will be used in a manner consistent with section 254(e).  Absent such certification, carriers will not receive such support.  </w:t>
      </w:r>
      <w:r w:rsidRPr="001C5CB4">
        <w:rPr>
          <w:i/>
          <w:u w:val="none"/>
        </w:rPr>
        <w:t>See</w:t>
      </w:r>
      <w:r w:rsidRPr="001C5CB4">
        <w:rPr>
          <w:u w:val="none"/>
        </w:rPr>
        <w:t xml:space="preserve"> 47 C.F.R. § 54.314.</w:t>
      </w:r>
    </w:p>
    <w:p w:rsidR="007522BA" w:rsidRDefault="003B723A" w14:paraId="3ECFB94A" w14:textId="2C9EF157">
      <w:pPr>
        <w:spacing w:after="0" w:line="240" w:lineRule="auto"/>
        <w:ind w:left="720" w:hanging="720"/>
      </w:pPr>
      <w:r w:rsidRPr="009B1994">
        <w:tab/>
      </w:r>
    </w:p>
    <w:p w:rsidR="003B723A" w:rsidRDefault="003B723A" w14:paraId="2B61192B" w14:textId="42041EAE">
      <w:pPr>
        <w:spacing w:after="0" w:line="240" w:lineRule="auto"/>
        <w:ind w:left="720"/>
      </w:pPr>
      <w:r w:rsidRPr="009B1994">
        <w:t>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w:t>
      </w:r>
      <w:r w:rsidRPr="00D36895">
        <w:t xml:space="preserve">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sidRPr="00D36895">
        <w:rPr>
          <w:i/>
        </w:rPr>
        <w:t>See</w:t>
      </w:r>
      <w:r w:rsidRPr="00D36895">
        <w:t xml:space="preserve"> 47 C.F.R</w:t>
      </w:r>
      <w:r w:rsidRPr="00CC03B8">
        <w:t>.</w:t>
      </w:r>
      <w:r w:rsidRPr="003E26A9">
        <w:t xml:space="preserve"> § 54.314.</w:t>
      </w:r>
    </w:p>
    <w:p w:rsidRPr="003E26A9" w:rsidR="007522BA" w:rsidRDefault="007522BA" w14:paraId="3319C809" w14:textId="77777777">
      <w:pPr>
        <w:spacing w:after="0" w:line="240" w:lineRule="auto"/>
        <w:ind w:left="720"/>
      </w:pPr>
    </w:p>
    <w:p w:rsidRPr="00C91299" w:rsidR="003B723A" w:rsidRDefault="003B723A" w14:paraId="2F489657" w14:textId="3F169010">
      <w:pPr>
        <w:pStyle w:val="ListParagraph"/>
        <w:spacing w:after="0" w:line="240" w:lineRule="auto"/>
        <w:ind w:hanging="450"/>
      </w:pPr>
      <w:r w:rsidRPr="001C5CB4">
        <w:t>Support in Competitive Study Areas (See 12.</w:t>
      </w:r>
      <w:r w:rsidR="00881EB1">
        <w:t>x</w:t>
      </w:r>
      <w:r w:rsidRPr="001C5CB4">
        <w:t>)</w:t>
      </w:r>
      <w:r w:rsidRPr="00D43798">
        <w:rPr>
          <w:u w:val="none"/>
        </w:rPr>
        <w:t>:</w:t>
      </w:r>
      <w:r w:rsidRPr="001C5CB4">
        <w:rPr>
          <w:u w:val="none"/>
        </w:rPr>
        <w:t xml:space="preserve">  Rural carriers and competitive ETCs, except Alaska Plan participants, are required to file line count data on a quarterly basis upon competitive entry in rural carrier study areas.  The rural carrier line counts are used to determine the appropriate per-line support for competitive eligible telecommunications carriers serving the same area.  The competitive eligible telecommunications carrier’s </w:t>
      </w:r>
      <w:r w:rsidRPr="001C5CB4">
        <w:rPr>
          <w:u w:val="none"/>
        </w:rPr>
        <w:lastRenderedPageBreak/>
        <w:t xml:space="preserve">line counts (collected on FCC Form 525) are used to calculate their total support.  </w:t>
      </w:r>
      <w:r w:rsidRPr="001C5CB4">
        <w:rPr>
          <w:i/>
          <w:u w:val="none"/>
        </w:rPr>
        <w:t xml:space="preserve">See </w:t>
      </w:r>
      <w:r w:rsidRPr="001C5CB4">
        <w:rPr>
          <w:u w:val="none"/>
        </w:rPr>
        <w:t>47 C.F.R. §§ 54.317(d).</w:t>
      </w:r>
    </w:p>
    <w:p w:rsidRPr="003E26A9" w:rsidR="00C91299" w:rsidP="001861C7" w:rsidRDefault="00C91299" w14:paraId="1F5E3EE8" w14:textId="77777777">
      <w:pPr>
        <w:pStyle w:val="ListParagraph"/>
        <w:numPr>
          <w:ilvl w:val="0"/>
          <w:numId w:val="0"/>
        </w:numPr>
        <w:spacing w:after="0" w:line="240" w:lineRule="auto"/>
        <w:ind w:left="720"/>
      </w:pPr>
    </w:p>
    <w:p w:rsidRPr="00C91299" w:rsidR="00561FD5" w:rsidRDefault="003B723A" w14:paraId="3BED9CDE" w14:textId="55137FB3">
      <w:pPr>
        <w:pStyle w:val="ListParagraph"/>
        <w:spacing w:after="0" w:line="240" w:lineRule="auto"/>
        <w:ind w:hanging="450"/>
      </w:pPr>
      <w:r w:rsidRPr="001C5CB4">
        <w:t>Safety Valve (See 12.</w:t>
      </w:r>
      <w:r w:rsidR="00881EB1">
        <w:t>y</w:t>
      </w:r>
      <w:r w:rsidRPr="001C5CB4">
        <w:t>)</w:t>
      </w:r>
      <w:r w:rsidRPr="00D43798">
        <w:rPr>
          <w:u w:val="none"/>
        </w:rPr>
        <w:t>:</w:t>
      </w:r>
      <w:r w:rsidRPr="001C5CB4">
        <w:rPr>
          <w:u w:val="none"/>
        </w:rPr>
        <w:t xml:space="preserve">  The “safety valve” mechanism enables rural carriers acquiring access lines to receive additional support over a period of five years to reflect post-transaction investment made by the acquiring carrier.  Once relevant regulatory approvals are obtained and the transaction is closed, the rural carrier must provide written notice to USAC that they have acquired access lines that may become eligible for safety valve support and identify when the index year for determining eligibility began.  See 47 C.F.R. § 54.305(f).</w:t>
      </w:r>
    </w:p>
    <w:p w:rsidRPr="001C5CB4" w:rsidR="00C91299" w:rsidP="001861C7" w:rsidRDefault="00C91299" w14:paraId="575F60D7" w14:textId="5A9072E6">
      <w:pPr>
        <w:pStyle w:val="ListParagraph"/>
        <w:numPr>
          <w:ilvl w:val="0"/>
          <w:numId w:val="0"/>
        </w:numPr>
        <w:spacing w:after="0" w:line="240" w:lineRule="auto"/>
        <w:ind w:left="720"/>
      </w:pPr>
    </w:p>
    <w:p w:rsidRPr="00137F86" w:rsidR="007522BA" w:rsidRDefault="003B723A" w14:paraId="6B300D27" w14:textId="35806720">
      <w:pPr>
        <w:pStyle w:val="ListParagraph"/>
        <w:spacing w:after="0" w:line="240" w:lineRule="auto"/>
        <w:ind w:hanging="450"/>
      </w:pPr>
      <w:r w:rsidRPr="001C5CB4">
        <w:t>Recordkeeping Requirement (See 12.</w:t>
      </w:r>
      <w:r w:rsidR="003A70A6">
        <w:t>z</w:t>
      </w:r>
      <w:r w:rsidRPr="001C5CB4">
        <w:t>)</w:t>
      </w:r>
      <w:r w:rsidRPr="00D43798">
        <w:rPr>
          <w:u w:val="none"/>
        </w:rPr>
        <w:t>:</w:t>
      </w:r>
      <w:r w:rsidRPr="001C5CB4">
        <w:rPr>
          <w:u w:val="none"/>
        </w:rPr>
        <w:t xml:space="preserve">  Carriers receiving high-cost</w:t>
      </w:r>
      <w:r w:rsidR="005750C1">
        <w:rPr>
          <w:u w:val="none"/>
        </w:rPr>
        <w:t xml:space="preserve">, CAF, or RDOF </w:t>
      </w:r>
      <w:r w:rsidRPr="001C5CB4">
        <w:rPr>
          <w:u w:val="none"/>
        </w:rPr>
        <w:t xml:space="preserve">support are subject to random compliance audits and other investigations to ensure compliance with program rules and orders, and carriers must retain records required to demonstrate to auditors that the support received was consistent with the universal service high-cost program rules.  The document retention period is ten years.  The carriers must make these documents and records available to the Commission, any of its Bureaus or Offices, USAC, and to their respective auditors.  </w:t>
      </w:r>
      <w:r w:rsidRPr="001C5CB4">
        <w:rPr>
          <w:i/>
          <w:u w:val="none"/>
        </w:rPr>
        <w:t>See</w:t>
      </w:r>
      <w:r w:rsidRPr="001C5CB4">
        <w:rPr>
          <w:u w:val="none"/>
        </w:rPr>
        <w:t xml:space="preserve"> 47 C.F.R. § 54.320(b).</w:t>
      </w:r>
    </w:p>
    <w:p w:rsidR="007522BA" w:rsidRDefault="007522BA" w14:paraId="078DAB85" w14:textId="77777777">
      <w:pPr>
        <w:spacing w:after="0" w:line="240" w:lineRule="auto"/>
        <w:ind w:left="270"/>
      </w:pPr>
    </w:p>
    <w:p w:rsidRPr="003E26A9" w:rsidR="00C91299" w:rsidRDefault="00C91299" w14:paraId="2F09353C" w14:textId="77777777">
      <w:pPr>
        <w:spacing w:after="0" w:line="240" w:lineRule="auto"/>
      </w:pPr>
      <w:r w:rsidRPr="003E26A9">
        <w:t>Statutory authority for this information collection is contained in 47 U.S.C. sections 151-154, 155, 201-206, 214, 218-220, 251, 252, 254, 256, 303(r), 332, 403, 405, 410, and 1302.</w:t>
      </w:r>
    </w:p>
    <w:p w:rsidRPr="003E26A9" w:rsidR="007522BA" w:rsidRDefault="007522BA" w14:paraId="194FB380" w14:textId="77777777">
      <w:pPr>
        <w:spacing w:after="0" w:line="240" w:lineRule="auto"/>
      </w:pPr>
    </w:p>
    <w:p w:rsidR="007522BA" w:rsidRDefault="00C91299" w14:paraId="74B9928F" w14:textId="77777777">
      <w:pPr>
        <w:spacing w:after="0" w:line="240" w:lineRule="auto"/>
      </w:pPr>
      <w:r w:rsidRPr="003E26A9">
        <w:t xml:space="preserve">This information collection does not affect individuals or households; thus, there are no impacts under the Privacy Act.  </w:t>
      </w:r>
    </w:p>
    <w:p w:rsidR="00C91299" w:rsidRDefault="00C91299" w14:paraId="73600DA5" w14:textId="21A5E7C7">
      <w:pPr>
        <w:spacing w:after="0" w:line="240" w:lineRule="auto"/>
      </w:pPr>
      <w:r w:rsidRPr="003E26A9">
        <w:t xml:space="preserve"> </w:t>
      </w:r>
    </w:p>
    <w:p w:rsidR="0059478C" w:rsidRDefault="00C91299" w14:paraId="7D7DF8E9" w14:textId="43478DEE">
      <w:pPr>
        <w:pStyle w:val="Heading2"/>
        <w:spacing w:after="0" w:line="240" w:lineRule="auto"/>
        <w:rPr>
          <w:i w:val="0"/>
          <w:iCs w:val="0"/>
        </w:rPr>
      </w:pPr>
      <w:r w:rsidRPr="001C5CB4">
        <w:t>Use of information.</w:t>
      </w:r>
      <w:r w:rsidRPr="001C5CB4">
        <w:rPr>
          <w:i w:val="0"/>
        </w:rPr>
        <w:t xml:space="preserve"> </w:t>
      </w:r>
      <w:r>
        <w:rPr>
          <w:i w:val="0"/>
          <w:iCs w:val="0"/>
        </w:rPr>
        <w:t xml:space="preserve"> </w:t>
      </w:r>
      <w:r w:rsidRPr="00137F86">
        <w:rPr>
          <w:i w:val="0"/>
          <w:iCs w:val="0"/>
        </w:rPr>
        <w:t>The Commission will use the information requirements to determine the eligibility for high-cost universal service support.  The Commission will also use the information collections to conduct oversight and ensure that CAF funds are spent in accordance with the rules of the program.</w:t>
      </w:r>
    </w:p>
    <w:p w:rsidRPr="0059478C" w:rsidR="00C91299" w:rsidP="001861C7" w:rsidRDefault="00C91299" w14:paraId="7A872096" w14:textId="6A37E5F6">
      <w:pPr>
        <w:pStyle w:val="Heading2"/>
        <w:numPr>
          <w:ilvl w:val="0"/>
          <w:numId w:val="0"/>
        </w:numPr>
        <w:spacing w:after="0" w:line="240" w:lineRule="auto"/>
        <w:ind w:left="360"/>
      </w:pPr>
      <w:r w:rsidRPr="0059478C">
        <w:rPr>
          <w:i w:val="0"/>
          <w:iCs w:val="0"/>
        </w:rPr>
        <w:t xml:space="preserve"> </w:t>
      </w:r>
    </w:p>
    <w:p w:rsidRPr="00137F86" w:rsidR="00C91299" w:rsidRDefault="00C91299" w14:paraId="6A2EE719" w14:textId="1A00F86A">
      <w:pPr>
        <w:pStyle w:val="Heading2"/>
        <w:spacing w:after="0" w:line="240" w:lineRule="auto"/>
        <w:rPr>
          <w:i w:val="0"/>
          <w:iCs w:val="0"/>
        </w:rPr>
      </w:pPr>
      <w:r w:rsidRPr="0059478C">
        <w:t>Technological collection techniques</w:t>
      </w:r>
      <w:r w:rsidRPr="00A24D92">
        <w:rPr>
          <w:i w:val="0"/>
          <w:iCs w:val="0"/>
        </w:rPr>
        <w:t>.</w:t>
      </w:r>
      <w:r w:rsidR="00C06417">
        <w:t xml:space="preserve">  </w:t>
      </w:r>
      <w:r w:rsidR="0059478C">
        <w:t xml:space="preserve"> </w:t>
      </w:r>
      <w:r w:rsidRPr="00137F86">
        <w:rPr>
          <w:i w:val="0"/>
          <w:iCs w:val="0"/>
        </w:rPr>
        <w:t xml:space="preserve">In an effort to reduce any burden created by these information collection requirements, the Commission shall permit all respondents to file responses using automated, electronic, mechanical or other technological collection techniques where feasible.  Respondents must file Form 481 online through USAC’s “E-File” portal at </w:t>
      </w:r>
      <w:hyperlink w:history="1" r:id="rId11">
        <w:r w:rsidRPr="00137F86">
          <w:rPr>
            <w:rStyle w:val="Hyperlink"/>
            <w:i w:val="0"/>
            <w:iCs w:val="0"/>
          </w:rPr>
          <w:t>https://forms.universalservice.org/usaclogin/login.asp</w:t>
        </w:r>
      </w:hyperlink>
      <w:r w:rsidRPr="00137F86">
        <w:rPr>
          <w:i w:val="0"/>
          <w:iCs w:val="0"/>
        </w:rPr>
        <w:t>.</w:t>
      </w:r>
    </w:p>
    <w:p w:rsidRPr="0059478C" w:rsidR="0059478C" w:rsidRDefault="0059478C" w14:paraId="1CC01960" w14:textId="77777777">
      <w:pPr>
        <w:spacing w:after="0" w:line="240" w:lineRule="auto"/>
      </w:pPr>
    </w:p>
    <w:p w:rsidRPr="00137F86" w:rsidR="00C91299" w:rsidRDefault="00C91299" w14:paraId="1B50E94D" w14:textId="3B5E20C5">
      <w:pPr>
        <w:pStyle w:val="Heading2"/>
        <w:spacing w:after="0" w:line="240" w:lineRule="auto"/>
        <w:rPr>
          <w:i w:val="0"/>
          <w:iCs w:val="0"/>
        </w:rPr>
      </w:pPr>
      <w:r w:rsidRPr="001C5CB4">
        <w:t>Efforts to identify duplication.</w:t>
      </w:r>
      <w:r w:rsidR="0059478C">
        <w:t xml:space="preserve">  </w:t>
      </w:r>
      <w:r w:rsidRPr="00137F86">
        <w:rPr>
          <w:i w:val="0"/>
          <w:iCs w:val="0"/>
        </w:rPr>
        <w:t xml:space="preserve">There will be no duplication of information.  The information sought is unique to each carrier or respondent and similar information is not already available.  </w:t>
      </w:r>
    </w:p>
    <w:p w:rsidRPr="00ED5773" w:rsidR="007522BA" w:rsidRDefault="007522BA" w14:paraId="25B71551" w14:textId="77777777">
      <w:pPr>
        <w:spacing w:after="0" w:line="240" w:lineRule="auto"/>
      </w:pPr>
    </w:p>
    <w:p w:rsidR="007522BA" w:rsidRDefault="00C91299" w14:paraId="16DA77D7" w14:textId="251C0ADF">
      <w:pPr>
        <w:pStyle w:val="Heading2"/>
        <w:spacing w:after="0" w:line="240" w:lineRule="auto"/>
        <w:rPr>
          <w:i w:val="0"/>
          <w:iCs w:val="0"/>
        </w:rPr>
      </w:pPr>
      <w:r w:rsidRPr="001C5CB4">
        <w:t>Impact on small entities.</w:t>
      </w:r>
      <w:r w:rsidR="0059478C">
        <w:t xml:space="preserve">  </w:t>
      </w:r>
      <w:r w:rsidRPr="00137F86">
        <w:rPr>
          <w:i w:val="0"/>
          <w:iCs w:val="0"/>
        </w:rPr>
        <w:t>The collection of information may affect small entities as well as large entities.  The requirements in this collection are necessary to ensure compliance with high-cost universal service support requirements and are designed to limit the burden on small entities as much as possible.</w:t>
      </w:r>
    </w:p>
    <w:p w:rsidRPr="007522BA" w:rsidR="00C91299" w:rsidP="001861C7" w:rsidRDefault="00C91299" w14:paraId="5C394445" w14:textId="7BB982C3">
      <w:pPr>
        <w:pStyle w:val="Heading2"/>
        <w:numPr>
          <w:ilvl w:val="0"/>
          <w:numId w:val="0"/>
        </w:numPr>
        <w:spacing w:after="0" w:line="240" w:lineRule="auto"/>
        <w:ind w:left="360"/>
      </w:pPr>
      <w:r w:rsidRPr="007522BA">
        <w:rPr>
          <w:i w:val="0"/>
          <w:iCs w:val="0"/>
        </w:rPr>
        <w:t xml:space="preserve">  </w:t>
      </w:r>
    </w:p>
    <w:p w:rsidR="007522BA" w:rsidRDefault="00C91299" w14:paraId="2C1A5863" w14:textId="14E3B828">
      <w:pPr>
        <w:pStyle w:val="Heading2"/>
        <w:spacing w:after="0" w:line="240" w:lineRule="auto"/>
        <w:rPr>
          <w:i w:val="0"/>
          <w:iCs w:val="0"/>
        </w:rPr>
      </w:pPr>
      <w:r w:rsidRPr="001C5CB4">
        <w:lastRenderedPageBreak/>
        <w:t>Consequences if information is not collected.</w:t>
      </w:r>
      <w:r w:rsidR="0059478C">
        <w:t xml:space="preserve">  </w:t>
      </w:r>
      <w:r w:rsidRPr="00137F86">
        <w:rPr>
          <w:i w:val="0"/>
          <w:iCs w:val="0"/>
        </w:rPr>
        <w:t>The information collected is used to determine eligibility for high-cost universal service support and to conduct oversight and ensure that high-cost universal service support is spent in accordance with the rules of the program.  Without the requested information, the Commission and USAC will not be able to determine a carrier’s eligibility or monitor compliance with high-cost universal service support requirements.  This may result in partial or complete denial of high-cost universal service support for the carrier.</w:t>
      </w:r>
    </w:p>
    <w:p w:rsidRPr="007522BA" w:rsidR="00C91299" w:rsidP="001861C7" w:rsidRDefault="00C91299" w14:paraId="5D8CA64A" w14:textId="56343677">
      <w:pPr>
        <w:pStyle w:val="Heading2"/>
        <w:numPr>
          <w:ilvl w:val="0"/>
          <w:numId w:val="0"/>
        </w:numPr>
        <w:spacing w:after="0" w:line="240" w:lineRule="auto"/>
        <w:ind w:left="360"/>
      </w:pPr>
      <w:r w:rsidRPr="007522BA">
        <w:rPr>
          <w:i w:val="0"/>
          <w:iCs w:val="0"/>
        </w:rPr>
        <w:t xml:space="preserve">  </w:t>
      </w:r>
    </w:p>
    <w:p w:rsidRPr="00137F86" w:rsidR="00C91299" w:rsidRDefault="00C91299" w14:paraId="56480A26" w14:textId="0AF41484">
      <w:pPr>
        <w:pStyle w:val="Heading2"/>
        <w:spacing w:after="0" w:line="240" w:lineRule="auto"/>
        <w:rPr>
          <w:i w:val="0"/>
          <w:iCs w:val="0"/>
        </w:rPr>
      </w:pPr>
      <w:r w:rsidRPr="001C5CB4">
        <w:t>Special circumstances.</w:t>
      </w:r>
      <w:r w:rsidR="0059478C">
        <w:t xml:space="preserve">  </w:t>
      </w:r>
      <w:r w:rsidRPr="00137F86">
        <w:rPr>
          <w:i w:val="0"/>
          <w:iCs w:val="0"/>
        </w:rPr>
        <w:t>We do not foresee any special circumstances with this information collection.</w:t>
      </w:r>
    </w:p>
    <w:p w:rsidRPr="0059478C" w:rsidR="0059478C" w:rsidRDefault="0059478C" w14:paraId="7EA95704" w14:textId="77777777">
      <w:pPr>
        <w:spacing w:after="0" w:line="240" w:lineRule="auto"/>
      </w:pPr>
    </w:p>
    <w:p w:rsidR="00C91299" w:rsidRDefault="00C91299" w14:paraId="771E95FB" w14:textId="01B958EE">
      <w:pPr>
        <w:pStyle w:val="Heading2"/>
        <w:spacing w:after="0" w:line="240" w:lineRule="auto"/>
        <w:rPr>
          <w:i w:val="0"/>
          <w:iCs w:val="0"/>
        </w:rPr>
      </w:pPr>
      <w:r w:rsidRPr="001C5CB4">
        <w:t>Federal Register notice; efforts to consult with persons outside the Commission.</w:t>
      </w:r>
      <w:r w:rsidR="0059478C">
        <w:t xml:space="preserve">  </w:t>
      </w:r>
      <w:r w:rsidRPr="00137F86">
        <w:rPr>
          <w:i w:val="0"/>
          <w:iCs w:val="0"/>
        </w:rPr>
        <w:t xml:space="preserve">A 60-day notice was also published in the </w:t>
      </w:r>
      <w:r w:rsidRPr="00ED5773">
        <w:t>Federal Register</w:t>
      </w:r>
      <w:r w:rsidRPr="00137F86">
        <w:rPr>
          <w:i w:val="0"/>
          <w:iCs w:val="0"/>
        </w:rPr>
        <w:t xml:space="preserve"> pursuant to 5 C.F.R. § 1320.8(d) on </w:t>
      </w:r>
      <w:r w:rsidRPr="00AE33CF" w:rsidR="00AE33CF">
        <w:rPr>
          <w:i w:val="0"/>
          <w:iCs w:val="0"/>
        </w:rPr>
        <w:t>March 24,</w:t>
      </w:r>
      <w:r w:rsidRPr="00AE33CF">
        <w:rPr>
          <w:i w:val="0"/>
          <w:iCs w:val="0"/>
        </w:rPr>
        <w:t xml:space="preserve"> 20</w:t>
      </w:r>
      <w:r w:rsidRPr="00AE33CF" w:rsidR="00AE33CF">
        <w:rPr>
          <w:i w:val="0"/>
          <w:iCs w:val="0"/>
        </w:rPr>
        <w:t>22</w:t>
      </w:r>
      <w:r w:rsidRPr="00137F86">
        <w:rPr>
          <w:i w:val="0"/>
          <w:iCs w:val="0"/>
        </w:rPr>
        <w:t>.  See [</w:t>
      </w:r>
      <w:r w:rsidRPr="00AE33CF" w:rsidR="00AE33CF">
        <w:rPr>
          <w:i w:val="0"/>
          <w:iCs w:val="0"/>
        </w:rPr>
        <w:t>87</w:t>
      </w:r>
      <w:r w:rsidRPr="00AE33CF">
        <w:rPr>
          <w:i w:val="0"/>
          <w:iCs w:val="0"/>
        </w:rPr>
        <w:t xml:space="preserve"> FR </w:t>
      </w:r>
      <w:r w:rsidRPr="00AE33CF" w:rsidR="00AE33CF">
        <w:rPr>
          <w:i w:val="0"/>
          <w:iCs w:val="0"/>
        </w:rPr>
        <w:t>16731</w:t>
      </w:r>
      <w:r w:rsidRPr="00137F86">
        <w:rPr>
          <w:i w:val="0"/>
          <w:iCs w:val="0"/>
        </w:rPr>
        <w:t>].  No comments were received from the public.</w:t>
      </w:r>
    </w:p>
    <w:p w:rsidRPr="00ED5773" w:rsidR="007522BA" w:rsidRDefault="007522BA" w14:paraId="1DF09275" w14:textId="77777777">
      <w:pPr>
        <w:spacing w:after="0" w:line="240" w:lineRule="auto"/>
      </w:pPr>
    </w:p>
    <w:p w:rsidR="00C91299" w:rsidRDefault="00C91299" w14:paraId="19A798A1" w14:textId="7DC51EBF">
      <w:pPr>
        <w:pStyle w:val="Heading2"/>
        <w:spacing w:after="0" w:line="240" w:lineRule="auto"/>
        <w:rPr>
          <w:i w:val="0"/>
          <w:iCs w:val="0"/>
        </w:rPr>
      </w:pPr>
      <w:r w:rsidRPr="001C5CB4">
        <w:t>Payments or gifts to respondents.</w:t>
      </w:r>
      <w:r w:rsidR="0059478C">
        <w:t xml:space="preserve">  </w:t>
      </w:r>
      <w:r w:rsidRPr="00137F86">
        <w:rPr>
          <w:i w:val="0"/>
          <w:iCs w:val="0"/>
        </w:rPr>
        <w:t>The Commission does not anticipate providing any payment or gifts to respondents.</w:t>
      </w:r>
    </w:p>
    <w:p w:rsidRPr="00ED5773" w:rsidR="007522BA" w:rsidRDefault="007522BA" w14:paraId="7FCA26C3" w14:textId="77777777">
      <w:pPr>
        <w:spacing w:after="0" w:line="240" w:lineRule="auto"/>
      </w:pPr>
    </w:p>
    <w:p w:rsidRPr="007522BA" w:rsidR="00C91299" w:rsidRDefault="00C91299" w14:paraId="0ACE7994" w14:textId="000C538A">
      <w:pPr>
        <w:pStyle w:val="Heading2"/>
        <w:spacing w:after="0" w:line="240" w:lineRule="auto"/>
      </w:pPr>
      <w:r w:rsidRPr="001C5CB4">
        <w:t>Assurances of confidentiality.</w:t>
      </w:r>
      <w:r w:rsidR="0059478C">
        <w:t xml:space="preserve">  </w:t>
      </w:r>
      <w:r w:rsidRPr="007522BA">
        <w:rPr>
          <w:i w:val="0"/>
          <w:iCs w:val="0"/>
        </w:rPr>
        <w:t xml:space="preserve">Parties may submit confidential information in relation to sub-item </w:t>
      </w:r>
      <w:r w:rsidR="00162EFF">
        <w:rPr>
          <w:i w:val="0"/>
          <w:iCs w:val="0"/>
        </w:rPr>
        <w:t>p</w:t>
      </w:r>
      <w:r w:rsidRPr="007522BA">
        <w:rPr>
          <w:i w:val="0"/>
          <w:iCs w:val="0"/>
        </w:rPr>
        <w:t xml:space="preserve"> in Item 12 below pursuant to a protective order.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Also, respondents may request materials or information submitted to the Commission or to the Administrator believed confidential to be withheld from public inspection under 47 C.F.R. § 0.459 of the FCC’s rules.</w:t>
      </w:r>
    </w:p>
    <w:p w:rsidRPr="00C91299" w:rsidR="00C91299" w:rsidRDefault="00C91299" w14:paraId="116A531B" w14:textId="77777777">
      <w:pPr>
        <w:pStyle w:val="NoSpacing"/>
      </w:pPr>
    </w:p>
    <w:p w:rsidR="00C91299" w:rsidRDefault="00C91299" w14:paraId="2B517A2E" w14:textId="236C6DB3">
      <w:pPr>
        <w:pStyle w:val="Heading2"/>
        <w:spacing w:after="0" w:line="240" w:lineRule="auto"/>
        <w:rPr>
          <w:i w:val="0"/>
          <w:iCs w:val="0"/>
        </w:rPr>
      </w:pPr>
      <w:r w:rsidRPr="001C5CB4">
        <w:t>Questions of a sensitive nature.</w:t>
      </w:r>
      <w:r w:rsidR="0059478C">
        <w:t xml:space="preserve">  </w:t>
      </w:r>
      <w:r w:rsidRPr="00137F86">
        <w:rPr>
          <w:i w:val="0"/>
          <w:iCs w:val="0"/>
        </w:rPr>
        <w:t>There are no questions of a sensitive nature with respect to the information collections described herein.</w:t>
      </w:r>
    </w:p>
    <w:p w:rsidRPr="00ED5773" w:rsidR="00C06417" w:rsidRDefault="00C06417" w14:paraId="3C7E9563" w14:textId="77777777">
      <w:pPr>
        <w:spacing w:after="0"/>
      </w:pPr>
    </w:p>
    <w:p w:rsidR="00C91299" w:rsidRDefault="00C91299" w14:paraId="4FB45936" w14:textId="60E329E9">
      <w:pPr>
        <w:pStyle w:val="Heading2"/>
        <w:spacing w:after="0" w:line="240" w:lineRule="auto"/>
        <w:rPr>
          <w:i w:val="0"/>
          <w:iCs w:val="0"/>
        </w:rPr>
      </w:pPr>
      <w:r w:rsidRPr="001C5CB4">
        <w:t>Estimates of the hour burden of the collection to respondents.</w:t>
      </w:r>
      <w:r w:rsidR="0059478C">
        <w:t xml:space="preserve">  </w:t>
      </w:r>
      <w:r w:rsidRPr="00137F86">
        <w:rPr>
          <w:i w:val="0"/>
          <w:iCs w:val="0"/>
        </w:rPr>
        <w:t>The following represents the hour burden on the collections of information:</w:t>
      </w:r>
    </w:p>
    <w:p w:rsidRPr="00605EFF" w:rsidR="00605EFF" w:rsidRDefault="00605EFF" w14:paraId="4757B6BF" w14:textId="77777777">
      <w:pPr>
        <w:spacing w:after="0"/>
      </w:pPr>
    </w:p>
    <w:p w:rsidR="00605EFF" w:rsidRDefault="00605EFF" w14:paraId="32BA9EC1" w14:textId="0EA9EEC9">
      <w:pPr>
        <w:pStyle w:val="Heading4"/>
        <w:spacing w:after="0" w:line="240" w:lineRule="auto"/>
      </w:pPr>
      <w:r>
        <w:t xml:space="preserve">Connect America Fund </w:t>
      </w:r>
      <w:r w:rsidRPr="001C5CB4">
        <w:t>Phase II Auction</w:t>
      </w:r>
      <w:r>
        <w:t xml:space="preserve">, </w:t>
      </w:r>
      <w:proofErr w:type="spellStart"/>
      <w:r>
        <w:t>Uniendo</w:t>
      </w:r>
      <w:proofErr w:type="spellEnd"/>
      <w:r>
        <w:t xml:space="preserve"> a Puerto Rico Stage 2, Connect USVI </w:t>
      </w:r>
      <w:r w:rsidR="0053400D">
        <w:t xml:space="preserve">Fund </w:t>
      </w:r>
      <w:r>
        <w:t>Stage 2, and Rural Digital Opportunity Fund</w:t>
      </w:r>
      <w:r w:rsidRPr="001C5CB4">
        <w:t xml:space="preserve"> Reporting and Certifications (</w:t>
      </w:r>
      <w:r>
        <w:t>revised</w:t>
      </w:r>
      <w:r w:rsidRPr="001C5CB4">
        <w:t xml:space="preserve"> requirement</w:t>
      </w:r>
      <w:r>
        <w:t xml:space="preserve"> and updated respondents)</w:t>
      </w:r>
      <w:r w:rsidRPr="00137F86">
        <w:rPr>
          <w:u w:val="none"/>
        </w:rPr>
        <w:t>:</w:t>
      </w:r>
    </w:p>
    <w:p w:rsidRPr="00ED5773" w:rsidR="00605EFF" w:rsidRDefault="00605EFF" w14:paraId="3C690F08" w14:textId="77777777">
      <w:pPr>
        <w:spacing w:after="0"/>
      </w:pPr>
    </w:p>
    <w:p w:rsidRPr="00A925D8" w:rsidR="00605EFF" w:rsidRDefault="00605EFF" w14:paraId="2572733C" w14:textId="2E471223">
      <w:pPr>
        <w:pStyle w:val="ListParagraph"/>
        <w:numPr>
          <w:ilvl w:val="0"/>
          <w:numId w:val="30"/>
        </w:numPr>
        <w:spacing w:after="0" w:line="240" w:lineRule="auto"/>
      </w:pPr>
      <w:r w:rsidRPr="001C5CB4">
        <w:t>Number of respondents</w:t>
      </w:r>
      <w:r w:rsidRPr="00137F86">
        <w:rPr>
          <w:u w:val="none"/>
        </w:rPr>
        <w:t>:</w:t>
      </w:r>
      <w:r w:rsidRPr="00C03B50">
        <w:rPr>
          <w:u w:val="none"/>
        </w:rPr>
        <w:t xml:space="preserve"> </w:t>
      </w:r>
      <w:r w:rsidR="0054221B">
        <w:rPr>
          <w:u w:val="none"/>
        </w:rPr>
        <w:t xml:space="preserve"> Approximately 352</w:t>
      </w:r>
      <w:r w:rsidRPr="001C5CB4">
        <w:rPr>
          <w:u w:val="none"/>
        </w:rPr>
        <w:t>.  Carriers that receive CAF Phase II auction support</w:t>
      </w:r>
      <w:r>
        <w:rPr>
          <w:u w:val="none"/>
        </w:rPr>
        <w:t xml:space="preserve">, </w:t>
      </w:r>
      <w:proofErr w:type="spellStart"/>
      <w:r>
        <w:rPr>
          <w:u w:val="none"/>
        </w:rPr>
        <w:t>Uniendo</w:t>
      </w:r>
      <w:proofErr w:type="spellEnd"/>
      <w:r>
        <w:rPr>
          <w:u w:val="none"/>
        </w:rPr>
        <w:t xml:space="preserve"> a Puerto Rico Stage 2 fixed support, Connect USVI Stage 2 fixed support</w:t>
      </w:r>
      <w:r w:rsidR="00C33690">
        <w:rPr>
          <w:u w:val="none"/>
        </w:rPr>
        <w:t>, or Rural Digital Opportunity Fund support</w:t>
      </w:r>
      <w:r w:rsidRPr="001C5CB4">
        <w:rPr>
          <w:u w:val="none"/>
        </w:rPr>
        <w:t xml:space="preserve"> must submit these reports and make these certifications.  </w:t>
      </w:r>
      <w:r>
        <w:rPr>
          <w:u w:val="none"/>
        </w:rPr>
        <w:t xml:space="preserve">The increased number of respondents accounts for </w:t>
      </w:r>
      <w:r w:rsidR="00C33690">
        <w:rPr>
          <w:u w:val="none"/>
        </w:rPr>
        <w:t xml:space="preserve">the 180 winning bidders in the Rural Digital Opportunity Fund auction, who, if ultimately approved to receive RDOF support, </w:t>
      </w:r>
      <w:r>
        <w:rPr>
          <w:u w:val="none"/>
        </w:rPr>
        <w:t>will be required to submit these reports and certifications.</w:t>
      </w:r>
    </w:p>
    <w:p w:rsidRPr="00472A06" w:rsidR="00605EFF" w:rsidRDefault="00605EFF" w14:paraId="32BB89A8" w14:textId="77777777">
      <w:pPr>
        <w:spacing w:after="0" w:line="240" w:lineRule="auto"/>
        <w:ind w:left="720" w:hanging="360"/>
      </w:pPr>
    </w:p>
    <w:p w:rsidRPr="00EB4351" w:rsidR="00605EFF" w:rsidRDefault="00605EFF" w14:paraId="5F9CC919" w14:textId="77777777">
      <w:pPr>
        <w:spacing w:after="0" w:line="240" w:lineRule="auto"/>
        <w:ind w:left="720" w:hanging="360"/>
      </w:pPr>
      <w:r w:rsidRPr="00EB4351">
        <w:t xml:space="preserve">(2) </w:t>
      </w:r>
      <w:r w:rsidRPr="00EB4351">
        <w:rPr>
          <w:u w:val="single"/>
        </w:rPr>
        <w:t>Frequency of response</w:t>
      </w:r>
      <w:r w:rsidRPr="00EB4351">
        <w:t xml:space="preserve">:  Annually.   </w:t>
      </w:r>
    </w:p>
    <w:p w:rsidRPr="00EB4351" w:rsidR="00605EFF" w:rsidRDefault="00605EFF" w14:paraId="1CDBA079" w14:textId="77777777">
      <w:pPr>
        <w:spacing w:after="0" w:line="240" w:lineRule="auto"/>
        <w:ind w:left="720" w:hanging="360"/>
      </w:pPr>
    </w:p>
    <w:p w:rsidRPr="00EB4351" w:rsidR="00605EFF" w:rsidRDefault="00605EFF" w14:paraId="30A7F403" w14:textId="4887CDB5">
      <w:pPr>
        <w:spacing w:after="0" w:line="240" w:lineRule="auto"/>
        <w:ind w:left="720" w:hanging="360"/>
      </w:pPr>
      <w:r w:rsidRPr="00EB4351">
        <w:t xml:space="preserve">(3) </w:t>
      </w:r>
      <w:r w:rsidRPr="00EB4351">
        <w:rPr>
          <w:u w:val="single"/>
        </w:rPr>
        <w:t>Total number of responses per respondent</w:t>
      </w:r>
      <w:r w:rsidRPr="00EB4351">
        <w:t xml:space="preserve">: </w:t>
      </w:r>
      <w:r w:rsidR="00113C08">
        <w:t xml:space="preserve"> </w:t>
      </w:r>
      <w:r w:rsidRPr="00EB4351">
        <w:t xml:space="preserve">Approximately 1. </w:t>
      </w:r>
    </w:p>
    <w:p w:rsidRPr="00EB4351" w:rsidR="00605EFF" w:rsidRDefault="00605EFF" w14:paraId="3648D774" w14:textId="77777777">
      <w:pPr>
        <w:spacing w:after="0" w:line="240" w:lineRule="auto"/>
        <w:ind w:left="720" w:hanging="360"/>
      </w:pPr>
    </w:p>
    <w:p w:rsidRPr="00EB4351" w:rsidR="00605EFF" w:rsidRDefault="00605EFF" w14:paraId="237E581B" w14:textId="77777777">
      <w:pPr>
        <w:spacing w:after="0" w:line="240" w:lineRule="auto"/>
        <w:ind w:left="720" w:hanging="360"/>
      </w:pPr>
      <w:r w:rsidRPr="00EB4351">
        <w:t xml:space="preserve">(4) </w:t>
      </w:r>
      <w:r w:rsidRPr="00EB4351">
        <w:rPr>
          <w:u w:val="single"/>
        </w:rPr>
        <w:t>Estimated time per response</w:t>
      </w:r>
      <w:r w:rsidRPr="00EB4351">
        <w:t xml:space="preserve">:  </w:t>
      </w:r>
      <w:r>
        <w:t>4</w:t>
      </w:r>
      <w:r w:rsidRPr="00EB4351">
        <w:t xml:space="preserve"> hour</w:t>
      </w:r>
      <w:r>
        <w:t>s</w:t>
      </w:r>
      <w:r w:rsidRPr="00EB4351">
        <w:t xml:space="preserve">. </w:t>
      </w:r>
    </w:p>
    <w:p w:rsidRPr="00EB4351" w:rsidR="00605EFF" w:rsidRDefault="00605EFF" w14:paraId="4106CAEA" w14:textId="77777777">
      <w:pPr>
        <w:spacing w:after="0" w:line="240" w:lineRule="auto"/>
        <w:ind w:left="720" w:hanging="360"/>
      </w:pPr>
    </w:p>
    <w:p w:rsidRPr="00A925D8" w:rsidR="00605EFF" w:rsidRDefault="00605EFF" w14:paraId="3CA35B4F" w14:textId="778F9E34">
      <w:pPr>
        <w:spacing w:after="0" w:line="240" w:lineRule="auto"/>
        <w:ind w:left="720" w:hanging="360"/>
      </w:pPr>
      <w:r w:rsidRPr="00EB4351">
        <w:t xml:space="preserve">(5) </w:t>
      </w:r>
      <w:r w:rsidRPr="00EB4351">
        <w:rPr>
          <w:u w:val="single"/>
        </w:rPr>
        <w:t>Total annual hour burden</w:t>
      </w:r>
      <w:r w:rsidRPr="00EB4351">
        <w:t xml:space="preserve">:  </w:t>
      </w:r>
      <w:r w:rsidR="00C33690">
        <w:t>1,408</w:t>
      </w:r>
      <w:r w:rsidRPr="00EB4351">
        <w:t xml:space="preserve"> hours. </w:t>
      </w:r>
    </w:p>
    <w:p w:rsidRPr="00472A06" w:rsidR="00605EFF" w:rsidRDefault="00605EFF" w14:paraId="61F2B98B" w14:textId="77777777">
      <w:pPr>
        <w:spacing w:after="0" w:line="240" w:lineRule="auto"/>
        <w:ind w:left="720" w:hanging="360"/>
      </w:pPr>
    </w:p>
    <w:p w:rsidR="00605EFF" w:rsidRDefault="00605EFF" w14:paraId="37C4ED27" w14:textId="529C06B5">
      <w:pPr>
        <w:spacing w:after="0" w:line="240" w:lineRule="auto"/>
        <w:ind w:left="720" w:hanging="360"/>
      </w:pPr>
      <w:r w:rsidRPr="00EB4351">
        <w:t xml:space="preserve">      </w:t>
      </w:r>
      <w:r>
        <w:t>4</w:t>
      </w:r>
      <w:r w:rsidRPr="00EB4351">
        <w:t xml:space="preserve"> hour</w:t>
      </w:r>
      <w:r>
        <w:t>s</w:t>
      </w:r>
      <w:r w:rsidRPr="00EB4351">
        <w:t xml:space="preserve"> per respondent</w:t>
      </w:r>
      <w:r w:rsidRPr="002D766F">
        <w:t xml:space="preserve"> for </w:t>
      </w:r>
      <w:r w:rsidR="00C33690">
        <w:t>352</w:t>
      </w:r>
      <w:r w:rsidRPr="00EB4351">
        <w:t xml:space="preserve"> respondents filing annually.  Total annual hour burden is</w:t>
      </w:r>
      <w:r>
        <w:t xml:space="preserve"> calculated as follows</w:t>
      </w:r>
      <w:r w:rsidRPr="00EB4351">
        <w:t xml:space="preserve">: </w:t>
      </w:r>
    </w:p>
    <w:p w:rsidR="00605EFF" w:rsidRDefault="00605EFF" w14:paraId="18CABAFA" w14:textId="77777777">
      <w:pPr>
        <w:spacing w:after="0" w:line="240" w:lineRule="auto"/>
        <w:ind w:left="720" w:hanging="360"/>
      </w:pPr>
    </w:p>
    <w:p w:rsidRPr="00472A06" w:rsidR="00605EFF" w:rsidRDefault="00C33690" w14:paraId="3473B913" w14:textId="7F552783">
      <w:pPr>
        <w:spacing w:after="0" w:line="240" w:lineRule="auto"/>
        <w:ind w:left="720"/>
      </w:pPr>
      <w:r>
        <w:t>352</w:t>
      </w:r>
      <w:r w:rsidRPr="00EB4351" w:rsidR="00605EFF">
        <w:t xml:space="preserve"> respondents x 1 report per respondent = </w:t>
      </w:r>
      <w:r>
        <w:t>352</w:t>
      </w:r>
      <w:r w:rsidRPr="00EB4351" w:rsidR="00605EFF">
        <w:t xml:space="preserve"> responses </w:t>
      </w:r>
      <w:r w:rsidRPr="007F5B46" w:rsidR="00605EFF">
        <w:t>x</w:t>
      </w:r>
      <w:r w:rsidRPr="00EB4351" w:rsidR="00605EFF">
        <w:t xml:space="preserve"> </w:t>
      </w:r>
      <w:r w:rsidR="00605EFF">
        <w:t>4</w:t>
      </w:r>
      <w:r w:rsidRPr="00472A06" w:rsidR="00605EFF">
        <w:t xml:space="preserve"> hour</w:t>
      </w:r>
      <w:r w:rsidR="00605EFF">
        <w:t>s</w:t>
      </w:r>
      <w:r w:rsidRPr="00EB4351" w:rsidR="00605EFF">
        <w:t xml:space="preserve"> = </w:t>
      </w:r>
      <w:r>
        <w:rPr>
          <w:b/>
        </w:rPr>
        <w:t>1,408</w:t>
      </w:r>
      <w:r w:rsidRPr="00EB4351" w:rsidR="00605EFF">
        <w:rPr>
          <w:b/>
        </w:rPr>
        <w:t xml:space="preserve"> </w:t>
      </w:r>
      <w:r w:rsidR="00605EFF">
        <w:rPr>
          <w:b/>
        </w:rPr>
        <w:t xml:space="preserve">total annual </w:t>
      </w:r>
      <w:r w:rsidRPr="00EB4351" w:rsidR="00605EFF">
        <w:rPr>
          <w:b/>
        </w:rPr>
        <w:t>hours</w:t>
      </w:r>
      <w:r w:rsidRPr="00A925D8" w:rsidR="00605EFF">
        <w:t>.</w:t>
      </w:r>
    </w:p>
    <w:p w:rsidRPr="00EB4351" w:rsidR="00605EFF" w:rsidRDefault="00605EFF" w14:paraId="568FE6D7" w14:textId="77777777">
      <w:pPr>
        <w:spacing w:after="0" w:line="240" w:lineRule="auto"/>
        <w:ind w:left="720" w:hanging="360"/>
      </w:pPr>
    </w:p>
    <w:p w:rsidRPr="00472A06" w:rsidR="00605EFF" w:rsidRDefault="00605EFF" w14:paraId="6997B73F" w14:textId="628A7698">
      <w:pPr>
        <w:spacing w:after="0" w:line="240" w:lineRule="auto"/>
        <w:ind w:left="720" w:hanging="360"/>
      </w:pPr>
      <w:r w:rsidRPr="00EB4351">
        <w:t xml:space="preserve">(6)  </w:t>
      </w:r>
      <w:r w:rsidRPr="00EB4351">
        <w:rPr>
          <w:u w:val="single"/>
        </w:rPr>
        <w:t>Total estimate of in-house cost to respondents</w:t>
      </w:r>
      <w:r w:rsidRPr="00EB4351">
        <w:t>:  $</w:t>
      </w:r>
      <w:r w:rsidR="00C33690">
        <w:t>56,3</w:t>
      </w:r>
      <w:r>
        <w:t>20</w:t>
      </w:r>
      <w:r w:rsidRPr="00A925D8">
        <w:t>.  (</w:t>
      </w:r>
      <w:r w:rsidR="00C33690">
        <w:t>1,408</w:t>
      </w:r>
      <w:r w:rsidRPr="00A925D8">
        <w:t xml:space="preserve"> hours x $40/hour).</w:t>
      </w:r>
    </w:p>
    <w:p w:rsidRPr="00EB4351" w:rsidR="00605EFF" w:rsidRDefault="00605EFF" w14:paraId="7C5DD05D" w14:textId="77777777">
      <w:pPr>
        <w:spacing w:after="0" w:line="240" w:lineRule="auto"/>
        <w:ind w:left="720" w:hanging="360"/>
      </w:pPr>
    </w:p>
    <w:p w:rsidRPr="007F5B46" w:rsidR="00605EFF" w:rsidRDefault="00605EFF" w14:paraId="360F6FE1" w14:textId="0D8B6E61">
      <w:pPr>
        <w:spacing w:after="0" w:line="240" w:lineRule="auto"/>
        <w:ind w:left="720" w:hanging="360"/>
        <w:rPr>
          <w:color w:val="000000"/>
        </w:rPr>
      </w:pPr>
      <w:r w:rsidRPr="00EB4351">
        <w:t xml:space="preserve">(7) </w:t>
      </w:r>
      <w:r w:rsidRPr="00EB4351">
        <w:rPr>
          <w:u w:val="single"/>
        </w:rPr>
        <w:t>Explanation of calculation</w:t>
      </w:r>
      <w:r w:rsidRPr="00EB4351">
        <w:t xml:space="preserve">:  We estimate that </w:t>
      </w:r>
      <w:r w:rsidRPr="007F5B46">
        <w:t xml:space="preserve">CAF Phase II </w:t>
      </w:r>
      <w:r w:rsidR="00C33690">
        <w:t xml:space="preserve">auction, </w:t>
      </w:r>
      <w:r>
        <w:t>Puerto Rico/U.S. Virgin Island Stage 2</w:t>
      </w:r>
      <w:r w:rsidR="00C33690">
        <w:t>, and RDOF</w:t>
      </w:r>
      <w:r>
        <w:t xml:space="preserve"> </w:t>
      </w:r>
      <w:r w:rsidRPr="007F5B46">
        <w:t xml:space="preserve">recipients </w:t>
      </w:r>
      <w:r w:rsidRPr="00A925D8">
        <w:t xml:space="preserve">will spend, on average, approximately </w:t>
      </w:r>
      <w:r>
        <w:t>4</w:t>
      </w:r>
      <w:r w:rsidRPr="00EB4351">
        <w:t xml:space="preserve"> hour</w:t>
      </w:r>
      <w:r>
        <w:t>s</w:t>
      </w:r>
      <w:r w:rsidRPr="00EB4351">
        <w:t xml:space="preserve"> </w:t>
      </w:r>
      <w:r w:rsidRPr="007F5B46">
        <w:t>submitting these reports and making these certifications</w:t>
      </w:r>
      <w:r>
        <w:t>:</w:t>
      </w:r>
      <w:r w:rsidRPr="00EB4351">
        <w:rPr>
          <w:color w:val="000000"/>
        </w:rPr>
        <w:t xml:space="preserve">  </w:t>
      </w:r>
      <w:r w:rsidR="00C33690">
        <w:rPr>
          <w:color w:val="000000"/>
        </w:rPr>
        <w:t>352</w:t>
      </w:r>
      <w:r w:rsidRPr="00EB4351">
        <w:rPr>
          <w:color w:val="000000"/>
        </w:rPr>
        <w:t xml:space="preserve"> (responses) x </w:t>
      </w:r>
      <w:r>
        <w:rPr>
          <w:color w:val="000000"/>
        </w:rPr>
        <w:t>4</w:t>
      </w:r>
      <w:r w:rsidRPr="00EB4351">
        <w:rPr>
          <w:color w:val="000000"/>
        </w:rPr>
        <w:t xml:space="preserve"> (hours to </w:t>
      </w:r>
      <w:r w:rsidRPr="00EB4351">
        <w:t>track</w:t>
      </w:r>
      <w:r w:rsidRPr="007F5B46">
        <w:t xml:space="preserve">, </w:t>
      </w:r>
      <w:r w:rsidRPr="00A925D8">
        <w:t>report</w:t>
      </w:r>
      <w:r w:rsidRPr="007F5B46">
        <w:t>, and certify</w:t>
      </w:r>
      <w:r w:rsidRPr="00EB4351">
        <w:t xml:space="preserve"> this information</w:t>
      </w:r>
      <w:r w:rsidRPr="00A925D8">
        <w:rPr>
          <w:color w:val="000000"/>
        </w:rPr>
        <w:t xml:space="preserve">) x </w:t>
      </w:r>
      <w:r w:rsidRPr="00472A06">
        <w:t>$40/h</w:t>
      </w:r>
      <w:r>
        <w:t>our</w:t>
      </w:r>
      <w:r w:rsidRPr="00472A06">
        <w:t xml:space="preserve"> </w:t>
      </w:r>
      <w:r w:rsidRPr="00EB4351">
        <w:rPr>
          <w:color w:val="000000"/>
        </w:rPr>
        <w:t>= $</w:t>
      </w:r>
      <w:r w:rsidR="00C33690">
        <w:rPr>
          <w:color w:val="000000"/>
        </w:rPr>
        <w:t>56,320</w:t>
      </w:r>
      <w:r w:rsidRPr="00A925D8">
        <w:rPr>
          <w:color w:val="000000"/>
        </w:rPr>
        <w:t>.</w:t>
      </w:r>
    </w:p>
    <w:p w:rsidRPr="00D43798" w:rsidR="00C06417" w:rsidRDefault="00C06417" w14:paraId="16F79EF6" w14:textId="77777777">
      <w:pPr>
        <w:spacing w:after="0" w:line="240" w:lineRule="auto"/>
      </w:pPr>
    </w:p>
    <w:p w:rsidR="00C91299" w:rsidRDefault="00DE1237" w14:paraId="574158FE" w14:textId="76BFCD8B">
      <w:pPr>
        <w:pStyle w:val="Heading4"/>
        <w:spacing w:after="0" w:line="240" w:lineRule="auto"/>
      </w:pPr>
      <w:r w:rsidRPr="00DE1237">
        <w:t>Supply Chain Certification for All</w:t>
      </w:r>
      <w:r w:rsidRPr="001C5CB4">
        <w:t xml:space="preserve"> </w:t>
      </w:r>
      <w:r w:rsidR="00C33690">
        <w:t xml:space="preserve">High-Cost </w:t>
      </w:r>
      <w:r w:rsidRPr="00DE1237">
        <w:t>Recipients</w:t>
      </w:r>
      <w:r>
        <w:t xml:space="preserve"> (</w:t>
      </w:r>
      <w:r w:rsidR="003A70A6">
        <w:t>revised requirement and updated respondents</w:t>
      </w:r>
      <w:r>
        <w:t>)</w:t>
      </w:r>
      <w:r w:rsidRPr="00137F86">
        <w:rPr>
          <w:u w:val="none"/>
        </w:rPr>
        <w:t>:</w:t>
      </w:r>
    </w:p>
    <w:p w:rsidRPr="00ED5773" w:rsidR="00C06417" w:rsidRDefault="00C06417" w14:paraId="16065B73" w14:textId="77777777">
      <w:pPr>
        <w:spacing w:after="0" w:line="240" w:lineRule="auto"/>
      </w:pPr>
    </w:p>
    <w:p w:rsidR="00DE1237" w:rsidRDefault="00DE1237" w14:paraId="2E48DF03" w14:textId="5CBFE7D7">
      <w:pPr>
        <w:pStyle w:val="ListParagraph"/>
        <w:numPr>
          <w:ilvl w:val="0"/>
          <w:numId w:val="29"/>
        </w:numPr>
        <w:spacing w:after="0" w:line="240" w:lineRule="auto"/>
      </w:pPr>
      <w:r>
        <w:t>Number of respondents</w:t>
      </w:r>
      <w:r w:rsidRPr="00BF7FF8">
        <w:rPr>
          <w:u w:val="none"/>
        </w:rPr>
        <w:t xml:space="preserve">:  Approximately </w:t>
      </w:r>
      <w:r w:rsidR="00292C2D">
        <w:rPr>
          <w:u w:val="none"/>
        </w:rPr>
        <w:t>2,</w:t>
      </w:r>
      <w:r w:rsidR="00C33690">
        <w:rPr>
          <w:u w:val="none"/>
        </w:rPr>
        <w:t>22</w:t>
      </w:r>
      <w:r w:rsidR="00292C2D">
        <w:rPr>
          <w:u w:val="none"/>
        </w:rPr>
        <w:t>9</w:t>
      </w:r>
      <w:r w:rsidRPr="00BF7FF8">
        <w:rPr>
          <w:u w:val="none"/>
        </w:rPr>
        <w:t>.  All</w:t>
      </w:r>
      <w:r w:rsidR="00C33690">
        <w:rPr>
          <w:u w:val="none"/>
        </w:rPr>
        <w:t xml:space="preserve"> high-cost support</w:t>
      </w:r>
      <w:r w:rsidRPr="00BF7FF8">
        <w:rPr>
          <w:u w:val="none"/>
        </w:rPr>
        <w:t xml:space="preserve"> recipients will be required to certify </w:t>
      </w:r>
      <w:r w:rsidR="00641294">
        <w:rPr>
          <w:u w:val="none"/>
        </w:rPr>
        <w:t xml:space="preserve">that </w:t>
      </w:r>
      <w:r w:rsidRPr="00BF7FF8">
        <w:rPr>
          <w:u w:val="none"/>
        </w:rPr>
        <w:t xml:space="preserve">they have not used USF funds to purchase, obtain, maintain, improve, modify, manage, or otherwise support Huawei or ZTE equipment or services in any way, including upgrades to existing Huawei or ZTE equipment and services. </w:t>
      </w:r>
      <w:r w:rsidR="004A5C2C">
        <w:rPr>
          <w:u w:val="none"/>
        </w:rPr>
        <w:t xml:space="preserve"> The increased number of respondents accounts for the 180 winning bidders in the Rural Digital Opportunity Fund auction, who, if ultimately approved to receive RDOF support, will be required to submit these reports and certifications.</w:t>
      </w:r>
    </w:p>
    <w:p w:rsidR="00DE1237" w:rsidP="001861C7" w:rsidRDefault="00DE1237" w14:paraId="140EE53C" w14:textId="77777777">
      <w:pPr>
        <w:pStyle w:val="ListParagraph"/>
        <w:numPr>
          <w:ilvl w:val="0"/>
          <w:numId w:val="0"/>
        </w:numPr>
        <w:spacing w:after="0" w:line="240" w:lineRule="auto"/>
        <w:ind w:left="720"/>
      </w:pPr>
    </w:p>
    <w:p w:rsidRPr="00DE1237" w:rsidR="00DE1237" w:rsidRDefault="00DE1237" w14:paraId="02120215" w14:textId="4758353A">
      <w:pPr>
        <w:pStyle w:val="ListParagraph"/>
        <w:spacing w:after="0" w:line="240" w:lineRule="auto"/>
      </w:pPr>
      <w:r w:rsidRPr="001C5CB4">
        <w:t>Frequency of response</w:t>
      </w:r>
      <w:r w:rsidRPr="00137F86">
        <w:rPr>
          <w:u w:val="none"/>
        </w:rPr>
        <w:t>:</w:t>
      </w:r>
      <w:r w:rsidRPr="001C5CB4">
        <w:rPr>
          <w:u w:val="none"/>
        </w:rPr>
        <w:t xml:space="preserve">  Annually.</w:t>
      </w:r>
    </w:p>
    <w:p w:rsidR="00DE1237" w:rsidP="001861C7" w:rsidRDefault="00DE1237" w14:paraId="1DFECD69" w14:textId="77777777">
      <w:pPr>
        <w:pStyle w:val="ListParagraph"/>
        <w:numPr>
          <w:ilvl w:val="0"/>
          <w:numId w:val="0"/>
        </w:numPr>
        <w:spacing w:after="0" w:line="240" w:lineRule="auto"/>
        <w:ind w:left="720"/>
      </w:pPr>
    </w:p>
    <w:p w:rsidRPr="00DE1237" w:rsidR="00DE1237" w:rsidRDefault="00DE1237" w14:paraId="3232AE0B" w14:textId="17E81ED2">
      <w:pPr>
        <w:pStyle w:val="ListParagraph"/>
        <w:spacing w:after="0" w:line="240" w:lineRule="auto"/>
      </w:pPr>
      <w:r>
        <w:t>Total number of responses per respondent</w:t>
      </w:r>
      <w:r w:rsidRPr="00137F86">
        <w:rPr>
          <w:u w:val="none"/>
        </w:rPr>
        <w:t>:</w:t>
      </w:r>
      <w:r w:rsidRPr="00DE1237">
        <w:rPr>
          <w:u w:val="none"/>
        </w:rPr>
        <w:t xml:space="preserve">  1</w:t>
      </w:r>
    </w:p>
    <w:p w:rsidR="00DE1237" w:rsidP="001861C7" w:rsidRDefault="00DE1237" w14:paraId="3EF31D9B" w14:textId="77777777">
      <w:pPr>
        <w:pStyle w:val="ListParagraph"/>
        <w:numPr>
          <w:ilvl w:val="0"/>
          <w:numId w:val="0"/>
        </w:numPr>
        <w:spacing w:after="0" w:line="240" w:lineRule="auto"/>
        <w:ind w:left="720"/>
      </w:pPr>
    </w:p>
    <w:p w:rsidRPr="00DE1237" w:rsidR="00DE1237" w:rsidRDefault="00DE1237" w14:paraId="3A419A30" w14:textId="428D2964">
      <w:pPr>
        <w:pStyle w:val="ListParagraph"/>
        <w:spacing w:after="0" w:line="240" w:lineRule="auto"/>
      </w:pPr>
      <w:r>
        <w:t>Estimated time per response</w:t>
      </w:r>
      <w:r w:rsidRPr="00137F86">
        <w:rPr>
          <w:u w:val="none"/>
        </w:rPr>
        <w:t>:</w:t>
      </w:r>
      <w:r w:rsidRPr="00C03B50">
        <w:rPr>
          <w:u w:val="none"/>
        </w:rPr>
        <w:t xml:space="preserve"> </w:t>
      </w:r>
      <w:r w:rsidRPr="00DE1237">
        <w:rPr>
          <w:u w:val="none"/>
        </w:rPr>
        <w:t xml:space="preserve"> 0.1 hours.</w:t>
      </w:r>
    </w:p>
    <w:p w:rsidR="00DE1237" w:rsidP="001861C7" w:rsidRDefault="00DE1237" w14:paraId="3C79A810" w14:textId="77777777">
      <w:pPr>
        <w:pStyle w:val="ListParagraph"/>
        <w:numPr>
          <w:ilvl w:val="0"/>
          <w:numId w:val="0"/>
        </w:numPr>
        <w:spacing w:after="0" w:line="240" w:lineRule="auto"/>
        <w:ind w:left="720"/>
      </w:pPr>
    </w:p>
    <w:p w:rsidR="00BF1C6A" w:rsidRDefault="00DE1237" w14:paraId="0A814BCD" w14:textId="05A971F1">
      <w:pPr>
        <w:pStyle w:val="ListParagraph"/>
        <w:spacing w:after="0" w:line="240" w:lineRule="auto"/>
      </w:pPr>
      <w:r>
        <w:t>Total annual hour burden</w:t>
      </w:r>
      <w:r w:rsidRPr="00137F86">
        <w:rPr>
          <w:u w:val="none"/>
        </w:rPr>
        <w:t>:</w:t>
      </w:r>
      <w:r w:rsidRPr="00DE1237">
        <w:rPr>
          <w:u w:val="none"/>
        </w:rPr>
        <w:t xml:space="preserve">  </w:t>
      </w:r>
      <w:r w:rsidR="00292C2D">
        <w:rPr>
          <w:u w:val="none"/>
        </w:rPr>
        <w:t>2</w:t>
      </w:r>
      <w:r w:rsidR="00C33690">
        <w:rPr>
          <w:u w:val="none"/>
        </w:rPr>
        <w:t>23</w:t>
      </w:r>
      <w:r w:rsidRPr="00DE1237">
        <w:rPr>
          <w:u w:val="none"/>
        </w:rPr>
        <w:t xml:space="preserve"> hours.</w:t>
      </w:r>
      <w:r w:rsidR="00BF1C6A">
        <w:rPr>
          <w:u w:val="none"/>
        </w:rPr>
        <w:tab/>
      </w:r>
      <w:r w:rsidR="00BF1C6A">
        <w:rPr>
          <w:u w:val="none"/>
        </w:rPr>
        <w:tab/>
      </w:r>
      <w:r w:rsidR="00BF1C6A">
        <w:rPr>
          <w:u w:val="none"/>
        </w:rPr>
        <w:tab/>
      </w:r>
      <w:r w:rsidR="00BF1C6A">
        <w:rPr>
          <w:u w:val="none"/>
        </w:rPr>
        <w:tab/>
      </w:r>
      <w:r w:rsidR="00BF1C6A">
        <w:rPr>
          <w:u w:val="none"/>
        </w:rPr>
        <w:tab/>
      </w:r>
      <w:r w:rsidR="00BF1C6A">
        <w:rPr>
          <w:u w:val="none"/>
        </w:rPr>
        <w:tab/>
      </w:r>
      <w:r w:rsidR="00BF1C6A">
        <w:rPr>
          <w:u w:val="none"/>
        </w:rPr>
        <w:tab/>
      </w:r>
      <w:r w:rsidR="00BF1C6A">
        <w:rPr>
          <w:u w:val="none"/>
        </w:rPr>
        <w:tab/>
      </w:r>
    </w:p>
    <w:p w:rsidRPr="00365B05" w:rsidR="00365B05" w:rsidP="001861C7" w:rsidRDefault="00113C08" w14:paraId="66B9CD8C" w14:textId="39164466">
      <w:pPr>
        <w:pStyle w:val="ListParagraph"/>
        <w:numPr>
          <w:ilvl w:val="0"/>
          <w:numId w:val="0"/>
        </w:numPr>
        <w:spacing w:after="0" w:line="240" w:lineRule="auto"/>
        <w:ind w:left="720"/>
      </w:pPr>
      <w:r>
        <w:rPr>
          <w:u w:val="none"/>
        </w:rPr>
        <w:t xml:space="preserve">0.1 </w:t>
      </w:r>
      <w:r w:rsidRPr="00365B05" w:rsidR="00DE1237">
        <w:rPr>
          <w:u w:val="none"/>
        </w:rPr>
        <w:t xml:space="preserve">hour per respondent for </w:t>
      </w:r>
      <w:r w:rsidRPr="00365B05" w:rsidR="00292C2D">
        <w:rPr>
          <w:u w:val="none"/>
        </w:rPr>
        <w:t>2,</w:t>
      </w:r>
      <w:r w:rsidR="00C33690">
        <w:rPr>
          <w:u w:val="none"/>
        </w:rPr>
        <w:t>22</w:t>
      </w:r>
      <w:r w:rsidRPr="00365B05" w:rsidR="00292C2D">
        <w:rPr>
          <w:u w:val="none"/>
        </w:rPr>
        <w:t>9</w:t>
      </w:r>
      <w:r w:rsidRPr="00365B05" w:rsidR="00DE1237">
        <w:rPr>
          <w:u w:val="none"/>
        </w:rPr>
        <w:t xml:space="preserve"> respondents filing annually.  Total annual hour burden</w:t>
      </w:r>
      <w:r>
        <w:rPr>
          <w:u w:val="none"/>
        </w:rPr>
        <w:t xml:space="preserve"> </w:t>
      </w:r>
      <w:r w:rsidRPr="00365B05" w:rsidR="00DE1237">
        <w:rPr>
          <w:u w:val="none"/>
        </w:rPr>
        <w:t>is</w:t>
      </w:r>
      <w:r w:rsidRPr="00365B05" w:rsidR="00365B05">
        <w:rPr>
          <w:u w:val="none"/>
        </w:rPr>
        <w:t xml:space="preserve"> calculated as follows</w:t>
      </w:r>
      <w:r w:rsidRPr="00365B05" w:rsidR="00DE1237">
        <w:rPr>
          <w:u w:val="none"/>
        </w:rPr>
        <w:t xml:space="preserve">: </w:t>
      </w:r>
    </w:p>
    <w:p w:rsidR="00365B05" w:rsidRDefault="00365B05" w14:paraId="020B51DE" w14:textId="77777777">
      <w:pPr>
        <w:spacing w:after="0" w:line="240" w:lineRule="auto"/>
        <w:ind w:left="720"/>
      </w:pPr>
    </w:p>
    <w:p w:rsidR="00DE1237" w:rsidRDefault="00292C2D" w14:paraId="0377753A" w14:textId="1E2617C2">
      <w:pPr>
        <w:spacing w:after="0" w:line="240" w:lineRule="auto"/>
        <w:ind w:left="720"/>
      </w:pPr>
      <w:r>
        <w:t>2,</w:t>
      </w:r>
      <w:r w:rsidR="00943765">
        <w:t>229</w:t>
      </w:r>
      <w:r w:rsidRPr="00DE1237" w:rsidR="00DE1237">
        <w:t xml:space="preserve"> respondents x 1 report per respondent = </w:t>
      </w:r>
      <w:r>
        <w:t>2,</w:t>
      </w:r>
      <w:r w:rsidR="00C33690">
        <w:t>22</w:t>
      </w:r>
      <w:r>
        <w:t>9</w:t>
      </w:r>
      <w:r w:rsidRPr="00DE1237" w:rsidR="00DE1237">
        <w:t xml:space="preserve"> responses x 0.1 hours = </w:t>
      </w:r>
      <w:r w:rsidR="00C33690">
        <w:rPr>
          <w:b/>
          <w:bCs/>
        </w:rPr>
        <w:t>223</w:t>
      </w:r>
      <w:r w:rsidRPr="00062560" w:rsidR="00C33690">
        <w:rPr>
          <w:b/>
          <w:bCs/>
        </w:rPr>
        <w:t xml:space="preserve"> </w:t>
      </w:r>
      <w:r w:rsidR="00365B05">
        <w:rPr>
          <w:b/>
          <w:bCs/>
        </w:rPr>
        <w:t xml:space="preserve">total annual </w:t>
      </w:r>
      <w:r w:rsidRPr="00C03B50" w:rsidR="00DE1237">
        <w:rPr>
          <w:b/>
          <w:bCs/>
        </w:rPr>
        <w:t>hours</w:t>
      </w:r>
      <w:r w:rsidRPr="00DE1237" w:rsidR="00DE1237">
        <w:t xml:space="preserve">. </w:t>
      </w:r>
    </w:p>
    <w:p w:rsidRPr="00DE1237" w:rsidR="00BF1C6A" w:rsidRDefault="00BF1C6A" w14:paraId="3DD75D17" w14:textId="77777777">
      <w:pPr>
        <w:spacing w:after="0" w:line="240" w:lineRule="auto"/>
        <w:ind w:left="720"/>
      </w:pPr>
    </w:p>
    <w:p w:rsidRPr="00DE1237" w:rsidR="00DE1237" w:rsidRDefault="00DE1237" w14:paraId="1ECC7047" w14:textId="2081E22F">
      <w:pPr>
        <w:pStyle w:val="ListParagraph"/>
        <w:spacing w:after="0" w:line="240" w:lineRule="auto"/>
      </w:pPr>
      <w:r>
        <w:t>Total estimate of in-house cost to respondents</w:t>
      </w:r>
      <w:r w:rsidRPr="00D43798">
        <w:rPr>
          <w:u w:val="none"/>
        </w:rPr>
        <w:t>:</w:t>
      </w:r>
      <w:r w:rsidRPr="00113C08">
        <w:rPr>
          <w:u w:val="none"/>
        </w:rPr>
        <w:t xml:space="preserve"> </w:t>
      </w:r>
      <w:r w:rsidRPr="00DE1237">
        <w:rPr>
          <w:u w:val="none"/>
        </w:rPr>
        <w:t xml:space="preserve"> $</w:t>
      </w:r>
      <w:r w:rsidR="00292C2D">
        <w:rPr>
          <w:u w:val="none"/>
        </w:rPr>
        <w:t>8,</w:t>
      </w:r>
      <w:r w:rsidR="00C33690">
        <w:rPr>
          <w:u w:val="none"/>
        </w:rPr>
        <w:t>92</w:t>
      </w:r>
      <w:r w:rsidR="005A19BD">
        <w:rPr>
          <w:u w:val="none"/>
        </w:rPr>
        <w:t>0</w:t>
      </w:r>
      <w:r w:rsidRPr="00DE1237">
        <w:rPr>
          <w:u w:val="none"/>
        </w:rPr>
        <w:t>.  (</w:t>
      </w:r>
      <w:r w:rsidR="00C33690">
        <w:rPr>
          <w:u w:val="none"/>
        </w:rPr>
        <w:t>223</w:t>
      </w:r>
      <w:r w:rsidRPr="00DE1237" w:rsidR="00C33690">
        <w:rPr>
          <w:u w:val="none"/>
        </w:rPr>
        <w:t xml:space="preserve"> </w:t>
      </w:r>
      <w:r w:rsidRPr="00DE1237">
        <w:rPr>
          <w:u w:val="none"/>
        </w:rPr>
        <w:t>hours x $40/hour).</w:t>
      </w:r>
    </w:p>
    <w:p w:rsidR="00DE1237" w:rsidP="001861C7" w:rsidRDefault="00DE1237" w14:paraId="627241B4" w14:textId="77777777">
      <w:pPr>
        <w:pStyle w:val="ListParagraph"/>
        <w:numPr>
          <w:ilvl w:val="0"/>
          <w:numId w:val="0"/>
        </w:numPr>
        <w:spacing w:after="0" w:line="240" w:lineRule="auto"/>
        <w:ind w:left="720"/>
      </w:pPr>
    </w:p>
    <w:p w:rsidRPr="00137F86" w:rsidR="00C06417" w:rsidRDefault="00DE1237" w14:paraId="46EA9D4E" w14:textId="54EF8150">
      <w:pPr>
        <w:pStyle w:val="ListParagraph"/>
        <w:spacing w:after="0" w:line="240" w:lineRule="auto"/>
      </w:pPr>
      <w:r>
        <w:t>Explanation of calculation</w:t>
      </w:r>
      <w:r w:rsidRPr="00D43798">
        <w:rPr>
          <w:u w:val="none"/>
        </w:rPr>
        <w:t>:</w:t>
      </w:r>
      <w:r w:rsidRPr="00113C08">
        <w:rPr>
          <w:u w:val="none"/>
        </w:rPr>
        <w:t xml:space="preserve"> </w:t>
      </w:r>
      <w:r w:rsidRPr="00DE1237">
        <w:rPr>
          <w:u w:val="none"/>
        </w:rPr>
        <w:t xml:space="preserve"> We estimate that high-cost carriers will spend, on average, approximately 0.1 hours </w:t>
      </w:r>
      <w:r w:rsidR="00641294">
        <w:rPr>
          <w:u w:val="none"/>
        </w:rPr>
        <w:t>certifying their compliance with 47 C.F.R. § 54.9</w:t>
      </w:r>
      <w:r w:rsidR="0013290E">
        <w:rPr>
          <w:u w:val="none"/>
        </w:rPr>
        <w:t>:</w:t>
      </w:r>
      <w:r w:rsidRPr="00DE1237">
        <w:rPr>
          <w:color w:val="000000"/>
          <w:u w:val="none"/>
        </w:rPr>
        <w:t xml:space="preserve">  </w:t>
      </w:r>
      <w:r w:rsidR="00292C2D">
        <w:rPr>
          <w:color w:val="000000"/>
          <w:u w:val="none"/>
        </w:rPr>
        <w:t>2,</w:t>
      </w:r>
      <w:r w:rsidR="00C33690">
        <w:rPr>
          <w:color w:val="000000"/>
          <w:u w:val="none"/>
        </w:rPr>
        <w:t>22</w:t>
      </w:r>
      <w:r w:rsidR="00292C2D">
        <w:rPr>
          <w:color w:val="000000"/>
          <w:u w:val="none"/>
        </w:rPr>
        <w:t>9</w:t>
      </w:r>
      <w:r w:rsidRPr="00DE1237">
        <w:rPr>
          <w:color w:val="000000"/>
          <w:u w:val="none"/>
        </w:rPr>
        <w:t xml:space="preserve"> (responses) x 0.1 (hours to </w:t>
      </w:r>
      <w:r w:rsidRPr="00DE1237">
        <w:rPr>
          <w:u w:val="none"/>
        </w:rPr>
        <w:t>track and report this information</w:t>
      </w:r>
      <w:r w:rsidRPr="00DE1237">
        <w:rPr>
          <w:color w:val="000000"/>
          <w:u w:val="none"/>
        </w:rPr>
        <w:t xml:space="preserve">) x </w:t>
      </w:r>
      <w:r w:rsidRPr="00DE1237">
        <w:rPr>
          <w:u w:val="none"/>
        </w:rPr>
        <w:t>$40/h</w:t>
      </w:r>
      <w:r w:rsidR="00365B05">
        <w:rPr>
          <w:u w:val="none"/>
        </w:rPr>
        <w:t>our</w:t>
      </w:r>
      <w:r w:rsidRPr="00DE1237">
        <w:rPr>
          <w:u w:val="none"/>
        </w:rPr>
        <w:t xml:space="preserve"> </w:t>
      </w:r>
      <w:r w:rsidRPr="00DE1237">
        <w:rPr>
          <w:color w:val="000000"/>
          <w:u w:val="none"/>
        </w:rPr>
        <w:t>= $</w:t>
      </w:r>
      <w:r w:rsidR="00292C2D">
        <w:rPr>
          <w:color w:val="000000"/>
          <w:u w:val="none"/>
        </w:rPr>
        <w:t>8,</w:t>
      </w:r>
      <w:r w:rsidR="00C33690">
        <w:rPr>
          <w:color w:val="000000"/>
          <w:u w:val="none"/>
        </w:rPr>
        <w:t>920</w:t>
      </w:r>
      <w:r>
        <w:rPr>
          <w:color w:val="000000"/>
          <w:u w:val="none"/>
        </w:rPr>
        <w:t>.</w:t>
      </w:r>
    </w:p>
    <w:p w:rsidR="00C06417" w:rsidRDefault="00C06417" w14:paraId="41CE416B" w14:textId="77777777">
      <w:pPr>
        <w:spacing w:after="0" w:line="240" w:lineRule="auto"/>
        <w:ind w:left="0"/>
      </w:pPr>
    </w:p>
    <w:p w:rsidRPr="001C5CB4" w:rsidR="003A70A6" w:rsidRDefault="003A70A6" w14:paraId="1F28902A" w14:textId="0F85C3ED">
      <w:pPr>
        <w:pStyle w:val="Heading4"/>
        <w:spacing w:after="0" w:line="240" w:lineRule="auto"/>
      </w:pPr>
      <w:r w:rsidRPr="001C5CB4">
        <w:t>Reasonably Comparable Rate Certification for Broadband</w:t>
      </w:r>
      <w:r w:rsidR="0053400D">
        <w:t xml:space="preserve"> </w:t>
      </w:r>
      <w:r w:rsidR="00622571">
        <w:t>and</w:t>
      </w:r>
      <w:r w:rsidR="0053400D">
        <w:t xml:space="preserve"> High-Cost Recipients</w:t>
      </w:r>
      <w:r w:rsidRPr="001C5CB4">
        <w:t xml:space="preserve"> (FCC Form 481) (</w:t>
      </w:r>
      <w:r>
        <w:t>revised requirement</w:t>
      </w:r>
      <w:r w:rsidR="004A5C2C">
        <w:t xml:space="preserve"> and updated respondents</w:t>
      </w:r>
      <w:r w:rsidRPr="001C5CB4">
        <w:t>)</w:t>
      </w:r>
      <w:r w:rsidRPr="00137F86">
        <w:rPr>
          <w:u w:val="none"/>
        </w:rPr>
        <w:t>:</w:t>
      </w:r>
    </w:p>
    <w:p w:rsidRPr="00AC27FF" w:rsidR="003A70A6" w:rsidRDefault="003A70A6" w14:paraId="722F64D6" w14:textId="77777777">
      <w:pPr>
        <w:spacing w:after="0" w:line="240" w:lineRule="auto"/>
        <w:ind w:hanging="360"/>
        <w:rPr>
          <w:b/>
          <w:u w:val="single"/>
        </w:rPr>
      </w:pPr>
    </w:p>
    <w:p w:rsidRPr="00AC27FF" w:rsidR="003A70A6" w:rsidRDefault="003A70A6" w14:paraId="1F3C4DD2" w14:textId="33BFE377">
      <w:pPr>
        <w:spacing w:after="0" w:line="240" w:lineRule="auto"/>
        <w:ind w:left="720" w:hanging="360"/>
      </w:pPr>
      <w:r w:rsidRPr="00AC27FF">
        <w:t xml:space="preserve">(1) </w:t>
      </w:r>
      <w:r w:rsidRPr="00AC27FF">
        <w:rPr>
          <w:u w:val="single"/>
        </w:rPr>
        <w:t>Number of respondents</w:t>
      </w:r>
      <w:r w:rsidRPr="00AC27FF">
        <w:t xml:space="preserve">:  Approximately </w:t>
      </w:r>
      <w:r w:rsidR="004A5C2C">
        <w:t>1,519</w:t>
      </w:r>
      <w:r w:rsidRPr="00AC27FF">
        <w:t xml:space="preserve">. </w:t>
      </w:r>
      <w:r w:rsidR="00256B9C">
        <w:t xml:space="preserve"> </w:t>
      </w:r>
      <w:r w:rsidR="004A5C2C">
        <w:t xml:space="preserve">The increased number of respondents accounts for the 180 winning bidders in the Rural Digital Opportunity Fund auction, who, if ultimately approved to receive RDOF support, will be required to submit these reports and certifications.  In addition, almost all price cap carriers, rate-of-return carriers, Alaska Plan competitive ETC participants, and rural broadband experiment recipients will be required to make this certification.  </w:t>
      </w:r>
    </w:p>
    <w:p w:rsidRPr="00AC27FF" w:rsidR="003A70A6" w:rsidRDefault="003A70A6" w14:paraId="6782304D" w14:textId="77777777">
      <w:pPr>
        <w:spacing w:after="0" w:line="240" w:lineRule="auto"/>
        <w:ind w:left="720" w:hanging="360"/>
      </w:pPr>
    </w:p>
    <w:p w:rsidRPr="00AC27FF" w:rsidR="003A70A6" w:rsidRDefault="003A70A6" w14:paraId="0883F0F6" w14:textId="77777777">
      <w:pPr>
        <w:spacing w:after="0" w:line="240" w:lineRule="auto"/>
        <w:ind w:left="720" w:hanging="360"/>
      </w:pPr>
      <w:r w:rsidRPr="00AC27FF">
        <w:t xml:space="preserve">(2) </w:t>
      </w:r>
      <w:r w:rsidRPr="00AC27FF">
        <w:rPr>
          <w:u w:val="single"/>
        </w:rPr>
        <w:t>Frequency of response</w:t>
      </w:r>
      <w:r w:rsidRPr="00AC27FF">
        <w:t xml:space="preserve">:  </w:t>
      </w:r>
      <w:r>
        <w:t>Annually.</w:t>
      </w:r>
      <w:r w:rsidRPr="00AC27FF">
        <w:t xml:space="preserve">  Carriers </w:t>
      </w:r>
      <w:r>
        <w:t>will be required to file this certification with their annual reports</w:t>
      </w:r>
      <w:r w:rsidRPr="00AC27FF">
        <w:t xml:space="preserve">.  </w:t>
      </w:r>
    </w:p>
    <w:p w:rsidRPr="00AC27FF" w:rsidR="003A70A6" w:rsidRDefault="003A70A6" w14:paraId="48BFD1ED" w14:textId="77777777">
      <w:pPr>
        <w:spacing w:after="0" w:line="240" w:lineRule="auto"/>
        <w:ind w:left="720" w:hanging="360"/>
      </w:pPr>
    </w:p>
    <w:p w:rsidR="003A70A6" w:rsidRDefault="003A70A6" w14:paraId="01E552A9" w14:textId="191971CB">
      <w:pPr>
        <w:spacing w:after="0" w:line="240" w:lineRule="auto"/>
        <w:ind w:left="720" w:hanging="360"/>
      </w:pPr>
      <w:r>
        <w:t xml:space="preserve">(3) </w:t>
      </w:r>
      <w:r w:rsidRPr="00423F95">
        <w:rPr>
          <w:u w:val="single"/>
        </w:rPr>
        <w:t>Total number of responses per respondent</w:t>
      </w:r>
      <w:r>
        <w:t>:  Approximately 1.</w:t>
      </w:r>
    </w:p>
    <w:p w:rsidRPr="00D43798" w:rsidR="003A70A6" w:rsidRDefault="003A70A6" w14:paraId="55A0BD8A" w14:textId="77777777">
      <w:pPr>
        <w:spacing w:after="0" w:line="240" w:lineRule="auto"/>
        <w:ind w:left="720" w:hanging="360"/>
      </w:pPr>
    </w:p>
    <w:p w:rsidR="003A70A6" w:rsidRDefault="003A70A6" w14:paraId="12942E0E" w14:textId="2D10D4C2">
      <w:pPr>
        <w:spacing w:after="0" w:line="240" w:lineRule="auto"/>
        <w:ind w:left="720" w:hanging="360"/>
      </w:pPr>
      <w:r>
        <w:t xml:space="preserve">(4) </w:t>
      </w:r>
      <w:r w:rsidRPr="00423F95">
        <w:rPr>
          <w:u w:val="single"/>
        </w:rPr>
        <w:t>Estimated time per response</w:t>
      </w:r>
      <w:r w:rsidRPr="00D43798">
        <w:t>:</w:t>
      </w:r>
      <w:r>
        <w:t xml:space="preserve">  4 hours.</w:t>
      </w:r>
    </w:p>
    <w:p w:rsidR="003A70A6" w:rsidRDefault="003A70A6" w14:paraId="59B78E2D" w14:textId="77777777">
      <w:pPr>
        <w:spacing w:after="0" w:line="240" w:lineRule="auto"/>
        <w:ind w:left="720" w:hanging="360"/>
      </w:pPr>
    </w:p>
    <w:p w:rsidR="003A70A6" w:rsidRDefault="003A70A6" w14:paraId="71D62BF0" w14:textId="08EFD7FB">
      <w:pPr>
        <w:spacing w:after="0" w:line="240" w:lineRule="auto"/>
        <w:ind w:left="720" w:hanging="360"/>
      </w:pPr>
      <w:r w:rsidRPr="00423F95">
        <w:t xml:space="preserve">(5) </w:t>
      </w:r>
      <w:r>
        <w:rPr>
          <w:u w:val="single"/>
        </w:rPr>
        <w:t>Total a</w:t>
      </w:r>
      <w:r w:rsidRPr="00AC27FF">
        <w:rPr>
          <w:u w:val="single"/>
        </w:rPr>
        <w:t>nnual hour burden</w:t>
      </w:r>
      <w:r w:rsidR="004A5C2C">
        <w:t>:  6,076</w:t>
      </w:r>
      <w:r>
        <w:t xml:space="preserve"> hours. </w:t>
      </w:r>
    </w:p>
    <w:p w:rsidR="003A70A6" w:rsidRDefault="003A70A6" w14:paraId="40607CFD" w14:textId="77777777">
      <w:pPr>
        <w:spacing w:after="0" w:line="240" w:lineRule="auto"/>
        <w:ind w:left="720" w:hanging="360"/>
      </w:pPr>
    </w:p>
    <w:p w:rsidRPr="00AC27FF" w:rsidR="003A70A6" w:rsidRDefault="003A70A6" w14:paraId="50A7D7D7" w14:textId="7B05474A">
      <w:pPr>
        <w:spacing w:after="0" w:line="240" w:lineRule="auto"/>
        <w:ind w:left="720" w:hanging="359"/>
      </w:pPr>
      <w:r>
        <w:t xml:space="preserve">      4</w:t>
      </w:r>
      <w:r w:rsidRPr="00AC27FF">
        <w:t xml:space="preserve"> hours per respondent for </w:t>
      </w:r>
      <w:r w:rsidR="004A5C2C">
        <w:t>1,51</w:t>
      </w:r>
      <w:r>
        <w:t>9</w:t>
      </w:r>
      <w:r w:rsidRPr="00AC27FF">
        <w:t xml:space="preserve"> carriers filing on an annual basis.  Total annual hour burden is calculated as follows:  </w:t>
      </w:r>
    </w:p>
    <w:p w:rsidRPr="00AC27FF" w:rsidR="003A70A6" w:rsidRDefault="003A70A6" w14:paraId="52103C74" w14:textId="77777777">
      <w:pPr>
        <w:spacing w:after="0" w:line="240" w:lineRule="auto"/>
        <w:ind w:left="720"/>
      </w:pPr>
    </w:p>
    <w:p w:rsidRPr="00AC27FF" w:rsidR="003A70A6" w:rsidRDefault="003A70A6" w14:paraId="53EC16D1" w14:textId="2CF974C7">
      <w:pPr>
        <w:spacing w:after="0" w:line="240" w:lineRule="auto"/>
        <w:ind w:left="720"/>
      </w:pPr>
      <w:r>
        <w:t>1,</w:t>
      </w:r>
      <w:r w:rsidR="00256B9C">
        <w:t>519</w:t>
      </w:r>
      <w:r w:rsidRPr="00AC27FF">
        <w:t xml:space="preserve"> responde</w:t>
      </w:r>
      <w:r>
        <w:t xml:space="preserve">nts </w:t>
      </w:r>
      <w:r w:rsidR="004A5C2C">
        <w:t>x 1 report per respondent = 1,51</w:t>
      </w:r>
      <w:r>
        <w:t>9 responses x 4</w:t>
      </w:r>
      <w:r w:rsidRPr="00AC27FF">
        <w:t xml:space="preserve"> hours = </w:t>
      </w:r>
      <w:r w:rsidR="004A5C2C">
        <w:rPr>
          <w:b/>
        </w:rPr>
        <w:t>6,076</w:t>
      </w:r>
      <w:r>
        <w:rPr>
          <w:b/>
        </w:rPr>
        <w:t xml:space="preserve"> </w:t>
      </w:r>
      <w:r w:rsidRPr="00AC27FF">
        <w:rPr>
          <w:b/>
        </w:rPr>
        <w:t>total annual hours.</w:t>
      </w:r>
      <w:r w:rsidRPr="00AC27FF">
        <w:t xml:space="preserve">  </w:t>
      </w:r>
    </w:p>
    <w:p w:rsidRPr="00AC27FF" w:rsidR="003A70A6" w:rsidRDefault="003A70A6" w14:paraId="23342040" w14:textId="77777777">
      <w:pPr>
        <w:spacing w:after="0" w:line="240" w:lineRule="auto"/>
        <w:ind w:left="720" w:hanging="360"/>
      </w:pPr>
    </w:p>
    <w:p w:rsidRPr="00AC27FF" w:rsidR="003A70A6" w:rsidRDefault="003A70A6" w14:paraId="21C6064D" w14:textId="0F94A6C6">
      <w:pPr>
        <w:spacing w:after="0" w:line="240" w:lineRule="auto"/>
        <w:ind w:left="720" w:hanging="360"/>
      </w:pPr>
      <w:r>
        <w:t xml:space="preserve">(6) </w:t>
      </w:r>
      <w:r>
        <w:rPr>
          <w:u w:val="single"/>
        </w:rPr>
        <w:t>Total estimate of in-house</w:t>
      </w:r>
      <w:r w:rsidRPr="00AC27FF">
        <w:rPr>
          <w:u w:val="single"/>
        </w:rPr>
        <w:t xml:space="preserve"> cost to respondents</w:t>
      </w:r>
      <w:r w:rsidRPr="00AC27FF">
        <w:t>:  $</w:t>
      </w:r>
      <w:r w:rsidR="004A5C2C">
        <w:t>243,0</w:t>
      </w:r>
      <w:r>
        <w:t xml:space="preserve">40. </w:t>
      </w:r>
      <w:r w:rsidRPr="00AC27FF">
        <w:t>(</w:t>
      </w:r>
      <w:r w:rsidR="004A5C2C">
        <w:t>6,076</w:t>
      </w:r>
      <w:r w:rsidRPr="00AC27FF">
        <w:t xml:space="preserve"> </w:t>
      </w:r>
      <w:r>
        <w:t>hours x $40/hour</w:t>
      </w:r>
      <w:r w:rsidRPr="00AC27FF">
        <w:t>).</w:t>
      </w:r>
    </w:p>
    <w:p w:rsidRPr="00AC27FF" w:rsidR="003A70A6" w:rsidRDefault="003A70A6" w14:paraId="44EC83A6" w14:textId="77777777">
      <w:pPr>
        <w:spacing w:after="0" w:line="240" w:lineRule="auto"/>
        <w:ind w:left="720" w:hanging="360"/>
      </w:pPr>
    </w:p>
    <w:p w:rsidR="003A70A6" w:rsidRDefault="003A70A6" w14:paraId="3A33B034" w14:textId="554E5296">
      <w:pPr>
        <w:spacing w:after="0" w:line="240" w:lineRule="auto"/>
        <w:ind w:left="720" w:hanging="360"/>
      </w:pPr>
      <w:r>
        <w:t xml:space="preserve">(7) </w:t>
      </w:r>
      <w:r w:rsidRPr="0046233F">
        <w:rPr>
          <w:u w:val="single"/>
        </w:rPr>
        <w:t>Explanation of calculation</w:t>
      </w:r>
      <w:r w:rsidRPr="0046233F">
        <w:t>:</w:t>
      </w:r>
      <w:r w:rsidR="004A5C2C">
        <w:t xml:space="preserve">  We estimate that each recipient of </w:t>
      </w:r>
      <w:r w:rsidRPr="0046233F">
        <w:t xml:space="preserve">high-cost support </w:t>
      </w:r>
      <w:r w:rsidR="004A5C2C">
        <w:t xml:space="preserve">required to make the reasonably comparable rates certification </w:t>
      </w:r>
      <w:r w:rsidRPr="0046233F">
        <w:t xml:space="preserve">will spend at least 4 hours certifying that it has met the </w:t>
      </w:r>
      <w:r>
        <w:t>reasonably comparable rates</w:t>
      </w:r>
      <w:r w:rsidRPr="0046233F">
        <w:t xml:space="preserve"> requirements</w:t>
      </w:r>
      <w:r w:rsidR="004A5C2C">
        <w:t>:  1,51</w:t>
      </w:r>
      <w:r>
        <w:t>9 (responses) x 4</w:t>
      </w:r>
      <w:r w:rsidRPr="00AC27FF">
        <w:t xml:space="preserve"> (hours </w:t>
      </w:r>
      <w:r>
        <w:t>to confirm and certify compliance) x $40/hour</w:t>
      </w:r>
      <w:r w:rsidRPr="00AC27FF">
        <w:t xml:space="preserve"> = $</w:t>
      </w:r>
      <w:r w:rsidR="004A5C2C">
        <w:t>243,0</w:t>
      </w:r>
      <w:r>
        <w:t>40</w:t>
      </w:r>
      <w:r w:rsidRPr="00AC27FF">
        <w:t>.</w:t>
      </w:r>
    </w:p>
    <w:p w:rsidRPr="00D43798" w:rsidR="008D53DE" w:rsidRDefault="008D53DE" w14:paraId="4E465A35" w14:textId="11FD7DF6">
      <w:pPr>
        <w:tabs>
          <w:tab w:val="left" w:pos="-720"/>
        </w:tabs>
        <w:suppressAutoHyphens/>
        <w:spacing w:after="0" w:line="240" w:lineRule="auto"/>
        <w:ind w:left="0"/>
        <w:rPr>
          <w:color w:val="000000"/>
          <w:u w:val="single"/>
        </w:rPr>
      </w:pPr>
      <w:r w:rsidRPr="00D43798">
        <w:rPr>
          <w:color w:val="000000"/>
        </w:rPr>
        <w:tab/>
      </w:r>
      <w:r w:rsidRPr="00D43798">
        <w:rPr>
          <w:color w:val="000000"/>
        </w:rPr>
        <w:tab/>
      </w:r>
      <w:r w:rsidRPr="00D43798">
        <w:rPr>
          <w:color w:val="000000"/>
        </w:rPr>
        <w:tab/>
      </w:r>
      <w:r w:rsidRPr="00D43798">
        <w:rPr>
          <w:color w:val="000000"/>
        </w:rPr>
        <w:tab/>
      </w:r>
      <w:r w:rsidRPr="00D43798">
        <w:rPr>
          <w:color w:val="000000"/>
        </w:rPr>
        <w:tab/>
      </w:r>
      <w:r w:rsidRPr="00D43798">
        <w:rPr>
          <w:color w:val="000000"/>
        </w:rPr>
        <w:tab/>
      </w:r>
      <w:r w:rsidRPr="00D43798">
        <w:rPr>
          <w:color w:val="000000"/>
        </w:rPr>
        <w:tab/>
      </w:r>
      <w:r w:rsidRPr="00D43798">
        <w:rPr>
          <w:color w:val="000000"/>
        </w:rPr>
        <w:tab/>
      </w:r>
    </w:p>
    <w:p w:rsidRPr="001C5CB4" w:rsidR="00881EB1" w:rsidRDefault="00881EB1" w14:paraId="00A271D9" w14:textId="7901CDBB">
      <w:pPr>
        <w:pStyle w:val="Heading4"/>
        <w:spacing w:after="0"/>
      </w:pPr>
      <w:r>
        <w:t>Residential Rate Updates (</w:t>
      </w:r>
      <w:r w:rsidR="00622571">
        <w:t>eliminated</w:t>
      </w:r>
      <w:r>
        <w:t xml:space="preserve"> requirement</w:t>
      </w:r>
      <w:r w:rsidRPr="001C5CB4">
        <w:t>)</w:t>
      </w:r>
      <w:r w:rsidRPr="00137F86">
        <w:rPr>
          <w:u w:val="none"/>
        </w:rPr>
        <w:t>:</w:t>
      </w:r>
    </w:p>
    <w:p w:rsidRPr="00AC27FF" w:rsidR="00881EB1" w:rsidRDefault="00881EB1" w14:paraId="72F6551D" w14:textId="77777777">
      <w:pPr>
        <w:spacing w:after="0" w:line="240" w:lineRule="auto"/>
        <w:rPr>
          <w:b/>
          <w:u w:val="single"/>
        </w:rPr>
      </w:pPr>
    </w:p>
    <w:p w:rsidRPr="00AC27FF" w:rsidR="00881EB1" w:rsidRDefault="00881EB1" w14:paraId="6F2C3E15" w14:textId="265719AE">
      <w:pPr>
        <w:spacing w:after="0" w:line="240" w:lineRule="auto"/>
        <w:ind w:left="720" w:hanging="360"/>
      </w:pPr>
      <w:r w:rsidRPr="00AC27FF">
        <w:t xml:space="preserve">(1) </w:t>
      </w:r>
      <w:r w:rsidRPr="00AC27FF">
        <w:rPr>
          <w:u w:val="single"/>
        </w:rPr>
        <w:t>Number of respondents</w:t>
      </w:r>
      <w:r w:rsidRPr="00AC27FF">
        <w:t xml:space="preserve">:  </w:t>
      </w:r>
      <w:r>
        <w:t>0.</w:t>
      </w:r>
      <w:r w:rsidRPr="00AC27FF">
        <w:t xml:space="preserve">  </w:t>
      </w:r>
    </w:p>
    <w:p w:rsidRPr="00AC27FF" w:rsidR="00881EB1" w:rsidRDefault="00881EB1" w14:paraId="0F569D73" w14:textId="77777777">
      <w:pPr>
        <w:spacing w:after="0" w:line="240" w:lineRule="auto"/>
        <w:ind w:left="720" w:hanging="360"/>
      </w:pPr>
    </w:p>
    <w:p w:rsidRPr="00AC27FF" w:rsidR="00881EB1" w:rsidRDefault="00881EB1" w14:paraId="08E2F4F6" w14:textId="314CD937">
      <w:pPr>
        <w:spacing w:after="0" w:line="240" w:lineRule="auto"/>
        <w:ind w:left="720" w:hanging="360"/>
      </w:pPr>
      <w:r w:rsidRPr="00AC27FF">
        <w:t xml:space="preserve">(2) </w:t>
      </w:r>
      <w:r w:rsidRPr="00AC27FF">
        <w:rPr>
          <w:u w:val="single"/>
        </w:rPr>
        <w:t>Frequency of response</w:t>
      </w:r>
      <w:r w:rsidRPr="00AC27FF">
        <w:t xml:space="preserve">:  </w:t>
      </w:r>
      <w:r>
        <w:t>N/A</w:t>
      </w:r>
      <w:r w:rsidR="00D5566E">
        <w:t>.</w:t>
      </w:r>
      <w:r w:rsidRPr="00AC27FF">
        <w:t xml:space="preserve">   </w:t>
      </w:r>
    </w:p>
    <w:p w:rsidRPr="00AC27FF" w:rsidR="00881EB1" w:rsidRDefault="00881EB1" w14:paraId="05DC2CFB" w14:textId="77777777">
      <w:pPr>
        <w:spacing w:after="0" w:line="240" w:lineRule="auto"/>
        <w:ind w:left="720" w:hanging="360"/>
      </w:pPr>
    </w:p>
    <w:p w:rsidR="00881EB1" w:rsidRDefault="00881EB1" w14:paraId="6AB641B8" w14:textId="4EA46C0B">
      <w:pPr>
        <w:spacing w:after="0" w:line="240" w:lineRule="auto"/>
        <w:ind w:left="720" w:hanging="360"/>
      </w:pPr>
      <w:r w:rsidRPr="00AC27FF">
        <w:t xml:space="preserve">(3) </w:t>
      </w:r>
      <w:r w:rsidRPr="000B1458">
        <w:rPr>
          <w:u w:val="single"/>
        </w:rPr>
        <w:t>Total number of responses per respondent</w:t>
      </w:r>
      <w:r>
        <w:t>:  0.</w:t>
      </w:r>
      <w:r w:rsidRPr="00AC27FF">
        <w:t xml:space="preserve"> </w:t>
      </w:r>
    </w:p>
    <w:p w:rsidR="00881EB1" w:rsidRDefault="00881EB1" w14:paraId="6D0413F2" w14:textId="77777777">
      <w:pPr>
        <w:spacing w:after="0" w:line="240" w:lineRule="auto"/>
        <w:ind w:left="720" w:hanging="360"/>
      </w:pPr>
    </w:p>
    <w:p w:rsidRPr="000B1458" w:rsidR="00881EB1" w:rsidRDefault="00881EB1" w14:paraId="507E1E87" w14:textId="5CC4EB21">
      <w:pPr>
        <w:spacing w:after="0" w:line="240" w:lineRule="auto"/>
        <w:ind w:left="720" w:hanging="360"/>
      </w:pPr>
      <w:r w:rsidRPr="000B1458">
        <w:t xml:space="preserve">(4) </w:t>
      </w:r>
      <w:r w:rsidRPr="000B1458">
        <w:rPr>
          <w:u w:val="single"/>
        </w:rPr>
        <w:t>Estimated time per response</w:t>
      </w:r>
      <w:r>
        <w:t>:  0</w:t>
      </w:r>
      <w:r w:rsidRPr="000B1458">
        <w:t xml:space="preserve"> hours.</w:t>
      </w:r>
    </w:p>
    <w:p w:rsidR="00881EB1" w:rsidRDefault="00881EB1" w14:paraId="7BAE1DDC" w14:textId="77777777">
      <w:pPr>
        <w:spacing w:after="0" w:line="240" w:lineRule="auto"/>
        <w:ind w:left="0"/>
        <w:rPr>
          <w:u w:val="single"/>
        </w:rPr>
      </w:pPr>
    </w:p>
    <w:p w:rsidR="00881EB1" w:rsidRDefault="00881EB1" w14:paraId="61BC77E8" w14:textId="77777777">
      <w:pPr>
        <w:spacing w:after="0" w:line="240" w:lineRule="auto"/>
        <w:ind w:left="720" w:hanging="360"/>
      </w:pPr>
      <w:r w:rsidRPr="00423F95">
        <w:t xml:space="preserve">(5) </w:t>
      </w:r>
      <w:r>
        <w:rPr>
          <w:u w:val="single"/>
        </w:rPr>
        <w:t>Total a</w:t>
      </w:r>
      <w:r w:rsidRPr="00AC27FF">
        <w:rPr>
          <w:u w:val="single"/>
        </w:rPr>
        <w:t>nnual hour burden</w:t>
      </w:r>
      <w:r>
        <w:t>:  0 hours.</w:t>
      </w:r>
    </w:p>
    <w:p w:rsidR="00881EB1" w:rsidRDefault="00881EB1" w14:paraId="1650F5BF" w14:textId="77777777">
      <w:pPr>
        <w:spacing w:after="0" w:line="240" w:lineRule="auto"/>
        <w:ind w:left="720" w:hanging="360"/>
      </w:pPr>
    </w:p>
    <w:p w:rsidRPr="00AC27FF" w:rsidR="00881EB1" w:rsidRDefault="00881EB1" w14:paraId="3AF05A88" w14:textId="77777777">
      <w:pPr>
        <w:spacing w:after="0" w:line="240" w:lineRule="auto"/>
        <w:ind w:left="720" w:hanging="360"/>
      </w:pPr>
      <w:r>
        <w:t xml:space="preserve">      0</w:t>
      </w:r>
      <w:r w:rsidRPr="00AC27FF">
        <w:t xml:space="preserve"> hours per respondent for </w:t>
      </w:r>
      <w:r>
        <w:t>0</w:t>
      </w:r>
      <w:r w:rsidRPr="00AC27FF">
        <w:t xml:space="preserve"> carriers filing on an annual basis.  Total annual hour burden is calculated as follows:  </w:t>
      </w:r>
    </w:p>
    <w:p w:rsidRPr="00AC27FF" w:rsidR="00881EB1" w:rsidRDefault="00881EB1" w14:paraId="31CDEB73" w14:textId="77777777">
      <w:pPr>
        <w:spacing w:after="0" w:line="240" w:lineRule="auto"/>
        <w:ind w:left="720"/>
      </w:pPr>
    </w:p>
    <w:p w:rsidRPr="00AC27FF" w:rsidR="00881EB1" w:rsidRDefault="00881EB1" w14:paraId="43CE5EAA" w14:textId="77777777">
      <w:pPr>
        <w:spacing w:after="0" w:line="240" w:lineRule="auto"/>
        <w:ind w:left="720"/>
      </w:pPr>
      <w:r>
        <w:t xml:space="preserve">0 </w:t>
      </w:r>
      <w:r w:rsidRPr="00AC27FF">
        <w:t xml:space="preserve">respondents x </w:t>
      </w:r>
      <w:r>
        <w:t>0</w:t>
      </w:r>
      <w:r w:rsidRPr="00AC27FF">
        <w:t xml:space="preserve"> report per respondent = </w:t>
      </w:r>
      <w:r>
        <w:t>0 responses x 0</w:t>
      </w:r>
      <w:r w:rsidRPr="00AC27FF">
        <w:t xml:space="preserve"> hours = </w:t>
      </w:r>
      <w:r>
        <w:rPr>
          <w:b/>
        </w:rPr>
        <w:t>0</w:t>
      </w:r>
      <w:r w:rsidRPr="00AC27FF">
        <w:rPr>
          <w:b/>
        </w:rPr>
        <w:t xml:space="preserve"> total annual hours.</w:t>
      </w:r>
      <w:r w:rsidRPr="00AC27FF">
        <w:t xml:space="preserve">  </w:t>
      </w:r>
    </w:p>
    <w:p w:rsidRPr="00AC27FF" w:rsidR="00881EB1" w:rsidRDefault="00881EB1" w14:paraId="5F1268F6" w14:textId="77777777">
      <w:pPr>
        <w:spacing w:after="0" w:line="240" w:lineRule="auto"/>
        <w:ind w:left="720" w:hanging="360"/>
      </w:pPr>
    </w:p>
    <w:p w:rsidRPr="00AC27FF" w:rsidR="00881EB1" w:rsidRDefault="00881EB1" w14:paraId="605190F6" w14:textId="77777777">
      <w:pPr>
        <w:spacing w:after="0" w:line="240" w:lineRule="auto"/>
        <w:ind w:left="720" w:hanging="360"/>
      </w:pPr>
      <w:r>
        <w:t xml:space="preserve">(6) </w:t>
      </w:r>
      <w:r>
        <w:rPr>
          <w:u w:val="single"/>
        </w:rPr>
        <w:t xml:space="preserve">Total estimate of in-house </w:t>
      </w:r>
      <w:r w:rsidRPr="00AC27FF">
        <w:rPr>
          <w:u w:val="single"/>
        </w:rPr>
        <w:t>cost to respondents</w:t>
      </w:r>
      <w:r w:rsidRPr="00AC27FF">
        <w:t>:  $</w:t>
      </w:r>
      <w:r>
        <w:t xml:space="preserve"> 0. </w:t>
      </w:r>
      <w:r w:rsidRPr="00AC27FF">
        <w:t>(</w:t>
      </w:r>
      <w:r>
        <w:t>0</w:t>
      </w:r>
      <w:r w:rsidRPr="00AC27FF">
        <w:t xml:space="preserve"> </w:t>
      </w:r>
      <w:r>
        <w:t>hours x $40/hour</w:t>
      </w:r>
      <w:r w:rsidRPr="00AC27FF">
        <w:t>).</w:t>
      </w:r>
    </w:p>
    <w:p w:rsidRPr="00AC27FF" w:rsidR="00881EB1" w:rsidRDefault="00881EB1" w14:paraId="34332747" w14:textId="77777777">
      <w:pPr>
        <w:spacing w:after="0" w:line="240" w:lineRule="auto"/>
        <w:ind w:left="720" w:hanging="360"/>
      </w:pPr>
    </w:p>
    <w:p w:rsidR="00881EB1" w:rsidRDefault="00881EB1" w14:paraId="024C6F17" w14:textId="5A6FA55C">
      <w:pPr>
        <w:tabs>
          <w:tab w:val="left" w:pos="2250"/>
        </w:tabs>
        <w:spacing w:after="0" w:line="240" w:lineRule="auto"/>
        <w:ind w:left="720" w:hanging="360"/>
      </w:pPr>
      <w:r>
        <w:t xml:space="preserve">(7) </w:t>
      </w:r>
      <w:r w:rsidRPr="00AC27FF">
        <w:rPr>
          <w:u w:val="single"/>
        </w:rPr>
        <w:t>Explanation of calculation</w:t>
      </w:r>
      <w:r w:rsidRPr="00AC27FF">
        <w:t xml:space="preserve">:  </w:t>
      </w:r>
      <w:r>
        <w:t>The obligations associated with this reporting</w:t>
      </w:r>
      <w:r w:rsidRPr="001C5CB4">
        <w:t xml:space="preserve"> requirement</w:t>
      </w:r>
      <w:r>
        <w:t xml:space="preserve"> are no longer effective, so this requirement no longer applies.  The total annual hour burden and in-house costs for respondents will therefore be 0. </w:t>
      </w:r>
      <w:r w:rsidRPr="001C5CB4">
        <w:t xml:space="preserve"> </w:t>
      </w:r>
    </w:p>
    <w:p w:rsidRPr="00AC27FF" w:rsidR="00881EB1" w:rsidRDefault="00881EB1" w14:paraId="494E675F" w14:textId="77777777">
      <w:pPr>
        <w:spacing w:after="0" w:line="240" w:lineRule="auto"/>
        <w:ind w:left="720" w:hanging="360"/>
      </w:pPr>
    </w:p>
    <w:p w:rsidR="00881EB1" w:rsidRDefault="00881EB1" w14:paraId="5FE0932F" w14:textId="742A2095">
      <w:pPr>
        <w:pStyle w:val="Heading4"/>
        <w:spacing w:after="0" w:line="240" w:lineRule="auto"/>
        <w:rPr>
          <w:u w:val="none"/>
        </w:rPr>
      </w:pPr>
      <w:r w:rsidRPr="001C5CB4">
        <w:t>Local End User Rates and State Regulated Fees (</w:t>
      </w:r>
      <w:r w:rsidR="00622571">
        <w:t>eliminated</w:t>
      </w:r>
      <w:r>
        <w:t xml:space="preserve"> requirement</w:t>
      </w:r>
      <w:r w:rsidRPr="001C5CB4">
        <w:t>)</w:t>
      </w:r>
      <w:r w:rsidRPr="00137F86">
        <w:rPr>
          <w:u w:val="none"/>
        </w:rPr>
        <w:t>:</w:t>
      </w:r>
    </w:p>
    <w:p w:rsidRPr="00881EB1" w:rsidR="00881EB1" w:rsidRDefault="00881EB1" w14:paraId="725603BA" w14:textId="77777777">
      <w:pPr>
        <w:spacing w:after="0"/>
      </w:pPr>
    </w:p>
    <w:p w:rsidRPr="00AC27FF" w:rsidR="00881EB1" w:rsidRDefault="00881EB1" w14:paraId="62D42F24" w14:textId="77777777">
      <w:pPr>
        <w:spacing w:after="0" w:line="240" w:lineRule="auto"/>
        <w:ind w:left="720" w:hanging="360"/>
      </w:pPr>
      <w:r w:rsidRPr="00AC27FF">
        <w:t xml:space="preserve">(1) </w:t>
      </w:r>
      <w:r w:rsidRPr="00AC27FF">
        <w:rPr>
          <w:u w:val="single"/>
        </w:rPr>
        <w:t>Number of respondents</w:t>
      </w:r>
      <w:r w:rsidRPr="00AC27FF">
        <w:t xml:space="preserve">:  </w:t>
      </w:r>
      <w:r>
        <w:t>0.</w:t>
      </w:r>
      <w:r w:rsidRPr="00AC27FF">
        <w:t xml:space="preserve">  </w:t>
      </w:r>
    </w:p>
    <w:p w:rsidRPr="00AC27FF" w:rsidR="00881EB1" w:rsidRDefault="00881EB1" w14:paraId="01216A6C" w14:textId="77777777">
      <w:pPr>
        <w:spacing w:after="0" w:line="240" w:lineRule="auto"/>
        <w:ind w:left="720" w:hanging="360"/>
      </w:pPr>
    </w:p>
    <w:p w:rsidRPr="00AC27FF" w:rsidR="00881EB1" w:rsidRDefault="00881EB1" w14:paraId="79FC6BC0" w14:textId="7DDCB0C2">
      <w:pPr>
        <w:spacing w:after="0" w:line="240" w:lineRule="auto"/>
        <w:ind w:left="720" w:hanging="360"/>
      </w:pPr>
      <w:r w:rsidRPr="00AC27FF">
        <w:t xml:space="preserve">(2) </w:t>
      </w:r>
      <w:r w:rsidRPr="00AC27FF">
        <w:rPr>
          <w:u w:val="single"/>
        </w:rPr>
        <w:t>Frequency of response</w:t>
      </w:r>
      <w:r w:rsidRPr="00AC27FF">
        <w:t xml:space="preserve">:  </w:t>
      </w:r>
      <w:r>
        <w:t>N/A</w:t>
      </w:r>
      <w:r w:rsidR="00D5566E">
        <w:t>.</w:t>
      </w:r>
      <w:r w:rsidRPr="00AC27FF">
        <w:t xml:space="preserve">   </w:t>
      </w:r>
    </w:p>
    <w:p w:rsidRPr="00AC27FF" w:rsidR="00881EB1" w:rsidRDefault="00881EB1" w14:paraId="63BE9FA2" w14:textId="77777777">
      <w:pPr>
        <w:spacing w:after="0" w:line="240" w:lineRule="auto"/>
        <w:ind w:left="720" w:hanging="360"/>
      </w:pPr>
    </w:p>
    <w:p w:rsidR="00881EB1" w:rsidRDefault="00881EB1" w14:paraId="22FEEB09" w14:textId="77777777">
      <w:pPr>
        <w:spacing w:after="0" w:line="240" w:lineRule="auto"/>
        <w:ind w:left="720" w:hanging="360"/>
      </w:pPr>
      <w:r w:rsidRPr="00AC27FF">
        <w:t xml:space="preserve">(3) </w:t>
      </w:r>
      <w:r w:rsidRPr="000B1458">
        <w:rPr>
          <w:u w:val="single"/>
        </w:rPr>
        <w:t>Total number of responses per respondent</w:t>
      </w:r>
      <w:r>
        <w:t>:  0.</w:t>
      </w:r>
      <w:r w:rsidRPr="00AC27FF">
        <w:t xml:space="preserve"> </w:t>
      </w:r>
    </w:p>
    <w:p w:rsidR="00881EB1" w:rsidRDefault="00881EB1" w14:paraId="288B824D" w14:textId="77777777">
      <w:pPr>
        <w:spacing w:after="0" w:line="240" w:lineRule="auto"/>
        <w:ind w:left="720" w:hanging="360"/>
      </w:pPr>
    </w:p>
    <w:p w:rsidRPr="000B1458" w:rsidR="00881EB1" w:rsidRDefault="00881EB1" w14:paraId="0B128923" w14:textId="77777777">
      <w:pPr>
        <w:spacing w:after="0" w:line="240" w:lineRule="auto"/>
        <w:ind w:left="720" w:hanging="360"/>
      </w:pPr>
      <w:r w:rsidRPr="000B1458">
        <w:t xml:space="preserve">(4) </w:t>
      </w:r>
      <w:r w:rsidRPr="000B1458">
        <w:rPr>
          <w:u w:val="single"/>
        </w:rPr>
        <w:t>Estimated time per response</w:t>
      </w:r>
      <w:r>
        <w:t>:  0</w:t>
      </w:r>
      <w:r w:rsidRPr="000B1458">
        <w:t xml:space="preserve"> hours.</w:t>
      </w:r>
    </w:p>
    <w:p w:rsidR="00881EB1" w:rsidRDefault="00881EB1" w14:paraId="303ADB5D" w14:textId="77777777">
      <w:pPr>
        <w:spacing w:after="0" w:line="240" w:lineRule="auto"/>
        <w:ind w:left="720" w:hanging="360"/>
        <w:rPr>
          <w:u w:val="single"/>
        </w:rPr>
      </w:pPr>
    </w:p>
    <w:p w:rsidR="00881EB1" w:rsidRDefault="00881EB1" w14:paraId="5CFE58B3" w14:textId="77777777">
      <w:pPr>
        <w:spacing w:after="0" w:line="240" w:lineRule="auto"/>
        <w:ind w:left="720" w:hanging="360"/>
      </w:pPr>
      <w:r w:rsidRPr="00423F95">
        <w:t xml:space="preserve">(5) </w:t>
      </w:r>
      <w:r>
        <w:rPr>
          <w:u w:val="single"/>
        </w:rPr>
        <w:t>Total a</w:t>
      </w:r>
      <w:r w:rsidRPr="00AC27FF">
        <w:rPr>
          <w:u w:val="single"/>
        </w:rPr>
        <w:t>nnual hour burden</w:t>
      </w:r>
      <w:r>
        <w:t>:  0 hours.</w:t>
      </w:r>
    </w:p>
    <w:p w:rsidR="00881EB1" w:rsidRDefault="00881EB1" w14:paraId="249DA3AB" w14:textId="77777777">
      <w:pPr>
        <w:spacing w:after="0" w:line="240" w:lineRule="auto"/>
        <w:ind w:left="720" w:hanging="360"/>
      </w:pPr>
    </w:p>
    <w:p w:rsidRPr="00AC27FF" w:rsidR="00881EB1" w:rsidRDefault="00881EB1" w14:paraId="4E9CAC64" w14:textId="77777777">
      <w:pPr>
        <w:spacing w:after="0" w:line="240" w:lineRule="auto"/>
        <w:ind w:left="720" w:hanging="360"/>
      </w:pPr>
      <w:r>
        <w:t xml:space="preserve">      0</w:t>
      </w:r>
      <w:r w:rsidRPr="00AC27FF">
        <w:t xml:space="preserve"> hours per respondent for </w:t>
      </w:r>
      <w:r>
        <w:t>0</w:t>
      </w:r>
      <w:r w:rsidRPr="00AC27FF">
        <w:t xml:space="preserve"> carriers filing on an annual basis.  Total annual hour burden is calculated as follows:  </w:t>
      </w:r>
    </w:p>
    <w:p w:rsidRPr="00AC27FF" w:rsidR="00881EB1" w:rsidRDefault="00881EB1" w14:paraId="6B8E46ED" w14:textId="77777777">
      <w:pPr>
        <w:spacing w:after="0" w:line="240" w:lineRule="auto"/>
        <w:ind w:left="720"/>
      </w:pPr>
    </w:p>
    <w:p w:rsidRPr="00AC27FF" w:rsidR="00881EB1" w:rsidRDefault="00881EB1" w14:paraId="4C43E0B1" w14:textId="77777777">
      <w:pPr>
        <w:spacing w:after="0" w:line="240" w:lineRule="auto"/>
        <w:ind w:left="720"/>
      </w:pPr>
      <w:r>
        <w:t xml:space="preserve">0 </w:t>
      </w:r>
      <w:r w:rsidRPr="00AC27FF">
        <w:t xml:space="preserve">respondents x </w:t>
      </w:r>
      <w:r>
        <w:t>0</w:t>
      </w:r>
      <w:r w:rsidRPr="00AC27FF">
        <w:t xml:space="preserve"> report per respondent = </w:t>
      </w:r>
      <w:r>
        <w:t>0 responses x 0</w:t>
      </w:r>
      <w:r w:rsidRPr="00AC27FF">
        <w:t xml:space="preserve"> hours = </w:t>
      </w:r>
      <w:r>
        <w:rPr>
          <w:b/>
        </w:rPr>
        <w:t>0</w:t>
      </w:r>
      <w:r w:rsidRPr="00AC27FF">
        <w:rPr>
          <w:b/>
        </w:rPr>
        <w:t xml:space="preserve"> total annual hours.</w:t>
      </w:r>
      <w:r w:rsidRPr="00AC27FF">
        <w:t xml:space="preserve">  </w:t>
      </w:r>
    </w:p>
    <w:p w:rsidRPr="00AC27FF" w:rsidR="00881EB1" w:rsidRDefault="00881EB1" w14:paraId="630FC409" w14:textId="77777777">
      <w:pPr>
        <w:spacing w:after="0" w:line="240" w:lineRule="auto"/>
        <w:ind w:left="720" w:hanging="360"/>
      </w:pPr>
    </w:p>
    <w:p w:rsidRPr="00AC27FF" w:rsidR="00881EB1" w:rsidRDefault="00881EB1" w14:paraId="6EE07006" w14:textId="77777777">
      <w:pPr>
        <w:spacing w:after="0" w:line="240" w:lineRule="auto"/>
        <w:ind w:left="720" w:hanging="360"/>
      </w:pPr>
      <w:r>
        <w:t xml:space="preserve">(6) </w:t>
      </w:r>
      <w:r>
        <w:rPr>
          <w:u w:val="single"/>
        </w:rPr>
        <w:t xml:space="preserve">Total estimate of in-house </w:t>
      </w:r>
      <w:r w:rsidRPr="00AC27FF">
        <w:rPr>
          <w:u w:val="single"/>
        </w:rPr>
        <w:t>cost to respondents</w:t>
      </w:r>
      <w:r w:rsidRPr="00AC27FF">
        <w:t>:  $</w:t>
      </w:r>
      <w:r>
        <w:t xml:space="preserve"> 0. </w:t>
      </w:r>
      <w:r w:rsidRPr="00AC27FF">
        <w:t>(</w:t>
      </w:r>
      <w:r>
        <w:t>0</w:t>
      </w:r>
      <w:r w:rsidRPr="00AC27FF">
        <w:t xml:space="preserve"> </w:t>
      </w:r>
      <w:r>
        <w:t>hours x $40/hour</w:t>
      </w:r>
      <w:r w:rsidRPr="00AC27FF">
        <w:t>).</w:t>
      </w:r>
    </w:p>
    <w:p w:rsidRPr="00AC27FF" w:rsidR="00881EB1" w:rsidRDefault="00881EB1" w14:paraId="33367F74" w14:textId="77777777">
      <w:pPr>
        <w:spacing w:after="0" w:line="240" w:lineRule="auto"/>
        <w:ind w:left="720" w:hanging="360"/>
      </w:pPr>
    </w:p>
    <w:p w:rsidR="003B2547" w:rsidRDefault="00881EB1" w14:paraId="25ECE088" w14:textId="5FA85865">
      <w:pPr>
        <w:tabs>
          <w:tab w:val="left" w:pos="2250"/>
        </w:tabs>
        <w:spacing w:after="0" w:line="240" w:lineRule="auto"/>
        <w:ind w:left="720" w:hanging="360"/>
      </w:pPr>
      <w:r>
        <w:t xml:space="preserve">(7) </w:t>
      </w:r>
      <w:r w:rsidRPr="00AC27FF">
        <w:rPr>
          <w:u w:val="single"/>
        </w:rPr>
        <w:t>Explanation of calculation</w:t>
      </w:r>
      <w:r w:rsidRPr="00AC27FF">
        <w:t xml:space="preserve">:  </w:t>
      </w:r>
      <w:r>
        <w:t>The obligations associated with this reporting</w:t>
      </w:r>
      <w:r w:rsidRPr="001C5CB4">
        <w:t xml:space="preserve"> requirement</w:t>
      </w:r>
      <w:r>
        <w:t xml:space="preserve"> are no longer effective, so this requirement no longer applies.  The total annual hour burden and in-house costs for respondents will therefore be 0. </w:t>
      </w:r>
      <w:r w:rsidRPr="001C5CB4">
        <w:t xml:space="preserve"> </w:t>
      </w:r>
    </w:p>
    <w:p w:rsidR="003B2547" w:rsidRDefault="003B2547" w14:paraId="2C385DB7" w14:textId="0970129F">
      <w:pPr>
        <w:tabs>
          <w:tab w:val="left" w:pos="2250"/>
        </w:tabs>
        <w:spacing w:after="0" w:line="240" w:lineRule="auto"/>
        <w:ind w:left="720" w:hanging="360"/>
      </w:pPr>
    </w:p>
    <w:p w:rsidR="003B2547" w:rsidRDefault="003B2547" w14:paraId="76685171" w14:textId="77777777">
      <w:pPr>
        <w:pStyle w:val="Heading4"/>
        <w:spacing w:after="0" w:line="240" w:lineRule="auto"/>
      </w:pPr>
      <w:r w:rsidRPr="001C5CB4">
        <w:t>Annual Reporting Requirements for All Funding Recipients (updated respondents)</w:t>
      </w:r>
      <w:r w:rsidRPr="00137F86">
        <w:rPr>
          <w:u w:val="none"/>
        </w:rPr>
        <w:t>:</w:t>
      </w:r>
    </w:p>
    <w:p w:rsidRPr="00ED5773" w:rsidR="003B2547" w:rsidRDefault="003B2547" w14:paraId="1B096120" w14:textId="77777777">
      <w:pPr>
        <w:spacing w:after="0"/>
      </w:pPr>
    </w:p>
    <w:p w:rsidR="003B2547" w:rsidRDefault="003B2547" w14:paraId="51DFD2E1" w14:textId="77777777">
      <w:pPr>
        <w:pStyle w:val="ListParagraph"/>
        <w:numPr>
          <w:ilvl w:val="0"/>
          <w:numId w:val="41"/>
        </w:numPr>
        <w:spacing w:after="0" w:line="240" w:lineRule="auto"/>
      </w:pPr>
      <w:r w:rsidRPr="00ED5773">
        <w:t>Number of Respondents</w:t>
      </w:r>
      <w:r w:rsidRPr="0080703D">
        <w:rPr>
          <w:u w:val="none"/>
        </w:rPr>
        <w:t>:  Approximately 2,</w:t>
      </w:r>
      <w:r>
        <w:rPr>
          <w:u w:val="none"/>
        </w:rPr>
        <w:t>22</w:t>
      </w:r>
      <w:r w:rsidRPr="0080703D">
        <w:rPr>
          <w:u w:val="none"/>
        </w:rPr>
        <w:t>9 telephone companies.</w:t>
      </w:r>
    </w:p>
    <w:p w:rsidRPr="00AC27FF" w:rsidR="003B2547" w:rsidRDefault="003B2547" w14:paraId="12A9DBCE" w14:textId="77777777">
      <w:pPr>
        <w:pStyle w:val="ListParagraph"/>
        <w:numPr>
          <w:ilvl w:val="0"/>
          <w:numId w:val="0"/>
        </w:numPr>
        <w:spacing w:after="0" w:line="240" w:lineRule="auto"/>
        <w:ind w:left="765"/>
      </w:pPr>
    </w:p>
    <w:p w:rsidR="003B2547" w:rsidRDefault="003B2547" w14:paraId="19622E0D" w14:textId="77777777">
      <w:pPr>
        <w:pStyle w:val="ListParagraph"/>
        <w:numPr>
          <w:ilvl w:val="0"/>
          <w:numId w:val="41"/>
        </w:numPr>
        <w:spacing w:after="0" w:line="240" w:lineRule="auto"/>
      </w:pPr>
      <w:r w:rsidRPr="00ED5773">
        <w:t>Frequency of Response</w:t>
      </w:r>
      <w:r w:rsidRPr="00137F86">
        <w:rPr>
          <w:u w:val="none"/>
        </w:rPr>
        <w:t>:  Annually.</w:t>
      </w:r>
      <w:r w:rsidRPr="00AC27FF">
        <w:t xml:space="preserve"> </w:t>
      </w:r>
    </w:p>
    <w:p w:rsidRPr="00AC27FF" w:rsidR="003B2547" w:rsidP="001861C7" w:rsidRDefault="003B2547" w14:paraId="668D75BF" w14:textId="77777777">
      <w:pPr>
        <w:pStyle w:val="ListParagraph"/>
        <w:numPr>
          <w:ilvl w:val="0"/>
          <w:numId w:val="0"/>
        </w:numPr>
        <w:spacing w:after="0"/>
        <w:ind w:left="720"/>
      </w:pPr>
    </w:p>
    <w:p w:rsidR="003B2547" w:rsidRDefault="003B2547" w14:paraId="5BEB1619" w14:textId="77777777">
      <w:pPr>
        <w:pStyle w:val="ListParagraph"/>
        <w:numPr>
          <w:ilvl w:val="0"/>
          <w:numId w:val="41"/>
        </w:numPr>
        <w:spacing w:after="0" w:line="240" w:lineRule="auto"/>
      </w:pPr>
      <w:r w:rsidRPr="00ED5773">
        <w:t>Total number of responses per respondent</w:t>
      </w:r>
      <w:r w:rsidRPr="0080703D">
        <w:rPr>
          <w:u w:val="none"/>
        </w:rPr>
        <w:t xml:space="preserve">: </w:t>
      </w:r>
      <w:r>
        <w:rPr>
          <w:u w:val="none"/>
        </w:rPr>
        <w:t xml:space="preserve"> </w:t>
      </w:r>
      <w:r w:rsidRPr="0080703D">
        <w:rPr>
          <w:u w:val="none"/>
        </w:rPr>
        <w:t>Approximately 1.</w:t>
      </w:r>
      <w:r>
        <w:t xml:space="preserve"> </w:t>
      </w:r>
    </w:p>
    <w:p w:rsidR="003B2547" w:rsidRDefault="003B2547" w14:paraId="64BBA4A2" w14:textId="77777777">
      <w:pPr>
        <w:pStyle w:val="ListParagraph"/>
        <w:numPr>
          <w:ilvl w:val="0"/>
          <w:numId w:val="0"/>
        </w:numPr>
        <w:spacing w:after="0" w:line="240" w:lineRule="auto"/>
        <w:ind w:left="765"/>
      </w:pPr>
    </w:p>
    <w:p w:rsidR="003B2547" w:rsidRDefault="003B2547" w14:paraId="0DA7B5BE" w14:textId="77777777">
      <w:pPr>
        <w:pStyle w:val="ListParagraph"/>
        <w:numPr>
          <w:ilvl w:val="0"/>
          <w:numId w:val="41"/>
        </w:numPr>
        <w:spacing w:after="0" w:line="240" w:lineRule="auto"/>
      </w:pPr>
      <w:r w:rsidRPr="00ED5773">
        <w:t>Estimated time per response</w:t>
      </w:r>
      <w:r w:rsidRPr="0080703D">
        <w:rPr>
          <w:u w:val="none"/>
        </w:rPr>
        <w:t>:  5 hours.</w:t>
      </w:r>
      <w:r w:rsidRPr="001A1CF1">
        <w:t xml:space="preserve"> </w:t>
      </w:r>
    </w:p>
    <w:p w:rsidRPr="001A1CF1" w:rsidR="003B2547" w:rsidP="001861C7" w:rsidRDefault="003B2547" w14:paraId="75F3FA29" w14:textId="77777777">
      <w:pPr>
        <w:pStyle w:val="ListParagraph"/>
        <w:numPr>
          <w:ilvl w:val="0"/>
          <w:numId w:val="0"/>
        </w:numPr>
        <w:spacing w:after="0"/>
        <w:ind w:left="720"/>
      </w:pPr>
    </w:p>
    <w:p w:rsidR="003B2547" w:rsidRDefault="003B2547" w14:paraId="2BD0E351" w14:textId="77777777">
      <w:pPr>
        <w:pStyle w:val="ListParagraph"/>
        <w:numPr>
          <w:ilvl w:val="0"/>
          <w:numId w:val="41"/>
        </w:numPr>
        <w:spacing w:after="0" w:line="240" w:lineRule="auto"/>
      </w:pPr>
      <w:r w:rsidRPr="00ED5773">
        <w:t>Total annual hour burden</w:t>
      </w:r>
      <w:r w:rsidRPr="0080703D">
        <w:rPr>
          <w:u w:val="none"/>
        </w:rPr>
        <w:t>:  1</w:t>
      </w:r>
      <w:r>
        <w:rPr>
          <w:u w:val="none"/>
        </w:rPr>
        <w:t>1</w:t>
      </w:r>
      <w:r w:rsidRPr="0080703D">
        <w:rPr>
          <w:u w:val="none"/>
        </w:rPr>
        <w:t>,</w:t>
      </w:r>
      <w:r>
        <w:rPr>
          <w:u w:val="none"/>
        </w:rPr>
        <w:t>1</w:t>
      </w:r>
      <w:r w:rsidRPr="0080703D">
        <w:rPr>
          <w:u w:val="none"/>
        </w:rPr>
        <w:t>45 hours.</w:t>
      </w:r>
      <w:r>
        <w:t xml:space="preserve"> </w:t>
      </w:r>
    </w:p>
    <w:p w:rsidR="003B2547" w:rsidRDefault="003B2547" w14:paraId="07AD6DF9" w14:textId="77777777">
      <w:pPr>
        <w:spacing w:after="0"/>
        <w:ind w:left="720" w:hanging="360"/>
      </w:pPr>
    </w:p>
    <w:p w:rsidR="003B2547" w:rsidRDefault="003B2547" w14:paraId="2360B13E" w14:textId="77777777">
      <w:pPr>
        <w:spacing w:after="0" w:line="240" w:lineRule="auto"/>
        <w:ind w:left="720" w:hanging="360"/>
      </w:pPr>
      <w:r>
        <w:t xml:space="preserve">      5</w:t>
      </w:r>
      <w:r w:rsidRPr="00F54D78">
        <w:t xml:space="preserve"> hours per respondent for </w:t>
      </w:r>
      <w:r>
        <w:t>2,229</w:t>
      </w:r>
      <w:r w:rsidRPr="00F54D78">
        <w:t xml:space="preserve"> respondents filing on an annual basis.  Total annual hour burden is</w:t>
      </w:r>
      <w:r>
        <w:t xml:space="preserve"> calculated as follows</w:t>
      </w:r>
      <w:r w:rsidRPr="00F54D78">
        <w:t xml:space="preserve">: </w:t>
      </w:r>
    </w:p>
    <w:p w:rsidR="003B2547" w:rsidRDefault="003B2547" w14:paraId="4F7C4B73" w14:textId="77777777">
      <w:pPr>
        <w:spacing w:after="0" w:line="240" w:lineRule="auto"/>
        <w:ind w:left="720" w:hanging="360"/>
      </w:pPr>
    </w:p>
    <w:p w:rsidR="003B2547" w:rsidRDefault="003B2547" w14:paraId="6E674FE5" w14:textId="77777777">
      <w:pPr>
        <w:spacing w:after="0" w:line="240" w:lineRule="auto"/>
        <w:ind w:left="720"/>
      </w:pPr>
      <w:r>
        <w:t>2,229</w:t>
      </w:r>
      <w:r w:rsidRPr="00F54D78">
        <w:t xml:space="preserve"> respondents x 1 submission per respondent = </w:t>
      </w:r>
      <w:r>
        <w:t>2,229</w:t>
      </w:r>
      <w:r w:rsidRPr="00F54D78">
        <w:t xml:space="preserve"> responses x </w:t>
      </w:r>
      <w:r>
        <w:t>5</w:t>
      </w:r>
      <w:r w:rsidRPr="00F54D78">
        <w:t xml:space="preserve"> hours = </w:t>
      </w:r>
      <w:r>
        <w:rPr>
          <w:b/>
        </w:rPr>
        <w:t>11,145</w:t>
      </w:r>
      <w:r w:rsidRPr="00F54D78">
        <w:rPr>
          <w:b/>
        </w:rPr>
        <w:t xml:space="preserve"> </w:t>
      </w:r>
      <w:r>
        <w:rPr>
          <w:b/>
        </w:rPr>
        <w:t xml:space="preserve">total annual </w:t>
      </w:r>
      <w:r w:rsidRPr="00F54D78">
        <w:rPr>
          <w:b/>
        </w:rPr>
        <w:t>hours</w:t>
      </w:r>
      <w:r w:rsidRPr="00F54D78">
        <w:t>.</w:t>
      </w:r>
    </w:p>
    <w:p w:rsidRPr="00AC27FF" w:rsidR="003B2547" w:rsidRDefault="003B2547" w14:paraId="0C70EB39" w14:textId="77777777">
      <w:pPr>
        <w:spacing w:after="0" w:line="240" w:lineRule="auto"/>
        <w:ind w:left="720" w:hanging="360"/>
      </w:pPr>
    </w:p>
    <w:p w:rsidRPr="0013290E" w:rsidR="003B2547" w:rsidRDefault="003B2547" w14:paraId="62FC93E4" w14:textId="77777777">
      <w:pPr>
        <w:pStyle w:val="ListParagraph"/>
        <w:numPr>
          <w:ilvl w:val="0"/>
          <w:numId w:val="41"/>
        </w:numPr>
        <w:spacing w:after="0" w:line="240" w:lineRule="auto"/>
      </w:pPr>
      <w:r w:rsidRPr="00ED5773">
        <w:t>Total estimate of in-house cost to respondents</w:t>
      </w:r>
      <w:r w:rsidRPr="00137F86">
        <w:rPr>
          <w:u w:val="none"/>
        </w:rPr>
        <w:t>:</w:t>
      </w:r>
      <w:r w:rsidRPr="0013290E">
        <w:rPr>
          <w:b/>
          <w:u w:val="none"/>
        </w:rPr>
        <w:t xml:space="preserve">  </w:t>
      </w:r>
      <w:r w:rsidRPr="0013290E">
        <w:rPr>
          <w:u w:val="none"/>
        </w:rPr>
        <w:t>$4</w:t>
      </w:r>
      <w:r>
        <w:rPr>
          <w:u w:val="none"/>
        </w:rPr>
        <w:t>45</w:t>
      </w:r>
      <w:r w:rsidRPr="0013290E">
        <w:rPr>
          <w:u w:val="none"/>
        </w:rPr>
        <w:t>,800. (1</w:t>
      </w:r>
      <w:r>
        <w:rPr>
          <w:u w:val="none"/>
        </w:rPr>
        <w:t>1</w:t>
      </w:r>
      <w:r w:rsidRPr="0013290E">
        <w:rPr>
          <w:u w:val="none"/>
        </w:rPr>
        <w:t>,</w:t>
      </w:r>
      <w:r>
        <w:rPr>
          <w:u w:val="none"/>
        </w:rPr>
        <w:t>1</w:t>
      </w:r>
      <w:r w:rsidRPr="0013290E">
        <w:rPr>
          <w:u w:val="none"/>
        </w:rPr>
        <w:t>45 hours x $40/hour).</w:t>
      </w:r>
    </w:p>
    <w:p w:rsidRPr="00137F86" w:rsidR="003B2547" w:rsidRDefault="003B2547" w14:paraId="0EC275C9" w14:textId="77777777">
      <w:pPr>
        <w:spacing w:after="0" w:line="240" w:lineRule="auto"/>
        <w:rPr>
          <w:b/>
        </w:rPr>
      </w:pPr>
    </w:p>
    <w:p w:rsidRPr="001C5CB4" w:rsidR="003B2547" w:rsidRDefault="003B2547" w14:paraId="2B8708C6" w14:textId="552D5F55">
      <w:pPr>
        <w:tabs>
          <w:tab w:val="left" w:pos="2250"/>
        </w:tabs>
        <w:spacing w:after="0" w:line="240" w:lineRule="auto"/>
        <w:ind w:left="720" w:hanging="360"/>
      </w:pPr>
      <w:r w:rsidRPr="008D53DE">
        <w:t xml:space="preserve">Explanation of calculation:  We estimate that each carrier will spend a total of approximately 5 hours preparing and submitting the emergency certification and information regarding any holding companies, operating companies, and affiliates:  11,145 (responses) </w:t>
      </w:r>
      <w:r w:rsidRPr="008D53DE">
        <w:rPr>
          <w:color w:val="000000"/>
        </w:rPr>
        <w:t>x 5 (hours preparing and submitting certification and company information) x $40 per hour = $445,800.</w:t>
      </w:r>
    </w:p>
    <w:p w:rsidRPr="00510AA2" w:rsidR="00B04F4D" w:rsidRDefault="00B04F4D" w14:paraId="30D27B13" w14:textId="77777777">
      <w:pPr>
        <w:tabs>
          <w:tab w:val="left" w:pos="2250"/>
        </w:tabs>
        <w:spacing w:after="0" w:line="240" w:lineRule="auto"/>
        <w:ind w:left="720" w:hanging="360"/>
        <w:rPr>
          <w:color w:val="000000"/>
        </w:rPr>
      </w:pPr>
    </w:p>
    <w:p w:rsidRPr="001C5CB4" w:rsidR="00B04F4D" w:rsidRDefault="00B04F4D" w14:paraId="66EE61C0" w14:textId="4CA2A995">
      <w:pPr>
        <w:pStyle w:val="Heading4"/>
        <w:spacing w:after="0" w:line="240" w:lineRule="auto"/>
      </w:pPr>
      <w:r w:rsidRPr="001C5CB4">
        <w:t>Connect America Fund Phase II Requirements (</w:t>
      </w:r>
      <w:r w:rsidRPr="001C5CB4" w:rsidR="00EE6475">
        <w:t>no revisions</w:t>
      </w:r>
      <w:r w:rsidRPr="001C5CB4">
        <w:t>)</w:t>
      </w:r>
      <w:r w:rsidRPr="00137F86">
        <w:rPr>
          <w:u w:val="none"/>
        </w:rPr>
        <w:t>:</w:t>
      </w:r>
    </w:p>
    <w:p w:rsidRPr="00EB4351" w:rsidR="00B04F4D" w:rsidRDefault="00B04F4D" w14:paraId="6228F17E" w14:textId="77777777">
      <w:pPr>
        <w:spacing w:after="0" w:line="240" w:lineRule="auto"/>
        <w:rPr>
          <w:b/>
          <w:u w:val="single"/>
        </w:rPr>
      </w:pPr>
    </w:p>
    <w:p w:rsidRPr="00EB4351" w:rsidR="00B04F4D" w:rsidRDefault="00B04F4D" w14:paraId="57C55A72" w14:textId="14ECFDB4">
      <w:pPr>
        <w:spacing w:after="0" w:line="240" w:lineRule="auto"/>
        <w:ind w:left="720" w:hanging="360"/>
      </w:pPr>
      <w:r w:rsidRPr="00EB4351">
        <w:t xml:space="preserve">(1) </w:t>
      </w:r>
      <w:r w:rsidRPr="00EB4351">
        <w:rPr>
          <w:u w:val="single"/>
        </w:rPr>
        <w:t>Number of respondents</w:t>
      </w:r>
      <w:r w:rsidRPr="00EB4351">
        <w:t xml:space="preserve">:  Approximately </w:t>
      </w:r>
      <w:r w:rsidR="0001377E">
        <w:t>9</w:t>
      </w:r>
      <w:r w:rsidRPr="00EB4351">
        <w:t xml:space="preserve"> carriers or holding companies receiving Connect America Phase II support will be required to report the number, names and, addresses of community anchor institutions to which they newly began providing access to broadband service.  </w:t>
      </w:r>
    </w:p>
    <w:p w:rsidRPr="00EB4351" w:rsidR="00B04F4D" w:rsidRDefault="00B04F4D" w14:paraId="492BA1ED" w14:textId="77777777">
      <w:pPr>
        <w:spacing w:after="0" w:line="240" w:lineRule="auto"/>
        <w:ind w:left="720" w:hanging="360"/>
      </w:pPr>
    </w:p>
    <w:p w:rsidRPr="00EB4351" w:rsidR="00B04F4D" w:rsidRDefault="00B04F4D" w14:paraId="29EFEB1F" w14:textId="5F101C01">
      <w:pPr>
        <w:spacing w:after="0" w:line="240" w:lineRule="auto"/>
        <w:ind w:left="720" w:hanging="360"/>
      </w:pPr>
      <w:r w:rsidRPr="00EB4351">
        <w:t xml:space="preserve">(2) </w:t>
      </w:r>
      <w:r w:rsidRPr="00EB4351">
        <w:rPr>
          <w:u w:val="single"/>
        </w:rPr>
        <w:t>Frequency of response</w:t>
      </w:r>
      <w:r w:rsidRPr="00EB4351">
        <w:t xml:space="preserve">:  Annually.   </w:t>
      </w:r>
    </w:p>
    <w:p w:rsidRPr="00EB4351" w:rsidR="00B04F4D" w:rsidRDefault="00B04F4D" w14:paraId="741BDEEC" w14:textId="77777777">
      <w:pPr>
        <w:spacing w:after="0" w:line="240" w:lineRule="auto"/>
        <w:ind w:left="720" w:hanging="360"/>
      </w:pPr>
    </w:p>
    <w:p w:rsidRPr="00EB4351" w:rsidR="00B04F4D" w:rsidRDefault="00B04F4D" w14:paraId="6C43FBB1" w14:textId="77777777">
      <w:pPr>
        <w:spacing w:after="0" w:line="240" w:lineRule="auto"/>
        <w:ind w:left="720" w:hanging="360"/>
      </w:pPr>
      <w:r w:rsidRPr="00EB4351">
        <w:t xml:space="preserve">(3) </w:t>
      </w:r>
      <w:r w:rsidRPr="00EB4351">
        <w:rPr>
          <w:u w:val="single"/>
        </w:rPr>
        <w:t>Total number of responses per respondent</w:t>
      </w:r>
      <w:r w:rsidRPr="00EB4351">
        <w:t xml:space="preserve">:  Approximately 1. </w:t>
      </w:r>
    </w:p>
    <w:p w:rsidRPr="00EB4351" w:rsidR="00B04F4D" w:rsidRDefault="00B04F4D" w14:paraId="071BAE2A" w14:textId="77777777">
      <w:pPr>
        <w:spacing w:after="0" w:line="240" w:lineRule="auto"/>
        <w:ind w:left="720" w:hanging="360"/>
        <w:rPr>
          <w:u w:val="single"/>
        </w:rPr>
      </w:pPr>
    </w:p>
    <w:p w:rsidRPr="00EB4351" w:rsidR="00B04F4D" w:rsidRDefault="00B04F4D" w14:paraId="4BF53449" w14:textId="77777777">
      <w:pPr>
        <w:spacing w:after="0" w:line="240" w:lineRule="auto"/>
        <w:ind w:left="720" w:hanging="360"/>
      </w:pPr>
      <w:r w:rsidRPr="00EB4351">
        <w:t xml:space="preserve">(4) </w:t>
      </w:r>
      <w:r w:rsidRPr="00EB4351">
        <w:rPr>
          <w:u w:val="single"/>
        </w:rPr>
        <w:t>Estimated time per response</w:t>
      </w:r>
      <w:r w:rsidRPr="00EB4351">
        <w:t xml:space="preserve">:  2 hours. </w:t>
      </w:r>
    </w:p>
    <w:p w:rsidRPr="00EB4351" w:rsidR="00B04F4D" w:rsidRDefault="00B04F4D" w14:paraId="18E3A2BF" w14:textId="77777777">
      <w:pPr>
        <w:spacing w:after="0" w:line="240" w:lineRule="auto"/>
        <w:ind w:left="720" w:hanging="360"/>
        <w:rPr>
          <w:u w:val="single"/>
        </w:rPr>
      </w:pPr>
    </w:p>
    <w:p w:rsidRPr="00EB4351" w:rsidR="00B04F4D" w:rsidRDefault="00B04F4D" w14:paraId="6FE74523" w14:textId="1D39ED11">
      <w:pPr>
        <w:spacing w:after="0" w:line="240" w:lineRule="auto"/>
        <w:ind w:left="720" w:hanging="360"/>
      </w:pPr>
      <w:r w:rsidRPr="00EB4351">
        <w:t xml:space="preserve">(5) </w:t>
      </w:r>
      <w:r w:rsidRPr="00EB4351">
        <w:rPr>
          <w:u w:val="single"/>
        </w:rPr>
        <w:t>Total annual hour burden</w:t>
      </w:r>
      <w:r w:rsidRPr="00EB4351">
        <w:t xml:space="preserve">:  </w:t>
      </w:r>
      <w:r w:rsidR="0058028B">
        <w:t>18</w:t>
      </w:r>
      <w:r w:rsidRPr="00EB4351">
        <w:t xml:space="preserve"> hours. </w:t>
      </w:r>
    </w:p>
    <w:p w:rsidRPr="00EB4351" w:rsidR="00B04F4D" w:rsidRDefault="00B04F4D" w14:paraId="1654420F" w14:textId="77777777">
      <w:pPr>
        <w:spacing w:after="0" w:line="240" w:lineRule="auto"/>
        <w:ind w:left="720" w:hanging="360"/>
      </w:pPr>
    </w:p>
    <w:p w:rsidR="00B04F4D" w:rsidRDefault="00B04F4D" w14:paraId="3976F41E" w14:textId="30FF85C1">
      <w:pPr>
        <w:spacing w:after="0" w:line="240" w:lineRule="auto"/>
        <w:ind w:left="720" w:hanging="360"/>
      </w:pPr>
      <w:r w:rsidRPr="00EB4351">
        <w:t xml:space="preserve">      2 hours per respondent for </w:t>
      </w:r>
      <w:r w:rsidR="0001377E">
        <w:t>9</w:t>
      </w:r>
      <w:r w:rsidRPr="00EB4351">
        <w:t xml:space="preserve"> respondents filing annually.  Total annual hour burden is</w:t>
      </w:r>
      <w:r>
        <w:t xml:space="preserve"> calculated as follows</w:t>
      </w:r>
      <w:r w:rsidRPr="00EB4351">
        <w:t xml:space="preserve">: </w:t>
      </w:r>
    </w:p>
    <w:p w:rsidR="00B04F4D" w:rsidRDefault="00B04F4D" w14:paraId="2380055B" w14:textId="77777777">
      <w:pPr>
        <w:spacing w:after="0" w:line="240" w:lineRule="auto"/>
        <w:ind w:left="720" w:hanging="360"/>
      </w:pPr>
    </w:p>
    <w:p w:rsidRPr="00EB4351" w:rsidR="00B04F4D" w:rsidRDefault="0058028B" w14:paraId="015A4177" w14:textId="62D9C8ED">
      <w:pPr>
        <w:spacing w:after="0" w:line="240" w:lineRule="auto"/>
        <w:ind w:left="720"/>
      </w:pPr>
      <w:r>
        <w:t>9</w:t>
      </w:r>
      <w:r w:rsidRPr="00EB4351" w:rsidR="00B04F4D">
        <w:t xml:space="preserve"> respondents x 1 report per respondent = </w:t>
      </w:r>
      <w:r w:rsidR="0001377E">
        <w:t>9</w:t>
      </w:r>
      <w:r w:rsidRPr="00EB4351" w:rsidR="00B04F4D">
        <w:t xml:space="preserve"> responses x 2 hours = </w:t>
      </w:r>
      <w:r>
        <w:rPr>
          <w:b/>
        </w:rPr>
        <w:t>1</w:t>
      </w:r>
      <w:r w:rsidRPr="00376125" w:rsidR="00B04F4D">
        <w:rPr>
          <w:b/>
        </w:rPr>
        <w:t>8</w:t>
      </w:r>
      <w:r w:rsidRPr="002D766F" w:rsidR="00B04F4D">
        <w:rPr>
          <w:b/>
        </w:rPr>
        <w:t xml:space="preserve"> total annual </w:t>
      </w:r>
      <w:r w:rsidRPr="00376125" w:rsidR="00B04F4D">
        <w:rPr>
          <w:b/>
        </w:rPr>
        <w:t>hours</w:t>
      </w:r>
      <w:r w:rsidRPr="00EB4351" w:rsidR="00B04F4D">
        <w:t>.</w:t>
      </w:r>
    </w:p>
    <w:p w:rsidRPr="00EB4351" w:rsidR="00B04F4D" w:rsidRDefault="00B04F4D" w14:paraId="7E8E17B1" w14:textId="77777777">
      <w:pPr>
        <w:spacing w:after="0" w:line="240" w:lineRule="auto"/>
        <w:ind w:left="720" w:hanging="360"/>
      </w:pPr>
    </w:p>
    <w:p w:rsidRPr="00EB4351" w:rsidR="00B04F4D" w:rsidRDefault="00B04F4D" w14:paraId="2C2FDA9D" w14:textId="5ABA590C">
      <w:pPr>
        <w:spacing w:after="0" w:line="240" w:lineRule="auto"/>
        <w:ind w:left="720" w:hanging="360"/>
      </w:pPr>
      <w:r w:rsidRPr="00EB4351">
        <w:t xml:space="preserve">(6)  </w:t>
      </w:r>
      <w:r w:rsidRPr="00EB4351">
        <w:rPr>
          <w:u w:val="single"/>
        </w:rPr>
        <w:t>Total estimate of in-house cost to respondents</w:t>
      </w:r>
      <w:r w:rsidRPr="00EB4351">
        <w:t>:  $</w:t>
      </w:r>
      <w:r w:rsidR="0058028B">
        <w:t>7</w:t>
      </w:r>
      <w:r>
        <w:t>20</w:t>
      </w:r>
      <w:r w:rsidRPr="00EB4351">
        <w:t>.  (</w:t>
      </w:r>
      <w:r w:rsidR="0058028B">
        <w:t>1</w:t>
      </w:r>
      <w:r>
        <w:t>8</w:t>
      </w:r>
      <w:r w:rsidRPr="00EB4351">
        <w:t xml:space="preserve"> hours x $40/hour).</w:t>
      </w:r>
    </w:p>
    <w:p w:rsidRPr="00EB4351" w:rsidR="00B04F4D" w:rsidRDefault="00B04F4D" w14:paraId="42E27B0C" w14:textId="77777777">
      <w:pPr>
        <w:spacing w:after="0" w:line="240" w:lineRule="auto"/>
        <w:ind w:left="720" w:hanging="360"/>
      </w:pPr>
    </w:p>
    <w:p w:rsidR="00B04F4D" w:rsidRDefault="00B04F4D" w14:paraId="0597562D" w14:textId="22B4BD7E">
      <w:pPr>
        <w:numPr>
          <w:ilvl w:val="0"/>
          <w:numId w:val="19"/>
        </w:numPr>
        <w:spacing w:after="0" w:line="240" w:lineRule="auto"/>
        <w:rPr>
          <w:color w:val="000000"/>
        </w:rPr>
      </w:pPr>
      <w:r w:rsidRPr="00EB4351">
        <w:rPr>
          <w:u w:val="single"/>
        </w:rPr>
        <w:t>Explanation of calculation</w:t>
      </w:r>
      <w:r w:rsidRPr="00EB4351">
        <w:t>: We estimate that each Phase II funding recipient will spend at least 2 hours collecting and reporting data on newly served community anchor institutions.</w:t>
      </w:r>
      <w:r w:rsidRPr="00EB4351">
        <w:rPr>
          <w:color w:val="000000"/>
        </w:rPr>
        <w:t xml:space="preserve">  </w:t>
      </w:r>
      <w:r w:rsidR="0058028B">
        <w:rPr>
          <w:color w:val="000000"/>
        </w:rPr>
        <w:t>9</w:t>
      </w:r>
      <w:r w:rsidRPr="00EB4351">
        <w:rPr>
          <w:color w:val="000000"/>
        </w:rPr>
        <w:t xml:space="preserve"> (responses) x 2 (hours to </w:t>
      </w:r>
      <w:r w:rsidRPr="00EB4351">
        <w:t>track, tabulate, and prepare reporting requirements</w:t>
      </w:r>
      <w:r w:rsidRPr="00EB4351">
        <w:rPr>
          <w:color w:val="000000"/>
        </w:rPr>
        <w:t xml:space="preserve">) x </w:t>
      </w:r>
      <w:r w:rsidRPr="00EB4351">
        <w:t>$40/h</w:t>
      </w:r>
      <w:r>
        <w:t>our</w:t>
      </w:r>
      <w:r w:rsidRPr="00EB4351">
        <w:t xml:space="preserve"> </w:t>
      </w:r>
      <w:r w:rsidRPr="00EB4351">
        <w:rPr>
          <w:color w:val="000000"/>
        </w:rPr>
        <w:t>= $</w:t>
      </w:r>
      <w:r w:rsidR="0058028B">
        <w:rPr>
          <w:color w:val="000000"/>
        </w:rPr>
        <w:t>7</w:t>
      </w:r>
      <w:r>
        <w:rPr>
          <w:color w:val="000000"/>
        </w:rPr>
        <w:t>20</w:t>
      </w:r>
      <w:r w:rsidRPr="00EB4351">
        <w:rPr>
          <w:color w:val="000000"/>
        </w:rPr>
        <w:t>.</w:t>
      </w:r>
    </w:p>
    <w:p w:rsidRPr="003D44B3" w:rsidR="00BF1C6A" w:rsidRDefault="00BF1C6A" w14:paraId="0AD65EC6" w14:textId="77777777">
      <w:pPr>
        <w:spacing w:after="0" w:line="240" w:lineRule="auto"/>
        <w:rPr>
          <w:color w:val="000000"/>
        </w:rPr>
      </w:pPr>
    </w:p>
    <w:p w:rsidR="007C5977" w:rsidRDefault="007C5977" w14:paraId="2EF94C82" w14:textId="63A7BBB4">
      <w:pPr>
        <w:pStyle w:val="Heading4"/>
        <w:spacing w:after="0" w:line="240" w:lineRule="auto"/>
      </w:pPr>
      <w:r w:rsidRPr="001C5CB4">
        <w:t xml:space="preserve">Rate-of-Return </w:t>
      </w:r>
      <w:r w:rsidR="0053400D">
        <w:t xml:space="preserve">Carrier </w:t>
      </w:r>
      <w:r w:rsidRPr="001C5CB4">
        <w:t>Requirements (</w:t>
      </w:r>
      <w:r w:rsidR="009A4E28">
        <w:t>no revisions</w:t>
      </w:r>
      <w:r>
        <w:t>)</w:t>
      </w:r>
      <w:r w:rsidRPr="00137F86" w:rsidR="00BF1C6A">
        <w:rPr>
          <w:u w:val="none"/>
        </w:rPr>
        <w:t>:</w:t>
      </w:r>
    </w:p>
    <w:p w:rsidRPr="00ED5773" w:rsidR="00BF1C6A" w:rsidRDefault="00BF1C6A" w14:paraId="789E0C16" w14:textId="77777777">
      <w:pPr>
        <w:spacing w:after="0"/>
      </w:pPr>
    </w:p>
    <w:p w:rsidRPr="00AC27FF" w:rsidR="007C5977" w:rsidRDefault="007C5977" w14:paraId="2CF8ED9F" w14:textId="119E8871">
      <w:pPr>
        <w:pStyle w:val="ListParagraph"/>
        <w:numPr>
          <w:ilvl w:val="0"/>
          <w:numId w:val="35"/>
        </w:numPr>
        <w:spacing w:after="0" w:line="240" w:lineRule="auto"/>
      </w:pPr>
      <w:r w:rsidRPr="001C5CB4">
        <w:lastRenderedPageBreak/>
        <w:t>Number of respondents</w:t>
      </w:r>
      <w:r w:rsidRPr="00AC27FF">
        <w:t>:</w:t>
      </w:r>
      <w:r w:rsidRPr="001C5CB4">
        <w:rPr>
          <w:u w:val="none"/>
        </w:rPr>
        <w:t xml:space="preserve">  Approximately 1,1</w:t>
      </w:r>
      <w:r w:rsidRPr="001C5CB4" w:rsidR="0058028B">
        <w:rPr>
          <w:u w:val="none"/>
        </w:rPr>
        <w:t>41</w:t>
      </w:r>
      <w:r w:rsidRPr="001C5CB4">
        <w:rPr>
          <w:u w:val="none"/>
        </w:rPr>
        <w:t xml:space="preserve"> rate-of-return carriers will be required to certify that they are offering broadband upon reasonable request meeting the Commission’s requirements and report the number, names, and addresses of community anchor institutions to which they newly began providing access to broadband service.  </w:t>
      </w:r>
    </w:p>
    <w:p w:rsidRPr="00AC27FF" w:rsidR="007C5977" w:rsidRDefault="007C5977" w14:paraId="64C0B0CB" w14:textId="77777777">
      <w:pPr>
        <w:spacing w:after="0" w:line="240" w:lineRule="auto"/>
        <w:ind w:left="720" w:hanging="360"/>
      </w:pPr>
    </w:p>
    <w:p w:rsidRPr="00AC27FF" w:rsidR="007C5977" w:rsidRDefault="007C5977" w14:paraId="4F4B5940" w14:textId="6C1ABD97">
      <w:pPr>
        <w:spacing w:after="0" w:line="240" w:lineRule="auto"/>
        <w:ind w:left="720" w:hanging="360"/>
      </w:pPr>
      <w:r w:rsidRPr="00AC27FF">
        <w:t xml:space="preserve">(2) </w:t>
      </w:r>
      <w:r w:rsidRPr="00AC27FF">
        <w:rPr>
          <w:u w:val="single"/>
        </w:rPr>
        <w:t>Frequency of response</w:t>
      </w:r>
      <w:r w:rsidRPr="00AC27FF">
        <w:t>:  Annually.</w:t>
      </w:r>
    </w:p>
    <w:p w:rsidRPr="00AC27FF" w:rsidR="007C5977" w:rsidRDefault="007C5977" w14:paraId="18ABCF9C" w14:textId="77777777">
      <w:pPr>
        <w:spacing w:after="0" w:line="240" w:lineRule="auto"/>
        <w:ind w:left="720" w:hanging="360"/>
      </w:pPr>
    </w:p>
    <w:p w:rsidR="007C5977" w:rsidRDefault="007C5977" w14:paraId="1248419B" w14:textId="3AFDCE3D">
      <w:pPr>
        <w:spacing w:after="0" w:line="240" w:lineRule="auto"/>
        <w:ind w:left="720" w:hanging="360"/>
      </w:pPr>
      <w:r w:rsidRPr="00AC27FF">
        <w:t xml:space="preserve">(3) </w:t>
      </w:r>
      <w:r w:rsidRPr="0046244E">
        <w:rPr>
          <w:u w:val="single"/>
        </w:rPr>
        <w:t>Total number of responses per respondent</w:t>
      </w:r>
      <w:r>
        <w:t xml:space="preserve">: </w:t>
      </w:r>
      <w:r w:rsidR="0013290E">
        <w:t xml:space="preserve"> </w:t>
      </w:r>
      <w:r>
        <w:t xml:space="preserve">Approximately 1. </w:t>
      </w:r>
    </w:p>
    <w:p w:rsidR="007C5977" w:rsidRDefault="007C5977" w14:paraId="7909980B" w14:textId="77777777">
      <w:pPr>
        <w:spacing w:after="0" w:line="240" w:lineRule="auto"/>
        <w:ind w:left="720" w:hanging="360"/>
      </w:pPr>
    </w:p>
    <w:p w:rsidR="007C5977" w:rsidRDefault="007C5977" w14:paraId="001ADBCE" w14:textId="77777777">
      <w:pPr>
        <w:spacing w:after="0" w:line="240" w:lineRule="auto"/>
        <w:ind w:left="720" w:hanging="360"/>
      </w:pPr>
      <w:r>
        <w:t xml:space="preserve">(4) </w:t>
      </w:r>
      <w:r w:rsidRPr="0046244E">
        <w:rPr>
          <w:u w:val="single"/>
        </w:rPr>
        <w:t>Estimated time per response</w:t>
      </w:r>
      <w:r>
        <w:t xml:space="preserve">:  3 hours. </w:t>
      </w:r>
    </w:p>
    <w:p w:rsidR="007C5977" w:rsidRDefault="007C5977" w14:paraId="216F206A" w14:textId="77777777">
      <w:pPr>
        <w:spacing w:after="0" w:line="240" w:lineRule="auto"/>
        <w:ind w:left="720" w:hanging="360"/>
      </w:pPr>
    </w:p>
    <w:p w:rsidR="007C5977" w:rsidRDefault="007C5977" w14:paraId="3F3B4D4A" w14:textId="139CFEB3">
      <w:pPr>
        <w:spacing w:after="0" w:line="240" w:lineRule="auto"/>
        <w:ind w:left="720" w:hanging="360"/>
      </w:pPr>
      <w:r w:rsidRPr="0046244E">
        <w:t xml:space="preserve">(5) </w:t>
      </w:r>
      <w:r w:rsidRPr="0046244E">
        <w:rPr>
          <w:u w:val="single"/>
        </w:rPr>
        <w:t>Total annual hour burden</w:t>
      </w:r>
      <w:r w:rsidRPr="00AC27FF">
        <w:t xml:space="preserve">:  </w:t>
      </w:r>
      <w:r>
        <w:t>3,4</w:t>
      </w:r>
      <w:r w:rsidR="0058028B">
        <w:t>23</w:t>
      </w:r>
      <w:r>
        <w:t xml:space="preserve"> hours. </w:t>
      </w:r>
    </w:p>
    <w:p w:rsidR="007C5977" w:rsidRDefault="007C5977" w14:paraId="6110DC62" w14:textId="77777777">
      <w:pPr>
        <w:spacing w:after="0" w:line="240" w:lineRule="auto"/>
        <w:ind w:left="720" w:hanging="360"/>
      </w:pPr>
    </w:p>
    <w:p w:rsidR="0013290E" w:rsidRDefault="007C5977" w14:paraId="50298A63" w14:textId="3D8828AB">
      <w:pPr>
        <w:spacing w:after="0" w:line="240" w:lineRule="auto"/>
        <w:ind w:left="720" w:hanging="360"/>
      </w:pPr>
      <w:r>
        <w:t xml:space="preserve">      3</w:t>
      </w:r>
      <w:r w:rsidRPr="00050DAD">
        <w:t xml:space="preserve"> hour</w:t>
      </w:r>
      <w:r w:rsidR="0058028B">
        <w:t>s</w:t>
      </w:r>
      <w:r w:rsidRPr="00050DAD">
        <w:t xml:space="preserve"> per respondent for 1,1</w:t>
      </w:r>
      <w:r w:rsidR="0058028B">
        <w:t>41</w:t>
      </w:r>
      <w:r w:rsidRPr="00050DAD">
        <w:t xml:space="preserve"> respondents filing annually.  Total annual hour burden is</w:t>
      </w:r>
      <w:r w:rsidR="0013290E">
        <w:t xml:space="preserve"> calculated as follows</w:t>
      </w:r>
      <w:r w:rsidRPr="00050DAD">
        <w:t xml:space="preserve">: </w:t>
      </w:r>
    </w:p>
    <w:p w:rsidR="0013290E" w:rsidRDefault="0013290E" w14:paraId="1FE1F276" w14:textId="77777777">
      <w:pPr>
        <w:spacing w:after="0" w:line="240" w:lineRule="auto"/>
        <w:ind w:left="720" w:hanging="360"/>
      </w:pPr>
    </w:p>
    <w:p w:rsidRPr="00AC27FF" w:rsidR="007C5977" w:rsidRDefault="007C5977" w14:paraId="5EE386E6" w14:textId="2B8CEC88">
      <w:pPr>
        <w:spacing w:after="0" w:line="240" w:lineRule="auto"/>
        <w:ind w:left="720"/>
      </w:pPr>
      <w:r w:rsidRPr="00050DAD">
        <w:t>1,1</w:t>
      </w:r>
      <w:r w:rsidR="0058028B">
        <w:t>41</w:t>
      </w:r>
      <w:r w:rsidRPr="00050DAD">
        <w:t xml:space="preserve"> respondents x 1 report per respondent = 1,</w:t>
      </w:r>
      <w:r w:rsidR="0058028B">
        <w:t xml:space="preserve">141 </w:t>
      </w:r>
      <w:r w:rsidRPr="00050DAD">
        <w:t xml:space="preserve">responses x </w:t>
      </w:r>
      <w:r>
        <w:t>3</w:t>
      </w:r>
      <w:r w:rsidRPr="00050DAD">
        <w:t xml:space="preserve"> hour</w:t>
      </w:r>
      <w:r>
        <w:t>s</w:t>
      </w:r>
      <w:r w:rsidRPr="00050DAD">
        <w:t xml:space="preserve"> = </w:t>
      </w:r>
      <w:r>
        <w:rPr>
          <w:b/>
        </w:rPr>
        <w:t>3,4</w:t>
      </w:r>
      <w:r w:rsidR="0058028B">
        <w:rPr>
          <w:b/>
        </w:rPr>
        <w:t>23</w:t>
      </w:r>
      <w:r w:rsidRPr="00050DAD">
        <w:rPr>
          <w:b/>
        </w:rPr>
        <w:t xml:space="preserve"> </w:t>
      </w:r>
      <w:r w:rsidR="0013290E">
        <w:rPr>
          <w:b/>
        </w:rPr>
        <w:t xml:space="preserve">total annual </w:t>
      </w:r>
      <w:r w:rsidRPr="00050DAD">
        <w:rPr>
          <w:b/>
        </w:rPr>
        <w:t>hours</w:t>
      </w:r>
      <w:r w:rsidRPr="00050DAD">
        <w:t>.</w:t>
      </w:r>
    </w:p>
    <w:p w:rsidRPr="00AC27FF" w:rsidR="007C5977" w:rsidRDefault="007C5977" w14:paraId="59BB0397" w14:textId="77777777">
      <w:pPr>
        <w:spacing w:after="0" w:line="240" w:lineRule="auto"/>
        <w:ind w:left="720" w:hanging="360"/>
      </w:pPr>
    </w:p>
    <w:p w:rsidRPr="00AC27FF" w:rsidR="007C5977" w:rsidRDefault="007C5977" w14:paraId="7685901E" w14:textId="33DD684B">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w:t>
      </w:r>
      <w:r>
        <w:t>13</w:t>
      </w:r>
      <w:r w:rsidR="0058028B">
        <w:t>6</w:t>
      </w:r>
      <w:r>
        <w:t>,</w:t>
      </w:r>
      <w:r w:rsidR="0058028B">
        <w:t>92</w:t>
      </w:r>
      <w:r>
        <w:t>0</w:t>
      </w:r>
      <w:r w:rsidRPr="00AC27FF">
        <w:t>.  (</w:t>
      </w:r>
      <w:r>
        <w:t>3,4</w:t>
      </w:r>
      <w:r w:rsidR="0058028B">
        <w:t>23</w:t>
      </w:r>
      <w:r w:rsidRPr="00AC27FF">
        <w:t xml:space="preserve"> hours x $40/hour).</w:t>
      </w:r>
    </w:p>
    <w:p w:rsidRPr="00AC27FF" w:rsidR="007C5977" w:rsidRDefault="007C5977" w14:paraId="7CF6CE0C" w14:textId="77777777">
      <w:pPr>
        <w:spacing w:after="0" w:line="240" w:lineRule="auto"/>
        <w:ind w:left="720" w:hanging="360"/>
      </w:pPr>
    </w:p>
    <w:p w:rsidRPr="00BF1C6A" w:rsidR="00B04F4D" w:rsidRDefault="007C5977" w14:paraId="7DEB8F57" w14:textId="6FA5E9E6">
      <w:pPr>
        <w:pStyle w:val="ListParagraph"/>
        <w:numPr>
          <w:ilvl w:val="0"/>
          <w:numId w:val="41"/>
        </w:numPr>
        <w:spacing w:after="0" w:line="240" w:lineRule="auto"/>
        <w:rPr>
          <w:color w:val="000000"/>
        </w:rPr>
      </w:pPr>
      <w:r w:rsidRPr="00ED5773">
        <w:t>Explanation of calculation</w:t>
      </w:r>
      <w:r w:rsidRPr="00BF1C6A">
        <w:rPr>
          <w:u w:val="none"/>
        </w:rPr>
        <w:t>:  We estimate that each rate-of-return carrier, including rate-of-return carriers participating in the Alaska Plan, will spend approximately 3 hours certifying they are offering the required broadband service and reporting data on newly served community anchor institutions</w:t>
      </w:r>
      <w:r w:rsidRPr="00BF1C6A">
        <w:rPr>
          <w:color w:val="000000"/>
          <w:u w:val="none"/>
        </w:rPr>
        <w:t>.  1,1</w:t>
      </w:r>
      <w:r w:rsidRPr="00BF1C6A" w:rsidR="0058028B">
        <w:rPr>
          <w:color w:val="000000"/>
          <w:u w:val="none"/>
        </w:rPr>
        <w:t>41</w:t>
      </w:r>
      <w:r w:rsidRPr="00BF1C6A">
        <w:rPr>
          <w:color w:val="000000"/>
          <w:u w:val="none"/>
        </w:rPr>
        <w:t xml:space="preserve"> (responses) x 3 (hours to </w:t>
      </w:r>
      <w:r w:rsidRPr="00BF1C6A">
        <w:rPr>
          <w:u w:val="none"/>
        </w:rPr>
        <w:t>track, tabulate, and prepare reporting requirements and confirm and certify compliance with broadband obligations</w:t>
      </w:r>
      <w:r w:rsidRPr="00BF1C6A">
        <w:rPr>
          <w:color w:val="000000"/>
          <w:u w:val="none"/>
        </w:rPr>
        <w:t xml:space="preserve">) x </w:t>
      </w:r>
      <w:r w:rsidRPr="00BF1C6A">
        <w:rPr>
          <w:u w:val="none"/>
        </w:rPr>
        <w:t>$40/h</w:t>
      </w:r>
      <w:r w:rsidR="0013290E">
        <w:rPr>
          <w:u w:val="none"/>
        </w:rPr>
        <w:t>our</w:t>
      </w:r>
      <w:r w:rsidRPr="00BF1C6A">
        <w:rPr>
          <w:u w:val="none"/>
        </w:rPr>
        <w:t xml:space="preserve"> </w:t>
      </w:r>
      <w:r w:rsidRPr="00BF1C6A">
        <w:rPr>
          <w:color w:val="000000"/>
          <w:u w:val="none"/>
        </w:rPr>
        <w:t>= $1</w:t>
      </w:r>
      <w:r w:rsidRPr="00BF1C6A" w:rsidR="0058028B">
        <w:rPr>
          <w:color w:val="000000"/>
          <w:u w:val="none"/>
        </w:rPr>
        <w:t>36</w:t>
      </w:r>
      <w:r w:rsidRPr="00BF1C6A">
        <w:rPr>
          <w:color w:val="000000"/>
          <w:u w:val="none"/>
        </w:rPr>
        <w:t>,</w:t>
      </w:r>
      <w:r w:rsidRPr="00BF1C6A" w:rsidR="0058028B">
        <w:rPr>
          <w:color w:val="000000"/>
          <w:u w:val="none"/>
        </w:rPr>
        <w:t>9</w:t>
      </w:r>
      <w:r w:rsidRPr="00BF1C6A">
        <w:rPr>
          <w:color w:val="000000"/>
          <w:u w:val="none"/>
        </w:rPr>
        <w:t>20.</w:t>
      </w:r>
    </w:p>
    <w:p w:rsidRPr="00137F86" w:rsidR="00BF1C6A" w:rsidRDefault="00BF1C6A" w14:paraId="292031AC" w14:textId="77777777">
      <w:pPr>
        <w:spacing w:after="0" w:line="240" w:lineRule="auto"/>
        <w:rPr>
          <w:color w:val="000000"/>
        </w:rPr>
      </w:pPr>
    </w:p>
    <w:p w:rsidRPr="00137F86" w:rsidR="00C403AD" w:rsidRDefault="006A0A34" w14:paraId="174C28F3" w14:textId="58E83587">
      <w:pPr>
        <w:pStyle w:val="Heading4"/>
        <w:spacing w:after="0" w:line="240" w:lineRule="auto"/>
      </w:pPr>
      <w:r w:rsidRPr="001C5CB4">
        <w:t xml:space="preserve">Capital </w:t>
      </w:r>
      <w:r w:rsidR="0053400D">
        <w:t xml:space="preserve">Expenditure Reporting </w:t>
      </w:r>
      <w:r w:rsidRPr="001C5CB4">
        <w:t>for Phase II Model-Based Support Recipients (FCC Form 481) (</w:t>
      </w:r>
      <w:r w:rsidRPr="001C5CB4" w:rsidR="009A4E28">
        <w:t>no revisions</w:t>
      </w:r>
      <w:r w:rsidRPr="001C5CB4">
        <w:t>)</w:t>
      </w:r>
      <w:r w:rsidRPr="00137F86">
        <w:rPr>
          <w:u w:val="none"/>
        </w:rPr>
        <w:t>:</w:t>
      </w:r>
    </w:p>
    <w:p w:rsidR="006A0A34" w:rsidP="001861C7" w:rsidRDefault="006A0A34" w14:paraId="6E32E1AE" w14:textId="7D35E2D6">
      <w:pPr>
        <w:pStyle w:val="Heading4"/>
        <w:numPr>
          <w:ilvl w:val="0"/>
          <w:numId w:val="0"/>
        </w:numPr>
        <w:spacing w:after="0" w:line="240" w:lineRule="auto"/>
        <w:ind w:left="360"/>
      </w:pPr>
      <w:r w:rsidRPr="001C5CB4">
        <w:t xml:space="preserve"> </w:t>
      </w:r>
    </w:p>
    <w:p w:rsidR="00BF1C6A" w:rsidRDefault="006A0A34" w14:paraId="72FAEF44" w14:textId="5F5A56A1">
      <w:pPr>
        <w:pStyle w:val="ListParagraph"/>
        <w:numPr>
          <w:ilvl w:val="0"/>
          <w:numId w:val="52"/>
        </w:numPr>
        <w:spacing w:after="0"/>
      </w:pPr>
      <w:r w:rsidRPr="004C6379">
        <w:t>Number of respondents</w:t>
      </w:r>
      <w:r w:rsidRPr="001861C7">
        <w:rPr>
          <w:u w:val="none"/>
        </w:rPr>
        <w:t xml:space="preserve">:  Approximately </w:t>
      </w:r>
      <w:r w:rsidRPr="001861C7" w:rsidR="0001377E">
        <w:rPr>
          <w:u w:val="none"/>
        </w:rPr>
        <w:t>9</w:t>
      </w:r>
      <w:r w:rsidRPr="001861C7">
        <w:rPr>
          <w:u w:val="none"/>
        </w:rPr>
        <w:t>.  Only price cap carriers that elect to receive Phase II model-based support must report this data.</w:t>
      </w:r>
    </w:p>
    <w:p w:rsidRPr="00AC27FF" w:rsidR="004C6379" w:rsidP="001861C7" w:rsidRDefault="004C6379" w14:paraId="23C10DC5" w14:textId="77777777">
      <w:pPr>
        <w:pStyle w:val="ListParagraph"/>
        <w:numPr>
          <w:ilvl w:val="0"/>
          <w:numId w:val="0"/>
        </w:numPr>
        <w:spacing w:after="0"/>
        <w:ind w:left="720"/>
      </w:pPr>
    </w:p>
    <w:p w:rsidR="007C6BB0" w:rsidRDefault="006A0A34" w14:paraId="6AD18A00" w14:textId="72C441D7">
      <w:pPr>
        <w:pStyle w:val="ListParagraph"/>
        <w:numPr>
          <w:ilvl w:val="0"/>
          <w:numId w:val="52"/>
        </w:numPr>
        <w:spacing w:after="0" w:line="240" w:lineRule="auto"/>
      </w:pPr>
      <w:r w:rsidRPr="00ED5773">
        <w:t>Frequency of response</w:t>
      </w:r>
      <w:r w:rsidRPr="00ED5773">
        <w:rPr>
          <w:u w:val="none"/>
        </w:rPr>
        <w:t>:  Annually.  Each price cap carrier accepting funding must file the reports annually after accepting support.</w:t>
      </w:r>
    </w:p>
    <w:p w:rsidR="00ED5773" w:rsidRDefault="00ED5773" w14:paraId="2F85EE45" w14:textId="77777777">
      <w:pPr>
        <w:spacing w:after="0" w:line="240" w:lineRule="auto"/>
      </w:pPr>
    </w:p>
    <w:p w:rsidRPr="004313F4" w:rsidR="00ED5773" w:rsidRDefault="006A0A34" w14:paraId="4C86B0B7" w14:textId="6E1ED9CD">
      <w:pPr>
        <w:pStyle w:val="ListParagraph"/>
        <w:numPr>
          <w:ilvl w:val="0"/>
          <w:numId w:val="52"/>
        </w:numPr>
        <w:spacing w:after="0" w:line="240" w:lineRule="auto"/>
      </w:pPr>
      <w:r w:rsidRPr="00ED5773">
        <w:t>Total number of responses per respondent</w:t>
      </w:r>
      <w:r w:rsidRPr="00ED5773">
        <w:rPr>
          <w:u w:val="none"/>
        </w:rPr>
        <w:t xml:space="preserve">: </w:t>
      </w:r>
      <w:r w:rsidR="0013290E">
        <w:rPr>
          <w:u w:val="none"/>
        </w:rPr>
        <w:t xml:space="preserve"> </w:t>
      </w:r>
      <w:r w:rsidRPr="00ED5773">
        <w:rPr>
          <w:u w:val="none"/>
        </w:rPr>
        <w:t>Approximately 1.</w:t>
      </w:r>
      <w:r w:rsidR="00ED5773">
        <w:rPr>
          <w:u w:val="none"/>
        </w:rPr>
        <w:tab/>
      </w:r>
      <w:r w:rsidR="00ED5773">
        <w:rPr>
          <w:u w:val="none"/>
        </w:rPr>
        <w:tab/>
      </w:r>
      <w:r w:rsidR="00ED5773">
        <w:rPr>
          <w:u w:val="none"/>
        </w:rPr>
        <w:tab/>
      </w:r>
      <w:r w:rsidR="00ED5773">
        <w:rPr>
          <w:u w:val="none"/>
        </w:rPr>
        <w:tab/>
      </w:r>
      <w:r w:rsidR="00ED5773">
        <w:rPr>
          <w:u w:val="none"/>
        </w:rPr>
        <w:tab/>
      </w:r>
    </w:p>
    <w:p w:rsidR="006A0A34" w:rsidRDefault="006A0A34" w14:paraId="60DFAB8E" w14:textId="309681B0">
      <w:pPr>
        <w:pStyle w:val="ListParagraph"/>
        <w:numPr>
          <w:ilvl w:val="0"/>
          <w:numId w:val="52"/>
        </w:numPr>
        <w:spacing w:after="0" w:line="240" w:lineRule="auto"/>
      </w:pPr>
      <w:r w:rsidRPr="00ED5773">
        <w:t>Estimated time per response</w:t>
      </w:r>
      <w:r w:rsidRPr="00ED5773">
        <w:rPr>
          <w:u w:val="none"/>
        </w:rPr>
        <w:t>:  1 hour.</w:t>
      </w:r>
      <w:r>
        <w:t xml:space="preserve"> </w:t>
      </w:r>
    </w:p>
    <w:p w:rsidR="00ED5773" w:rsidRDefault="00ED5773" w14:paraId="73AC64BE" w14:textId="77777777">
      <w:pPr>
        <w:spacing w:after="0" w:line="240" w:lineRule="auto"/>
      </w:pPr>
    </w:p>
    <w:p w:rsidR="006A0A34" w:rsidRDefault="006A0A34" w14:paraId="4D6225FA" w14:textId="27CC261A">
      <w:pPr>
        <w:spacing w:after="0" w:line="240" w:lineRule="auto"/>
        <w:ind w:left="720" w:hanging="360"/>
      </w:pPr>
      <w:r w:rsidRPr="008648DA">
        <w:t xml:space="preserve">(5) </w:t>
      </w:r>
      <w:r>
        <w:rPr>
          <w:u w:val="single"/>
        </w:rPr>
        <w:t>Total a</w:t>
      </w:r>
      <w:r w:rsidRPr="00AC27FF">
        <w:rPr>
          <w:u w:val="single"/>
        </w:rPr>
        <w:t>nnual hour burden</w:t>
      </w:r>
      <w:r>
        <w:t xml:space="preserve">:  </w:t>
      </w:r>
      <w:r w:rsidR="0058028B">
        <w:t>9</w:t>
      </w:r>
      <w:r>
        <w:t xml:space="preserve"> hours. </w:t>
      </w:r>
      <w:r w:rsidR="00ED5773">
        <w:tab/>
      </w:r>
      <w:r w:rsidR="00ED5773">
        <w:tab/>
      </w:r>
      <w:r w:rsidR="00ED5773">
        <w:tab/>
      </w:r>
      <w:r w:rsidR="00ED5773">
        <w:tab/>
      </w:r>
      <w:r w:rsidR="00ED5773">
        <w:tab/>
      </w:r>
      <w:r w:rsidR="00ED5773">
        <w:tab/>
      </w:r>
      <w:r w:rsidR="00ED5773">
        <w:tab/>
      </w:r>
      <w:r w:rsidR="00ED5773">
        <w:tab/>
      </w:r>
      <w:r w:rsidR="00ED5773">
        <w:tab/>
      </w:r>
      <w:r w:rsidR="00ED5773">
        <w:tab/>
      </w:r>
      <w:r>
        <w:t xml:space="preserve"> </w:t>
      </w:r>
    </w:p>
    <w:p w:rsidRPr="00AC27FF" w:rsidR="006A0A34" w:rsidRDefault="006A0A34" w14:paraId="462EC7C2" w14:textId="6AEF9CE5">
      <w:pPr>
        <w:spacing w:after="0" w:line="240" w:lineRule="auto"/>
        <w:ind w:left="720" w:hanging="360"/>
      </w:pPr>
      <w:r>
        <w:t xml:space="preserve">      1</w:t>
      </w:r>
      <w:r w:rsidRPr="00AC27FF">
        <w:t xml:space="preserve"> hour per respondent for </w:t>
      </w:r>
      <w:r w:rsidR="0001377E">
        <w:t>9</w:t>
      </w:r>
      <w:r w:rsidRPr="00AC27FF" w:rsidR="0001377E">
        <w:t xml:space="preserve"> </w:t>
      </w:r>
      <w:r w:rsidRPr="00AC27FF">
        <w:t xml:space="preserve">carriers filing on an annual basis.  Total annual hour burden is calculated as follows: </w:t>
      </w:r>
      <w:r w:rsidR="00ED5773">
        <w:tab/>
      </w:r>
      <w:r w:rsidR="00ED5773">
        <w:tab/>
      </w:r>
      <w:r w:rsidR="00ED5773">
        <w:tab/>
      </w:r>
      <w:r w:rsidR="00ED5773">
        <w:tab/>
      </w:r>
      <w:r w:rsidR="00ED5773">
        <w:tab/>
      </w:r>
      <w:r w:rsidR="00ED5773">
        <w:tab/>
      </w:r>
      <w:r w:rsidR="00ED5773">
        <w:tab/>
      </w:r>
      <w:r w:rsidR="00ED5773">
        <w:tab/>
      </w:r>
      <w:r w:rsidR="00ED5773">
        <w:tab/>
      </w:r>
      <w:r w:rsidR="00ED5773">
        <w:tab/>
      </w:r>
      <w:r w:rsidR="00ED5773">
        <w:tab/>
      </w:r>
      <w:r w:rsidRPr="00AC27FF">
        <w:t xml:space="preserve"> </w:t>
      </w:r>
    </w:p>
    <w:p w:rsidRPr="00AC27FF" w:rsidR="006A0A34" w:rsidRDefault="0058028B" w14:paraId="4D5D42FB" w14:textId="743FC1EE">
      <w:pPr>
        <w:spacing w:after="0" w:line="240" w:lineRule="auto"/>
        <w:ind w:left="720"/>
      </w:pPr>
      <w:r>
        <w:lastRenderedPageBreak/>
        <w:t>9</w:t>
      </w:r>
      <w:r w:rsidRPr="00AC27FF" w:rsidR="006A0A34">
        <w:t xml:space="preserve"> respondents x 1 report per respondent = </w:t>
      </w:r>
      <w:r w:rsidR="0001377E">
        <w:t xml:space="preserve">9 </w:t>
      </w:r>
      <w:r w:rsidR="006A0A34">
        <w:t>responses x 1</w:t>
      </w:r>
      <w:r w:rsidRPr="00AC27FF" w:rsidR="006A0A34">
        <w:t xml:space="preserve"> hour = </w:t>
      </w:r>
      <w:r>
        <w:rPr>
          <w:b/>
        </w:rPr>
        <w:t>9</w:t>
      </w:r>
      <w:r w:rsidRPr="00AC27FF" w:rsidR="006A0A34">
        <w:rPr>
          <w:b/>
        </w:rPr>
        <w:t xml:space="preserve"> total annual hours.</w:t>
      </w:r>
      <w:r w:rsidRPr="00AC27FF" w:rsidR="006A0A34">
        <w:t xml:space="preserve">  </w:t>
      </w:r>
      <w:r w:rsidR="00ED5773">
        <w:tab/>
      </w:r>
      <w:r w:rsidR="00ED5773">
        <w:tab/>
      </w:r>
      <w:r w:rsidR="00ED5773">
        <w:tab/>
      </w:r>
    </w:p>
    <w:p w:rsidRPr="00AC27FF" w:rsidR="006A0A34" w:rsidRDefault="006A0A34" w14:paraId="4E1CDA94" w14:textId="27F8716E">
      <w:pPr>
        <w:spacing w:after="0" w:line="240" w:lineRule="auto"/>
        <w:ind w:left="720" w:hanging="360"/>
      </w:pPr>
      <w:r w:rsidRPr="00AC27FF">
        <w:t>(</w:t>
      </w:r>
      <w:r>
        <w:t>6</w:t>
      </w:r>
      <w:r w:rsidRPr="00AC27FF">
        <w:t xml:space="preserve">) </w:t>
      </w:r>
      <w:r w:rsidRPr="00AC27FF">
        <w:rPr>
          <w:u w:val="single"/>
        </w:rPr>
        <w:t>Total estimate of</w:t>
      </w:r>
      <w:r>
        <w:rPr>
          <w:u w:val="single"/>
        </w:rPr>
        <w:t xml:space="preserve"> in-house </w:t>
      </w:r>
      <w:r w:rsidRPr="00AC27FF">
        <w:rPr>
          <w:u w:val="single"/>
        </w:rPr>
        <w:t>cost to respondents</w:t>
      </w:r>
      <w:r w:rsidRPr="00AC27FF">
        <w:t>: $</w:t>
      </w:r>
      <w:r w:rsidR="0058028B">
        <w:t>3</w:t>
      </w:r>
      <w:r>
        <w:t>60</w:t>
      </w:r>
      <w:r w:rsidRPr="00AC27FF">
        <w:t>.  (</w:t>
      </w:r>
      <w:r w:rsidR="0058028B">
        <w:t>9</w:t>
      </w:r>
      <w:r w:rsidRPr="00AC27FF">
        <w:t xml:space="preserve"> hours x $40/h</w:t>
      </w:r>
      <w:r w:rsidR="0013290E">
        <w:t>our</w:t>
      </w:r>
      <w:r w:rsidRPr="00AC27FF">
        <w:t>).</w:t>
      </w:r>
      <w:r w:rsidR="00ED5773">
        <w:tab/>
      </w:r>
      <w:r w:rsidR="00ED5773">
        <w:tab/>
      </w:r>
      <w:r w:rsidR="00ED5773">
        <w:tab/>
      </w:r>
      <w:r w:rsidR="00ED5773">
        <w:tab/>
      </w:r>
    </w:p>
    <w:p w:rsidR="0013290E" w:rsidRDefault="006A0A34" w14:paraId="1C7088FC" w14:textId="4B20AFB5">
      <w:pPr>
        <w:spacing w:after="0" w:line="240" w:lineRule="auto"/>
        <w:ind w:left="720" w:hanging="360"/>
      </w:pPr>
      <w:r w:rsidRPr="00AC27FF">
        <w:t>(</w:t>
      </w:r>
      <w:r>
        <w:t>7</w:t>
      </w:r>
      <w:r w:rsidRPr="00AC27FF">
        <w:t xml:space="preserve">) </w:t>
      </w:r>
      <w:r w:rsidRPr="00AC27FF">
        <w:rPr>
          <w:u w:val="single"/>
        </w:rPr>
        <w:t>Explanation of calculation</w:t>
      </w:r>
      <w:r w:rsidRPr="00AC27FF">
        <w:t>:  We estimate that each Phase I</w:t>
      </w:r>
      <w:r>
        <w:t>I model-based support recipient will take 1</w:t>
      </w:r>
      <w:r w:rsidRPr="00AC27FF">
        <w:t xml:space="preserve"> hour to gather and submit the </w:t>
      </w:r>
      <w:r>
        <w:t>total amount of Phase II support paid for capital expenses</w:t>
      </w:r>
      <w:r w:rsidRPr="00AC27FF">
        <w:t xml:space="preserve"> to the Commission: </w:t>
      </w:r>
      <w:r w:rsidR="00ED5773">
        <w:tab/>
      </w:r>
      <w:r w:rsidR="0058028B">
        <w:t>9</w:t>
      </w:r>
      <w:r>
        <w:t xml:space="preserve"> (responses) x 1</w:t>
      </w:r>
      <w:r w:rsidRPr="00AC27FF">
        <w:t xml:space="preserve"> (hours to prepare report) x $40/h</w:t>
      </w:r>
      <w:r w:rsidR="0013290E">
        <w:t>our</w:t>
      </w:r>
      <w:r w:rsidRPr="00AC27FF">
        <w:t xml:space="preserve"> = $</w:t>
      </w:r>
      <w:r w:rsidR="0058028B">
        <w:t>3</w:t>
      </w:r>
      <w:r w:rsidR="007C6BB0">
        <w:t>60</w:t>
      </w:r>
      <w:r w:rsidRPr="00AC27FF">
        <w:t>.</w:t>
      </w:r>
      <w:r w:rsidR="00ED5773">
        <w:tab/>
      </w:r>
    </w:p>
    <w:p w:rsidR="006A0A34" w:rsidRDefault="00ED5773" w14:paraId="2130175B" w14:textId="778AA1DD">
      <w:pPr>
        <w:spacing w:after="0" w:line="240" w:lineRule="auto"/>
        <w:ind w:left="720" w:hanging="360"/>
      </w:pPr>
      <w:r>
        <w:tab/>
      </w:r>
      <w:r>
        <w:tab/>
      </w:r>
      <w:r>
        <w:tab/>
      </w:r>
      <w:r>
        <w:tab/>
      </w:r>
    </w:p>
    <w:p w:rsidRPr="001C5CB4" w:rsidR="006A0A34" w:rsidRDefault="006A0A34" w14:paraId="16223BB6" w14:textId="33F8CBD7">
      <w:pPr>
        <w:pStyle w:val="Heading4"/>
        <w:spacing w:after="0" w:line="240" w:lineRule="auto"/>
      </w:pPr>
      <w:r w:rsidRPr="001C5CB4">
        <w:t xml:space="preserve">E-rate Certification </w:t>
      </w:r>
      <w:r w:rsidR="0053400D">
        <w:t xml:space="preserve">Requirement </w:t>
      </w:r>
      <w:r w:rsidRPr="001C5CB4">
        <w:t>for Phase II Model-Based Support Recipients and Rate-of-Return Carrier High-Cost Recipients (FCC Form 481) (</w:t>
      </w:r>
      <w:r w:rsidRPr="001C5CB4" w:rsidR="009A4E28">
        <w:t>no revisions</w:t>
      </w:r>
      <w:r w:rsidRPr="001C5CB4">
        <w:t>)</w:t>
      </w:r>
      <w:r w:rsidRPr="00137F86">
        <w:rPr>
          <w:u w:val="none"/>
        </w:rPr>
        <w:t>:</w:t>
      </w:r>
      <w:r w:rsidR="00ED5773">
        <w:rPr>
          <w:u w:val="none"/>
        </w:rPr>
        <w:tab/>
      </w:r>
      <w:r w:rsidR="00ED5773">
        <w:rPr>
          <w:u w:val="none"/>
        </w:rPr>
        <w:tab/>
      </w:r>
      <w:r w:rsidR="00ED5773">
        <w:rPr>
          <w:u w:val="none"/>
        </w:rPr>
        <w:tab/>
      </w:r>
      <w:r w:rsidR="00ED5773">
        <w:rPr>
          <w:u w:val="none"/>
        </w:rPr>
        <w:tab/>
      </w:r>
      <w:r w:rsidR="00ED5773">
        <w:rPr>
          <w:u w:val="none"/>
        </w:rPr>
        <w:tab/>
      </w:r>
    </w:p>
    <w:p w:rsidRPr="00AC27FF" w:rsidR="006A0A34" w:rsidRDefault="006A0A34" w14:paraId="1378BC1C" w14:textId="7597F4A5">
      <w:pPr>
        <w:spacing w:after="0" w:line="240" w:lineRule="auto"/>
        <w:ind w:left="720" w:hanging="360"/>
      </w:pPr>
      <w:r w:rsidRPr="00AC27FF">
        <w:t xml:space="preserve">(1) </w:t>
      </w:r>
      <w:r w:rsidRPr="00AC27FF">
        <w:rPr>
          <w:u w:val="single"/>
        </w:rPr>
        <w:t>Number of respondents</w:t>
      </w:r>
      <w:r w:rsidRPr="00AC27FF">
        <w:t xml:space="preserve">:  Approximately </w:t>
      </w:r>
      <w:r>
        <w:t>1,</w:t>
      </w:r>
      <w:r w:rsidR="006E1C88">
        <w:t>1</w:t>
      </w:r>
      <w:r w:rsidR="0058028B">
        <w:t>50</w:t>
      </w:r>
      <w:r w:rsidRPr="00AC27FF">
        <w:t>.  Only price cap carriers that elect to receive Phase I</w:t>
      </w:r>
      <w:r>
        <w:t>I model-based support</w:t>
      </w:r>
      <w:r w:rsidRPr="00AC27FF">
        <w:t xml:space="preserve"> </w:t>
      </w:r>
      <w:r>
        <w:t>and rate-of-return carriers that receive high-cost support must make this certification</w:t>
      </w:r>
      <w:r w:rsidRPr="00AC27FF">
        <w:t>.</w:t>
      </w:r>
      <w:r w:rsidR="00ED5773">
        <w:tab/>
      </w:r>
      <w:r w:rsidR="00ED5773">
        <w:tab/>
      </w:r>
      <w:r w:rsidR="00ED5773">
        <w:tab/>
      </w:r>
      <w:r w:rsidR="00ED5773">
        <w:tab/>
      </w:r>
      <w:r w:rsidR="00ED5773">
        <w:tab/>
      </w:r>
      <w:r w:rsidR="00ED5773">
        <w:tab/>
      </w:r>
      <w:r w:rsidR="00ED5773">
        <w:tab/>
      </w:r>
      <w:r w:rsidR="00ED5773">
        <w:tab/>
      </w:r>
      <w:r w:rsidR="00ED5773">
        <w:tab/>
      </w:r>
    </w:p>
    <w:p w:rsidRPr="00AC27FF" w:rsidR="006A0A34" w:rsidRDefault="006A0A34" w14:paraId="22F29E13" w14:textId="3AF46258">
      <w:pPr>
        <w:spacing w:after="0" w:line="240" w:lineRule="auto"/>
        <w:ind w:left="720" w:hanging="360"/>
      </w:pPr>
      <w:r w:rsidRPr="00AC27FF">
        <w:t xml:space="preserve">(2) </w:t>
      </w:r>
      <w:r w:rsidRPr="00AC27FF">
        <w:rPr>
          <w:u w:val="single"/>
        </w:rPr>
        <w:t>Frequency of response</w:t>
      </w:r>
      <w:r w:rsidRPr="00AC27FF">
        <w:t xml:space="preserve">:  </w:t>
      </w:r>
      <w:r>
        <w:t>Annually.</w:t>
      </w:r>
      <w:r w:rsidRPr="00AC27FF">
        <w:t xml:space="preserve">  Carriers accepting Phase I</w:t>
      </w:r>
      <w:r>
        <w:t>I model-based support and rate-of-return carriers that receive high-cost support</w:t>
      </w:r>
      <w:r w:rsidRPr="00AC27FF">
        <w:t xml:space="preserve"> will be required to file this </w:t>
      </w:r>
      <w:r>
        <w:t>certification once the requirement has been fully implemented</w:t>
      </w:r>
      <w:r w:rsidRPr="00AC27FF">
        <w:t xml:space="preserve">.  </w:t>
      </w:r>
      <w:r w:rsidR="00ED5773">
        <w:tab/>
      </w:r>
      <w:r w:rsidR="00ED5773">
        <w:tab/>
      </w:r>
      <w:r w:rsidR="00ED5773">
        <w:tab/>
      </w:r>
      <w:r w:rsidR="00ED5773">
        <w:tab/>
      </w:r>
      <w:r w:rsidR="00ED5773">
        <w:tab/>
      </w:r>
    </w:p>
    <w:p w:rsidR="006A0A34" w:rsidRDefault="006A0A34" w14:paraId="31091543" w14:textId="1E9A30AB">
      <w:pPr>
        <w:spacing w:after="0" w:line="240" w:lineRule="auto"/>
        <w:ind w:left="720" w:hanging="360"/>
      </w:pPr>
      <w:r>
        <w:t xml:space="preserve">(3) </w:t>
      </w:r>
      <w:r w:rsidRPr="00423F95">
        <w:rPr>
          <w:u w:val="single"/>
        </w:rPr>
        <w:t>Total responses per respondent</w:t>
      </w:r>
      <w:r>
        <w:t xml:space="preserve">:  Approximately 1. </w:t>
      </w:r>
      <w:r w:rsidR="00ED5773">
        <w:tab/>
      </w:r>
      <w:r w:rsidR="00ED5773">
        <w:tab/>
      </w:r>
      <w:r w:rsidR="00ED5773">
        <w:tab/>
      </w:r>
      <w:r w:rsidR="00ED5773">
        <w:tab/>
      </w:r>
      <w:r w:rsidR="00ED5773">
        <w:tab/>
      </w:r>
      <w:r w:rsidR="00ED5773">
        <w:tab/>
      </w:r>
      <w:r w:rsidR="00ED5773">
        <w:tab/>
      </w:r>
    </w:p>
    <w:p w:rsidRPr="00423F95" w:rsidR="006A0A34" w:rsidRDefault="006A0A34" w14:paraId="37D0A808" w14:textId="77777777">
      <w:pPr>
        <w:spacing w:after="0" w:line="240" w:lineRule="auto"/>
        <w:ind w:left="720" w:hanging="360"/>
      </w:pPr>
      <w:r>
        <w:t xml:space="preserve">(4) </w:t>
      </w:r>
      <w:r w:rsidRPr="00423F95">
        <w:rPr>
          <w:u w:val="single"/>
        </w:rPr>
        <w:t>Estimated time per response</w:t>
      </w:r>
      <w:r w:rsidRPr="00423F95">
        <w:t xml:space="preserve">:  2 hours. </w:t>
      </w:r>
    </w:p>
    <w:p w:rsidRPr="00423F95" w:rsidR="006A0A34" w:rsidRDefault="006A0A34" w14:paraId="5ACB0289" w14:textId="77777777">
      <w:pPr>
        <w:spacing w:after="0" w:line="240" w:lineRule="auto"/>
        <w:ind w:left="720" w:hanging="360"/>
      </w:pPr>
    </w:p>
    <w:p w:rsidR="006A0A34" w:rsidRDefault="006A0A34" w14:paraId="392D347C" w14:textId="4B9A3F30">
      <w:pPr>
        <w:spacing w:after="0" w:line="240" w:lineRule="auto"/>
        <w:ind w:left="720" w:hanging="360"/>
      </w:pPr>
      <w:r w:rsidRPr="00423F95">
        <w:t xml:space="preserve">(5) </w:t>
      </w:r>
      <w:r>
        <w:rPr>
          <w:u w:val="single"/>
        </w:rPr>
        <w:t>Total a</w:t>
      </w:r>
      <w:r w:rsidRPr="00AC27FF">
        <w:rPr>
          <w:u w:val="single"/>
        </w:rPr>
        <w:t>nnual hour burden</w:t>
      </w:r>
      <w:r>
        <w:t xml:space="preserve">: </w:t>
      </w:r>
      <w:r w:rsidR="00552C89">
        <w:t xml:space="preserve"> </w:t>
      </w:r>
      <w:r>
        <w:t>2,3</w:t>
      </w:r>
      <w:r w:rsidR="0058028B">
        <w:t>0</w:t>
      </w:r>
      <w:r w:rsidR="006E1C88">
        <w:t>0</w:t>
      </w:r>
      <w:r>
        <w:t xml:space="preserve"> hours.  </w:t>
      </w:r>
    </w:p>
    <w:p w:rsidR="006A0A34" w:rsidRDefault="006A0A34" w14:paraId="16435669" w14:textId="77777777">
      <w:pPr>
        <w:spacing w:after="0" w:line="240" w:lineRule="auto"/>
        <w:ind w:left="720" w:hanging="360"/>
      </w:pPr>
    </w:p>
    <w:p w:rsidRPr="00AC27FF" w:rsidR="006A0A34" w:rsidRDefault="006A0A34" w14:paraId="3056BA0F" w14:textId="7B729AD2">
      <w:pPr>
        <w:spacing w:after="0" w:line="240" w:lineRule="auto"/>
        <w:ind w:left="720" w:hanging="360"/>
      </w:pPr>
      <w:r>
        <w:t xml:space="preserve">      2</w:t>
      </w:r>
      <w:r w:rsidRPr="00AC27FF">
        <w:t xml:space="preserve"> hours per respondent for </w:t>
      </w:r>
      <w:r>
        <w:t>1,1</w:t>
      </w:r>
      <w:r w:rsidR="0058028B">
        <w:t>50</w:t>
      </w:r>
      <w:r w:rsidRPr="00AC27FF">
        <w:t xml:space="preserve"> carriers filing on an annual basis.  Total annual hour burden is calculated as follows:  </w:t>
      </w:r>
    </w:p>
    <w:p w:rsidRPr="00AC27FF" w:rsidR="006A0A34" w:rsidRDefault="006A0A34" w14:paraId="0A2CA8F8" w14:textId="77777777">
      <w:pPr>
        <w:spacing w:after="0" w:line="240" w:lineRule="auto"/>
        <w:ind w:left="720"/>
      </w:pPr>
    </w:p>
    <w:p w:rsidRPr="00AC27FF" w:rsidR="006A0A34" w:rsidRDefault="006A0A34" w14:paraId="6E5AEB90" w14:textId="65C1D2BE">
      <w:pPr>
        <w:spacing w:after="0" w:line="240" w:lineRule="auto"/>
        <w:ind w:left="720"/>
      </w:pPr>
      <w:r>
        <w:t>1,1</w:t>
      </w:r>
      <w:r w:rsidR="0058028B">
        <w:t>50</w:t>
      </w:r>
      <w:r w:rsidRPr="00AC27FF">
        <w:t xml:space="preserve"> responde</w:t>
      </w:r>
      <w:r>
        <w:t>nts x 1 report per respondent = 1,1</w:t>
      </w:r>
      <w:r w:rsidR="0058028B">
        <w:t>50</w:t>
      </w:r>
      <w:r>
        <w:t xml:space="preserve"> responses x 2</w:t>
      </w:r>
      <w:r w:rsidRPr="00AC27FF">
        <w:t xml:space="preserve"> hours = </w:t>
      </w:r>
      <w:r>
        <w:rPr>
          <w:b/>
        </w:rPr>
        <w:t>2,3</w:t>
      </w:r>
      <w:r w:rsidR="009A4E28">
        <w:rPr>
          <w:b/>
        </w:rPr>
        <w:t>00</w:t>
      </w:r>
      <w:r>
        <w:rPr>
          <w:b/>
        </w:rPr>
        <w:t xml:space="preserve"> </w:t>
      </w:r>
      <w:r w:rsidRPr="00AC27FF">
        <w:rPr>
          <w:b/>
        </w:rPr>
        <w:t>total annual hours.</w:t>
      </w:r>
      <w:r w:rsidRPr="00AC27FF">
        <w:t xml:space="preserve">  </w:t>
      </w:r>
    </w:p>
    <w:p w:rsidRPr="00AC27FF" w:rsidR="006A0A34" w:rsidRDefault="006A0A34" w14:paraId="310BD95E" w14:textId="77777777">
      <w:pPr>
        <w:spacing w:after="0" w:line="240" w:lineRule="auto"/>
        <w:ind w:left="720" w:hanging="360"/>
      </w:pPr>
    </w:p>
    <w:p w:rsidRPr="00AC27FF" w:rsidR="006A0A34" w:rsidRDefault="006A0A34" w14:paraId="2E9EADE9" w14:textId="4A858E90">
      <w:pPr>
        <w:spacing w:after="0" w:line="240" w:lineRule="auto"/>
        <w:ind w:left="720" w:hanging="360"/>
      </w:pPr>
      <w:r>
        <w:t xml:space="preserve">(6) </w:t>
      </w:r>
      <w:r>
        <w:rPr>
          <w:u w:val="single"/>
        </w:rPr>
        <w:t>Total estimate of in-house</w:t>
      </w:r>
      <w:r w:rsidRPr="00AC27FF">
        <w:rPr>
          <w:u w:val="single"/>
        </w:rPr>
        <w:t xml:space="preserve"> cost to respondents</w:t>
      </w:r>
      <w:r w:rsidRPr="00AC27FF">
        <w:t>:  $</w:t>
      </w:r>
      <w:r w:rsidR="006E1C88">
        <w:t>9</w:t>
      </w:r>
      <w:r w:rsidR="009A4E28">
        <w:t>2</w:t>
      </w:r>
      <w:r w:rsidR="006E1C88">
        <w:t>,</w:t>
      </w:r>
      <w:r w:rsidR="009A4E28">
        <w:t>0</w:t>
      </w:r>
      <w:r w:rsidR="006E1C88">
        <w:t>00</w:t>
      </w:r>
      <w:r>
        <w:t xml:space="preserve">. </w:t>
      </w:r>
      <w:r w:rsidRPr="00AC27FF">
        <w:t>(</w:t>
      </w:r>
      <w:r>
        <w:t>2,300 hours x $40/hour</w:t>
      </w:r>
      <w:r w:rsidRPr="00AC27FF">
        <w:t>).</w:t>
      </w:r>
    </w:p>
    <w:p w:rsidRPr="00AC27FF" w:rsidR="006A0A34" w:rsidRDefault="006A0A34" w14:paraId="1882976B" w14:textId="77777777">
      <w:pPr>
        <w:spacing w:after="0" w:line="240" w:lineRule="auto"/>
        <w:ind w:left="720" w:hanging="360"/>
      </w:pPr>
    </w:p>
    <w:p w:rsidR="006A0A34" w:rsidRDefault="006A0A34" w14:paraId="40883E1A" w14:textId="6413871D">
      <w:pPr>
        <w:tabs>
          <w:tab w:val="left" w:pos="2250"/>
        </w:tabs>
        <w:spacing w:after="0" w:line="240" w:lineRule="auto"/>
        <w:ind w:left="720" w:hanging="360"/>
      </w:pPr>
      <w:r>
        <w:t xml:space="preserve">(7) </w:t>
      </w:r>
      <w:r w:rsidRPr="00AC27FF">
        <w:rPr>
          <w:u w:val="single"/>
        </w:rPr>
        <w:t>Explanation of calculation</w:t>
      </w:r>
      <w:r w:rsidRPr="00AC27FF">
        <w:t xml:space="preserve">:  We estimate that each carrier </w:t>
      </w:r>
      <w:r>
        <w:t>that accepted</w:t>
      </w:r>
      <w:r w:rsidRPr="00AC27FF">
        <w:t xml:space="preserve"> Phase I</w:t>
      </w:r>
      <w:r>
        <w:t>I model-based</w:t>
      </w:r>
      <w:r w:rsidRPr="00AC27FF">
        <w:t xml:space="preserve"> </w:t>
      </w:r>
      <w:r>
        <w:t>support and each rate-of-return carrier that receives high-cost support will spend at least 2</w:t>
      </w:r>
      <w:r w:rsidRPr="00AC27FF">
        <w:t xml:space="preserve"> hours </w:t>
      </w:r>
      <w:r>
        <w:t>to confirm compliance and certify</w:t>
      </w:r>
      <w:r w:rsidRPr="00AC27FF">
        <w:t xml:space="preserve"> that </w:t>
      </w:r>
      <w:r>
        <w:t>it has met the E-rate requirements</w:t>
      </w:r>
      <w:r w:rsidR="00552C89">
        <w:t xml:space="preserve">:  </w:t>
      </w:r>
      <w:r>
        <w:t>1,1</w:t>
      </w:r>
      <w:r w:rsidR="009A4E28">
        <w:t>50</w:t>
      </w:r>
      <w:r>
        <w:t xml:space="preserve"> (responses) x 2</w:t>
      </w:r>
      <w:r w:rsidRPr="00AC27FF">
        <w:t xml:space="preserve"> (hours </w:t>
      </w:r>
      <w:r>
        <w:t>to confirm and certify compliance) x $40/h</w:t>
      </w:r>
      <w:r w:rsidR="00552C89">
        <w:t>our</w:t>
      </w:r>
      <w:r w:rsidRPr="00AC27FF">
        <w:t xml:space="preserve"> = $</w:t>
      </w:r>
      <w:r w:rsidR="006E1C88">
        <w:t>9</w:t>
      </w:r>
      <w:r w:rsidR="009A4E28">
        <w:t>2</w:t>
      </w:r>
      <w:r w:rsidR="006E1C88">
        <w:t>,</w:t>
      </w:r>
      <w:r w:rsidR="009A4E28">
        <w:t>0</w:t>
      </w:r>
      <w:r w:rsidR="006E1C88">
        <w:t>00</w:t>
      </w:r>
      <w:r w:rsidRPr="00AC27FF">
        <w:t>.</w:t>
      </w:r>
    </w:p>
    <w:p w:rsidR="006A0A34" w:rsidRDefault="006A0A34" w14:paraId="45C34180" w14:textId="77777777">
      <w:pPr>
        <w:spacing w:after="0" w:line="240" w:lineRule="auto"/>
        <w:ind w:left="720"/>
      </w:pPr>
    </w:p>
    <w:p w:rsidRPr="001C5CB4" w:rsidR="006A0A34" w:rsidRDefault="006A0A34" w14:paraId="6EB4A9C2" w14:textId="7ECC86A7">
      <w:pPr>
        <w:pStyle w:val="Heading4"/>
        <w:spacing w:after="0" w:line="240" w:lineRule="auto"/>
      </w:pPr>
      <w:r w:rsidRPr="001C5CB4">
        <w:t>Carriers Lacking Terrestrial Backhaul Certification (no revisions</w:t>
      </w:r>
      <w:r w:rsidRPr="00A63F44">
        <w:t>)</w:t>
      </w:r>
      <w:r w:rsidR="00A523A5">
        <w:rPr>
          <w:u w:val="none"/>
        </w:rPr>
        <w:t>:</w:t>
      </w:r>
    </w:p>
    <w:p w:rsidRPr="00AC27FF" w:rsidR="006A0A34" w:rsidRDefault="006A0A34" w14:paraId="23E164A6" w14:textId="77777777">
      <w:pPr>
        <w:spacing w:after="0" w:line="240" w:lineRule="auto"/>
        <w:rPr>
          <w:b/>
          <w:u w:val="single"/>
        </w:rPr>
      </w:pPr>
    </w:p>
    <w:p w:rsidRPr="00AC27FF" w:rsidR="006A0A34" w:rsidRDefault="006A0A34" w14:paraId="18DF00CF" w14:textId="77777777">
      <w:pPr>
        <w:spacing w:after="0" w:line="240" w:lineRule="auto"/>
        <w:ind w:left="720" w:hanging="360"/>
      </w:pPr>
      <w:r w:rsidRPr="00AC27FF">
        <w:t xml:space="preserve">(1) </w:t>
      </w:r>
      <w:r w:rsidRPr="00AC27FF">
        <w:rPr>
          <w:u w:val="single"/>
        </w:rPr>
        <w:t>Number of respondents</w:t>
      </w:r>
      <w:r w:rsidRPr="00AC27FF">
        <w:t>:  Fewer than 20 carriers that receive funding but rely exclusively on satellite for backhaul</w:t>
      </w:r>
      <w:r>
        <w:t xml:space="preserve"> or are Alaska Plan participants that rely exclusively on satellite backhaul in a portion of their study areas</w:t>
      </w:r>
      <w:r w:rsidRPr="00AC27FF">
        <w:t xml:space="preserve"> must certify as to the performance of their broadband service.  </w:t>
      </w:r>
    </w:p>
    <w:p w:rsidRPr="00AC27FF" w:rsidR="006A0A34" w:rsidRDefault="006A0A34" w14:paraId="3E2ECA22" w14:textId="77777777">
      <w:pPr>
        <w:spacing w:after="0" w:line="240" w:lineRule="auto"/>
        <w:ind w:left="720" w:hanging="360"/>
      </w:pPr>
    </w:p>
    <w:p w:rsidRPr="00AC27FF" w:rsidR="006A0A34" w:rsidRDefault="006A0A34" w14:paraId="240D5863" w14:textId="77777777">
      <w:pPr>
        <w:spacing w:after="0" w:line="240" w:lineRule="auto"/>
        <w:ind w:left="720" w:hanging="360"/>
      </w:pPr>
      <w:r w:rsidRPr="00AC27FF">
        <w:lastRenderedPageBreak/>
        <w:t xml:space="preserve">(2) </w:t>
      </w:r>
      <w:r w:rsidRPr="00AC27FF">
        <w:rPr>
          <w:u w:val="single"/>
        </w:rPr>
        <w:t>Frequency of response</w:t>
      </w:r>
      <w:r w:rsidRPr="00AC27FF">
        <w:t xml:space="preserve">:  Annually.   </w:t>
      </w:r>
    </w:p>
    <w:p w:rsidRPr="00AC27FF" w:rsidR="006A0A34" w:rsidRDefault="006A0A34" w14:paraId="2F04A63B" w14:textId="77777777">
      <w:pPr>
        <w:spacing w:after="0" w:line="240" w:lineRule="auto"/>
        <w:ind w:left="720" w:hanging="360"/>
      </w:pPr>
    </w:p>
    <w:p w:rsidR="006A0A34" w:rsidRDefault="006A0A34" w14:paraId="6069FE39" w14:textId="77777777">
      <w:pPr>
        <w:spacing w:after="0" w:line="240" w:lineRule="auto"/>
        <w:ind w:left="720" w:hanging="360"/>
      </w:pPr>
      <w:r w:rsidRPr="00AC27FF">
        <w:t xml:space="preserve">(3) </w:t>
      </w:r>
      <w:r w:rsidRPr="003E4207">
        <w:rPr>
          <w:u w:val="single"/>
        </w:rPr>
        <w:t>Total number of responses per respondent</w:t>
      </w:r>
      <w:r>
        <w:t xml:space="preserve">:  Approximately 1. </w:t>
      </w:r>
    </w:p>
    <w:p w:rsidR="006A0A34" w:rsidRDefault="006A0A34" w14:paraId="5D4AB3E9" w14:textId="77777777">
      <w:pPr>
        <w:spacing w:after="0" w:line="240" w:lineRule="auto"/>
        <w:ind w:left="720" w:hanging="360"/>
      </w:pPr>
    </w:p>
    <w:p w:rsidRPr="0046244E" w:rsidR="006A0A34" w:rsidRDefault="006A0A34" w14:paraId="15E4DE5E" w14:textId="77777777">
      <w:pPr>
        <w:spacing w:after="0" w:line="240" w:lineRule="auto"/>
        <w:ind w:left="720" w:hanging="360"/>
      </w:pPr>
      <w:r w:rsidRPr="0046244E">
        <w:t xml:space="preserve">(4) </w:t>
      </w:r>
      <w:r w:rsidRPr="003E4207">
        <w:rPr>
          <w:u w:val="single"/>
        </w:rPr>
        <w:t>Estimated time per response</w:t>
      </w:r>
      <w:r w:rsidRPr="0046244E">
        <w:t xml:space="preserve">:  15 hours. </w:t>
      </w:r>
    </w:p>
    <w:p w:rsidR="006A0A34" w:rsidRDefault="006A0A34" w14:paraId="08338522" w14:textId="77777777">
      <w:pPr>
        <w:spacing w:after="0" w:line="240" w:lineRule="auto"/>
        <w:ind w:left="720" w:hanging="360"/>
        <w:rPr>
          <w:u w:val="single"/>
        </w:rPr>
      </w:pPr>
    </w:p>
    <w:p w:rsidRPr="003E4207" w:rsidR="006A0A34" w:rsidRDefault="006A0A34" w14:paraId="3B8719AE" w14:textId="77777777">
      <w:pPr>
        <w:spacing w:after="0" w:line="240" w:lineRule="auto"/>
        <w:ind w:left="720" w:hanging="360"/>
      </w:pPr>
      <w:r w:rsidRPr="003E4207">
        <w:t xml:space="preserve">(5) </w:t>
      </w:r>
      <w:r w:rsidRPr="003E4207">
        <w:rPr>
          <w:u w:val="single"/>
        </w:rPr>
        <w:t>Total annual hour burden</w:t>
      </w:r>
      <w:r w:rsidRPr="00137F86">
        <w:t>:</w:t>
      </w:r>
      <w:r w:rsidRPr="00C03B50">
        <w:t xml:space="preserve"> </w:t>
      </w:r>
      <w:r w:rsidRPr="003E4207">
        <w:t xml:space="preserve"> </w:t>
      </w:r>
      <w:r>
        <w:t>300</w:t>
      </w:r>
      <w:r w:rsidRPr="003E4207">
        <w:t xml:space="preserve"> hours. </w:t>
      </w:r>
    </w:p>
    <w:p w:rsidRPr="003E4207" w:rsidR="006A0A34" w:rsidRDefault="006A0A34" w14:paraId="48F1081E" w14:textId="77777777">
      <w:pPr>
        <w:spacing w:after="0" w:line="240" w:lineRule="auto"/>
        <w:ind w:left="720" w:hanging="360"/>
      </w:pPr>
    </w:p>
    <w:p w:rsidR="00552C89" w:rsidRDefault="006A0A34" w14:paraId="51D92345" w14:textId="159F5409">
      <w:pPr>
        <w:spacing w:after="0" w:line="240" w:lineRule="auto"/>
        <w:ind w:left="720" w:hanging="360"/>
      </w:pPr>
      <w:r>
        <w:t xml:space="preserve">      </w:t>
      </w:r>
      <w:r w:rsidRPr="00050DAD">
        <w:t>15 hours per respondent for 20 respondents filing annually.  Total annual hour burden is</w:t>
      </w:r>
      <w:r w:rsidR="00552C89">
        <w:t xml:space="preserve"> calculated as follows</w:t>
      </w:r>
      <w:r w:rsidRPr="00050DAD">
        <w:t xml:space="preserve">: </w:t>
      </w:r>
    </w:p>
    <w:p w:rsidR="00552C89" w:rsidRDefault="00552C89" w14:paraId="140C7593" w14:textId="77777777">
      <w:pPr>
        <w:spacing w:after="0" w:line="240" w:lineRule="auto"/>
        <w:ind w:left="720" w:hanging="360"/>
      </w:pPr>
    </w:p>
    <w:p w:rsidRPr="00AC27FF" w:rsidR="006A0A34" w:rsidRDefault="006A0A34" w14:paraId="61D153EB" w14:textId="3FC96CFB">
      <w:pPr>
        <w:spacing w:after="0" w:line="240" w:lineRule="auto"/>
        <w:ind w:left="720"/>
      </w:pPr>
      <w:r w:rsidRPr="00050DAD">
        <w:t xml:space="preserve">20 respondents x 1 certification per respondent = 20 responses x 15 hours = </w:t>
      </w:r>
      <w:r w:rsidRPr="00050DAD">
        <w:rPr>
          <w:b/>
        </w:rPr>
        <w:t xml:space="preserve">300 </w:t>
      </w:r>
      <w:r w:rsidR="00552C89">
        <w:rPr>
          <w:b/>
        </w:rPr>
        <w:t xml:space="preserve">total annual </w:t>
      </w:r>
      <w:r w:rsidRPr="00050DAD">
        <w:rPr>
          <w:b/>
        </w:rPr>
        <w:t>hours</w:t>
      </w:r>
      <w:r w:rsidRPr="00050DAD">
        <w:t>.</w:t>
      </w:r>
    </w:p>
    <w:p w:rsidRPr="00AC27FF" w:rsidR="006A0A34" w:rsidRDefault="006A0A34" w14:paraId="368D433A" w14:textId="77777777">
      <w:pPr>
        <w:spacing w:after="0" w:line="240" w:lineRule="auto"/>
        <w:ind w:left="720" w:hanging="360"/>
      </w:pPr>
    </w:p>
    <w:p w:rsidRPr="00AC27FF" w:rsidR="006A0A34" w:rsidRDefault="006A0A34" w14:paraId="6458CE47" w14:textId="51C98301">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$12,000.  (300 hours x $40/hour).</w:t>
      </w:r>
    </w:p>
    <w:p w:rsidRPr="00AC27FF" w:rsidR="006A0A34" w:rsidRDefault="006A0A34" w14:paraId="3DEE5B33" w14:textId="77777777">
      <w:pPr>
        <w:spacing w:after="0" w:line="240" w:lineRule="auto"/>
        <w:ind w:left="720" w:hanging="360"/>
      </w:pPr>
    </w:p>
    <w:p w:rsidRPr="00AC27FF" w:rsidR="006A0A34" w:rsidRDefault="006A0A34" w14:paraId="7C2D9275" w14:textId="0697C2A4">
      <w:pPr>
        <w:numPr>
          <w:ilvl w:val="0"/>
          <w:numId w:val="20"/>
        </w:numPr>
        <w:spacing w:after="0" w:line="240" w:lineRule="auto"/>
        <w:rPr>
          <w:color w:val="000000"/>
        </w:rPr>
      </w:pPr>
      <w:r w:rsidRPr="00AC27FF">
        <w:rPr>
          <w:u w:val="single"/>
        </w:rPr>
        <w:t>Explanation of calculation</w:t>
      </w:r>
      <w:r w:rsidRPr="00AC27FF">
        <w:t xml:space="preserve">:  We estimate that each carrier receiving funding but relying exclusively on satellite for backhaul will spend at least 15 hours </w:t>
      </w:r>
      <w:r>
        <w:t xml:space="preserve">to confirm and </w:t>
      </w:r>
      <w:r w:rsidRPr="00AC27FF">
        <w:t>certify</w:t>
      </w:r>
      <w:r>
        <w:t xml:space="preserve"> compliance </w:t>
      </w:r>
      <w:r w:rsidRPr="00AC27FF">
        <w:t>as to the performance of its broadband service</w:t>
      </w:r>
      <w:r w:rsidR="00552C89">
        <w:rPr>
          <w:color w:val="000000"/>
        </w:rPr>
        <w:t>:</w:t>
      </w:r>
      <w:r>
        <w:rPr>
          <w:color w:val="000000"/>
        </w:rPr>
        <w:t xml:space="preserve">  20 (</w:t>
      </w:r>
      <w:r w:rsidRPr="00AC27FF">
        <w:rPr>
          <w:color w:val="000000"/>
        </w:rPr>
        <w:t>respon</w:t>
      </w:r>
      <w:r>
        <w:rPr>
          <w:color w:val="000000"/>
        </w:rPr>
        <w:t>ses</w:t>
      </w:r>
      <w:r w:rsidRPr="00AC27FF">
        <w:rPr>
          <w:color w:val="000000"/>
        </w:rPr>
        <w:t xml:space="preserve">) x 15 (hours to confirm and certify compliance) x </w:t>
      </w:r>
      <w:r w:rsidRPr="00AC27FF">
        <w:t>$40/h</w:t>
      </w:r>
      <w:r w:rsidR="00552C89">
        <w:t>our</w:t>
      </w:r>
      <w:r w:rsidRPr="00AC27FF">
        <w:t xml:space="preserve"> </w:t>
      </w:r>
      <w:r w:rsidRPr="00AC27FF">
        <w:rPr>
          <w:color w:val="000000"/>
        </w:rPr>
        <w:t>= $12,000.</w:t>
      </w:r>
    </w:p>
    <w:p w:rsidRPr="00D87D19" w:rsidR="006A0A34" w:rsidRDefault="006A0A34" w14:paraId="7B589806" w14:textId="77777777">
      <w:pPr>
        <w:spacing w:after="0" w:line="240" w:lineRule="auto"/>
        <w:ind w:left="720"/>
      </w:pPr>
    </w:p>
    <w:p w:rsidRPr="001C5CB4" w:rsidR="006A0A34" w:rsidRDefault="006A0A34" w14:paraId="10CD1266" w14:textId="78706621">
      <w:pPr>
        <w:pStyle w:val="Heading4"/>
        <w:spacing w:after="0" w:line="240" w:lineRule="auto"/>
      </w:pPr>
      <w:r w:rsidRPr="001C5CB4">
        <w:t>Tribal Engagement Reporting (no revisions)</w:t>
      </w:r>
      <w:r w:rsidRPr="00137F86">
        <w:rPr>
          <w:u w:val="none"/>
        </w:rPr>
        <w:t>:</w:t>
      </w:r>
    </w:p>
    <w:p w:rsidRPr="00AC27FF" w:rsidR="006A0A34" w:rsidRDefault="006A0A34" w14:paraId="26477C0B" w14:textId="77777777">
      <w:pPr>
        <w:spacing w:after="0" w:line="240" w:lineRule="auto"/>
        <w:rPr>
          <w:b/>
          <w:u w:val="single"/>
        </w:rPr>
      </w:pPr>
    </w:p>
    <w:p w:rsidRPr="00AC27FF" w:rsidR="006A0A34" w:rsidRDefault="006A0A34" w14:paraId="1F6E7330" w14:textId="77777777">
      <w:pPr>
        <w:spacing w:after="0" w:line="240" w:lineRule="auto"/>
        <w:ind w:left="720" w:hanging="360"/>
      </w:pPr>
      <w:r w:rsidRPr="00AC27FF">
        <w:t xml:space="preserve">(1)  </w:t>
      </w:r>
      <w:r w:rsidRPr="00AC27FF">
        <w:rPr>
          <w:u w:val="single"/>
        </w:rPr>
        <w:t>Number of Respondents</w:t>
      </w:r>
      <w:r w:rsidRPr="00AC27FF">
        <w:t>:  Approximately 300 carriers that serve Tribal lands.</w:t>
      </w:r>
    </w:p>
    <w:p w:rsidRPr="00AC27FF" w:rsidR="006A0A34" w:rsidRDefault="006A0A34" w14:paraId="6B45ACF6" w14:textId="77777777">
      <w:pPr>
        <w:spacing w:after="0" w:line="240" w:lineRule="auto"/>
        <w:ind w:left="1080" w:right="-450"/>
      </w:pPr>
    </w:p>
    <w:p w:rsidRPr="00AC27FF" w:rsidR="006A0A34" w:rsidRDefault="006A0A34" w14:paraId="6B093FDE"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6A0A34" w:rsidRDefault="006A0A34" w14:paraId="5CE41411" w14:textId="77777777">
      <w:pPr>
        <w:spacing w:after="0" w:line="240" w:lineRule="auto"/>
        <w:ind w:left="1080" w:right="-450"/>
      </w:pPr>
    </w:p>
    <w:p w:rsidR="006A0A34" w:rsidRDefault="006A0A34" w14:paraId="34E2CA16" w14:textId="77777777">
      <w:pPr>
        <w:spacing w:after="0" w:line="240" w:lineRule="auto"/>
        <w:ind w:left="720" w:hanging="360"/>
      </w:pPr>
      <w:r w:rsidRPr="00AC27FF">
        <w:t xml:space="preserve">(3) </w:t>
      </w:r>
      <w:r w:rsidRPr="001A1CF1">
        <w:rPr>
          <w:u w:val="single"/>
        </w:rPr>
        <w:t>Total number of responses per respondent</w:t>
      </w:r>
      <w:r>
        <w:t xml:space="preserve">:  Approximately 1. </w:t>
      </w:r>
    </w:p>
    <w:p w:rsidR="006A0A34" w:rsidRDefault="006A0A34" w14:paraId="7B6F75C5" w14:textId="77777777">
      <w:pPr>
        <w:spacing w:after="0" w:line="240" w:lineRule="auto"/>
        <w:ind w:left="720" w:hanging="360"/>
      </w:pPr>
    </w:p>
    <w:p w:rsidR="006A0A34" w:rsidRDefault="006A0A34" w14:paraId="7E060737" w14:textId="77777777">
      <w:pPr>
        <w:spacing w:after="0" w:line="240" w:lineRule="auto"/>
        <w:ind w:left="720" w:hanging="360"/>
      </w:pPr>
      <w:r>
        <w:t xml:space="preserve">(4) </w:t>
      </w:r>
      <w:r w:rsidRPr="00EC0BE0">
        <w:rPr>
          <w:u w:val="single"/>
        </w:rPr>
        <w:t>Estimated time per response</w:t>
      </w:r>
      <w:r>
        <w:t xml:space="preserve">:  4 hours. </w:t>
      </w:r>
    </w:p>
    <w:p w:rsidR="006A0A34" w:rsidRDefault="006A0A34" w14:paraId="484FC489" w14:textId="77777777">
      <w:pPr>
        <w:spacing w:after="0" w:line="240" w:lineRule="auto"/>
        <w:ind w:left="720" w:hanging="360"/>
        <w:rPr>
          <w:u w:val="single"/>
        </w:rPr>
      </w:pPr>
    </w:p>
    <w:p w:rsidR="006A0A34" w:rsidRDefault="006A0A34" w14:paraId="3733A9D7" w14:textId="77777777">
      <w:pPr>
        <w:spacing w:after="0" w:line="240" w:lineRule="auto"/>
        <w:ind w:left="720" w:hanging="360"/>
      </w:pPr>
      <w:r w:rsidRPr="00EC0BE0">
        <w:t xml:space="preserve">(5) </w:t>
      </w:r>
      <w:r w:rsidRPr="00EC0BE0">
        <w:rPr>
          <w:u w:val="single"/>
        </w:rPr>
        <w:t>Total annual hour burden</w:t>
      </w:r>
      <w:r w:rsidRPr="00AC27FF">
        <w:t xml:space="preserve">:  </w:t>
      </w:r>
      <w:r>
        <w:t xml:space="preserve">1,200 hours. </w:t>
      </w:r>
    </w:p>
    <w:p w:rsidR="006A0A34" w:rsidRDefault="006A0A34" w14:paraId="5407706D" w14:textId="77777777">
      <w:pPr>
        <w:spacing w:after="0" w:line="240" w:lineRule="auto"/>
        <w:ind w:left="720" w:hanging="360"/>
      </w:pPr>
    </w:p>
    <w:p w:rsidR="00552C89" w:rsidRDefault="006A0A34" w14:paraId="5F163238" w14:textId="406965AB">
      <w:pPr>
        <w:spacing w:after="0" w:line="240" w:lineRule="auto"/>
        <w:ind w:left="720" w:hanging="360"/>
      </w:pPr>
      <w:r>
        <w:t xml:space="preserve">      </w:t>
      </w:r>
      <w:r w:rsidRPr="00F54D78">
        <w:t>4 hours per respondent for 300 respondents filing on an annual basis.  Total annual hour burden is</w:t>
      </w:r>
      <w:r w:rsidR="00552C89">
        <w:t xml:space="preserve"> calculated as follows</w:t>
      </w:r>
      <w:r w:rsidRPr="00F54D78">
        <w:t xml:space="preserve">: </w:t>
      </w:r>
    </w:p>
    <w:p w:rsidR="00552C89" w:rsidRDefault="00552C89" w14:paraId="75E5DBBF" w14:textId="77777777">
      <w:pPr>
        <w:spacing w:after="0" w:line="240" w:lineRule="auto"/>
        <w:ind w:left="720" w:hanging="360"/>
      </w:pPr>
    </w:p>
    <w:p w:rsidRPr="00AC27FF" w:rsidR="006A0A34" w:rsidRDefault="006A0A34" w14:paraId="3C70DED6" w14:textId="7DD1AB92">
      <w:pPr>
        <w:spacing w:after="0" w:line="240" w:lineRule="auto"/>
        <w:ind w:left="720"/>
      </w:pPr>
      <w:r w:rsidRPr="00F54D78">
        <w:t xml:space="preserve">300 respondents x 1 report per respondent = 300 responses x 4 hours = </w:t>
      </w:r>
      <w:r w:rsidRPr="00F54D78">
        <w:rPr>
          <w:b/>
        </w:rPr>
        <w:t xml:space="preserve">1,200 </w:t>
      </w:r>
      <w:r w:rsidR="00637C33">
        <w:rPr>
          <w:b/>
        </w:rPr>
        <w:t xml:space="preserve">total annual </w:t>
      </w:r>
      <w:r w:rsidRPr="00F54D78">
        <w:rPr>
          <w:b/>
        </w:rPr>
        <w:t>hours</w:t>
      </w:r>
      <w:r w:rsidRPr="00F54D78">
        <w:t>.</w:t>
      </w:r>
    </w:p>
    <w:p w:rsidRPr="00AC27FF" w:rsidR="006A0A34" w:rsidRDefault="006A0A34" w14:paraId="51219E65" w14:textId="77777777">
      <w:pPr>
        <w:spacing w:after="0" w:line="240" w:lineRule="auto"/>
        <w:ind w:left="-720" w:right="-450"/>
      </w:pPr>
    </w:p>
    <w:p w:rsidRPr="00AC27FF" w:rsidR="006A0A34" w:rsidRDefault="006A0A34" w14:paraId="11C65CB0" w14:textId="54B37681">
      <w:pPr>
        <w:spacing w:after="0" w:line="240" w:lineRule="auto"/>
        <w:ind w:left="720" w:hanging="360"/>
        <w:rPr>
          <w:b/>
        </w:rPr>
      </w:pPr>
      <w:r w:rsidRPr="00AC27FF">
        <w:t>(</w:t>
      </w:r>
      <w:r>
        <w:t>6</w:t>
      </w:r>
      <w:r w:rsidRPr="00AC27FF">
        <w:t>)</w:t>
      </w:r>
      <w:r w:rsidRPr="00AC27FF">
        <w:tab/>
      </w:r>
      <w:r>
        <w:rPr>
          <w:u w:val="single"/>
        </w:rPr>
        <w:t xml:space="preserve">Total estimate of in-house </w:t>
      </w:r>
      <w:r w:rsidRPr="00AC27FF">
        <w:rPr>
          <w:u w:val="single"/>
        </w:rPr>
        <w:t>cost to respondents</w:t>
      </w:r>
      <w:r w:rsidRPr="00137F86">
        <w:t>:</w:t>
      </w:r>
      <w:r w:rsidRPr="00AC27FF">
        <w:rPr>
          <w:b/>
        </w:rPr>
        <w:t xml:space="preserve">  </w:t>
      </w:r>
      <w:r w:rsidRPr="00AC27FF">
        <w:t>$48,000</w:t>
      </w:r>
      <w:r>
        <w:t>.</w:t>
      </w:r>
      <w:r w:rsidRPr="00AC27FF">
        <w:t xml:space="preserve"> (1,200 hours x $40/hour).</w:t>
      </w:r>
    </w:p>
    <w:p w:rsidRPr="00AC27FF" w:rsidR="006A0A34" w:rsidRDefault="006A0A34" w14:paraId="01DE972B" w14:textId="77777777">
      <w:pPr>
        <w:spacing w:after="0" w:line="240" w:lineRule="auto"/>
        <w:ind w:left="720" w:hanging="360"/>
        <w:rPr>
          <w:b/>
        </w:rPr>
      </w:pPr>
    </w:p>
    <w:p w:rsidRPr="00D87D19" w:rsidR="006A0A34" w:rsidRDefault="006A0A34" w14:paraId="535A0E2F" w14:textId="4619A268">
      <w:pPr>
        <w:spacing w:after="0" w:line="240" w:lineRule="auto"/>
        <w:ind w:left="720" w:hanging="360"/>
        <w:rPr>
          <w:color w:val="000000"/>
        </w:rPr>
      </w:pPr>
      <w:r w:rsidRPr="00AC27FF">
        <w:t>(</w:t>
      </w:r>
      <w:r>
        <w:t>7</w:t>
      </w:r>
      <w:r w:rsidRPr="00AC27FF">
        <w:t>)</w:t>
      </w:r>
      <w:r w:rsidRPr="00AC27FF">
        <w:rPr>
          <w:b/>
        </w:rPr>
        <w:t xml:space="preserve"> </w:t>
      </w:r>
      <w:r w:rsidRPr="00AC27FF">
        <w:rPr>
          <w:b/>
        </w:rPr>
        <w:tab/>
      </w:r>
      <w:r w:rsidRPr="00AC27FF">
        <w:rPr>
          <w:u w:val="single"/>
        </w:rPr>
        <w:t>Explanation of calculation:</w:t>
      </w:r>
      <w:r w:rsidRPr="00AC27FF">
        <w:t xml:space="preserve">  We estimate that each carrier serving Tribal lands will spend a total of at least 4 hours preparing, reviewing, and submitting its report on Tri</w:t>
      </w:r>
      <w:r>
        <w:t>bal engagement:  300 (</w:t>
      </w:r>
      <w:r w:rsidRPr="00AC27FF">
        <w:t>respon</w:t>
      </w:r>
      <w:r>
        <w:t>ses</w:t>
      </w:r>
      <w:r w:rsidRPr="00AC27FF">
        <w:t xml:space="preserve">) </w:t>
      </w:r>
      <w:r w:rsidRPr="00AC27FF">
        <w:rPr>
          <w:color w:val="000000"/>
        </w:rPr>
        <w:t xml:space="preserve">x 4 (hours </w:t>
      </w:r>
      <w:r w:rsidRPr="00AC27FF">
        <w:t>preparing, reviewing, and submitting report</w:t>
      </w:r>
      <w:r w:rsidRPr="00AC27FF">
        <w:rPr>
          <w:color w:val="000000"/>
        </w:rPr>
        <w:t xml:space="preserve">) </w:t>
      </w:r>
      <w:r>
        <w:rPr>
          <w:color w:val="000000"/>
        </w:rPr>
        <w:t>x $40</w:t>
      </w:r>
      <w:r w:rsidR="00552C89">
        <w:rPr>
          <w:color w:val="000000"/>
        </w:rPr>
        <w:t>/</w:t>
      </w:r>
      <w:r>
        <w:rPr>
          <w:color w:val="000000"/>
        </w:rPr>
        <w:t>hour</w:t>
      </w:r>
      <w:r w:rsidRPr="00AC27FF">
        <w:rPr>
          <w:color w:val="000000"/>
        </w:rPr>
        <w:t xml:space="preserve"> = $48,000.</w:t>
      </w:r>
    </w:p>
    <w:p w:rsidR="006A0A34" w:rsidRDefault="006A0A34" w14:paraId="40DEF871" w14:textId="77777777">
      <w:pPr>
        <w:spacing w:after="0" w:line="240" w:lineRule="auto"/>
        <w:ind w:left="720" w:hanging="360"/>
      </w:pPr>
    </w:p>
    <w:p w:rsidRPr="001C5CB4" w:rsidR="003D44B3" w:rsidRDefault="003D44B3" w14:paraId="646F4622" w14:textId="5C334324">
      <w:pPr>
        <w:pStyle w:val="Heading4"/>
        <w:spacing w:after="0" w:line="240" w:lineRule="auto"/>
      </w:pPr>
      <w:r w:rsidRPr="001C5CB4">
        <w:lastRenderedPageBreak/>
        <w:t>Price Cap Carrier Frozen High</w:t>
      </w:r>
      <w:r w:rsidR="00C651E0">
        <w:t>-</w:t>
      </w:r>
      <w:r w:rsidRPr="001C5CB4">
        <w:t>Cost Support Certification (no revisions)</w:t>
      </w:r>
      <w:r w:rsidRPr="00137F86">
        <w:rPr>
          <w:u w:val="none"/>
        </w:rPr>
        <w:t>:</w:t>
      </w:r>
    </w:p>
    <w:p w:rsidRPr="00AC27FF" w:rsidR="003D44B3" w:rsidRDefault="003D44B3" w14:paraId="1BE26E0E" w14:textId="77777777">
      <w:pPr>
        <w:spacing w:after="0" w:line="240" w:lineRule="auto"/>
        <w:rPr>
          <w:b/>
          <w:u w:val="single"/>
        </w:rPr>
      </w:pPr>
    </w:p>
    <w:p w:rsidRPr="00AC27FF" w:rsidR="003D44B3" w:rsidRDefault="003D44B3" w14:paraId="58A4D18C" w14:textId="77777777">
      <w:pPr>
        <w:spacing w:after="0" w:line="240" w:lineRule="auto"/>
        <w:ind w:left="720" w:hanging="360"/>
      </w:pPr>
      <w:r w:rsidRPr="00AC27FF">
        <w:t xml:space="preserve">(1) </w:t>
      </w:r>
      <w:r w:rsidRPr="00AC27FF">
        <w:rPr>
          <w:u w:val="single"/>
        </w:rPr>
        <w:t>Number of respondents</w:t>
      </w:r>
      <w:r w:rsidRPr="00AC27FF">
        <w:t xml:space="preserve">: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  </w:t>
      </w:r>
    </w:p>
    <w:p w:rsidRPr="00AC27FF" w:rsidR="003D44B3" w:rsidRDefault="003D44B3" w14:paraId="4607C61E" w14:textId="77777777">
      <w:pPr>
        <w:spacing w:after="0" w:line="240" w:lineRule="auto"/>
        <w:ind w:left="720" w:hanging="360"/>
      </w:pPr>
    </w:p>
    <w:p w:rsidRPr="00AC27FF" w:rsidR="003D44B3" w:rsidRDefault="003D44B3" w14:paraId="33485A12"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3D44B3" w:rsidRDefault="003D44B3" w14:paraId="79B430F6" w14:textId="77777777">
      <w:pPr>
        <w:spacing w:after="0" w:line="240" w:lineRule="auto"/>
        <w:ind w:left="720" w:hanging="360"/>
      </w:pPr>
    </w:p>
    <w:p w:rsidR="003D44B3" w:rsidRDefault="003D44B3" w14:paraId="10C75810" w14:textId="77777777">
      <w:pPr>
        <w:spacing w:after="0" w:line="240" w:lineRule="auto"/>
        <w:ind w:left="720" w:hanging="360"/>
      </w:pPr>
      <w:r w:rsidRPr="00AC27FF">
        <w:t xml:space="preserve">(3) </w:t>
      </w:r>
      <w:r w:rsidRPr="0066661E">
        <w:rPr>
          <w:u w:val="single"/>
        </w:rPr>
        <w:t>Total number of responses per respondent</w:t>
      </w:r>
      <w:r>
        <w:t xml:space="preserve">:  </w:t>
      </w:r>
      <w:r w:rsidRPr="00F54D78">
        <w:t>Approximately 1.</w:t>
      </w:r>
      <w:r>
        <w:t xml:space="preserve"> </w:t>
      </w:r>
      <w:r w:rsidRPr="00AC27FF">
        <w:t xml:space="preserve"> </w:t>
      </w:r>
    </w:p>
    <w:p w:rsidR="003D44B3" w:rsidRDefault="003D44B3" w14:paraId="4A8A19AE" w14:textId="77777777">
      <w:pPr>
        <w:spacing w:after="0" w:line="240" w:lineRule="auto"/>
        <w:ind w:left="720" w:hanging="360"/>
      </w:pPr>
    </w:p>
    <w:p w:rsidR="003D44B3" w:rsidRDefault="003D44B3" w14:paraId="2F080712" w14:textId="77777777">
      <w:pPr>
        <w:spacing w:after="0" w:line="240" w:lineRule="auto"/>
        <w:ind w:left="720" w:hanging="360"/>
      </w:pPr>
      <w:r>
        <w:t xml:space="preserve">(4) </w:t>
      </w:r>
      <w:r w:rsidRPr="0066661E">
        <w:rPr>
          <w:u w:val="single"/>
        </w:rPr>
        <w:t>Estimated time per response</w:t>
      </w:r>
      <w:r>
        <w:t xml:space="preserve">:  15 hours. </w:t>
      </w:r>
    </w:p>
    <w:p w:rsidR="003D44B3" w:rsidRDefault="003D44B3" w14:paraId="620415BA" w14:textId="77777777">
      <w:pPr>
        <w:spacing w:after="0" w:line="240" w:lineRule="auto"/>
        <w:ind w:left="720" w:hanging="360"/>
      </w:pPr>
    </w:p>
    <w:p w:rsidR="003D44B3" w:rsidRDefault="003D44B3" w14:paraId="51C278C1" w14:textId="20935048">
      <w:pPr>
        <w:spacing w:after="0" w:line="240" w:lineRule="auto"/>
        <w:ind w:left="720" w:hanging="360"/>
      </w:pPr>
      <w:r w:rsidRPr="0066661E">
        <w:t xml:space="preserve">(5) </w:t>
      </w:r>
      <w:r w:rsidRPr="0066661E">
        <w:rPr>
          <w:u w:val="single"/>
        </w:rPr>
        <w:t>Total annual hour burden</w:t>
      </w:r>
      <w:r w:rsidRPr="00AC27FF">
        <w:t xml:space="preserve">:  </w:t>
      </w:r>
      <w:r w:rsidR="00637C33">
        <w:t>4,395</w:t>
      </w:r>
      <w:r>
        <w:t xml:space="preserve"> hours.</w:t>
      </w:r>
    </w:p>
    <w:p w:rsidR="003D44B3" w:rsidRDefault="003D44B3" w14:paraId="2C9F6B71" w14:textId="77777777">
      <w:pPr>
        <w:spacing w:after="0" w:line="240" w:lineRule="auto"/>
        <w:ind w:left="720" w:hanging="360"/>
      </w:pPr>
    </w:p>
    <w:p w:rsidR="00552C89" w:rsidRDefault="003D44B3" w14:paraId="491C6192" w14:textId="78118DB2">
      <w:pPr>
        <w:spacing w:after="0" w:line="240" w:lineRule="auto"/>
        <w:ind w:left="720" w:hanging="360"/>
      </w:pPr>
      <w:r>
        <w:t xml:space="preserve">      </w:t>
      </w:r>
      <w:r w:rsidRPr="00F54D78">
        <w:t>15 hours per respondent for 293 respondents filing annually.  Total annual hour burden is</w:t>
      </w:r>
      <w:r w:rsidR="00552C89">
        <w:t xml:space="preserve"> calculated as follows</w:t>
      </w:r>
      <w:r w:rsidRPr="00F54D78">
        <w:t xml:space="preserve">: </w:t>
      </w:r>
    </w:p>
    <w:p w:rsidR="00552C89" w:rsidRDefault="00552C89" w14:paraId="5A0DB03C" w14:textId="77777777">
      <w:pPr>
        <w:spacing w:after="0" w:line="240" w:lineRule="auto"/>
        <w:ind w:left="720" w:hanging="360"/>
      </w:pPr>
    </w:p>
    <w:p w:rsidRPr="00AC27FF" w:rsidR="003D44B3" w:rsidRDefault="003D44B3" w14:paraId="7AE99408" w14:textId="6AFA3320">
      <w:pPr>
        <w:spacing w:after="0" w:line="240" w:lineRule="auto"/>
        <w:ind w:left="720"/>
      </w:pPr>
      <w:r w:rsidRPr="00F54D78">
        <w:t xml:space="preserve">293 respondents x 1 certification per respondent = 293 responses x 15 hours = </w:t>
      </w:r>
      <w:r w:rsidRPr="00F54D78">
        <w:rPr>
          <w:b/>
        </w:rPr>
        <w:t xml:space="preserve">4,395 </w:t>
      </w:r>
      <w:r w:rsidR="00552C89">
        <w:rPr>
          <w:b/>
        </w:rPr>
        <w:t xml:space="preserve">total annual </w:t>
      </w:r>
      <w:r w:rsidRPr="00F54D78">
        <w:rPr>
          <w:b/>
        </w:rPr>
        <w:t>hours</w:t>
      </w:r>
      <w:r w:rsidRPr="00F54D78">
        <w:t>.</w:t>
      </w:r>
    </w:p>
    <w:p w:rsidRPr="00AC27FF" w:rsidR="003D44B3" w:rsidRDefault="003D44B3" w14:paraId="6DE0E9C5" w14:textId="77777777">
      <w:pPr>
        <w:spacing w:after="0" w:line="240" w:lineRule="auto"/>
        <w:ind w:left="720" w:hanging="360"/>
      </w:pPr>
    </w:p>
    <w:p w:rsidRPr="00AC27FF" w:rsidR="003D44B3" w:rsidRDefault="003D44B3" w14:paraId="687515F0" w14:textId="00FE6CEE">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$175,800.  (4,395 hours x $40/hour).</w:t>
      </w:r>
    </w:p>
    <w:p w:rsidRPr="00AC27FF" w:rsidR="003D44B3" w:rsidRDefault="003D44B3" w14:paraId="6ED77D43" w14:textId="77777777">
      <w:pPr>
        <w:spacing w:after="0" w:line="240" w:lineRule="auto"/>
        <w:ind w:left="720" w:hanging="360"/>
      </w:pPr>
    </w:p>
    <w:p w:rsidR="003D44B3" w:rsidRDefault="003D44B3" w14:paraId="13C4153B" w14:textId="66F16027">
      <w:pPr>
        <w:spacing w:after="0" w:line="240" w:lineRule="auto"/>
        <w:ind w:left="720" w:hanging="360"/>
      </w:pPr>
      <w:r w:rsidRPr="00AC27FF">
        <w:t>(</w:t>
      </w:r>
      <w:r>
        <w:t>7</w:t>
      </w:r>
      <w:r w:rsidRPr="00AC27FF">
        <w:t xml:space="preserve">)  </w:t>
      </w:r>
      <w:r w:rsidRPr="00AC27FF">
        <w:rPr>
          <w:u w:val="single"/>
        </w:rPr>
        <w:t>Explanation of calculation</w:t>
      </w:r>
      <w:r w:rsidRPr="00AC27FF">
        <w:t xml:space="preserve">:  We estimate that each price cap carrier receiving frozen support will spend at least 15 hours </w:t>
      </w:r>
      <w:r>
        <w:t xml:space="preserve">confirming compliance and </w:t>
      </w:r>
      <w:r w:rsidRPr="00AC27FF">
        <w:t>certifying that it is using incrementally increasing portions of its frozen support to deploy broadband-capable networks and to offer its own retail broadband service in areas substantially unserved by an unsubsidized competitor</w:t>
      </w:r>
      <w:r w:rsidR="00552C89">
        <w:rPr>
          <w:color w:val="000000"/>
        </w:rPr>
        <w:t>:</w:t>
      </w:r>
      <w:r w:rsidRPr="00AC27FF">
        <w:rPr>
          <w:color w:val="000000"/>
        </w:rPr>
        <w:t xml:space="preserve">  </w:t>
      </w:r>
      <w:r>
        <w:rPr>
          <w:color w:val="000000"/>
        </w:rPr>
        <w:t>293 (</w:t>
      </w:r>
      <w:r w:rsidRPr="00AC27FF">
        <w:rPr>
          <w:color w:val="000000"/>
        </w:rPr>
        <w:t>respon</w:t>
      </w:r>
      <w:r>
        <w:rPr>
          <w:color w:val="000000"/>
        </w:rPr>
        <w:t>ses</w:t>
      </w:r>
      <w:r w:rsidRPr="00AC27FF">
        <w:rPr>
          <w:color w:val="000000"/>
        </w:rPr>
        <w:t xml:space="preserve">) x 15 (hours to confirm and certify compliance) x </w:t>
      </w:r>
      <w:r w:rsidRPr="00AC27FF">
        <w:t>$40/h</w:t>
      </w:r>
      <w:r w:rsidR="00552C89">
        <w:t>our</w:t>
      </w:r>
      <w:r w:rsidRPr="00AC27FF">
        <w:t xml:space="preserve"> </w:t>
      </w:r>
      <w:r w:rsidRPr="00AC27FF">
        <w:rPr>
          <w:color w:val="000000"/>
        </w:rPr>
        <w:t>= $175,800.</w:t>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p>
    <w:p w:rsidR="003D44B3" w:rsidRDefault="003D44B3" w14:paraId="629374BA" w14:textId="6284FBE9">
      <w:pPr>
        <w:pStyle w:val="Heading4"/>
        <w:spacing w:after="0" w:line="240" w:lineRule="auto"/>
      </w:pPr>
      <w:r>
        <w:t>Voice Certification for Phase-Down Support Recipients (no revisions)</w:t>
      </w:r>
      <w:r w:rsidRPr="00137F86">
        <w:rPr>
          <w:u w:val="none"/>
        </w:rPr>
        <w:t xml:space="preserve">: </w:t>
      </w:r>
      <w:r w:rsidR="00ED5773">
        <w:rPr>
          <w:u w:val="none"/>
        </w:rPr>
        <w:tab/>
      </w:r>
      <w:r w:rsidR="00ED5773">
        <w:rPr>
          <w:u w:val="none"/>
        </w:rPr>
        <w:tab/>
      </w:r>
      <w:r w:rsidR="00ED5773">
        <w:rPr>
          <w:u w:val="none"/>
        </w:rPr>
        <w:tab/>
      </w:r>
    </w:p>
    <w:p w:rsidRPr="007F5B46" w:rsidR="003D44B3" w:rsidRDefault="003D44B3" w14:paraId="4DF1FED4" w14:textId="77777777">
      <w:pPr>
        <w:spacing w:after="0" w:line="240" w:lineRule="auto"/>
        <w:ind w:left="720" w:hanging="360"/>
      </w:pPr>
      <w:r w:rsidRPr="007F5B46">
        <w:t xml:space="preserve">(1) </w:t>
      </w:r>
      <w:r w:rsidRPr="007F5B46">
        <w:rPr>
          <w:u w:val="single"/>
        </w:rPr>
        <w:t>Number of respondents</w:t>
      </w:r>
      <w:r w:rsidRPr="007F5B46">
        <w:t xml:space="preserve">:  Approximately 101 price cap carriers and competitive ETCs must certify regarding the phase-down support they received.  </w:t>
      </w:r>
    </w:p>
    <w:p w:rsidRPr="007F5B46" w:rsidR="003D44B3" w:rsidRDefault="003D44B3" w14:paraId="57C9DD23" w14:textId="77777777">
      <w:pPr>
        <w:spacing w:after="0" w:line="240" w:lineRule="auto"/>
        <w:ind w:left="720" w:hanging="360"/>
      </w:pPr>
    </w:p>
    <w:p w:rsidRPr="007F5B46" w:rsidR="003D44B3" w:rsidRDefault="003D44B3" w14:paraId="7635648C" w14:textId="77777777">
      <w:pPr>
        <w:spacing w:after="0" w:line="240" w:lineRule="auto"/>
        <w:ind w:left="720" w:hanging="360"/>
      </w:pPr>
      <w:r w:rsidRPr="007F5B46">
        <w:t xml:space="preserve">(2) </w:t>
      </w:r>
      <w:r w:rsidRPr="007F5B46">
        <w:rPr>
          <w:u w:val="single"/>
        </w:rPr>
        <w:t>Frequency of response</w:t>
      </w:r>
      <w:r w:rsidRPr="007F5B46">
        <w:t xml:space="preserve">:  Annually.   </w:t>
      </w:r>
    </w:p>
    <w:p w:rsidRPr="007F5B46" w:rsidR="003D44B3" w:rsidRDefault="003D44B3" w14:paraId="795F5115" w14:textId="77777777">
      <w:pPr>
        <w:spacing w:after="0" w:line="240" w:lineRule="auto"/>
        <w:ind w:left="720" w:hanging="360"/>
      </w:pPr>
    </w:p>
    <w:p w:rsidRPr="007F5B46" w:rsidR="003D44B3" w:rsidRDefault="003D44B3" w14:paraId="58B68724" w14:textId="77777777">
      <w:pPr>
        <w:spacing w:after="0" w:line="240" w:lineRule="auto"/>
        <w:ind w:left="720" w:hanging="360"/>
      </w:pPr>
      <w:r w:rsidRPr="007F5B46">
        <w:t xml:space="preserve">(3) </w:t>
      </w:r>
      <w:r w:rsidRPr="007F5B46">
        <w:rPr>
          <w:u w:val="single"/>
        </w:rPr>
        <w:t>Total number of responses per respondent</w:t>
      </w:r>
      <w:r w:rsidRPr="007F5B46">
        <w:t xml:space="preserve">: Approximately 1. </w:t>
      </w:r>
    </w:p>
    <w:p w:rsidRPr="007F5B46" w:rsidR="003D44B3" w:rsidRDefault="003D44B3" w14:paraId="6D6B5B4C" w14:textId="77777777">
      <w:pPr>
        <w:spacing w:after="0" w:line="240" w:lineRule="auto"/>
        <w:ind w:left="720" w:hanging="360"/>
      </w:pPr>
    </w:p>
    <w:p w:rsidRPr="007F5B46" w:rsidR="003D44B3" w:rsidRDefault="003D44B3" w14:paraId="4A9A700A" w14:textId="77777777">
      <w:pPr>
        <w:spacing w:after="0" w:line="240" w:lineRule="auto"/>
        <w:ind w:left="720" w:hanging="360"/>
      </w:pPr>
      <w:r w:rsidRPr="007F5B46">
        <w:t xml:space="preserve">(4) </w:t>
      </w:r>
      <w:r w:rsidRPr="007F5B46">
        <w:rPr>
          <w:u w:val="single"/>
        </w:rPr>
        <w:t>Estimated time per response</w:t>
      </w:r>
      <w:r w:rsidRPr="007F5B46">
        <w:t xml:space="preserve">:  15 hours. </w:t>
      </w:r>
    </w:p>
    <w:p w:rsidRPr="007F5B46" w:rsidR="003D44B3" w:rsidRDefault="003D44B3" w14:paraId="21C90C2C" w14:textId="77777777">
      <w:pPr>
        <w:spacing w:after="0" w:line="240" w:lineRule="auto"/>
        <w:ind w:left="720" w:hanging="360"/>
      </w:pPr>
    </w:p>
    <w:p w:rsidRPr="007F5B46" w:rsidR="003D44B3" w:rsidRDefault="003D44B3" w14:paraId="38E4B3F9" w14:textId="77777777">
      <w:pPr>
        <w:spacing w:after="0" w:line="240" w:lineRule="auto"/>
        <w:ind w:left="720" w:hanging="360"/>
      </w:pPr>
      <w:r w:rsidRPr="007F5B46">
        <w:t xml:space="preserve">(5) </w:t>
      </w:r>
      <w:r w:rsidRPr="007F5B46">
        <w:rPr>
          <w:u w:val="single"/>
        </w:rPr>
        <w:t>Total annual hour burden</w:t>
      </w:r>
      <w:r w:rsidRPr="007F5B46">
        <w:t xml:space="preserve">:  1,515 hours. </w:t>
      </w:r>
    </w:p>
    <w:p w:rsidRPr="007F5B46" w:rsidR="003D44B3" w:rsidRDefault="003D44B3" w14:paraId="38D935F1" w14:textId="77777777">
      <w:pPr>
        <w:spacing w:after="0" w:line="240" w:lineRule="auto"/>
        <w:ind w:left="720" w:hanging="360"/>
      </w:pPr>
    </w:p>
    <w:p w:rsidR="003D44B3" w:rsidRDefault="003D44B3" w14:paraId="7FF73A42" w14:textId="77777777">
      <w:pPr>
        <w:spacing w:after="0" w:line="240" w:lineRule="auto"/>
        <w:ind w:left="720" w:hanging="360"/>
      </w:pPr>
      <w:r w:rsidRPr="007F5B46">
        <w:t xml:space="preserve">     15 hours per respondent for 101 respondents filing annually.  Total annual hour burden is</w:t>
      </w:r>
      <w:r>
        <w:t xml:space="preserve"> calculated as follows</w:t>
      </w:r>
      <w:r w:rsidRPr="007F5B46">
        <w:t xml:space="preserve">: </w:t>
      </w:r>
    </w:p>
    <w:p w:rsidR="003D44B3" w:rsidRDefault="003D44B3" w14:paraId="4A8302C4" w14:textId="77777777">
      <w:pPr>
        <w:spacing w:after="0" w:line="240" w:lineRule="auto"/>
        <w:ind w:left="720" w:hanging="360"/>
      </w:pPr>
    </w:p>
    <w:p w:rsidRPr="007F5B46" w:rsidR="003D44B3" w:rsidRDefault="003D44B3" w14:paraId="1F0DFEBC" w14:textId="77777777">
      <w:pPr>
        <w:spacing w:after="0" w:line="240" w:lineRule="auto"/>
        <w:ind w:left="720"/>
      </w:pPr>
      <w:r w:rsidRPr="007F5B46">
        <w:t xml:space="preserve">101 respondents x 1 report per respondent = 101 responses x 15 hours = </w:t>
      </w:r>
      <w:r w:rsidRPr="007F5B46">
        <w:rPr>
          <w:b/>
        </w:rPr>
        <w:t xml:space="preserve">1,515 </w:t>
      </w:r>
      <w:r>
        <w:rPr>
          <w:b/>
        </w:rPr>
        <w:t xml:space="preserve">total annual </w:t>
      </w:r>
      <w:r w:rsidRPr="007F5B46">
        <w:rPr>
          <w:b/>
        </w:rPr>
        <w:t>hours</w:t>
      </w:r>
      <w:r w:rsidRPr="007F5B46">
        <w:t>.</w:t>
      </w:r>
    </w:p>
    <w:p w:rsidRPr="007F5B46" w:rsidR="003D44B3" w:rsidRDefault="003D44B3" w14:paraId="76F22A7D" w14:textId="77777777">
      <w:pPr>
        <w:spacing w:after="0" w:line="240" w:lineRule="auto"/>
        <w:ind w:left="720" w:hanging="360"/>
      </w:pPr>
    </w:p>
    <w:p w:rsidRPr="007F5B46" w:rsidR="003D44B3" w:rsidRDefault="003D44B3" w14:paraId="43550674" w14:textId="77777777">
      <w:pPr>
        <w:spacing w:after="0" w:line="240" w:lineRule="auto"/>
        <w:ind w:left="720" w:hanging="360"/>
      </w:pPr>
      <w:r w:rsidRPr="007F5B46">
        <w:t xml:space="preserve">(6)  </w:t>
      </w:r>
      <w:r w:rsidRPr="007F5B46">
        <w:rPr>
          <w:u w:val="single"/>
        </w:rPr>
        <w:t>Total estimate of in-house cost to respondents</w:t>
      </w:r>
      <w:r w:rsidRPr="007F5B46">
        <w:t>:  $60,600.  (1,515 hours x $40/hour).</w:t>
      </w:r>
    </w:p>
    <w:p w:rsidRPr="007F5B46" w:rsidR="003D44B3" w:rsidRDefault="003D44B3" w14:paraId="2FE57286" w14:textId="77777777">
      <w:pPr>
        <w:spacing w:after="0" w:line="240" w:lineRule="auto"/>
        <w:ind w:left="720" w:hanging="360"/>
      </w:pPr>
    </w:p>
    <w:p w:rsidR="00B622CA" w:rsidRDefault="003D44B3" w14:paraId="7B65391A" w14:textId="77777777">
      <w:pPr>
        <w:spacing w:after="0" w:line="240" w:lineRule="auto"/>
        <w:ind w:left="720" w:hanging="360"/>
        <w:rPr>
          <w:color w:val="000000"/>
        </w:rPr>
      </w:pPr>
      <w:r w:rsidRPr="007F5B46">
        <w:t xml:space="preserve">(7) </w:t>
      </w:r>
      <w:r w:rsidRPr="007F5B46">
        <w:rPr>
          <w:u w:val="single"/>
        </w:rPr>
        <w:t>Explanation of calculation</w:t>
      </w:r>
      <w:r w:rsidRPr="007F5B46">
        <w:t xml:space="preserve">:  We estimate that price cap carriers and competitive ETCs will spend, on average, approximately 15 hours confirming compliance and certifying that they are </w:t>
      </w:r>
      <w:r w:rsidRPr="00EB4351">
        <w:t xml:space="preserve">providing voice service throughout the high-cost and </w:t>
      </w:r>
      <w:r w:rsidRPr="00A925D8">
        <w:t>extremely high-cost census blocks where they continue to have the federal high-cost eligible telecommunications carrier obligation at rates that are reasonably comparable to comparable offerings in urban areas</w:t>
      </w:r>
      <w:r w:rsidRPr="007F5B46">
        <w:t>.</w:t>
      </w:r>
      <w:r w:rsidRPr="007F5B46">
        <w:rPr>
          <w:color w:val="000000"/>
        </w:rPr>
        <w:t xml:space="preserve">  101 (responses) x 15 (hours to </w:t>
      </w:r>
      <w:r w:rsidRPr="007F5B46">
        <w:t>confirm and certify compliance</w:t>
      </w:r>
      <w:r w:rsidRPr="007F5B46">
        <w:rPr>
          <w:color w:val="000000"/>
        </w:rPr>
        <w:t xml:space="preserve">) x </w:t>
      </w:r>
      <w:r w:rsidRPr="007F5B46">
        <w:t>$40/h</w:t>
      </w:r>
      <w:r>
        <w:t>our</w:t>
      </w:r>
      <w:r w:rsidRPr="007F5B46">
        <w:t xml:space="preserve"> </w:t>
      </w:r>
      <w:r w:rsidRPr="007F5B46">
        <w:rPr>
          <w:color w:val="000000"/>
        </w:rPr>
        <w:t>= $60,600.</w:t>
      </w:r>
    </w:p>
    <w:p w:rsidRPr="003D44B3" w:rsidR="003D44B3" w:rsidRDefault="00ED5773" w14:paraId="1DF88859" w14:textId="633B7786">
      <w:pPr>
        <w:spacing w:after="0" w:line="240" w:lineRule="auto"/>
        <w:ind w:left="720" w:hanging="360"/>
        <w:rPr>
          <w:color w:val="000000"/>
        </w:rPr>
      </w:pPr>
      <w:r>
        <w:rPr>
          <w:color w:val="000000"/>
        </w:rPr>
        <w:tab/>
      </w:r>
      <w:r>
        <w:rPr>
          <w:color w:val="000000"/>
        </w:rPr>
        <w:tab/>
      </w:r>
      <w:r>
        <w:rPr>
          <w:color w:val="000000"/>
        </w:rPr>
        <w:tab/>
      </w:r>
    </w:p>
    <w:p w:rsidRPr="001C5CB4" w:rsidR="003D44B3" w:rsidRDefault="003D44B3" w14:paraId="057ACF7B" w14:textId="77777777">
      <w:pPr>
        <w:pStyle w:val="Heading4"/>
        <w:spacing w:after="0" w:line="240" w:lineRule="auto"/>
      </w:pPr>
      <w:r w:rsidRPr="001C5CB4">
        <w:t>Price Cap Carrier High-Cost Support for Access Charges Certification (no revisions)</w:t>
      </w:r>
      <w:r w:rsidRPr="00137F86">
        <w:rPr>
          <w:u w:val="none"/>
        </w:rPr>
        <w:t>:</w:t>
      </w:r>
      <w:r w:rsidRPr="001C5CB4">
        <w:t xml:space="preserve"> </w:t>
      </w:r>
    </w:p>
    <w:p w:rsidRPr="00AC27FF" w:rsidR="003D44B3" w:rsidRDefault="003D44B3" w14:paraId="53766259" w14:textId="77777777">
      <w:pPr>
        <w:spacing w:after="0" w:line="240" w:lineRule="auto"/>
        <w:rPr>
          <w:b/>
          <w:u w:val="single"/>
        </w:rPr>
      </w:pPr>
    </w:p>
    <w:p w:rsidRPr="00AC27FF" w:rsidR="003D44B3" w:rsidRDefault="003D44B3" w14:paraId="7FA7C0CD" w14:textId="77777777">
      <w:pPr>
        <w:spacing w:after="0" w:line="240" w:lineRule="auto"/>
        <w:ind w:left="720" w:hanging="360"/>
      </w:pPr>
      <w:r w:rsidRPr="00AC27FF">
        <w:t xml:space="preserve">(1) </w:t>
      </w:r>
      <w:r w:rsidRPr="00AC27FF">
        <w:rPr>
          <w:u w:val="single"/>
        </w:rPr>
        <w:t>Number of respondents</w:t>
      </w:r>
      <w:r w:rsidRPr="00AC27FF">
        <w:t xml:space="preserve">:  Approximately 293 price cap carriers receiving high-cost support designed to offset access charges will have to certify that support received pursuant to 47 C.F.R. § 54.304 in the prior calendar year was used to build and operate broadband-capable networks used to offer provider’s own retail service in areas substantially unserved by an unsubsidized competitor.  </w:t>
      </w:r>
    </w:p>
    <w:p w:rsidRPr="00AC27FF" w:rsidR="003D44B3" w:rsidRDefault="003D44B3" w14:paraId="619C7BD2" w14:textId="77777777">
      <w:pPr>
        <w:spacing w:after="0" w:line="240" w:lineRule="auto"/>
        <w:ind w:left="720" w:hanging="360"/>
      </w:pPr>
    </w:p>
    <w:p w:rsidRPr="00AC27FF" w:rsidR="003D44B3" w:rsidRDefault="003D44B3" w14:paraId="4B47112A"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3D44B3" w:rsidRDefault="003D44B3" w14:paraId="006A44FD" w14:textId="77777777">
      <w:pPr>
        <w:spacing w:after="0" w:line="240" w:lineRule="auto"/>
        <w:ind w:left="720" w:hanging="360"/>
      </w:pPr>
    </w:p>
    <w:p w:rsidR="003D44B3" w:rsidRDefault="003D44B3" w14:paraId="07E55164" w14:textId="77777777">
      <w:pPr>
        <w:spacing w:after="0" w:line="240" w:lineRule="auto"/>
        <w:ind w:left="720" w:hanging="360"/>
      </w:pPr>
      <w:r w:rsidRPr="00AC27FF">
        <w:t xml:space="preserve">(3) </w:t>
      </w:r>
      <w:r w:rsidRPr="0066661E">
        <w:rPr>
          <w:u w:val="single"/>
        </w:rPr>
        <w:t>Total number of responses per respondent</w:t>
      </w:r>
      <w:r>
        <w:t xml:space="preserve">:  Approximately 1. </w:t>
      </w:r>
    </w:p>
    <w:p w:rsidR="003D44B3" w:rsidRDefault="003D44B3" w14:paraId="037014A4" w14:textId="77777777">
      <w:pPr>
        <w:spacing w:after="0" w:line="240" w:lineRule="auto"/>
        <w:ind w:left="720" w:hanging="360"/>
      </w:pPr>
    </w:p>
    <w:p w:rsidR="003D44B3" w:rsidRDefault="003D44B3" w14:paraId="7DD4961A" w14:textId="77777777">
      <w:pPr>
        <w:spacing w:after="0" w:line="240" w:lineRule="auto"/>
        <w:ind w:left="720" w:hanging="360"/>
      </w:pPr>
      <w:r>
        <w:t xml:space="preserve">(4) </w:t>
      </w:r>
      <w:r w:rsidRPr="0066661E">
        <w:rPr>
          <w:u w:val="single"/>
        </w:rPr>
        <w:t>Estimated time per response</w:t>
      </w:r>
      <w:r>
        <w:t xml:space="preserve">:  15 hours. </w:t>
      </w:r>
    </w:p>
    <w:p w:rsidR="003D44B3" w:rsidRDefault="003D44B3" w14:paraId="5F8F66AE" w14:textId="77777777">
      <w:pPr>
        <w:spacing w:after="0" w:line="240" w:lineRule="auto"/>
        <w:ind w:left="720" w:hanging="360"/>
      </w:pPr>
    </w:p>
    <w:p w:rsidR="003D44B3" w:rsidRDefault="003D44B3" w14:paraId="1B6313C7" w14:textId="77777777">
      <w:pPr>
        <w:spacing w:after="0" w:line="240" w:lineRule="auto"/>
        <w:ind w:left="720" w:hanging="360"/>
      </w:pPr>
      <w:r w:rsidRPr="0066661E">
        <w:t xml:space="preserve">(5) </w:t>
      </w:r>
      <w:r w:rsidRPr="0066661E">
        <w:rPr>
          <w:u w:val="single"/>
        </w:rPr>
        <w:t>Total annual hour burden</w:t>
      </w:r>
      <w:r w:rsidRPr="00AC27FF">
        <w:t xml:space="preserve">:  </w:t>
      </w:r>
      <w:r>
        <w:t xml:space="preserve">4,395 hours. </w:t>
      </w:r>
    </w:p>
    <w:p w:rsidR="003D44B3" w:rsidRDefault="003D44B3" w14:paraId="42FA88B8" w14:textId="77777777">
      <w:pPr>
        <w:spacing w:after="0" w:line="240" w:lineRule="auto"/>
        <w:ind w:left="720" w:hanging="360"/>
      </w:pPr>
    </w:p>
    <w:p w:rsidR="00552C89" w:rsidRDefault="003D44B3" w14:paraId="3780CEB5" w14:textId="5F7D6B64">
      <w:pPr>
        <w:spacing w:after="0" w:line="240" w:lineRule="auto"/>
        <w:ind w:left="720" w:hanging="360"/>
      </w:pPr>
      <w:r>
        <w:t xml:space="preserve">      </w:t>
      </w:r>
      <w:r w:rsidRPr="00AC27FF">
        <w:t>15 hours per respondent for 293 respondents filing annually.  Total annual hour burden is</w:t>
      </w:r>
      <w:r w:rsidR="00552C89">
        <w:t xml:space="preserve"> calculated as follows</w:t>
      </w:r>
      <w:r w:rsidRPr="00AC27FF">
        <w:t xml:space="preserve">: </w:t>
      </w:r>
    </w:p>
    <w:p w:rsidR="00552C89" w:rsidRDefault="00552C89" w14:paraId="4281124D" w14:textId="77777777">
      <w:pPr>
        <w:spacing w:after="0" w:line="240" w:lineRule="auto"/>
        <w:ind w:left="720" w:hanging="360"/>
      </w:pPr>
    </w:p>
    <w:p w:rsidRPr="00AC27FF" w:rsidR="003D44B3" w:rsidRDefault="003D44B3" w14:paraId="205BC301" w14:textId="55489A73">
      <w:pPr>
        <w:spacing w:after="0" w:line="240" w:lineRule="auto"/>
        <w:ind w:left="720"/>
      </w:pPr>
      <w:r w:rsidRPr="00F54D78">
        <w:t xml:space="preserve">293 respondents x 1 certification per respondent = 293 responses x 15 hours = </w:t>
      </w:r>
      <w:r w:rsidRPr="00F54D78">
        <w:rPr>
          <w:b/>
        </w:rPr>
        <w:t xml:space="preserve">4,395 </w:t>
      </w:r>
      <w:r w:rsidR="00552C89">
        <w:rPr>
          <w:b/>
        </w:rPr>
        <w:t xml:space="preserve">total annual </w:t>
      </w:r>
      <w:r w:rsidRPr="00F54D78">
        <w:rPr>
          <w:b/>
        </w:rPr>
        <w:t>hours</w:t>
      </w:r>
      <w:r w:rsidRPr="00F54D78">
        <w:t>.</w:t>
      </w:r>
    </w:p>
    <w:p w:rsidRPr="00AC27FF" w:rsidR="003D44B3" w:rsidRDefault="003D44B3" w14:paraId="7B54ADC3" w14:textId="77777777">
      <w:pPr>
        <w:spacing w:after="0" w:line="240" w:lineRule="auto"/>
        <w:ind w:left="720" w:hanging="360"/>
      </w:pPr>
    </w:p>
    <w:p w:rsidRPr="00AC27FF" w:rsidR="003D44B3" w:rsidRDefault="003D44B3" w14:paraId="7A9B1F14" w14:textId="72501025">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$175,800.  (4,395 hours x $40/hour).</w:t>
      </w:r>
    </w:p>
    <w:p w:rsidRPr="00AC27FF" w:rsidR="003D44B3" w:rsidRDefault="003D44B3" w14:paraId="2C042B3E" w14:textId="77777777">
      <w:pPr>
        <w:spacing w:after="0" w:line="240" w:lineRule="auto"/>
        <w:ind w:left="720" w:hanging="360"/>
      </w:pPr>
    </w:p>
    <w:p w:rsidRPr="001C5CB4" w:rsidR="006A0A34" w:rsidRDefault="003D44B3" w14:paraId="61E9FC39" w14:textId="36270857">
      <w:pPr>
        <w:spacing w:after="0" w:line="240" w:lineRule="auto"/>
        <w:ind w:left="720" w:hanging="360"/>
        <w:rPr>
          <w:b/>
          <w:u w:val="single"/>
        </w:rPr>
      </w:pPr>
      <w:r w:rsidRPr="00AC27FF">
        <w:t>(</w:t>
      </w:r>
      <w:r>
        <w:t>7</w:t>
      </w:r>
      <w:r w:rsidRPr="00AC27FF">
        <w:t xml:space="preserve">)  </w:t>
      </w:r>
      <w:r w:rsidRPr="00AC27FF">
        <w:rPr>
          <w:u w:val="single"/>
        </w:rPr>
        <w:t>Explanation of calculation</w:t>
      </w:r>
      <w:r w:rsidRPr="00AC27FF">
        <w:t xml:space="preserve">:  We estimate that each price cap carrier receiving support to offset reductions in access charges will spend at least 15 hours </w:t>
      </w:r>
      <w:r>
        <w:t xml:space="preserve">confirming compliance and </w:t>
      </w:r>
      <w:r w:rsidRPr="00AC27FF">
        <w:t>certifying that it is using high-cost support received pursuant to 47 C.F.R. § 54.304 to deploy broadband-capable networks and to offer its own retail broadband service in areas substantially unserved by an unsubsidized competitor</w:t>
      </w:r>
      <w:r w:rsidR="00552C89">
        <w:rPr>
          <w:color w:val="000000"/>
        </w:rPr>
        <w:t>:</w:t>
      </w:r>
      <w:r>
        <w:rPr>
          <w:color w:val="000000"/>
        </w:rPr>
        <w:t xml:space="preserve">  293 (</w:t>
      </w:r>
      <w:r w:rsidRPr="00AC27FF">
        <w:rPr>
          <w:color w:val="000000"/>
        </w:rPr>
        <w:t>respon</w:t>
      </w:r>
      <w:r>
        <w:rPr>
          <w:color w:val="000000"/>
        </w:rPr>
        <w:t>ses</w:t>
      </w:r>
      <w:r w:rsidRPr="00AC27FF">
        <w:rPr>
          <w:color w:val="000000"/>
        </w:rPr>
        <w:t xml:space="preserve">) x 15 (hours to confirm and certify compliance) x </w:t>
      </w:r>
      <w:r w:rsidRPr="00AC27FF">
        <w:t>$40/h</w:t>
      </w:r>
      <w:r w:rsidR="00552C89">
        <w:t>our</w:t>
      </w:r>
      <w:r w:rsidRPr="00AC27FF">
        <w:t xml:space="preserve"> </w:t>
      </w:r>
      <w:r w:rsidRPr="00AC27FF">
        <w:rPr>
          <w:color w:val="000000"/>
        </w:rPr>
        <w:t>= $175,800.</w:t>
      </w:r>
      <w:r w:rsidDel="0007324E" w:rsidR="0007324E">
        <w:t xml:space="preserve"> </w:t>
      </w:r>
      <w:r w:rsidRPr="00AC27FF" w:rsidR="00AC6E35">
        <w:rPr>
          <w:color w:val="000000"/>
        </w:rPr>
        <w:br/>
      </w:r>
    </w:p>
    <w:p w:rsidRPr="001C5CB4" w:rsidR="006A0A34" w:rsidRDefault="006A0A34" w14:paraId="687E08E5" w14:textId="19711E54">
      <w:pPr>
        <w:pStyle w:val="Heading4"/>
        <w:spacing w:after="0" w:line="240" w:lineRule="auto"/>
      </w:pPr>
      <w:r w:rsidRPr="001C5CB4">
        <w:lastRenderedPageBreak/>
        <w:t>Privately Held Rate-of-Return Carrier Financial Information (no revisions)</w:t>
      </w:r>
      <w:r w:rsidRPr="00137F86">
        <w:rPr>
          <w:u w:val="none"/>
        </w:rPr>
        <w:t>:</w:t>
      </w:r>
    </w:p>
    <w:p w:rsidRPr="00AC27FF" w:rsidR="006A0A34" w:rsidRDefault="006A0A34" w14:paraId="46283280" w14:textId="77777777">
      <w:pPr>
        <w:spacing w:after="0" w:line="240" w:lineRule="auto"/>
        <w:rPr>
          <w:b/>
          <w:u w:val="single"/>
        </w:rPr>
      </w:pPr>
    </w:p>
    <w:p w:rsidRPr="00AC27FF" w:rsidR="006A0A34" w:rsidRDefault="006A0A34" w14:paraId="0F263544" w14:textId="77777777">
      <w:pPr>
        <w:spacing w:after="0" w:line="240" w:lineRule="auto"/>
        <w:ind w:left="720" w:hanging="360"/>
      </w:pPr>
      <w:r w:rsidRPr="00AC27FF">
        <w:t xml:space="preserve">(1) </w:t>
      </w:r>
      <w:r w:rsidRPr="00AC27FF">
        <w:rPr>
          <w:u w:val="single"/>
        </w:rPr>
        <w:t>Number of respondents</w:t>
      </w:r>
      <w:r w:rsidRPr="00AC27FF">
        <w:t xml:space="preserve">:  Approximately 625 privately held rate-of-return carriers will be required to submit financial statements.  </w:t>
      </w:r>
    </w:p>
    <w:p w:rsidRPr="00AC27FF" w:rsidR="006A0A34" w:rsidRDefault="006A0A34" w14:paraId="47D6203C" w14:textId="77777777">
      <w:pPr>
        <w:spacing w:after="0" w:line="240" w:lineRule="auto"/>
        <w:ind w:left="720" w:hanging="360"/>
      </w:pPr>
    </w:p>
    <w:p w:rsidRPr="00AC27FF" w:rsidR="006A0A34" w:rsidRDefault="006A0A34" w14:paraId="7C9F6FEA"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6A0A34" w:rsidRDefault="006A0A34" w14:paraId="0B956736" w14:textId="77777777">
      <w:pPr>
        <w:spacing w:after="0" w:line="240" w:lineRule="auto"/>
        <w:ind w:left="720" w:hanging="360"/>
      </w:pPr>
    </w:p>
    <w:p w:rsidR="006A0A34" w:rsidRDefault="006A0A34" w14:paraId="7DA53830" w14:textId="77777777">
      <w:pPr>
        <w:spacing w:after="0" w:line="240" w:lineRule="auto"/>
        <w:ind w:left="720" w:hanging="360"/>
      </w:pPr>
      <w:r w:rsidRPr="00AC27FF">
        <w:t xml:space="preserve">(3)  </w:t>
      </w:r>
      <w:r w:rsidRPr="00137F86">
        <w:rPr>
          <w:u w:val="single"/>
        </w:rPr>
        <w:t>Total number of responses per respondent</w:t>
      </w:r>
      <w:r>
        <w:t xml:space="preserve">:  Approximately 1. </w:t>
      </w:r>
    </w:p>
    <w:p w:rsidR="006A0A34" w:rsidRDefault="006A0A34" w14:paraId="466984C5" w14:textId="77777777">
      <w:pPr>
        <w:spacing w:after="0" w:line="240" w:lineRule="auto"/>
        <w:ind w:left="720" w:hanging="360"/>
      </w:pPr>
    </w:p>
    <w:p w:rsidR="006A0A34" w:rsidRDefault="006A0A34" w14:paraId="591752CE" w14:textId="02C46739">
      <w:pPr>
        <w:spacing w:after="0" w:line="240" w:lineRule="auto"/>
        <w:ind w:left="720" w:hanging="360"/>
      </w:pPr>
      <w:r>
        <w:t xml:space="preserve">(4) </w:t>
      </w:r>
      <w:r w:rsidRPr="00137F86">
        <w:rPr>
          <w:u w:val="single"/>
        </w:rPr>
        <w:t>Estimated time per response</w:t>
      </w:r>
      <w:r>
        <w:t>:</w:t>
      </w:r>
      <w:r w:rsidR="00552C89">
        <w:t xml:space="preserve"> </w:t>
      </w:r>
      <w:r>
        <w:t xml:space="preserve"> 15 hours.  </w:t>
      </w:r>
    </w:p>
    <w:p w:rsidR="006A0A34" w:rsidRDefault="006A0A34" w14:paraId="6ED08F7C" w14:textId="77777777">
      <w:pPr>
        <w:spacing w:after="0" w:line="240" w:lineRule="auto"/>
        <w:ind w:left="720" w:hanging="360"/>
      </w:pPr>
    </w:p>
    <w:p w:rsidR="006A0A34" w:rsidRDefault="006A0A34" w14:paraId="521D8267" w14:textId="77777777">
      <w:pPr>
        <w:spacing w:after="0" w:line="240" w:lineRule="auto"/>
        <w:ind w:left="720" w:hanging="360"/>
      </w:pPr>
      <w:r w:rsidRPr="008648DA">
        <w:t xml:space="preserve">(5) </w:t>
      </w:r>
      <w:r>
        <w:rPr>
          <w:u w:val="single"/>
        </w:rPr>
        <w:t>Total a</w:t>
      </w:r>
      <w:r w:rsidRPr="00AC27FF">
        <w:rPr>
          <w:u w:val="single"/>
        </w:rPr>
        <w:t>nnual hour burden</w:t>
      </w:r>
      <w:r w:rsidRPr="00AC27FF">
        <w:t xml:space="preserve">:  </w:t>
      </w:r>
      <w:r>
        <w:t xml:space="preserve">9,375 hours. </w:t>
      </w:r>
    </w:p>
    <w:p w:rsidR="006A0A34" w:rsidRDefault="006A0A34" w14:paraId="51209B15" w14:textId="77777777">
      <w:pPr>
        <w:spacing w:after="0" w:line="240" w:lineRule="auto"/>
        <w:ind w:left="720" w:hanging="360"/>
      </w:pPr>
    </w:p>
    <w:p w:rsidR="00ED5773" w:rsidRDefault="006A0A34" w14:paraId="022C3B58" w14:textId="164E10FF">
      <w:pPr>
        <w:spacing w:after="0" w:line="240" w:lineRule="auto"/>
        <w:ind w:left="720" w:hanging="360"/>
      </w:pPr>
      <w:r>
        <w:t xml:space="preserve">      </w:t>
      </w:r>
      <w:r w:rsidRPr="00050DAD">
        <w:t>15 hours per respondent for 625 respondents filing annually.  Total annual hour burden is</w:t>
      </w:r>
      <w:r w:rsidR="00552C89">
        <w:t xml:space="preserve"> calculated as follows</w:t>
      </w:r>
      <w:r w:rsidRPr="00050DAD">
        <w:t xml:space="preserve">: </w:t>
      </w:r>
    </w:p>
    <w:p w:rsidR="00ED5773" w:rsidRDefault="00ED5773" w14:paraId="2E94792A" w14:textId="77777777">
      <w:pPr>
        <w:spacing w:after="0" w:line="240" w:lineRule="auto"/>
        <w:ind w:left="720" w:hanging="360"/>
      </w:pPr>
    </w:p>
    <w:p w:rsidRPr="00AC27FF" w:rsidR="006A0A34" w:rsidRDefault="00552C89" w14:paraId="6AEA6385" w14:textId="4BEEBEE8">
      <w:pPr>
        <w:spacing w:after="0" w:line="240" w:lineRule="auto"/>
        <w:ind w:left="720"/>
      </w:pPr>
      <w:r>
        <w:t>6</w:t>
      </w:r>
      <w:r w:rsidRPr="00050DAD" w:rsidR="006A0A34">
        <w:t xml:space="preserve">25 respondents x 1 financial statement per respondent = 625 responses x 15 hours = </w:t>
      </w:r>
      <w:r w:rsidRPr="00050DAD" w:rsidR="006A0A34">
        <w:rPr>
          <w:b/>
        </w:rPr>
        <w:t xml:space="preserve">9,375 </w:t>
      </w:r>
      <w:r>
        <w:rPr>
          <w:b/>
        </w:rPr>
        <w:t xml:space="preserve">total annual </w:t>
      </w:r>
      <w:r w:rsidRPr="00050DAD" w:rsidR="006A0A34">
        <w:rPr>
          <w:b/>
        </w:rPr>
        <w:t>hours</w:t>
      </w:r>
      <w:r w:rsidRPr="00050DAD" w:rsidR="006A0A34">
        <w:t>.</w:t>
      </w:r>
    </w:p>
    <w:p w:rsidRPr="00AC27FF" w:rsidR="006A0A34" w:rsidRDefault="006A0A34" w14:paraId="3CF8DEED" w14:textId="77777777">
      <w:pPr>
        <w:spacing w:after="0" w:line="240" w:lineRule="auto"/>
        <w:ind w:left="720" w:hanging="360"/>
      </w:pPr>
    </w:p>
    <w:p w:rsidRPr="00AC27FF" w:rsidR="006A0A34" w:rsidRDefault="006A0A34" w14:paraId="328CFC72" w14:textId="375F9FF0">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$375,000.  (9,375 hours x $40/hour).</w:t>
      </w:r>
    </w:p>
    <w:p w:rsidRPr="00AC27FF" w:rsidR="006A0A34" w:rsidRDefault="006A0A34" w14:paraId="65BD6CCA" w14:textId="77777777">
      <w:pPr>
        <w:spacing w:after="0" w:line="240" w:lineRule="auto"/>
        <w:ind w:left="720" w:hanging="360"/>
      </w:pPr>
    </w:p>
    <w:p w:rsidRPr="001C5CB4" w:rsidR="006A0A34" w:rsidRDefault="006A0A34" w14:paraId="2F03773F" w14:textId="79593C5D">
      <w:pPr>
        <w:spacing w:after="0" w:line="240" w:lineRule="auto"/>
        <w:ind w:left="810" w:hanging="450"/>
      </w:pPr>
      <w:r w:rsidRPr="00AC27FF">
        <w:t>(</w:t>
      </w:r>
      <w:r>
        <w:t>7</w:t>
      </w:r>
      <w:r w:rsidRPr="00AC27FF">
        <w:t xml:space="preserve">)  </w:t>
      </w:r>
      <w:r w:rsidRPr="00AC27FF">
        <w:rPr>
          <w:u w:val="single"/>
        </w:rPr>
        <w:t>Explanation of calculation</w:t>
      </w:r>
      <w:r w:rsidRPr="00AC27FF">
        <w:t>:  We estimate that each privately held rate-of-return carrier will spend at least 15 hours filing its RUS Operating Report for Telecommunications Borrowers, audited financial statements, or financial statements reviewed by a certified public accountant</w:t>
      </w:r>
      <w:r w:rsidR="00552C89">
        <w:rPr>
          <w:color w:val="000000"/>
        </w:rPr>
        <w:t>:</w:t>
      </w:r>
      <w:r w:rsidRPr="00AC27FF">
        <w:rPr>
          <w:color w:val="000000"/>
        </w:rPr>
        <w:t xml:space="preserve">  </w:t>
      </w:r>
      <w:r>
        <w:rPr>
          <w:color w:val="000000"/>
        </w:rPr>
        <w:t>625 (</w:t>
      </w:r>
      <w:r w:rsidRPr="00AC27FF">
        <w:rPr>
          <w:color w:val="000000"/>
        </w:rPr>
        <w:t>respon</w:t>
      </w:r>
      <w:r>
        <w:rPr>
          <w:color w:val="000000"/>
        </w:rPr>
        <w:t>ses</w:t>
      </w:r>
      <w:r w:rsidRPr="00AC27FF">
        <w:rPr>
          <w:color w:val="000000"/>
        </w:rPr>
        <w:t xml:space="preserve">) x 15 (hours to prepare and submit financial statements) x </w:t>
      </w:r>
      <w:r w:rsidRPr="00AC27FF">
        <w:t>$40/h</w:t>
      </w:r>
      <w:r w:rsidR="00552C89">
        <w:t>our</w:t>
      </w:r>
      <w:r w:rsidRPr="00AC27FF">
        <w:t xml:space="preserve"> </w:t>
      </w:r>
      <w:r w:rsidRPr="00AC27FF">
        <w:rPr>
          <w:color w:val="000000"/>
        </w:rPr>
        <w:t>= $</w:t>
      </w:r>
      <w:r>
        <w:rPr>
          <w:color w:val="000000"/>
        </w:rPr>
        <w:t>375,000</w:t>
      </w:r>
      <w:r w:rsidRPr="00AC27FF">
        <w:rPr>
          <w:color w:val="000000"/>
        </w:rPr>
        <w:t>.</w:t>
      </w:r>
      <w:r w:rsidRPr="00AC27FF">
        <w:rPr>
          <w:color w:val="000000"/>
        </w:rPr>
        <w:br/>
      </w:r>
    </w:p>
    <w:p w:rsidRPr="001C5CB4" w:rsidR="003D44B3" w:rsidRDefault="003D44B3" w14:paraId="4BC413AB" w14:textId="35A3B397">
      <w:pPr>
        <w:pStyle w:val="Heading4"/>
        <w:spacing w:after="0" w:line="240" w:lineRule="auto"/>
      </w:pPr>
      <w:r w:rsidRPr="001C5CB4">
        <w:t>Cost Consultant Information for Rate-of-Return Carriers (Form 481) (no revisions)</w:t>
      </w:r>
      <w:r w:rsidRPr="00137F86">
        <w:rPr>
          <w:u w:val="none"/>
        </w:rPr>
        <w:t xml:space="preserve">: </w:t>
      </w:r>
    </w:p>
    <w:p w:rsidRPr="00D87D19" w:rsidR="003D44B3" w:rsidRDefault="003D44B3" w14:paraId="3C335858" w14:textId="77777777">
      <w:pPr>
        <w:spacing w:after="0" w:line="240" w:lineRule="auto"/>
        <w:ind w:hanging="360"/>
      </w:pPr>
    </w:p>
    <w:p w:rsidRPr="00AC27FF" w:rsidR="003D44B3" w:rsidRDefault="003D44B3" w14:paraId="18D0FDEA" w14:textId="77777777">
      <w:pPr>
        <w:spacing w:after="0" w:line="240" w:lineRule="auto"/>
        <w:ind w:left="720" w:hanging="360"/>
      </w:pPr>
      <w:r w:rsidRPr="00AC27FF">
        <w:t xml:space="preserve">(1) </w:t>
      </w:r>
      <w:r w:rsidRPr="00AC27FF">
        <w:rPr>
          <w:u w:val="single"/>
        </w:rPr>
        <w:t>Number of respondents</w:t>
      </w:r>
      <w:r w:rsidRPr="00AC27FF">
        <w:t>:  Approximately 1,141 rate-of-retu</w:t>
      </w:r>
      <w:r>
        <w:t xml:space="preserve">rn carriers will be required to answer whether they retained a cost consultant and cost consulting firm, or other third-party, to prepare financial and operations data disclosures, and provide the applicable names, if any.  </w:t>
      </w:r>
    </w:p>
    <w:p w:rsidRPr="00AC27FF" w:rsidR="003D44B3" w:rsidRDefault="003D44B3" w14:paraId="24A9BA99" w14:textId="77777777">
      <w:pPr>
        <w:spacing w:after="0" w:line="240" w:lineRule="auto"/>
        <w:ind w:left="720" w:hanging="360"/>
      </w:pPr>
    </w:p>
    <w:p w:rsidRPr="00AC27FF" w:rsidR="003D44B3" w:rsidRDefault="003D44B3" w14:paraId="1E684917"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3D44B3" w:rsidRDefault="003D44B3" w14:paraId="21C8B21A" w14:textId="77777777">
      <w:pPr>
        <w:spacing w:after="0" w:line="240" w:lineRule="auto"/>
        <w:ind w:left="720" w:hanging="360"/>
      </w:pPr>
    </w:p>
    <w:p w:rsidR="003D44B3" w:rsidRDefault="003D44B3" w14:paraId="2B655282" w14:textId="551017E3">
      <w:pPr>
        <w:spacing w:after="0" w:line="240" w:lineRule="auto"/>
        <w:ind w:left="720" w:hanging="360"/>
      </w:pPr>
      <w:r w:rsidRPr="00AC27FF">
        <w:t xml:space="preserve">(3) </w:t>
      </w:r>
      <w:r w:rsidRPr="0046244E">
        <w:rPr>
          <w:u w:val="single"/>
        </w:rPr>
        <w:t>Total number of responses per respondent</w:t>
      </w:r>
      <w:r>
        <w:t xml:space="preserve">: </w:t>
      </w:r>
      <w:r w:rsidR="00552C89">
        <w:t xml:space="preserve"> </w:t>
      </w:r>
      <w:r>
        <w:t xml:space="preserve">Approximately 1. </w:t>
      </w:r>
    </w:p>
    <w:p w:rsidRPr="00D87D19" w:rsidR="003D44B3" w:rsidRDefault="003D44B3" w14:paraId="691B0E81" w14:textId="77777777">
      <w:pPr>
        <w:spacing w:after="0" w:line="240" w:lineRule="auto"/>
        <w:ind w:left="720" w:hanging="360"/>
      </w:pPr>
    </w:p>
    <w:p w:rsidR="003D44B3" w:rsidRDefault="003D44B3" w14:paraId="4E085D6E" w14:textId="77777777">
      <w:pPr>
        <w:spacing w:after="0" w:line="240" w:lineRule="auto"/>
        <w:ind w:left="720" w:hanging="360"/>
      </w:pPr>
      <w:r>
        <w:t xml:space="preserve">(4) </w:t>
      </w:r>
      <w:r w:rsidRPr="0046244E">
        <w:rPr>
          <w:u w:val="single"/>
        </w:rPr>
        <w:t>Estimated time per response</w:t>
      </w:r>
      <w:r w:rsidRPr="00D87D19">
        <w:t>:</w:t>
      </w:r>
      <w:r>
        <w:t xml:space="preserve">  0.1 hours. </w:t>
      </w:r>
    </w:p>
    <w:p w:rsidRPr="00D87D19" w:rsidR="003D44B3" w:rsidRDefault="003D44B3" w14:paraId="31F51463" w14:textId="77777777">
      <w:pPr>
        <w:spacing w:after="0" w:line="240" w:lineRule="auto"/>
        <w:ind w:left="720" w:hanging="360"/>
      </w:pPr>
    </w:p>
    <w:p w:rsidR="003D44B3" w:rsidRDefault="003D44B3" w14:paraId="221BE21F" w14:textId="77777777">
      <w:pPr>
        <w:spacing w:after="0" w:line="240" w:lineRule="auto"/>
        <w:ind w:left="720" w:hanging="360"/>
      </w:pPr>
      <w:r w:rsidRPr="0046244E">
        <w:t xml:space="preserve">(5) </w:t>
      </w:r>
      <w:r w:rsidRPr="0046244E">
        <w:rPr>
          <w:u w:val="single"/>
        </w:rPr>
        <w:t>Total annual hour burden</w:t>
      </w:r>
      <w:r w:rsidRPr="00AC27FF">
        <w:t xml:space="preserve">:  </w:t>
      </w:r>
      <w:r>
        <w:t xml:space="preserve">114 hours. </w:t>
      </w:r>
    </w:p>
    <w:p w:rsidR="003D44B3" w:rsidRDefault="003D44B3" w14:paraId="22BE9608" w14:textId="77777777">
      <w:pPr>
        <w:spacing w:after="0" w:line="240" w:lineRule="auto"/>
        <w:ind w:left="720" w:hanging="360"/>
      </w:pPr>
    </w:p>
    <w:p w:rsidRPr="002D766F" w:rsidR="003D44B3" w:rsidRDefault="003D44B3" w14:paraId="048E716C" w14:textId="46D8DA86">
      <w:pPr>
        <w:spacing w:after="0" w:line="240" w:lineRule="auto"/>
        <w:ind w:left="720"/>
      </w:pPr>
      <w:r>
        <w:t xml:space="preserve">0.1 </w:t>
      </w:r>
      <w:r w:rsidRPr="00376125">
        <w:t xml:space="preserve">hour per respondent for 1,141 respondents filing annually.  Total annual hour </w:t>
      </w:r>
      <w:r w:rsidRPr="00553C3F">
        <w:t>burden is</w:t>
      </w:r>
      <w:r w:rsidRPr="002D766F">
        <w:t xml:space="preserve"> calculated as follows: </w:t>
      </w:r>
    </w:p>
    <w:p w:rsidR="003D44B3" w:rsidRDefault="003D44B3" w14:paraId="67A1FEC5" w14:textId="77777777">
      <w:pPr>
        <w:spacing w:after="0" w:line="240" w:lineRule="auto"/>
      </w:pPr>
    </w:p>
    <w:p w:rsidRPr="00376125" w:rsidR="003D44B3" w:rsidRDefault="003D44B3" w14:paraId="4CB7B0CB" w14:textId="77777777">
      <w:pPr>
        <w:spacing w:after="0" w:line="240" w:lineRule="auto"/>
        <w:ind w:left="720"/>
      </w:pPr>
      <w:r w:rsidRPr="00376125">
        <w:lastRenderedPageBreak/>
        <w:t>1,141 respondents x 1 report per respondent = 1,141 responses x 0.1 hours</w:t>
      </w:r>
      <w:r w:rsidRPr="00E34D8D">
        <w:t xml:space="preserve"> = </w:t>
      </w:r>
      <w:r w:rsidRPr="00E34D8D">
        <w:rPr>
          <w:b/>
        </w:rPr>
        <w:t>114</w:t>
      </w:r>
      <w:r w:rsidRPr="007751AE">
        <w:rPr>
          <w:b/>
        </w:rPr>
        <w:t xml:space="preserve"> </w:t>
      </w:r>
      <w:r>
        <w:rPr>
          <w:b/>
        </w:rPr>
        <w:t xml:space="preserve">total annual </w:t>
      </w:r>
      <w:r w:rsidRPr="00376125">
        <w:rPr>
          <w:b/>
        </w:rPr>
        <w:t>hours</w:t>
      </w:r>
      <w:r w:rsidRPr="00376125">
        <w:t>.</w:t>
      </w:r>
    </w:p>
    <w:p w:rsidRPr="00AC27FF" w:rsidR="003D44B3" w:rsidRDefault="003D44B3" w14:paraId="3E0644CC" w14:textId="77777777">
      <w:pPr>
        <w:spacing w:after="0" w:line="240" w:lineRule="auto"/>
        <w:ind w:left="720" w:hanging="360"/>
      </w:pPr>
    </w:p>
    <w:p w:rsidRPr="00AC27FF" w:rsidR="003D44B3" w:rsidRDefault="003D44B3" w14:paraId="118A12EA" w14:textId="173E169B">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w:t>
      </w:r>
      <w:r>
        <w:t>4,56</w:t>
      </w:r>
      <w:r w:rsidR="003347DC">
        <w:t>0</w:t>
      </w:r>
      <w:r w:rsidRPr="00AC27FF">
        <w:t>.  (</w:t>
      </w:r>
      <w:r>
        <w:t>114</w:t>
      </w:r>
      <w:r w:rsidRPr="00AC27FF">
        <w:t xml:space="preserve"> hours x $40/hour).</w:t>
      </w:r>
    </w:p>
    <w:p w:rsidRPr="00AC27FF" w:rsidR="003D44B3" w:rsidRDefault="003D44B3" w14:paraId="79045573" w14:textId="77777777">
      <w:pPr>
        <w:spacing w:after="0" w:line="240" w:lineRule="auto"/>
        <w:ind w:left="720" w:hanging="360"/>
      </w:pPr>
    </w:p>
    <w:p w:rsidRPr="001C5CB4" w:rsidR="006A0A34" w:rsidRDefault="003D44B3" w14:paraId="3D6D8D8E" w14:textId="4F31EF5C">
      <w:pPr>
        <w:spacing w:after="0" w:line="240" w:lineRule="auto"/>
        <w:ind w:left="720" w:hanging="360"/>
      </w:pPr>
      <w:r w:rsidRPr="00AC27FF">
        <w:t>(</w:t>
      </w:r>
      <w:r>
        <w:t>7</w:t>
      </w:r>
      <w:r w:rsidRPr="00AC27FF">
        <w:t xml:space="preserve">) </w:t>
      </w:r>
      <w:r w:rsidRPr="00AC27FF">
        <w:rPr>
          <w:u w:val="single"/>
        </w:rPr>
        <w:t>Explanation of calculation</w:t>
      </w:r>
      <w:r>
        <w:t xml:space="preserve">:  We estimate that </w:t>
      </w:r>
      <w:r w:rsidRPr="00AC27FF">
        <w:t>rate-of-return carrier</w:t>
      </w:r>
      <w:r>
        <w:t>s</w:t>
      </w:r>
      <w:r w:rsidRPr="00AC27FF">
        <w:t xml:space="preserve"> will spend</w:t>
      </w:r>
      <w:r>
        <w:t>, on average,</w:t>
      </w:r>
      <w:r w:rsidRPr="00AC27FF">
        <w:t xml:space="preserve"> </w:t>
      </w:r>
      <w:r>
        <w:t>approximately 0.1</w:t>
      </w:r>
      <w:r w:rsidRPr="00AC27FF">
        <w:t xml:space="preserve"> hour</w:t>
      </w:r>
      <w:r>
        <w:t>s</w:t>
      </w:r>
      <w:r w:rsidRPr="00AC27FF">
        <w:t xml:space="preserve"> </w:t>
      </w:r>
      <w:r>
        <w:t>providing the name of any applicable cost consultants, cost consulting firms, and other third parties</w:t>
      </w:r>
      <w:r w:rsidR="00552C89">
        <w:t>:</w:t>
      </w:r>
      <w:r>
        <w:rPr>
          <w:color w:val="000000"/>
        </w:rPr>
        <w:t xml:space="preserve">  1,141</w:t>
      </w:r>
      <w:r w:rsidRPr="00D87D19">
        <w:rPr>
          <w:color w:val="000000"/>
        </w:rPr>
        <w:t xml:space="preserve"> (responses) x </w:t>
      </w:r>
      <w:r>
        <w:rPr>
          <w:color w:val="000000"/>
        </w:rPr>
        <w:t>0.1</w:t>
      </w:r>
      <w:r w:rsidRPr="00D87D19">
        <w:rPr>
          <w:color w:val="000000"/>
        </w:rPr>
        <w:t xml:space="preserve"> (hours to </w:t>
      </w:r>
      <w:r>
        <w:t>track and report this information</w:t>
      </w:r>
      <w:r w:rsidRPr="00D87D19">
        <w:rPr>
          <w:color w:val="000000"/>
        </w:rPr>
        <w:t xml:space="preserve">) x </w:t>
      </w:r>
      <w:r w:rsidRPr="00AC27FF">
        <w:t>$40/h</w:t>
      </w:r>
      <w:r>
        <w:t>our</w:t>
      </w:r>
      <w:r w:rsidRPr="00AC27FF">
        <w:t xml:space="preserve"> </w:t>
      </w:r>
      <w:r w:rsidRPr="00D87D19">
        <w:rPr>
          <w:color w:val="000000"/>
        </w:rPr>
        <w:t>= $</w:t>
      </w:r>
      <w:r>
        <w:rPr>
          <w:color w:val="000000"/>
        </w:rPr>
        <w:t>4,56</w:t>
      </w:r>
      <w:r w:rsidR="003347DC">
        <w:rPr>
          <w:color w:val="000000"/>
        </w:rPr>
        <w:t>0</w:t>
      </w:r>
      <w:r w:rsidRPr="00D87D19">
        <w:rPr>
          <w:color w:val="000000"/>
        </w:rPr>
        <w:t>.</w:t>
      </w:r>
    </w:p>
    <w:p w:rsidR="006A0A34" w:rsidRDefault="006A0A34" w14:paraId="2EDC527C" w14:textId="77777777">
      <w:pPr>
        <w:tabs>
          <w:tab w:val="left" w:pos="2250"/>
        </w:tabs>
        <w:spacing w:after="0" w:line="240" w:lineRule="auto"/>
        <w:ind w:left="720" w:hanging="360"/>
      </w:pPr>
    </w:p>
    <w:p w:rsidRPr="001C5CB4" w:rsidR="006A0A34" w:rsidRDefault="006A0A34" w14:paraId="555526FA" w14:textId="3F348E17">
      <w:pPr>
        <w:pStyle w:val="Heading4"/>
        <w:spacing w:after="0" w:line="240" w:lineRule="auto"/>
      </w:pPr>
      <w:r w:rsidRPr="001C5CB4">
        <w:t>Additional Reporting</w:t>
      </w:r>
      <w:r w:rsidR="0053400D">
        <w:t xml:space="preserve"> Requirements</w:t>
      </w:r>
      <w:r w:rsidRPr="001C5CB4">
        <w:t xml:space="preserve"> for Rural Broadband Experiment</w:t>
      </w:r>
      <w:r w:rsidR="000F362E">
        <w:t xml:space="preserve"> Support Recipient</w:t>
      </w:r>
      <w:r w:rsidR="00C651E0">
        <w:t>s</w:t>
      </w:r>
      <w:r w:rsidRPr="001C5CB4">
        <w:t xml:space="preserve"> (FCC Form 481) (no revisions)</w:t>
      </w:r>
      <w:r w:rsidRPr="00137F86">
        <w:rPr>
          <w:u w:val="none"/>
        </w:rPr>
        <w:t xml:space="preserve">: </w:t>
      </w:r>
    </w:p>
    <w:p w:rsidRPr="00AC27FF" w:rsidR="006A0A34" w:rsidRDefault="006A0A34" w14:paraId="3EC52D0C" w14:textId="77777777">
      <w:pPr>
        <w:spacing w:after="0" w:line="240" w:lineRule="auto"/>
        <w:ind w:hanging="360"/>
        <w:rPr>
          <w:b/>
          <w:u w:val="single"/>
        </w:rPr>
      </w:pPr>
    </w:p>
    <w:p w:rsidRPr="00AC27FF" w:rsidR="006A0A34" w:rsidRDefault="006A0A34" w14:paraId="2D5DF23D" w14:textId="77777777">
      <w:pPr>
        <w:spacing w:after="0" w:line="240" w:lineRule="auto"/>
        <w:ind w:left="720" w:hanging="360"/>
      </w:pPr>
      <w:r w:rsidRPr="00AC27FF">
        <w:t xml:space="preserve">(1) </w:t>
      </w:r>
      <w:r w:rsidRPr="00AC27FF">
        <w:rPr>
          <w:u w:val="single"/>
        </w:rPr>
        <w:t>Number of respondents</w:t>
      </w:r>
      <w:r w:rsidRPr="00AC27FF">
        <w:t xml:space="preserve">:  Approximately </w:t>
      </w:r>
      <w:r>
        <w:t>20</w:t>
      </w:r>
      <w:r w:rsidRPr="00AC27FF">
        <w:t xml:space="preserve">.  </w:t>
      </w:r>
      <w:r>
        <w:t>Recipients of rural broadband experiment support</w:t>
      </w:r>
      <w:r w:rsidRPr="00AC27FF">
        <w:t xml:space="preserve"> </w:t>
      </w:r>
      <w:r>
        <w:t>must report this data and make these certifications</w:t>
      </w:r>
      <w:r w:rsidRPr="00AC27FF">
        <w:t>.</w:t>
      </w:r>
    </w:p>
    <w:p w:rsidRPr="00AC27FF" w:rsidR="006A0A34" w:rsidRDefault="006A0A34" w14:paraId="0822CF94" w14:textId="77777777">
      <w:pPr>
        <w:spacing w:after="0" w:line="240" w:lineRule="auto"/>
        <w:ind w:left="720" w:hanging="360"/>
      </w:pPr>
    </w:p>
    <w:p w:rsidRPr="00AC27FF" w:rsidR="006A0A34" w:rsidRDefault="006A0A34" w14:paraId="3A8203D5" w14:textId="77777777">
      <w:pPr>
        <w:spacing w:after="0" w:line="240" w:lineRule="auto"/>
        <w:ind w:left="720" w:hanging="360"/>
      </w:pPr>
      <w:r w:rsidRPr="00AC27FF">
        <w:t xml:space="preserve">(2) </w:t>
      </w:r>
      <w:r w:rsidRPr="00AC27FF">
        <w:rPr>
          <w:u w:val="single"/>
        </w:rPr>
        <w:t>Frequency of response</w:t>
      </w:r>
      <w:r w:rsidRPr="00AC27FF">
        <w:t xml:space="preserve">:  </w:t>
      </w:r>
      <w:r>
        <w:t>A</w:t>
      </w:r>
      <w:r w:rsidRPr="00AC27FF">
        <w:t xml:space="preserve">nnually. </w:t>
      </w:r>
      <w:r>
        <w:t xml:space="preserve"> </w:t>
      </w:r>
      <w:r w:rsidRPr="00AC27FF">
        <w:br/>
        <w:t xml:space="preserve"> </w:t>
      </w:r>
    </w:p>
    <w:p w:rsidR="006A0A34" w:rsidRDefault="006A0A34" w14:paraId="28D9DC85" w14:textId="4681B68C">
      <w:pPr>
        <w:spacing w:after="0" w:line="240" w:lineRule="auto"/>
        <w:ind w:left="720" w:hanging="360"/>
      </w:pPr>
      <w:r w:rsidRPr="00AC27FF">
        <w:t xml:space="preserve">(3) </w:t>
      </w:r>
      <w:r w:rsidRPr="0053135F">
        <w:rPr>
          <w:u w:val="single"/>
        </w:rPr>
        <w:t>Total number of responses per respondent</w:t>
      </w:r>
      <w:r>
        <w:t xml:space="preserve">: </w:t>
      </w:r>
      <w:r w:rsidR="00552C89">
        <w:t xml:space="preserve"> </w:t>
      </w:r>
      <w:r>
        <w:t xml:space="preserve">Approximately 1.   </w:t>
      </w:r>
    </w:p>
    <w:p w:rsidR="006A0A34" w:rsidRDefault="006A0A34" w14:paraId="48EDA180" w14:textId="77777777">
      <w:pPr>
        <w:spacing w:after="0" w:line="240" w:lineRule="auto"/>
        <w:ind w:left="720" w:hanging="360"/>
      </w:pPr>
    </w:p>
    <w:p w:rsidR="006A0A34" w:rsidRDefault="006A0A34" w14:paraId="5F597467" w14:textId="77777777">
      <w:pPr>
        <w:spacing w:after="0" w:line="240" w:lineRule="auto"/>
        <w:ind w:left="720" w:hanging="360"/>
      </w:pPr>
      <w:r>
        <w:t xml:space="preserve">(4) </w:t>
      </w:r>
      <w:r w:rsidRPr="0053135F">
        <w:rPr>
          <w:u w:val="single"/>
        </w:rPr>
        <w:t>Estimated time per response</w:t>
      </w:r>
      <w:r>
        <w:t>:  3 hours.</w:t>
      </w:r>
    </w:p>
    <w:p w:rsidR="006A0A34" w:rsidRDefault="006A0A34" w14:paraId="05D38982" w14:textId="77777777">
      <w:pPr>
        <w:spacing w:after="0" w:line="240" w:lineRule="auto"/>
        <w:ind w:left="720" w:hanging="360"/>
      </w:pPr>
    </w:p>
    <w:p w:rsidR="006A0A34" w:rsidRDefault="006A0A34" w14:paraId="1F4EFDE5" w14:textId="77777777">
      <w:pPr>
        <w:spacing w:after="0" w:line="240" w:lineRule="auto"/>
        <w:ind w:left="720" w:hanging="360"/>
      </w:pPr>
      <w:r w:rsidRPr="00423F95">
        <w:t>(5)</w:t>
      </w:r>
      <w:r w:rsidRPr="00D43798">
        <w:t xml:space="preserve"> </w:t>
      </w:r>
      <w:r>
        <w:rPr>
          <w:u w:val="single"/>
        </w:rPr>
        <w:t>Total a</w:t>
      </w:r>
      <w:r w:rsidRPr="00AC27FF">
        <w:rPr>
          <w:u w:val="single"/>
        </w:rPr>
        <w:t>nnual hour burden</w:t>
      </w:r>
      <w:r>
        <w:t>:  60 hours.</w:t>
      </w:r>
    </w:p>
    <w:p w:rsidR="006A0A34" w:rsidRDefault="006A0A34" w14:paraId="346F007A" w14:textId="77777777">
      <w:pPr>
        <w:spacing w:after="0" w:line="240" w:lineRule="auto"/>
        <w:ind w:left="720" w:hanging="360"/>
      </w:pPr>
    </w:p>
    <w:p w:rsidRPr="00AC27FF" w:rsidR="006A0A34" w:rsidRDefault="006A0A34" w14:paraId="21720A56" w14:textId="77777777">
      <w:pPr>
        <w:spacing w:after="0" w:line="240" w:lineRule="auto"/>
        <w:ind w:left="720" w:hanging="360"/>
      </w:pPr>
      <w:r>
        <w:t xml:space="preserve">      3</w:t>
      </w:r>
      <w:r w:rsidRPr="00AC27FF">
        <w:t xml:space="preserve"> hours per respondent for </w:t>
      </w:r>
      <w:r>
        <w:t>20</w:t>
      </w:r>
      <w:r w:rsidRPr="00AC27FF">
        <w:t xml:space="preserve"> carriers filing on an annual basis.  Total annual hour burden is calculated as follows:  </w:t>
      </w:r>
    </w:p>
    <w:p w:rsidRPr="00AC27FF" w:rsidR="006A0A34" w:rsidRDefault="006A0A34" w14:paraId="2F0339B1" w14:textId="77777777">
      <w:pPr>
        <w:spacing w:after="0" w:line="240" w:lineRule="auto"/>
        <w:ind w:left="720"/>
      </w:pPr>
    </w:p>
    <w:p w:rsidRPr="00AC27FF" w:rsidR="006A0A34" w:rsidRDefault="006A0A34" w14:paraId="29C91AD6" w14:textId="77777777">
      <w:pPr>
        <w:spacing w:after="0" w:line="240" w:lineRule="auto"/>
        <w:ind w:left="720"/>
      </w:pPr>
      <w:r>
        <w:t>20</w:t>
      </w:r>
      <w:r w:rsidRPr="00AC27FF">
        <w:t xml:space="preserve"> respondents x 1 </w:t>
      </w:r>
      <w:r>
        <w:t>certification</w:t>
      </w:r>
      <w:r w:rsidRPr="00AC27FF">
        <w:t xml:space="preserve"> per respondent = </w:t>
      </w:r>
      <w:r>
        <w:t>20 responses x 3</w:t>
      </w:r>
      <w:r w:rsidRPr="00AC27FF">
        <w:t xml:space="preserve"> hours = </w:t>
      </w:r>
      <w:r>
        <w:rPr>
          <w:b/>
        </w:rPr>
        <w:t>60</w:t>
      </w:r>
      <w:r w:rsidRPr="00AC27FF">
        <w:rPr>
          <w:b/>
        </w:rPr>
        <w:t xml:space="preserve"> total annual hours.</w:t>
      </w:r>
      <w:r w:rsidRPr="00AC27FF">
        <w:t xml:space="preserve">  </w:t>
      </w:r>
    </w:p>
    <w:p w:rsidRPr="00AC27FF" w:rsidR="006A0A34" w:rsidRDefault="006A0A34" w14:paraId="23174DEC" w14:textId="77777777">
      <w:pPr>
        <w:spacing w:after="0" w:line="240" w:lineRule="auto"/>
        <w:ind w:left="720" w:hanging="360"/>
      </w:pPr>
    </w:p>
    <w:p w:rsidRPr="00AC27FF" w:rsidR="006A0A34" w:rsidRDefault="006A0A34" w14:paraId="501529D4" w14:textId="73899363">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w:t>
      </w:r>
      <w:r>
        <w:t xml:space="preserve">2,400. </w:t>
      </w:r>
      <w:r w:rsidR="00634F08">
        <w:t xml:space="preserve"> </w:t>
      </w:r>
      <w:r w:rsidRPr="00AC27FF">
        <w:t>(</w:t>
      </w:r>
      <w:r>
        <w:t>60</w:t>
      </w:r>
      <w:r w:rsidRPr="00AC27FF">
        <w:t xml:space="preserve"> hours x $40/h</w:t>
      </w:r>
      <w:r w:rsidR="00552C89">
        <w:t>our</w:t>
      </w:r>
      <w:r w:rsidRPr="00AC27FF">
        <w:t>).</w:t>
      </w:r>
    </w:p>
    <w:p w:rsidRPr="00AC27FF" w:rsidR="006A0A34" w:rsidRDefault="006A0A34" w14:paraId="56F294B6" w14:textId="77777777">
      <w:pPr>
        <w:spacing w:after="0" w:line="240" w:lineRule="auto"/>
        <w:ind w:left="720" w:hanging="360"/>
      </w:pPr>
    </w:p>
    <w:p w:rsidRPr="00AC27FF" w:rsidR="006A0A34" w:rsidRDefault="006A0A34" w14:paraId="57806480" w14:textId="21759774">
      <w:pPr>
        <w:spacing w:after="0" w:line="240" w:lineRule="auto"/>
        <w:ind w:left="720" w:hanging="360"/>
      </w:pPr>
      <w:r w:rsidRPr="00AC27FF">
        <w:t>(</w:t>
      </w:r>
      <w:r>
        <w:t>7</w:t>
      </w:r>
      <w:r w:rsidRPr="00AC27FF">
        <w:t xml:space="preserve">) </w:t>
      </w:r>
      <w:r w:rsidRPr="00AC27FF">
        <w:rPr>
          <w:u w:val="single"/>
        </w:rPr>
        <w:t>Explanation of calculation</w:t>
      </w:r>
      <w:r w:rsidRPr="00AC27FF">
        <w:t xml:space="preserve">:  We estimate that each </w:t>
      </w:r>
      <w:r>
        <w:t>rural broadband experiment support recipient will take 3</w:t>
      </w:r>
      <w:r w:rsidRPr="00AC27FF">
        <w:t xml:space="preserve"> hours to gather and submit the </w:t>
      </w:r>
      <w:r>
        <w:t>community anchor institution data</w:t>
      </w:r>
      <w:r w:rsidRPr="00AC27FF">
        <w:t xml:space="preserve"> to the Commission</w:t>
      </w:r>
      <w:r>
        <w:t xml:space="preserve"> and make the required certification</w:t>
      </w:r>
      <w:r w:rsidRPr="00AC27FF">
        <w:t xml:space="preserve">: </w:t>
      </w:r>
      <w:r w:rsidR="00552C89">
        <w:t xml:space="preserve"> </w:t>
      </w:r>
      <w:r>
        <w:t>20 (responses) x 3</w:t>
      </w:r>
      <w:r w:rsidRPr="00AC27FF">
        <w:t xml:space="preserve"> (hours to pr</w:t>
      </w:r>
      <w:r>
        <w:t xml:space="preserve">epare </w:t>
      </w:r>
      <w:r w:rsidRPr="00F54D78">
        <w:t>certification</w:t>
      </w:r>
      <w:r>
        <w:t>) x $40/h</w:t>
      </w:r>
      <w:r w:rsidR="00552C89">
        <w:t>our</w:t>
      </w:r>
      <w:r w:rsidRPr="00AC27FF">
        <w:t xml:space="preserve"> = $</w:t>
      </w:r>
      <w:r>
        <w:t>2,400</w:t>
      </w:r>
      <w:r w:rsidRPr="00AC27FF">
        <w:t>.</w:t>
      </w:r>
    </w:p>
    <w:p w:rsidRPr="00AC27FF" w:rsidR="006A0A34" w:rsidRDefault="006A0A34" w14:paraId="739C5B83" w14:textId="77777777">
      <w:pPr>
        <w:spacing w:after="0" w:line="240" w:lineRule="auto"/>
      </w:pPr>
    </w:p>
    <w:p w:rsidRPr="001C5CB4" w:rsidR="006A0A34" w:rsidRDefault="006A0A34" w14:paraId="506FA8B3" w14:textId="2E5468A9">
      <w:pPr>
        <w:pStyle w:val="Heading4"/>
        <w:spacing w:after="0" w:line="240" w:lineRule="auto"/>
      </w:pPr>
      <w:bookmarkStart w:name="_Hlk500929786" w:id="1"/>
      <w:r w:rsidRPr="001C5CB4">
        <w:t>Newly Available Backhaul Reporting for Alaska Plan Participants (Form 481) (no revisions)</w:t>
      </w:r>
      <w:r w:rsidRPr="00137F86">
        <w:rPr>
          <w:u w:val="none"/>
        </w:rPr>
        <w:t>:</w:t>
      </w:r>
      <w:r w:rsidRPr="001C5CB4">
        <w:t xml:space="preserve"> </w:t>
      </w:r>
    </w:p>
    <w:p w:rsidRPr="00AC27FF" w:rsidR="006A0A34" w:rsidRDefault="006A0A34" w14:paraId="66A7BB75" w14:textId="77777777">
      <w:pPr>
        <w:spacing w:after="0" w:line="240" w:lineRule="auto"/>
        <w:rPr>
          <w:b/>
          <w:u w:val="single"/>
        </w:rPr>
      </w:pPr>
    </w:p>
    <w:p w:rsidRPr="00AC27FF" w:rsidR="006A0A34" w:rsidRDefault="006A0A34" w14:paraId="4BCF6EF0" w14:textId="77777777">
      <w:pPr>
        <w:spacing w:after="0" w:line="240" w:lineRule="auto"/>
        <w:ind w:left="720" w:hanging="360"/>
      </w:pPr>
      <w:r w:rsidRPr="00AC27FF">
        <w:t xml:space="preserve">(1) </w:t>
      </w:r>
      <w:r w:rsidRPr="00AC27FF">
        <w:rPr>
          <w:u w:val="single"/>
        </w:rPr>
        <w:t>Number of respondents</w:t>
      </w:r>
      <w:r w:rsidRPr="00AC27FF">
        <w:t xml:space="preserve">:  </w:t>
      </w:r>
      <w:r>
        <w:t>Approximately 21 rate-of-return carriers and competitive ETCs participating in the Alaska Plan will be required to certify and submit information regarding the commercial availability of backhaul</w:t>
      </w:r>
      <w:r w:rsidRPr="00AC27FF">
        <w:t xml:space="preserve">.  </w:t>
      </w:r>
    </w:p>
    <w:p w:rsidRPr="00AC27FF" w:rsidR="006A0A34" w:rsidRDefault="006A0A34" w14:paraId="6FDFDB8E" w14:textId="77777777">
      <w:pPr>
        <w:spacing w:after="0" w:line="240" w:lineRule="auto"/>
        <w:ind w:left="720" w:hanging="360"/>
      </w:pPr>
    </w:p>
    <w:p w:rsidRPr="00AC27FF" w:rsidR="006A0A34" w:rsidRDefault="006A0A34" w14:paraId="79F6C5C7" w14:textId="77777777">
      <w:pPr>
        <w:spacing w:after="0" w:line="240" w:lineRule="auto"/>
        <w:ind w:left="720" w:hanging="360"/>
      </w:pPr>
      <w:r w:rsidRPr="00AC27FF">
        <w:t xml:space="preserve">(2) </w:t>
      </w:r>
      <w:r w:rsidRPr="00AC27FF">
        <w:rPr>
          <w:u w:val="single"/>
        </w:rPr>
        <w:t>Frequency of response</w:t>
      </w:r>
      <w:r w:rsidRPr="00AC27FF">
        <w:t xml:space="preserve">:  </w:t>
      </w:r>
      <w:r>
        <w:t>Annually and occasionally.</w:t>
      </w:r>
      <w:r w:rsidRPr="00AC27FF">
        <w:t xml:space="preserve">  </w:t>
      </w:r>
    </w:p>
    <w:p w:rsidRPr="00AC27FF" w:rsidR="006A0A34" w:rsidRDefault="006A0A34" w14:paraId="0B0E526A" w14:textId="77777777">
      <w:pPr>
        <w:spacing w:after="0" w:line="240" w:lineRule="auto"/>
        <w:ind w:left="720" w:hanging="360"/>
      </w:pPr>
    </w:p>
    <w:p w:rsidR="006A0A34" w:rsidRDefault="006A0A34" w14:paraId="3F7C6E5F" w14:textId="77777777">
      <w:pPr>
        <w:spacing w:after="0" w:line="240" w:lineRule="auto"/>
        <w:ind w:left="720" w:hanging="360"/>
      </w:pPr>
      <w:r>
        <w:lastRenderedPageBreak/>
        <w:t xml:space="preserve">(3) </w:t>
      </w:r>
      <w:r w:rsidRPr="00423F95">
        <w:rPr>
          <w:u w:val="single"/>
        </w:rPr>
        <w:t>Total number of responses per respondent</w:t>
      </w:r>
      <w:r>
        <w:t>:  Approximately 1.</w:t>
      </w:r>
    </w:p>
    <w:p w:rsidR="006A0A34" w:rsidRDefault="006A0A34" w14:paraId="23A2FF64" w14:textId="77777777">
      <w:pPr>
        <w:spacing w:after="0" w:line="240" w:lineRule="auto"/>
        <w:ind w:left="720" w:hanging="360"/>
        <w:rPr>
          <w:u w:val="single"/>
        </w:rPr>
      </w:pPr>
    </w:p>
    <w:p w:rsidRPr="0046233F" w:rsidR="006A0A34" w:rsidRDefault="006A0A34" w14:paraId="3F2C60BE" w14:textId="77777777">
      <w:pPr>
        <w:spacing w:after="0" w:line="240" w:lineRule="auto"/>
        <w:ind w:left="720" w:hanging="360"/>
      </w:pPr>
      <w:r w:rsidRPr="00423F95">
        <w:t xml:space="preserve">(4) </w:t>
      </w:r>
      <w:r>
        <w:rPr>
          <w:u w:val="single"/>
        </w:rPr>
        <w:t>Estimated time per response</w:t>
      </w:r>
      <w:r w:rsidRPr="00137F86">
        <w:t>:</w:t>
      </w:r>
      <w:r w:rsidRPr="0046233F">
        <w:t xml:space="preserve">  </w:t>
      </w:r>
      <w:r>
        <w:t>7</w:t>
      </w:r>
      <w:r w:rsidRPr="0046233F">
        <w:t xml:space="preserve"> hours. </w:t>
      </w:r>
    </w:p>
    <w:p w:rsidR="006A0A34" w:rsidRDefault="006A0A34" w14:paraId="24882275" w14:textId="77777777">
      <w:pPr>
        <w:spacing w:after="0" w:line="240" w:lineRule="auto"/>
        <w:ind w:left="720" w:hanging="360"/>
        <w:rPr>
          <w:u w:val="single"/>
        </w:rPr>
      </w:pPr>
    </w:p>
    <w:p w:rsidR="006A0A34" w:rsidRDefault="006A0A34" w14:paraId="159E9648" w14:textId="77777777">
      <w:pPr>
        <w:spacing w:after="0" w:line="240" w:lineRule="auto"/>
        <w:ind w:left="720" w:hanging="360"/>
      </w:pPr>
      <w:r w:rsidRPr="00423F95">
        <w:t xml:space="preserve">(5) </w:t>
      </w:r>
      <w:r>
        <w:rPr>
          <w:u w:val="single"/>
        </w:rPr>
        <w:t>Total a</w:t>
      </w:r>
      <w:r w:rsidRPr="00AC27FF">
        <w:rPr>
          <w:u w:val="single"/>
        </w:rPr>
        <w:t>nnual hour burden</w:t>
      </w:r>
      <w:r>
        <w:t>:  147 hours.</w:t>
      </w:r>
    </w:p>
    <w:p w:rsidR="006A0A34" w:rsidRDefault="006A0A34" w14:paraId="7FF80F56" w14:textId="77777777">
      <w:pPr>
        <w:spacing w:after="0" w:line="240" w:lineRule="auto"/>
        <w:ind w:left="720" w:hanging="360"/>
      </w:pPr>
    </w:p>
    <w:p w:rsidRPr="00AC27FF" w:rsidR="006A0A34" w:rsidRDefault="006A0A34" w14:paraId="6A714582" w14:textId="77777777">
      <w:pPr>
        <w:spacing w:after="0" w:line="240" w:lineRule="auto"/>
        <w:ind w:left="720" w:hanging="360"/>
      </w:pPr>
      <w:r>
        <w:t xml:space="preserve">      7</w:t>
      </w:r>
      <w:r w:rsidRPr="00AC27FF">
        <w:t xml:space="preserve"> hours per respondent for </w:t>
      </w:r>
      <w:r>
        <w:t>21</w:t>
      </w:r>
      <w:r w:rsidRPr="00AC27FF">
        <w:t xml:space="preserve"> carriers filing on an annual basis.  Total annual hour burden is calculated as follows:  </w:t>
      </w:r>
    </w:p>
    <w:p w:rsidRPr="00AC27FF" w:rsidR="006A0A34" w:rsidRDefault="006A0A34" w14:paraId="16848264" w14:textId="77777777">
      <w:pPr>
        <w:spacing w:after="0" w:line="240" w:lineRule="auto"/>
        <w:ind w:left="720"/>
      </w:pPr>
    </w:p>
    <w:p w:rsidRPr="00AC27FF" w:rsidR="006A0A34" w:rsidRDefault="006A0A34" w14:paraId="748AFAF6" w14:textId="77777777">
      <w:pPr>
        <w:spacing w:after="0" w:line="240" w:lineRule="auto"/>
        <w:ind w:left="720"/>
      </w:pPr>
      <w:r>
        <w:t xml:space="preserve">21 </w:t>
      </w:r>
      <w:r w:rsidRPr="00AC27FF">
        <w:t xml:space="preserve">respondents x </w:t>
      </w:r>
      <w:r>
        <w:t>1</w:t>
      </w:r>
      <w:r w:rsidRPr="00AC27FF">
        <w:t xml:space="preserve"> report per respondent = </w:t>
      </w:r>
      <w:r>
        <w:t>21 responses x 7</w:t>
      </w:r>
      <w:r w:rsidRPr="00AC27FF">
        <w:t xml:space="preserve"> hours = </w:t>
      </w:r>
      <w:r>
        <w:rPr>
          <w:b/>
        </w:rPr>
        <w:t>147</w:t>
      </w:r>
      <w:r w:rsidRPr="00AC27FF">
        <w:rPr>
          <w:b/>
        </w:rPr>
        <w:t xml:space="preserve"> total annual hours.</w:t>
      </w:r>
      <w:r w:rsidRPr="00AC27FF">
        <w:t xml:space="preserve">  </w:t>
      </w:r>
    </w:p>
    <w:p w:rsidRPr="00AC27FF" w:rsidR="006A0A34" w:rsidRDefault="006A0A34" w14:paraId="12CA97E5" w14:textId="77777777">
      <w:pPr>
        <w:spacing w:after="0" w:line="240" w:lineRule="auto"/>
        <w:ind w:left="720" w:hanging="360"/>
      </w:pPr>
    </w:p>
    <w:p w:rsidRPr="00AC27FF" w:rsidR="006A0A34" w:rsidRDefault="006A0A34" w14:paraId="0131EEA8" w14:textId="773FF874">
      <w:pPr>
        <w:spacing w:after="0" w:line="240" w:lineRule="auto"/>
        <w:ind w:left="720" w:hanging="360"/>
      </w:pPr>
      <w:r>
        <w:t xml:space="preserve">(6) </w:t>
      </w:r>
      <w:r>
        <w:rPr>
          <w:u w:val="single"/>
        </w:rPr>
        <w:t xml:space="preserve">Total estimate of in-house </w:t>
      </w:r>
      <w:r w:rsidRPr="00AC27FF">
        <w:rPr>
          <w:u w:val="single"/>
        </w:rPr>
        <w:t>cost to respondents</w:t>
      </w:r>
      <w:r w:rsidRPr="00AC27FF">
        <w:t>:  $</w:t>
      </w:r>
      <w:r>
        <w:t xml:space="preserve">5,880 </w:t>
      </w:r>
      <w:r w:rsidRPr="00AC27FF">
        <w:t>(</w:t>
      </w:r>
      <w:r>
        <w:t>147</w:t>
      </w:r>
      <w:r w:rsidRPr="00AC27FF">
        <w:t xml:space="preserve"> </w:t>
      </w:r>
      <w:r>
        <w:t>hours x $40/hour</w:t>
      </w:r>
      <w:r w:rsidRPr="00AC27FF">
        <w:t>).</w:t>
      </w:r>
    </w:p>
    <w:p w:rsidRPr="00AC27FF" w:rsidR="006A0A34" w:rsidRDefault="006A0A34" w14:paraId="739D5AED" w14:textId="77777777">
      <w:pPr>
        <w:spacing w:after="0" w:line="240" w:lineRule="auto"/>
        <w:ind w:left="720" w:hanging="360"/>
      </w:pPr>
    </w:p>
    <w:p w:rsidR="006A0A34" w:rsidRDefault="006A0A34" w14:paraId="2D4F8422" w14:textId="36E82952">
      <w:pPr>
        <w:tabs>
          <w:tab w:val="left" w:pos="2250"/>
        </w:tabs>
        <w:spacing w:after="0" w:line="240" w:lineRule="auto"/>
        <w:ind w:left="720" w:hanging="360"/>
      </w:pPr>
      <w:r>
        <w:t xml:space="preserve">(7) </w:t>
      </w:r>
      <w:r w:rsidRPr="00AC27FF">
        <w:rPr>
          <w:u w:val="single"/>
        </w:rPr>
        <w:t>Explanation of calculation</w:t>
      </w:r>
      <w:r w:rsidRPr="00AC27FF">
        <w:t xml:space="preserve">:  </w:t>
      </w:r>
      <w:r>
        <w:t>We estimate that each Alaska Plan participant will take 7 hours preparing and submitting the relevant information regarding commercial availability of backhaul and the relevant certification:</w:t>
      </w:r>
      <w:r w:rsidR="00552C89">
        <w:t xml:space="preserve">  </w:t>
      </w:r>
      <w:r>
        <w:t>21 (responses) x 7 (hours to prepare and submit information) x $40/h</w:t>
      </w:r>
      <w:r w:rsidR="00552C89">
        <w:t>our</w:t>
      </w:r>
      <w:r>
        <w:t xml:space="preserve"> = $5,880</w:t>
      </w:r>
      <w:r w:rsidR="00552C89">
        <w:t>.</w:t>
      </w:r>
      <w:r>
        <w:tab/>
        <w:t>.</w:t>
      </w:r>
    </w:p>
    <w:p w:rsidR="006A0A34" w:rsidRDefault="006A0A34" w14:paraId="5E8CDC86" w14:textId="77777777">
      <w:pPr>
        <w:tabs>
          <w:tab w:val="left" w:pos="2250"/>
        </w:tabs>
        <w:spacing w:after="0" w:line="240" w:lineRule="auto"/>
      </w:pPr>
    </w:p>
    <w:p w:rsidRPr="001C5CB4" w:rsidR="006A0A34" w:rsidRDefault="006A0A34" w14:paraId="5CF4E827" w14:textId="45203B87">
      <w:pPr>
        <w:pStyle w:val="Heading4"/>
        <w:spacing w:after="0" w:line="240" w:lineRule="auto"/>
      </w:pPr>
      <w:r w:rsidRPr="001C5CB4">
        <w:t>Capital Expenditure Documentation for Rate-of-Return and Competitive ETC Alaska Plan Participants (no revisions)</w:t>
      </w:r>
      <w:r w:rsidRPr="00137F86">
        <w:rPr>
          <w:u w:val="none"/>
        </w:rPr>
        <w:t xml:space="preserve">: </w:t>
      </w:r>
    </w:p>
    <w:p w:rsidRPr="00AC27FF" w:rsidR="006A0A34" w:rsidRDefault="006A0A34" w14:paraId="3A7B1A74" w14:textId="77777777">
      <w:pPr>
        <w:spacing w:after="0" w:line="240" w:lineRule="auto"/>
        <w:rPr>
          <w:b/>
          <w:u w:val="single"/>
        </w:rPr>
      </w:pPr>
    </w:p>
    <w:p w:rsidRPr="00AC27FF" w:rsidR="006A0A34" w:rsidRDefault="006A0A34" w14:paraId="1FB29867" w14:textId="40948E51">
      <w:pPr>
        <w:spacing w:after="0" w:line="240" w:lineRule="auto"/>
        <w:ind w:left="720" w:hanging="360"/>
      </w:pPr>
      <w:r w:rsidRPr="00AC27FF">
        <w:t xml:space="preserve">(1) </w:t>
      </w:r>
      <w:r w:rsidRPr="00AC27FF">
        <w:rPr>
          <w:u w:val="single"/>
        </w:rPr>
        <w:t>Number of respondents</w:t>
      </w:r>
      <w:r w:rsidRPr="00AC27FF">
        <w:t xml:space="preserve">:  </w:t>
      </w:r>
      <w:r>
        <w:t>Approximately 13 rate-of-return carriers and competitive ETCs participating in the Alaska Plan will be required to retain and provide information on capital and operating expenditures</w:t>
      </w:r>
      <w:r w:rsidRPr="00AC27FF">
        <w:t xml:space="preserve">.  </w:t>
      </w:r>
      <w:r w:rsidR="00634F08">
        <w:t>The number of respondents is based on the combination of the rate-of-return carriers and wireless affiliates having combined records.</w:t>
      </w:r>
    </w:p>
    <w:p w:rsidRPr="00AC27FF" w:rsidR="006A0A34" w:rsidRDefault="006A0A34" w14:paraId="218D6D1A" w14:textId="77777777">
      <w:pPr>
        <w:spacing w:after="0" w:line="240" w:lineRule="auto"/>
        <w:ind w:left="720" w:hanging="360"/>
      </w:pPr>
    </w:p>
    <w:p w:rsidRPr="00AC27FF" w:rsidR="006A0A34" w:rsidRDefault="006A0A34" w14:paraId="499F5570" w14:textId="77777777">
      <w:pPr>
        <w:spacing w:after="0" w:line="240" w:lineRule="auto"/>
        <w:ind w:left="720" w:hanging="360"/>
      </w:pPr>
      <w:r w:rsidRPr="00AC27FF">
        <w:t xml:space="preserve">(2) </w:t>
      </w:r>
      <w:r w:rsidRPr="00AC27FF">
        <w:rPr>
          <w:u w:val="single"/>
        </w:rPr>
        <w:t>Frequency of response</w:t>
      </w:r>
      <w:r w:rsidRPr="00AC27FF">
        <w:t xml:space="preserve">:  </w:t>
      </w:r>
      <w:r>
        <w:t>Annually.</w:t>
      </w:r>
      <w:r w:rsidRPr="00AC27FF">
        <w:t xml:space="preserve">  </w:t>
      </w:r>
    </w:p>
    <w:p w:rsidRPr="00AC27FF" w:rsidR="006A0A34" w:rsidRDefault="006A0A34" w14:paraId="009D7F1C" w14:textId="77777777">
      <w:pPr>
        <w:spacing w:after="0" w:line="240" w:lineRule="auto"/>
        <w:ind w:left="720" w:hanging="360"/>
      </w:pPr>
    </w:p>
    <w:p w:rsidR="006A0A34" w:rsidRDefault="006A0A34" w14:paraId="35220B59" w14:textId="77777777">
      <w:pPr>
        <w:spacing w:after="0" w:line="240" w:lineRule="auto"/>
        <w:ind w:left="720" w:hanging="360"/>
      </w:pPr>
      <w:r>
        <w:t xml:space="preserve">(3) </w:t>
      </w:r>
      <w:r w:rsidRPr="00423F95">
        <w:rPr>
          <w:u w:val="single"/>
        </w:rPr>
        <w:t>Total number of responses per respondent</w:t>
      </w:r>
      <w:r>
        <w:t>:  Approximately 1.</w:t>
      </w:r>
    </w:p>
    <w:p w:rsidR="006A0A34" w:rsidRDefault="006A0A34" w14:paraId="761A1552" w14:textId="77777777">
      <w:pPr>
        <w:spacing w:after="0" w:line="240" w:lineRule="auto"/>
        <w:ind w:left="720" w:hanging="360"/>
        <w:rPr>
          <w:u w:val="single"/>
        </w:rPr>
      </w:pPr>
    </w:p>
    <w:p w:rsidRPr="0046233F" w:rsidR="006A0A34" w:rsidRDefault="006A0A34" w14:paraId="61B0D4C6" w14:textId="77777777">
      <w:pPr>
        <w:spacing w:after="0" w:line="240" w:lineRule="auto"/>
        <w:ind w:left="720" w:hanging="360"/>
      </w:pPr>
      <w:r w:rsidRPr="00423F95">
        <w:t xml:space="preserve">(4) </w:t>
      </w:r>
      <w:r>
        <w:rPr>
          <w:u w:val="single"/>
        </w:rPr>
        <w:t>Estimated time per response</w:t>
      </w:r>
      <w:r w:rsidRPr="00137F86">
        <w:t>:</w:t>
      </w:r>
      <w:r w:rsidRPr="0046233F">
        <w:t xml:space="preserve">  </w:t>
      </w:r>
      <w:r>
        <w:t>2</w:t>
      </w:r>
      <w:r w:rsidRPr="0046233F">
        <w:t xml:space="preserve"> hours. </w:t>
      </w:r>
    </w:p>
    <w:p w:rsidR="006A0A34" w:rsidRDefault="006A0A34" w14:paraId="57DF9A67" w14:textId="77777777">
      <w:pPr>
        <w:spacing w:after="0" w:line="240" w:lineRule="auto"/>
        <w:ind w:left="720" w:hanging="360"/>
        <w:rPr>
          <w:u w:val="single"/>
        </w:rPr>
      </w:pPr>
    </w:p>
    <w:p w:rsidR="006A0A34" w:rsidRDefault="006A0A34" w14:paraId="38333F87" w14:textId="77777777">
      <w:pPr>
        <w:spacing w:after="0" w:line="240" w:lineRule="auto"/>
        <w:ind w:left="720" w:hanging="360"/>
      </w:pPr>
      <w:r w:rsidRPr="00423F95">
        <w:t xml:space="preserve">(5) </w:t>
      </w:r>
      <w:r>
        <w:rPr>
          <w:u w:val="single"/>
        </w:rPr>
        <w:t>Total a</w:t>
      </w:r>
      <w:r w:rsidRPr="00AC27FF">
        <w:rPr>
          <w:u w:val="single"/>
        </w:rPr>
        <w:t>nnual hour burden</w:t>
      </w:r>
      <w:r>
        <w:t>:  26 hours.</w:t>
      </w:r>
    </w:p>
    <w:p w:rsidR="006A0A34" w:rsidRDefault="006A0A34" w14:paraId="2118FD47" w14:textId="77777777">
      <w:pPr>
        <w:spacing w:after="0" w:line="240" w:lineRule="auto"/>
        <w:ind w:left="720" w:hanging="360"/>
      </w:pPr>
    </w:p>
    <w:p w:rsidRPr="00AC27FF" w:rsidR="006A0A34" w:rsidRDefault="006A0A34" w14:paraId="56B96176" w14:textId="77777777">
      <w:pPr>
        <w:spacing w:after="0" w:line="240" w:lineRule="auto"/>
        <w:ind w:left="720" w:hanging="360"/>
      </w:pPr>
      <w:r>
        <w:t xml:space="preserve">      2</w:t>
      </w:r>
      <w:r w:rsidRPr="00AC27FF">
        <w:t xml:space="preserve"> hours per respondent for</w:t>
      </w:r>
      <w:r>
        <w:t xml:space="preserve"> 13</w:t>
      </w:r>
      <w:r w:rsidRPr="00AC27FF">
        <w:t xml:space="preserve"> carriers </w:t>
      </w:r>
      <w:r>
        <w:t>retaining documents</w:t>
      </w:r>
      <w:r w:rsidRPr="00AC27FF">
        <w:t xml:space="preserve"> on an annual basis.  Total annual hour burden is calculated as follows:  </w:t>
      </w:r>
    </w:p>
    <w:p w:rsidRPr="00AC27FF" w:rsidR="006A0A34" w:rsidRDefault="006A0A34" w14:paraId="20DCCF73" w14:textId="77777777">
      <w:pPr>
        <w:spacing w:after="0" w:line="240" w:lineRule="auto"/>
        <w:ind w:left="720"/>
      </w:pPr>
    </w:p>
    <w:p w:rsidRPr="00AC27FF" w:rsidR="006A0A34" w:rsidRDefault="006A0A34" w14:paraId="520F319D" w14:textId="0098787F">
      <w:pPr>
        <w:spacing w:after="0" w:line="240" w:lineRule="auto"/>
        <w:ind w:left="720"/>
      </w:pPr>
      <w:r>
        <w:t xml:space="preserve">13 </w:t>
      </w:r>
      <w:r w:rsidRPr="00AC27FF">
        <w:t xml:space="preserve">respondents x </w:t>
      </w:r>
      <w:r>
        <w:t>1</w:t>
      </w:r>
      <w:r w:rsidRPr="00AC27FF">
        <w:t xml:space="preserve"> report per respondent = </w:t>
      </w:r>
      <w:r>
        <w:t>13 responses x 2</w:t>
      </w:r>
      <w:r w:rsidRPr="00AC27FF">
        <w:t xml:space="preserve"> hours =</w:t>
      </w:r>
      <w:r>
        <w:rPr>
          <w:b/>
        </w:rPr>
        <w:t>26</w:t>
      </w:r>
      <w:r w:rsidRPr="00AC27FF">
        <w:rPr>
          <w:b/>
        </w:rPr>
        <w:t xml:space="preserve"> total annual hours.</w:t>
      </w:r>
      <w:r w:rsidRPr="00AC27FF">
        <w:t xml:space="preserve">  </w:t>
      </w:r>
    </w:p>
    <w:p w:rsidRPr="00AC27FF" w:rsidR="006A0A34" w:rsidRDefault="006A0A34" w14:paraId="2BEF2EC6" w14:textId="77777777">
      <w:pPr>
        <w:spacing w:after="0" w:line="240" w:lineRule="auto"/>
        <w:ind w:left="720" w:hanging="360"/>
      </w:pPr>
    </w:p>
    <w:p w:rsidRPr="00AC27FF" w:rsidR="006A0A34" w:rsidRDefault="006A0A34" w14:paraId="11E23A80" w14:textId="77777777">
      <w:pPr>
        <w:spacing w:after="0" w:line="240" w:lineRule="auto"/>
        <w:ind w:left="720" w:hanging="360"/>
      </w:pPr>
      <w:r>
        <w:t xml:space="preserve">(6) </w:t>
      </w:r>
      <w:r>
        <w:rPr>
          <w:u w:val="single"/>
        </w:rPr>
        <w:t xml:space="preserve">Total estimate of in-house </w:t>
      </w:r>
      <w:r w:rsidRPr="00AC27FF">
        <w:rPr>
          <w:u w:val="single"/>
        </w:rPr>
        <w:t>cost to respondents</w:t>
      </w:r>
      <w:r w:rsidRPr="00AC27FF">
        <w:t>:  $</w:t>
      </w:r>
      <w:r>
        <w:t xml:space="preserve">1,040. </w:t>
      </w:r>
      <w:r w:rsidRPr="00AC27FF">
        <w:t>(</w:t>
      </w:r>
      <w:r>
        <w:t>26</w:t>
      </w:r>
      <w:r w:rsidRPr="00AC27FF">
        <w:t xml:space="preserve"> </w:t>
      </w:r>
      <w:r>
        <w:t>hours x $40/hour</w:t>
      </w:r>
      <w:r w:rsidRPr="00AC27FF">
        <w:t>).</w:t>
      </w:r>
    </w:p>
    <w:p w:rsidRPr="00AC27FF" w:rsidR="006A0A34" w:rsidRDefault="006A0A34" w14:paraId="2EEAE870" w14:textId="77777777">
      <w:pPr>
        <w:spacing w:after="0" w:line="240" w:lineRule="auto"/>
        <w:ind w:left="720" w:hanging="360"/>
      </w:pPr>
    </w:p>
    <w:p w:rsidR="006A0A34" w:rsidRDefault="006A0A34" w14:paraId="04E3E36A" w14:textId="36CFD284">
      <w:pPr>
        <w:tabs>
          <w:tab w:val="left" w:pos="2250"/>
        </w:tabs>
        <w:spacing w:after="0" w:line="240" w:lineRule="auto"/>
        <w:ind w:left="720" w:hanging="360"/>
      </w:pPr>
      <w:r>
        <w:lastRenderedPageBreak/>
        <w:t xml:space="preserve">(7) </w:t>
      </w:r>
      <w:r w:rsidRPr="00AC27FF">
        <w:rPr>
          <w:u w:val="single"/>
        </w:rPr>
        <w:t>Explanation of calculation</w:t>
      </w:r>
      <w:r w:rsidRPr="00AC27FF">
        <w:t xml:space="preserve">:  </w:t>
      </w:r>
      <w:r>
        <w:t>We estimate that each carrier will spend at least 2 hours to track and retain documentation</w:t>
      </w:r>
      <w:r w:rsidR="005271EF">
        <w:t>:</w:t>
      </w:r>
      <w:r>
        <w:t xml:space="preserve">  13 (responses) x 2 (hours to comply with document retention requirements) x $40</w:t>
      </w:r>
      <w:r w:rsidR="005271EF">
        <w:t>/</w:t>
      </w:r>
      <w:r>
        <w:t xml:space="preserve">hour = $1,040.  </w:t>
      </w:r>
      <w:bookmarkEnd w:id="1"/>
    </w:p>
    <w:p w:rsidRPr="00DE1237" w:rsidR="003A70A6" w:rsidRDefault="003A70A6" w14:paraId="6548D643" w14:textId="4802679A">
      <w:pPr>
        <w:spacing w:after="0" w:line="240" w:lineRule="auto"/>
        <w:ind w:left="0"/>
      </w:pPr>
    </w:p>
    <w:p w:rsidR="003A70A6" w:rsidRDefault="003A70A6" w14:paraId="3650BD74" w14:textId="2C50C69C">
      <w:pPr>
        <w:pStyle w:val="Heading4"/>
        <w:spacing w:after="0" w:line="240" w:lineRule="auto"/>
        <w:rPr>
          <w:bCs w:val="0"/>
        </w:rPr>
      </w:pPr>
      <w:proofErr w:type="spellStart"/>
      <w:r w:rsidRPr="006B121F">
        <w:rPr>
          <w:bCs w:val="0"/>
        </w:rPr>
        <w:t>Uniendo</w:t>
      </w:r>
      <w:proofErr w:type="spellEnd"/>
      <w:r w:rsidRPr="006B121F">
        <w:rPr>
          <w:bCs w:val="0"/>
        </w:rPr>
        <w:t xml:space="preserve"> a Puerto Rico Fund and Connect USVI Fund Certification Requirements</w:t>
      </w:r>
      <w:r>
        <w:rPr>
          <w:bCs w:val="0"/>
        </w:rPr>
        <w:t xml:space="preserve"> for Fixed and Mobile Providers (no revisions)</w:t>
      </w:r>
      <w:r w:rsidRPr="00137F86">
        <w:rPr>
          <w:bCs w:val="0"/>
          <w:u w:val="none"/>
        </w:rPr>
        <w:t>:</w:t>
      </w:r>
    </w:p>
    <w:p w:rsidRPr="00ED5773" w:rsidR="003A70A6" w:rsidRDefault="003A70A6" w14:paraId="5280E14F" w14:textId="61CD9900">
      <w:pPr>
        <w:spacing w:after="0" w:line="240" w:lineRule="auto"/>
      </w:pPr>
    </w:p>
    <w:p w:rsidRPr="00637C0E" w:rsidR="003A70A6" w:rsidRDefault="003A70A6" w14:paraId="35506932" w14:textId="77777777">
      <w:pPr>
        <w:pStyle w:val="ListParagraph"/>
        <w:numPr>
          <w:ilvl w:val="0"/>
          <w:numId w:val="12"/>
        </w:numPr>
        <w:spacing w:after="0" w:line="240" w:lineRule="auto"/>
      </w:pPr>
      <w:r>
        <w:t>Number of respondents</w:t>
      </w:r>
      <w:r w:rsidRPr="00137F86">
        <w:rPr>
          <w:u w:val="none"/>
        </w:rPr>
        <w:t>:</w:t>
      </w:r>
      <w:r w:rsidRPr="00DE1237">
        <w:rPr>
          <w:u w:val="none"/>
        </w:rPr>
        <w:t xml:space="preserve">  Approximately 15.</w:t>
      </w:r>
      <w:r>
        <w:rPr>
          <w:u w:val="none"/>
        </w:rPr>
        <w:t xml:space="preserve">  Approximately 10 fixed and 5 wireless providers who receive </w:t>
      </w:r>
      <w:proofErr w:type="spellStart"/>
      <w:r>
        <w:rPr>
          <w:u w:val="none"/>
        </w:rPr>
        <w:t>Uniendo</w:t>
      </w:r>
      <w:proofErr w:type="spellEnd"/>
      <w:r>
        <w:rPr>
          <w:u w:val="none"/>
        </w:rPr>
        <w:t xml:space="preserve"> a Puerto Rico and/or Connect USVI Stage 2 support will be required to certify regarding their use of support and that they have conducted an annual review of required disaster preparation and response documentation. regarding their use of such support as well as whether they have conducted an annual review of required disaster preparation and response documentation.</w:t>
      </w:r>
    </w:p>
    <w:p w:rsidR="003A70A6" w:rsidP="001861C7" w:rsidRDefault="003A70A6" w14:paraId="68E0604E" w14:textId="77777777">
      <w:pPr>
        <w:pStyle w:val="ListParagraph"/>
        <w:numPr>
          <w:ilvl w:val="0"/>
          <w:numId w:val="0"/>
        </w:numPr>
        <w:spacing w:after="0" w:line="240" w:lineRule="auto"/>
        <w:ind w:left="720"/>
      </w:pPr>
      <w:r>
        <w:t xml:space="preserve"> </w:t>
      </w:r>
    </w:p>
    <w:p w:rsidRPr="00DE1237" w:rsidR="003A70A6" w:rsidRDefault="003A70A6" w14:paraId="02DB7292" w14:textId="77777777">
      <w:pPr>
        <w:pStyle w:val="ListParagraph"/>
        <w:spacing w:after="0" w:line="240" w:lineRule="auto"/>
      </w:pPr>
      <w:r>
        <w:t>Frequency of response</w:t>
      </w:r>
      <w:r w:rsidRPr="00137F86">
        <w:rPr>
          <w:u w:val="none"/>
        </w:rPr>
        <w:t>:</w:t>
      </w:r>
      <w:r w:rsidRPr="00DE1237">
        <w:rPr>
          <w:u w:val="none"/>
        </w:rPr>
        <w:t xml:space="preserve">  Annually.</w:t>
      </w:r>
    </w:p>
    <w:p w:rsidR="003A70A6" w:rsidP="001861C7" w:rsidRDefault="003A70A6" w14:paraId="37C70389" w14:textId="77777777">
      <w:pPr>
        <w:pStyle w:val="ListParagraph"/>
        <w:numPr>
          <w:ilvl w:val="0"/>
          <w:numId w:val="0"/>
        </w:numPr>
        <w:spacing w:after="0" w:line="240" w:lineRule="auto"/>
        <w:ind w:left="720"/>
      </w:pPr>
    </w:p>
    <w:p w:rsidR="003A70A6" w:rsidRDefault="003A70A6" w14:paraId="68DF76F6" w14:textId="77777777">
      <w:pPr>
        <w:pStyle w:val="ListParagraph"/>
        <w:spacing w:after="0" w:line="240" w:lineRule="auto"/>
      </w:pPr>
      <w:r>
        <w:t>Total number of responses per respondent</w:t>
      </w:r>
      <w:r w:rsidRPr="00137F86">
        <w:rPr>
          <w:u w:val="none"/>
        </w:rPr>
        <w:t>:</w:t>
      </w:r>
      <w:r w:rsidRPr="00C03B50">
        <w:rPr>
          <w:u w:val="none"/>
        </w:rPr>
        <w:t xml:space="preserve"> </w:t>
      </w:r>
      <w:r w:rsidRPr="00BD2B20">
        <w:rPr>
          <w:u w:val="none"/>
        </w:rPr>
        <w:t xml:space="preserve"> 1.</w:t>
      </w:r>
    </w:p>
    <w:p w:rsidR="003A70A6" w:rsidP="001861C7" w:rsidRDefault="003A70A6" w14:paraId="5FE3A431" w14:textId="77777777">
      <w:pPr>
        <w:pStyle w:val="ListParagraph"/>
        <w:numPr>
          <w:ilvl w:val="0"/>
          <w:numId w:val="0"/>
        </w:numPr>
        <w:spacing w:after="0" w:line="240" w:lineRule="auto"/>
        <w:ind w:left="720"/>
      </w:pPr>
      <w:r>
        <w:t xml:space="preserve"> </w:t>
      </w:r>
    </w:p>
    <w:p w:rsidR="003A70A6" w:rsidRDefault="003A70A6" w14:paraId="3B1ECA10" w14:textId="77777777">
      <w:pPr>
        <w:pStyle w:val="ListParagraph"/>
        <w:spacing w:after="0" w:line="240" w:lineRule="auto"/>
      </w:pPr>
      <w:r>
        <w:t>Estimated time per response</w:t>
      </w:r>
      <w:r w:rsidRPr="00137F86">
        <w:rPr>
          <w:u w:val="none"/>
        </w:rPr>
        <w:t>:</w:t>
      </w:r>
      <w:r w:rsidRPr="00BD2B20">
        <w:rPr>
          <w:u w:val="none"/>
        </w:rPr>
        <w:t xml:space="preserve">  3 hours. </w:t>
      </w:r>
    </w:p>
    <w:p w:rsidR="003A70A6" w:rsidP="001861C7" w:rsidRDefault="003A70A6" w14:paraId="273A8E9F" w14:textId="77777777">
      <w:pPr>
        <w:pStyle w:val="ListParagraph"/>
        <w:numPr>
          <w:ilvl w:val="0"/>
          <w:numId w:val="0"/>
        </w:numPr>
        <w:spacing w:after="0" w:line="240" w:lineRule="auto"/>
        <w:ind w:left="720"/>
      </w:pPr>
    </w:p>
    <w:p w:rsidRPr="00BD2B20" w:rsidR="003A70A6" w:rsidRDefault="003A70A6" w14:paraId="0C7E3631" w14:textId="77777777">
      <w:pPr>
        <w:pStyle w:val="ListParagraph"/>
        <w:spacing w:after="0" w:line="240" w:lineRule="auto"/>
      </w:pPr>
      <w:r>
        <w:t>Total annual hour burden</w:t>
      </w:r>
      <w:r w:rsidRPr="00137F86">
        <w:rPr>
          <w:u w:val="none"/>
        </w:rPr>
        <w:t>:</w:t>
      </w:r>
      <w:r w:rsidRPr="00BD2B20">
        <w:rPr>
          <w:u w:val="none"/>
        </w:rPr>
        <w:t xml:space="preserve">  45 hours.</w:t>
      </w:r>
    </w:p>
    <w:p w:rsidR="003A70A6" w:rsidRDefault="003A70A6" w14:paraId="60F1B3C4" w14:textId="77777777">
      <w:pPr>
        <w:spacing w:after="0" w:line="240" w:lineRule="auto"/>
        <w:ind w:left="720"/>
      </w:pPr>
    </w:p>
    <w:p w:rsidR="003A70A6" w:rsidRDefault="003A70A6" w14:paraId="338A485C" w14:textId="77777777">
      <w:pPr>
        <w:spacing w:after="0" w:line="240" w:lineRule="auto"/>
        <w:ind w:left="720"/>
      </w:pPr>
      <w:r w:rsidRPr="00BD2B20">
        <w:t>3 hours per respondent for 15 respondents filing annually.  Total annual hour burden is</w:t>
      </w:r>
      <w:r>
        <w:t xml:space="preserve"> calculated as follows</w:t>
      </w:r>
      <w:r w:rsidRPr="00BD2B20">
        <w:t xml:space="preserve">: </w:t>
      </w:r>
    </w:p>
    <w:p w:rsidR="003A70A6" w:rsidRDefault="003A70A6" w14:paraId="5B06C950" w14:textId="77777777">
      <w:pPr>
        <w:spacing w:after="0" w:line="240" w:lineRule="auto"/>
        <w:ind w:left="720"/>
      </w:pPr>
    </w:p>
    <w:p w:rsidR="003A70A6" w:rsidRDefault="003A70A6" w14:paraId="2E65DE60" w14:textId="77777777">
      <w:pPr>
        <w:spacing w:after="0" w:line="240" w:lineRule="auto"/>
        <w:ind w:left="720"/>
      </w:pPr>
      <w:r w:rsidRPr="00BD2B20">
        <w:t xml:space="preserve">15 respondents x 1 report per respondent: 15 responses x 3 hours = </w:t>
      </w:r>
      <w:r w:rsidRPr="00BD2B20">
        <w:rPr>
          <w:b/>
          <w:bCs/>
        </w:rPr>
        <w:t xml:space="preserve">45 </w:t>
      </w:r>
      <w:r>
        <w:rPr>
          <w:b/>
          <w:bCs/>
        </w:rPr>
        <w:t xml:space="preserve">total annual </w:t>
      </w:r>
      <w:r w:rsidRPr="00BD2B20">
        <w:rPr>
          <w:b/>
          <w:bCs/>
        </w:rPr>
        <w:t>hours</w:t>
      </w:r>
      <w:r w:rsidRPr="00BD2B20">
        <w:t xml:space="preserve">. </w:t>
      </w:r>
    </w:p>
    <w:p w:rsidRPr="00BD2B20" w:rsidR="003A70A6" w:rsidRDefault="003A70A6" w14:paraId="1510DA53" w14:textId="77777777">
      <w:pPr>
        <w:spacing w:after="0" w:line="240" w:lineRule="auto"/>
        <w:ind w:left="720"/>
      </w:pPr>
    </w:p>
    <w:p w:rsidR="003A70A6" w:rsidRDefault="003A70A6" w14:paraId="429466A3" w14:textId="77777777">
      <w:pPr>
        <w:pStyle w:val="ListParagraph"/>
        <w:spacing w:after="0" w:line="240" w:lineRule="auto"/>
      </w:pPr>
      <w:r>
        <w:t>Total estimate of in-house cost to respondents</w:t>
      </w:r>
      <w:r w:rsidRPr="00137F86">
        <w:rPr>
          <w:u w:val="none"/>
        </w:rPr>
        <w:t>:</w:t>
      </w:r>
      <w:r w:rsidRPr="00C03B50">
        <w:rPr>
          <w:u w:val="none"/>
        </w:rPr>
        <w:t xml:space="preserve"> </w:t>
      </w:r>
      <w:r w:rsidRPr="00BD2B20">
        <w:rPr>
          <w:u w:val="none"/>
        </w:rPr>
        <w:t xml:space="preserve"> $1,800. (45 hours x $40/hour).</w:t>
      </w:r>
    </w:p>
    <w:p w:rsidR="003A70A6" w:rsidP="001861C7" w:rsidRDefault="003A70A6" w14:paraId="523255CD" w14:textId="77777777">
      <w:pPr>
        <w:pStyle w:val="ListParagraph"/>
        <w:numPr>
          <w:ilvl w:val="0"/>
          <w:numId w:val="0"/>
        </w:numPr>
        <w:spacing w:after="0" w:line="240" w:lineRule="auto"/>
        <w:ind w:left="720"/>
      </w:pPr>
    </w:p>
    <w:p w:rsidRPr="00137F86" w:rsidR="003A70A6" w:rsidRDefault="003A70A6" w14:paraId="70128A76" w14:textId="77777777">
      <w:pPr>
        <w:pStyle w:val="ListParagraph"/>
        <w:spacing w:after="0" w:line="240" w:lineRule="auto"/>
      </w:pPr>
      <w:r>
        <w:t>Explanation of calculation</w:t>
      </w:r>
      <w:r w:rsidRPr="00137F86">
        <w:rPr>
          <w:u w:val="none"/>
        </w:rPr>
        <w:t>:</w:t>
      </w:r>
      <w:r w:rsidRPr="00C03B50">
        <w:rPr>
          <w:u w:val="none"/>
        </w:rPr>
        <w:t xml:space="preserve"> </w:t>
      </w:r>
      <w:r>
        <w:rPr>
          <w:u w:val="none"/>
        </w:rPr>
        <w:t xml:space="preserve"> We estimate that each mobile and fixed provider participating in the </w:t>
      </w:r>
      <w:proofErr w:type="spellStart"/>
      <w:r>
        <w:rPr>
          <w:u w:val="none"/>
        </w:rPr>
        <w:t>Uniendo</w:t>
      </w:r>
      <w:proofErr w:type="spellEnd"/>
      <w:r>
        <w:rPr>
          <w:u w:val="none"/>
        </w:rPr>
        <w:t xml:space="preserve"> a Puerto Rico and Connect USVI Stage II fund will spend approximately 3 hours </w:t>
      </w:r>
      <w:r w:rsidRPr="00641294">
        <w:rPr>
          <w:u w:val="none"/>
        </w:rPr>
        <w:t xml:space="preserve">certifying </w:t>
      </w:r>
      <w:r>
        <w:rPr>
          <w:u w:val="none"/>
        </w:rPr>
        <w:t>regarding their use of such support as well as whether they have conducted an annual review of required disaster preparation and response documentation:  15 (responses) x 3 (hours to track, tabulate, and prepare reporting requirements and confirm and certify compliance with broadband obligations) x $40/hour = $1,800.</w:t>
      </w:r>
    </w:p>
    <w:p w:rsidRPr="00062560" w:rsidR="003A70A6" w:rsidRDefault="003A70A6" w14:paraId="1256CDC7" w14:textId="77777777">
      <w:pPr>
        <w:spacing w:after="0"/>
        <w:ind w:left="0"/>
      </w:pPr>
      <w:r w:rsidRPr="00062560">
        <w:tab/>
      </w:r>
      <w:r w:rsidRPr="00062560">
        <w:tab/>
      </w:r>
      <w:r w:rsidRPr="00062560">
        <w:tab/>
      </w:r>
      <w:r w:rsidRPr="00062560">
        <w:tab/>
      </w:r>
    </w:p>
    <w:p w:rsidR="003A70A6" w:rsidRDefault="003A70A6" w14:paraId="2720F6FA" w14:textId="14786FDA">
      <w:pPr>
        <w:pStyle w:val="Heading4"/>
        <w:spacing w:after="0" w:line="240" w:lineRule="auto"/>
        <w:rPr>
          <w:bCs w:val="0"/>
        </w:rPr>
      </w:pPr>
      <w:proofErr w:type="spellStart"/>
      <w:r w:rsidRPr="006B121F">
        <w:rPr>
          <w:bCs w:val="0"/>
        </w:rPr>
        <w:t>Uniendo</w:t>
      </w:r>
      <w:proofErr w:type="spellEnd"/>
      <w:r w:rsidRPr="006B121F">
        <w:rPr>
          <w:bCs w:val="0"/>
        </w:rPr>
        <w:t xml:space="preserve"> a Puerto Rico Fund and Connect USVI Fund Certification Requirements for Mobile Providers</w:t>
      </w:r>
      <w:r>
        <w:rPr>
          <w:bCs w:val="0"/>
        </w:rPr>
        <w:t xml:space="preserve"> (no revisions)</w:t>
      </w:r>
      <w:r w:rsidRPr="00137F86">
        <w:rPr>
          <w:bCs w:val="0"/>
          <w:u w:val="none"/>
        </w:rPr>
        <w:t>:</w:t>
      </w:r>
    </w:p>
    <w:p w:rsidRPr="00ED5773" w:rsidR="003A70A6" w:rsidRDefault="003A70A6" w14:paraId="36AFAAB0" w14:textId="77777777">
      <w:pPr>
        <w:spacing w:after="0"/>
      </w:pPr>
    </w:p>
    <w:p w:rsidRPr="00DE1237" w:rsidR="003A70A6" w:rsidRDefault="003A70A6" w14:paraId="0C3401ED" w14:textId="77777777">
      <w:pPr>
        <w:pStyle w:val="ListParagraph"/>
        <w:numPr>
          <w:ilvl w:val="0"/>
          <w:numId w:val="14"/>
        </w:numPr>
        <w:spacing w:after="0" w:line="240" w:lineRule="auto"/>
      </w:pPr>
      <w:r>
        <w:t>Number of respondents</w:t>
      </w:r>
      <w:r w:rsidRPr="00137F86">
        <w:rPr>
          <w:u w:val="none"/>
        </w:rPr>
        <w:t>:</w:t>
      </w:r>
      <w:r w:rsidRPr="00BD2B20">
        <w:rPr>
          <w:u w:val="none"/>
        </w:rPr>
        <w:t xml:space="preserve">  Approximately 5.  Approximately 5 wireless providers </w:t>
      </w:r>
      <w:r>
        <w:rPr>
          <w:u w:val="none"/>
        </w:rPr>
        <w:t xml:space="preserve">who receive </w:t>
      </w:r>
      <w:proofErr w:type="spellStart"/>
      <w:r>
        <w:rPr>
          <w:u w:val="none"/>
        </w:rPr>
        <w:t>Uniendo</w:t>
      </w:r>
      <w:proofErr w:type="spellEnd"/>
      <w:r>
        <w:rPr>
          <w:u w:val="none"/>
        </w:rPr>
        <w:t xml:space="preserve"> a Puerto Rico and/or Connect USVI Fund Stage 2 support </w:t>
      </w:r>
      <w:r w:rsidRPr="00BD2B20">
        <w:rPr>
          <w:u w:val="none"/>
        </w:rPr>
        <w:t xml:space="preserve">will be required to certify that they are </w:t>
      </w:r>
      <w:r>
        <w:rPr>
          <w:u w:val="none"/>
        </w:rPr>
        <w:t xml:space="preserve">in compliance with all requirements for receipt of such support to continue receiving Stage II mobile disbursements.  </w:t>
      </w:r>
    </w:p>
    <w:p w:rsidR="003A70A6" w:rsidP="001861C7" w:rsidRDefault="003A70A6" w14:paraId="423A885C" w14:textId="77777777">
      <w:pPr>
        <w:pStyle w:val="ListParagraph"/>
        <w:numPr>
          <w:ilvl w:val="0"/>
          <w:numId w:val="0"/>
        </w:numPr>
        <w:spacing w:after="0" w:line="240" w:lineRule="auto"/>
        <w:ind w:left="720"/>
      </w:pPr>
    </w:p>
    <w:p w:rsidRPr="00DE1237" w:rsidR="003A70A6" w:rsidRDefault="003A70A6" w14:paraId="5A8E1227" w14:textId="77777777">
      <w:pPr>
        <w:pStyle w:val="ListParagraph"/>
        <w:spacing w:after="0" w:line="240" w:lineRule="auto"/>
      </w:pPr>
      <w:r>
        <w:lastRenderedPageBreak/>
        <w:t>Frequency of response</w:t>
      </w:r>
      <w:r w:rsidRPr="00137F86">
        <w:rPr>
          <w:u w:val="none"/>
        </w:rPr>
        <w:t>:</w:t>
      </w:r>
      <w:r w:rsidRPr="00C03B50">
        <w:rPr>
          <w:u w:val="none"/>
        </w:rPr>
        <w:t xml:space="preserve"> </w:t>
      </w:r>
      <w:r w:rsidRPr="00DE1237">
        <w:rPr>
          <w:u w:val="none"/>
        </w:rPr>
        <w:t xml:space="preserve"> Annually.</w:t>
      </w:r>
    </w:p>
    <w:p w:rsidR="003A70A6" w:rsidP="001861C7" w:rsidRDefault="003A70A6" w14:paraId="175B4F1E" w14:textId="77777777">
      <w:pPr>
        <w:pStyle w:val="ListParagraph"/>
        <w:numPr>
          <w:ilvl w:val="0"/>
          <w:numId w:val="0"/>
        </w:numPr>
        <w:spacing w:after="0" w:line="240" w:lineRule="auto"/>
        <w:ind w:left="720"/>
      </w:pPr>
    </w:p>
    <w:p w:rsidR="003A70A6" w:rsidRDefault="003A70A6" w14:paraId="24F6E96C" w14:textId="77777777">
      <w:pPr>
        <w:pStyle w:val="ListParagraph"/>
        <w:spacing w:after="0" w:line="240" w:lineRule="auto"/>
      </w:pPr>
      <w:r>
        <w:t>Total number of responses per respondent</w:t>
      </w:r>
      <w:r w:rsidRPr="00137F86">
        <w:rPr>
          <w:u w:val="none"/>
        </w:rPr>
        <w:t>:</w:t>
      </w:r>
      <w:r w:rsidRPr="00BD2B20">
        <w:rPr>
          <w:u w:val="none"/>
        </w:rPr>
        <w:t xml:space="preserve">  1.</w:t>
      </w:r>
    </w:p>
    <w:p w:rsidR="003A70A6" w:rsidP="001861C7" w:rsidRDefault="003A70A6" w14:paraId="2F659E91" w14:textId="77777777">
      <w:pPr>
        <w:pStyle w:val="ListParagraph"/>
        <w:numPr>
          <w:ilvl w:val="0"/>
          <w:numId w:val="0"/>
        </w:numPr>
        <w:spacing w:after="0" w:line="240" w:lineRule="auto"/>
        <w:ind w:left="720"/>
      </w:pPr>
      <w:r>
        <w:t xml:space="preserve"> </w:t>
      </w:r>
    </w:p>
    <w:p w:rsidR="003A70A6" w:rsidRDefault="003A70A6" w14:paraId="6880DB58" w14:textId="77777777">
      <w:pPr>
        <w:pStyle w:val="ListParagraph"/>
        <w:spacing w:after="0" w:line="240" w:lineRule="auto"/>
      </w:pPr>
      <w:r>
        <w:t>Estimated time per response</w:t>
      </w:r>
      <w:r w:rsidRPr="00137F86">
        <w:rPr>
          <w:u w:val="none"/>
        </w:rPr>
        <w:t>:</w:t>
      </w:r>
      <w:r w:rsidRPr="00BD2B20">
        <w:rPr>
          <w:u w:val="none"/>
        </w:rPr>
        <w:t xml:space="preserve">  </w:t>
      </w:r>
      <w:r>
        <w:rPr>
          <w:u w:val="none"/>
        </w:rPr>
        <w:t>1</w:t>
      </w:r>
      <w:r w:rsidRPr="00BD2B20">
        <w:rPr>
          <w:u w:val="none"/>
        </w:rPr>
        <w:t xml:space="preserve"> hour. </w:t>
      </w:r>
    </w:p>
    <w:p w:rsidR="003A70A6" w:rsidP="001861C7" w:rsidRDefault="003A70A6" w14:paraId="326BA16D" w14:textId="77777777">
      <w:pPr>
        <w:pStyle w:val="ListParagraph"/>
        <w:numPr>
          <w:ilvl w:val="0"/>
          <w:numId w:val="0"/>
        </w:numPr>
        <w:spacing w:after="0" w:line="240" w:lineRule="auto"/>
        <w:ind w:left="720"/>
      </w:pPr>
    </w:p>
    <w:p w:rsidRPr="00BD2B20" w:rsidR="003A70A6" w:rsidRDefault="003A70A6" w14:paraId="661C9FFF" w14:textId="77777777">
      <w:pPr>
        <w:pStyle w:val="ListParagraph"/>
        <w:spacing w:after="0" w:line="240" w:lineRule="auto"/>
      </w:pPr>
      <w:r>
        <w:t>Total annual hour burden</w:t>
      </w:r>
      <w:r w:rsidRPr="00137F86">
        <w:rPr>
          <w:u w:val="none"/>
        </w:rPr>
        <w:t>:</w:t>
      </w:r>
      <w:r w:rsidRPr="00BD2B20">
        <w:rPr>
          <w:u w:val="none"/>
        </w:rPr>
        <w:t xml:space="preserve">  5 hours.</w:t>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p>
    <w:p w:rsidR="003A70A6" w:rsidP="001861C7" w:rsidRDefault="003A70A6" w14:paraId="7332EBD3" w14:textId="77777777">
      <w:pPr>
        <w:pStyle w:val="ListParagraph"/>
        <w:numPr>
          <w:ilvl w:val="0"/>
          <w:numId w:val="0"/>
        </w:numPr>
        <w:spacing w:after="0" w:line="240" w:lineRule="auto"/>
        <w:ind w:left="720"/>
        <w:rPr>
          <w:u w:val="none"/>
        </w:rPr>
      </w:pPr>
      <w:r>
        <w:rPr>
          <w:u w:val="none"/>
        </w:rPr>
        <w:t xml:space="preserve">1 </w:t>
      </w:r>
      <w:r w:rsidRPr="00137F86">
        <w:rPr>
          <w:u w:val="none"/>
        </w:rPr>
        <w:t>hour per respondent for 5 respondents filing annually.  Total annual hour burden is calculated as follows:</w:t>
      </w:r>
    </w:p>
    <w:p w:rsidRPr="00365B05" w:rsidR="003A70A6" w:rsidRDefault="003A70A6" w14:paraId="038DF6F7" w14:textId="77777777">
      <w:pPr>
        <w:pStyle w:val="ListParagraph"/>
        <w:numPr>
          <w:ilvl w:val="0"/>
          <w:numId w:val="0"/>
        </w:numPr>
        <w:spacing w:after="0" w:line="240" w:lineRule="auto"/>
        <w:ind w:left="360"/>
      </w:pPr>
    </w:p>
    <w:p w:rsidR="003A70A6" w:rsidRDefault="003A70A6" w14:paraId="78481833" w14:textId="77777777">
      <w:pPr>
        <w:pStyle w:val="ListParagraph"/>
        <w:numPr>
          <w:ilvl w:val="0"/>
          <w:numId w:val="0"/>
        </w:numPr>
        <w:spacing w:after="0" w:line="240" w:lineRule="auto"/>
        <w:ind w:left="360" w:firstLine="360"/>
        <w:rPr>
          <w:u w:val="none"/>
        </w:rPr>
      </w:pPr>
      <w:r w:rsidRPr="00137F86">
        <w:rPr>
          <w:u w:val="none"/>
        </w:rPr>
        <w:t xml:space="preserve">5 respondents x 1 report per respondent: 5 responses x 1 hour = </w:t>
      </w:r>
      <w:r w:rsidRPr="00137F86">
        <w:rPr>
          <w:b/>
          <w:bCs/>
          <w:u w:val="none"/>
        </w:rPr>
        <w:t xml:space="preserve">5 </w:t>
      </w:r>
      <w:r>
        <w:rPr>
          <w:b/>
          <w:bCs/>
          <w:u w:val="none"/>
        </w:rPr>
        <w:t xml:space="preserve">total annual </w:t>
      </w:r>
      <w:r w:rsidRPr="00137F86">
        <w:rPr>
          <w:b/>
          <w:bCs/>
          <w:u w:val="none"/>
        </w:rPr>
        <w:t>hours</w:t>
      </w:r>
      <w:r w:rsidRPr="00137F86">
        <w:rPr>
          <w:u w:val="none"/>
        </w:rPr>
        <w:t xml:space="preserve">. </w:t>
      </w:r>
    </w:p>
    <w:p w:rsidRPr="00365B05" w:rsidR="003A70A6" w:rsidRDefault="003A70A6" w14:paraId="00D55EC2" w14:textId="77777777">
      <w:pPr>
        <w:pStyle w:val="ListParagraph"/>
        <w:numPr>
          <w:ilvl w:val="0"/>
          <w:numId w:val="0"/>
        </w:numPr>
        <w:spacing w:after="0" w:line="240" w:lineRule="auto"/>
        <w:ind w:left="360"/>
      </w:pPr>
    </w:p>
    <w:p w:rsidR="003A70A6" w:rsidRDefault="003A70A6" w14:paraId="14A0E044" w14:textId="77777777">
      <w:pPr>
        <w:pStyle w:val="ListParagraph"/>
        <w:spacing w:after="0" w:line="240" w:lineRule="auto"/>
      </w:pPr>
      <w:r>
        <w:t>Total estimate of in-house cost to respondents</w:t>
      </w:r>
      <w:r w:rsidRPr="00137F86">
        <w:rPr>
          <w:u w:val="none"/>
        </w:rPr>
        <w:t>:</w:t>
      </w:r>
      <w:r w:rsidRPr="00BD2B20">
        <w:rPr>
          <w:u w:val="none"/>
        </w:rPr>
        <w:t xml:space="preserve">  $</w:t>
      </w:r>
      <w:r>
        <w:rPr>
          <w:u w:val="none"/>
        </w:rPr>
        <w:t>200</w:t>
      </w:r>
      <w:r w:rsidRPr="00BD2B20">
        <w:rPr>
          <w:u w:val="none"/>
        </w:rPr>
        <w:t>. (5 hours x $40/hour).</w:t>
      </w:r>
    </w:p>
    <w:p w:rsidR="003A70A6" w:rsidP="001861C7" w:rsidRDefault="003A70A6" w14:paraId="7AC8557C" w14:textId="77777777">
      <w:pPr>
        <w:pStyle w:val="ListParagraph"/>
        <w:numPr>
          <w:ilvl w:val="0"/>
          <w:numId w:val="0"/>
        </w:numPr>
        <w:spacing w:after="0" w:line="240" w:lineRule="auto"/>
        <w:ind w:left="720"/>
      </w:pPr>
    </w:p>
    <w:p w:rsidR="003A70A6" w:rsidRDefault="003A70A6" w14:paraId="45E42582" w14:textId="14DA03FA">
      <w:pPr>
        <w:pStyle w:val="ListParagraph"/>
        <w:spacing w:after="0" w:line="240" w:lineRule="auto"/>
        <w:rPr>
          <w:b/>
        </w:rPr>
      </w:pPr>
      <w:r>
        <w:t>Explanation of calculation</w:t>
      </w:r>
      <w:r w:rsidRPr="00137F86">
        <w:rPr>
          <w:u w:val="none"/>
        </w:rPr>
        <w:t>:</w:t>
      </w:r>
      <w:r>
        <w:rPr>
          <w:u w:val="none"/>
        </w:rPr>
        <w:t xml:space="preserve">  We estimate that each mobile provider participating in the </w:t>
      </w:r>
      <w:proofErr w:type="spellStart"/>
      <w:r>
        <w:rPr>
          <w:u w:val="none"/>
        </w:rPr>
        <w:t>Uniendo</w:t>
      </w:r>
      <w:proofErr w:type="spellEnd"/>
      <w:r>
        <w:rPr>
          <w:u w:val="none"/>
        </w:rPr>
        <w:t xml:space="preserve"> a Puerto Rico and Connect USVI Stage II fund will spend approximately 1 hour certifying they are in compliance with all the requirements for receipt of such support:  5 (responses) x 1 (hour to confirm and certify compliance with broadband obligations) x $40/hour = $200.</w:t>
      </w:r>
    </w:p>
    <w:p w:rsidRPr="00AC27FF" w:rsidR="006A0A34" w:rsidRDefault="006A0A34" w14:paraId="68B11EED" w14:textId="77777777">
      <w:pPr>
        <w:spacing w:after="0" w:line="240" w:lineRule="auto"/>
        <w:ind w:hanging="360"/>
      </w:pPr>
    </w:p>
    <w:p w:rsidRPr="001C5CB4" w:rsidR="006A0A34" w:rsidRDefault="006A0A34" w14:paraId="6DFC46C8" w14:textId="040B8EFF">
      <w:pPr>
        <w:pStyle w:val="Heading4"/>
        <w:spacing w:after="0" w:line="240" w:lineRule="auto"/>
      </w:pPr>
      <w:r w:rsidRPr="001C5CB4">
        <w:t>State Certification Letter Under 254(e)</w:t>
      </w:r>
      <w:r w:rsidRPr="001C5CB4" w:rsidR="00641294">
        <w:t xml:space="preserve"> </w:t>
      </w:r>
      <w:r w:rsidR="000F362E">
        <w:t xml:space="preserve">of the Act </w:t>
      </w:r>
      <w:r w:rsidRPr="001C5CB4" w:rsidR="00641294">
        <w:t>(no revisions)</w:t>
      </w:r>
      <w:r w:rsidRPr="00137F86">
        <w:rPr>
          <w:u w:val="none"/>
        </w:rPr>
        <w:t>:</w:t>
      </w:r>
    </w:p>
    <w:p w:rsidRPr="00AC27FF" w:rsidR="006A0A34" w:rsidRDefault="006A0A34" w14:paraId="02345AF3" w14:textId="77777777">
      <w:pPr>
        <w:spacing w:after="0" w:line="240" w:lineRule="auto"/>
        <w:ind w:hanging="360"/>
        <w:rPr>
          <w:b/>
          <w:u w:val="single"/>
        </w:rPr>
      </w:pPr>
    </w:p>
    <w:p w:rsidRPr="00AC27FF" w:rsidR="006A0A34" w:rsidRDefault="006A0A34" w14:paraId="2D91CC28" w14:textId="0AD73D2E">
      <w:pPr>
        <w:spacing w:after="0" w:line="240" w:lineRule="auto"/>
        <w:ind w:left="720" w:hanging="360"/>
      </w:pPr>
      <w:r w:rsidRPr="00AC27FF">
        <w:t xml:space="preserve">(1) </w:t>
      </w:r>
      <w:r w:rsidRPr="00AC27FF">
        <w:rPr>
          <w:u w:val="single"/>
        </w:rPr>
        <w:t>Number of respondents</w:t>
      </w:r>
      <w:r w:rsidRPr="00AC27FF">
        <w:t xml:space="preserve">: </w:t>
      </w:r>
      <w:r w:rsidR="005271EF">
        <w:t xml:space="preserve"> </w:t>
      </w:r>
      <w:r w:rsidRPr="00AC27FF">
        <w:t>6</w:t>
      </w:r>
      <w:r>
        <w:t>1</w:t>
      </w:r>
      <w:r w:rsidRPr="003D4D58">
        <w:t xml:space="preserve"> </w:t>
      </w:r>
      <w:r w:rsidRPr="00AC27FF">
        <w:t>respondents</w:t>
      </w:r>
      <w:r w:rsidR="00B622CA">
        <w:t xml:space="preserve"> </w:t>
      </w:r>
      <w:r w:rsidRPr="00AC27FF">
        <w:t xml:space="preserve">(51 states, plus approximately </w:t>
      </w:r>
      <w:r>
        <w:t>10</w:t>
      </w:r>
      <w:r w:rsidRPr="00AC27FF">
        <w:t xml:space="preserve"> carriers will have to file this certification).</w:t>
      </w:r>
    </w:p>
    <w:p w:rsidRPr="00AC27FF" w:rsidR="006A0A34" w:rsidRDefault="006A0A34" w14:paraId="4D51F6FF" w14:textId="77777777">
      <w:pPr>
        <w:spacing w:after="0" w:line="240" w:lineRule="auto"/>
        <w:ind w:left="720" w:hanging="360"/>
      </w:pPr>
    </w:p>
    <w:p w:rsidRPr="00AC27FF" w:rsidR="006A0A34" w:rsidRDefault="006A0A34" w14:paraId="5C7D64A9" w14:textId="77777777">
      <w:pPr>
        <w:spacing w:after="0" w:line="240" w:lineRule="auto"/>
        <w:ind w:left="720" w:hanging="360"/>
      </w:pPr>
      <w:r w:rsidRPr="00AC27FF">
        <w:t xml:space="preserve">(2) </w:t>
      </w:r>
      <w:r w:rsidRPr="00AC27FF">
        <w:rPr>
          <w:u w:val="single"/>
        </w:rPr>
        <w:t>Frequency of response</w:t>
      </w:r>
      <w:r w:rsidRPr="00AC27FF">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rsidRPr="00AC27FF" w:rsidR="006A0A34" w:rsidRDefault="006A0A34" w14:paraId="518B80EF" w14:textId="77777777">
      <w:pPr>
        <w:spacing w:after="0" w:line="240" w:lineRule="auto"/>
        <w:ind w:left="720" w:hanging="360"/>
      </w:pPr>
    </w:p>
    <w:p w:rsidR="006A0A34" w:rsidRDefault="006A0A34" w14:paraId="6FDE2CFC" w14:textId="77777777">
      <w:pPr>
        <w:spacing w:after="0" w:line="240" w:lineRule="auto"/>
        <w:ind w:left="720" w:hanging="360"/>
      </w:pPr>
      <w:r w:rsidRPr="00AC27FF">
        <w:t xml:space="preserve">(3) </w:t>
      </w:r>
      <w:r w:rsidRPr="001A1CF1">
        <w:rPr>
          <w:u w:val="single"/>
        </w:rPr>
        <w:t>Total number of responses per respondent</w:t>
      </w:r>
      <w:r>
        <w:t>:  Approximately 1.</w:t>
      </w:r>
    </w:p>
    <w:p w:rsidR="006A0A34" w:rsidRDefault="006A0A34" w14:paraId="3970A96C" w14:textId="77777777">
      <w:pPr>
        <w:spacing w:after="0" w:line="240" w:lineRule="auto"/>
        <w:ind w:left="720" w:hanging="360"/>
      </w:pPr>
    </w:p>
    <w:p w:rsidR="006A0A34" w:rsidRDefault="006A0A34" w14:paraId="32206109" w14:textId="77777777">
      <w:pPr>
        <w:spacing w:after="0" w:line="240" w:lineRule="auto"/>
        <w:ind w:left="720" w:hanging="360"/>
      </w:pPr>
      <w:r>
        <w:t xml:space="preserve">(4) </w:t>
      </w:r>
      <w:r w:rsidRPr="001A1CF1">
        <w:rPr>
          <w:u w:val="single"/>
        </w:rPr>
        <w:t>Estimated time per response</w:t>
      </w:r>
      <w:r>
        <w:t>:  3 hours.</w:t>
      </w:r>
    </w:p>
    <w:p w:rsidR="006A0A34" w:rsidRDefault="006A0A34" w14:paraId="1F377714" w14:textId="77777777">
      <w:pPr>
        <w:spacing w:after="0" w:line="240" w:lineRule="auto"/>
        <w:ind w:left="720" w:hanging="360"/>
      </w:pPr>
    </w:p>
    <w:p w:rsidR="006A0A34" w:rsidRDefault="006A0A34" w14:paraId="2DE007D1" w14:textId="77777777">
      <w:pPr>
        <w:spacing w:after="0" w:line="240" w:lineRule="auto"/>
        <w:ind w:left="720" w:hanging="360"/>
      </w:pPr>
      <w:r w:rsidRPr="001A1CF1">
        <w:t xml:space="preserve">(5) </w:t>
      </w:r>
      <w:r>
        <w:rPr>
          <w:u w:val="single"/>
        </w:rPr>
        <w:t>Total a</w:t>
      </w:r>
      <w:r w:rsidRPr="00AC27FF">
        <w:rPr>
          <w:u w:val="single"/>
        </w:rPr>
        <w:t>nnual hour burden</w:t>
      </w:r>
      <w:r w:rsidRPr="00AC27FF">
        <w:t xml:space="preserve">: </w:t>
      </w:r>
      <w:r>
        <w:t>18</w:t>
      </w:r>
      <w:r w:rsidRPr="00F54D78">
        <w:t xml:space="preserve">3 hours. </w:t>
      </w:r>
    </w:p>
    <w:p w:rsidR="006A0A34" w:rsidRDefault="006A0A34" w14:paraId="0698B6B2" w14:textId="77777777">
      <w:pPr>
        <w:spacing w:after="0" w:line="240" w:lineRule="auto"/>
        <w:ind w:left="720" w:hanging="360"/>
      </w:pPr>
    </w:p>
    <w:p w:rsidR="005271EF" w:rsidRDefault="005271EF" w14:paraId="43E6434F" w14:textId="5089D5BC">
      <w:pPr>
        <w:spacing w:after="0" w:line="240" w:lineRule="auto"/>
        <w:ind w:left="720"/>
      </w:pPr>
      <w:r>
        <w:t xml:space="preserve">3 hours per respondent for 61 respondents filing on an annual basis.  </w:t>
      </w:r>
      <w:r w:rsidRPr="00F54D78" w:rsidR="006A0A34">
        <w:t>Total annual hour burden is</w:t>
      </w:r>
      <w:r>
        <w:t xml:space="preserve"> calculated as follows</w:t>
      </w:r>
      <w:r w:rsidRPr="00F54D78" w:rsidR="006A0A34">
        <w:t xml:space="preserve">:  </w:t>
      </w:r>
    </w:p>
    <w:p w:rsidR="005271EF" w:rsidRDefault="005271EF" w14:paraId="67E89CE8" w14:textId="77777777">
      <w:pPr>
        <w:spacing w:after="0" w:line="240" w:lineRule="auto"/>
        <w:ind w:left="720" w:hanging="358"/>
      </w:pPr>
    </w:p>
    <w:p w:rsidRPr="00AC27FF" w:rsidR="006A0A34" w:rsidRDefault="006A0A34" w14:paraId="2BA56F01" w14:textId="52D96D5B">
      <w:pPr>
        <w:spacing w:after="0" w:line="240" w:lineRule="auto"/>
        <w:ind w:left="720"/>
        <w:rPr>
          <w:b/>
        </w:rPr>
      </w:pPr>
      <w:r w:rsidRPr="00F54D78">
        <w:t xml:space="preserve">61 respondents x 1 certification per respondent = 61 responses x 3 hours = </w:t>
      </w:r>
      <w:r w:rsidRPr="00F54D78">
        <w:rPr>
          <w:b/>
        </w:rPr>
        <w:t xml:space="preserve">183 </w:t>
      </w:r>
      <w:r w:rsidR="005271EF">
        <w:rPr>
          <w:b/>
        </w:rPr>
        <w:t xml:space="preserve">total annual </w:t>
      </w:r>
      <w:r w:rsidRPr="00F54D78">
        <w:rPr>
          <w:b/>
        </w:rPr>
        <w:t>hours.</w:t>
      </w:r>
    </w:p>
    <w:p w:rsidRPr="00AC27FF" w:rsidR="006A0A34" w:rsidRDefault="006A0A34" w14:paraId="04A056E1" w14:textId="77777777">
      <w:pPr>
        <w:spacing w:after="0" w:line="240" w:lineRule="auto"/>
        <w:ind w:left="720" w:hanging="360"/>
      </w:pPr>
    </w:p>
    <w:p w:rsidRPr="00AC27FF" w:rsidR="006A0A34" w:rsidRDefault="006A0A34" w14:paraId="16319D3A" w14:textId="20566AE7">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$7,</w:t>
      </w:r>
      <w:r>
        <w:t>32</w:t>
      </w:r>
      <w:r w:rsidRPr="00AC27FF">
        <w:t>0. (18</w:t>
      </w:r>
      <w:r>
        <w:t>3</w:t>
      </w:r>
      <w:r w:rsidRPr="00AC27FF">
        <w:t xml:space="preserve"> hours x $40/h</w:t>
      </w:r>
      <w:r w:rsidR="005271EF">
        <w:t>our)</w:t>
      </w:r>
      <w:r w:rsidRPr="00AC27FF">
        <w:t>.</w:t>
      </w:r>
    </w:p>
    <w:p w:rsidRPr="00AC27FF" w:rsidR="006A0A34" w:rsidRDefault="006A0A34" w14:paraId="08698959" w14:textId="77777777">
      <w:pPr>
        <w:spacing w:after="0" w:line="240" w:lineRule="auto"/>
        <w:ind w:left="720" w:hanging="360"/>
      </w:pPr>
    </w:p>
    <w:p w:rsidRPr="00AC27FF" w:rsidR="006A0A34" w:rsidRDefault="006A0A34" w14:paraId="53C6D58D" w14:textId="7E52B964">
      <w:pPr>
        <w:spacing w:after="0" w:line="240" w:lineRule="auto"/>
        <w:ind w:left="720" w:hanging="360"/>
      </w:pPr>
      <w:r w:rsidRPr="00AC27FF">
        <w:t>(</w:t>
      </w:r>
      <w:r>
        <w:t>7</w:t>
      </w:r>
      <w:r w:rsidRPr="00AC27FF">
        <w:t xml:space="preserve">) </w:t>
      </w:r>
      <w:r w:rsidRPr="00AC27FF">
        <w:rPr>
          <w:u w:val="single"/>
        </w:rPr>
        <w:t>Explanation of calculation</w:t>
      </w:r>
      <w:r w:rsidR="00A9002F">
        <w:t>:</w:t>
      </w:r>
      <w:r w:rsidRPr="00AC27FF">
        <w:t xml:space="preserve">  We estimate that each respondent will spend 3 hours complying with this requirement</w:t>
      </w:r>
      <w:r w:rsidR="005271EF">
        <w:t>:</w:t>
      </w:r>
      <w:r w:rsidRPr="00AC27FF">
        <w:t xml:space="preserve">  6</w:t>
      </w:r>
      <w:r>
        <w:t>1 (</w:t>
      </w:r>
      <w:r w:rsidRPr="00AC27FF">
        <w:t>respon</w:t>
      </w:r>
      <w:r>
        <w:t>ses</w:t>
      </w:r>
      <w:r w:rsidRPr="00AC27FF">
        <w:t>) x 3 (hours to</w:t>
      </w:r>
      <w:r>
        <w:t xml:space="preserve"> confirm compliance and</w:t>
      </w:r>
      <w:r w:rsidRPr="00AC27FF">
        <w:t xml:space="preserve"> prepare certification letter) x $40/h</w:t>
      </w:r>
      <w:r w:rsidR="005271EF">
        <w:t>our</w:t>
      </w:r>
      <w:r w:rsidRPr="00AC27FF">
        <w:t xml:space="preserve"> = $7,</w:t>
      </w:r>
      <w:r>
        <w:t>32</w:t>
      </w:r>
      <w:r w:rsidRPr="00AC27FF">
        <w:t xml:space="preserve">0.  </w:t>
      </w:r>
    </w:p>
    <w:p w:rsidRPr="00AC27FF" w:rsidR="006A0A34" w:rsidRDefault="006A0A34" w14:paraId="0DFB613C" w14:textId="77777777">
      <w:pPr>
        <w:spacing w:after="0" w:line="240" w:lineRule="auto"/>
        <w:ind w:hanging="360"/>
        <w:rPr>
          <w:b/>
          <w:u w:val="single"/>
        </w:rPr>
      </w:pPr>
    </w:p>
    <w:p w:rsidRPr="001C5CB4" w:rsidR="006A0A34" w:rsidRDefault="006A0A34" w14:paraId="7FCDFA8F" w14:textId="62583D25">
      <w:pPr>
        <w:pStyle w:val="Heading4"/>
        <w:spacing w:after="0" w:line="240" w:lineRule="auto"/>
      </w:pPr>
      <w:r w:rsidRPr="001C5CB4">
        <w:t>Support in Competitive Study Areas: (FCC Form 525) (no revisions)</w:t>
      </w:r>
      <w:r w:rsidRPr="00137F86">
        <w:rPr>
          <w:u w:val="none"/>
        </w:rPr>
        <w:t>:</w:t>
      </w:r>
    </w:p>
    <w:p w:rsidRPr="00AC27FF" w:rsidR="006A0A34" w:rsidRDefault="006A0A34" w14:paraId="1C122FE5" w14:textId="77777777">
      <w:pPr>
        <w:spacing w:after="0" w:line="240" w:lineRule="auto"/>
        <w:ind w:hanging="360"/>
        <w:rPr>
          <w:b/>
          <w:u w:val="single"/>
        </w:rPr>
      </w:pPr>
    </w:p>
    <w:p w:rsidRPr="00AC27FF" w:rsidR="006A0A34" w:rsidRDefault="006A0A34" w14:paraId="00C4260F" w14:textId="0F5F026F">
      <w:pPr>
        <w:spacing w:after="0" w:line="240" w:lineRule="auto"/>
        <w:ind w:left="720" w:hanging="360"/>
      </w:pPr>
      <w:r w:rsidRPr="00AC27FF">
        <w:t xml:space="preserve">(1) </w:t>
      </w:r>
      <w:r w:rsidRPr="00AC27FF">
        <w:rPr>
          <w:u w:val="single"/>
        </w:rPr>
        <w:t>Number of respondents</w:t>
      </w:r>
      <w:r w:rsidRPr="00AC27FF">
        <w:t xml:space="preserve">:  1. </w:t>
      </w:r>
      <w:r w:rsidR="00837671">
        <w:t xml:space="preserve"> </w:t>
      </w:r>
      <w:r>
        <w:t>O</w:t>
      </w:r>
      <w:r w:rsidRPr="00AC27FF">
        <w:t>ne tribally owned competitive ETC will have to submit line count data quarterly.</w:t>
      </w:r>
      <w:r>
        <w:t xml:space="preserve">   Competitive ETCs participating in the Alaska Plan are no longer subject to this requirement.</w:t>
      </w:r>
    </w:p>
    <w:p w:rsidRPr="00AC27FF" w:rsidR="006A0A34" w:rsidRDefault="006A0A34" w14:paraId="7FF4B3F5" w14:textId="77777777">
      <w:pPr>
        <w:spacing w:after="0" w:line="240" w:lineRule="auto"/>
        <w:ind w:hanging="360"/>
      </w:pPr>
      <w:r w:rsidRPr="00AC27FF">
        <w:tab/>
      </w:r>
    </w:p>
    <w:p w:rsidRPr="00AC27FF" w:rsidR="006A0A34" w:rsidRDefault="006A0A34" w14:paraId="69A8CC24" w14:textId="77777777">
      <w:pPr>
        <w:spacing w:after="0" w:line="240" w:lineRule="auto"/>
        <w:ind w:left="720" w:hanging="360"/>
      </w:pPr>
      <w:r w:rsidRPr="00AC27FF">
        <w:t xml:space="preserve">(2) </w:t>
      </w:r>
      <w:r w:rsidRPr="00AC27FF">
        <w:rPr>
          <w:u w:val="single"/>
        </w:rPr>
        <w:t>Frequency of response:</w:t>
      </w:r>
      <w:r w:rsidRPr="00AC27FF">
        <w:t xml:space="preserve">  Quarterly reporting requirement.  Each carrier must file line count data with USAC upon competitive entry in rural carrier study areas. </w:t>
      </w:r>
    </w:p>
    <w:p w:rsidRPr="00AC27FF" w:rsidR="006A0A34" w:rsidRDefault="006A0A34" w14:paraId="0BAC7C7D" w14:textId="77777777">
      <w:pPr>
        <w:spacing w:after="0" w:line="240" w:lineRule="auto"/>
        <w:ind w:hanging="360"/>
      </w:pPr>
      <w:r w:rsidRPr="00AC27FF">
        <w:tab/>
      </w:r>
    </w:p>
    <w:p w:rsidR="006A0A34" w:rsidRDefault="006A0A34" w14:paraId="7330811A" w14:textId="77777777">
      <w:pPr>
        <w:spacing w:after="0" w:line="240" w:lineRule="auto"/>
        <w:ind w:left="720" w:hanging="360"/>
      </w:pPr>
      <w:r w:rsidRPr="00AC27FF">
        <w:t>(3)</w:t>
      </w:r>
      <w:r>
        <w:t xml:space="preserve"> </w:t>
      </w:r>
      <w:r w:rsidRPr="001A1CF1">
        <w:rPr>
          <w:u w:val="single"/>
        </w:rPr>
        <w:t>Total number of responses per respondent</w:t>
      </w:r>
      <w:r>
        <w:t xml:space="preserve">: Approximately 4. </w:t>
      </w:r>
      <w:r w:rsidRPr="00AC27FF">
        <w:t xml:space="preserve"> </w:t>
      </w:r>
    </w:p>
    <w:p w:rsidR="006A0A34" w:rsidRDefault="006A0A34" w14:paraId="26D5BD68" w14:textId="77777777">
      <w:pPr>
        <w:spacing w:after="0" w:line="240" w:lineRule="auto"/>
        <w:ind w:left="720" w:hanging="360"/>
      </w:pPr>
    </w:p>
    <w:p w:rsidRPr="001A1CF1" w:rsidR="006A0A34" w:rsidRDefault="006A0A34" w14:paraId="70CFF51A" w14:textId="77777777">
      <w:pPr>
        <w:spacing w:after="0" w:line="240" w:lineRule="auto"/>
        <w:ind w:left="720" w:hanging="360"/>
      </w:pPr>
      <w:r w:rsidRPr="001A1CF1">
        <w:t xml:space="preserve">(4) </w:t>
      </w:r>
      <w:r w:rsidRPr="001A1CF1">
        <w:rPr>
          <w:u w:val="single"/>
        </w:rPr>
        <w:t>Estimated time per response</w:t>
      </w:r>
      <w:r w:rsidRPr="001A1CF1">
        <w:t>:  6 hours.</w:t>
      </w:r>
    </w:p>
    <w:p w:rsidR="006A0A34" w:rsidRDefault="006A0A34" w14:paraId="74FADABB" w14:textId="77777777">
      <w:pPr>
        <w:spacing w:after="0" w:line="240" w:lineRule="auto"/>
        <w:ind w:left="720" w:hanging="360"/>
        <w:rPr>
          <w:u w:val="single"/>
        </w:rPr>
      </w:pPr>
    </w:p>
    <w:p w:rsidR="006A0A34" w:rsidRDefault="006A0A34" w14:paraId="56A6348A" w14:textId="77777777">
      <w:pPr>
        <w:spacing w:after="0" w:line="240" w:lineRule="auto"/>
        <w:ind w:left="720" w:hanging="360"/>
      </w:pPr>
      <w:r w:rsidRPr="001A1CF1">
        <w:t xml:space="preserve">(5) </w:t>
      </w:r>
      <w:r w:rsidRPr="001A1CF1">
        <w:rPr>
          <w:u w:val="single"/>
        </w:rPr>
        <w:t>Total annual hour burden</w:t>
      </w:r>
      <w:r w:rsidRPr="00AC27FF">
        <w:t xml:space="preserve">:  </w:t>
      </w:r>
      <w:r>
        <w:t xml:space="preserve">24 </w:t>
      </w:r>
      <w:r w:rsidRPr="00AC27FF">
        <w:t xml:space="preserve">hours.  </w:t>
      </w:r>
    </w:p>
    <w:p w:rsidR="006A0A34" w:rsidRDefault="006A0A34" w14:paraId="413A6EAB" w14:textId="77777777">
      <w:pPr>
        <w:spacing w:after="0" w:line="240" w:lineRule="auto"/>
        <w:ind w:left="720" w:hanging="360"/>
      </w:pPr>
    </w:p>
    <w:p w:rsidR="005271EF" w:rsidRDefault="006A0A34" w14:paraId="08796C66" w14:textId="60D17F37">
      <w:pPr>
        <w:spacing w:after="0" w:line="240" w:lineRule="auto"/>
        <w:ind w:left="720" w:hanging="360"/>
      </w:pPr>
      <w:r>
        <w:t xml:space="preserve">      </w:t>
      </w:r>
      <w:r w:rsidR="005271EF">
        <w:t xml:space="preserve">6 hours per respondent for 1 respondent filing on a quarterly basis.  </w:t>
      </w:r>
      <w:r w:rsidRPr="00F54D78">
        <w:t>Total annual hour burden is</w:t>
      </w:r>
      <w:r w:rsidR="005271EF">
        <w:t xml:space="preserve"> calculated as follows</w:t>
      </w:r>
      <w:r w:rsidRPr="00F54D78">
        <w:t xml:space="preserve">: </w:t>
      </w:r>
    </w:p>
    <w:p w:rsidR="005271EF" w:rsidRDefault="005271EF" w14:paraId="7E240FC9" w14:textId="77777777">
      <w:pPr>
        <w:spacing w:after="0" w:line="240" w:lineRule="auto"/>
        <w:ind w:left="720" w:hanging="360"/>
      </w:pPr>
    </w:p>
    <w:p w:rsidRPr="00615254" w:rsidR="006A0A34" w:rsidRDefault="006A0A34" w14:paraId="79B47C78" w14:textId="600A3C51">
      <w:pPr>
        <w:spacing w:after="0" w:line="240" w:lineRule="auto"/>
        <w:ind w:left="720"/>
        <w:rPr>
          <w:u w:val="single"/>
        </w:rPr>
      </w:pPr>
      <w:r w:rsidRPr="00F54D78">
        <w:t xml:space="preserve">1 respondent x 4 reports per respondent </w:t>
      </w:r>
      <w:r w:rsidRPr="00F54D78">
        <w:rPr>
          <w:b/>
        </w:rPr>
        <w:t xml:space="preserve">= </w:t>
      </w:r>
      <w:r>
        <w:t>4</w:t>
      </w:r>
      <w:r w:rsidRPr="00F54D78">
        <w:t xml:space="preserve"> responses x 6 hours = </w:t>
      </w:r>
      <w:r>
        <w:rPr>
          <w:b/>
        </w:rPr>
        <w:t>24</w:t>
      </w:r>
      <w:r w:rsidRPr="00F54D78">
        <w:rPr>
          <w:b/>
        </w:rPr>
        <w:t xml:space="preserve"> hours.</w:t>
      </w:r>
    </w:p>
    <w:p w:rsidRPr="00AC27FF" w:rsidR="006A0A34" w:rsidRDefault="006A0A34" w14:paraId="1C180C72" w14:textId="77777777">
      <w:pPr>
        <w:spacing w:after="0" w:line="240" w:lineRule="auto"/>
        <w:ind w:hanging="360"/>
      </w:pPr>
    </w:p>
    <w:p w:rsidRPr="00AC27FF" w:rsidR="006A0A34" w:rsidRDefault="006A0A34" w14:paraId="61A226D6" w14:textId="4960B5C2">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w:t>
      </w:r>
      <w:r w:rsidR="005271EF">
        <w:t xml:space="preserve"> </w:t>
      </w:r>
      <w:r w:rsidRPr="00AC27FF">
        <w:t xml:space="preserve"> $</w:t>
      </w:r>
      <w:r>
        <w:t>960</w:t>
      </w:r>
      <w:r w:rsidRPr="00AC27FF">
        <w:t>. (</w:t>
      </w:r>
      <w:r>
        <w:t>24</w:t>
      </w:r>
      <w:r w:rsidRPr="00AC27FF">
        <w:t xml:space="preserve"> hours x $40/h</w:t>
      </w:r>
      <w:r w:rsidR="005271EF">
        <w:t>our</w:t>
      </w:r>
      <w:r w:rsidRPr="00AC27FF">
        <w:t>).</w:t>
      </w:r>
    </w:p>
    <w:p w:rsidRPr="00AC27FF" w:rsidR="006A0A34" w:rsidRDefault="006A0A34" w14:paraId="24B8CD24" w14:textId="77777777">
      <w:pPr>
        <w:spacing w:after="0" w:line="240" w:lineRule="auto"/>
        <w:ind w:left="720" w:hanging="360"/>
      </w:pPr>
    </w:p>
    <w:p w:rsidRPr="00AC27FF" w:rsidR="006A0A34" w:rsidRDefault="006A0A34" w14:paraId="60A2990C" w14:textId="3EBFDB8C">
      <w:pPr>
        <w:spacing w:after="0" w:line="240" w:lineRule="auto"/>
        <w:ind w:left="720" w:hanging="360"/>
      </w:pPr>
      <w:r w:rsidRPr="00AC27FF">
        <w:t>(</w:t>
      </w:r>
      <w:r>
        <w:t>7</w:t>
      </w:r>
      <w:r w:rsidRPr="00AC27FF">
        <w:t xml:space="preserve">)  </w:t>
      </w:r>
      <w:r w:rsidRPr="00AC27FF">
        <w:rPr>
          <w:u w:val="single"/>
        </w:rPr>
        <w:t>Explanation of calculation</w:t>
      </w:r>
      <w:r w:rsidRPr="00AC27FF">
        <w:t>:  We estimate that 1 competitive ETCs will submit line count data quarterly x 6 hours to complete when preparing the worksheet</w:t>
      </w:r>
      <w:r w:rsidR="005271EF">
        <w:t xml:space="preserve">:  </w:t>
      </w:r>
      <w:r>
        <w:t xml:space="preserve">4 (responses) x </w:t>
      </w:r>
      <w:r w:rsidRPr="00AC27FF">
        <w:t xml:space="preserve">6 </w:t>
      </w:r>
      <w:r>
        <w:t xml:space="preserve">(hours to prepare line count data worksheet) </w:t>
      </w:r>
      <w:r w:rsidRPr="00AC27FF">
        <w:t>x $40/hour = $</w:t>
      </w:r>
      <w:r>
        <w:t>960</w:t>
      </w:r>
      <w:r w:rsidRPr="00AC27FF">
        <w:t xml:space="preserve">.  </w:t>
      </w:r>
    </w:p>
    <w:p w:rsidR="006A0A34" w:rsidRDefault="006A0A34" w14:paraId="58D63953" w14:textId="77777777">
      <w:pPr>
        <w:tabs>
          <w:tab w:val="left" w:pos="-720"/>
        </w:tabs>
        <w:suppressAutoHyphens/>
        <w:spacing w:after="0" w:line="240" w:lineRule="auto"/>
      </w:pPr>
    </w:p>
    <w:p w:rsidRPr="001C5CB4" w:rsidR="006A0A34" w:rsidRDefault="006A0A34" w14:paraId="2D62086F" w14:textId="4B275118">
      <w:pPr>
        <w:pStyle w:val="Heading4"/>
        <w:spacing w:after="0" w:line="240" w:lineRule="auto"/>
      </w:pPr>
      <w:r w:rsidRPr="001C5CB4">
        <w:t>Safety Valve (no revisions)</w:t>
      </w:r>
      <w:r w:rsidRPr="00137F86">
        <w:rPr>
          <w:u w:val="none"/>
        </w:rPr>
        <w:t>:</w:t>
      </w:r>
    </w:p>
    <w:p w:rsidRPr="00AC27FF" w:rsidR="006A0A34" w:rsidRDefault="006A0A34" w14:paraId="24EA57A7" w14:textId="77777777">
      <w:pPr>
        <w:spacing w:after="0" w:line="240" w:lineRule="auto"/>
        <w:ind w:left="720" w:hanging="360"/>
      </w:pPr>
      <w:r w:rsidRPr="00AC27FF">
        <w:tab/>
      </w:r>
    </w:p>
    <w:p w:rsidRPr="00AC27FF" w:rsidR="006A0A34" w:rsidRDefault="006A0A34" w14:paraId="4D316687" w14:textId="77777777">
      <w:pPr>
        <w:spacing w:after="0" w:line="240" w:lineRule="auto"/>
        <w:ind w:left="720" w:hanging="360"/>
      </w:pPr>
      <w:r w:rsidRPr="00AC27FF">
        <w:t xml:space="preserve">(1) </w:t>
      </w:r>
      <w:r w:rsidRPr="00AC27FF">
        <w:rPr>
          <w:u w:val="single"/>
        </w:rPr>
        <w:t>Number of respondents</w:t>
      </w:r>
      <w:r w:rsidRPr="00AC27FF">
        <w:t>:  25 rural carriers will have to file a notice.</w:t>
      </w:r>
    </w:p>
    <w:p w:rsidRPr="00AC27FF" w:rsidR="006A0A34" w:rsidRDefault="006A0A34" w14:paraId="7B37201B" w14:textId="77777777">
      <w:pPr>
        <w:spacing w:after="0" w:line="240" w:lineRule="auto"/>
        <w:ind w:left="720" w:hanging="360"/>
      </w:pPr>
    </w:p>
    <w:p w:rsidRPr="00AC27FF" w:rsidR="006A0A34" w:rsidRDefault="006A0A34" w14:paraId="0CD7AE90" w14:textId="77777777">
      <w:pPr>
        <w:spacing w:after="0" w:line="240" w:lineRule="auto"/>
        <w:ind w:left="720" w:hanging="360"/>
      </w:pPr>
      <w:r w:rsidRPr="00AC27FF">
        <w:t xml:space="preserve">(2) </w:t>
      </w:r>
      <w:r w:rsidRPr="00AC27FF">
        <w:rPr>
          <w:u w:val="single"/>
        </w:rPr>
        <w:t>Frequency of response</w:t>
      </w:r>
      <w:r w:rsidRPr="00AC27FF">
        <w:t>:  On occasion reporting requirement and third party disclosure requirement.  Rural carriers shall provide written notice to USAC when their index year has been established for purposes of calculating eligibility for safety valve support.</w:t>
      </w:r>
    </w:p>
    <w:p w:rsidRPr="00AC27FF" w:rsidR="006A0A34" w:rsidRDefault="006A0A34" w14:paraId="49507C70" w14:textId="77777777">
      <w:pPr>
        <w:spacing w:after="0" w:line="240" w:lineRule="auto"/>
        <w:ind w:left="720" w:hanging="360"/>
      </w:pPr>
    </w:p>
    <w:p w:rsidR="006A0A34" w:rsidRDefault="006A0A34" w14:paraId="2FC2C262" w14:textId="77777777">
      <w:pPr>
        <w:spacing w:after="0" w:line="240" w:lineRule="auto"/>
        <w:ind w:left="721" w:hanging="361"/>
      </w:pPr>
      <w:r>
        <w:t xml:space="preserve">(3) </w:t>
      </w:r>
      <w:r w:rsidRPr="001A1CF1">
        <w:rPr>
          <w:u w:val="single"/>
        </w:rPr>
        <w:t>Total number of responses per respondent</w:t>
      </w:r>
      <w:r>
        <w:t xml:space="preserve">:  Approximately 1. </w:t>
      </w:r>
    </w:p>
    <w:p w:rsidR="006A0A34" w:rsidRDefault="006A0A34" w14:paraId="5DA80071" w14:textId="77777777">
      <w:pPr>
        <w:spacing w:after="0" w:line="240" w:lineRule="auto"/>
        <w:ind w:left="720" w:hanging="360"/>
      </w:pPr>
    </w:p>
    <w:p w:rsidRPr="001A1CF1" w:rsidR="006A0A34" w:rsidRDefault="006A0A34" w14:paraId="1125DCE6" w14:textId="77777777">
      <w:pPr>
        <w:spacing w:after="0" w:line="240" w:lineRule="auto"/>
        <w:ind w:left="720" w:hanging="360"/>
      </w:pPr>
      <w:r w:rsidRPr="001A1CF1">
        <w:t xml:space="preserve">(4) </w:t>
      </w:r>
      <w:r w:rsidRPr="001A1CF1">
        <w:rPr>
          <w:u w:val="single"/>
        </w:rPr>
        <w:t>Estimated time per response</w:t>
      </w:r>
      <w:r w:rsidRPr="001A1CF1">
        <w:t>:  .5 hours.</w:t>
      </w:r>
    </w:p>
    <w:p w:rsidR="006A0A34" w:rsidRDefault="006A0A34" w14:paraId="749821F8" w14:textId="77777777">
      <w:pPr>
        <w:spacing w:after="0" w:line="240" w:lineRule="auto"/>
        <w:ind w:left="720" w:hanging="360"/>
        <w:rPr>
          <w:u w:val="single"/>
        </w:rPr>
      </w:pPr>
    </w:p>
    <w:p w:rsidR="006A0A34" w:rsidRDefault="006A0A34" w14:paraId="0B5C0CB3" w14:textId="77777777">
      <w:pPr>
        <w:spacing w:after="0" w:line="240" w:lineRule="auto"/>
        <w:ind w:left="720" w:hanging="360"/>
      </w:pPr>
      <w:r w:rsidRPr="001A1CF1">
        <w:t xml:space="preserve">(5) </w:t>
      </w:r>
      <w:r>
        <w:rPr>
          <w:u w:val="single"/>
        </w:rPr>
        <w:t>Total a</w:t>
      </w:r>
      <w:r w:rsidRPr="00AC27FF">
        <w:rPr>
          <w:u w:val="single"/>
        </w:rPr>
        <w:t>nnual hour burden</w:t>
      </w:r>
      <w:r w:rsidRPr="00AC27FF">
        <w:t xml:space="preserve">:  </w:t>
      </w:r>
      <w:r>
        <w:t>13 hours.</w:t>
      </w:r>
      <w:r w:rsidRPr="00F54D78">
        <w:t xml:space="preserve">  </w:t>
      </w:r>
    </w:p>
    <w:p w:rsidR="006A0A34" w:rsidRDefault="006A0A34" w14:paraId="655FEE31" w14:textId="77777777">
      <w:pPr>
        <w:spacing w:after="0" w:line="240" w:lineRule="auto"/>
        <w:ind w:left="720" w:hanging="360"/>
      </w:pPr>
    </w:p>
    <w:p w:rsidR="00451CEE" w:rsidRDefault="005271EF" w14:paraId="4C38363C" w14:textId="77777777">
      <w:pPr>
        <w:spacing w:after="0" w:line="240" w:lineRule="auto"/>
        <w:ind w:left="720"/>
      </w:pPr>
      <w:r>
        <w:lastRenderedPageBreak/>
        <w:t>.5 hours per respondent for 25 respondents filing on an occasional basis</w:t>
      </w:r>
      <w:r w:rsidR="00451CEE">
        <w:t xml:space="preserve">.  </w:t>
      </w:r>
      <w:r w:rsidRPr="00F54D78" w:rsidR="006A0A34">
        <w:t>Total annual hour burden is</w:t>
      </w:r>
      <w:r w:rsidR="00451CEE">
        <w:t xml:space="preserve"> calculated as follows</w:t>
      </w:r>
      <w:r w:rsidRPr="00F54D78" w:rsidR="006A0A34">
        <w:t xml:space="preserve">: </w:t>
      </w:r>
    </w:p>
    <w:p w:rsidR="00451CEE" w:rsidRDefault="00451CEE" w14:paraId="506F31DD" w14:textId="77777777">
      <w:pPr>
        <w:spacing w:after="0" w:line="240" w:lineRule="auto"/>
        <w:ind w:left="720" w:hanging="351"/>
      </w:pPr>
    </w:p>
    <w:p w:rsidRPr="00AC27FF" w:rsidR="006A0A34" w:rsidRDefault="006A0A34" w14:paraId="2C41AC5D" w14:textId="23856B39">
      <w:pPr>
        <w:spacing w:after="0" w:line="240" w:lineRule="auto"/>
        <w:ind w:left="720"/>
      </w:pPr>
      <w:r w:rsidRPr="00F54D78">
        <w:t xml:space="preserve">25 respondents x 1 notice per respondent = 25 responses x .5 hours = 13 hours (rounded up). </w:t>
      </w:r>
    </w:p>
    <w:p w:rsidRPr="00AC27FF" w:rsidR="006A0A34" w:rsidRDefault="006A0A34" w14:paraId="6E7E281A" w14:textId="77777777">
      <w:pPr>
        <w:spacing w:after="0" w:line="240" w:lineRule="auto"/>
        <w:ind w:left="720" w:hanging="360"/>
      </w:pPr>
    </w:p>
    <w:p w:rsidRPr="00AC27FF" w:rsidR="006A0A34" w:rsidRDefault="006A0A34" w14:paraId="78D54FC0" w14:textId="3AE8C164">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w:t>
      </w:r>
      <w:r>
        <w:t>52</w:t>
      </w:r>
      <w:r w:rsidRPr="00AA1230">
        <w:t>0.</w:t>
      </w:r>
      <w:r w:rsidRPr="00AC27FF">
        <w:t xml:space="preserve"> (1</w:t>
      </w:r>
      <w:r>
        <w:t>3</w:t>
      </w:r>
      <w:r w:rsidRPr="00AC27FF">
        <w:t xml:space="preserve"> hours</w:t>
      </w:r>
      <w:r>
        <w:t xml:space="preserve"> </w:t>
      </w:r>
      <w:r w:rsidRPr="00AC27FF">
        <w:t>x $40/h</w:t>
      </w:r>
      <w:r w:rsidR="00451CEE">
        <w:t>our)</w:t>
      </w:r>
      <w:r w:rsidRPr="00AC27FF">
        <w:t>.</w:t>
      </w:r>
    </w:p>
    <w:p w:rsidRPr="00AC27FF" w:rsidR="006A0A34" w:rsidRDefault="006A0A34" w14:paraId="2A615E94" w14:textId="77777777">
      <w:pPr>
        <w:spacing w:after="0" w:line="240" w:lineRule="auto"/>
        <w:ind w:left="720" w:hanging="360"/>
      </w:pPr>
    </w:p>
    <w:p w:rsidR="006A0A34" w:rsidRDefault="006A0A34" w14:paraId="2DCE7B53" w14:textId="469F2D8F">
      <w:pPr>
        <w:spacing w:after="0" w:line="240" w:lineRule="auto"/>
        <w:ind w:left="720" w:hanging="360"/>
      </w:pPr>
      <w:r w:rsidRPr="00AC27FF">
        <w:t>(</w:t>
      </w:r>
      <w:r>
        <w:t>7</w:t>
      </w:r>
      <w:r w:rsidRPr="00AC27FF">
        <w:t xml:space="preserve">)  </w:t>
      </w:r>
      <w:r w:rsidRPr="00AC27FF">
        <w:rPr>
          <w:u w:val="single"/>
        </w:rPr>
        <w:t>Explanation of calculation</w:t>
      </w:r>
      <w:r w:rsidRPr="00AC27FF">
        <w:t>:  We estimate that each carrier will spend .5 hour drafting a notice to USAC indicating when their index year has been established for purposes of calculating eligibility for safet</w:t>
      </w:r>
      <w:r>
        <w:t>y valve support</w:t>
      </w:r>
      <w:r w:rsidR="00451CEE">
        <w:t>:</w:t>
      </w:r>
      <w:r>
        <w:t xml:space="preserve">  </w:t>
      </w:r>
      <w:r w:rsidRPr="00F54D78">
        <w:t>25 (responses) x .5 (hours to prepare notice) = 13 (rounded up) x $40/h</w:t>
      </w:r>
      <w:r w:rsidR="00451CEE">
        <w:t>our</w:t>
      </w:r>
      <w:r w:rsidRPr="00F54D78">
        <w:t xml:space="preserve"> = $520. </w:t>
      </w:r>
    </w:p>
    <w:p w:rsidRPr="00AC27FF" w:rsidR="006A0A34" w:rsidRDefault="006A0A34" w14:paraId="655DF997" w14:textId="64E13338">
      <w:pPr>
        <w:spacing w:after="0" w:line="240" w:lineRule="auto"/>
      </w:pPr>
      <w:r w:rsidRPr="00AC27FF">
        <w:t xml:space="preserve"> </w:t>
      </w:r>
    </w:p>
    <w:p w:rsidRPr="001C5CB4" w:rsidR="006A0A34" w:rsidRDefault="006A0A34" w14:paraId="613CF8E9" w14:textId="60373FA6">
      <w:pPr>
        <w:pStyle w:val="Heading4"/>
        <w:spacing w:after="0" w:line="240" w:lineRule="auto"/>
      </w:pPr>
      <w:r w:rsidRPr="001C5CB4">
        <w:t>Recordkeeping Requirement (</w:t>
      </w:r>
      <w:r w:rsidR="006E1C88">
        <w:t>update</w:t>
      </w:r>
      <w:r w:rsidR="00E84181">
        <w:t>d</w:t>
      </w:r>
      <w:r w:rsidRPr="001C5CB4" w:rsidR="006E1C88">
        <w:t xml:space="preserve"> respondents</w:t>
      </w:r>
      <w:r w:rsidRPr="001C5CB4">
        <w:t>)</w:t>
      </w:r>
      <w:r w:rsidRPr="00137F86">
        <w:rPr>
          <w:u w:val="none"/>
        </w:rPr>
        <w:t>:</w:t>
      </w:r>
    </w:p>
    <w:p w:rsidRPr="00AC27FF" w:rsidR="006A0A34" w:rsidRDefault="006A0A34" w14:paraId="7B25E16D" w14:textId="77777777">
      <w:pPr>
        <w:spacing w:after="0" w:line="240" w:lineRule="auto"/>
        <w:rPr>
          <w:b/>
          <w:u w:val="single"/>
        </w:rPr>
      </w:pPr>
    </w:p>
    <w:p w:rsidRPr="00AC27FF" w:rsidR="006A0A34" w:rsidRDefault="006A0A34" w14:paraId="77460A2E" w14:textId="67CAA02A">
      <w:pPr>
        <w:spacing w:after="0" w:line="240" w:lineRule="auto"/>
        <w:ind w:left="720" w:hanging="360"/>
      </w:pPr>
      <w:r w:rsidRPr="00AC27FF">
        <w:t xml:space="preserve">(1)  </w:t>
      </w:r>
      <w:r w:rsidRPr="00AC27FF">
        <w:rPr>
          <w:u w:val="single"/>
        </w:rPr>
        <w:t>Number of Respondents</w:t>
      </w:r>
      <w:r w:rsidRPr="00AC27FF">
        <w:t xml:space="preserve">:  Approximately </w:t>
      </w:r>
      <w:r w:rsidR="00292C2D">
        <w:t>2,</w:t>
      </w:r>
      <w:r w:rsidR="009231F3">
        <w:t>22</w:t>
      </w:r>
      <w:r w:rsidR="00646596">
        <w:t>9</w:t>
      </w:r>
      <w:r w:rsidRPr="00AC27FF">
        <w:t xml:space="preserve"> telephone companies.</w:t>
      </w:r>
    </w:p>
    <w:p w:rsidRPr="00AC27FF" w:rsidR="006A0A34" w:rsidRDefault="006A0A34" w14:paraId="55018304" w14:textId="77777777">
      <w:pPr>
        <w:spacing w:after="0" w:line="240" w:lineRule="auto"/>
        <w:ind w:left="1080" w:right="-450"/>
      </w:pPr>
    </w:p>
    <w:p w:rsidRPr="00AC27FF" w:rsidR="006A0A34" w:rsidRDefault="006A0A34" w14:paraId="360C177B"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6A0A34" w:rsidRDefault="006A0A34" w14:paraId="08ED9A29" w14:textId="77777777">
      <w:pPr>
        <w:spacing w:after="0" w:line="240" w:lineRule="auto"/>
        <w:ind w:left="1080" w:right="-450"/>
      </w:pPr>
    </w:p>
    <w:p w:rsidR="006A0A34" w:rsidRDefault="006A0A34" w14:paraId="1E3FCD85" w14:textId="77777777">
      <w:pPr>
        <w:spacing w:after="0" w:line="240" w:lineRule="auto"/>
        <w:ind w:left="720" w:hanging="360"/>
      </w:pPr>
      <w:r w:rsidRPr="00AC27FF">
        <w:t>(3)</w:t>
      </w:r>
      <w:r>
        <w:t xml:space="preserve"> </w:t>
      </w:r>
      <w:r w:rsidRPr="001A1CF1">
        <w:rPr>
          <w:u w:val="single"/>
        </w:rPr>
        <w:t>Total number of responses per respondent</w:t>
      </w:r>
      <w:r>
        <w:t>:  Approximately 1.</w:t>
      </w:r>
      <w:r w:rsidRPr="00AC27FF">
        <w:t xml:space="preserve">  </w:t>
      </w:r>
    </w:p>
    <w:p w:rsidR="006A0A34" w:rsidRDefault="006A0A34" w14:paraId="10BC2AC1" w14:textId="77777777">
      <w:pPr>
        <w:spacing w:after="0" w:line="240" w:lineRule="auto"/>
        <w:ind w:left="720" w:hanging="360"/>
      </w:pPr>
    </w:p>
    <w:p w:rsidR="006A0A34" w:rsidRDefault="006A0A34" w14:paraId="1DC0F3E0" w14:textId="3006ABB3">
      <w:pPr>
        <w:spacing w:after="0" w:line="240" w:lineRule="auto"/>
        <w:ind w:left="720" w:hanging="360"/>
      </w:pPr>
      <w:r>
        <w:t xml:space="preserve">(4) </w:t>
      </w:r>
      <w:r w:rsidRPr="001A1CF1">
        <w:rPr>
          <w:u w:val="single"/>
        </w:rPr>
        <w:t>Estimated time per response</w:t>
      </w:r>
      <w:r>
        <w:t>:</w:t>
      </w:r>
      <w:r w:rsidR="00451CEE">
        <w:t xml:space="preserve"> </w:t>
      </w:r>
      <w:r>
        <w:t xml:space="preserve"> 2 hours.</w:t>
      </w:r>
    </w:p>
    <w:p w:rsidR="006A0A34" w:rsidRDefault="006A0A34" w14:paraId="0E588FFA" w14:textId="77777777">
      <w:pPr>
        <w:spacing w:after="0" w:line="240" w:lineRule="auto"/>
        <w:ind w:left="720" w:hanging="360"/>
      </w:pPr>
    </w:p>
    <w:p w:rsidR="006A0A34" w:rsidRDefault="006A0A34" w14:paraId="769814C0" w14:textId="3EFF9EA7">
      <w:pPr>
        <w:spacing w:after="0" w:line="240" w:lineRule="auto"/>
        <w:ind w:left="720" w:hanging="360"/>
      </w:pPr>
      <w:r w:rsidRPr="001A1CF1">
        <w:t xml:space="preserve">(5) </w:t>
      </w:r>
      <w:r w:rsidRPr="001A1CF1">
        <w:rPr>
          <w:u w:val="single"/>
        </w:rPr>
        <w:t>Total annual hour burden</w:t>
      </w:r>
      <w:r w:rsidRPr="00AC27FF">
        <w:t xml:space="preserve">:  </w:t>
      </w:r>
      <w:r w:rsidR="00292C2D">
        <w:t>4,</w:t>
      </w:r>
      <w:r w:rsidR="00C33690">
        <w:t>4</w:t>
      </w:r>
      <w:r w:rsidR="009231F3">
        <w:t>5</w:t>
      </w:r>
      <w:r w:rsidR="00646596">
        <w:t>8</w:t>
      </w:r>
      <w:r>
        <w:t xml:space="preserve"> hours. </w:t>
      </w:r>
    </w:p>
    <w:p w:rsidR="006A0A34" w:rsidRDefault="006A0A34" w14:paraId="43610D06" w14:textId="77777777">
      <w:pPr>
        <w:spacing w:after="0" w:line="240" w:lineRule="auto"/>
        <w:ind w:left="720" w:hanging="360"/>
      </w:pPr>
    </w:p>
    <w:p w:rsidR="00451CEE" w:rsidRDefault="006A0A34" w14:paraId="552AD85B" w14:textId="2417A1F5">
      <w:pPr>
        <w:spacing w:after="0" w:line="240" w:lineRule="auto"/>
        <w:ind w:left="720" w:hanging="360"/>
      </w:pPr>
      <w:r>
        <w:t xml:space="preserve">      </w:t>
      </w:r>
      <w:r w:rsidRPr="00F54D78">
        <w:t xml:space="preserve">2 hours per respondent for </w:t>
      </w:r>
      <w:r w:rsidR="00292C2D">
        <w:t>2,</w:t>
      </w:r>
      <w:r w:rsidR="00C33690">
        <w:t>2</w:t>
      </w:r>
      <w:r w:rsidR="009231F3">
        <w:t>2</w:t>
      </w:r>
      <w:r w:rsidR="00646596">
        <w:t>9</w:t>
      </w:r>
      <w:r w:rsidRPr="00F54D78">
        <w:t xml:space="preserve"> respondents retaining documents on an annual basis.  Total annual hour burden is</w:t>
      </w:r>
      <w:r w:rsidR="00451CEE">
        <w:t xml:space="preserve"> calculated as follows</w:t>
      </w:r>
      <w:r w:rsidRPr="00F54D78">
        <w:t xml:space="preserve">: </w:t>
      </w:r>
    </w:p>
    <w:p w:rsidR="00451CEE" w:rsidRDefault="00451CEE" w14:paraId="0C4616BA" w14:textId="77777777">
      <w:pPr>
        <w:spacing w:after="0" w:line="240" w:lineRule="auto"/>
        <w:ind w:left="720" w:hanging="360"/>
      </w:pPr>
    </w:p>
    <w:p w:rsidRPr="00AC27FF" w:rsidR="006A0A34" w:rsidRDefault="00292C2D" w14:paraId="7D3D8202" w14:textId="5688951C">
      <w:pPr>
        <w:spacing w:after="0" w:line="240" w:lineRule="auto"/>
        <w:ind w:left="720"/>
      </w:pPr>
      <w:r>
        <w:t>2,</w:t>
      </w:r>
      <w:r w:rsidR="00C33690">
        <w:t>2</w:t>
      </w:r>
      <w:r w:rsidR="00646596">
        <w:t>49</w:t>
      </w:r>
      <w:r w:rsidRPr="00F54D78" w:rsidR="006A0A34">
        <w:t xml:space="preserve"> respondents x 1 submission per respondent = </w:t>
      </w:r>
      <w:r>
        <w:t>2,</w:t>
      </w:r>
      <w:r w:rsidR="00C33690">
        <w:t>2</w:t>
      </w:r>
      <w:r w:rsidR="009231F3">
        <w:t>2</w:t>
      </w:r>
      <w:r w:rsidR="00646596">
        <w:t>9</w:t>
      </w:r>
      <w:r w:rsidRPr="00F54D78" w:rsidR="006A0A34">
        <w:t xml:space="preserve"> responses x 2 hours = </w:t>
      </w:r>
      <w:r>
        <w:rPr>
          <w:b/>
        </w:rPr>
        <w:t>4,</w:t>
      </w:r>
      <w:r w:rsidR="00C33690">
        <w:rPr>
          <w:b/>
        </w:rPr>
        <w:t>4</w:t>
      </w:r>
      <w:r w:rsidR="009231F3">
        <w:rPr>
          <w:b/>
        </w:rPr>
        <w:t>5</w:t>
      </w:r>
      <w:r>
        <w:rPr>
          <w:b/>
        </w:rPr>
        <w:t>8</w:t>
      </w:r>
      <w:r w:rsidRPr="00F54D78" w:rsidR="006A0A34">
        <w:rPr>
          <w:b/>
        </w:rPr>
        <w:t xml:space="preserve"> </w:t>
      </w:r>
      <w:r w:rsidR="00451CEE">
        <w:rPr>
          <w:b/>
        </w:rPr>
        <w:t xml:space="preserve">total annual </w:t>
      </w:r>
      <w:r w:rsidRPr="00F54D78" w:rsidR="006A0A34">
        <w:rPr>
          <w:b/>
        </w:rPr>
        <w:t>hours</w:t>
      </w:r>
      <w:r w:rsidRPr="00F54D78" w:rsidR="006A0A34">
        <w:t>.</w:t>
      </w:r>
    </w:p>
    <w:p w:rsidRPr="00AC27FF" w:rsidR="006A0A34" w:rsidRDefault="006A0A34" w14:paraId="3BB176F8" w14:textId="77777777">
      <w:pPr>
        <w:spacing w:after="0" w:line="240" w:lineRule="auto"/>
        <w:ind w:left="-720" w:right="-450"/>
      </w:pPr>
    </w:p>
    <w:p w:rsidRPr="001C5CB4" w:rsidR="003B37A9" w:rsidRDefault="006A0A34" w14:paraId="25648F98" w14:textId="7AD6BD8A">
      <w:pPr>
        <w:spacing w:after="0" w:line="240" w:lineRule="auto"/>
        <w:ind w:left="720" w:hanging="360"/>
      </w:pPr>
      <w:r w:rsidRPr="00AC27FF">
        <w:t>(</w:t>
      </w:r>
      <w:r>
        <w:t>6</w:t>
      </w:r>
      <w:r w:rsidRPr="00AC27FF">
        <w:t>)</w:t>
      </w:r>
      <w:r w:rsidRPr="00AC27FF">
        <w:tab/>
      </w:r>
      <w:r w:rsidRPr="002F504E">
        <w:rPr>
          <w:u w:val="single"/>
        </w:rPr>
        <w:t>Total estimate of in-house cost to respondents</w:t>
      </w:r>
      <w:r w:rsidRPr="00137F86">
        <w:t>:</w:t>
      </w:r>
      <w:r w:rsidRPr="001C5CB4">
        <w:t xml:space="preserve">  </w:t>
      </w:r>
      <w:r w:rsidRPr="002F504E">
        <w:t>$</w:t>
      </w:r>
      <w:r w:rsidR="00646596">
        <w:t>1</w:t>
      </w:r>
      <w:r w:rsidR="009231F3">
        <w:t>78</w:t>
      </w:r>
      <w:r w:rsidR="00646596">
        <w:t>,</w:t>
      </w:r>
      <w:r w:rsidR="009231F3">
        <w:t>3</w:t>
      </w:r>
      <w:r w:rsidR="00646596">
        <w:t>20</w:t>
      </w:r>
      <w:r w:rsidRPr="002F504E">
        <w:t>. (</w:t>
      </w:r>
      <w:r w:rsidR="00292C2D">
        <w:t>4,</w:t>
      </w:r>
      <w:r w:rsidR="00C33690">
        <w:t>4</w:t>
      </w:r>
      <w:r w:rsidR="009231F3">
        <w:t>5</w:t>
      </w:r>
      <w:r w:rsidR="00292C2D">
        <w:t>8</w:t>
      </w:r>
      <w:r w:rsidRPr="002F504E">
        <w:t xml:space="preserve"> hours x $40/hour).</w:t>
      </w:r>
    </w:p>
    <w:p w:rsidRPr="001C5CB4" w:rsidR="003B37A9" w:rsidRDefault="003B37A9" w14:paraId="0A376318" w14:textId="77777777">
      <w:pPr>
        <w:spacing w:after="0" w:line="240" w:lineRule="auto"/>
        <w:ind w:left="720" w:hanging="360"/>
      </w:pPr>
    </w:p>
    <w:p w:rsidRPr="00137F86" w:rsidR="006A0A34" w:rsidRDefault="006A0A34" w14:paraId="2E46E6D8" w14:textId="4974344F">
      <w:pPr>
        <w:pStyle w:val="ListParagraph"/>
        <w:numPr>
          <w:ilvl w:val="0"/>
          <w:numId w:val="28"/>
        </w:numPr>
        <w:spacing w:after="0" w:line="240" w:lineRule="auto"/>
      </w:pPr>
      <w:r w:rsidRPr="001C5CB4">
        <w:t>Explanation of calculation</w:t>
      </w:r>
      <w:r w:rsidRPr="00137F86">
        <w:rPr>
          <w:u w:val="none"/>
        </w:rPr>
        <w:t>:</w:t>
      </w:r>
      <w:r w:rsidRPr="001C5CB4">
        <w:rPr>
          <w:u w:val="none"/>
        </w:rPr>
        <w:t xml:space="preserve">  We estimate that each carrier will spend at least 2 hours tracking document retention periods</w:t>
      </w:r>
      <w:r w:rsidR="00451CEE">
        <w:rPr>
          <w:color w:val="000000"/>
          <w:u w:val="none"/>
        </w:rPr>
        <w:t xml:space="preserve">: </w:t>
      </w:r>
      <w:r w:rsidRPr="001C5CB4">
        <w:rPr>
          <w:color w:val="000000"/>
          <w:u w:val="none"/>
        </w:rPr>
        <w:t xml:space="preserve"> </w:t>
      </w:r>
      <w:r w:rsidRPr="001C5CB4" w:rsidR="00292C2D">
        <w:rPr>
          <w:color w:val="000000"/>
          <w:u w:val="none"/>
        </w:rPr>
        <w:t>2,</w:t>
      </w:r>
      <w:r w:rsidR="00C33690">
        <w:rPr>
          <w:color w:val="000000"/>
          <w:u w:val="none"/>
        </w:rPr>
        <w:t>2</w:t>
      </w:r>
      <w:r w:rsidR="009231F3">
        <w:rPr>
          <w:color w:val="000000"/>
          <w:u w:val="none"/>
        </w:rPr>
        <w:t>2</w:t>
      </w:r>
      <w:r w:rsidR="00646596">
        <w:rPr>
          <w:color w:val="000000"/>
          <w:u w:val="none"/>
        </w:rPr>
        <w:t>9</w:t>
      </w:r>
      <w:r w:rsidRPr="001C5CB4">
        <w:rPr>
          <w:color w:val="000000"/>
          <w:u w:val="none"/>
        </w:rPr>
        <w:t xml:space="preserve"> (responses) x 2 (hours to comply with document retention requirements) x $40</w:t>
      </w:r>
      <w:r w:rsidR="001F51E8">
        <w:rPr>
          <w:color w:val="000000"/>
          <w:u w:val="none"/>
        </w:rPr>
        <w:t>/</w:t>
      </w:r>
      <w:r w:rsidRPr="001C5CB4">
        <w:rPr>
          <w:color w:val="000000"/>
          <w:u w:val="none"/>
        </w:rPr>
        <w:t>hour = $</w:t>
      </w:r>
      <w:r w:rsidR="00646596">
        <w:rPr>
          <w:color w:val="000000"/>
          <w:u w:val="none"/>
        </w:rPr>
        <w:t>1</w:t>
      </w:r>
      <w:r w:rsidR="009231F3">
        <w:rPr>
          <w:color w:val="000000"/>
          <w:u w:val="none"/>
        </w:rPr>
        <w:t>78</w:t>
      </w:r>
      <w:r w:rsidR="00646596">
        <w:rPr>
          <w:color w:val="000000"/>
          <w:u w:val="none"/>
        </w:rPr>
        <w:t>,</w:t>
      </w:r>
      <w:r w:rsidR="009231F3">
        <w:rPr>
          <w:color w:val="000000"/>
          <w:u w:val="none"/>
        </w:rPr>
        <w:t>3</w:t>
      </w:r>
      <w:r w:rsidR="00646596">
        <w:rPr>
          <w:color w:val="000000"/>
          <w:u w:val="none"/>
        </w:rPr>
        <w:t>20</w:t>
      </w:r>
      <w:r w:rsidRPr="001C5CB4">
        <w:rPr>
          <w:color w:val="000000"/>
          <w:u w:val="none"/>
        </w:rPr>
        <w:t>.</w:t>
      </w:r>
    </w:p>
    <w:p w:rsidRPr="00D43798" w:rsidR="006679EE" w:rsidRDefault="006679EE" w14:paraId="79B96AD7" w14:textId="3EDE8F0F">
      <w:pPr>
        <w:spacing w:after="0" w:line="240" w:lineRule="auto"/>
      </w:pPr>
    </w:p>
    <w:p w:rsidRPr="00D43798" w:rsidR="006679EE" w:rsidRDefault="006679EE" w14:paraId="7B23101B" w14:textId="0B2DDDF6">
      <w:pPr>
        <w:spacing w:after="0" w:line="240" w:lineRule="auto"/>
      </w:pPr>
    </w:p>
    <w:p w:rsidR="006679EE" w:rsidRDefault="006679EE" w14:paraId="4AA74B60" w14:textId="77777777">
      <w:pPr>
        <w:tabs>
          <w:tab w:val="left" w:pos="-720"/>
          <w:tab w:val="left" w:pos="7611"/>
        </w:tabs>
        <w:suppressAutoHyphens/>
        <w:spacing w:after="0" w:line="240" w:lineRule="atLeast"/>
        <w:rPr>
          <w:b/>
        </w:rPr>
      </w:pPr>
    </w:p>
    <w:p w:rsidR="006679EE" w:rsidRDefault="006679EE" w14:paraId="13353296" w14:textId="4A798A3A">
      <w:pPr>
        <w:tabs>
          <w:tab w:val="left" w:pos="-720"/>
          <w:tab w:val="left" w:pos="7611"/>
        </w:tabs>
        <w:suppressAutoHyphens/>
        <w:spacing w:after="0" w:line="240" w:lineRule="atLeast"/>
        <w:rPr>
          <w:b/>
        </w:rPr>
      </w:pPr>
    </w:p>
    <w:p w:rsidR="000F362E" w:rsidRDefault="000F362E" w14:paraId="33B8B8C0" w14:textId="509463E2">
      <w:pPr>
        <w:tabs>
          <w:tab w:val="left" w:pos="-720"/>
          <w:tab w:val="left" w:pos="7611"/>
        </w:tabs>
        <w:suppressAutoHyphens/>
        <w:spacing w:after="0" w:line="240" w:lineRule="atLeast"/>
        <w:rPr>
          <w:b/>
        </w:rPr>
      </w:pPr>
    </w:p>
    <w:p w:rsidR="000F362E" w:rsidRDefault="000F362E" w14:paraId="67C8AF8A" w14:textId="19032431">
      <w:pPr>
        <w:tabs>
          <w:tab w:val="left" w:pos="-720"/>
          <w:tab w:val="left" w:pos="7611"/>
        </w:tabs>
        <w:suppressAutoHyphens/>
        <w:spacing w:after="0" w:line="240" w:lineRule="atLeast"/>
        <w:rPr>
          <w:b/>
        </w:rPr>
      </w:pPr>
    </w:p>
    <w:p w:rsidR="000F362E" w:rsidRDefault="000F362E" w14:paraId="28902439" w14:textId="3CCA6FEE">
      <w:pPr>
        <w:tabs>
          <w:tab w:val="left" w:pos="-720"/>
          <w:tab w:val="left" w:pos="7611"/>
        </w:tabs>
        <w:suppressAutoHyphens/>
        <w:spacing w:after="0" w:line="240" w:lineRule="atLeast"/>
        <w:rPr>
          <w:b/>
        </w:rPr>
      </w:pPr>
    </w:p>
    <w:p w:rsidR="000F362E" w:rsidRDefault="000F362E" w14:paraId="3D34D367" w14:textId="2E9EFD5F">
      <w:pPr>
        <w:tabs>
          <w:tab w:val="left" w:pos="-720"/>
          <w:tab w:val="left" w:pos="7611"/>
        </w:tabs>
        <w:suppressAutoHyphens/>
        <w:spacing w:after="0" w:line="240" w:lineRule="atLeast"/>
        <w:rPr>
          <w:b/>
        </w:rPr>
      </w:pPr>
    </w:p>
    <w:p w:rsidR="00623450" w:rsidRDefault="00623450" w14:paraId="100E9887" w14:textId="7B79C33A">
      <w:pPr>
        <w:tabs>
          <w:tab w:val="left" w:pos="-720"/>
          <w:tab w:val="left" w:pos="7611"/>
        </w:tabs>
        <w:suppressAutoHyphens/>
        <w:spacing w:after="0" w:line="240" w:lineRule="atLeast"/>
        <w:ind w:left="0"/>
        <w:rPr>
          <w:b/>
        </w:rPr>
      </w:pPr>
    </w:p>
    <w:p w:rsidR="001861C7" w:rsidRDefault="001861C7" w14:paraId="09437ED6" w14:textId="77777777">
      <w:pPr>
        <w:tabs>
          <w:tab w:val="left" w:pos="-720"/>
          <w:tab w:val="left" w:pos="7611"/>
        </w:tabs>
        <w:suppressAutoHyphens/>
        <w:spacing w:after="0" w:line="240" w:lineRule="atLeast"/>
        <w:ind w:left="0"/>
        <w:rPr>
          <w:b/>
        </w:rPr>
      </w:pPr>
    </w:p>
    <w:p w:rsidRPr="00137F86" w:rsidR="006679EE" w:rsidRDefault="006679EE" w14:paraId="0791F008" w14:textId="5C64549B">
      <w:pPr>
        <w:tabs>
          <w:tab w:val="left" w:pos="-720"/>
          <w:tab w:val="left" w:pos="7611"/>
        </w:tabs>
        <w:suppressAutoHyphens/>
        <w:spacing w:after="0" w:line="240" w:lineRule="atLeast"/>
        <w:ind w:left="0"/>
        <w:rPr>
          <w:b/>
        </w:rPr>
      </w:pPr>
      <w:r w:rsidRPr="00292C2D">
        <w:rPr>
          <w:b/>
        </w:rPr>
        <w:lastRenderedPageBreak/>
        <w:t>The estimated respondents and responses and burden hours are listed below:</w:t>
      </w:r>
    </w:p>
    <w:p w:rsidR="00292C2D" w:rsidRDefault="00292C2D" w14:paraId="4F662E28" w14:textId="1F0E727D">
      <w:pPr>
        <w:tabs>
          <w:tab w:val="left" w:pos="-720"/>
          <w:tab w:val="left" w:pos="7611"/>
        </w:tabs>
        <w:suppressAutoHyphens/>
        <w:spacing w:after="0" w:line="240" w:lineRule="auto"/>
        <w:rPr>
          <w:b/>
        </w:rPr>
      </w:pPr>
    </w:p>
    <w:tbl>
      <w:tblPr>
        <w:tblW w:w="10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66"/>
        <w:gridCol w:w="1962"/>
        <w:gridCol w:w="1872"/>
        <w:gridCol w:w="1656"/>
        <w:gridCol w:w="1351"/>
        <w:gridCol w:w="1890"/>
      </w:tblGrid>
      <w:tr w:rsidRPr="00AC27FF" w:rsidR="006679EE" w:rsidTr="00D43798" w14:paraId="5B272DC5" w14:textId="77777777">
        <w:trPr>
          <w:cantSplit/>
          <w:trHeight w:val="1380"/>
          <w:jc w:val="center"/>
        </w:trPr>
        <w:tc>
          <w:tcPr>
            <w:tcW w:w="2066" w:type="dxa"/>
            <w:shd w:val="clear" w:color="auto" w:fill="auto"/>
            <w:vAlign w:val="center"/>
          </w:tcPr>
          <w:p w:rsidRPr="00AC27FF" w:rsidR="006679EE" w:rsidRDefault="006679EE" w14:paraId="621ABE3E" w14:textId="3CF13D86">
            <w:pPr>
              <w:spacing w:after="0"/>
              <w:rPr>
                <w:b/>
                <w:bCs/>
              </w:rPr>
            </w:pPr>
          </w:p>
          <w:p w:rsidRPr="00AC27FF" w:rsidR="006679EE" w:rsidRDefault="006679EE" w14:paraId="37013E12" w14:textId="77777777">
            <w:pPr>
              <w:spacing w:after="0"/>
              <w:rPr>
                <w:b/>
                <w:bCs/>
              </w:rPr>
            </w:pPr>
            <w:r w:rsidRPr="00AC27FF">
              <w:rPr>
                <w:b/>
                <w:bCs/>
              </w:rPr>
              <w:t>Information Collection Requirements</w:t>
            </w:r>
          </w:p>
        </w:tc>
        <w:tc>
          <w:tcPr>
            <w:tcW w:w="1962" w:type="dxa"/>
            <w:shd w:val="clear" w:color="auto" w:fill="auto"/>
            <w:vAlign w:val="center"/>
          </w:tcPr>
          <w:p w:rsidRPr="00AC27FF" w:rsidR="006679EE" w:rsidRDefault="006679EE" w14:paraId="45B70172" w14:textId="77777777">
            <w:pPr>
              <w:spacing w:after="0"/>
              <w:rPr>
                <w:b/>
                <w:bCs/>
              </w:rPr>
            </w:pPr>
          </w:p>
          <w:p w:rsidRPr="00AC27FF" w:rsidR="006679EE" w:rsidRDefault="006679EE" w14:paraId="18BF4224" w14:textId="77777777">
            <w:pPr>
              <w:spacing w:after="0"/>
              <w:rPr>
                <w:b/>
                <w:bCs/>
              </w:rPr>
            </w:pPr>
            <w:r w:rsidRPr="00AC27FF">
              <w:rPr>
                <w:b/>
                <w:bCs/>
              </w:rPr>
              <w:t>Number of Respondents</w:t>
            </w:r>
          </w:p>
        </w:tc>
        <w:tc>
          <w:tcPr>
            <w:tcW w:w="1872" w:type="dxa"/>
            <w:shd w:val="clear" w:color="auto" w:fill="auto"/>
            <w:vAlign w:val="center"/>
          </w:tcPr>
          <w:p w:rsidRPr="00AC27FF" w:rsidR="006679EE" w:rsidRDefault="006679EE" w14:paraId="7C591CBE" w14:textId="77777777">
            <w:pPr>
              <w:spacing w:after="0"/>
              <w:rPr>
                <w:b/>
                <w:bCs/>
              </w:rPr>
            </w:pPr>
          </w:p>
          <w:p w:rsidRPr="00AC27FF" w:rsidR="006679EE" w:rsidRDefault="006679EE" w14:paraId="01B091AC" w14:textId="77777777">
            <w:pPr>
              <w:spacing w:after="0"/>
              <w:rPr>
                <w:b/>
                <w:bCs/>
              </w:rPr>
            </w:pPr>
            <w:r w:rsidRPr="00AC27FF">
              <w:rPr>
                <w:b/>
                <w:bCs/>
              </w:rPr>
              <w:t>Number of Responses</w:t>
            </w:r>
          </w:p>
          <w:p w:rsidRPr="00AC27FF" w:rsidR="006679EE" w:rsidRDefault="006679EE" w14:paraId="6DD135A5" w14:textId="77777777">
            <w:pPr>
              <w:spacing w:after="0"/>
              <w:rPr>
                <w:b/>
                <w:bCs/>
              </w:rPr>
            </w:pPr>
            <w:r w:rsidRPr="00AC27FF">
              <w:rPr>
                <w:b/>
                <w:bCs/>
              </w:rPr>
              <w:t>Per Year</w:t>
            </w:r>
          </w:p>
        </w:tc>
        <w:tc>
          <w:tcPr>
            <w:tcW w:w="1656" w:type="dxa"/>
            <w:shd w:val="clear" w:color="auto" w:fill="auto"/>
            <w:vAlign w:val="center"/>
          </w:tcPr>
          <w:p w:rsidRPr="00AC27FF" w:rsidR="006679EE" w:rsidRDefault="006679EE" w14:paraId="0E03E3B2" w14:textId="77777777">
            <w:pPr>
              <w:spacing w:after="0"/>
              <w:rPr>
                <w:b/>
                <w:bCs/>
              </w:rPr>
            </w:pPr>
          </w:p>
          <w:p w:rsidRPr="00AC27FF" w:rsidR="006679EE" w:rsidRDefault="006679EE" w14:paraId="4642EBAC" w14:textId="77777777">
            <w:pPr>
              <w:spacing w:after="0"/>
              <w:rPr>
                <w:b/>
                <w:bCs/>
              </w:rPr>
            </w:pPr>
            <w:r>
              <w:rPr>
                <w:b/>
                <w:bCs/>
              </w:rPr>
              <w:t xml:space="preserve">Estimated  Time </w:t>
            </w:r>
            <w:r w:rsidRPr="00AC27FF">
              <w:rPr>
                <w:b/>
                <w:bCs/>
              </w:rPr>
              <w:t>per</w:t>
            </w:r>
            <w:r>
              <w:rPr>
                <w:b/>
                <w:bCs/>
              </w:rPr>
              <w:t xml:space="preserve"> </w:t>
            </w:r>
            <w:r w:rsidRPr="00AC27FF">
              <w:rPr>
                <w:b/>
                <w:bCs/>
              </w:rPr>
              <w:t>Response (hours)</w:t>
            </w:r>
          </w:p>
        </w:tc>
        <w:tc>
          <w:tcPr>
            <w:tcW w:w="1351" w:type="dxa"/>
            <w:shd w:val="clear" w:color="auto" w:fill="auto"/>
            <w:vAlign w:val="center"/>
          </w:tcPr>
          <w:p w:rsidRPr="00AC27FF" w:rsidR="006679EE" w:rsidRDefault="006679EE" w14:paraId="1057EE51" w14:textId="77777777">
            <w:pPr>
              <w:spacing w:after="0"/>
              <w:rPr>
                <w:b/>
                <w:bCs/>
              </w:rPr>
            </w:pPr>
          </w:p>
          <w:p w:rsidRPr="00AC27FF" w:rsidR="006679EE" w:rsidRDefault="006679EE" w14:paraId="185E622F" w14:textId="77777777">
            <w:pPr>
              <w:spacing w:after="0"/>
              <w:rPr>
                <w:b/>
                <w:bCs/>
              </w:rPr>
            </w:pPr>
            <w:r w:rsidRPr="00AC27FF">
              <w:rPr>
                <w:b/>
                <w:bCs/>
              </w:rPr>
              <w:t>Total Burden Hours</w:t>
            </w:r>
          </w:p>
        </w:tc>
        <w:tc>
          <w:tcPr>
            <w:tcW w:w="1890" w:type="dxa"/>
            <w:shd w:val="clear" w:color="auto" w:fill="auto"/>
            <w:vAlign w:val="center"/>
          </w:tcPr>
          <w:p w:rsidRPr="00AC27FF" w:rsidR="006679EE" w:rsidRDefault="006679EE" w14:paraId="77E966DC" w14:textId="77777777">
            <w:pPr>
              <w:spacing w:after="0"/>
              <w:rPr>
                <w:b/>
                <w:bCs/>
              </w:rPr>
            </w:pPr>
          </w:p>
          <w:p w:rsidRPr="00AC27FF" w:rsidR="006679EE" w:rsidRDefault="006679EE" w14:paraId="501BF231" w14:textId="77777777">
            <w:pPr>
              <w:spacing w:after="0"/>
              <w:rPr>
                <w:b/>
                <w:bCs/>
              </w:rPr>
            </w:pPr>
            <w:r>
              <w:rPr>
                <w:b/>
                <w:bCs/>
              </w:rPr>
              <w:t>In-house</w:t>
            </w:r>
            <w:r w:rsidRPr="00AC27FF">
              <w:rPr>
                <w:b/>
                <w:bCs/>
              </w:rPr>
              <w:t xml:space="preserve"> Cost</w:t>
            </w:r>
            <w:r>
              <w:rPr>
                <w:b/>
                <w:bCs/>
              </w:rPr>
              <w:t xml:space="preserve"> to Respondents</w:t>
            </w:r>
          </w:p>
        </w:tc>
      </w:tr>
      <w:tr w:rsidRPr="00AC27FF" w:rsidR="00DB3537" w:rsidTr="00D43798" w14:paraId="51DBF161" w14:textId="77777777">
        <w:trPr>
          <w:cantSplit/>
          <w:trHeight w:val="255"/>
          <w:jc w:val="center"/>
        </w:trPr>
        <w:tc>
          <w:tcPr>
            <w:tcW w:w="2066" w:type="dxa"/>
            <w:shd w:val="clear" w:color="auto" w:fill="auto"/>
            <w:vAlign w:val="center"/>
          </w:tcPr>
          <w:p w:rsidR="00DB3537" w:rsidP="00162EFF" w:rsidRDefault="00DB3537" w14:paraId="686E3E07" w14:textId="77777777">
            <w:pPr>
              <w:spacing w:after="0"/>
              <w:ind w:left="0"/>
              <w:rPr>
                <w:b/>
                <w:bCs/>
                <w:u w:val="single"/>
              </w:rPr>
            </w:pPr>
          </w:p>
          <w:p w:rsidR="00963709" w:rsidP="00162EFF" w:rsidRDefault="00DB3537" w14:paraId="21049335" w14:textId="6027E050">
            <w:pPr>
              <w:spacing w:after="0"/>
              <w:ind w:left="0"/>
              <w:rPr>
                <w:b/>
                <w:bCs/>
                <w:u w:val="single"/>
              </w:rPr>
            </w:pPr>
            <w:r>
              <w:rPr>
                <w:b/>
                <w:bCs/>
                <w:u w:val="single"/>
              </w:rPr>
              <w:t xml:space="preserve">a. Connect America Fund Phase II Auction, </w:t>
            </w:r>
            <w:proofErr w:type="spellStart"/>
            <w:r>
              <w:rPr>
                <w:b/>
                <w:bCs/>
                <w:u w:val="single"/>
              </w:rPr>
              <w:t>Uniendo</w:t>
            </w:r>
            <w:proofErr w:type="spellEnd"/>
            <w:r>
              <w:rPr>
                <w:b/>
                <w:bCs/>
                <w:u w:val="single"/>
              </w:rPr>
              <w:t xml:space="preserve"> a Puerto Rico Stage 2, Connect USVI Fund Stage 2, </w:t>
            </w:r>
            <w:r w:rsidR="00E21814">
              <w:rPr>
                <w:b/>
                <w:bCs/>
                <w:u w:val="single"/>
              </w:rPr>
              <w:t xml:space="preserve">and </w:t>
            </w:r>
            <w:r>
              <w:rPr>
                <w:b/>
                <w:bCs/>
                <w:u w:val="single"/>
              </w:rPr>
              <w:t>Rural Digital Opportunity Fund Reporting and Certifications</w:t>
            </w:r>
          </w:p>
          <w:p w:rsidR="00DB3537" w:rsidRDefault="00DB3537" w14:paraId="28A60E88" w14:textId="1332DAE7">
            <w:pPr>
              <w:spacing w:after="0"/>
              <w:ind w:left="0"/>
              <w:rPr>
                <w:b/>
                <w:u w:val="single"/>
              </w:rPr>
            </w:pPr>
            <w:r>
              <w:rPr>
                <w:b/>
                <w:bCs/>
                <w:u w:val="single"/>
              </w:rPr>
              <w:t xml:space="preserve"> </w:t>
            </w:r>
          </w:p>
        </w:tc>
        <w:tc>
          <w:tcPr>
            <w:tcW w:w="1962" w:type="dxa"/>
            <w:shd w:val="clear" w:color="auto" w:fill="auto"/>
            <w:vAlign w:val="center"/>
          </w:tcPr>
          <w:p w:rsidR="00DB3537" w:rsidRDefault="00DB3537" w14:paraId="05883394" w14:textId="74D53A45">
            <w:pPr>
              <w:spacing w:after="0"/>
              <w:rPr>
                <w:b/>
              </w:rPr>
            </w:pPr>
            <w:r>
              <w:rPr>
                <w:b/>
              </w:rPr>
              <w:t>352</w:t>
            </w:r>
          </w:p>
        </w:tc>
        <w:tc>
          <w:tcPr>
            <w:tcW w:w="1872" w:type="dxa"/>
            <w:shd w:val="clear" w:color="auto" w:fill="auto"/>
            <w:vAlign w:val="center"/>
          </w:tcPr>
          <w:p w:rsidR="00DB3537" w:rsidRDefault="00DB3537" w14:paraId="552F62C5" w14:textId="058DD135">
            <w:pPr>
              <w:spacing w:after="0"/>
              <w:rPr>
                <w:b/>
              </w:rPr>
            </w:pPr>
            <w:r>
              <w:rPr>
                <w:b/>
              </w:rPr>
              <w:t>1</w:t>
            </w:r>
          </w:p>
        </w:tc>
        <w:tc>
          <w:tcPr>
            <w:tcW w:w="1656" w:type="dxa"/>
            <w:shd w:val="clear" w:color="auto" w:fill="auto"/>
            <w:vAlign w:val="center"/>
          </w:tcPr>
          <w:p w:rsidR="00DB3537" w:rsidRDefault="00DB3537" w14:paraId="15ED0DA4" w14:textId="332967C5">
            <w:pPr>
              <w:spacing w:after="0"/>
              <w:rPr>
                <w:b/>
              </w:rPr>
            </w:pPr>
            <w:r>
              <w:rPr>
                <w:b/>
              </w:rPr>
              <w:t>4</w:t>
            </w:r>
          </w:p>
        </w:tc>
        <w:tc>
          <w:tcPr>
            <w:tcW w:w="1351" w:type="dxa"/>
            <w:shd w:val="clear" w:color="auto" w:fill="auto"/>
            <w:vAlign w:val="center"/>
          </w:tcPr>
          <w:p w:rsidR="00DB3537" w:rsidRDefault="00DB3537" w14:paraId="4230F989" w14:textId="567ED066">
            <w:pPr>
              <w:spacing w:after="0"/>
              <w:rPr>
                <w:b/>
              </w:rPr>
            </w:pPr>
            <w:r>
              <w:rPr>
                <w:b/>
              </w:rPr>
              <w:t>1,408</w:t>
            </w:r>
          </w:p>
        </w:tc>
        <w:tc>
          <w:tcPr>
            <w:tcW w:w="1890" w:type="dxa"/>
            <w:shd w:val="clear" w:color="auto" w:fill="auto"/>
            <w:vAlign w:val="center"/>
          </w:tcPr>
          <w:p w:rsidR="00DB3537" w:rsidRDefault="00DB3537" w14:paraId="6BE1D602" w14:textId="5A0DBF1B">
            <w:pPr>
              <w:spacing w:after="0"/>
              <w:rPr>
                <w:b/>
              </w:rPr>
            </w:pPr>
            <w:r>
              <w:rPr>
                <w:b/>
              </w:rPr>
              <w:t>$56,320</w:t>
            </w:r>
          </w:p>
        </w:tc>
      </w:tr>
      <w:tr w:rsidRPr="00AC27FF" w:rsidR="00DB3537" w:rsidTr="00D43798" w14:paraId="3D737EE1" w14:textId="77777777">
        <w:trPr>
          <w:cantSplit/>
          <w:trHeight w:val="255"/>
          <w:jc w:val="center"/>
        </w:trPr>
        <w:tc>
          <w:tcPr>
            <w:tcW w:w="2066" w:type="dxa"/>
            <w:shd w:val="clear" w:color="auto" w:fill="auto"/>
            <w:vAlign w:val="center"/>
          </w:tcPr>
          <w:p w:rsidR="00DB3537" w:rsidP="00162EFF" w:rsidRDefault="00DB3537" w14:paraId="3DDDED1D" w14:textId="77777777">
            <w:pPr>
              <w:spacing w:after="0"/>
              <w:ind w:left="0"/>
              <w:rPr>
                <w:b/>
                <w:u w:val="single"/>
              </w:rPr>
            </w:pPr>
          </w:p>
          <w:p w:rsidR="00DB3537" w:rsidP="00162EFF" w:rsidRDefault="00DB3537" w14:paraId="4506640E" w14:textId="28069FCE">
            <w:pPr>
              <w:spacing w:after="0"/>
              <w:ind w:left="0"/>
              <w:rPr>
                <w:b/>
                <w:u w:val="single"/>
              </w:rPr>
            </w:pPr>
            <w:r>
              <w:rPr>
                <w:b/>
                <w:u w:val="single"/>
              </w:rPr>
              <w:t xml:space="preserve">b. Supply Chain Certification for all </w:t>
            </w:r>
            <w:r w:rsidR="00963709">
              <w:rPr>
                <w:b/>
                <w:u w:val="single"/>
              </w:rPr>
              <w:t xml:space="preserve">High-Cost </w:t>
            </w:r>
            <w:r>
              <w:rPr>
                <w:b/>
                <w:u w:val="single"/>
              </w:rPr>
              <w:t xml:space="preserve">Recipients </w:t>
            </w:r>
          </w:p>
          <w:p w:rsidRPr="00C03B50" w:rsidR="00963709" w:rsidRDefault="00963709" w14:paraId="41D8B6DF" w14:textId="067B58B2">
            <w:pPr>
              <w:spacing w:after="0"/>
              <w:ind w:left="0"/>
              <w:rPr>
                <w:b/>
                <w:u w:val="single"/>
              </w:rPr>
            </w:pPr>
          </w:p>
        </w:tc>
        <w:tc>
          <w:tcPr>
            <w:tcW w:w="1962" w:type="dxa"/>
            <w:shd w:val="clear" w:color="auto" w:fill="auto"/>
            <w:vAlign w:val="center"/>
          </w:tcPr>
          <w:p w:rsidR="00DB3537" w:rsidRDefault="00DB3537" w14:paraId="31EC72E3" w14:textId="212D58C3">
            <w:pPr>
              <w:spacing w:after="0"/>
              <w:rPr>
                <w:b/>
              </w:rPr>
            </w:pPr>
            <w:r>
              <w:rPr>
                <w:b/>
              </w:rPr>
              <w:t>2,229</w:t>
            </w:r>
          </w:p>
        </w:tc>
        <w:tc>
          <w:tcPr>
            <w:tcW w:w="1872" w:type="dxa"/>
            <w:shd w:val="clear" w:color="auto" w:fill="auto"/>
            <w:vAlign w:val="center"/>
          </w:tcPr>
          <w:p w:rsidR="00DB3537" w:rsidRDefault="00DB3537" w14:paraId="57003B31" w14:textId="77777777">
            <w:pPr>
              <w:spacing w:after="0"/>
              <w:rPr>
                <w:b/>
              </w:rPr>
            </w:pPr>
            <w:r>
              <w:rPr>
                <w:b/>
              </w:rPr>
              <w:t>1</w:t>
            </w:r>
          </w:p>
        </w:tc>
        <w:tc>
          <w:tcPr>
            <w:tcW w:w="1656" w:type="dxa"/>
            <w:shd w:val="clear" w:color="auto" w:fill="auto"/>
            <w:vAlign w:val="center"/>
          </w:tcPr>
          <w:p w:rsidR="00DB3537" w:rsidRDefault="00DB3537" w14:paraId="3EEBA0A4" w14:textId="63B2E9C9">
            <w:pPr>
              <w:spacing w:after="0"/>
              <w:rPr>
                <w:b/>
              </w:rPr>
            </w:pPr>
            <w:r>
              <w:rPr>
                <w:b/>
              </w:rPr>
              <w:t>.1</w:t>
            </w:r>
          </w:p>
        </w:tc>
        <w:tc>
          <w:tcPr>
            <w:tcW w:w="1351" w:type="dxa"/>
            <w:shd w:val="clear" w:color="auto" w:fill="auto"/>
            <w:vAlign w:val="center"/>
          </w:tcPr>
          <w:p w:rsidR="00DB3537" w:rsidRDefault="00DB3537" w14:paraId="707E853F" w14:textId="61BF9FA8">
            <w:pPr>
              <w:spacing w:after="0"/>
              <w:rPr>
                <w:b/>
              </w:rPr>
            </w:pPr>
            <w:r>
              <w:rPr>
                <w:b/>
              </w:rPr>
              <w:t>223</w:t>
            </w:r>
          </w:p>
        </w:tc>
        <w:tc>
          <w:tcPr>
            <w:tcW w:w="1890" w:type="dxa"/>
            <w:shd w:val="clear" w:color="auto" w:fill="auto"/>
            <w:vAlign w:val="center"/>
          </w:tcPr>
          <w:p w:rsidRPr="00AC27FF" w:rsidR="00DB3537" w:rsidRDefault="00DB3537" w14:paraId="40CAC1A4" w14:textId="0F5CCF7E">
            <w:pPr>
              <w:spacing w:after="0"/>
              <w:rPr>
                <w:b/>
              </w:rPr>
            </w:pPr>
            <w:r>
              <w:rPr>
                <w:b/>
              </w:rPr>
              <w:t>$8,920</w:t>
            </w:r>
          </w:p>
        </w:tc>
      </w:tr>
      <w:tr w:rsidRPr="00AC27FF" w:rsidR="00DB3537" w:rsidTr="00D43798" w14:paraId="5094C2CF" w14:textId="77777777">
        <w:trPr>
          <w:cantSplit/>
          <w:trHeight w:val="255"/>
          <w:jc w:val="center"/>
        </w:trPr>
        <w:tc>
          <w:tcPr>
            <w:tcW w:w="2066" w:type="dxa"/>
            <w:shd w:val="clear" w:color="auto" w:fill="auto"/>
            <w:vAlign w:val="center"/>
          </w:tcPr>
          <w:p w:rsidR="00DB3537" w:rsidP="00162EFF" w:rsidRDefault="00DB3537" w14:paraId="0701AFD1" w14:textId="77777777">
            <w:pPr>
              <w:spacing w:after="0"/>
              <w:ind w:left="0"/>
              <w:rPr>
                <w:b/>
                <w:bCs/>
                <w:u w:val="single"/>
              </w:rPr>
            </w:pPr>
          </w:p>
          <w:p w:rsidR="00DB3537" w:rsidP="00162EFF" w:rsidRDefault="00DB3537" w14:paraId="2B7A19C2" w14:textId="3F7D0AB7">
            <w:pPr>
              <w:spacing w:after="0"/>
              <w:ind w:left="0"/>
              <w:rPr>
                <w:b/>
                <w:bCs/>
                <w:u w:val="single"/>
              </w:rPr>
            </w:pPr>
            <w:r>
              <w:rPr>
                <w:b/>
                <w:bCs/>
                <w:u w:val="single"/>
              </w:rPr>
              <w:t>c</w:t>
            </w:r>
            <w:r w:rsidRPr="00AC27FF">
              <w:rPr>
                <w:b/>
                <w:bCs/>
                <w:u w:val="single"/>
              </w:rPr>
              <w:t xml:space="preserve">. </w:t>
            </w:r>
            <w:r>
              <w:rPr>
                <w:b/>
                <w:bCs/>
                <w:u w:val="single"/>
              </w:rPr>
              <w:t>Reasonably Comparable Rate</w:t>
            </w:r>
            <w:r w:rsidR="00963709">
              <w:rPr>
                <w:b/>
                <w:bCs/>
                <w:u w:val="single"/>
              </w:rPr>
              <w:t xml:space="preserve"> </w:t>
            </w:r>
            <w:r>
              <w:rPr>
                <w:b/>
                <w:bCs/>
                <w:u w:val="single"/>
              </w:rPr>
              <w:t>Certification for</w:t>
            </w:r>
            <w:r w:rsidR="00983AFC">
              <w:rPr>
                <w:b/>
                <w:bCs/>
                <w:u w:val="single"/>
              </w:rPr>
              <w:t xml:space="preserve"> Broadband </w:t>
            </w:r>
            <w:r w:rsidR="00E21814">
              <w:rPr>
                <w:b/>
                <w:bCs/>
                <w:u w:val="single"/>
              </w:rPr>
              <w:t>and</w:t>
            </w:r>
            <w:r w:rsidR="00983AFC">
              <w:rPr>
                <w:b/>
                <w:bCs/>
                <w:u w:val="single"/>
              </w:rPr>
              <w:t xml:space="preserve"> </w:t>
            </w:r>
            <w:r w:rsidR="00963709">
              <w:rPr>
                <w:b/>
                <w:bCs/>
                <w:u w:val="single"/>
              </w:rPr>
              <w:t>High-Cost Recipients</w:t>
            </w:r>
          </w:p>
          <w:p w:rsidR="00963709" w:rsidRDefault="00963709" w14:paraId="27A1BFC5" w14:textId="21393A30">
            <w:pPr>
              <w:spacing w:after="0"/>
              <w:ind w:left="0"/>
              <w:rPr>
                <w:b/>
                <w:bCs/>
                <w:u w:val="single"/>
              </w:rPr>
            </w:pPr>
          </w:p>
        </w:tc>
        <w:tc>
          <w:tcPr>
            <w:tcW w:w="1962" w:type="dxa"/>
            <w:shd w:val="clear" w:color="auto" w:fill="auto"/>
            <w:vAlign w:val="center"/>
          </w:tcPr>
          <w:p w:rsidR="00DB3537" w:rsidRDefault="004A5C2C" w14:paraId="0346BFF0" w14:textId="3B10D4EA">
            <w:pPr>
              <w:spacing w:after="0"/>
              <w:rPr>
                <w:b/>
              </w:rPr>
            </w:pPr>
            <w:r>
              <w:rPr>
                <w:b/>
              </w:rPr>
              <w:t>1,51</w:t>
            </w:r>
            <w:r w:rsidR="00DB3537">
              <w:rPr>
                <w:b/>
              </w:rPr>
              <w:t>9</w:t>
            </w:r>
          </w:p>
        </w:tc>
        <w:tc>
          <w:tcPr>
            <w:tcW w:w="1872" w:type="dxa"/>
            <w:shd w:val="clear" w:color="auto" w:fill="auto"/>
            <w:vAlign w:val="center"/>
          </w:tcPr>
          <w:p w:rsidR="00DB3537" w:rsidRDefault="00DB3537" w14:paraId="4C3E05B8" w14:textId="5192FF9D">
            <w:pPr>
              <w:spacing w:after="0"/>
              <w:rPr>
                <w:b/>
              </w:rPr>
            </w:pPr>
            <w:r>
              <w:rPr>
                <w:b/>
              </w:rPr>
              <w:t>1</w:t>
            </w:r>
          </w:p>
        </w:tc>
        <w:tc>
          <w:tcPr>
            <w:tcW w:w="1656" w:type="dxa"/>
            <w:shd w:val="clear" w:color="auto" w:fill="auto"/>
            <w:vAlign w:val="center"/>
          </w:tcPr>
          <w:p w:rsidR="00DB3537" w:rsidRDefault="00DB3537" w14:paraId="026E5225" w14:textId="0FC4E4F6">
            <w:pPr>
              <w:spacing w:after="0"/>
              <w:rPr>
                <w:b/>
              </w:rPr>
            </w:pPr>
            <w:r>
              <w:rPr>
                <w:b/>
              </w:rPr>
              <w:t>4</w:t>
            </w:r>
          </w:p>
        </w:tc>
        <w:tc>
          <w:tcPr>
            <w:tcW w:w="1351" w:type="dxa"/>
            <w:shd w:val="clear" w:color="auto" w:fill="auto"/>
            <w:vAlign w:val="center"/>
          </w:tcPr>
          <w:p w:rsidR="00DB3537" w:rsidRDefault="004A5C2C" w14:paraId="5D5207F1" w14:textId="0F905D94">
            <w:pPr>
              <w:spacing w:after="0"/>
              <w:rPr>
                <w:b/>
              </w:rPr>
            </w:pPr>
            <w:r>
              <w:rPr>
                <w:b/>
              </w:rPr>
              <w:t>6,076</w:t>
            </w:r>
          </w:p>
        </w:tc>
        <w:tc>
          <w:tcPr>
            <w:tcW w:w="1890" w:type="dxa"/>
            <w:shd w:val="clear" w:color="auto" w:fill="auto"/>
            <w:vAlign w:val="center"/>
          </w:tcPr>
          <w:p w:rsidR="00DB3537" w:rsidRDefault="004A5C2C" w14:paraId="2F0792BA" w14:textId="3062B0B0">
            <w:pPr>
              <w:spacing w:after="0"/>
              <w:rPr>
                <w:b/>
              </w:rPr>
            </w:pPr>
            <w:r>
              <w:rPr>
                <w:b/>
              </w:rPr>
              <w:t>$243,0</w:t>
            </w:r>
            <w:r w:rsidR="00DB3537">
              <w:rPr>
                <w:b/>
              </w:rPr>
              <w:t>40</w:t>
            </w:r>
          </w:p>
        </w:tc>
      </w:tr>
      <w:tr w:rsidRPr="00AC27FF" w:rsidR="008D53DE" w:rsidTr="00D43798" w14:paraId="6C1EE6E7" w14:textId="77777777">
        <w:trPr>
          <w:cantSplit/>
          <w:trHeight w:val="255"/>
          <w:jc w:val="center"/>
        </w:trPr>
        <w:tc>
          <w:tcPr>
            <w:tcW w:w="2066" w:type="dxa"/>
            <w:shd w:val="clear" w:color="auto" w:fill="auto"/>
            <w:vAlign w:val="center"/>
          </w:tcPr>
          <w:p w:rsidR="008D53DE" w:rsidP="00162EFF" w:rsidRDefault="008D53DE" w14:paraId="3E8F2CC4" w14:textId="77777777">
            <w:pPr>
              <w:spacing w:after="0"/>
              <w:ind w:left="0"/>
              <w:rPr>
                <w:b/>
                <w:bCs/>
                <w:u w:val="single"/>
              </w:rPr>
            </w:pPr>
          </w:p>
          <w:p w:rsidR="008D53DE" w:rsidP="00162EFF" w:rsidRDefault="003B2547" w14:paraId="1C5E83C3" w14:textId="70E59026">
            <w:pPr>
              <w:spacing w:after="0"/>
              <w:ind w:left="0"/>
              <w:rPr>
                <w:b/>
                <w:bCs/>
                <w:u w:val="single"/>
              </w:rPr>
            </w:pPr>
            <w:r>
              <w:rPr>
                <w:b/>
                <w:bCs/>
                <w:u w:val="single"/>
              </w:rPr>
              <w:t>d</w:t>
            </w:r>
            <w:r w:rsidR="008D53DE">
              <w:rPr>
                <w:b/>
                <w:bCs/>
                <w:u w:val="single"/>
              </w:rPr>
              <w:t>. Residential Rate Updates</w:t>
            </w:r>
          </w:p>
          <w:p w:rsidR="008D53DE" w:rsidRDefault="008D53DE" w14:paraId="21524D13" w14:textId="063AE48C">
            <w:pPr>
              <w:spacing w:after="0"/>
              <w:ind w:left="0"/>
              <w:rPr>
                <w:b/>
                <w:bCs/>
                <w:u w:val="single"/>
              </w:rPr>
            </w:pPr>
          </w:p>
        </w:tc>
        <w:tc>
          <w:tcPr>
            <w:tcW w:w="1962" w:type="dxa"/>
            <w:shd w:val="clear" w:color="auto" w:fill="auto"/>
            <w:vAlign w:val="center"/>
          </w:tcPr>
          <w:p w:rsidR="008D53DE" w:rsidRDefault="008D53DE" w14:paraId="6D639A48" w14:textId="31D7F040">
            <w:pPr>
              <w:spacing w:after="0"/>
              <w:rPr>
                <w:b/>
              </w:rPr>
            </w:pPr>
            <w:r>
              <w:rPr>
                <w:b/>
              </w:rPr>
              <w:t>0</w:t>
            </w:r>
          </w:p>
        </w:tc>
        <w:tc>
          <w:tcPr>
            <w:tcW w:w="1872" w:type="dxa"/>
            <w:shd w:val="clear" w:color="auto" w:fill="auto"/>
            <w:vAlign w:val="center"/>
          </w:tcPr>
          <w:p w:rsidR="008D53DE" w:rsidRDefault="008D53DE" w14:paraId="2122A7D5" w14:textId="44289733">
            <w:pPr>
              <w:spacing w:after="0"/>
              <w:rPr>
                <w:b/>
              </w:rPr>
            </w:pPr>
            <w:r>
              <w:rPr>
                <w:b/>
              </w:rPr>
              <w:t>0</w:t>
            </w:r>
          </w:p>
        </w:tc>
        <w:tc>
          <w:tcPr>
            <w:tcW w:w="1656" w:type="dxa"/>
            <w:shd w:val="clear" w:color="auto" w:fill="auto"/>
            <w:vAlign w:val="center"/>
          </w:tcPr>
          <w:p w:rsidR="008D53DE" w:rsidRDefault="008D53DE" w14:paraId="498D4A9B" w14:textId="643D5219">
            <w:pPr>
              <w:spacing w:after="0"/>
              <w:rPr>
                <w:b/>
              </w:rPr>
            </w:pPr>
            <w:r>
              <w:rPr>
                <w:b/>
              </w:rPr>
              <w:t>0</w:t>
            </w:r>
          </w:p>
        </w:tc>
        <w:tc>
          <w:tcPr>
            <w:tcW w:w="1351" w:type="dxa"/>
            <w:shd w:val="clear" w:color="auto" w:fill="auto"/>
            <w:vAlign w:val="center"/>
          </w:tcPr>
          <w:p w:rsidR="008D53DE" w:rsidRDefault="008D53DE" w14:paraId="4C73E6F0" w14:textId="1F83695E">
            <w:pPr>
              <w:spacing w:after="0"/>
              <w:rPr>
                <w:b/>
              </w:rPr>
            </w:pPr>
            <w:r>
              <w:rPr>
                <w:b/>
              </w:rPr>
              <w:t>0</w:t>
            </w:r>
          </w:p>
        </w:tc>
        <w:tc>
          <w:tcPr>
            <w:tcW w:w="1890" w:type="dxa"/>
            <w:shd w:val="clear" w:color="auto" w:fill="auto"/>
            <w:vAlign w:val="center"/>
          </w:tcPr>
          <w:p w:rsidR="008D53DE" w:rsidRDefault="008D53DE" w14:paraId="156F5BBC" w14:textId="0F6DFE4A">
            <w:pPr>
              <w:spacing w:after="0"/>
              <w:rPr>
                <w:b/>
              </w:rPr>
            </w:pPr>
            <w:r>
              <w:rPr>
                <w:b/>
              </w:rPr>
              <w:t>0</w:t>
            </w:r>
          </w:p>
        </w:tc>
      </w:tr>
      <w:tr w:rsidRPr="00AC27FF" w:rsidR="008D53DE" w:rsidTr="00D43798" w14:paraId="528D83DC" w14:textId="77777777">
        <w:trPr>
          <w:cantSplit/>
          <w:trHeight w:val="255"/>
          <w:jc w:val="center"/>
        </w:trPr>
        <w:tc>
          <w:tcPr>
            <w:tcW w:w="2066" w:type="dxa"/>
            <w:shd w:val="clear" w:color="auto" w:fill="auto"/>
            <w:vAlign w:val="center"/>
          </w:tcPr>
          <w:p w:rsidR="008D53DE" w:rsidP="00162EFF" w:rsidRDefault="008D53DE" w14:paraId="2F4319C4" w14:textId="77777777">
            <w:pPr>
              <w:spacing w:after="0"/>
              <w:ind w:left="0"/>
              <w:rPr>
                <w:b/>
                <w:bCs/>
                <w:u w:val="single"/>
              </w:rPr>
            </w:pPr>
          </w:p>
          <w:p w:rsidR="008D53DE" w:rsidP="00162EFF" w:rsidRDefault="003B2547" w14:paraId="7DA63C51" w14:textId="01665372">
            <w:pPr>
              <w:spacing w:after="0"/>
              <w:ind w:left="0"/>
              <w:rPr>
                <w:b/>
                <w:bCs/>
                <w:u w:val="single"/>
              </w:rPr>
            </w:pPr>
            <w:r>
              <w:rPr>
                <w:b/>
                <w:bCs/>
                <w:u w:val="single"/>
              </w:rPr>
              <w:t>e</w:t>
            </w:r>
            <w:r w:rsidR="008D53DE">
              <w:rPr>
                <w:b/>
                <w:bCs/>
                <w:u w:val="single"/>
              </w:rPr>
              <w:t>. Local End User Rates and State Regulated Fees</w:t>
            </w:r>
          </w:p>
          <w:p w:rsidR="008D53DE" w:rsidRDefault="008D53DE" w14:paraId="59F5FAD6" w14:textId="70F18C74">
            <w:pPr>
              <w:spacing w:after="0"/>
              <w:ind w:left="0"/>
              <w:rPr>
                <w:b/>
                <w:bCs/>
                <w:u w:val="single"/>
              </w:rPr>
            </w:pPr>
          </w:p>
        </w:tc>
        <w:tc>
          <w:tcPr>
            <w:tcW w:w="1962" w:type="dxa"/>
            <w:shd w:val="clear" w:color="auto" w:fill="auto"/>
            <w:vAlign w:val="center"/>
          </w:tcPr>
          <w:p w:rsidR="008D53DE" w:rsidRDefault="008D53DE" w14:paraId="4CA4C00E" w14:textId="2B7F7CD5">
            <w:pPr>
              <w:spacing w:after="0"/>
              <w:rPr>
                <w:b/>
              </w:rPr>
            </w:pPr>
            <w:r>
              <w:rPr>
                <w:b/>
              </w:rPr>
              <w:t>0</w:t>
            </w:r>
          </w:p>
        </w:tc>
        <w:tc>
          <w:tcPr>
            <w:tcW w:w="1872" w:type="dxa"/>
            <w:shd w:val="clear" w:color="auto" w:fill="auto"/>
            <w:vAlign w:val="center"/>
          </w:tcPr>
          <w:p w:rsidR="008D53DE" w:rsidRDefault="008D53DE" w14:paraId="6768AA88" w14:textId="54E4D38A">
            <w:pPr>
              <w:spacing w:after="0"/>
              <w:rPr>
                <w:b/>
              </w:rPr>
            </w:pPr>
            <w:r>
              <w:rPr>
                <w:b/>
              </w:rPr>
              <w:t>0</w:t>
            </w:r>
          </w:p>
        </w:tc>
        <w:tc>
          <w:tcPr>
            <w:tcW w:w="1656" w:type="dxa"/>
            <w:shd w:val="clear" w:color="auto" w:fill="auto"/>
            <w:vAlign w:val="center"/>
          </w:tcPr>
          <w:p w:rsidR="008D53DE" w:rsidRDefault="008D53DE" w14:paraId="35630E41" w14:textId="69943F01">
            <w:pPr>
              <w:spacing w:after="0"/>
              <w:rPr>
                <w:b/>
              </w:rPr>
            </w:pPr>
            <w:r>
              <w:rPr>
                <w:b/>
              </w:rPr>
              <w:t>0</w:t>
            </w:r>
          </w:p>
        </w:tc>
        <w:tc>
          <w:tcPr>
            <w:tcW w:w="1351" w:type="dxa"/>
            <w:shd w:val="clear" w:color="auto" w:fill="auto"/>
            <w:vAlign w:val="center"/>
          </w:tcPr>
          <w:p w:rsidR="008D53DE" w:rsidRDefault="008D53DE" w14:paraId="3426AE34" w14:textId="7741FC73">
            <w:pPr>
              <w:spacing w:after="0"/>
              <w:rPr>
                <w:b/>
              </w:rPr>
            </w:pPr>
            <w:r>
              <w:rPr>
                <w:b/>
              </w:rPr>
              <w:t>0</w:t>
            </w:r>
          </w:p>
        </w:tc>
        <w:tc>
          <w:tcPr>
            <w:tcW w:w="1890" w:type="dxa"/>
            <w:shd w:val="clear" w:color="auto" w:fill="auto"/>
            <w:vAlign w:val="center"/>
          </w:tcPr>
          <w:p w:rsidR="008D53DE" w:rsidRDefault="008D53DE" w14:paraId="4AF5CB85" w14:textId="4D9BFE93">
            <w:pPr>
              <w:spacing w:after="0"/>
              <w:rPr>
                <w:b/>
              </w:rPr>
            </w:pPr>
            <w:r>
              <w:rPr>
                <w:b/>
              </w:rPr>
              <w:t>0</w:t>
            </w:r>
          </w:p>
        </w:tc>
      </w:tr>
      <w:tr w:rsidRPr="00AC27FF" w:rsidR="003B2547" w:rsidTr="00881EB1" w14:paraId="2F290C7B" w14:textId="77777777">
        <w:trPr>
          <w:cantSplit/>
          <w:trHeight w:val="255"/>
          <w:jc w:val="center"/>
        </w:trPr>
        <w:tc>
          <w:tcPr>
            <w:tcW w:w="2066" w:type="dxa"/>
            <w:shd w:val="clear" w:color="auto" w:fill="auto"/>
            <w:vAlign w:val="center"/>
          </w:tcPr>
          <w:p w:rsidR="003B2547" w:rsidP="00162EFF" w:rsidRDefault="003B2547" w14:paraId="6FC61521" w14:textId="77777777">
            <w:pPr>
              <w:spacing w:after="0"/>
              <w:ind w:left="0"/>
              <w:rPr>
                <w:b/>
                <w:bCs/>
                <w:u w:val="single"/>
              </w:rPr>
            </w:pPr>
          </w:p>
          <w:p w:rsidR="003B2547" w:rsidP="00162EFF" w:rsidRDefault="003B2547" w14:paraId="1D258688" w14:textId="4FE61CC0">
            <w:pPr>
              <w:spacing w:after="0"/>
              <w:ind w:left="0"/>
              <w:rPr>
                <w:b/>
                <w:bCs/>
                <w:u w:val="single"/>
              </w:rPr>
            </w:pPr>
            <w:r>
              <w:rPr>
                <w:b/>
                <w:bCs/>
                <w:u w:val="single"/>
              </w:rPr>
              <w:t>f</w:t>
            </w:r>
            <w:r w:rsidRPr="00AC27FF">
              <w:rPr>
                <w:b/>
                <w:bCs/>
                <w:u w:val="single"/>
              </w:rPr>
              <w:t xml:space="preserve">. </w:t>
            </w:r>
            <w:r>
              <w:rPr>
                <w:b/>
                <w:bCs/>
                <w:u w:val="single"/>
              </w:rPr>
              <w:t>Annual Reporting Requirements for All Funding Recipients</w:t>
            </w:r>
          </w:p>
          <w:p w:rsidR="003B2547" w:rsidDel="008A0562" w:rsidRDefault="003B2547" w14:paraId="1F24455E" w14:textId="77777777">
            <w:pPr>
              <w:spacing w:after="0"/>
              <w:ind w:left="0"/>
              <w:rPr>
                <w:b/>
                <w:bCs/>
                <w:u w:val="single"/>
              </w:rPr>
            </w:pPr>
          </w:p>
        </w:tc>
        <w:tc>
          <w:tcPr>
            <w:tcW w:w="1962" w:type="dxa"/>
            <w:shd w:val="clear" w:color="auto" w:fill="auto"/>
            <w:vAlign w:val="center"/>
          </w:tcPr>
          <w:p w:rsidR="003B2547" w:rsidRDefault="003B2547" w14:paraId="4D85DD8C" w14:textId="43A6C67B">
            <w:pPr>
              <w:spacing w:after="0"/>
              <w:rPr>
                <w:b/>
              </w:rPr>
            </w:pPr>
            <w:r>
              <w:rPr>
                <w:b/>
              </w:rPr>
              <w:t>2,229</w:t>
            </w:r>
          </w:p>
        </w:tc>
        <w:tc>
          <w:tcPr>
            <w:tcW w:w="1872" w:type="dxa"/>
            <w:shd w:val="clear" w:color="auto" w:fill="auto"/>
            <w:vAlign w:val="center"/>
          </w:tcPr>
          <w:p w:rsidR="003B2547" w:rsidRDefault="003B2547" w14:paraId="239118C1" w14:textId="70192390">
            <w:pPr>
              <w:spacing w:after="0"/>
              <w:rPr>
                <w:b/>
              </w:rPr>
            </w:pPr>
            <w:r>
              <w:rPr>
                <w:b/>
              </w:rPr>
              <w:t>1</w:t>
            </w:r>
          </w:p>
        </w:tc>
        <w:tc>
          <w:tcPr>
            <w:tcW w:w="1656" w:type="dxa"/>
            <w:shd w:val="clear" w:color="auto" w:fill="auto"/>
            <w:vAlign w:val="center"/>
          </w:tcPr>
          <w:p w:rsidR="003B2547" w:rsidRDefault="003B2547" w14:paraId="106F763D" w14:textId="0F764513">
            <w:pPr>
              <w:spacing w:after="0"/>
              <w:rPr>
                <w:b/>
              </w:rPr>
            </w:pPr>
            <w:r>
              <w:rPr>
                <w:b/>
              </w:rPr>
              <w:t>5</w:t>
            </w:r>
          </w:p>
        </w:tc>
        <w:tc>
          <w:tcPr>
            <w:tcW w:w="1351" w:type="dxa"/>
            <w:shd w:val="clear" w:color="auto" w:fill="auto"/>
            <w:vAlign w:val="center"/>
          </w:tcPr>
          <w:p w:rsidR="003B2547" w:rsidRDefault="003B2547" w14:paraId="1F17B8A3" w14:textId="4744A3D2">
            <w:pPr>
              <w:spacing w:after="0"/>
              <w:rPr>
                <w:b/>
              </w:rPr>
            </w:pPr>
            <w:r>
              <w:rPr>
                <w:b/>
              </w:rPr>
              <w:t>11,145</w:t>
            </w:r>
          </w:p>
        </w:tc>
        <w:tc>
          <w:tcPr>
            <w:tcW w:w="1890" w:type="dxa"/>
            <w:shd w:val="clear" w:color="auto" w:fill="auto"/>
            <w:vAlign w:val="center"/>
          </w:tcPr>
          <w:p w:rsidRPr="00AC27FF" w:rsidR="003B2547" w:rsidRDefault="003B2547" w14:paraId="6C12FAB6" w14:textId="2F4D98CA">
            <w:pPr>
              <w:spacing w:after="0"/>
              <w:rPr>
                <w:b/>
              </w:rPr>
            </w:pPr>
            <w:r>
              <w:rPr>
                <w:b/>
              </w:rPr>
              <w:t>$445,800</w:t>
            </w:r>
          </w:p>
        </w:tc>
      </w:tr>
      <w:tr w:rsidRPr="00AC27FF" w:rsidR="003B2547" w:rsidTr="00D43798" w14:paraId="4886A96A" w14:textId="77777777">
        <w:trPr>
          <w:cantSplit/>
          <w:trHeight w:val="255"/>
          <w:jc w:val="center"/>
        </w:trPr>
        <w:tc>
          <w:tcPr>
            <w:tcW w:w="2066" w:type="dxa"/>
            <w:shd w:val="clear" w:color="auto" w:fill="auto"/>
            <w:vAlign w:val="center"/>
          </w:tcPr>
          <w:p w:rsidR="003B2547" w:rsidP="00162EFF" w:rsidRDefault="003B2547" w14:paraId="170BF304" w14:textId="77777777">
            <w:pPr>
              <w:spacing w:after="0"/>
              <w:ind w:left="0"/>
              <w:rPr>
                <w:b/>
                <w:bCs/>
                <w:u w:val="single"/>
              </w:rPr>
            </w:pPr>
          </w:p>
          <w:p w:rsidR="003B2547" w:rsidP="00162EFF" w:rsidRDefault="003B2547" w14:paraId="348FC358" w14:textId="77777777">
            <w:pPr>
              <w:spacing w:after="0"/>
              <w:ind w:left="0"/>
              <w:rPr>
                <w:b/>
                <w:bCs/>
                <w:u w:val="single"/>
              </w:rPr>
            </w:pPr>
            <w:r>
              <w:rPr>
                <w:b/>
                <w:bCs/>
                <w:u w:val="single"/>
              </w:rPr>
              <w:t>g</w:t>
            </w:r>
            <w:r w:rsidRPr="00AC27FF">
              <w:rPr>
                <w:b/>
                <w:bCs/>
                <w:u w:val="single"/>
              </w:rPr>
              <w:t xml:space="preserve">. </w:t>
            </w:r>
            <w:r>
              <w:rPr>
                <w:b/>
                <w:bCs/>
                <w:u w:val="single"/>
              </w:rPr>
              <w:t>Connect America Fund Phase II Requirements</w:t>
            </w:r>
          </w:p>
          <w:p w:rsidR="003B2547" w:rsidRDefault="003B2547" w14:paraId="137EE412" w14:textId="40205CAA">
            <w:pPr>
              <w:spacing w:after="0"/>
              <w:ind w:left="0"/>
              <w:rPr>
                <w:b/>
                <w:u w:val="single"/>
              </w:rPr>
            </w:pPr>
          </w:p>
        </w:tc>
        <w:tc>
          <w:tcPr>
            <w:tcW w:w="1962" w:type="dxa"/>
            <w:shd w:val="clear" w:color="auto" w:fill="auto"/>
            <w:vAlign w:val="center"/>
          </w:tcPr>
          <w:p w:rsidR="003B2547" w:rsidRDefault="003B2547" w14:paraId="06003573" w14:textId="77777777">
            <w:pPr>
              <w:spacing w:after="0"/>
              <w:rPr>
                <w:b/>
              </w:rPr>
            </w:pPr>
            <w:r>
              <w:rPr>
                <w:b/>
              </w:rPr>
              <w:t>9</w:t>
            </w:r>
          </w:p>
        </w:tc>
        <w:tc>
          <w:tcPr>
            <w:tcW w:w="1872" w:type="dxa"/>
            <w:shd w:val="clear" w:color="auto" w:fill="auto"/>
            <w:vAlign w:val="center"/>
          </w:tcPr>
          <w:p w:rsidR="003B2547" w:rsidRDefault="003B2547" w14:paraId="510F2503" w14:textId="77777777">
            <w:pPr>
              <w:spacing w:after="0"/>
              <w:rPr>
                <w:b/>
              </w:rPr>
            </w:pPr>
            <w:r>
              <w:rPr>
                <w:b/>
              </w:rPr>
              <w:t>1</w:t>
            </w:r>
          </w:p>
        </w:tc>
        <w:tc>
          <w:tcPr>
            <w:tcW w:w="1656" w:type="dxa"/>
            <w:shd w:val="clear" w:color="auto" w:fill="auto"/>
            <w:vAlign w:val="center"/>
          </w:tcPr>
          <w:p w:rsidR="003B2547" w:rsidRDefault="003B2547" w14:paraId="4D0BD2AF" w14:textId="77777777">
            <w:pPr>
              <w:spacing w:after="0"/>
              <w:rPr>
                <w:b/>
              </w:rPr>
            </w:pPr>
            <w:r>
              <w:rPr>
                <w:b/>
              </w:rPr>
              <w:t>2</w:t>
            </w:r>
          </w:p>
        </w:tc>
        <w:tc>
          <w:tcPr>
            <w:tcW w:w="1351" w:type="dxa"/>
            <w:shd w:val="clear" w:color="auto" w:fill="auto"/>
            <w:vAlign w:val="center"/>
          </w:tcPr>
          <w:p w:rsidR="003B2547" w:rsidRDefault="003B2547" w14:paraId="599E614F" w14:textId="77777777">
            <w:pPr>
              <w:spacing w:after="0"/>
              <w:rPr>
                <w:b/>
              </w:rPr>
            </w:pPr>
            <w:r>
              <w:rPr>
                <w:b/>
              </w:rPr>
              <w:t>18</w:t>
            </w:r>
          </w:p>
        </w:tc>
        <w:tc>
          <w:tcPr>
            <w:tcW w:w="1890" w:type="dxa"/>
            <w:shd w:val="clear" w:color="auto" w:fill="auto"/>
            <w:vAlign w:val="center"/>
          </w:tcPr>
          <w:p w:rsidR="003B2547" w:rsidRDefault="003B2547" w14:paraId="2C07F675" w14:textId="77777777">
            <w:pPr>
              <w:spacing w:after="0"/>
              <w:rPr>
                <w:b/>
              </w:rPr>
            </w:pPr>
            <w:r>
              <w:rPr>
                <w:b/>
              </w:rPr>
              <w:t>$720</w:t>
            </w:r>
          </w:p>
        </w:tc>
      </w:tr>
      <w:tr w:rsidRPr="00AC27FF" w:rsidR="003B2547" w:rsidTr="00D43798" w14:paraId="6D079089" w14:textId="77777777">
        <w:trPr>
          <w:cantSplit/>
          <w:trHeight w:val="255"/>
          <w:jc w:val="center"/>
        </w:trPr>
        <w:tc>
          <w:tcPr>
            <w:tcW w:w="2066" w:type="dxa"/>
            <w:shd w:val="clear" w:color="auto" w:fill="auto"/>
            <w:vAlign w:val="center"/>
          </w:tcPr>
          <w:p w:rsidR="003B2547" w:rsidP="00162EFF" w:rsidRDefault="003B2547" w14:paraId="6A71AD9A" w14:textId="77777777">
            <w:pPr>
              <w:spacing w:after="0"/>
              <w:ind w:left="0"/>
              <w:rPr>
                <w:b/>
                <w:bCs/>
                <w:u w:val="single"/>
              </w:rPr>
            </w:pPr>
          </w:p>
          <w:p w:rsidR="003B2547" w:rsidP="00162EFF" w:rsidRDefault="003B2547" w14:paraId="350D9F89" w14:textId="4C740637">
            <w:pPr>
              <w:spacing w:after="0"/>
              <w:ind w:left="0"/>
              <w:rPr>
                <w:b/>
                <w:bCs/>
                <w:u w:val="single"/>
              </w:rPr>
            </w:pPr>
            <w:r>
              <w:rPr>
                <w:b/>
                <w:bCs/>
                <w:u w:val="single"/>
              </w:rPr>
              <w:t>h</w:t>
            </w:r>
            <w:r w:rsidRPr="00AC27FF">
              <w:rPr>
                <w:b/>
                <w:bCs/>
                <w:u w:val="single"/>
              </w:rPr>
              <w:t xml:space="preserve">. </w:t>
            </w:r>
            <w:r>
              <w:rPr>
                <w:b/>
                <w:bCs/>
                <w:u w:val="single"/>
              </w:rPr>
              <w:t>Rate-of-Return Carrier Requirements</w:t>
            </w:r>
          </w:p>
          <w:p w:rsidRPr="00C03B50" w:rsidR="003B2547" w:rsidRDefault="003B2547" w14:paraId="2D1FF76D" w14:textId="0A45DBCB">
            <w:pPr>
              <w:spacing w:after="0"/>
              <w:ind w:left="0"/>
              <w:rPr>
                <w:b/>
                <w:bCs/>
                <w:u w:val="single"/>
              </w:rPr>
            </w:pPr>
          </w:p>
        </w:tc>
        <w:tc>
          <w:tcPr>
            <w:tcW w:w="1962" w:type="dxa"/>
            <w:shd w:val="clear" w:color="auto" w:fill="auto"/>
            <w:vAlign w:val="center"/>
          </w:tcPr>
          <w:p w:rsidR="003B2547" w:rsidRDefault="003B2547" w14:paraId="3E63DF59" w14:textId="77777777">
            <w:pPr>
              <w:spacing w:after="0"/>
              <w:rPr>
                <w:b/>
              </w:rPr>
            </w:pPr>
            <w:r>
              <w:rPr>
                <w:b/>
              </w:rPr>
              <w:t>1,141</w:t>
            </w:r>
          </w:p>
        </w:tc>
        <w:tc>
          <w:tcPr>
            <w:tcW w:w="1872" w:type="dxa"/>
            <w:shd w:val="clear" w:color="auto" w:fill="auto"/>
            <w:vAlign w:val="center"/>
          </w:tcPr>
          <w:p w:rsidR="003B2547" w:rsidRDefault="003B2547" w14:paraId="187C2F81" w14:textId="77777777">
            <w:pPr>
              <w:spacing w:after="0"/>
              <w:rPr>
                <w:b/>
              </w:rPr>
            </w:pPr>
            <w:r>
              <w:rPr>
                <w:b/>
              </w:rPr>
              <w:t>1</w:t>
            </w:r>
          </w:p>
        </w:tc>
        <w:tc>
          <w:tcPr>
            <w:tcW w:w="1656" w:type="dxa"/>
            <w:shd w:val="clear" w:color="auto" w:fill="auto"/>
            <w:vAlign w:val="center"/>
          </w:tcPr>
          <w:p w:rsidR="003B2547" w:rsidRDefault="003B2547" w14:paraId="6F3716FE" w14:textId="77777777">
            <w:pPr>
              <w:spacing w:after="0"/>
              <w:rPr>
                <w:b/>
              </w:rPr>
            </w:pPr>
            <w:r>
              <w:rPr>
                <w:b/>
              </w:rPr>
              <w:t>3</w:t>
            </w:r>
          </w:p>
        </w:tc>
        <w:tc>
          <w:tcPr>
            <w:tcW w:w="1351" w:type="dxa"/>
            <w:shd w:val="clear" w:color="auto" w:fill="auto"/>
            <w:vAlign w:val="center"/>
          </w:tcPr>
          <w:p w:rsidR="003B2547" w:rsidRDefault="003B2547" w14:paraId="2F79F1C8" w14:textId="77777777">
            <w:pPr>
              <w:spacing w:after="0"/>
              <w:rPr>
                <w:b/>
              </w:rPr>
            </w:pPr>
            <w:r>
              <w:rPr>
                <w:b/>
              </w:rPr>
              <w:t>3,423</w:t>
            </w:r>
          </w:p>
        </w:tc>
        <w:tc>
          <w:tcPr>
            <w:tcW w:w="1890" w:type="dxa"/>
            <w:shd w:val="clear" w:color="auto" w:fill="auto"/>
            <w:vAlign w:val="center"/>
          </w:tcPr>
          <w:p w:rsidR="003B2547" w:rsidRDefault="003B2547" w14:paraId="743D4185" w14:textId="77777777">
            <w:pPr>
              <w:spacing w:after="0"/>
              <w:rPr>
                <w:b/>
              </w:rPr>
            </w:pPr>
            <w:r>
              <w:rPr>
                <w:b/>
              </w:rPr>
              <w:t>$136,920</w:t>
            </w:r>
          </w:p>
        </w:tc>
      </w:tr>
      <w:tr w:rsidRPr="00AC27FF" w:rsidR="003B2547" w:rsidTr="00D43798" w14:paraId="6B45D964" w14:textId="77777777">
        <w:trPr>
          <w:cantSplit/>
          <w:trHeight w:val="255"/>
          <w:jc w:val="center"/>
        </w:trPr>
        <w:tc>
          <w:tcPr>
            <w:tcW w:w="2066" w:type="dxa"/>
            <w:shd w:val="clear" w:color="auto" w:fill="auto"/>
            <w:vAlign w:val="center"/>
          </w:tcPr>
          <w:p w:rsidR="003B2547" w:rsidP="00162EFF" w:rsidRDefault="003B2547" w14:paraId="5640D679" w14:textId="77777777">
            <w:pPr>
              <w:spacing w:after="0"/>
              <w:rPr>
                <w:b/>
                <w:u w:val="single"/>
              </w:rPr>
            </w:pPr>
          </w:p>
          <w:p w:rsidRPr="00D43798" w:rsidR="003B2547" w:rsidP="00162EFF" w:rsidRDefault="003B2547" w14:paraId="3C2B21F2" w14:textId="426458EC">
            <w:pPr>
              <w:spacing w:after="0"/>
              <w:ind w:left="0"/>
              <w:rPr>
                <w:b/>
                <w:u w:val="single"/>
              </w:rPr>
            </w:pPr>
            <w:r w:rsidRPr="00D43798">
              <w:rPr>
                <w:b/>
                <w:u w:val="single"/>
              </w:rPr>
              <w:t>i. Capital</w:t>
            </w:r>
            <w:r>
              <w:rPr>
                <w:b/>
                <w:u w:val="single"/>
              </w:rPr>
              <w:t xml:space="preserve"> Expenditure Reporting </w:t>
            </w:r>
            <w:r w:rsidRPr="00D43798">
              <w:rPr>
                <w:b/>
                <w:u w:val="single"/>
              </w:rPr>
              <w:t>for Phase II Model-Based Support Recipients</w:t>
            </w:r>
          </w:p>
          <w:p w:rsidRPr="00990FC5" w:rsidR="003B2547" w:rsidRDefault="003B2547" w14:paraId="1070BFCB" w14:textId="1A1F41C7">
            <w:pPr>
              <w:spacing w:after="0"/>
              <w:ind w:left="0"/>
            </w:pPr>
          </w:p>
        </w:tc>
        <w:tc>
          <w:tcPr>
            <w:tcW w:w="1962" w:type="dxa"/>
            <w:shd w:val="clear" w:color="auto" w:fill="auto"/>
            <w:vAlign w:val="center"/>
          </w:tcPr>
          <w:p w:rsidRPr="00AC27FF" w:rsidR="003B2547" w:rsidRDefault="003B2547" w14:paraId="507A8E6F" w14:textId="77777777">
            <w:pPr>
              <w:spacing w:after="0"/>
              <w:rPr>
                <w:b/>
              </w:rPr>
            </w:pPr>
            <w:r>
              <w:rPr>
                <w:b/>
              </w:rPr>
              <w:t>9</w:t>
            </w:r>
          </w:p>
        </w:tc>
        <w:tc>
          <w:tcPr>
            <w:tcW w:w="1872" w:type="dxa"/>
            <w:shd w:val="clear" w:color="auto" w:fill="auto"/>
            <w:vAlign w:val="center"/>
          </w:tcPr>
          <w:p w:rsidRPr="00AC27FF" w:rsidR="003B2547" w:rsidRDefault="003B2547" w14:paraId="08B7214D" w14:textId="77777777">
            <w:pPr>
              <w:spacing w:after="0"/>
              <w:rPr>
                <w:b/>
              </w:rPr>
            </w:pPr>
            <w:r>
              <w:rPr>
                <w:b/>
              </w:rPr>
              <w:t>1</w:t>
            </w:r>
          </w:p>
        </w:tc>
        <w:tc>
          <w:tcPr>
            <w:tcW w:w="1656" w:type="dxa"/>
            <w:shd w:val="clear" w:color="auto" w:fill="auto"/>
            <w:vAlign w:val="center"/>
          </w:tcPr>
          <w:p w:rsidRPr="00AC27FF" w:rsidR="003B2547" w:rsidRDefault="003B2547" w14:paraId="74854CCE" w14:textId="77777777">
            <w:pPr>
              <w:spacing w:after="0"/>
              <w:rPr>
                <w:b/>
              </w:rPr>
            </w:pPr>
            <w:r>
              <w:rPr>
                <w:b/>
              </w:rPr>
              <w:t>1</w:t>
            </w:r>
          </w:p>
        </w:tc>
        <w:tc>
          <w:tcPr>
            <w:tcW w:w="1351" w:type="dxa"/>
            <w:shd w:val="clear" w:color="auto" w:fill="auto"/>
            <w:vAlign w:val="center"/>
          </w:tcPr>
          <w:p w:rsidRPr="00AC27FF" w:rsidR="003B2547" w:rsidRDefault="003B2547" w14:paraId="38E05FC4" w14:textId="77777777">
            <w:pPr>
              <w:spacing w:after="0"/>
              <w:rPr>
                <w:b/>
              </w:rPr>
            </w:pPr>
            <w:r>
              <w:rPr>
                <w:b/>
              </w:rPr>
              <w:t>9</w:t>
            </w:r>
          </w:p>
        </w:tc>
        <w:tc>
          <w:tcPr>
            <w:tcW w:w="1890" w:type="dxa"/>
            <w:shd w:val="clear" w:color="auto" w:fill="auto"/>
            <w:vAlign w:val="center"/>
          </w:tcPr>
          <w:p w:rsidRPr="00AC27FF" w:rsidR="003B2547" w:rsidRDefault="003B2547" w14:paraId="12C6AF75" w14:textId="77777777">
            <w:pPr>
              <w:spacing w:after="0"/>
              <w:rPr>
                <w:b/>
              </w:rPr>
            </w:pPr>
            <w:r>
              <w:rPr>
                <w:b/>
              </w:rPr>
              <w:t>$360</w:t>
            </w:r>
          </w:p>
        </w:tc>
      </w:tr>
      <w:tr w:rsidRPr="00AC27FF" w:rsidR="003B2547" w:rsidTr="00D43798" w14:paraId="449EE065" w14:textId="77777777">
        <w:trPr>
          <w:cantSplit/>
          <w:trHeight w:val="1200"/>
          <w:jc w:val="center"/>
        </w:trPr>
        <w:tc>
          <w:tcPr>
            <w:tcW w:w="2066" w:type="dxa"/>
            <w:shd w:val="clear" w:color="auto" w:fill="auto"/>
            <w:vAlign w:val="center"/>
          </w:tcPr>
          <w:p w:rsidR="003B2547" w:rsidP="00162EFF" w:rsidRDefault="003B2547" w14:paraId="71B1D2E0" w14:textId="77777777">
            <w:pPr>
              <w:spacing w:after="0"/>
              <w:rPr>
                <w:b/>
                <w:bCs/>
                <w:u w:val="single"/>
              </w:rPr>
            </w:pPr>
          </w:p>
          <w:p w:rsidR="003B2547" w:rsidP="00162EFF" w:rsidRDefault="003B2547" w14:paraId="4DF3DDD3" w14:textId="3C010728">
            <w:pPr>
              <w:spacing w:after="0"/>
              <w:ind w:left="0"/>
              <w:rPr>
                <w:b/>
                <w:bCs/>
                <w:u w:val="single"/>
              </w:rPr>
            </w:pPr>
            <w:r>
              <w:rPr>
                <w:b/>
                <w:bCs/>
                <w:u w:val="single"/>
              </w:rPr>
              <w:t>j</w:t>
            </w:r>
            <w:r w:rsidRPr="00C25A16">
              <w:rPr>
                <w:b/>
                <w:bCs/>
                <w:u w:val="single"/>
              </w:rPr>
              <w:t xml:space="preserve">. E-Rate Certification </w:t>
            </w:r>
            <w:r>
              <w:rPr>
                <w:b/>
                <w:bCs/>
                <w:u w:val="single"/>
              </w:rPr>
              <w:t xml:space="preserve">Requirement </w:t>
            </w:r>
            <w:r w:rsidRPr="00C25A16">
              <w:rPr>
                <w:b/>
                <w:bCs/>
                <w:u w:val="single"/>
              </w:rPr>
              <w:t>for Phase II Model-Based Support Recipients and Rate-of-Return Carrier High-Cost Recipients</w:t>
            </w:r>
          </w:p>
          <w:p w:rsidRPr="00D87D19" w:rsidR="003B2547" w:rsidRDefault="003B2547" w14:paraId="1F91CAA3" w14:textId="77777777">
            <w:pPr>
              <w:spacing w:after="0"/>
              <w:rPr>
                <w:b/>
              </w:rPr>
            </w:pPr>
          </w:p>
        </w:tc>
        <w:tc>
          <w:tcPr>
            <w:tcW w:w="1962" w:type="dxa"/>
            <w:shd w:val="clear" w:color="auto" w:fill="auto"/>
            <w:vAlign w:val="center"/>
          </w:tcPr>
          <w:p w:rsidRPr="00AC27FF" w:rsidR="003B2547" w:rsidRDefault="003B2547" w14:paraId="371780AB" w14:textId="77777777">
            <w:pPr>
              <w:spacing w:after="0"/>
              <w:rPr>
                <w:b/>
              </w:rPr>
            </w:pPr>
            <w:r>
              <w:rPr>
                <w:b/>
              </w:rPr>
              <w:t>1,150</w:t>
            </w:r>
          </w:p>
        </w:tc>
        <w:tc>
          <w:tcPr>
            <w:tcW w:w="1872" w:type="dxa"/>
            <w:shd w:val="clear" w:color="auto" w:fill="auto"/>
            <w:vAlign w:val="center"/>
          </w:tcPr>
          <w:p w:rsidRPr="00AC27FF" w:rsidR="003B2547" w:rsidRDefault="003B2547" w14:paraId="1BAFF578" w14:textId="77777777">
            <w:pPr>
              <w:spacing w:after="0"/>
              <w:rPr>
                <w:b/>
              </w:rPr>
            </w:pPr>
            <w:r>
              <w:rPr>
                <w:b/>
              </w:rPr>
              <w:t>1</w:t>
            </w:r>
          </w:p>
        </w:tc>
        <w:tc>
          <w:tcPr>
            <w:tcW w:w="1656" w:type="dxa"/>
            <w:shd w:val="clear" w:color="auto" w:fill="auto"/>
            <w:vAlign w:val="center"/>
          </w:tcPr>
          <w:p w:rsidRPr="00AC27FF" w:rsidR="003B2547" w:rsidRDefault="003B2547" w14:paraId="4868ABCC" w14:textId="77777777">
            <w:pPr>
              <w:spacing w:after="0"/>
              <w:rPr>
                <w:b/>
              </w:rPr>
            </w:pPr>
            <w:r>
              <w:rPr>
                <w:b/>
              </w:rPr>
              <w:t>2</w:t>
            </w:r>
          </w:p>
        </w:tc>
        <w:tc>
          <w:tcPr>
            <w:tcW w:w="1351" w:type="dxa"/>
            <w:shd w:val="clear" w:color="auto" w:fill="auto"/>
            <w:vAlign w:val="center"/>
          </w:tcPr>
          <w:p w:rsidRPr="00AC27FF" w:rsidR="003B2547" w:rsidRDefault="003B2547" w14:paraId="72939B94" w14:textId="77777777">
            <w:pPr>
              <w:spacing w:after="0"/>
              <w:rPr>
                <w:b/>
              </w:rPr>
            </w:pPr>
            <w:r>
              <w:rPr>
                <w:b/>
              </w:rPr>
              <w:t>2,300</w:t>
            </w:r>
          </w:p>
        </w:tc>
        <w:tc>
          <w:tcPr>
            <w:tcW w:w="1890" w:type="dxa"/>
            <w:shd w:val="clear" w:color="auto" w:fill="auto"/>
            <w:vAlign w:val="center"/>
          </w:tcPr>
          <w:p w:rsidRPr="00AC27FF" w:rsidR="003B2547" w:rsidRDefault="003B2547" w14:paraId="23C4813E" w14:textId="77777777">
            <w:pPr>
              <w:spacing w:after="0"/>
              <w:rPr>
                <w:b/>
              </w:rPr>
            </w:pPr>
            <w:r w:rsidRPr="00AC27FF">
              <w:rPr>
                <w:b/>
              </w:rPr>
              <w:t>$</w:t>
            </w:r>
            <w:r>
              <w:rPr>
                <w:b/>
              </w:rPr>
              <w:t>92,000</w:t>
            </w:r>
          </w:p>
        </w:tc>
      </w:tr>
      <w:tr w:rsidRPr="00AC27FF" w:rsidR="003B2547" w:rsidTr="00D43798" w14:paraId="3D59FA77" w14:textId="77777777">
        <w:trPr>
          <w:cantSplit/>
          <w:trHeight w:val="255"/>
          <w:jc w:val="center"/>
        </w:trPr>
        <w:tc>
          <w:tcPr>
            <w:tcW w:w="2066" w:type="dxa"/>
            <w:shd w:val="clear" w:color="auto" w:fill="auto"/>
            <w:vAlign w:val="center"/>
          </w:tcPr>
          <w:p w:rsidR="003B2547" w:rsidP="00162EFF" w:rsidRDefault="003B2547" w14:paraId="4B2A5422" w14:textId="0FF8A266">
            <w:pPr>
              <w:spacing w:after="0"/>
              <w:ind w:left="0"/>
              <w:rPr>
                <w:b/>
                <w:bCs/>
                <w:u w:val="single"/>
              </w:rPr>
            </w:pPr>
          </w:p>
          <w:p w:rsidR="003B2547" w:rsidP="00162EFF" w:rsidRDefault="003B2547" w14:paraId="52062753" w14:textId="03E7D12E">
            <w:pPr>
              <w:spacing w:after="0"/>
              <w:ind w:left="0"/>
              <w:rPr>
                <w:b/>
                <w:bCs/>
                <w:u w:val="single"/>
              </w:rPr>
            </w:pPr>
            <w:r>
              <w:rPr>
                <w:b/>
                <w:bCs/>
                <w:u w:val="single"/>
              </w:rPr>
              <w:t>k</w:t>
            </w:r>
            <w:r w:rsidRPr="00AC27FF">
              <w:rPr>
                <w:b/>
                <w:bCs/>
                <w:u w:val="single"/>
              </w:rPr>
              <w:t xml:space="preserve">. </w:t>
            </w:r>
            <w:r>
              <w:rPr>
                <w:b/>
                <w:bCs/>
                <w:u w:val="single"/>
              </w:rPr>
              <w:t>Carriers Lacking Terrestrial Backhaul Certification</w:t>
            </w:r>
          </w:p>
          <w:p w:rsidRPr="00D87D19" w:rsidR="003B2547" w:rsidRDefault="003B2547" w14:paraId="1BDB20DF" w14:textId="0E7C4F98">
            <w:pPr>
              <w:spacing w:after="0"/>
              <w:ind w:left="0"/>
              <w:rPr>
                <w:b/>
                <w:u w:val="single"/>
              </w:rPr>
            </w:pPr>
          </w:p>
        </w:tc>
        <w:tc>
          <w:tcPr>
            <w:tcW w:w="1962" w:type="dxa"/>
            <w:shd w:val="clear" w:color="auto" w:fill="auto"/>
            <w:vAlign w:val="center"/>
          </w:tcPr>
          <w:p w:rsidRPr="00AC27FF" w:rsidR="003B2547" w:rsidRDefault="003B2547" w14:paraId="4088C5E8" w14:textId="6F50778C">
            <w:pPr>
              <w:spacing w:after="0"/>
              <w:rPr>
                <w:b/>
              </w:rPr>
            </w:pPr>
            <w:r>
              <w:rPr>
                <w:b/>
              </w:rPr>
              <w:t>20</w:t>
            </w:r>
          </w:p>
        </w:tc>
        <w:tc>
          <w:tcPr>
            <w:tcW w:w="1872" w:type="dxa"/>
            <w:shd w:val="clear" w:color="auto" w:fill="auto"/>
            <w:vAlign w:val="center"/>
          </w:tcPr>
          <w:p w:rsidRPr="00AC27FF" w:rsidR="003B2547" w:rsidRDefault="003B2547" w14:paraId="5A1D2647" w14:textId="77777777">
            <w:pPr>
              <w:spacing w:after="0"/>
              <w:rPr>
                <w:b/>
              </w:rPr>
            </w:pPr>
            <w:r>
              <w:rPr>
                <w:b/>
              </w:rPr>
              <w:t>1</w:t>
            </w:r>
          </w:p>
        </w:tc>
        <w:tc>
          <w:tcPr>
            <w:tcW w:w="1656" w:type="dxa"/>
            <w:shd w:val="clear" w:color="auto" w:fill="auto"/>
            <w:vAlign w:val="center"/>
          </w:tcPr>
          <w:p w:rsidRPr="00AC27FF" w:rsidR="003B2547" w:rsidRDefault="003B2547" w14:paraId="2B525932" w14:textId="7D072BA5">
            <w:pPr>
              <w:spacing w:after="0"/>
              <w:rPr>
                <w:b/>
              </w:rPr>
            </w:pPr>
            <w:r>
              <w:rPr>
                <w:b/>
              </w:rPr>
              <w:t>15</w:t>
            </w:r>
          </w:p>
        </w:tc>
        <w:tc>
          <w:tcPr>
            <w:tcW w:w="1351" w:type="dxa"/>
            <w:shd w:val="clear" w:color="auto" w:fill="auto"/>
            <w:vAlign w:val="center"/>
          </w:tcPr>
          <w:p w:rsidRPr="00AC27FF" w:rsidR="003B2547" w:rsidRDefault="003B2547" w14:paraId="1134A01E" w14:textId="17224777">
            <w:pPr>
              <w:spacing w:after="0"/>
              <w:rPr>
                <w:b/>
              </w:rPr>
            </w:pPr>
            <w:r>
              <w:rPr>
                <w:b/>
              </w:rPr>
              <w:t>300</w:t>
            </w:r>
          </w:p>
        </w:tc>
        <w:tc>
          <w:tcPr>
            <w:tcW w:w="1890" w:type="dxa"/>
            <w:shd w:val="clear" w:color="auto" w:fill="auto"/>
            <w:vAlign w:val="center"/>
          </w:tcPr>
          <w:p w:rsidRPr="00AC27FF" w:rsidR="003B2547" w:rsidRDefault="003B2547" w14:paraId="2AEF6748" w14:textId="191C50B6">
            <w:pPr>
              <w:spacing w:after="0"/>
              <w:rPr>
                <w:b/>
              </w:rPr>
            </w:pPr>
            <w:r w:rsidRPr="00AC27FF">
              <w:rPr>
                <w:b/>
              </w:rPr>
              <w:t>$</w:t>
            </w:r>
            <w:r>
              <w:rPr>
                <w:b/>
              </w:rPr>
              <w:t>12,000</w:t>
            </w:r>
          </w:p>
        </w:tc>
      </w:tr>
      <w:tr w:rsidRPr="00AC27FF" w:rsidR="003B2547" w:rsidTr="00D43798" w14:paraId="048E6632" w14:textId="77777777">
        <w:trPr>
          <w:cantSplit/>
          <w:trHeight w:val="720"/>
          <w:jc w:val="center"/>
        </w:trPr>
        <w:tc>
          <w:tcPr>
            <w:tcW w:w="2066" w:type="dxa"/>
            <w:shd w:val="clear" w:color="auto" w:fill="auto"/>
            <w:vAlign w:val="center"/>
          </w:tcPr>
          <w:p w:rsidR="003B2547" w:rsidP="00162EFF" w:rsidRDefault="003B2547" w14:paraId="3FEA81BF" w14:textId="77777777">
            <w:pPr>
              <w:spacing w:after="0"/>
              <w:rPr>
                <w:b/>
                <w:bCs/>
                <w:u w:val="single"/>
              </w:rPr>
            </w:pPr>
          </w:p>
          <w:p w:rsidR="003B2547" w:rsidP="00162EFF" w:rsidRDefault="003B2547" w14:paraId="40D7AEED" w14:textId="4AC5B8B3">
            <w:pPr>
              <w:spacing w:after="0"/>
              <w:ind w:left="0"/>
              <w:rPr>
                <w:b/>
                <w:bCs/>
                <w:u w:val="single"/>
              </w:rPr>
            </w:pPr>
            <w:r>
              <w:rPr>
                <w:b/>
                <w:bCs/>
                <w:u w:val="single"/>
              </w:rPr>
              <w:t>l</w:t>
            </w:r>
            <w:r w:rsidRPr="00AC27FF">
              <w:rPr>
                <w:b/>
                <w:bCs/>
                <w:u w:val="single"/>
              </w:rPr>
              <w:t xml:space="preserve">. </w:t>
            </w:r>
            <w:r>
              <w:rPr>
                <w:b/>
                <w:bCs/>
                <w:u w:val="single"/>
              </w:rPr>
              <w:t>Tribal Engagement Reporting</w:t>
            </w:r>
          </w:p>
          <w:p w:rsidRPr="00D43798" w:rsidR="003B2547" w:rsidRDefault="003B2547" w14:paraId="2280400D" w14:textId="4E3833C0">
            <w:pPr>
              <w:spacing w:after="0"/>
              <w:ind w:left="0"/>
              <w:rPr>
                <w:b/>
              </w:rPr>
            </w:pPr>
          </w:p>
        </w:tc>
        <w:tc>
          <w:tcPr>
            <w:tcW w:w="1962" w:type="dxa"/>
            <w:shd w:val="clear" w:color="auto" w:fill="auto"/>
            <w:vAlign w:val="center"/>
          </w:tcPr>
          <w:p w:rsidRPr="00AC27FF" w:rsidR="003B2547" w:rsidRDefault="003B2547" w14:paraId="2D25E706" w14:textId="5D263C9E">
            <w:pPr>
              <w:spacing w:after="0"/>
              <w:rPr>
                <w:b/>
              </w:rPr>
            </w:pPr>
            <w:r>
              <w:rPr>
                <w:b/>
              </w:rPr>
              <w:t>300</w:t>
            </w:r>
          </w:p>
        </w:tc>
        <w:tc>
          <w:tcPr>
            <w:tcW w:w="1872" w:type="dxa"/>
            <w:shd w:val="clear" w:color="auto" w:fill="auto"/>
            <w:vAlign w:val="center"/>
          </w:tcPr>
          <w:p w:rsidRPr="00AC27FF" w:rsidR="003B2547" w:rsidRDefault="003B2547" w14:paraId="221CA2C7" w14:textId="77777777">
            <w:pPr>
              <w:spacing w:after="0"/>
              <w:rPr>
                <w:b/>
              </w:rPr>
            </w:pPr>
            <w:r>
              <w:rPr>
                <w:b/>
              </w:rPr>
              <w:t>1</w:t>
            </w:r>
          </w:p>
        </w:tc>
        <w:tc>
          <w:tcPr>
            <w:tcW w:w="1656" w:type="dxa"/>
            <w:shd w:val="clear" w:color="auto" w:fill="auto"/>
            <w:vAlign w:val="center"/>
          </w:tcPr>
          <w:p w:rsidRPr="00AC27FF" w:rsidR="003B2547" w:rsidRDefault="003B2547" w14:paraId="3F9D7EB7" w14:textId="1EF05A82">
            <w:pPr>
              <w:spacing w:after="0"/>
              <w:rPr>
                <w:b/>
              </w:rPr>
            </w:pPr>
            <w:r>
              <w:rPr>
                <w:b/>
              </w:rPr>
              <w:t>4</w:t>
            </w:r>
          </w:p>
        </w:tc>
        <w:tc>
          <w:tcPr>
            <w:tcW w:w="1351" w:type="dxa"/>
            <w:shd w:val="clear" w:color="auto" w:fill="auto"/>
            <w:vAlign w:val="center"/>
          </w:tcPr>
          <w:p w:rsidRPr="00AC27FF" w:rsidR="003B2547" w:rsidRDefault="003B2547" w14:paraId="181304D4" w14:textId="05CCF04B">
            <w:pPr>
              <w:spacing w:after="0"/>
              <w:rPr>
                <w:b/>
              </w:rPr>
            </w:pPr>
            <w:r>
              <w:rPr>
                <w:b/>
              </w:rPr>
              <w:t>1,200</w:t>
            </w:r>
          </w:p>
        </w:tc>
        <w:tc>
          <w:tcPr>
            <w:tcW w:w="1890" w:type="dxa"/>
            <w:shd w:val="clear" w:color="auto" w:fill="auto"/>
            <w:vAlign w:val="center"/>
          </w:tcPr>
          <w:p w:rsidRPr="00AC27FF" w:rsidR="003B2547" w:rsidRDefault="003B2547" w14:paraId="2CAD0465" w14:textId="222B102A">
            <w:pPr>
              <w:spacing w:after="0"/>
              <w:rPr>
                <w:b/>
              </w:rPr>
            </w:pPr>
            <w:r w:rsidRPr="00AC27FF">
              <w:rPr>
                <w:b/>
              </w:rPr>
              <w:t>$</w:t>
            </w:r>
            <w:r>
              <w:rPr>
                <w:b/>
              </w:rPr>
              <w:t>48,000</w:t>
            </w:r>
          </w:p>
        </w:tc>
      </w:tr>
      <w:tr w:rsidRPr="00AC27FF" w:rsidR="003B2547" w:rsidTr="00D43798" w14:paraId="6FC669DA" w14:textId="77777777">
        <w:trPr>
          <w:cantSplit/>
          <w:trHeight w:val="255"/>
          <w:jc w:val="center"/>
        </w:trPr>
        <w:tc>
          <w:tcPr>
            <w:tcW w:w="2066" w:type="dxa"/>
            <w:shd w:val="clear" w:color="auto" w:fill="auto"/>
            <w:vAlign w:val="center"/>
          </w:tcPr>
          <w:p w:rsidR="003B2547" w:rsidP="00162EFF" w:rsidRDefault="003B2547" w14:paraId="65F334EC" w14:textId="5517694A">
            <w:pPr>
              <w:spacing w:after="0"/>
              <w:rPr>
                <w:b/>
                <w:bCs/>
                <w:u w:val="single"/>
              </w:rPr>
            </w:pPr>
          </w:p>
          <w:p w:rsidR="003B2547" w:rsidP="00162EFF" w:rsidRDefault="003B2547" w14:paraId="1F9AB8A8" w14:textId="7E2F2A66">
            <w:pPr>
              <w:spacing w:after="0"/>
              <w:ind w:left="0"/>
              <w:rPr>
                <w:b/>
                <w:bCs/>
                <w:u w:val="single"/>
              </w:rPr>
            </w:pPr>
            <w:r>
              <w:rPr>
                <w:b/>
                <w:bCs/>
                <w:u w:val="single"/>
              </w:rPr>
              <w:t>m.</w:t>
            </w:r>
            <w:r w:rsidRPr="00AC27FF">
              <w:rPr>
                <w:b/>
                <w:bCs/>
                <w:u w:val="single"/>
              </w:rPr>
              <w:t xml:space="preserve"> </w:t>
            </w:r>
            <w:r>
              <w:rPr>
                <w:b/>
                <w:bCs/>
                <w:u w:val="single"/>
              </w:rPr>
              <w:t>Price Cap Carrier Frozen High-Cost Support Certification</w:t>
            </w:r>
          </w:p>
          <w:p w:rsidRPr="00AC27FF" w:rsidR="003B2547" w:rsidRDefault="003B2547" w14:paraId="3E423ABE" w14:textId="2D5E8ED8">
            <w:pPr>
              <w:spacing w:after="0"/>
              <w:ind w:left="0"/>
              <w:rPr>
                <w:b/>
              </w:rPr>
            </w:pPr>
          </w:p>
        </w:tc>
        <w:tc>
          <w:tcPr>
            <w:tcW w:w="1962" w:type="dxa"/>
            <w:shd w:val="clear" w:color="auto" w:fill="auto"/>
            <w:vAlign w:val="center"/>
          </w:tcPr>
          <w:p w:rsidRPr="00AC27FF" w:rsidR="003B2547" w:rsidRDefault="003B2547" w14:paraId="0DD47247" w14:textId="381CA0E2">
            <w:pPr>
              <w:spacing w:after="0"/>
              <w:rPr>
                <w:b/>
              </w:rPr>
            </w:pPr>
            <w:r>
              <w:rPr>
                <w:b/>
              </w:rPr>
              <w:t>293</w:t>
            </w:r>
          </w:p>
        </w:tc>
        <w:tc>
          <w:tcPr>
            <w:tcW w:w="1872" w:type="dxa"/>
            <w:shd w:val="clear" w:color="auto" w:fill="auto"/>
            <w:vAlign w:val="center"/>
          </w:tcPr>
          <w:p w:rsidRPr="00AC27FF" w:rsidR="003B2547" w:rsidRDefault="003B2547" w14:paraId="2A30CCCF" w14:textId="77777777">
            <w:pPr>
              <w:spacing w:after="0"/>
              <w:rPr>
                <w:b/>
              </w:rPr>
            </w:pPr>
            <w:r>
              <w:rPr>
                <w:b/>
              </w:rPr>
              <w:t>1</w:t>
            </w:r>
          </w:p>
        </w:tc>
        <w:tc>
          <w:tcPr>
            <w:tcW w:w="1656" w:type="dxa"/>
            <w:shd w:val="clear" w:color="auto" w:fill="auto"/>
            <w:vAlign w:val="center"/>
          </w:tcPr>
          <w:p w:rsidRPr="00AC27FF" w:rsidR="003B2547" w:rsidRDefault="003B2547" w14:paraId="2D2DF1D3" w14:textId="3D54D88B">
            <w:pPr>
              <w:spacing w:after="0"/>
              <w:rPr>
                <w:b/>
              </w:rPr>
            </w:pPr>
            <w:r>
              <w:rPr>
                <w:b/>
              </w:rPr>
              <w:t>15</w:t>
            </w:r>
          </w:p>
        </w:tc>
        <w:tc>
          <w:tcPr>
            <w:tcW w:w="1351" w:type="dxa"/>
            <w:shd w:val="clear" w:color="auto" w:fill="auto"/>
            <w:vAlign w:val="center"/>
          </w:tcPr>
          <w:p w:rsidRPr="00AC27FF" w:rsidR="003B2547" w:rsidRDefault="003B2547" w14:paraId="56A2F036" w14:textId="7B042030">
            <w:pPr>
              <w:spacing w:after="0"/>
              <w:rPr>
                <w:b/>
              </w:rPr>
            </w:pPr>
            <w:r>
              <w:rPr>
                <w:b/>
              </w:rPr>
              <w:t>4,395</w:t>
            </w:r>
          </w:p>
        </w:tc>
        <w:tc>
          <w:tcPr>
            <w:tcW w:w="1890" w:type="dxa"/>
            <w:shd w:val="clear" w:color="auto" w:fill="auto"/>
            <w:vAlign w:val="center"/>
          </w:tcPr>
          <w:p w:rsidRPr="00AC27FF" w:rsidR="003B2547" w:rsidRDefault="003B2547" w14:paraId="43E6292D" w14:textId="6853CD84">
            <w:pPr>
              <w:spacing w:after="0"/>
              <w:rPr>
                <w:b/>
              </w:rPr>
            </w:pPr>
            <w:r>
              <w:rPr>
                <w:b/>
              </w:rPr>
              <w:t>$175,800</w:t>
            </w:r>
          </w:p>
        </w:tc>
      </w:tr>
      <w:tr w:rsidRPr="00AC27FF" w:rsidR="003B2547" w:rsidTr="00D43798" w14:paraId="5C304C59" w14:textId="77777777">
        <w:trPr>
          <w:cantSplit/>
          <w:trHeight w:val="255"/>
          <w:jc w:val="center"/>
        </w:trPr>
        <w:tc>
          <w:tcPr>
            <w:tcW w:w="2066" w:type="dxa"/>
            <w:shd w:val="clear" w:color="auto" w:fill="auto"/>
            <w:vAlign w:val="center"/>
          </w:tcPr>
          <w:p w:rsidR="003B2547" w:rsidP="00162EFF" w:rsidRDefault="003B2547" w14:paraId="29D7CD7A" w14:textId="77777777">
            <w:pPr>
              <w:spacing w:after="0"/>
              <w:rPr>
                <w:b/>
                <w:bCs/>
                <w:u w:val="single"/>
              </w:rPr>
            </w:pPr>
          </w:p>
          <w:p w:rsidR="003B2547" w:rsidP="00162EFF" w:rsidRDefault="003B2547" w14:paraId="6B57708B" w14:textId="205F38CE">
            <w:pPr>
              <w:spacing w:after="0"/>
              <w:ind w:left="0"/>
              <w:rPr>
                <w:b/>
                <w:bCs/>
                <w:u w:val="single"/>
              </w:rPr>
            </w:pPr>
            <w:r>
              <w:rPr>
                <w:b/>
                <w:bCs/>
                <w:u w:val="single"/>
              </w:rPr>
              <w:t>n</w:t>
            </w:r>
            <w:r w:rsidRPr="00AC27FF">
              <w:rPr>
                <w:b/>
                <w:bCs/>
                <w:u w:val="single"/>
              </w:rPr>
              <w:t xml:space="preserve">. </w:t>
            </w:r>
            <w:r>
              <w:rPr>
                <w:b/>
                <w:bCs/>
                <w:u w:val="single"/>
              </w:rPr>
              <w:t>Voice Certification for Phase-Down Support Recipients</w:t>
            </w:r>
          </w:p>
          <w:p w:rsidRPr="00D43798" w:rsidR="003B2547" w:rsidRDefault="003B2547" w14:paraId="3282593A" w14:textId="6B24517F">
            <w:pPr>
              <w:spacing w:after="0"/>
              <w:ind w:left="0"/>
              <w:rPr>
                <w:b/>
                <w:u w:val="single"/>
              </w:rPr>
            </w:pPr>
          </w:p>
        </w:tc>
        <w:tc>
          <w:tcPr>
            <w:tcW w:w="1962" w:type="dxa"/>
            <w:shd w:val="clear" w:color="auto" w:fill="auto"/>
            <w:vAlign w:val="center"/>
          </w:tcPr>
          <w:p w:rsidRPr="00AC27FF" w:rsidR="003B2547" w:rsidRDefault="003B2547" w14:paraId="4DA5C5AF" w14:textId="0012EC0A">
            <w:pPr>
              <w:spacing w:after="0"/>
              <w:rPr>
                <w:b/>
              </w:rPr>
            </w:pPr>
            <w:r>
              <w:rPr>
                <w:b/>
              </w:rPr>
              <w:t>101</w:t>
            </w:r>
          </w:p>
        </w:tc>
        <w:tc>
          <w:tcPr>
            <w:tcW w:w="1872" w:type="dxa"/>
            <w:shd w:val="clear" w:color="auto" w:fill="auto"/>
            <w:vAlign w:val="center"/>
          </w:tcPr>
          <w:p w:rsidRPr="00AC27FF" w:rsidR="003B2547" w:rsidRDefault="003B2547" w14:paraId="6B9DAC94" w14:textId="77777777">
            <w:pPr>
              <w:spacing w:after="0"/>
              <w:rPr>
                <w:b/>
              </w:rPr>
            </w:pPr>
            <w:r>
              <w:rPr>
                <w:b/>
              </w:rPr>
              <w:t>1</w:t>
            </w:r>
          </w:p>
        </w:tc>
        <w:tc>
          <w:tcPr>
            <w:tcW w:w="1656" w:type="dxa"/>
            <w:shd w:val="clear" w:color="auto" w:fill="auto"/>
            <w:vAlign w:val="center"/>
          </w:tcPr>
          <w:p w:rsidRPr="00AC27FF" w:rsidR="003B2547" w:rsidRDefault="003B2547" w14:paraId="1AF29A16" w14:textId="77777777">
            <w:pPr>
              <w:spacing w:after="0"/>
              <w:rPr>
                <w:b/>
              </w:rPr>
            </w:pPr>
            <w:r>
              <w:rPr>
                <w:b/>
              </w:rPr>
              <w:t>15</w:t>
            </w:r>
          </w:p>
        </w:tc>
        <w:tc>
          <w:tcPr>
            <w:tcW w:w="1351" w:type="dxa"/>
            <w:shd w:val="clear" w:color="auto" w:fill="auto"/>
            <w:vAlign w:val="center"/>
          </w:tcPr>
          <w:p w:rsidRPr="00AC27FF" w:rsidR="003B2547" w:rsidRDefault="003B2547" w14:paraId="680DFC41" w14:textId="70F5EDC2">
            <w:pPr>
              <w:spacing w:after="0"/>
              <w:rPr>
                <w:b/>
              </w:rPr>
            </w:pPr>
            <w:r>
              <w:rPr>
                <w:b/>
              </w:rPr>
              <w:t>1,515</w:t>
            </w:r>
          </w:p>
        </w:tc>
        <w:tc>
          <w:tcPr>
            <w:tcW w:w="1890" w:type="dxa"/>
            <w:shd w:val="clear" w:color="auto" w:fill="auto"/>
            <w:vAlign w:val="center"/>
          </w:tcPr>
          <w:p w:rsidRPr="00AC27FF" w:rsidR="003B2547" w:rsidRDefault="003B2547" w14:paraId="7B9347A4" w14:textId="25AF192D">
            <w:pPr>
              <w:spacing w:after="0"/>
              <w:rPr>
                <w:b/>
              </w:rPr>
            </w:pPr>
            <w:r w:rsidRPr="00AC27FF">
              <w:rPr>
                <w:b/>
              </w:rPr>
              <w:t>$</w:t>
            </w:r>
            <w:r>
              <w:rPr>
                <w:b/>
              </w:rPr>
              <w:t>60,600</w:t>
            </w:r>
          </w:p>
        </w:tc>
      </w:tr>
      <w:tr w:rsidRPr="00AC27FF" w:rsidR="003B2547" w:rsidTr="00D43798" w14:paraId="410E1562" w14:textId="77777777">
        <w:trPr>
          <w:cantSplit/>
          <w:trHeight w:val="255"/>
          <w:jc w:val="center"/>
        </w:trPr>
        <w:tc>
          <w:tcPr>
            <w:tcW w:w="2066" w:type="dxa"/>
            <w:shd w:val="clear" w:color="auto" w:fill="auto"/>
            <w:vAlign w:val="center"/>
          </w:tcPr>
          <w:p w:rsidR="003B2547" w:rsidP="00162EFF" w:rsidRDefault="003B2547" w14:paraId="43EDD038" w14:textId="77777777">
            <w:pPr>
              <w:spacing w:after="0"/>
              <w:rPr>
                <w:b/>
                <w:bCs/>
                <w:u w:val="single"/>
              </w:rPr>
            </w:pPr>
          </w:p>
          <w:p w:rsidR="003B2547" w:rsidP="00162EFF" w:rsidRDefault="003B2547" w14:paraId="5C725020" w14:textId="58900BB3">
            <w:pPr>
              <w:spacing w:after="0"/>
              <w:ind w:left="0"/>
              <w:rPr>
                <w:b/>
                <w:bCs/>
                <w:u w:val="single"/>
              </w:rPr>
            </w:pPr>
            <w:r>
              <w:rPr>
                <w:b/>
                <w:bCs/>
                <w:u w:val="single"/>
              </w:rPr>
              <w:t>o</w:t>
            </w:r>
            <w:r w:rsidRPr="00AC27FF">
              <w:rPr>
                <w:b/>
                <w:bCs/>
                <w:u w:val="single"/>
              </w:rPr>
              <w:t xml:space="preserve">. </w:t>
            </w:r>
            <w:r>
              <w:rPr>
                <w:b/>
                <w:bCs/>
                <w:u w:val="single"/>
              </w:rPr>
              <w:t>Price Cap Carrier High-Cost Support for Access Charges Certification</w:t>
            </w:r>
          </w:p>
          <w:p w:rsidRPr="00137F86" w:rsidR="003B2547" w:rsidRDefault="003B2547" w14:paraId="2EF4AD85" w14:textId="148564A2">
            <w:pPr>
              <w:spacing w:after="0"/>
              <w:ind w:left="0"/>
              <w:rPr>
                <w:b/>
                <w:bCs/>
                <w:u w:val="single"/>
              </w:rPr>
            </w:pPr>
          </w:p>
        </w:tc>
        <w:tc>
          <w:tcPr>
            <w:tcW w:w="1962" w:type="dxa"/>
            <w:shd w:val="clear" w:color="auto" w:fill="auto"/>
            <w:vAlign w:val="center"/>
          </w:tcPr>
          <w:p w:rsidRPr="00AC27FF" w:rsidR="003B2547" w:rsidRDefault="003B2547" w14:paraId="7BB18368" w14:textId="291DBFCD">
            <w:pPr>
              <w:spacing w:after="0"/>
              <w:rPr>
                <w:b/>
              </w:rPr>
            </w:pPr>
            <w:r>
              <w:rPr>
                <w:b/>
              </w:rPr>
              <w:t>293</w:t>
            </w:r>
          </w:p>
        </w:tc>
        <w:tc>
          <w:tcPr>
            <w:tcW w:w="1872" w:type="dxa"/>
            <w:shd w:val="clear" w:color="auto" w:fill="auto"/>
            <w:vAlign w:val="center"/>
          </w:tcPr>
          <w:p w:rsidRPr="00AC27FF" w:rsidR="003B2547" w:rsidRDefault="003B2547" w14:paraId="640B208B" w14:textId="77777777">
            <w:pPr>
              <w:spacing w:after="0"/>
              <w:rPr>
                <w:b/>
              </w:rPr>
            </w:pPr>
            <w:r>
              <w:rPr>
                <w:b/>
              </w:rPr>
              <w:t>1</w:t>
            </w:r>
          </w:p>
        </w:tc>
        <w:tc>
          <w:tcPr>
            <w:tcW w:w="1656" w:type="dxa"/>
            <w:shd w:val="clear" w:color="auto" w:fill="auto"/>
            <w:vAlign w:val="center"/>
          </w:tcPr>
          <w:p w:rsidRPr="00AC27FF" w:rsidR="003B2547" w:rsidRDefault="003B2547" w14:paraId="19EC66C4" w14:textId="77777777">
            <w:pPr>
              <w:spacing w:after="0"/>
              <w:rPr>
                <w:b/>
              </w:rPr>
            </w:pPr>
            <w:r>
              <w:rPr>
                <w:b/>
              </w:rPr>
              <w:t>15</w:t>
            </w:r>
          </w:p>
        </w:tc>
        <w:tc>
          <w:tcPr>
            <w:tcW w:w="1351" w:type="dxa"/>
            <w:shd w:val="clear" w:color="auto" w:fill="auto"/>
            <w:vAlign w:val="center"/>
          </w:tcPr>
          <w:p w:rsidRPr="00AC27FF" w:rsidR="003B2547" w:rsidRDefault="003B2547" w14:paraId="1D2F20C2" w14:textId="7553D2EB">
            <w:pPr>
              <w:spacing w:after="0"/>
              <w:rPr>
                <w:b/>
              </w:rPr>
            </w:pPr>
            <w:r>
              <w:rPr>
                <w:b/>
              </w:rPr>
              <w:t>4,395</w:t>
            </w:r>
          </w:p>
        </w:tc>
        <w:tc>
          <w:tcPr>
            <w:tcW w:w="1890" w:type="dxa"/>
            <w:shd w:val="clear" w:color="auto" w:fill="auto"/>
            <w:vAlign w:val="center"/>
          </w:tcPr>
          <w:p w:rsidRPr="00AC27FF" w:rsidR="003B2547" w:rsidRDefault="003B2547" w14:paraId="340864C1" w14:textId="2BCF6B19">
            <w:pPr>
              <w:spacing w:after="0"/>
              <w:rPr>
                <w:b/>
              </w:rPr>
            </w:pPr>
            <w:r w:rsidRPr="00AC27FF">
              <w:rPr>
                <w:b/>
              </w:rPr>
              <w:t>$</w:t>
            </w:r>
            <w:r>
              <w:rPr>
                <w:b/>
              </w:rPr>
              <w:t>175,800</w:t>
            </w:r>
          </w:p>
        </w:tc>
      </w:tr>
      <w:tr w:rsidRPr="00AC27FF" w:rsidR="003B2547" w:rsidTr="00D43798" w14:paraId="6FC69F19" w14:textId="77777777">
        <w:trPr>
          <w:cantSplit/>
          <w:trHeight w:val="480"/>
          <w:jc w:val="center"/>
        </w:trPr>
        <w:tc>
          <w:tcPr>
            <w:tcW w:w="2066" w:type="dxa"/>
            <w:shd w:val="clear" w:color="auto" w:fill="auto"/>
            <w:vAlign w:val="center"/>
          </w:tcPr>
          <w:p w:rsidR="003B2547" w:rsidP="00162EFF" w:rsidRDefault="003B2547" w14:paraId="2C0D6AD1" w14:textId="77777777">
            <w:pPr>
              <w:spacing w:after="0"/>
              <w:ind w:left="0"/>
              <w:rPr>
                <w:b/>
                <w:bCs/>
                <w:u w:val="single"/>
              </w:rPr>
            </w:pPr>
          </w:p>
          <w:p w:rsidR="003B2547" w:rsidP="00162EFF" w:rsidRDefault="003B2547" w14:paraId="5CF4BC73" w14:textId="3F9698F7">
            <w:pPr>
              <w:spacing w:after="0"/>
              <w:ind w:left="0"/>
              <w:rPr>
                <w:b/>
                <w:bCs/>
                <w:u w:val="single"/>
              </w:rPr>
            </w:pPr>
            <w:r>
              <w:rPr>
                <w:b/>
                <w:bCs/>
                <w:u w:val="single"/>
              </w:rPr>
              <w:t>p. Privately Held Rate-of-Return Carrier Financial Information</w:t>
            </w:r>
          </w:p>
          <w:p w:rsidRPr="00AC27FF" w:rsidR="003B2547" w:rsidRDefault="003B2547" w14:paraId="2D54D61F" w14:textId="3E36F228">
            <w:pPr>
              <w:spacing w:after="0"/>
              <w:ind w:left="0"/>
              <w:rPr>
                <w:b/>
                <w:bCs/>
                <w:u w:val="single"/>
              </w:rPr>
            </w:pPr>
          </w:p>
        </w:tc>
        <w:tc>
          <w:tcPr>
            <w:tcW w:w="1962" w:type="dxa"/>
            <w:shd w:val="clear" w:color="auto" w:fill="auto"/>
            <w:vAlign w:val="center"/>
          </w:tcPr>
          <w:p w:rsidRPr="00AC27FF" w:rsidR="003B2547" w:rsidRDefault="003B2547" w14:paraId="2AA74100" w14:textId="0F770889">
            <w:pPr>
              <w:spacing w:after="0"/>
              <w:rPr>
                <w:b/>
              </w:rPr>
            </w:pPr>
            <w:r>
              <w:rPr>
                <w:b/>
              </w:rPr>
              <w:t>625</w:t>
            </w:r>
          </w:p>
        </w:tc>
        <w:tc>
          <w:tcPr>
            <w:tcW w:w="1872" w:type="dxa"/>
            <w:shd w:val="clear" w:color="auto" w:fill="auto"/>
            <w:vAlign w:val="center"/>
          </w:tcPr>
          <w:p w:rsidRPr="00F41E78" w:rsidR="003B2547" w:rsidRDefault="003B2547" w14:paraId="6D755964" w14:textId="77777777">
            <w:pPr>
              <w:spacing w:after="0"/>
              <w:rPr>
                <w:b/>
              </w:rPr>
            </w:pPr>
            <w:r>
              <w:rPr>
                <w:b/>
              </w:rPr>
              <w:t>1</w:t>
            </w:r>
          </w:p>
        </w:tc>
        <w:tc>
          <w:tcPr>
            <w:tcW w:w="1656" w:type="dxa"/>
            <w:shd w:val="clear" w:color="auto" w:fill="auto"/>
            <w:vAlign w:val="center"/>
          </w:tcPr>
          <w:p w:rsidRPr="00C01F34" w:rsidR="003B2547" w:rsidRDefault="003B2547" w14:paraId="49F33A9A" w14:textId="77777777">
            <w:pPr>
              <w:spacing w:after="0"/>
              <w:rPr>
                <w:b/>
              </w:rPr>
            </w:pPr>
            <w:r>
              <w:rPr>
                <w:b/>
              </w:rPr>
              <w:t>15</w:t>
            </w:r>
          </w:p>
        </w:tc>
        <w:tc>
          <w:tcPr>
            <w:tcW w:w="1351" w:type="dxa"/>
            <w:shd w:val="clear" w:color="auto" w:fill="auto"/>
            <w:vAlign w:val="center"/>
          </w:tcPr>
          <w:p w:rsidRPr="00AC27FF" w:rsidR="003B2547" w:rsidRDefault="003B2547" w14:paraId="131C07BB" w14:textId="648F2A36">
            <w:pPr>
              <w:spacing w:after="0"/>
              <w:rPr>
                <w:b/>
              </w:rPr>
            </w:pPr>
            <w:r>
              <w:rPr>
                <w:b/>
              </w:rPr>
              <w:t>9,375</w:t>
            </w:r>
          </w:p>
        </w:tc>
        <w:tc>
          <w:tcPr>
            <w:tcW w:w="1890" w:type="dxa"/>
            <w:shd w:val="clear" w:color="auto" w:fill="auto"/>
            <w:vAlign w:val="center"/>
          </w:tcPr>
          <w:p w:rsidRPr="00AC27FF" w:rsidR="003B2547" w:rsidRDefault="003B2547" w14:paraId="356145FC" w14:textId="63534D88">
            <w:pPr>
              <w:spacing w:after="0"/>
              <w:rPr>
                <w:b/>
              </w:rPr>
            </w:pPr>
            <w:r>
              <w:rPr>
                <w:b/>
              </w:rPr>
              <w:t>$375,000</w:t>
            </w:r>
          </w:p>
        </w:tc>
      </w:tr>
      <w:tr w:rsidRPr="00AC27FF" w:rsidR="003B2547" w:rsidTr="00D43798" w14:paraId="27930910" w14:textId="77777777">
        <w:trPr>
          <w:cantSplit/>
          <w:trHeight w:val="255"/>
          <w:jc w:val="center"/>
        </w:trPr>
        <w:tc>
          <w:tcPr>
            <w:tcW w:w="2066" w:type="dxa"/>
            <w:shd w:val="clear" w:color="auto" w:fill="auto"/>
            <w:vAlign w:val="center"/>
          </w:tcPr>
          <w:p w:rsidR="003B2547" w:rsidP="00162EFF" w:rsidRDefault="003B2547" w14:paraId="31D27805" w14:textId="77777777">
            <w:pPr>
              <w:spacing w:after="0"/>
              <w:rPr>
                <w:b/>
                <w:bCs/>
                <w:u w:val="single"/>
              </w:rPr>
            </w:pPr>
          </w:p>
          <w:p w:rsidR="003B2547" w:rsidP="00162EFF" w:rsidRDefault="003B2547" w14:paraId="5DA79F1A" w14:textId="282CAB73">
            <w:pPr>
              <w:spacing w:after="0"/>
              <w:ind w:left="0"/>
              <w:rPr>
                <w:b/>
                <w:bCs/>
                <w:u w:val="single"/>
              </w:rPr>
            </w:pPr>
            <w:r>
              <w:rPr>
                <w:b/>
                <w:bCs/>
                <w:u w:val="single"/>
              </w:rPr>
              <w:t>q</w:t>
            </w:r>
            <w:r w:rsidRPr="00AC27FF">
              <w:rPr>
                <w:b/>
                <w:bCs/>
                <w:u w:val="single"/>
              </w:rPr>
              <w:t xml:space="preserve">. </w:t>
            </w:r>
            <w:r>
              <w:rPr>
                <w:b/>
                <w:u w:val="single"/>
              </w:rPr>
              <w:t>Cost Consultant Information for Rate-of-Return Carriers</w:t>
            </w:r>
            <w:r>
              <w:rPr>
                <w:b/>
                <w:bCs/>
                <w:u w:val="single"/>
              </w:rPr>
              <w:t xml:space="preserve"> </w:t>
            </w:r>
          </w:p>
          <w:p w:rsidRPr="00137F86" w:rsidR="003B2547" w:rsidRDefault="003B2547" w14:paraId="7C1AD1E8" w14:textId="33EE7267">
            <w:pPr>
              <w:spacing w:after="0"/>
              <w:ind w:left="0"/>
              <w:rPr>
                <w:b/>
                <w:bCs/>
                <w:u w:val="single"/>
              </w:rPr>
            </w:pPr>
          </w:p>
        </w:tc>
        <w:tc>
          <w:tcPr>
            <w:tcW w:w="1962" w:type="dxa"/>
            <w:shd w:val="clear" w:color="auto" w:fill="auto"/>
            <w:vAlign w:val="center"/>
          </w:tcPr>
          <w:p w:rsidRPr="00AC27FF" w:rsidR="003B2547" w:rsidRDefault="003B2547" w14:paraId="2BF3B72E" w14:textId="54BA28A0">
            <w:pPr>
              <w:spacing w:after="0"/>
              <w:rPr>
                <w:b/>
              </w:rPr>
            </w:pPr>
            <w:r w:rsidRPr="00D43798">
              <w:rPr>
                <w:b/>
              </w:rPr>
              <w:t>1,141</w:t>
            </w:r>
          </w:p>
        </w:tc>
        <w:tc>
          <w:tcPr>
            <w:tcW w:w="1872" w:type="dxa"/>
            <w:shd w:val="clear" w:color="auto" w:fill="auto"/>
            <w:vAlign w:val="center"/>
          </w:tcPr>
          <w:p w:rsidRPr="00C01F34" w:rsidR="003B2547" w:rsidRDefault="003B2547" w14:paraId="3FC729F7" w14:textId="77777777">
            <w:pPr>
              <w:spacing w:after="0"/>
              <w:rPr>
                <w:b/>
              </w:rPr>
            </w:pPr>
            <w:r>
              <w:rPr>
                <w:b/>
              </w:rPr>
              <w:t>1</w:t>
            </w:r>
          </w:p>
        </w:tc>
        <w:tc>
          <w:tcPr>
            <w:tcW w:w="1656" w:type="dxa"/>
            <w:shd w:val="clear" w:color="auto" w:fill="auto"/>
            <w:vAlign w:val="center"/>
          </w:tcPr>
          <w:p w:rsidRPr="00C01F34" w:rsidR="003B2547" w:rsidRDefault="003B2547" w14:paraId="56A1C2CB" w14:textId="04B577C4">
            <w:pPr>
              <w:spacing w:after="0"/>
              <w:rPr>
                <w:b/>
              </w:rPr>
            </w:pPr>
            <w:r>
              <w:rPr>
                <w:b/>
              </w:rPr>
              <w:t xml:space="preserve">.1 </w:t>
            </w:r>
            <w:proofErr w:type="spellStart"/>
            <w:r>
              <w:rPr>
                <w:b/>
              </w:rPr>
              <w:t>hrs</w:t>
            </w:r>
            <w:proofErr w:type="spellEnd"/>
          </w:p>
        </w:tc>
        <w:tc>
          <w:tcPr>
            <w:tcW w:w="1351" w:type="dxa"/>
            <w:shd w:val="clear" w:color="auto" w:fill="auto"/>
            <w:vAlign w:val="center"/>
          </w:tcPr>
          <w:p w:rsidRPr="00AC27FF" w:rsidR="003B2547" w:rsidRDefault="003B2547" w14:paraId="16BACC53" w14:textId="40C0546C">
            <w:pPr>
              <w:spacing w:after="0"/>
              <w:rPr>
                <w:b/>
              </w:rPr>
            </w:pPr>
            <w:r>
              <w:rPr>
                <w:b/>
              </w:rPr>
              <w:t>114</w:t>
            </w:r>
          </w:p>
        </w:tc>
        <w:tc>
          <w:tcPr>
            <w:tcW w:w="1890" w:type="dxa"/>
            <w:shd w:val="clear" w:color="auto" w:fill="auto"/>
            <w:vAlign w:val="center"/>
          </w:tcPr>
          <w:p w:rsidRPr="00AC27FF" w:rsidR="003B2547" w:rsidRDefault="003B2547" w14:paraId="173D592E" w14:textId="2D73923F">
            <w:pPr>
              <w:spacing w:after="0"/>
              <w:rPr>
                <w:b/>
              </w:rPr>
            </w:pPr>
            <w:r>
              <w:rPr>
                <w:b/>
              </w:rPr>
              <w:t>$4,560</w:t>
            </w:r>
          </w:p>
        </w:tc>
      </w:tr>
      <w:tr w:rsidRPr="00AC27FF" w:rsidR="003B2547" w:rsidTr="00D43798" w14:paraId="25D506A0" w14:textId="77777777">
        <w:trPr>
          <w:cantSplit/>
          <w:trHeight w:val="1800"/>
          <w:jc w:val="center"/>
        </w:trPr>
        <w:tc>
          <w:tcPr>
            <w:tcW w:w="2066" w:type="dxa"/>
            <w:shd w:val="clear" w:color="auto" w:fill="auto"/>
            <w:vAlign w:val="center"/>
          </w:tcPr>
          <w:p w:rsidR="003B2547" w:rsidP="00162EFF" w:rsidRDefault="003B2547" w14:paraId="5B1EF700" w14:textId="77777777">
            <w:pPr>
              <w:spacing w:after="0"/>
              <w:ind w:left="0"/>
              <w:rPr>
                <w:b/>
                <w:bCs/>
                <w:u w:val="single"/>
              </w:rPr>
            </w:pPr>
          </w:p>
          <w:p w:rsidR="003B2547" w:rsidP="00162EFF" w:rsidRDefault="003B2547" w14:paraId="5618C11B" w14:textId="1A3209D6">
            <w:pPr>
              <w:spacing w:after="0"/>
              <w:ind w:left="0"/>
              <w:rPr>
                <w:b/>
                <w:bCs/>
                <w:u w:val="single"/>
              </w:rPr>
            </w:pPr>
            <w:r>
              <w:rPr>
                <w:b/>
                <w:bCs/>
                <w:u w:val="single"/>
              </w:rPr>
              <w:t>r</w:t>
            </w:r>
            <w:r w:rsidRPr="00C03B50">
              <w:rPr>
                <w:b/>
                <w:bCs/>
                <w:u w:val="single"/>
              </w:rPr>
              <w:t>. Additional Reporting</w:t>
            </w:r>
            <w:r>
              <w:rPr>
                <w:b/>
                <w:bCs/>
                <w:u w:val="single"/>
              </w:rPr>
              <w:t xml:space="preserve"> Requirements for Rural Broadband Experiment Support Recipients</w:t>
            </w:r>
          </w:p>
          <w:p w:rsidRPr="00C03B50" w:rsidR="003B2547" w:rsidRDefault="003B2547" w14:paraId="6ECDE8F7" w14:textId="028F7F71">
            <w:pPr>
              <w:spacing w:after="0"/>
              <w:ind w:left="0"/>
              <w:rPr>
                <w:b/>
                <w:bCs/>
                <w:u w:val="single"/>
              </w:rPr>
            </w:pPr>
          </w:p>
        </w:tc>
        <w:tc>
          <w:tcPr>
            <w:tcW w:w="1962" w:type="dxa"/>
            <w:shd w:val="clear" w:color="auto" w:fill="auto"/>
            <w:vAlign w:val="center"/>
          </w:tcPr>
          <w:p w:rsidR="003B2547" w:rsidRDefault="003B2547" w14:paraId="6C6F3826" w14:textId="0CB01888">
            <w:pPr>
              <w:spacing w:after="0"/>
              <w:rPr>
                <w:b/>
              </w:rPr>
            </w:pPr>
            <w:r>
              <w:rPr>
                <w:b/>
              </w:rPr>
              <w:t>20</w:t>
            </w:r>
          </w:p>
        </w:tc>
        <w:tc>
          <w:tcPr>
            <w:tcW w:w="1872" w:type="dxa"/>
            <w:shd w:val="clear" w:color="auto" w:fill="auto"/>
            <w:vAlign w:val="center"/>
          </w:tcPr>
          <w:p w:rsidRPr="00F41E78" w:rsidR="003B2547" w:rsidRDefault="003B2547" w14:paraId="01CA03B8" w14:textId="77777777">
            <w:pPr>
              <w:spacing w:after="0"/>
              <w:rPr>
                <w:b/>
              </w:rPr>
            </w:pPr>
            <w:r>
              <w:rPr>
                <w:b/>
              </w:rPr>
              <w:t>1</w:t>
            </w:r>
          </w:p>
        </w:tc>
        <w:tc>
          <w:tcPr>
            <w:tcW w:w="1656" w:type="dxa"/>
            <w:shd w:val="clear" w:color="auto" w:fill="auto"/>
            <w:vAlign w:val="center"/>
          </w:tcPr>
          <w:p w:rsidRPr="00C01F34" w:rsidR="003B2547" w:rsidRDefault="003B2547" w14:paraId="3DFD4B56" w14:textId="5AA9DF50">
            <w:pPr>
              <w:spacing w:after="0"/>
              <w:rPr>
                <w:b/>
              </w:rPr>
            </w:pPr>
            <w:r>
              <w:rPr>
                <w:b/>
              </w:rPr>
              <w:t>3</w:t>
            </w:r>
          </w:p>
        </w:tc>
        <w:tc>
          <w:tcPr>
            <w:tcW w:w="1351" w:type="dxa"/>
            <w:shd w:val="clear" w:color="auto" w:fill="auto"/>
            <w:vAlign w:val="center"/>
          </w:tcPr>
          <w:p w:rsidR="003B2547" w:rsidRDefault="003B2547" w14:paraId="39400381" w14:textId="41E8EBF6">
            <w:pPr>
              <w:spacing w:after="0"/>
              <w:rPr>
                <w:b/>
              </w:rPr>
            </w:pPr>
            <w:r>
              <w:rPr>
                <w:b/>
              </w:rPr>
              <w:t>60</w:t>
            </w:r>
          </w:p>
        </w:tc>
        <w:tc>
          <w:tcPr>
            <w:tcW w:w="1890" w:type="dxa"/>
            <w:shd w:val="clear" w:color="auto" w:fill="auto"/>
            <w:vAlign w:val="center"/>
          </w:tcPr>
          <w:p w:rsidR="003B2547" w:rsidRDefault="003B2547" w14:paraId="67D32D80" w14:textId="1FB1056D">
            <w:pPr>
              <w:spacing w:after="0"/>
              <w:rPr>
                <w:b/>
              </w:rPr>
            </w:pPr>
          </w:p>
          <w:p w:rsidR="003B2547" w:rsidRDefault="003B2547" w14:paraId="2B8565D6" w14:textId="77777777">
            <w:pPr>
              <w:spacing w:after="0"/>
              <w:rPr>
                <w:b/>
              </w:rPr>
            </w:pPr>
            <w:r>
              <w:rPr>
                <w:b/>
              </w:rPr>
              <w:t>$2,400</w:t>
            </w:r>
          </w:p>
          <w:p w:rsidRPr="00AC27FF" w:rsidR="003B2547" w:rsidRDefault="003B2547" w14:paraId="37A09085" w14:textId="77777777">
            <w:pPr>
              <w:spacing w:after="0"/>
              <w:rPr>
                <w:b/>
              </w:rPr>
            </w:pPr>
          </w:p>
        </w:tc>
      </w:tr>
      <w:tr w:rsidRPr="00AC27FF" w:rsidR="003B2547" w:rsidTr="00D43798" w14:paraId="716998FC" w14:textId="77777777">
        <w:trPr>
          <w:cantSplit/>
          <w:trHeight w:val="510"/>
          <w:jc w:val="center"/>
        </w:trPr>
        <w:tc>
          <w:tcPr>
            <w:tcW w:w="2066" w:type="dxa"/>
            <w:shd w:val="clear" w:color="auto" w:fill="auto"/>
            <w:vAlign w:val="center"/>
          </w:tcPr>
          <w:p w:rsidR="003B2547" w:rsidP="00162EFF" w:rsidRDefault="003B2547" w14:paraId="1DE6CE7B" w14:textId="77777777">
            <w:pPr>
              <w:spacing w:after="0"/>
              <w:ind w:left="0"/>
              <w:rPr>
                <w:b/>
                <w:bCs/>
                <w:u w:val="single"/>
              </w:rPr>
            </w:pPr>
          </w:p>
          <w:p w:rsidR="003B2547" w:rsidP="00162EFF" w:rsidRDefault="003B2547" w14:paraId="3BD1131B" w14:textId="123275FB">
            <w:pPr>
              <w:spacing w:after="0"/>
              <w:ind w:left="0"/>
              <w:rPr>
                <w:b/>
                <w:bCs/>
                <w:u w:val="single"/>
              </w:rPr>
            </w:pPr>
            <w:r>
              <w:rPr>
                <w:b/>
                <w:bCs/>
                <w:u w:val="single"/>
              </w:rPr>
              <w:t>s.</w:t>
            </w:r>
            <w:r w:rsidRPr="007751AE">
              <w:rPr>
                <w:b/>
                <w:bCs/>
                <w:u w:val="single"/>
              </w:rPr>
              <w:t xml:space="preserve"> </w:t>
            </w:r>
            <w:r w:rsidRPr="00235CFF">
              <w:rPr>
                <w:b/>
                <w:bCs/>
                <w:u w:val="single"/>
              </w:rPr>
              <w:t>Newly Available Backhaul Reporting for Alaska Plan Participants</w:t>
            </w:r>
            <w:r w:rsidRPr="007751AE">
              <w:rPr>
                <w:b/>
                <w:bCs/>
                <w:u w:val="single"/>
              </w:rPr>
              <w:t xml:space="preserve"> </w:t>
            </w:r>
          </w:p>
          <w:p w:rsidRPr="002D766F" w:rsidR="003B2547" w:rsidRDefault="003B2547" w14:paraId="536CA502" w14:textId="2A37DAC9">
            <w:pPr>
              <w:spacing w:after="0"/>
              <w:ind w:left="0"/>
              <w:rPr>
                <w:b/>
                <w:bCs/>
                <w:u w:val="single"/>
              </w:rPr>
            </w:pPr>
          </w:p>
        </w:tc>
        <w:tc>
          <w:tcPr>
            <w:tcW w:w="1962" w:type="dxa"/>
            <w:shd w:val="clear" w:color="auto" w:fill="auto"/>
            <w:vAlign w:val="center"/>
          </w:tcPr>
          <w:p w:rsidRPr="00AC27FF" w:rsidR="003B2547" w:rsidRDefault="003B2547" w14:paraId="0A0322E2" w14:textId="34E4E537">
            <w:pPr>
              <w:spacing w:after="0"/>
              <w:rPr>
                <w:b/>
              </w:rPr>
            </w:pPr>
            <w:r>
              <w:rPr>
                <w:b/>
              </w:rPr>
              <w:t>21</w:t>
            </w:r>
          </w:p>
        </w:tc>
        <w:tc>
          <w:tcPr>
            <w:tcW w:w="1872" w:type="dxa"/>
            <w:shd w:val="clear" w:color="auto" w:fill="auto"/>
            <w:vAlign w:val="center"/>
          </w:tcPr>
          <w:p w:rsidRPr="00AC27FF" w:rsidR="003B2547" w:rsidRDefault="003B2547" w14:paraId="355DF3D2" w14:textId="77777777">
            <w:pPr>
              <w:spacing w:after="0"/>
              <w:rPr>
                <w:b/>
              </w:rPr>
            </w:pPr>
            <w:r>
              <w:rPr>
                <w:b/>
              </w:rPr>
              <w:t>1</w:t>
            </w:r>
          </w:p>
        </w:tc>
        <w:tc>
          <w:tcPr>
            <w:tcW w:w="1656" w:type="dxa"/>
            <w:shd w:val="clear" w:color="auto" w:fill="auto"/>
            <w:vAlign w:val="center"/>
          </w:tcPr>
          <w:p w:rsidRPr="00AC27FF" w:rsidR="003B2547" w:rsidRDefault="003B2547" w14:paraId="705F9036" w14:textId="4C3A5050">
            <w:pPr>
              <w:spacing w:after="0"/>
              <w:rPr>
                <w:b/>
              </w:rPr>
            </w:pPr>
            <w:r>
              <w:rPr>
                <w:b/>
              </w:rPr>
              <w:t>7</w:t>
            </w:r>
          </w:p>
        </w:tc>
        <w:tc>
          <w:tcPr>
            <w:tcW w:w="1351" w:type="dxa"/>
            <w:shd w:val="clear" w:color="auto" w:fill="auto"/>
            <w:vAlign w:val="center"/>
          </w:tcPr>
          <w:p w:rsidRPr="00AC27FF" w:rsidR="003B2547" w:rsidRDefault="003B2547" w14:paraId="1D2C480D" w14:textId="7427E507">
            <w:pPr>
              <w:spacing w:after="0"/>
              <w:rPr>
                <w:b/>
              </w:rPr>
            </w:pPr>
            <w:r>
              <w:rPr>
                <w:b/>
              </w:rPr>
              <w:t>147</w:t>
            </w:r>
          </w:p>
        </w:tc>
        <w:tc>
          <w:tcPr>
            <w:tcW w:w="1890" w:type="dxa"/>
            <w:shd w:val="clear" w:color="auto" w:fill="auto"/>
            <w:vAlign w:val="center"/>
          </w:tcPr>
          <w:p w:rsidRPr="00AC27FF" w:rsidR="003B2547" w:rsidRDefault="003B2547" w14:paraId="46D4EBDF" w14:textId="77777777">
            <w:pPr>
              <w:spacing w:after="0"/>
              <w:rPr>
                <w:b/>
              </w:rPr>
            </w:pPr>
            <w:r w:rsidRPr="00AC27FF">
              <w:rPr>
                <w:b/>
              </w:rPr>
              <w:t>$</w:t>
            </w:r>
            <w:r>
              <w:rPr>
                <w:b/>
              </w:rPr>
              <w:t>5,880</w:t>
            </w:r>
          </w:p>
        </w:tc>
      </w:tr>
      <w:tr w:rsidRPr="00AC27FF" w:rsidR="003B2547" w:rsidTr="00D43798" w14:paraId="54E3C6CE" w14:textId="77777777">
        <w:trPr>
          <w:cantSplit/>
          <w:trHeight w:val="270"/>
          <w:jc w:val="center"/>
        </w:trPr>
        <w:tc>
          <w:tcPr>
            <w:tcW w:w="2066" w:type="dxa"/>
            <w:shd w:val="clear" w:color="auto" w:fill="auto"/>
            <w:vAlign w:val="center"/>
          </w:tcPr>
          <w:p w:rsidR="003B2547" w:rsidP="00162EFF" w:rsidRDefault="003B2547" w14:paraId="0B4485F0" w14:textId="77777777">
            <w:pPr>
              <w:spacing w:after="0"/>
              <w:ind w:left="0"/>
              <w:rPr>
                <w:b/>
                <w:bCs/>
                <w:u w:val="single"/>
              </w:rPr>
            </w:pPr>
          </w:p>
          <w:p w:rsidR="003B2547" w:rsidP="00162EFF" w:rsidRDefault="003B2547" w14:paraId="72A68044" w14:textId="031A0C0F">
            <w:pPr>
              <w:spacing w:after="0"/>
              <w:ind w:left="0"/>
              <w:rPr>
                <w:b/>
                <w:bCs/>
                <w:u w:val="single"/>
              </w:rPr>
            </w:pPr>
            <w:r>
              <w:rPr>
                <w:b/>
                <w:bCs/>
                <w:u w:val="single"/>
              </w:rPr>
              <w:t>t</w:t>
            </w:r>
            <w:r w:rsidRPr="00AC27FF">
              <w:rPr>
                <w:b/>
                <w:bCs/>
                <w:u w:val="single"/>
              </w:rPr>
              <w:t xml:space="preserve">. </w:t>
            </w:r>
            <w:r>
              <w:rPr>
                <w:b/>
                <w:bCs/>
                <w:u w:val="single"/>
              </w:rPr>
              <w:t xml:space="preserve">Capital Expenditure Documentation for Rate-of-Return and Competitive ETC Alaska Plan Participants </w:t>
            </w:r>
          </w:p>
          <w:p w:rsidRPr="00BA613E" w:rsidR="003B2547" w:rsidRDefault="003B2547" w14:paraId="7B1EE69E" w14:textId="5ED6D497">
            <w:pPr>
              <w:spacing w:after="0"/>
              <w:ind w:left="0"/>
              <w:rPr>
                <w:b/>
                <w:bCs/>
                <w:u w:val="single"/>
              </w:rPr>
            </w:pPr>
          </w:p>
        </w:tc>
        <w:tc>
          <w:tcPr>
            <w:tcW w:w="1962" w:type="dxa"/>
            <w:shd w:val="clear" w:color="auto" w:fill="auto"/>
            <w:vAlign w:val="center"/>
          </w:tcPr>
          <w:p w:rsidRPr="00AC27FF" w:rsidR="003B2547" w:rsidRDefault="003B2547" w14:paraId="6B822AF7" w14:textId="194D40EB">
            <w:pPr>
              <w:spacing w:after="0"/>
              <w:rPr>
                <w:b/>
              </w:rPr>
            </w:pPr>
            <w:r>
              <w:rPr>
                <w:b/>
              </w:rPr>
              <w:t>13</w:t>
            </w:r>
          </w:p>
        </w:tc>
        <w:tc>
          <w:tcPr>
            <w:tcW w:w="1872" w:type="dxa"/>
            <w:shd w:val="clear" w:color="auto" w:fill="auto"/>
            <w:vAlign w:val="center"/>
          </w:tcPr>
          <w:p w:rsidRPr="00AC27FF" w:rsidR="003B2547" w:rsidRDefault="003B2547" w14:paraId="7BB73166" w14:textId="77777777">
            <w:pPr>
              <w:spacing w:after="0"/>
              <w:rPr>
                <w:b/>
              </w:rPr>
            </w:pPr>
            <w:r>
              <w:rPr>
                <w:b/>
              </w:rPr>
              <w:t>1</w:t>
            </w:r>
          </w:p>
        </w:tc>
        <w:tc>
          <w:tcPr>
            <w:tcW w:w="1656" w:type="dxa"/>
            <w:shd w:val="clear" w:color="auto" w:fill="auto"/>
            <w:vAlign w:val="center"/>
          </w:tcPr>
          <w:p w:rsidRPr="00AC27FF" w:rsidR="003B2547" w:rsidRDefault="003B2547" w14:paraId="3DEF1702" w14:textId="43C023F5">
            <w:pPr>
              <w:spacing w:after="0"/>
              <w:rPr>
                <w:b/>
              </w:rPr>
            </w:pPr>
            <w:r>
              <w:rPr>
                <w:b/>
              </w:rPr>
              <w:t>2</w:t>
            </w:r>
          </w:p>
        </w:tc>
        <w:tc>
          <w:tcPr>
            <w:tcW w:w="1351" w:type="dxa"/>
            <w:shd w:val="clear" w:color="auto" w:fill="auto"/>
            <w:vAlign w:val="center"/>
          </w:tcPr>
          <w:p w:rsidRPr="00AC27FF" w:rsidR="003B2547" w:rsidRDefault="003B2547" w14:paraId="1852726F" w14:textId="3D303B68">
            <w:pPr>
              <w:spacing w:after="0"/>
              <w:rPr>
                <w:b/>
              </w:rPr>
            </w:pPr>
            <w:r>
              <w:rPr>
                <w:b/>
              </w:rPr>
              <w:t>26</w:t>
            </w:r>
          </w:p>
        </w:tc>
        <w:tc>
          <w:tcPr>
            <w:tcW w:w="1890" w:type="dxa"/>
            <w:shd w:val="clear" w:color="auto" w:fill="auto"/>
            <w:vAlign w:val="center"/>
          </w:tcPr>
          <w:p w:rsidRPr="00AC27FF" w:rsidR="003B2547" w:rsidRDefault="003B2547" w14:paraId="2DFCC379" w14:textId="7E63D09B">
            <w:pPr>
              <w:spacing w:after="0"/>
              <w:rPr>
                <w:b/>
              </w:rPr>
            </w:pPr>
            <w:r w:rsidRPr="00AC27FF">
              <w:rPr>
                <w:b/>
              </w:rPr>
              <w:t>$</w:t>
            </w:r>
            <w:r>
              <w:rPr>
                <w:b/>
              </w:rPr>
              <w:t>1,040</w:t>
            </w:r>
          </w:p>
        </w:tc>
      </w:tr>
      <w:tr w:rsidRPr="00AC27FF" w:rsidR="003B2547" w:rsidDel="00DD5AE0" w:rsidTr="00D43798" w14:paraId="77DAEFBB" w14:textId="77777777">
        <w:trPr>
          <w:cantSplit/>
          <w:trHeight w:val="1404"/>
          <w:jc w:val="center"/>
        </w:trPr>
        <w:tc>
          <w:tcPr>
            <w:tcW w:w="2066" w:type="dxa"/>
            <w:shd w:val="clear" w:color="auto" w:fill="auto"/>
            <w:vAlign w:val="center"/>
          </w:tcPr>
          <w:p w:rsidR="003B2547" w:rsidP="00162EFF" w:rsidRDefault="003B2547" w14:paraId="5BB0F2D8" w14:textId="5C5E16A8">
            <w:pPr>
              <w:spacing w:after="0"/>
              <w:ind w:left="0"/>
              <w:rPr>
                <w:b/>
                <w:bCs/>
                <w:u w:val="single"/>
              </w:rPr>
            </w:pPr>
          </w:p>
          <w:p w:rsidR="003B2547" w:rsidP="00162EFF" w:rsidRDefault="003B2547" w14:paraId="52AC2069" w14:textId="77777777">
            <w:pPr>
              <w:spacing w:after="0"/>
              <w:ind w:left="0"/>
              <w:rPr>
                <w:b/>
                <w:bCs/>
                <w:u w:val="single"/>
              </w:rPr>
            </w:pPr>
            <w:r>
              <w:rPr>
                <w:b/>
                <w:bCs/>
                <w:u w:val="single"/>
              </w:rPr>
              <w:t xml:space="preserve">u. </w:t>
            </w:r>
            <w:proofErr w:type="spellStart"/>
            <w:r>
              <w:rPr>
                <w:b/>
                <w:bCs/>
                <w:u w:val="single"/>
              </w:rPr>
              <w:t>Uniendo</w:t>
            </w:r>
            <w:proofErr w:type="spellEnd"/>
            <w:r>
              <w:rPr>
                <w:b/>
                <w:bCs/>
                <w:u w:val="single"/>
              </w:rPr>
              <w:t xml:space="preserve"> a Puerto Rico Fund and Connect USVI Fund Certification Requirements for Fixed and Mobile Providers</w:t>
            </w:r>
          </w:p>
          <w:p w:rsidR="003B2547" w:rsidRDefault="003B2547" w14:paraId="1D22F60E" w14:textId="7893A19E">
            <w:pPr>
              <w:spacing w:after="0"/>
              <w:ind w:left="0"/>
              <w:rPr>
                <w:b/>
                <w:bCs/>
                <w:u w:val="single"/>
              </w:rPr>
            </w:pPr>
          </w:p>
        </w:tc>
        <w:tc>
          <w:tcPr>
            <w:tcW w:w="1962" w:type="dxa"/>
            <w:shd w:val="clear" w:color="auto" w:fill="auto"/>
            <w:vAlign w:val="center"/>
          </w:tcPr>
          <w:p w:rsidR="003B2547" w:rsidRDefault="003B2547" w14:paraId="61464576" w14:textId="20981F8C">
            <w:pPr>
              <w:spacing w:after="0"/>
              <w:rPr>
                <w:b/>
              </w:rPr>
            </w:pPr>
            <w:r>
              <w:rPr>
                <w:b/>
              </w:rPr>
              <w:t>15</w:t>
            </w:r>
          </w:p>
        </w:tc>
        <w:tc>
          <w:tcPr>
            <w:tcW w:w="1872" w:type="dxa"/>
            <w:shd w:val="clear" w:color="auto" w:fill="auto"/>
            <w:vAlign w:val="center"/>
          </w:tcPr>
          <w:p w:rsidR="003B2547" w:rsidRDefault="003B2547" w14:paraId="5FE3998E" w14:textId="13B03ADB">
            <w:pPr>
              <w:spacing w:after="0"/>
              <w:rPr>
                <w:b/>
              </w:rPr>
            </w:pPr>
            <w:r>
              <w:rPr>
                <w:b/>
              </w:rPr>
              <w:t>1</w:t>
            </w:r>
          </w:p>
        </w:tc>
        <w:tc>
          <w:tcPr>
            <w:tcW w:w="1656" w:type="dxa"/>
            <w:shd w:val="clear" w:color="auto" w:fill="auto"/>
            <w:vAlign w:val="center"/>
          </w:tcPr>
          <w:p w:rsidR="003B2547" w:rsidRDefault="003B2547" w14:paraId="3986C6AF" w14:textId="06FF02A6">
            <w:pPr>
              <w:spacing w:after="0"/>
              <w:rPr>
                <w:b/>
              </w:rPr>
            </w:pPr>
            <w:r>
              <w:rPr>
                <w:b/>
              </w:rPr>
              <w:t>3</w:t>
            </w:r>
          </w:p>
        </w:tc>
        <w:tc>
          <w:tcPr>
            <w:tcW w:w="1351" w:type="dxa"/>
            <w:shd w:val="clear" w:color="auto" w:fill="auto"/>
            <w:vAlign w:val="center"/>
          </w:tcPr>
          <w:p w:rsidR="003B2547" w:rsidRDefault="003B2547" w14:paraId="02810936" w14:textId="0015440B">
            <w:pPr>
              <w:spacing w:after="0"/>
              <w:rPr>
                <w:b/>
              </w:rPr>
            </w:pPr>
            <w:r>
              <w:rPr>
                <w:b/>
              </w:rPr>
              <w:t>45</w:t>
            </w:r>
          </w:p>
        </w:tc>
        <w:tc>
          <w:tcPr>
            <w:tcW w:w="1890" w:type="dxa"/>
            <w:shd w:val="clear" w:color="auto" w:fill="auto"/>
            <w:vAlign w:val="center"/>
          </w:tcPr>
          <w:p w:rsidRPr="00AC27FF" w:rsidR="003B2547" w:rsidRDefault="003B2547" w14:paraId="2B4B03BB" w14:textId="4AE01424">
            <w:pPr>
              <w:spacing w:after="0"/>
              <w:rPr>
                <w:b/>
              </w:rPr>
            </w:pPr>
            <w:r>
              <w:rPr>
                <w:b/>
              </w:rPr>
              <w:t>$1,800</w:t>
            </w:r>
          </w:p>
        </w:tc>
      </w:tr>
      <w:tr w:rsidRPr="00AC27FF" w:rsidR="003B2547" w:rsidDel="00DD5AE0" w:rsidTr="00D43798" w14:paraId="193BC2B2" w14:textId="77777777">
        <w:trPr>
          <w:cantSplit/>
          <w:trHeight w:val="1404"/>
          <w:jc w:val="center"/>
        </w:trPr>
        <w:tc>
          <w:tcPr>
            <w:tcW w:w="2066" w:type="dxa"/>
            <w:shd w:val="clear" w:color="auto" w:fill="auto"/>
            <w:vAlign w:val="center"/>
          </w:tcPr>
          <w:p w:rsidR="003B2547" w:rsidP="00162EFF" w:rsidRDefault="003B2547" w14:paraId="772A72F6" w14:textId="5E45256C">
            <w:pPr>
              <w:spacing w:after="0"/>
              <w:rPr>
                <w:b/>
                <w:bCs/>
                <w:u w:val="single"/>
              </w:rPr>
            </w:pPr>
          </w:p>
          <w:p w:rsidR="003B2547" w:rsidP="00162EFF" w:rsidRDefault="003B2547" w14:paraId="0FF65088" w14:textId="77777777">
            <w:pPr>
              <w:spacing w:after="0"/>
              <w:ind w:left="0"/>
              <w:rPr>
                <w:b/>
                <w:bCs/>
                <w:u w:val="single"/>
              </w:rPr>
            </w:pPr>
            <w:r>
              <w:rPr>
                <w:b/>
                <w:bCs/>
                <w:u w:val="single"/>
              </w:rPr>
              <w:t>v</w:t>
            </w:r>
            <w:r w:rsidRPr="00AC27FF">
              <w:rPr>
                <w:b/>
                <w:bCs/>
                <w:u w:val="single"/>
              </w:rPr>
              <w:t xml:space="preserve">. </w:t>
            </w:r>
            <w:proofErr w:type="spellStart"/>
            <w:r>
              <w:rPr>
                <w:b/>
                <w:bCs/>
                <w:u w:val="single"/>
              </w:rPr>
              <w:t>Uniendo</w:t>
            </w:r>
            <w:proofErr w:type="spellEnd"/>
            <w:r>
              <w:rPr>
                <w:b/>
                <w:bCs/>
                <w:u w:val="single"/>
              </w:rPr>
              <w:t xml:space="preserve"> a Puerto Rico Fund and Connect USVI Fund Certification Requirements for Mobile Providers</w:t>
            </w:r>
          </w:p>
          <w:p w:rsidR="003B2547" w:rsidRDefault="003B2547" w14:paraId="09FCBBD9" w14:textId="30643948">
            <w:pPr>
              <w:spacing w:after="0"/>
              <w:ind w:left="0"/>
              <w:rPr>
                <w:b/>
                <w:bCs/>
                <w:u w:val="single"/>
              </w:rPr>
            </w:pPr>
          </w:p>
        </w:tc>
        <w:tc>
          <w:tcPr>
            <w:tcW w:w="1962" w:type="dxa"/>
            <w:vAlign w:val="center"/>
          </w:tcPr>
          <w:p w:rsidR="003B2547" w:rsidRDefault="003B2547" w14:paraId="3FBF2EE0" w14:textId="1DB9919A">
            <w:pPr>
              <w:spacing w:after="0"/>
              <w:rPr>
                <w:b/>
              </w:rPr>
            </w:pPr>
            <w:r>
              <w:rPr>
                <w:b/>
              </w:rPr>
              <w:t>5</w:t>
            </w:r>
          </w:p>
        </w:tc>
        <w:tc>
          <w:tcPr>
            <w:tcW w:w="1872" w:type="dxa"/>
            <w:vAlign w:val="center"/>
          </w:tcPr>
          <w:p w:rsidR="003B2547" w:rsidRDefault="003B2547" w14:paraId="24762650" w14:textId="294B3531">
            <w:pPr>
              <w:spacing w:after="0"/>
              <w:rPr>
                <w:b/>
              </w:rPr>
            </w:pPr>
            <w:r>
              <w:rPr>
                <w:b/>
              </w:rPr>
              <w:t>1</w:t>
            </w:r>
          </w:p>
        </w:tc>
        <w:tc>
          <w:tcPr>
            <w:tcW w:w="1656" w:type="dxa"/>
            <w:vAlign w:val="center"/>
          </w:tcPr>
          <w:p w:rsidR="003B2547" w:rsidRDefault="003B2547" w14:paraId="63A883DB" w14:textId="731393F7">
            <w:pPr>
              <w:spacing w:after="0"/>
              <w:rPr>
                <w:b/>
              </w:rPr>
            </w:pPr>
            <w:r>
              <w:rPr>
                <w:b/>
              </w:rPr>
              <w:t>1</w:t>
            </w:r>
          </w:p>
        </w:tc>
        <w:tc>
          <w:tcPr>
            <w:tcW w:w="1351" w:type="dxa"/>
            <w:shd w:val="clear" w:color="auto" w:fill="auto"/>
            <w:vAlign w:val="center"/>
          </w:tcPr>
          <w:p w:rsidR="003B2547" w:rsidRDefault="003B2547" w14:paraId="52D75C9F" w14:textId="51204E76">
            <w:pPr>
              <w:spacing w:after="0"/>
              <w:rPr>
                <w:b/>
              </w:rPr>
            </w:pPr>
            <w:r>
              <w:rPr>
                <w:b/>
              </w:rPr>
              <w:t>5</w:t>
            </w:r>
          </w:p>
        </w:tc>
        <w:tc>
          <w:tcPr>
            <w:tcW w:w="1890" w:type="dxa"/>
            <w:shd w:val="clear" w:color="auto" w:fill="auto"/>
            <w:vAlign w:val="center"/>
          </w:tcPr>
          <w:p w:rsidRPr="00AC27FF" w:rsidR="003B2547" w:rsidRDefault="003B2547" w14:paraId="2B092777" w14:textId="5F6ED5B7">
            <w:pPr>
              <w:spacing w:after="0"/>
              <w:rPr>
                <w:b/>
              </w:rPr>
            </w:pPr>
            <w:r w:rsidRPr="00AC27FF">
              <w:rPr>
                <w:b/>
              </w:rPr>
              <w:t>$</w:t>
            </w:r>
            <w:r>
              <w:rPr>
                <w:b/>
              </w:rPr>
              <w:t>200</w:t>
            </w:r>
          </w:p>
        </w:tc>
      </w:tr>
      <w:tr w:rsidRPr="00AC27FF" w:rsidR="003B2547" w:rsidDel="00DD5AE0" w:rsidTr="00D43798" w14:paraId="3E0B4C3B" w14:textId="77777777">
        <w:trPr>
          <w:cantSplit/>
          <w:trHeight w:val="270"/>
          <w:jc w:val="center"/>
        </w:trPr>
        <w:tc>
          <w:tcPr>
            <w:tcW w:w="2066" w:type="dxa"/>
            <w:shd w:val="clear" w:color="auto" w:fill="auto"/>
            <w:vAlign w:val="center"/>
          </w:tcPr>
          <w:p w:rsidR="003B2547" w:rsidP="00162EFF" w:rsidRDefault="003B2547" w14:paraId="5F3B785C" w14:textId="77777777">
            <w:pPr>
              <w:spacing w:after="0"/>
              <w:ind w:left="0"/>
              <w:rPr>
                <w:b/>
                <w:bCs/>
                <w:u w:val="single"/>
              </w:rPr>
            </w:pPr>
          </w:p>
          <w:p w:rsidR="003B2547" w:rsidP="00162EFF" w:rsidRDefault="003B2547" w14:paraId="5EE2B7A8" w14:textId="77777777">
            <w:pPr>
              <w:spacing w:after="0"/>
              <w:ind w:left="0"/>
              <w:rPr>
                <w:b/>
                <w:bCs/>
                <w:u w:val="single"/>
              </w:rPr>
            </w:pPr>
            <w:r>
              <w:rPr>
                <w:b/>
                <w:bCs/>
                <w:u w:val="single"/>
              </w:rPr>
              <w:t>w</w:t>
            </w:r>
            <w:r w:rsidRPr="00AC27FF">
              <w:rPr>
                <w:b/>
                <w:bCs/>
                <w:u w:val="single"/>
              </w:rPr>
              <w:t xml:space="preserve">. </w:t>
            </w:r>
            <w:r>
              <w:rPr>
                <w:b/>
                <w:bCs/>
                <w:u w:val="single"/>
              </w:rPr>
              <w:t>State Certification Letter Under 254(e) of the Act</w:t>
            </w:r>
          </w:p>
          <w:p w:rsidRPr="00BA613E" w:rsidR="003B2547" w:rsidDel="00DD5AE0" w:rsidRDefault="003B2547" w14:paraId="4E0AD711" w14:textId="2FC976E3">
            <w:pPr>
              <w:spacing w:after="0"/>
              <w:ind w:left="0"/>
              <w:rPr>
                <w:b/>
                <w:bCs/>
                <w:u w:val="single"/>
              </w:rPr>
            </w:pPr>
          </w:p>
        </w:tc>
        <w:tc>
          <w:tcPr>
            <w:tcW w:w="1962" w:type="dxa"/>
            <w:vAlign w:val="center"/>
          </w:tcPr>
          <w:p w:rsidRPr="00AC27FF" w:rsidR="003B2547" w:rsidRDefault="003B2547" w14:paraId="10E99639" w14:textId="77777777">
            <w:pPr>
              <w:spacing w:after="0"/>
              <w:rPr>
                <w:b/>
                <w:bCs/>
              </w:rPr>
            </w:pPr>
            <w:r>
              <w:rPr>
                <w:b/>
              </w:rPr>
              <w:t>61</w:t>
            </w:r>
          </w:p>
        </w:tc>
        <w:tc>
          <w:tcPr>
            <w:tcW w:w="1872" w:type="dxa"/>
            <w:vAlign w:val="center"/>
          </w:tcPr>
          <w:p w:rsidRPr="00AC27FF" w:rsidR="003B2547" w:rsidRDefault="003B2547" w14:paraId="6C34C386" w14:textId="77777777">
            <w:pPr>
              <w:spacing w:after="0"/>
              <w:rPr>
                <w:b/>
                <w:bCs/>
              </w:rPr>
            </w:pPr>
            <w:r>
              <w:rPr>
                <w:b/>
              </w:rPr>
              <w:t>1</w:t>
            </w:r>
          </w:p>
        </w:tc>
        <w:tc>
          <w:tcPr>
            <w:tcW w:w="1656" w:type="dxa"/>
            <w:vAlign w:val="center"/>
          </w:tcPr>
          <w:p w:rsidRPr="00AC27FF" w:rsidR="003B2547" w:rsidRDefault="003B2547" w14:paraId="3F3DDC13" w14:textId="77777777">
            <w:pPr>
              <w:spacing w:after="0"/>
              <w:rPr>
                <w:b/>
                <w:bCs/>
              </w:rPr>
            </w:pPr>
            <w:r>
              <w:rPr>
                <w:b/>
              </w:rPr>
              <w:t>3</w:t>
            </w:r>
          </w:p>
        </w:tc>
        <w:tc>
          <w:tcPr>
            <w:tcW w:w="1351" w:type="dxa"/>
            <w:shd w:val="clear" w:color="auto" w:fill="auto"/>
            <w:vAlign w:val="center"/>
          </w:tcPr>
          <w:p w:rsidRPr="00AC27FF" w:rsidR="003B2547" w:rsidDel="00DD5AE0" w:rsidRDefault="003B2547" w14:paraId="43308A10" w14:textId="77777777">
            <w:pPr>
              <w:spacing w:after="0"/>
              <w:rPr>
                <w:b/>
                <w:bCs/>
              </w:rPr>
            </w:pPr>
            <w:r>
              <w:rPr>
                <w:b/>
              </w:rPr>
              <w:t>183</w:t>
            </w:r>
          </w:p>
        </w:tc>
        <w:tc>
          <w:tcPr>
            <w:tcW w:w="1890" w:type="dxa"/>
            <w:shd w:val="clear" w:color="auto" w:fill="auto"/>
            <w:vAlign w:val="center"/>
          </w:tcPr>
          <w:p w:rsidRPr="00AC27FF" w:rsidR="003B2547" w:rsidDel="00DD5AE0" w:rsidRDefault="003B2547" w14:paraId="382D5464" w14:textId="77777777">
            <w:pPr>
              <w:spacing w:after="0"/>
              <w:rPr>
                <w:b/>
                <w:bCs/>
              </w:rPr>
            </w:pPr>
            <w:r>
              <w:rPr>
                <w:b/>
              </w:rPr>
              <w:t>$7,320</w:t>
            </w:r>
          </w:p>
        </w:tc>
      </w:tr>
      <w:tr w:rsidRPr="00AC27FF" w:rsidR="003B2547" w:rsidTr="00D43798" w14:paraId="676C9461" w14:textId="77777777">
        <w:trPr>
          <w:cantSplit/>
          <w:trHeight w:val="270"/>
          <w:jc w:val="center"/>
        </w:trPr>
        <w:tc>
          <w:tcPr>
            <w:tcW w:w="2066" w:type="dxa"/>
            <w:shd w:val="clear" w:color="auto" w:fill="auto"/>
            <w:vAlign w:val="center"/>
          </w:tcPr>
          <w:p w:rsidR="003B2547" w:rsidP="00162EFF" w:rsidRDefault="003B2547" w14:paraId="7CE3171E" w14:textId="77777777">
            <w:pPr>
              <w:spacing w:after="0"/>
              <w:ind w:left="0"/>
              <w:rPr>
                <w:b/>
                <w:bCs/>
                <w:u w:val="single"/>
              </w:rPr>
            </w:pPr>
          </w:p>
          <w:p w:rsidR="003B2547" w:rsidP="00162EFF" w:rsidRDefault="003B2547" w14:paraId="6E6A4C57" w14:textId="77777777">
            <w:pPr>
              <w:spacing w:after="0"/>
              <w:ind w:left="0"/>
              <w:rPr>
                <w:b/>
                <w:bCs/>
                <w:u w:val="single"/>
              </w:rPr>
            </w:pPr>
            <w:r>
              <w:rPr>
                <w:b/>
                <w:bCs/>
                <w:u w:val="single"/>
              </w:rPr>
              <w:t>x</w:t>
            </w:r>
            <w:r w:rsidRPr="00AC27FF">
              <w:rPr>
                <w:b/>
                <w:bCs/>
                <w:u w:val="single"/>
              </w:rPr>
              <w:t xml:space="preserve">. </w:t>
            </w:r>
            <w:r>
              <w:rPr>
                <w:b/>
                <w:bCs/>
                <w:u w:val="single"/>
              </w:rPr>
              <w:t>Support in Competitive Study Areas (FCC Form 525)</w:t>
            </w:r>
          </w:p>
          <w:p w:rsidRPr="00AC27FF" w:rsidR="003B2547" w:rsidRDefault="003B2547" w14:paraId="52784D59" w14:textId="23402223">
            <w:pPr>
              <w:spacing w:after="0"/>
              <w:ind w:left="0"/>
              <w:rPr>
                <w:b/>
                <w:bCs/>
                <w:u w:val="single"/>
              </w:rPr>
            </w:pPr>
          </w:p>
        </w:tc>
        <w:tc>
          <w:tcPr>
            <w:tcW w:w="1962" w:type="dxa"/>
            <w:vAlign w:val="center"/>
          </w:tcPr>
          <w:p w:rsidRPr="00AC27FF" w:rsidR="003B2547" w:rsidRDefault="003B2547" w14:paraId="6C3C27F8" w14:textId="77777777">
            <w:pPr>
              <w:spacing w:after="0"/>
              <w:rPr>
                <w:b/>
              </w:rPr>
            </w:pPr>
            <w:r>
              <w:rPr>
                <w:b/>
              </w:rPr>
              <w:t>1</w:t>
            </w:r>
          </w:p>
        </w:tc>
        <w:tc>
          <w:tcPr>
            <w:tcW w:w="1872" w:type="dxa"/>
            <w:vAlign w:val="center"/>
          </w:tcPr>
          <w:p w:rsidRPr="00AC27FF" w:rsidR="003B2547" w:rsidRDefault="003B2547" w14:paraId="5AD650B9" w14:textId="77777777">
            <w:pPr>
              <w:spacing w:after="0"/>
              <w:rPr>
                <w:b/>
                <w:bCs/>
              </w:rPr>
            </w:pPr>
            <w:r>
              <w:rPr>
                <w:b/>
              </w:rPr>
              <w:t>4</w:t>
            </w:r>
          </w:p>
        </w:tc>
        <w:tc>
          <w:tcPr>
            <w:tcW w:w="1656" w:type="dxa"/>
            <w:vAlign w:val="center"/>
          </w:tcPr>
          <w:p w:rsidRPr="00AC27FF" w:rsidR="003B2547" w:rsidRDefault="003B2547" w14:paraId="6AE3BE51" w14:textId="77777777">
            <w:pPr>
              <w:spacing w:after="0"/>
              <w:rPr>
                <w:b/>
              </w:rPr>
            </w:pPr>
            <w:r>
              <w:rPr>
                <w:b/>
              </w:rPr>
              <w:t>6</w:t>
            </w:r>
          </w:p>
        </w:tc>
        <w:tc>
          <w:tcPr>
            <w:tcW w:w="1351" w:type="dxa"/>
            <w:shd w:val="clear" w:color="auto" w:fill="auto"/>
            <w:vAlign w:val="center"/>
          </w:tcPr>
          <w:p w:rsidRPr="00AC27FF" w:rsidR="003B2547" w:rsidRDefault="003B2547" w14:paraId="3E0925F5" w14:textId="77777777">
            <w:pPr>
              <w:spacing w:after="0"/>
              <w:rPr>
                <w:b/>
              </w:rPr>
            </w:pPr>
            <w:r>
              <w:rPr>
                <w:b/>
              </w:rPr>
              <w:t>24</w:t>
            </w:r>
          </w:p>
        </w:tc>
        <w:tc>
          <w:tcPr>
            <w:tcW w:w="1890" w:type="dxa"/>
            <w:shd w:val="clear" w:color="auto" w:fill="auto"/>
            <w:vAlign w:val="center"/>
          </w:tcPr>
          <w:p w:rsidRPr="00AC27FF" w:rsidR="003B2547" w:rsidRDefault="003B2547" w14:paraId="0001FDA7" w14:textId="77777777">
            <w:pPr>
              <w:spacing w:after="0"/>
              <w:rPr>
                <w:b/>
              </w:rPr>
            </w:pPr>
            <w:r w:rsidRPr="00AC27FF">
              <w:rPr>
                <w:b/>
              </w:rPr>
              <w:t>$</w:t>
            </w:r>
            <w:r>
              <w:rPr>
                <w:b/>
              </w:rPr>
              <w:t>960</w:t>
            </w:r>
          </w:p>
        </w:tc>
      </w:tr>
      <w:tr w:rsidRPr="00AC27FF" w:rsidR="003B2547" w:rsidTr="00D43798" w14:paraId="6A884247" w14:textId="77777777">
        <w:trPr>
          <w:cantSplit/>
          <w:trHeight w:val="270"/>
          <w:jc w:val="center"/>
        </w:trPr>
        <w:tc>
          <w:tcPr>
            <w:tcW w:w="2066" w:type="dxa"/>
            <w:shd w:val="clear" w:color="auto" w:fill="auto"/>
            <w:vAlign w:val="center"/>
          </w:tcPr>
          <w:p w:rsidR="003B2547" w:rsidP="00162EFF" w:rsidRDefault="003B2547" w14:paraId="681AEE5D" w14:textId="77777777">
            <w:pPr>
              <w:spacing w:after="0"/>
              <w:ind w:left="0"/>
              <w:rPr>
                <w:b/>
                <w:bCs/>
                <w:u w:val="single"/>
              </w:rPr>
            </w:pPr>
          </w:p>
          <w:p w:rsidR="003B2547" w:rsidP="00162EFF" w:rsidRDefault="003B2547" w14:paraId="49DB9FCD" w14:textId="77777777">
            <w:pPr>
              <w:spacing w:after="0"/>
              <w:ind w:left="0"/>
              <w:rPr>
                <w:b/>
                <w:bCs/>
                <w:u w:val="single"/>
              </w:rPr>
            </w:pPr>
            <w:r>
              <w:rPr>
                <w:b/>
                <w:bCs/>
                <w:u w:val="single"/>
              </w:rPr>
              <w:t>y</w:t>
            </w:r>
            <w:r w:rsidRPr="00A925D8">
              <w:rPr>
                <w:b/>
                <w:bCs/>
                <w:u w:val="single"/>
              </w:rPr>
              <w:t xml:space="preserve">. </w:t>
            </w:r>
            <w:r>
              <w:rPr>
                <w:b/>
                <w:bCs/>
                <w:u w:val="single"/>
              </w:rPr>
              <w:t>Safety Valve</w:t>
            </w:r>
            <w:r w:rsidRPr="00A925D8">
              <w:rPr>
                <w:b/>
                <w:bCs/>
                <w:u w:val="single"/>
              </w:rPr>
              <w:t xml:space="preserve"> </w:t>
            </w:r>
          </w:p>
          <w:p w:rsidR="003B2547" w:rsidRDefault="003B2547" w14:paraId="4B854D97" w14:textId="4F855A07">
            <w:pPr>
              <w:spacing w:after="0"/>
              <w:ind w:left="0"/>
              <w:rPr>
                <w:b/>
                <w:bCs/>
                <w:u w:val="single"/>
              </w:rPr>
            </w:pPr>
          </w:p>
        </w:tc>
        <w:tc>
          <w:tcPr>
            <w:tcW w:w="1962" w:type="dxa"/>
            <w:vAlign w:val="center"/>
          </w:tcPr>
          <w:p w:rsidR="003B2547" w:rsidRDefault="003B2547" w14:paraId="53FE8753" w14:textId="77777777">
            <w:pPr>
              <w:spacing w:after="0"/>
              <w:rPr>
                <w:b/>
              </w:rPr>
            </w:pPr>
            <w:r>
              <w:rPr>
                <w:b/>
              </w:rPr>
              <w:t>25</w:t>
            </w:r>
          </w:p>
        </w:tc>
        <w:tc>
          <w:tcPr>
            <w:tcW w:w="1872" w:type="dxa"/>
            <w:vAlign w:val="center"/>
          </w:tcPr>
          <w:p w:rsidR="003B2547" w:rsidRDefault="003B2547" w14:paraId="669A6373" w14:textId="77777777">
            <w:pPr>
              <w:spacing w:after="0"/>
              <w:rPr>
                <w:b/>
              </w:rPr>
            </w:pPr>
            <w:r>
              <w:rPr>
                <w:b/>
              </w:rPr>
              <w:t>1</w:t>
            </w:r>
          </w:p>
        </w:tc>
        <w:tc>
          <w:tcPr>
            <w:tcW w:w="1656" w:type="dxa"/>
            <w:vAlign w:val="center"/>
          </w:tcPr>
          <w:p w:rsidR="003B2547" w:rsidRDefault="003B2547" w14:paraId="4BE62CFC" w14:textId="77777777">
            <w:pPr>
              <w:spacing w:after="0"/>
              <w:rPr>
                <w:b/>
              </w:rPr>
            </w:pPr>
            <w:r>
              <w:rPr>
                <w:b/>
              </w:rPr>
              <w:t>.5</w:t>
            </w:r>
          </w:p>
        </w:tc>
        <w:tc>
          <w:tcPr>
            <w:tcW w:w="1351" w:type="dxa"/>
            <w:shd w:val="clear" w:color="auto" w:fill="auto"/>
            <w:vAlign w:val="center"/>
          </w:tcPr>
          <w:p w:rsidR="003B2547" w:rsidRDefault="003B2547" w14:paraId="5858A333" w14:textId="77777777">
            <w:pPr>
              <w:spacing w:after="0"/>
              <w:rPr>
                <w:b/>
              </w:rPr>
            </w:pPr>
            <w:r>
              <w:rPr>
                <w:b/>
              </w:rPr>
              <w:t>13</w:t>
            </w:r>
          </w:p>
        </w:tc>
        <w:tc>
          <w:tcPr>
            <w:tcW w:w="1890" w:type="dxa"/>
            <w:shd w:val="clear" w:color="auto" w:fill="auto"/>
            <w:vAlign w:val="center"/>
          </w:tcPr>
          <w:p w:rsidRPr="00AC27FF" w:rsidR="003B2547" w:rsidRDefault="003B2547" w14:paraId="5B79CBB2" w14:textId="4AED0A68">
            <w:pPr>
              <w:spacing w:after="0"/>
              <w:rPr>
                <w:b/>
              </w:rPr>
            </w:pPr>
            <w:r>
              <w:rPr>
                <w:b/>
              </w:rPr>
              <w:t>$520</w:t>
            </w:r>
          </w:p>
        </w:tc>
      </w:tr>
      <w:tr w:rsidRPr="00EB4351" w:rsidR="003B2547" w:rsidTr="00D43798" w14:paraId="362196CF" w14:textId="77777777">
        <w:trPr>
          <w:cantSplit/>
          <w:trHeight w:val="270"/>
          <w:jc w:val="center"/>
        </w:trPr>
        <w:tc>
          <w:tcPr>
            <w:tcW w:w="2066" w:type="dxa"/>
            <w:shd w:val="clear" w:color="auto" w:fill="auto"/>
            <w:vAlign w:val="center"/>
          </w:tcPr>
          <w:p w:rsidR="003B2547" w:rsidP="00162EFF" w:rsidRDefault="003B2547" w14:paraId="1E0A7B28" w14:textId="77777777">
            <w:pPr>
              <w:spacing w:after="0"/>
              <w:ind w:left="0"/>
              <w:rPr>
                <w:b/>
                <w:bCs/>
                <w:u w:val="single"/>
              </w:rPr>
            </w:pPr>
          </w:p>
          <w:p w:rsidR="003B2547" w:rsidP="00162EFF" w:rsidRDefault="003B2547" w14:paraId="38773F11" w14:textId="1F56671C">
            <w:pPr>
              <w:spacing w:after="0"/>
              <w:ind w:left="0"/>
              <w:rPr>
                <w:b/>
                <w:bCs/>
                <w:u w:val="single"/>
              </w:rPr>
            </w:pPr>
            <w:r>
              <w:rPr>
                <w:b/>
                <w:bCs/>
                <w:u w:val="single"/>
              </w:rPr>
              <w:t>z. Recordkeeping Requirement</w:t>
            </w:r>
          </w:p>
          <w:p w:rsidR="003B2547" w:rsidRDefault="003B2547" w14:paraId="204290C5" w14:textId="47A24D2B">
            <w:pPr>
              <w:spacing w:after="0"/>
              <w:ind w:left="0"/>
              <w:rPr>
                <w:b/>
                <w:bCs/>
                <w:u w:val="single"/>
              </w:rPr>
            </w:pPr>
          </w:p>
        </w:tc>
        <w:tc>
          <w:tcPr>
            <w:tcW w:w="1962" w:type="dxa"/>
            <w:vAlign w:val="center"/>
          </w:tcPr>
          <w:p w:rsidRPr="00A925D8" w:rsidR="003B2547" w:rsidRDefault="003B2547" w14:paraId="34B886F2" w14:textId="50BE64CD">
            <w:pPr>
              <w:spacing w:after="0"/>
              <w:rPr>
                <w:b/>
              </w:rPr>
            </w:pPr>
            <w:r>
              <w:rPr>
                <w:b/>
              </w:rPr>
              <w:t>2,229</w:t>
            </w:r>
          </w:p>
        </w:tc>
        <w:tc>
          <w:tcPr>
            <w:tcW w:w="1872" w:type="dxa"/>
            <w:vAlign w:val="center"/>
          </w:tcPr>
          <w:p w:rsidRPr="00EB4351" w:rsidR="003B2547" w:rsidRDefault="003B2547" w14:paraId="261DC04A" w14:textId="77777777">
            <w:pPr>
              <w:spacing w:after="0"/>
              <w:rPr>
                <w:b/>
              </w:rPr>
            </w:pPr>
            <w:r>
              <w:rPr>
                <w:b/>
              </w:rPr>
              <w:t>1</w:t>
            </w:r>
          </w:p>
        </w:tc>
        <w:tc>
          <w:tcPr>
            <w:tcW w:w="1656" w:type="dxa"/>
            <w:vAlign w:val="center"/>
          </w:tcPr>
          <w:p w:rsidRPr="00EB4351" w:rsidR="003B2547" w:rsidRDefault="003B2547" w14:paraId="5E66B092" w14:textId="77777777">
            <w:pPr>
              <w:spacing w:after="0"/>
              <w:rPr>
                <w:b/>
              </w:rPr>
            </w:pPr>
            <w:r>
              <w:rPr>
                <w:b/>
              </w:rPr>
              <w:t>2</w:t>
            </w:r>
          </w:p>
        </w:tc>
        <w:tc>
          <w:tcPr>
            <w:tcW w:w="1351" w:type="dxa"/>
            <w:shd w:val="clear" w:color="auto" w:fill="auto"/>
            <w:vAlign w:val="center"/>
          </w:tcPr>
          <w:p w:rsidRPr="00EB4351" w:rsidR="003B2547" w:rsidRDefault="003B2547" w14:paraId="2490BB24" w14:textId="332DFF30">
            <w:pPr>
              <w:spacing w:after="0"/>
              <w:rPr>
                <w:b/>
              </w:rPr>
            </w:pPr>
            <w:r>
              <w:rPr>
                <w:b/>
              </w:rPr>
              <w:t>4,458</w:t>
            </w:r>
          </w:p>
        </w:tc>
        <w:tc>
          <w:tcPr>
            <w:tcW w:w="1890" w:type="dxa"/>
            <w:shd w:val="clear" w:color="auto" w:fill="auto"/>
            <w:vAlign w:val="center"/>
          </w:tcPr>
          <w:p w:rsidRPr="00EB4351" w:rsidR="003B2547" w:rsidRDefault="003B2547" w14:paraId="5F680F58" w14:textId="06A3B1CD">
            <w:pPr>
              <w:spacing w:after="0"/>
              <w:rPr>
                <w:b/>
              </w:rPr>
            </w:pPr>
            <w:r>
              <w:rPr>
                <w:b/>
              </w:rPr>
              <w:t>$178,320</w:t>
            </w:r>
          </w:p>
        </w:tc>
      </w:tr>
    </w:tbl>
    <w:p w:rsidR="006679EE" w:rsidP="00162EFF" w:rsidRDefault="006679EE" w14:paraId="5B5F1C2E" w14:textId="77777777">
      <w:pPr>
        <w:tabs>
          <w:tab w:val="left" w:pos="-720"/>
          <w:tab w:val="left" w:pos="7611"/>
        </w:tabs>
        <w:suppressAutoHyphens/>
        <w:spacing w:after="0" w:line="240" w:lineRule="auto"/>
        <w:rPr>
          <w:b/>
        </w:rPr>
      </w:pPr>
    </w:p>
    <w:p w:rsidR="00292C2D" w:rsidP="00162EFF" w:rsidRDefault="00292C2D" w14:paraId="084AE268" w14:textId="6AC8F87C">
      <w:pPr>
        <w:tabs>
          <w:tab w:val="left" w:pos="-720"/>
          <w:tab w:val="left" w:pos="7611"/>
        </w:tabs>
        <w:suppressAutoHyphens/>
        <w:spacing w:after="0" w:line="240" w:lineRule="auto"/>
        <w:rPr>
          <w:b/>
        </w:rPr>
      </w:pPr>
      <w:r>
        <w:rPr>
          <w:b/>
        </w:rPr>
        <w:t xml:space="preserve">TOTALS: </w:t>
      </w:r>
    </w:p>
    <w:p w:rsidRPr="00EB4351" w:rsidR="00292C2D" w:rsidRDefault="00292C2D" w14:paraId="31EBE119" w14:textId="77777777">
      <w:pPr>
        <w:tabs>
          <w:tab w:val="left" w:pos="-720"/>
          <w:tab w:val="left" w:pos="7611"/>
        </w:tabs>
        <w:suppressAutoHyphens/>
        <w:spacing w:after="0" w:line="240" w:lineRule="auto"/>
        <w:rPr>
          <w:b/>
        </w:rPr>
      </w:pPr>
    </w:p>
    <w:p w:rsidRPr="00A925D8" w:rsidR="00292C2D" w:rsidRDefault="00292C2D" w14:paraId="1E0586BB" w14:textId="0CE93E7C">
      <w:pPr>
        <w:tabs>
          <w:tab w:val="left" w:pos="-720"/>
          <w:tab w:val="left" w:pos="7611"/>
        </w:tabs>
        <w:suppressAutoHyphens/>
        <w:spacing w:after="0" w:line="240" w:lineRule="auto"/>
        <w:rPr>
          <w:b/>
        </w:rPr>
      </w:pPr>
      <w:r w:rsidRPr="00EB4351">
        <w:rPr>
          <w:b/>
        </w:rPr>
        <w:t xml:space="preserve">Total Number of Respondents:  </w:t>
      </w:r>
      <w:r w:rsidRPr="007F5B46">
        <w:rPr>
          <w:b/>
        </w:rPr>
        <w:t>2,</w:t>
      </w:r>
      <w:r w:rsidR="001945F4">
        <w:rPr>
          <w:b/>
        </w:rPr>
        <w:t>2</w:t>
      </w:r>
      <w:r w:rsidR="00606099">
        <w:rPr>
          <w:b/>
        </w:rPr>
        <w:t>2</w:t>
      </w:r>
      <w:r>
        <w:rPr>
          <w:b/>
        </w:rPr>
        <w:t>9</w:t>
      </w:r>
      <w:r w:rsidRPr="00A925D8">
        <w:rPr>
          <w:b/>
        </w:rPr>
        <w:t xml:space="preserve"> unique respondents filing multiple times.</w:t>
      </w:r>
    </w:p>
    <w:p w:rsidRPr="00472A06" w:rsidR="00292C2D" w:rsidRDefault="00292C2D" w14:paraId="550E7160" w14:textId="77777777">
      <w:pPr>
        <w:tabs>
          <w:tab w:val="left" w:pos="-720"/>
          <w:tab w:val="left" w:pos="7611"/>
        </w:tabs>
        <w:suppressAutoHyphens/>
        <w:spacing w:after="0" w:line="240" w:lineRule="auto"/>
        <w:rPr>
          <w:b/>
        </w:rPr>
      </w:pPr>
    </w:p>
    <w:p w:rsidRPr="00EB4351" w:rsidR="00292C2D" w:rsidRDefault="00292C2D" w14:paraId="2620479E" w14:textId="32FBB202">
      <w:pPr>
        <w:tabs>
          <w:tab w:val="left" w:pos="-720"/>
          <w:tab w:val="left" w:pos="7611"/>
        </w:tabs>
        <w:suppressAutoHyphens/>
        <w:spacing w:after="0" w:line="240" w:lineRule="auto"/>
        <w:rPr>
          <w:b/>
        </w:rPr>
      </w:pPr>
      <w:r w:rsidRPr="00472A06">
        <w:rPr>
          <w:b/>
        </w:rPr>
        <w:lastRenderedPageBreak/>
        <w:t xml:space="preserve">Total Number of Responses Annually:  </w:t>
      </w:r>
      <w:r w:rsidR="00606099">
        <w:rPr>
          <w:b/>
        </w:rPr>
        <w:t>1</w:t>
      </w:r>
      <w:r w:rsidR="002F2CA8">
        <w:rPr>
          <w:b/>
        </w:rPr>
        <w:t>3,804</w:t>
      </w:r>
    </w:p>
    <w:p w:rsidRPr="00472A06" w:rsidR="00292C2D" w:rsidRDefault="00292C2D" w14:paraId="3F6846C6" w14:textId="77777777">
      <w:pPr>
        <w:tabs>
          <w:tab w:val="left" w:pos="-720"/>
          <w:tab w:val="left" w:pos="7611"/>
        </w:tabs>
        <w:suppressAutoHyphens/>
        <w:spacing w:after="0" w:line="240" w:lineRule="auto"/>
        <w:rPr>
          <w:b/>
        </w:rPr>
      </w:pPr>
    </w:p>
    <w:p w:rsidRPr="00A925D8" w:rsidR="00292C2D" w:rsidRDefault="00292C2D" w14:paraId="1E6FF39F" w14:textId="6562D7B8">
      <w:pPr>
        <w:tabs>
          <w:tab w:val="left" w:pos="-720"/>
          <w:tab w:val="left" w:pos="7611"/>
        </w:tabs>
        <w:suppressAutoHyphens/>
        <w:spacing w:after="0" w:line="240" w:lineRule="auto"/>
        <w:rPr>
          <w:b/>
        </w:rPr>
      </w:pPr>
      <w:r w:rsidRPr="00472A06">
        <w:rPr>
          <w:b/>
        </w:rPr>
        <w:t>Total Annual Hourly Burden for requirements</w:t>
      </w:r>
      <w:r w:rsidR="00A76AAC">
        <w:rPr>
          <w:b/>
        </w:rPr>
        <w:t>:</w:t>
      </w:r>
      <w:r w:rsidRPr="00472A06">
        <w:rPr>
          <w:b/>
        </w:rPr>
        <w:t xml:space="preserve"> </w:t>
      </w:r>
      <w:r w:rsidR="00A76AAC">
        <w:rPr>
          <w:b/>
        </w:rPr>
        <w:t xml:space="preserve"> </w:t>
      </w:r>
      <w:r w:rsidRPr="00472A06">
        <w:rPr>
          <w:b/>
        </w:rPr>
        <w:t>(a) – (</w:t>
      </w:r>
      <w:r w:rsidR="00A76AAC">
        <w:rPr>
          <w:b/>
        </w:rPr>
        <w:t>z</w:t>
      </w:r>
      <w:r w:rsidRPr="00A925D8">
        <w:rPr>
          <w:b/>
        </w:rPr>
        <w:t xml:space="preserve">):  </w:t>
      </w:r>
      <w:r w:rsidR="00891CBB">
        <w:rPr>
          <w:b/>
        </w:rPr>
        <w:t>5</w:t>
      </w:r>
      <w:r w:rsidR="002F2CA8">
        <w:rPr>
          <w:b/>
        </w:rPr>
        <w:t>0,857</w:t>
      </w:r>
    </w:p>
    <w:p w:rsidRPr="00472A06" w:rsidR="00292C2D" w:rsidRDefault="00292C2D" w14:paraId="47E1DE7F" w14:textId="77777777">
      <w:pPr>
        <w:tabs>
          <w:tab w:val="left" w:pos="-720"/>
          <w:tab w:val="left" w:pos="7611"/>
        </w:tabs>
        <w:suppressAutoHyphens/>
        <w:spacing w:after="0" w:line="240" w:lineRule="auto"/>
        <w:rPr>
          <w:b/>
        </w:rPr>
      </w:pPr>
    </w:p>
    <w:p w:rsidR="00292C2D" w:rsidRDefault="00292C2D" w14:paraId="3F218FC5" w14:textId="67A4B592">
      <w:pPr>
        <w:tabs>
          <w:tab w:val="left" w:pos="-720"/>
          <w:tab w:val="left" w:pos="7611"/>
        </w:tabs>
        <w:suppressAutoHyphens/>
        <w:spacing w:after="0" w:line="240" w:lineRule="auto"/>
        <w:rPr>
          <w:b/>
        </w:rPr>
      </w:pPr>
      <w:r w:rsidRPr="00472A06">
        <w:rPr>
          <w:b/>
        </w:rPr>
        <w:t>Total Annual In-house Costs to respondents:  $2,</w:t>
      </w:r>
      <w:r w:rsidR="002F2CA8">
        <w:rPr>
          <w:b/>
        </w:rPr>
        <w:t>034,280</w:t>
      </w:r>
    </w:p>
    <w:p w:rsidRPr="001C5CB4" w:rsidR="00B5612E" w:rsidRDefault="00B5612E" w14:paraId="5D4F603C" w14:textId="77777777">
      <w:pPr>
        <w:tabs>
          <w:tab w:val="left" w:pos="4320"/>
        </w:tabs>
        <w:spacing w:after="0" w:line="240" w:lineRule="auto"/>
        <w:ind w:left="0"/>
      </w:pPr>
    </w:p>
    <w:p w:rsidRPr="00E76E40" w:rsidR="00B5612E" w:rsidRDefault="00B5612E" w14:paraId="11D4BCFA" w14:textId="2A058785">
      <w:pPr>
        <w:pStyle w:val="Heading2"/>
        <w:spacing w:after="0" w:line="240" w:lineRule="auto"/>
      </w:pPr>
      <w:r w:rsidRPr="001C5CB4">
        <w:t>Estimates for the cost burden of the collection to respondents</w:t>
      </w:r>
      <w:r w:rsidR="00E76E40">
        <w:t xml:space="preserve">.  </w:t>
      </w:r>
      <w:r w:rsidRPr="00E76E40">
        <w:rPr>
          <w:i w:val="0"/>
          <w:iCs w:val="0"/>
        </w:rPr>
        <w:t>There are no outside contracting costs for this information collection.  See the last column in the chart in item 12 above for the estimated in-house costs to respondents.</w:t>
      </w:r>
    </w:p>
    <w:p w:rsidR="0022556F" w:rsidRDefault="0022556F" w14:paraId="1DE07613" w14:textId="77777777">
      <w:pPr>
        <w:spacing w:after="0" w:line="240" w:lineRule="auto"/>
      </w:pPr>
    </w:p>
    <w:p w:rsidRPr="00E76E40" w:rsidR="00B5612E" w:rsidRDefault="00B5612E" w14:paraId="439FD31F" w14:textId="748E78E6">
      <w:pPr>
        <w:pStyle w:val="Heading2"/>
        <w:spacing w:after="0" w:line="240" w:lineRule="auto"/>
      </w:pPr>
      <w:r w:rsidRPr="001C5CB4">
        <w:t>Estimates of the cost burden to the Commission.</w:t>
      </w:r>
      <w:r w:rsidR="00E76E40">
        <w:t xml:space="preserve">  </w:t>
      </w:r>
      <w:r w:rsidRPr="00E76E40">
        <w:rPr>
          <w:i w:val="0"/>
          <w:iCs w:val="0"/>
        </w:rPr>
        <w:t>There will be few, if any, costs to the Commission because notice and enforcement requirements are already part of Commission duties.  Moreover, there will be minimal cost to the federal government since an outside party will administer this program.</w:t>
      </w:r>
      <w:bookmarkStart w:name="OLE_LINK1" w:id="2"/>
      <w:bookmarkStart w:name="OLE_LINK2" w:id="3"/>
    </w:p>
    <w:p w:rsidRPr="00AC27FF" w:rsidR="0022556F" w:rsidRDefault="0022556F" w14:paraId="74E3DCE8" w14:textId="270715DE">
      <w:pPr>
        <w:spacing w:after="0" w:line="240" w:lineRule="auto"/>
      </w:pPr>
    </w:p>
    <w:p w:rsidR="00741DAA" w:rsidRDefault="00B5612E" w14:paraId="5BEA95FE" w14:textId="32A8368D">
      <w:pPr>
        <w:pStyle w:val="Heading2"/>
        <w:spacing w:after="0"/>
      </w:pPr>
      <w:r w:rsidRPr="002E66A7">
        <w:t>Program changes or adjustments</w:t>
      </w:r>
      <w:r w:rsidR="00E76E40">
        <w:t xml:space="preserve">.  </w:t>
      </w:r>
      <w:r w:rsidRPr="00741DAA">
        <w:rPr>
          <w:i w:val="0"/>
          <w:iCs w:val="0"/>
        </w:rPr>
        <w:t xml:space="preserve">The Commission is reporting </w:t>
      </w:r>
      <w:r w:rsidRPr="00741DAA" w:rsidR="00741DAA">
        <w:rPr>
          <w:i w:val="0"/>
          <w:iCs w:val="0"/>
        </w:rPr>
        <w:t xml:space="preserve">an </w:t>
      </w:r>
      <w:r w:rsidRPr="00741DAA" w:rsidR="005A79E9">
        <w:rPr>
          <w:i w:val="0"/>
          <w:iCs w:val="0"/>
        </w:rPr>
        <w:t>adjustment</w:t>
      </w:r>
      <w:r w:rsidRPr="00741DAA" w:rsidR="00741DAA">
        <w:rPr>
          <w:i w:val="0"/>
          <w:iCs w:val="0"/>
        </w:rPr>
        <w:t xml:space="preserve"> </w:t>
      </w:r>
      <w:r w:rsidRPr="00741DAA">
        <w:rPr>
          <w:i w:val="0"/>
          <w:iCs w:val="0"/>
        </w:rPr>
        <w:t xml:space="preserve">to this information collection as a result of </w:t>
      </w:r>
      <w:r w:rsidRPr="00741DAA" w:rsidR="000E4036">
        <w:rPr>
          <w:i w:val="0"/>
          <w:iCs w:val="0"/>
        </w:rPr>
        <w:t xml:space="preserve">the new </w:t>
      </w:r>
      <w:r w:rsidRPr="00741DAA" w:rsidR="00606099">
        <w:rPr>
          <w:i w:val="0"/>
          <w:iCs w:val="0"/>
        </w:rPr>
        <w:t>Rural Digital Opportunity Fund</w:t>
      </w:r>
      <w:r w:rsidRPr="00741DAA" w:rsidR="000E4036">
        <w:rPr>
          <w:i w:val="0"/>
          <w:iCs w:val="0"/>
        </w:rPr>
        <w:t xml:space="preserve"> program</w:t>
      </w:r>
      <w:r w:rsidRPr="00741DAA" w:rsidR="00386CA4">
        <w:rPr>
          <w:i w:val="0"/>
          <w:iCs w:val="0"/>
        </w:rPr>
        <w:t xml:space="preserve">.  </w:t>
      </w:r>
      <w:r w:rsidRPr="00741DAA" w:rsidR="00041B96">
        <w:rPr>
          <w:i w:val="0"/>
          <w:iCs w:val="0"/>
        </w:rPr>
        <w:t>M</w:t>
      </w:r>
      <w:r w:rsidRPr="00741DAA" w:rsidR="005A79E9">
        <w:rPr>
          <w:i w:val="0"/>
          <w:iCs w:val="0"/>
        </w:rPr>
        <w:t>ore carriers will begin to have reporting obligations</w:t>
      </w:r>
      <w:r w:rsidRPr="00741DAA" w:rsidR="00741DAA">
        <w:rPr>
          <w:i w:val="0"/>
          <w:iCs w:val="0"/>
        </w:rPr>
        <w:t xml:space="preserve"> and recordkeeping requirements</w:t>
      </w:r>
      <w:r w:rsidRPr="00741DAA" w:rsidR="005A79E9">
        <w:rPr>
          <w:i w:val="0"/>
          <w:iCs w:val="0"/>
        </w:rPr>
        <w:t xml:space="preserve"> </w:t>
      </w:r>
      <w:r w:rsidRPr="00741DAA" w:rsidR="00060462">
        <w:rPr>
          <w:i w:val="0"/>
          <w:iCs w:val="0"/>
        </w:rPr>
        <w:t xml:space="preserve">applicable to all recipients of high-cost universal service support </w:t>
      </w:r>
      <w:r w:rsidRPr="00741DAA" w:rsidR="005A79E9">
        <w:rPr>
          <w:i w:val="0"/>
          <w:iCs w:val="0"/>
        </w:rPr>
        <w:t xml:space="preserve">as a condition of receiving Rural Digital Opportunity Fund support.  </w:t>
      </w:r>
      <w:r w:rsidRPr="00741DAA" w:rsidR="00741DAA">
        <w:rPr>
          <w:i w:val="0"/>
          <w:iCs w:val="0"/>
        </w:rPr>
        <w:t xml:space="preserve">This adjustment is associated with an increase in respondents from </w:t>
      </w:r>
      <w:r w:rsidR="00A74A58">
        <w:rPr>
          <w:i w:val="0"/>
          <w:iCs w:val="0"/>
        </w:rPr>
        <w:t>2,049</w:t>
      </w:r>
      <w:r w:rsidRPr="00741DAA" w:rsidR="00741DAA">
        <w:rPr>
          <w:i w:val="0"/>
          <w:iCs w:val="0"/>
        </w:rPr>
        <w:t xml:space="preserve"> to </w:t>
      </w:r>
      <w:r w:rsidR="00A74A58">
        <w:rPr>
          <w:i w:val="0"/>
          <w:iCs w:val="0"/>
        </w:rPr>
        <w:t>2,229</w:t>
      </w:r>
      <w:r w:rsidR="00283D47">
        <w:rPr>
          <w:i w:val="0"/>
          <w:iCs w:val="0"/>
        </w:rPr>
        <w:t xml:space="preserve"> (+180)</w:t>
      </w:r>
      <w:r w:rsidRPr="00741DAA" w:rsidR="00741DAA">
        <w:rPr>
          <w:i w:val="0"/>
          <w:iCs w:val="0"/>
        </w:rPr>
        <w:t xml:space="preserve">, </w:t>
      </w:r>
      <w:r w:rsidR="00283D47">
        <w:rPr>
          <w:i w:val="0"/>
          <w:iCs w:val="0"/>
        </w:rPr>
        <w:t xml:space="preserve">an increase in </w:t>
      </w:r>
      <w:r w:rsidRPr="00741DAA" w:rsidR="00741DAA">
        <w:rPr>
          <w:i w:val="0"/>
          <w:iCs w:val="0"/>
        </w:rPr>
        <w:t xml:space="preserve">responses from </w:t>
      </w:r>
      <w:r w:rsidR="00012324">
        <w:rPr>
          <w:i w:val="0"/>
          <w:iCs w:val="0"/>
        </w:rPr>
        <w:t>14,358</w:t>
      </w:r>
      <w:r w:rsidRPr="00741DAA" w:rsidR="00741DAA">
        <w:rPr>
          <w:i w:val="0"/>
          <w:iCs w:val="0"/>
        </w:rPr>
        <w:t xml:space="preserve"> to </w:t>
      </w:r>
      <w:r w:rsidR="00012324">
        <w:rPr>
          <w:i w:val="0"/>
          <w:iCs w:val="0"/>
        </w:rPr>
        <w:t>14,718</w:t>
      </w:r>
      <w:r w:rsidR="00283D47">
        <w:rPr>
          <w:i w:val="0"/>
          <w:iCs w:val="0"/>
        </w:rPr>
        <w:t xml:space="preserve"> (+360)</w:t>
      </w:r>
      <w:r w:rsidRPr="00741DAA" w:rsidR="00741DAA">
        <w:rPr>
          <w:i w:val="0"/>
          <w:iCs w:val="0"/>
        </w:rPr>
        <w:t xml:space="preserve">, and </w:t>
      </w:r>
      <w:r w:rsidR="00283D47">
        <w:rPr>
          <w:i w:val="0"/>
          <w:iCs w:val="0"/>
        </w:rPr>
        <w:t xml:space="preserve">an increase in </w:t>
      </w:r>
      <w:r w:rsidRPr="00741DAA" w:rsidR="00741DAA">
        <w:rPr>
          <w:i w:val="0"/>
          <w:iCs w:val="0"/>
        </w:rPr>
        <w:t xml:space="preserve">annual burden hours from </w:t>
      </w:r>
      <w:r w:rsidR="00E37096">
        <w:rPr>
          <w:i w:val="0"/>
          <w:iCs w:val="0"/>
        </w:rPr>
        <w:t xml:space="preserve">53,955 </w:t>
      </w:r>
      <w:r w:rsidRPr="00741DAA" w:rsidR="00741DAA">
        <w:rPr>
          <w:i w:val="0"/>
          <w:iCs w:val="0"/>
        </w:rPr>
        <w:t xml:space="preserve">to </w:t>
      </w:r>
      <w:r w:rsidR="00362B08">
        <w:rPr>
          <w:i w:val="0"/>
          <w:iCs w:val="0"/>
        </w:rPr>
        <w:t>55,215</w:t>
      </w:r>
      <w:r w:rsidR="00283D47">
        <w:rPr>
          <w:i w:val="0"/>
          <w:iCs w:val="0"/>
        </w:rPr>
        <w:t xml:space="preserve"> (+1,260)</w:t>
      </w:r>
      <w:r w:rsidRPr="00741DAA" w:rsidR="00741DAA">
        <w:rPr>
          <w:i w:val="0"/>
          <w:iCs w:val="0"/>
        </w:rPr>
        <w:t>.</w:t>
      </w:r>
    </w:p>
    <w:p w:rsidR="00D43798" w:rsidRDefault="00D43798" w14:paraId="7DBDD1CC" w14:textId="77777777">
      <w:pPr>
        <w:spacing w:after="0"/>
      </w:pPr>
    </w:p>
    <w:p w:rsidR="00477A58" w:rsidRDefault="00041B96" w14:paraId="23BE18DD" w14:textId="75EF708D">
      <w:pPr>
        <w:spacing w:after="0"/>
      </w:pPr>
      <w:r>
        <w:t>The Commission is also reporting program changes as a result of</w:t>
      </w:r>
      <w:r w:rsidR="002A77BD">
        <w:t xml:space="preserve"> revised requirements associated with the Rural Digital Opportunity Fund.  </w:t>
      </w:r>
      <w:r w:rsidR="007D2287">
        <w:t xml:space="preserve">Several requirements already applicable to recipients of CAF Phase II auction, </w:t>
      </w:r>
      <w:proofErr w:type="spellStart"/>
      <w:r w:rsidR="007D2287">
        <w:t>Uniendo</w:t>
      </w:r>
      <w:proofErr w:type="spellEnd"/>
      <w:r w:rsidR="007D2287">
        <w:t xml:space="preserve"> a Puerto Rico Stage 2, Connect USVI Fund Stage 2 support have increased in scope to include the new RDOF support recipients.  </w:t>
      </w:r>
      <w:r w:rsidR="004B6EE2">
        <w:t xml:space="preserve">Additionally, </w:t>
      </w:r>
      <w:r w:rsidR="001337FA">
        <w:t xml:space="preserve">pursuant to the </w:t>
      </w:r>
      <w:r w:rsidR="001337FA">
        <w:rPr>
          <w:i/>
          <w:iCs/>
        </w:rPr>
        <w:t>2020 Supply Chain Order</w:t>
      </w:r>
      <w:r w:rsidR="001337FA">
        <w:t>,</w:t>
      </w:r>
      <w:r w:rsidR="0065557F">
        <w:t xml:space="preserve"> a</w:t>
      </w:r>
      <w:r w:rsidR="00386CA4">
        <w:t xml:space="preserve">ll support recipients will need to begin certifying their compliance with the Commission’s prohibition on using universal service support for </w:t>
      </w:r>
      <w:r w:rsidR="00606099">
        <w:t xml:space="preserve">equipment and services on the Covered List, in addition to their existing certifications regarding compliance with the Commission’s prohibition on using universal service support for </w:t>
      </w:r>
      <w:r w:rsidR="00386CA4">
        <w:t>Huawei</w:t>
      </w:r>
      <w:r w:rsidR="00487D7A">
        <w:t xml:space="preserve"> or ZTE equipment or services.</w:t>
      </w:r>
      <w:r w:rsidR="00BC3634">
        <w:t xml:space="preserve">  </w:t>
      </w:r>
      <w:r w:rsidR="00477A58">
        <w:t>However, the removal of the rate floor reporting obligations greatly decreases the overall number of responses and burden hours in this collection.</w:t>
      </w:r>
      <w:r w:rsidR="00741DAA">
        <w:t xml:space="preserve">  These program changes </w:t>
      </w:r>
      <w:r w:rsidR="001C4946">
        <w:t>thus</w:t>
      </w:r>
      <w:r w:rsidR="00FF5A01">
        <w:t xml:space="preserve"> decrease </w:t>
      </w:r>
      <w:r w:rsidR="001C4946">
        <w:t>the number of</w:t>
      </w:r>
      <w:r w:rsidR="00FF5A01">
        <w:t xml:space="preserve"> responses from </w:t>
      </w:r>
      <w:r w:rsidR="001C4946">
        <w:t>14,718</w:t>
      </w:r>
      <w:r w:rsidR="00FF5A01">
        <w:t xml:space="preserve"> to </w:t>
      </w:r>
      <w:r w:rsidR="001C4946">
        <w:t>13,804 (</w:t>
      </w:r>
      <w:r w:rsidR="002A76D3">
        <w:t>-914)</w:t>
      </w:r>
      <w:r w:rsidR="00FF5A01">
        <w:t xml:space="preserve"> and annual burden hours from </w:t>
      </w:r>
      <w:r w:rsidR="002A76D3">
        <w:t>55,215</w:t>
      </w:r>
      <w:r w:rsidR="00FF5A01">
        <w:t xml:space="preserve"> to</w:t>
      </w:r>
      <w:r w:rsidR="002A76D3">
        <w:t xml:space="preserve"> 50,857 (-4,358)</w:t>
      </w:r>
      <w:r w:rsidR="00FF5A01">
        <w:t>.</w:t>
      </w:r>
    </w:p>
    <w:p w:rsidR="00741DAA" w:rsidRDefault="00741DAA" w14:paraId="6A67BF7A" w14:textId="77777777">
      <w:pPr>
        <w:spacing w:after="0"/>
      </w:pPr>
    </w:p>
    <w:p w:rsidR="00A76B69" w:rsidRDefault="00FF5A01" w14:paraId="6556BA57" w14:textId="77777777">
      <w:pPr>
        <w:spacing w:after="0"/>
      </w:pPr>
      <w:r>
        <w:t>Together</w:t>
      </w:r>
      <w:r w:rsidR="00477A58">
        <w:t xml:space="preserve">, </w:t>
      </w:r>
      <w:r>
        <w:t>the</w:t>
      </w:r>
      <w:r w:rsidR="0080658C">
        <w:t xml:space="preserve"> </w:t>
      </w:r>
      <w:r w:rsidR="005A79E9">
        <w:t xml:space="preserve">adjustments and </w:t>
      </w:r>
      <w:r w:rsidR="0080658C">
        <w:t>program changes</w:t>
      </w:r>
      <w:r w:rsidR="005A79E9">
        <w:t xml:space="preserve"> </w:t>
      </w:r>
      <w:r w:rsidR="0080658C">
        <w:t>resulted in a</w:t>
      </w:r>
      <w:r w:rsidR="00477A58">
        <w:t xml:space="preserve">n increase </w:t>
      </w:r>
      <w:r w:rsidR="0080658C">
        <w:t>in the number of respondents</w:t>
      </w:r>
      <w:r w:rsidR="00477A58">
        <w:t xml:space="preserve"> but a decrease in</w:t>
      </w:r>
      <w:r w:rsidR="00606099">
        <w:t xml:space="preserve"> </w:t>
      </w:r>
      <w:r w:rsidR="0080658C">
        <w:t>annual responses</w:t>
      </w:r>
      <w:r w:rsidR="00606099">
        <w:t xml:space="preserve"> and total annual burden hours</w:t>
      </w:r>
      <w:r w:rsidR="0080658C">
        <w:t xml:space="preserve">. </w:t>
      </w:r>
      <w:r w:rsidR="00477A58">
        <w:t>The</w:t>
      </w:r>
      <w:r w:rsidR="00CA5BB4">
        <w:t xml:space="preserve"> number of respondents </w:t>
      </w:r>
      <w:r w:rsidR="00477A58">
        <w:t xml:space="preserve">increased </w:t>
      </w:r>
      <w:r w:rsidR="00CA5BB4">
        <w:t>from 2,0</w:t>
      </w:r>
      <w:r w:rsidR="00606099">
        <w:t>49</w:t>
      </w:r>
      <w:r w:rsidR="00CA5BB4">
        <w:t xml:space="preserve"> to 2,</w:t>
      </w:r>
      <w:r w:rsidR="00606099">
        <w:t>229</w:t>
      </w:r>
      <w:r w:rsidR="00CA5BB4">
        <w:t xml:space="preserve"> (+1</w:t>
      </w:r>
      <w:r w:rsidR="00606099">
        <w:t>80</w:t>
      </w:r>
      <w:r w:rsidR="00CA5BB4">
        <w:t xml:space="preserve">); the annual responses </w:t>
      </w:r>
      <w:r w:rsidR="00477A58">
        <w:t xml:space="preserve">decreased </w:t>
      </w:r>
      <w:r w:rsidR="00CA5BB4">
        <w:t>from 1</w:t>
      </w:r>
      <w:r w:rsidR="009231F3">
        <w:t>4,358</w:t>
      </w:r>
      <w:r w:rsidR="00CA5BB4">
        <w:t xml:space="preserve"> to </w:t>
      </w:r>
      <w:r w:rsidR="00477A58">
        <w:t>13,804</w:t>
      </w:r>
      <w:r w:rsidR="00CA5BB4">
        <w:t xml:space="preserve"> (</w:t>
      </w:r>
      <w:r w:rsidR="00477A58">
        <w:t>-554</w:t>
      </w:r>
      <w:r w:rsidR="00E61EBA">
        <w:t>)</w:t>
      </w:r>
      <w:r w:rsidR="00B87578">
        <w:t xml:space="preserve">; and the annual burden hours </w:t>
      </w:r>
      <w:r w:rsidR="00477A58">
        <w:t xml:space="preserve">decreased </w:t>
      </w:r>
      <w:r w:rsidR="00B87578">
        <w:t>from 5</w:t>
      </w:r>
      <w:r w:rsidR="009231F3">
        <w:t>3,955</w:t>
      </w:r>
      <w:r w:rsidR="00B87578">
        <w:t xml:space="preserve"> to </w:t>
      </w:r>
      <w:r w:rsidR="00477A58">
        <w:t>50,857</w:t>
      </w:r>
      <w:r w:rsidR="0080658C">
        <w:t xml:space="preserve"> </w:t>
      </w:r>
    </w:p>
    <w:p w:rsidR="00487D7A" w:rsidRDefault="00B87578" w14:paraId="6A641026" w14:textId="5B65A423">
      <w:pPr>
        <w:spacing w:after="0"/>
      </w:pPr>
      <w:r>
        <w:t>(</w:t>
      </w:r>
      <w:r w:rsidR="00477A58">
        <w:t>-3,098</w:t>
      </w:r>
      <w:r>
        <w:t>)</w:t>
      </w:r>
      <w:r w:rsidR="0080658C">
        <w:t>.</w:t>
      </w:r>
    </w:p>
    <w:p w:rsidRPr="00C03B50" w:rsidR="0022556F" w:rsidRDefault="00B5612E" w14:paraId="67EB8BEC" w14:textId="5AD00C61">
      <w:pPr>
        <w:spacing w:after="0"/>
        <w:ind w:left="0"/>
      </w:pPr>
      <w:r w:rsidRPr="00E76E40">
        <w:t xml:space="preserve"> </w:t>
      </w:r>
      <w:r w:rsidR="00C03B50">
        <w:tab/>
      </w:r>
      <w:r w:rsidR="00C03B50">
        <w:tab/>
      </w:r>
      <w:r w:rsidR="00C03B50">
        <w:tab/>
      </w:r>
      <w:r w:rsidR="00C03B50">
        <w:tab/>
      </w:r>
      <w:r w:rsidR="00C03B50">
        <w:tab/>
      </w:r>
      <w:r w:rsidR="00C03B50">
        <w:tab/>
      </w:r>
      <w:r w:rsidR="00C03B50">
        <w:tab/>
      </w:r>
      <w:r w:rsidR="00C03B50">
        <w:tab/>
      </w:r>
      <w:r w:rsidR="00C03B50">
        <w:tab/>
      </w:r>
    </w:p>
    <w:p w:rsidRPr="00C03B50" w:rsidR="00B5612E" w:rsidP="001861C7" w:rsidRDefault="00C03B50" w14:paraId="44C94DF5" w14:textId="794AD716">
      <w:pPr>
        <w:pStyle w:val="Heading2"/>
        <w:numPr>
          <w:ilvl w:val="0"/>
          <w:numId w:val="0"/>
        </w:numPr>
        <w:spacing w:after="0" w:line="240" w:lineRule="auto"/>
        <w:ind w:left="360"/>
      </w:pPr>
      <w:r w:rsidRPr="002E66A7">
        <w:rPr>
          <w:bCs/>
          <w:i w:val="0"/>
          <w:color w:val="000000"/>
        </w:rPr>
        <w:lastRenderedPageBreak/>
        <w:t>16.</w:t>
      </w:r>
      <w:r w:rsidRPr="00C03B50">
        <w:rPr>
          <w:bCs/>
          <w:color w:val="000000"/>
        </w:rPr>
        <w:t xml:space="preserve"> </w:t>
      </w:r>
      <w:bookmarkEnd w:id="2"/>
      <w:bookmarkEnd w:id="3"/>
      <w:r w:rsidRPr="001C5CB4" w:rsidR="00B5612E">
        <w:t>Collections of information whose results will be published.</w:t>
      </w:r>
      <w:r>
        <w:t xml:space="preserve">  </w:t>
      </w:r>
      <w:r w:rsidRPr="00C03B50" w:rsidR="00B5612E">
        <w:rPr>
          <w:i w:val="0"/>
          <w:iCs w:val="0"/>
        </w:rPr>
        <w:t>The Commission plans to make some non-proprietary information available publicly, including information included in recipients’ annual reports.</w:t>
      </w:r>
    </w:p>
    <w:p w:rsidRPr="00AC27FF" w:rsidR="0022556F" w:rsidRDefault="0022556F" w14:paraId="2B5A9B92" w14:textId="77777777">
      <w:pPr>
        <w:spacing w:after="0" w:line="240" w:lineRule="auto"/>
      </w:pPr>
    </w:p>
    <w:p w:rsidRPr="00C03B50" w:rsidR="00B5612E" w:rsidP="001861C7" w:rsidRDefault="00C03B50" w14:paraId="1013BDCD" w14:textId="03713644">
      <w:pPr>
        <w:pStyle w:val="Heading2"/>
        <w:numPr>
          <w:ilvl w:val="0"/>
          <w:numId w:val="0"/>
        </w:numPr>
        <w:spacing w:after="0" w:line="240" w:lineRule="auto"/>
        <w:ind w:left="360"/>
      </w:pPr>
      <w:r w:rsidRPr="002E66A7">
        <w:rPr>
          <w:i w:val="0"/>
        </w:rPr>
        <w:t>17.</w:t>
      </w:r>
      <w:r w:rsidRPr="00C03B50">
        <w:t xml:space="preserve"> </w:t>
      </w:r>
      <w:r w:rsidRPr="00C03B50" w:rsidR="00B5612E">
        <w:t>Display of expiration date for OMB approval of information collection</w:t>
      </w:r>
      <w:r w:rsidRPr="00137F86" w:rsidR="00B5612E">
        <w:rPr>
          <w:i w:val="0"/>
          <w:iCs w:val="0"/>
        </w:rPr>
        <w:t>.</w:t>
      </w:r>
      <w:r>
        <w:t xml:space="preserve">  </w:t>
      </w:r>
      <w:r w:rsidRPr="00C03B50" w:rsidR="00B5612E">
        <w:rPr>
          <w:i w:val="0"/>
          <w:iCs w:val="0"/>
        </w:rPr>
        <w:t>The Commission seeks continued approval to not display the OMB expiration date on FCC Form 481 and FCC Form 525.  The Commission will use an edition date in lieu of an OMB expiration date.  This will prevent the Commission from having to repeatedly update the expiration date on the forms each time this collection is submitted to OMB for review and approval.  The Commission publishes a list of all OMB-approved information collections, including this one, in 47 C.F.R. § 0.408.</w:t>
      </w:r>
    </w:p>
    <w:p w:rsidRPr="00AC27FF" w:rsidR="0022556F" w:rsidRDefault="0022556F" w14:paraId="2EA514D2" w14:textId="77777777">
      <w:pPr>
        <w:spacing w:after="0" w:line="240" w:lineRule="auto"/>
      </w:pPr>
    </w:p>
    <w:p w:rsidRPr="00C03B50" w:rsidR="0022556F" w:rsidP="001861C7" w:rsidRDefault="00C03B50" w14:paraId="791A28C5" w14:textId="3308FF6F">
      <w:pPr>
        <w:pStyle w:val="Heading2"/>
        <w:numPr>
          <w:ilvl w:val="0"/>
          <w:numId w:val="0"/>
        </w:numPr>
        <w:spacing w:after="0" w:line="240" w:lineRule="auto"/>
        <w:ind w:left="360"/>
      </w:pPr>
      <w:r>
        <w:rPr>
          <w:i w:val="0"/>
          <w:iCs w:val="0"/>
        </w:rPr>
        <w:t xml:space="preserve">18. </w:t>
      </w:r>
      <w:r w:rsidRPr="001C5CB4" w:rsidR="00B5612E">
        <w:t xml:space="preserve">Exceptions to certification statement for </w:t>
      </w:r>
      <w:r w:rsidR="00B5612E">
        <w:t>paperwork reduction act</w:t>
      </w:r>
      <w:r w:rsidRPr="001C5CB4" w:rsidR="00B5612E">
        <w:t xml:space="preserve"> submissions</w:t>
      </w:r>
      <w:r w:rsidR="00B5612E">
        <w:t>.</w:t>
      </w:r>
      <w:r>
        <w:t xml:space="preserve">  </w:t>
      </w:r>
      <w:r w:rsidRPr="00C03B50" w:rsidR="00B5612E">
        <w:rPr>
          <w:i w:val="0"/>
          <w:iCs w:val="0"/>
        </w:rPr>
        <w:t>There are no exceptions to the certification statement.</w:t>
      </w:r>
    </w:p>
    <w:p w:rsidR="00B5612E" w:rsidRDefault="00B5612E" w14:paraId="3BEF72C0" w14:textId="0E1C9203">
      <w:pPr>
        <w:spacing w:after="0" w:line="240" w:lineRule="auto"/>
      </w:pPr>
      <w:r w:rsidRPr="00AC27FF">
        <w:t xml:space="preserve">  </w:t>
      </w:r>
    </w:p>
    <w:p w:rsidRPr="001C5CB4" w:rsidR="00B5612E" w:rsidRDefault="00B5612E" w14:paraId="6C120730" w14:textId="7B3C1B6A">
      <w:pPr>
        <w:pStyle w:val="Heading1"/>
        <w:spacing w:after="0" w:line="240" w:lineRule="auto"/>
      </w:pPr>
      <w:r w:rsidRPr="001C5CB4">
        <w:t>Collections of Information Employing Statistical Method</w:t>
      </w:r>
      <w:r w:rsidRPr="00C03B50">
        <w:t>s</w:t>
      </w:r>
      <w:r w:rsidRPr="00137F86">
        <w:rPr>
          <w:u w:val="none"/>
        </w:rPr>
        <w:t>:</w:t>
      </w:r>
    </w:p>
    <w:p w:rsidRPr="00AC27FF" w:rsidR="0022556F" w:rsidRDefault="0022556F" w14:paraId="05D3B73F" w14:textId="77777777">
      <w:pPr>
        <w:spacing w:after="0" w:line="240" w:lineRule="auto"/>
        <w:ind w:hanging="360"/>
      </w:pPr>
    </w:p>
    <w:p w:rsidRPr="00AC27FF" w:rsidR="00B5612E" w:rsidRDefault="00B5612E" w14:paraId="1262E9BF" w14:textId="77777777">
      <w:pPr>
        <w:spacing w:after="0" w:line="240" w:lineRule="auto"/>
      </w:pPr>
      <w:r w:rsidRPr="00AC27FF">
        <w:t>The Commission does not anticipate that the collection of information will employ statistical methods.</w:t>
      </w:r>
    </w:p>
    <w:p w:rsidR="002E55EF" w:rsidRDefault="002E55EF" w14:paraId="580FB63C" w14:textId="008CF864">
      <w:pPr>
        <w:spacing w:after="0" w:line="240" w:lineRule="auto"/>
        <w:ind w:left="0"/>
      </w:pPr>
    </w:p>
    <w:sectPr w:rsidR="002E55EF" w:rsidSect="001C5CB4">
      <w:headerReference w:type="default" r:id="rId12"/>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E1C5" w14:textId="77777777" w:rsidR="00194416" w:rsidRDefault="00194416" w:rsidP="00FC68E9">
      <w:r>
        <w:separator/>
      </w:r>
    </w:p>
  </w:endnote>
  <w:endnote w:type="continuationSeparator" w:id="0">
    <w:p w14:paraId="6F9FC0F9" w14:textId="77777777" w:rsidR="00194416" w:rsidRDefault="00194416" w:rsidP="00FC68E9">
      <w:r>
        <w:continuationSeparator/>
      </w:r>
    </w:p>
  </w:endnote>
  <w:endnote w:type="continuationNotice" w:id="1">
    <w:p w14:paraId="4855C255" w14:textId="77777777" w:rsidR="00194416" w:rsidRDefault="00194416" w:rsidP="00137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B285" w14:textId="77777777" w:rsidR="00194416" w:rsidRDefault="00194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501386"/>
      <w:docPartObj>
        <w:docPartGallery w:val="Page Numbers (Bottom of Page)"/>
        <w:docPartUnique/>
      </w:docPartObj>
    </w:sdtPr>
    <w:sdtEndPr>
      <w:rPr>
        <w:noProof/>
      </w:rPr>
    </w:sdtEndPr>
    <w:sdtContent>
      <w:p w14:paraId="2DD48DFD" w14:textId="20CD2052" w:rsidR="00194416" w:rsidRDefault="00194416">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0BE6341B" w14:textId="77777777" w:rsidR="00194416" w:rsidRDefault="00194416" w:rsidP="00137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0748" w14:textId="77777777" w:rsidR="00194416" w:rsidRDefault="00194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0AFD" w14:textId="77777777" w:rsidR="00194416" w:rsidRDefault="00194416" w:rsidP="00FC68E9">
      <w:r>
        <w:separator/>
      </w:r>
    </w:p>
  </w:footnote>
  <w:footnote w:type="continuationSeparator" w:id="0">
    <w:p w14:paraId="59D44025" w14:textId="77777777" w:rsidR="00194416" w:rsidRDefault="00194416" w:rsidP="00FC68E9">
      <w:r>
        <w:continuationSeparator/>
      </w:r>
    </w:p>
  </w:footnote>
  <w:footnote w:type="continuationNotice" w:id="1">
    <w:p w14:paraId="27514554" w14:textId="77777777" w:rsidR="00194416" w:rsidRDefault="00194416" w:rsidP="00137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364F" w14:textId="77777777" w:rsidR="00194416" w:rsidRDefault="00194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15:restartNumberingAfterBreak="0">
    <w:nsid w:val="15D71EB7"/>
    <w:multiLevelType w:val="hybridMultilevel"/>
    <w:tmpl w:val="7D360F8A"/>
    <w:lvl w:ilvl="0" w:tplc="04129B56">
      <w:start w:val="1"/>
      <w:numFmt w:val="upperLetter"/>
      <w:pStyle w:val="Heading1"/>
      <w:lvlText w:val="%1."/>
      <w:lvlJc w:val="left"/>
      <w:pPr>
        <w:ind w:left="720" w:hanging="360"/>
      </w:pPr>
    </w:lvl>
    <w:lvl w:ilvl="1" w:tplc="0A7466DE">
      <w:start w:val="1"/>
      <w:numFmt w:val="lowerLetter"/>
      <w:pStyle w:val="Heading4"/>
      <w:lvlText w:val="%2."/>
      <w:lvlJc w:val="left"/>
      <w:pPr>
        <w:ind w:left="1440" w:hanging="360"/>
      </w:pPr>
    </w:lvl>
    <w:lvl w:ilvl="2" w:tplc="8A2A035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E2B54"/>
    <w:multiLevelType w:val="multilevel"/>
    <w:tmpl w:val="EDFA2DBA"/>
    <w:lvl w:ilvl="0">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1AEB5BAE"/>
    <w:multiLevelType w:val="hybridMultilevel"/>
    <w:tmpl w:val="66AAE3F2"/>
    <w:lvl w:ilvl="0" w:tplc="04090011">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 w15:restartNumberingAfterBreak="0">
    <w:nsid w:val="1FEA1382"/>
    <w:multiLevelType w:val="hybridMultilevel"/>
    <w:tmpl w:val="BDB0AE0C"/>
    <w:lvl w:ilvl="0" w:tplc="84F2DF26">
      <w:start w:val="1"/>
      <w:numFmt w:val="decimal"/>
      <w:pStyle w:val="Heading2"/>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4068D"/>
    <w:multiLevelType w:val="multilevel"/>
    <w:tmpl w:val="E4BCAB4C"/>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5957B8"/>
    <w:multiLevelType w:val="hybridMultilevel"/>
    <w:tmpl w:val="E0E65196"/>
    <w:lvl w:ilvl="0" w:tplc="D74C3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83575"/>
    <w:multiLevelType w:val="hybridMultilevel"/>
    <w:tmpl w:val="23E0C810"/>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C002B"/>
    <w:multiLevelType w:val="hybridMultilevel"/>
    <w:tmpl w:val="7A629F34"/>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60F88"/>
    <w:multiLevelType w:val="hybridMultilevel"/>
    <w:tmpl w:val="1A34896C"/>
    <w:lvl w:ilvl="0" w:tplc="00923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362B2"/>
    <w:multiLevelType w:val="multilevel"/>
    <w:tmpl w:val="0900BE8A"/>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D635DEF"/>
    <w:multiLevelType w:val="hybridMultilevel"/>
    <w:tmpl w:val="C48267B0"/>
    <w:lvl w:ilvl="0" w:tplc="62862E9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A10D1"/>
    <w:multiLevelType w:val="hybridMultilevel"/>
    <w:tmpl w:val="67D83A6A"/>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E0A89"/>
    <w:multiLevelType w:val="multilevel"/>
    <w:tmpl w:val="A52C2D02"/>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E923A14"/>
    <w:multiLevelType w:val="hybridMultilevel"/>
    <w:tmpl w:val="0804E21E"/>
    <w:lvl w:ilvl="0" w:tplc="312A6BE8">
      <w:start w:val="1"/>
      <w:numFmt w:val="decimal"/>
      <w:pStyle w:val="ListParagraph"/>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944FE"/>
    <w:multiLevelType w:val="multilevel"/>
    <w:tmpl w:val="21FE568A"/>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A902DEE"/>
    <w:multiLevelType w:val="hybridMultilevel"/>
    <w:tmpl w:val="0D1C4704"/>
    <w:lvl w:ilvl="0" w:tplc="F01025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93E00"/>
    <w:multiLevelType w:val="hybridMultilevel"/>
    <w:tmpl w:val="5E7050EA"/>
    <w:lvl w:ilvl="0" w:tplc="D392005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A36AA"/>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156BD"/>
    <w:multiLevelType w:val="hybridMultilevel"/>
    <w:tmpl w:val="1D908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1205C"/>
    <w:multiLevelType w:val="hybridMultilevel"/>
    <w:tmpl w:val="4C12AC70"/>
    <w:lvl w:ilvl="0" w:tplc="BF04878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F1350"/>
    <w:multiLevelType w:val="hybridMultilevel"/>
    <w:tmpl w:val="46B6246A"/>
    <w:lvl w:ilvl="0" w:tplc="E77ADF4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46EDA"/>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5" w15:restartNumberingAfterBreak="0">
    <w:nsid w:val="61BD580B"/>
    <w:multiLevelType w:val="hybridMultilevel"/>
    <w:tmpl w:val="058C3A42"/>
    <w:lvl w:ilvl="0" w:tplc="5DDAC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D34F5"/>
    <w:multiLevelType w:val="hybridMultilevel"/>
    <w:tmpl w:val="D07C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9A1521"/>
    <w:multiLevelType w:val="hybridMultilevel"/>
    <w:tmpl w:val="AB848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C3BD6"/>
    <w:multiLevelType w:val="hybridMultilevel"/>
    <w:tmpl w:val="C0700408"/>
    <w:lvl w:ilvl="0" w:tplc="2F4AB7AC">
      <w:start w:val="7"/>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55AFA"/>
    <w:multiLevelType w:val="hybridMultilevel"/>
    <w:tmpl w:val="4648B468"/>
    <w:lvl w:ilvl="0" w:tplc="5CA815CC">
      <w:start w:val="1"/>
      <w:numFmt w:val="decimal"/>
      <w:lvlText w:val="(%1)"/>
      <w:lvlJc w:val="left"/>
      <w:pPr>
        <w:ind w:left="9090" w:hanging="360"/>
      </w:pPr>
      <w:rPr>
        <w:rFonts w:hint="default"/>
        <w:b w:val="0"/>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31" w15:restartNumberingAfterBreak="0">
    <w:nsid w:val="6F0D155C"/>
    <w:multiLevelType w:val="hybridMultilevel"/>
    <w:tmpl w:val="37844CEE"/>
    <w:lvl w:ilvl="0" w:tplc="F000D5D8">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8F091F"/>
    <w:multiLevelType w:val="hybridMultilevel"/>
    <w:tmpl w:val="21F4FCA4"/>
    <w:lvl w:ilvl="0" w:tplc="BF34ACE2">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504BF"/>
    <w:multiLevelType w:val="hybridMultilevel"/>
    <w:tmpl w:val="BF3C1126"/>
    <w:lvl w:ilvl="0" w:tplc="81343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66632"/>
    <w:multiLevelType w:val="hybridMultilevel"/>
    <w:tmpl w:val="993C3550"/>
    <w:lvl w:ilvl="0" w:tplc="CC7E92E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5646E"/>
    <w:multiLevelType w:val="hybridMultilevel"/>
    <w:tmpl w:val="C48267B0"/>
    <w:lvl w:ilvl="0" w:tplc="62862E9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684785">
    <w:abstractNumId w:val="26"/>
  </w:num>
  <w:num w:numId="2" w16cid:durableId="1456288294">
    <w:abstractNumId w:val="28"/>
  </w:num>
  <w:num w:numId="3" w16cid:durableId="93869849">
    <w:abstractNumId w:val="1"/>
  </w:num>
  <w:num w:numId="4" w16cid:durableId="199175611">
    <w:abstractNumId w:val="19"/>
  </w:num>
  <w:num w:numId="5" w16cid:durableId="2123526978">
    <w:abstractNumId w:val="20"/>
  </w:num>
  <w:num w:numId="6" w16cid:durableId="615256245">
    <w:abstractNumId w:val="4"/>
  </w:num>
  <w:num w:numId="7" w16cid:durableId="318340487">
    <w:abstractNumId w:val="6"/>
  </w:num>
  <w:num w:numId="8" w16cid:durableId="897664178">
    <w:abstractNumId w:val="14"/>
  </w:num>
  <w:num w:numId="9" w16cid:durableId="1162552231">
    <w:abstractNumId w:val="12"/>
  </w:num>
  <w:num w:numId="10" w16cid:durableId="1740592812">
    <w:abstractNumId w:val="31"/>
  </w:num>
  <w:num w:numId="11" w16cid:durableId="2120291645">
    <w:abstractNumId w:val="14"/>
  </w:num>
  <w:num w:numId="12" w16cid:durableId="1719889374">
    <w:abstractNumId w:val="14"/>
    <w:lvlOverride w:ilvl="0">
      <w:startOverride w:val="1"/>
    </w:lvlOverride>
  </w:num>
  <w:num w:numId="13" w16cid:durableId="1091704504">
    <w:abstractNumId w:val="14"/>
    <w:lvlOverride w:ilvl="0">
      <w:startOverride w:val="1"/>
    </w:lvlOverride>
  </w:num>
  <w:num w:numId="14" w16cid:durableId="1309626144">
    <w:abstractNumId w:val="14"/>
    <w:lvlOverride w:ilvl="0">
      <w:startOverride w:val="1"/>
    </w:lvlOverride>
  </w:num>
  <w:num w:numId="15" w16cid:durableId="1652712207">
    <w:abstractNumId w:val="0"/>
  </w:num>
  <w:num w:numId="16" w16cid:durableId="1887646204">
    <w:abstractNumId w:val="24"/>
  </w:num>
  <w:num w:numId="17" w16cid:durableId="1973168429">
    <w:abstractNumId w:val="25"/>
  </w:num>
  <w:num w:numId="18" w16cid:durableId="1787037798">
    <w:abstractNumId w:val="3"/>
  </w:num>
  <w:num w:numId="19" w16cid:durableId="1710648772">
    <w:abstractNumId w:val="32"/>
  </w:num>
  <w:num w:numId="20" w16cid:durableId="458039501">
    <w:abstractNumId w:val="22"/>
  </w:num>
  <w:num w:numId="21" w16cid:durableId="163715022">
    <w:abstractNumId w:val="30"/>
  </w:num>
  <w:num w:numId="22" w16cid:durableId="1733192319">
    <w:abstractNumId w:val="27"/>
  </w:num>
  <w:num w:numId="23" w16cid:durableId="1444500250">
    <w:abstractNumId w:val="23"/>
  </w:num>
  <w:num w:numId="24" w16cid:durableId="1040280660">
    <w:abstractNumId w:val="18"/>
  </w:num>
  <w:num w:numId="25" w16cid:durableId="1742945769">
    <w:abstractNumId w:val="21"/>
  </w:num>
  <w:num w:numId="26" w16cid:durableId="1979803861">
    <w:abstractNumId w:val="8"/>
  </w:num>
  <w:num w:numId="27" w16cid:durableId="331836774">
    <w:abstractNumId w:val="29"/>
  </w:num>
  <w:num w:numId="28" w16cid:durableId="1245989773">
    <w:abstractNumId w:val="14"/>
    <w:lvlOverride w:ilvl="0">
      <w:startOverride w:val="7"/>
    </w:lvlOverride>
  </w:num>
  <w:num w:numId="29" w16cid:durableId="1469664365">
    <w:abstractNumId w:val="14"/>
    <w:lvlOverride w:ilvl="0">
      <w:startOverride w:val="1"/>
    </w:lvlOverride>
  </w:num>
  <w:num w:numId="30" w16cid:durableId="852721158">
    <w:abstractNumId w:val="34"/>
  </w:num>
  <w:num w:numId="31" w16cid:durableId="214707419">
    <w:abstractNumId w:val="14"/>
    <w:lvlOverride w:ilvl="0">
      <w:startOverride w:val="1"/>
    </w:lvlOverride>
  </w:num>
  <w:num w:numId="32" w16cid:durableId="333846536">
    <w:abstractNumId w:val="14"/>
    <w:lvlOverride w:ilvl="0">
      <w:startOverride w:val="1"/>
    </w:lvlOverride>
  </w:num>
  <w:num w:numId="33" w16cid:durableId="1413430097">
    <w:abstractNumId w:val="14"/>
    <w:lvlOverride w:ilvl="0">
      <w:startOverride w:val="1"/>
    </w:lvlOverride>
  </w:num>
  <w:num w:numId="34" w16cid:durableId="1079250764">
    <w:abstractNumId w:val="10"/>
  </w:num>
  <w:num w:numId="35" w16cid:durableId="1567178463">
    <w:abstractNumId w:val="35"/>
  </w:num>
  <w:num w:numId="36" w16cid:durableId="1254242147">
    <w:abstractNumId w:val="14"/>
  </w:num>
  <w:num w:numId="37" w16cid:durableId="82802359">
    <w:abstractNumId w:val="14"/>
  </w:num>
  <w:num w:numId="38" w16cid:durableId="1603420446">
    <w:abstractNumId w:val="7"/>
  </w:num>
  <w:num w:numId="39" w16cid:durableId="686172209">
    <w:abstractNumId w:val="9"/>
  </w:num>
  <w:num w:numId="40" w16cid:durableId="122507075">
    <w:abstractNumId w:val="16"/>
  </w:num>
  <w:num w:numId="41" w16cid:durableId="314842766">
    <w:abstractNumId w:val="17"/>
  </w:num>
  <w:num w:numId="42" w16cid:durableId="1486362873">
    <w:abstractNumId w:val="15"/>
  </w:num>
  <w:num w:numId="43" w16cid:durableId="1995407161">
    <w:abstractNumId w:val="13"/>
  </w:num>
  <w:num w:numId="44" w16cid:durableId="1944725949">
    <w:abstractNumId w:val="5"/>
  </w:num>
  <w:num w:numId="45" w16cid:durableId="1541742747">
    <w:abstractNumId w:val="14"/>
  </w:num>
  <w:num w:numId="46" w16cid:durableId="653028842">
    <w:abstractNumId w:val="14"/>
    <w:lvlOverride w:ilvl="0">
      <w:startOverride w:val="1"/>
    </w:lvlOverride>
  </w:num>
  <w:num w:numId="47" w16cid:durableId="1788427649">
    <w:abstractNumId w:val="14"/>
    <w:lvlOverride w:ilvl="0">
      <w:startOverride w:val="1"/>
    </w:lvlOverride>
  </w:num>
  <w:num w:numId="48" w16cid:durableId="1768579887">
    <w:abstractNumId w:val="14"/>
  </w:num>
  <w:num w:numId="49" w16cid:durableId="857621331">
    <w:abstractNumId w:val="1"/>
    <w:lvlOverride w:ilvl="0">
      <w:startOverride w:val="1"/>
    </w:lvlOverride>
  </w:num>
  <w:num w:numId="50" w16cid:durableId="1870756157">
    <w:abstractNumId w:val="33"/>
  </w:num>
  <w:num w:numId="51" w16cid:durableId="1709336364">
    <w:abstractNumId w:val="2"/>
  </w:num>
  <w:num w:numId="52" w16cid:durableId="639920628">
    <w:abstractNumId w:val="11"/>
  </w:num>
  <w:num w:numId="53" w16cid:durableId="1703556824">
    <w:abstractNumId w:val="14"/>
  </w:num>
  <w:num w:numId="54" w16cid:durableId="2037736205">
    <w:abstractNumId w:val="14"/>
  </w:num>
  <w:num w:numId="55" w16cid:durableId="1842357975">
    <w:abstractNumId w:val="14"/>
  </w:num>
  <w:num w:numId="56" w16cid:durableId="639923140">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E9"/>
    <w:rsid w:val="00000C6C"/>
    <w:rsid w:val="00002177"/>
    <w:rsid w:val="000035DD"/>
    <w:rsid w:val="000037B2"/>
    <w:rsid w:val="00003830"/>
    <w:rsid w:val="00003DB6"/>
    <w:rsid w:val="00005FD0"/>
    <w:rsid w:val="000066A1"/>
    <w:rsid w:val="0000691A"/>
    <w:rsid w:val="000105C4"/>
    <w:rsid w:val="00010CE5"/>
    <w:rsid w:val="00012324"/>
    <w:rsid w:val="0001377E"/>
    <w:rsid w:val="00013A04"/>
    <w:rsid w:val="00015087"/>
    <w:rsid w:val="00015C39"/>
    <w:rsid w:val="00017713"/>
    <w:rsid w:val="0002202B"/>
    <w:rsid w:val="000238B8"/>
    <w:rsid w:val="00025A94"/>
    <w:rsid w:val="000264F2"/>
    <w:rsid w:val="0003214E"/>
    <w:rsid w:val="0003394F"/>
    <w:rsid w:val="00035068"/>
    <w:rsid w:val="00037206"/>
    <w:rsid w:val="00037AA9"/>
    <w:rsid w:val="00037EC2"/>
    <w:rsid w:val="0004165B"/>
    <w:rsid w:val="000419C4"/>
    <w:rsid w:val="00041B60"/>
    <w:rsid w:val="00041B96"/>
    <w:rsid w:val="000433C2"/>
    <w:rsid w:val="00043B1B"/>
    <w:rsid w:val="000448EC"/>
    <w:rsid w:val="000454B6"/>
    <w:rsid w:val="00045B97"/>
    <w:rsid w:val="0004615A"/>
    <w:rsid w:val="000461AC"/>
    <w:rsid w:val="00046EE4"/>
    <w:rsid w:val="00047A51"/>
    <w:rsid w:val="00047EC2"/>
    <w:rsid w:val="0005073E"/>
    <w:rsid w:val="00050C07"/>
    <w:rsid w:val="00050DAD"/>
    <w:rsid w:val="00050EA2"/>
    <w:rsid w:val="000529C1"/>
    <w:rsid w:val="00052A44"/>
    <w:rsid w:val="000545A5"/>
    <w:rsid w:val="00054D7F"/>
    <w:rsid w:val="00054F9E"/>
    <w:rsid w:val="00056524"/>
    <w:rsid w:val="00057262"/>
    <w:rsid w:val="00057850"/>
    <w:rsid w:val="00060462"/>
    <w:rsid w:val="00062296"/>
    <w:rsid w:val="00062560"/>
    <w:rsid w:val="00062663"/>
    <w:rsid w:val="000636D9"/>
    <w:rsid w:val="00064CB4"/>
    <w:rsid w:val="00065350"/>
    <w:rsid w:val="00065B68"/>
    <w:rsid w:val="00065C9C"/>
    <w:rsid w:val="00066820"/>
    <w:rsid w:val="00067A28"/>
    <w:rsid w:val="00070B1B"/>
    <w:rsid w:val="0007230F"/>
    <w:rsid w:val="00072F33"/>
    <w:rsid w:val="0007324E"/>
    <w:rsid w:val="00075048"/>
    <w:rsid w:val="0007532D"/>
    <w:rsid w:val="000767A9"/>
    <w:rsid w:val="000768EC"/>
    <w:rsid w:val="00077334"/>
    <w:rsid w:val="00081BF2"/>
    <w:rsid w:val="0008421F"/>
    <w:rsid w:val="00084739"/>
    <w:rsid w:val="00086823"/>
    <w:rsid w:val="00086FD1"/>
    <w:rsid w:val="00087EE2"/>
    <w:rsid w:val="00090A77"/>
    <w:rsid w:val="00091649"/>
    <w:rsid w:val="000916CF"/>
    <w:rsid w:val="00091FB9"/>
    <w:rsid w:val="00093B34"/>
    <w:rsid w:val="00093E90"/>
    <w:rsid w:val="00095F3D"/>
    <w:rsid w:val="00096E1B"/>
    <w:rsid w:val="000A1267"/>
    <w:rsid w:val="000A1757"/>
    <w:rsid w:val="000A1882"/>
    <w:rsid w:val="000A1DA4"/>
    <w:rsid w:val="000A4532"/>
    <w:rsid w:val="000A4772"/>
    <w:rsid w:val="000A48A7"/>
    <w:rsid w:val="000A5AC2"/>
    <w:rsid w:val="000A60CA"/>
    <w:rsid w:val="000A65C2"/>
    <w:rsid w:val="000A6B22"/>
    <w:rsid w:val="000A70D5"/>
    <w:rsid w:val="000B0900"/>
    <w:rsid w:val="000B1076"/>
    <w:rsid w:val="000B11BC"/>
    <w:rsid w:val="000B1458"/>
    <w:rsid w:val="000B270E"/>
    <w:rsid w:val="000B2BA0"/>
    <w:rsid w:val="000B2CB9"/>
    <w:rsid w:val="000B2F8A"/>
    <w:rsid w:val="000B3406"/>
    <w:rsid w:val="000B3959"/>
    <w:rsid w:val="000B3FDF"/>
    <w:rsid w:val="000B4429"/>
    <w:rsid w:val="000B4AA0"/>
    <w:rsid w:val="000B63F8"/>
    <w:rsid w:val="000B6B9D"/>
    <w:rsid w:val="000C06CA"/>
    <w:rsid w:val="000C0F75"/>
    <w:rsid w:val="000C1792"/>
    <w:rsid w:val="000C1B2C"/>
    <w:rsid w:val="000C302B"/>
    <w:rsid w:val="000C315A"/>
    <w:rsid w:val="000C3593"/>
    <w:rsid w:val="000C3F80"/>
    <w:rsid w:val="000C4A6A"/>
    <w:rsid w:val="000C5514"/>
    <w:rsid w:val="000C6116"/>
    <w:rsid w:val="000C6CFF"/>
    <w:rsid w:val="000C76C8"/>
    <w:rsid w:val="000C7F1A"/>
    <w:rsid w:val="000D039E"/>
    <w:rsid w:val="000D1F66"/>
    <w:rsid w:val="000D2B65"/>
    <w:rsid w:val="000D2F87"/>
    <w:rsid w:val="000D5000"/>
    <w:rsid w:val="000D5C35"/>
    <w:rsid w:val="000D7470"/>
    <w:rsid w:val="000D7609"/>
    <w:rsid w:val="000E1E8F"/>
    <w:rsid w:val="000E2BD7"/>
    <w:rsid w:val="000E3991"/>
    <w:rsid w:val="000E3A01"/>
    <w:rsid w:val="000E4036"/>
    <w:rsid w:val="000E4DA3"/>
    <w:rsid w:val="000E529A"/>
    <w:rsid w:val="000F0453"/>
    <w:rsid w:val="000F0582"/>
    <w:rsid w:val="000F07D9"/>
    <w:rsid w:val="000F124A"/>
    <w:rsid w:val="000F1A48"/>
    <w:rsid w:val="000F21C0"/>
    <w:rsid w:val="000F34AD"/>
    <w:rsid w:val="000F362E"/>
    <w:rsid w:val="000F4C64"/>
    <w:rsid w:val="000F5292"/>
    <w:rsid w:val="000F5F32"/>
    <w:rsid w:val="000F60C8"/>
    <w:rsid w:val="000F7114"/>
    <w:rsid w:val="000F752C"/>
    <w:rsid w:val="000F7FB6"/>
    <w:rsid w:val="00100A93"/>
    <w:rsid w:val="00102AEC"/>
    <w:rsid w:val="00102E17"/>
    <w:rsid w:val="001032C3"/>
    <w:rsid w:val="001038C4"/>
    <w:rsid w:val="001045CC"/>
    <w:rsid w:val="0010505B"/>
    <w:rsid w:val="0010575D"/>
    <w:rsid w:val="0010735D"/>
    <w:rsid w:val="001079DF"/>
    <w:rsid w:val="00110716"/>
    <w:rsid w:val="00110EFB"/>
    <w:rsid w:val="00110FE6"/>
    <w:rsid w:val="0011146D"/>
    <w:rsid w:val="00112364"/>
    <w:rsid w:val="00112A5A"/>
    <w:rsid w:val="00113390"/>
    <w:rsid w:val="00113C08"/>
    <w:rsid w:val="001176AA"/>
    <w:rsid w:val="001204A6"/>
    <w:rsid w:val="0012147C"/>
    <w:rsid w:val="00122186"/>
    <w:rsid w:val="00123C97"/>
    <w:rsid w:val="00125FC6"/>
    <w:rsid w:val="00127047"/>
    <w:rsid w:val="0012738C"/>
    <w:rsid w:val="001279B5"/>
    <w:rsid w:val="001312A4"/>
    <w:rsid w:val="00132624"/>
    <w:rsid w:val="0013290E"/>
    <w:rsid w:val="00132D00"/>
    <w:rsid w:val="00132F80"/>
    <w:rsid w:val="001337FA"/>
    <w:rsid w:val="001342A8"/>
    <w:rsid w:val="00135B10"/>
    <w:rsid w:val="00135C9A"/>
    <w:rsid w:val="00137F86"/>
    <w:rsid w:val="0014278B"/>
    <w:rsid w:val="0014314F"/>
    <w:rsid w:val="0014382D"/>
    <w:rsid w:val="0014388C"/>
    <w:rsid w:val="00143EB5"/>
    <w:rsid w:val="00144114"/>
    <w:rsid w:val="00146DB0"/>
    <w:rsid w:val="00147E90"/>
    <w:rsid w:val="001508ED"/>
    <w:rsid w:val="00151375"/>
    <w:rsid w:val="001531ED"/>
    <w:rsid w:val="00153382"/>
    <w:rsid w:val="00153EE5"/>
    <w:rsid w:val="00153FEC"/>
    <w:rsid w:val="00154BCE"/>
    <w:rsid w:val="00154DBF"/>
    <w:rsid w:val="00160E36"/>
    <w:rsid w:val="0016105A"/>
    <w:rsid w:val="00161324"/>
    <w:rsid w:val="001616DC"/>
    <w:rsid w:val="0016196C"/>
    <w:rsid w:val="00161F08"/>
    <w:rsid w:val="001620B5"/>
    <w:rsid w:val="00162EFF"/>
    <w:rsid w:val="0016325B"/>
    <w:rsid w:val="00163866"/>
    <w:rsid w:val="001657A8"/>
    <w:rsid w:val="00165F1C"/>
    <w:rsid w:val="001661D9"/>
    <w:rsid w:val="00166658"/>
    <w:rsid w:val="001725D5"/>
    <w:rsid w:val="00172849"/>
    <w:rsid w:val="00172C3C"/>
    <w:rsid w:val="00177854"/>
    <w:rsid w:val="00177DBE"/>
    <w:rsid w:val="00177DC9"/>
    <w:rsid w:val="00180F5F"/>
    <w:rsid w:val="00182D8C"/>
    <w:rsid w:val="00183F24"/>
    <w:rsid w:val="001861A5"/>
    <w:rsid w:val="001861C7"/>
    <w:rsid w:val="001876CC"/>
    <w:rsid w:val="00190724"/>
    <w:rsid w:val="00190B62"/>
    <w:rsid w:val="00191B76"/>
    <w:rsid w:val="00191D44"/>
    <w:rsid w:val="00192365"/>
    <w:rsid w:val="00194416"/>
    <w:rsid w:val="001945F4"/>
    <w:rsid w:val="001959D9"/>
    <w:rsid w:val="00196A14"/>
    <w:rsid w:val="00197BD9"/>
    <w:rsid w:val="001A0664"/>
    <w:rsid w:val="001A0A60"/>
    <w:rsid w:val="001A1047"/>
    <w:rsid w:val="001A119B"/>
    <w:rsid w:val="001A1A7C"/>
    <w:rsid w:val="001A1CF1"/>
    <w:rsid w:val="001A2B4A"/>
    <w:rsid w:val="001A3D0C"/>
    <w:rsid w:val="001A5905"/>
    <w:rsid w:val="001A5CF4"/>
    <w:rsid w:val="001A60A2"/>
    <w:rsid w:val="001A7248"/>
    <w:rsid w:val="001B3F53"/>
    <w:rsid w:val="001B585A"/>
    <w:rsid w:val="001B587C"/>
    <w:rsid w:val="001B639A"/>
    <w:rsid w:val="001B6921"/>
    <w:rsid w:val="001B6EEC"/>
    <w:rsid w:val="001C00A5"/>
    <w:rsid w:val="001C0193"/>
    <w:rsid w:val="001C4066"/>
    <w:rsid w:val="001C44AA"/>
    <w:rsid w:val="001C4946"/>
    <w:rsid w:val="001C5CB4"/>
    <w:rsid w:val="001D07ED"/>
    <w:rsid w:val="001D31DE"/>
    <w:rsid w:val="001D4E03"/>
    <w:rsid w:val="001E01B1"/>
    <w:rsid w:val="001E0F03"/>
    <w:rsid w:val="001E1F58"/>
    <w:rsid w:val="001E2F7A"/>
    <w:rsid w:val="001E376F"/>
    <w:rsid w:val="001E43D4"/>
    <w:rsid w:val="001E45C0"/>
    <w:rsid w:val="001E54E6"/>
    <w:rsid w:val="001E5D64"/>
    <w:rsid w:val="001E6526"/>
    <w:rsid w:val="001F0F65"/>
    <w:rsid w:val="001F106E"/>
    <w:rsid w:val="001F14A8"/>
    <w:rsid w:val="001F2BCB"/>
    <w:rsid w:val="001F51E8"/>
    <w:rsid w:val="001F69AE"/>
    <w:rsid w:val="001F6AEC"/>
    <w:rsid w:val="001F6B10"/>
    <w:rsid w:val="001F6D6C"/>
    <w:rsid w:val="00200370"/>
    <w:rsid w:val="00200976"/>
    <w:rsid w:val="00200E22"/>
    <w:rsid w:val="00201A42"/>
    <w:rsid w:val="0020225C"/>
    <w:rsid w:val="00202C8E"/>
    <w:rsid w:val="002035A7"/>
    <w:rsid w:val="00203F4B"/>
    <w:rsid w:val="00204DC8"/>
    <w:rsid w:val="00205C71"/>
    <w:rsid w:val="00206F18"/>
    <w:rsid w:val="002072E4"/>
    <w:rsid w:val="00207A39"/>
    <w:rsid w:val="00210CF3"/>
    <w:rsid w:val="00212375"/>
    <w:rsid w:val="002137D9"/>
    <w:rsid w:val="002154AE"/>
    <w:rsid w:val="00216578"/>
    <w:rsid w:val="002218EE"/>
    <w:rsid w:val="00221CD7"/>
    <w:rsid w:val="00223AF1"/>
    <w:rsid w:val="00224BE9"/>
    <w:rsid w:val="00224E0B"/>
    <w:rsid w:val="002254D0"/>
    <w:rsid w:val="002254FA"/>
    <w:rsid w:val="0022556F"/>
    <w:rsid w:val="002271B2"/>
    <w:rsid w:val="002272DC"/>
    <w:rsid w:val="0023019B"/>
    <w:rsid w:val="00230208"/>
    <w:rsid w:val="00230549"/>
    <w:rsid w:val="002308F6"/>
    <w:rsid w:val="002327B2"/>
    <w:rsid w:val="00233BBD"/>
    <w:rsid w:val="00235034"/>
    <w:rsid w:val="0023596B"/>
    <w:rsid w:val="00235CFF"/>
    <w:rsid w:val="0023637F"/>
    <w:rsid w:val="00236650"/>
    <w:rsid w:val="0023706C"/>
    <w:rsid w:val="00237327"/>
    <w:rsid w:val="002406DB"/>
    <w:rsid w:val="00241AA5"/>
    <w:rsid w:val="00241B89"/>
    <w:rsid w:val="002423D2"/>
    <w:rsid w:val="00244EA3"/>
    <w:rsid w:val="00245D37"/>
    <w:rsid w:val="002464E2"/>
    <w:rsid w:val="00246837"/>
    <w:rsid w:val="00247052"/>
    <w:rsid w:val="00247D00"/>
    <w:rsid w:val="00247EEB"/>
    <w:rsid w:val="00253DD2"/>
    <w:rsid w:val="0025420F"/>
    <w:rsid w:val="00254CB8"/>
    <w:rsid w:val="002563EB"/>
    <w:rsid w:val="00256B9C"/>
    <w:rsid w:val="00257F2A"/>
    <w:rsid w:val="002606FF"/>
    <w:rsid w:val="00260F34"/>
    <w:rsid w:val="00262E62"/>
    <w:rsid w:val="00263064"/>
    <w:rsid w:val="002648B7"/>
    <w:rsid w:val="002656DA"/>
    <w:rsid w:val="00270185"/>
    <w:rsid w:val="00270242"/>
    <w:rsid w:val="002711AC"/>
    <w:rsid w:val="00271637"/>
    <w:rsid w:val="00272F56"/>
    <w:rsid w:val="0027358D"/>
    <w:rsid w:val="00277366"/>
    <w:rsid w:val="00277FB3"/>
    <w:rsid w:val="0028016E"/>
    <w:rsid w:val="0028061C"/>
    <w:rsid w:val="00280B68"/>
    <w:rsid w:val="002811C8"/>
    <w:rsid w:val="002814DB"/>
    <w:rsid w:val="002820E3"/>
    <w:rsid w:val="0028257F"/>
    <w:rsid w:val="0028294D"/>
    <w:rsid w:val="00282C7C"/>
    <w:rsid w:val="00283D47"/>
    <w:rsid w:val="0028440F"/>
    <w:rsid w:val="002859E8"/>
    <w:rsid w:val="00285C02"/>
    <w:rsid w:val="002906F4"/>
    <w:rsid w:val="00290D54"/>
    <w:rsid w:val="00291514"/>
    <w:rsid w:val="00291BF4"/>
    <w:rsid w:val="002926E5"/>
    <w:rsid w:val="00292B18"/>
    <w:rsid w:val="00292C2D"/>
    <w:rsid w:val="00297690"/>
    <w:rsid w:val="002A000B"/>
    <w:rsid w:val="002A04F3"/>
    <w:rsid w:val="002A378D"/>
    <w:rsid w:val="002A6D07"/>
    <w:rsid w:val="002A76D3"/>
    <w:rsid w:val="002A77BD"/>
    <w:rsid w:val="002B178D"/>
    <w:rsid w:val="002B1B25"/>
    <w:rsid w:val="002B2F68"/>
    <w:rsid w:val="002B3209"/>
    <w:rsid w:val="002B38C1"/>
    <w:rsid w:val="002B4E8A"/>
    <w:rsid w:val="002B7798"/>
    <w:rsid w:val="002C0E3A"/>
    <w:rsid w:val="002C30BC"/>
    <w:rsid w:val="002C55B8"/>
    <w:rsid w:val="002C6F0C"/>
    <w:rsid w:val="002D49AC"/>
    <w:rsid w:val="002D6DBE"/>
    <w:rsid w:val="002D7323"/>
    <w:rsid w:val="002D766F"/>
    <w:rsid w:val="002E099A"/>
    <w:rsid w:val="002E248C"/>
    <w:rsid w:val="002E2D20"/>
    <w:rsid w:val="002E30C6"/>
    <w:rsid w:val="002E41FD"/>
    <w:rsid w:val="002E4386"/>
    <w:rsid w:val="002E5333"/>
    <w:rsid w:val="002E55EF"/>
    <w:rsid w:val="002E6229"/>
    <w:rsid w:val="002E6667"/>
    <w:rsid w:val="002E66A7"/>
    <w:rsid w:val="002F039B"/>
    <w:rsid w:val="002F0E10"/>
    <w:rsid w:val="002F2275"/>
    <w:rsid w:val="002F2B98"/>
    <w:rsid w:val="002F2C3D"/>
    <w:rsid w:val="002F2CA8"/>
    <w:rsid w:val="002F3250"/>
    <w:rsid w:val="002F504E"/>
    <w:rsid w:val="002F66AE"/>
    <w:rsid w:val="002F6945"/>
    <w:rsid w:val="00301D92"/>
    <w:rsid w:val="00304B4C"/>
    <w:rsid w:val="003057F1"/>
    <w:rsid w:val="003058F8"/>
    <w:rsid w:val="0030624B"/>
    <w:rsid w:val="00306376"/>
    <w:rsid w:val="00307FCD"/>
    <w:rsid w:val="003106C7"/>
    <w:rsid w:val="00311ADE"/>
    <w:rsid w:val="0031421F"/>
    <w:rsid w:val="00314240"/>
    <w:rsid w:val="0031598F"/>
    <w:rsid w:val="00315CF9"/>
    <w:rsid w:val="00316E12"/>
    <w:rsid w:val="003207DB"/>
    <w:rsid w:val="00321999"/>
    <w:rsid w:val="00322369"/>
    <w:rsid w:val="00326803"/>
    <w:rsid w:val="00326A56"/>
    <w:rsid w:val="00330FF3"/>
    <w:rsid w:val="00332AAA"/>
    <w:rsid w:val="003345F2"/>
    <w:rsid w:val="003347DC"/>
    <w:rsid w:val="003348FD"/>
    <w:rsid w:val="003349C3"/>
    <w:rsid w:val="00334F40"/>
    <w:rsid w:val="00335AA2"/>
    <w:rsid w:val="00335C0B"/>
    <w:rsid w:val="00337349"/>
    <w:rsid w:val="00341F4C"/>
    <w:rsid w:val="003421D8"/>
    <w:rsid w:val="00342DE8"/>
    <w:rsid w:val="003432FD"/>
    <w:rsid w:val="00350322"/>
    <w:rsid w:val="0035107B"/>
    <w:rsid w:val="00351E83"/>
    <w:rsid w:val="003525BB"/>
    <w:rsid w:val="00353C24"/>
    <w:rsid w:val="00355D7D"/>
    <w:rsid w:val="00360E2A"/>
    <w:rsid w:val="00362B08"/>
    <w:rsid w:val="0036306C"/>
    <w:rsid w:val="00363BD8"/>
    <w:rsid w:val="00363D12"/>
    <w:rsid w:val="00365B05"/>
    <w:rsid w:val="00370915"/>
    <w:rsid w:val="00370F07"/>
    <w:rsid w:val="00374373"/>
    <w:rsid w:val="0037466B"/>
    <w:rsid w:val="00374F05"/>
    <w:rsid w:val="00376125"/>
    <w:rsid w:val="003774D3"/>
    <w:rsid w:val="00381A34"/>
    <w:rsid w:val="0038311B"/>
    <w:rsid w:val="003839F8"/>
    <w:rsid w:val="00386CA4"/>
    <w:rsid w:val="00391D50"/>
    <w:rsid w:val="00391E07"/>
    <w:rsid w:val="00391E30"/>
    <w:rsid w:val="00392F16"/>
    <w:rsid w:val="00392F32"/>
    <w:rsid w:val="00393887"/>
    <w:rsid w:val="00394384"/>
    <w:rsid w:val="00394616"/>
    <w:rsid w:val="0039523B"/>
    <w:rsid w:val="00396187"/>
    <w:rsid w:val="00396933"/>
    <w:rsid w:val="003972DA"/>
    <w:rsid w:val="003975EC"/>
    <w:rsid w:val="003A0580"/>
    <w:rsid w:val="003A08A3"/>
    <w:rsid w:val="003A0E0B"/>
    <w:rsid w:val="003A1059"/>
    <w:rsid w:val="003A18D6"/>
    <w:rsid w:val="003A223D"/>
    <w:rsid w:val="003A26DF"/>
    <w:rsid w:val="003A44D0"/>
    <w:rsid w:val="003A4FFB"/>
    <w:rsid w:val="003A60FE"/>
    <w:rsid w:val="003A650B"/>
    <w:rsid w:val="003A70A6"/>
    <w:rsid w:val="003B1C7D"/>
    <w:rsid w:val="003B2547"/>
    <w:rsid w:val="003B2688"/>
    <w:rsid w:val="003B2D00"/>
    <w:rsid w:val="003B37A9"/>
    <w:rsid w:val="003B5D52"/>
    <w:rsid w:val="003B688B"/>
    <w:rsid w:val="003B723A"/>
    <w:rsid w:val="003B7ACC"/>
    <w:rsid w:val="003C0A6D"/>
    <w:rsid w:val="003C20A9"/>
    <w:rsid w:val="003C2A9B"/>
    <w:rsid w:val="003C378C"/>
    <w:rsid w:val="003C7E09"/>
    <w:rsid w:val="003D2A5F"/>
    <w:rsid w:val="003D3062"/>
    <w:rsid w:val="003D3B8F"/>
    <w:rsid w:val="003D3D3D"/>
    <w:rsid w:val="003D3E3D"/>
    <w:rsid w:val="003D44B3"/>
    <w:rsid w:val="003D4A4D"/>
    <w:rsid w:val="003D4D58"/>
    <w:rsid w:val="003D531B"/>
    <w:rsid w:val="003D57EE"/>
    <w:rsid w:val="003D581D"/>
    <w:rsid w:val="003D6C04"/>
    <w:rsid w:val="003D73A8"/>
    <w:rsid w:val="003D75B4"/>
    <w:rsid w:val="003D75DD"/>
    <w:rsid w:val="003D7EC0"/>
    <w:rsid w:val="003E06DA"/>
    <w:rsid w:val="003E0883"/>
    <w:rsid w:val="003E1D74"/>
    <w:rsid w:val="003E20FC"/>
    <w:rsid w:val="003E26A9"/>
    <w:rsid w:val="003E33C9"/>
    <w:rsid w:val="003E3932"/>
    <w:rsid w:val="003E3F89"/>
    <w:rsid w:val="003E4207"/>
    <w:rsid w:val="003E4D3D"/>
    <w:rsid w:val="003E708E"/>
    <w:rsid w:val="003E75C3"/>
    <w:rsid w:val="003E7837"/>
    <w:rsid w:val="003F0174"/>
    <w:rsid w:val="003F1E42"/>
    <w:rsid w:val="003F2B4C"/>
    <w:rsid w:val="003F3EF5"/>
    <w:rsid w:val="003F469C"/>
    <w:rsid w:val="003F56E2"/>
    <w:rsid w:val="003F575F"/>
    <w:rsid w:val="003F5C9F"/>
    <w:rsid w:val="003F7F6B"/>
    <w:rsid w:val="0040092A"/>
    <w:rsid w:val="00402118"/>
    <w:rsid w:val="004026BA"/>
    <w:rsid w:val="0040338B"/>
    <w:rsid w:val="00403CAC"/>
    <w:rsid w:val="0040413C"/>
    <w:rsid w:val="0040444D"/>
    <w:rsid w:val="00405350"/>
    <w:rsid w:val="00405628"/>
    <w:rsid w:val="00405D06"/>
    <w:rsid w:val="004072D4"/>
    <w:rsid w:val="0040798A"/>
    <w:rsid w:val="00410345"/>
    <w:rsid w:val="00410AED"/>
    <w:rsid w:val="0041168F"/>
    <w:rsid w:val="00412962"/>
    <w:rsid w:val="00414081"/>
    <w:rsid w:val="00416C56"/>
    <w:rsid w:val="004177CC"/>
    <w:rsid w:val="00420676"/>
    <w:rsid w:val="004217E0"/>
    <w:rsid w:val="00422652"/>
    <w:rsid w:val="0042279A"/>
    <w:rsid w:val="004229B2"/>
    <w:rsid w:val="00423B5F"/>
    <w:rsid w:val="00423F95"/>
    <w:rsid w:val="00425A64"/>
    <w:rsid w:val="004264AD"/>
    <w:rsid w:val="00430E1B"/>
    <w:rsid w:val="004313F4"/>
    <w:rsid w:val="004324C4"/>
    <w:rsid w:val="0043253B"/>
    <w:rsid w:val="00432C1A"/>
    <w:rsid w:val="0043349C"/>
    <w:rsid w:val="00433576"/>
    <w:rsid w:val="0043519E"/>
    <w:rsid w:val="00435498"/>
    <w:rsid w:val="00435B53"/>
    <w:rsid w:val="00437F9D"/>
    <w:rsid w:val="0044063E"/>
    <w:rsid w:val="00442012"/>
    <w:rsid w:val="0044259E"/>
    <w:rsid w:val="004429DC"/>
    <w:rsid w:val="0044365C"/>
    <w:rsid w:val="00444D43"/>
    <w:rsid w:val="00445B30"/>
    <w:rsid w:val="00445E68"/>
    <w:rsid w:val="00447485"/>
    <w:rsid w:val="004501BD"/>
    <w:rsid w:val="00450388"/>
    <w:rsid w:val="004509E6"/>
    <w:rsid w:val="00451CEE"/>
    <w:rsid w:val="00452D3D"/>
    <w:rsid w:val="0045313E"/>
    <w:rsid w:val="00453EF8"/>
    <w:rsid w:val="00455080"/>
    <w:rsid w:val="00455D69"/>
    <w:rsid w:val="00456387"/>
    <w:rsid w:val="0046190B"/>
    <w:rsid w:val="0046213E"/>
    <w:rsid w:val="0046233F"/>
    <w:rsid w:val="0046244E"/>
    <w:rsid w:val="00462CE6"/>
    <w:rsid w:val="004656BF"/>
    <w:rsid w:val="00465E99"/>
    <w:rsid w:val="00465F21"/>
    <w:rsid w:val="00467630"/>
    <w:rsid w:val="00467AC6"/>
    <w:rsid w:val="00467F2F"/>
    <w:rsid w:val="00470733"/>
    <w:rsid w:val="00471144"/>
    <w:rsid w:val="004728B8"/>
    <w:rsid w:val="00472A06"/>
    <w:rsid w:val="0047379D"/>
    <w:rsid w:val="0047410A"/>
    <w:rsid w:val="0047467D"/>
    <w:rsid w:val="00474CCB"/>
    <w:rsid w:val="00474F0F"/>
    <w:rsid w:val="0047558C"/>
    <w:rsid w:val="004765C3"/>
    <w:rsid w:val="00476682"/>
    <w:rsid w:val="00477969"/>
    <w:rsid w:val="00477A58"/>
    <w:rsid w:val="00477E6B"/>
    <w:rsid w:val="00480E45"/>
    <w:rsid w:val="00481432"/>
    <w:rsid w:val="00482409"/>
    <w:rsid w:val="00482FD4"/>
    <w:rsid w:val="00483ACB"/>
    <w:rsid w:val="00483F90"/>
    <w:rsid w:val="00484D71"/>
    <w:rsid w:val="00486A1C"/>
    <w:rsid w:val="00487D7A"/>
    <w:rsid w:val="004907E6"/>
    <w:rsid w:val="00491286"/>
    <w:rsid w:val="00491779"/>
    <w:rsid w:val="00491ED7"/>
    <w:rsid w:val="0049214D"/>
    <w:rsid w:val="00492AD2"/>
    <w:rsid w:val="00493852"/>
    <w:rsid w:val="00493B0B"/>
    <w:rsid w:val="00497CFE"/>
    <w:rsid w:val="004A18D3"/>
    <w:rsid w:val="004A21CF"/>
    <w:rsid w:val="004A4001"/>
    <w:rsid w:val="004A52E3"/>
    <w:rsid w:val="004A5C2C"/>
    <w:rsid w:val="004A6865"/>
    <w:rsid w:val="004A689E"/>
    <w:rsid w:val="004A6CFF"/>
    <w:rsid w:val="004B0508"/>
    <w:rsid w:val="004B0E06"/>
    <w:rsid w:val="004B1D1A"/>
    <w:rsid w:val="004B2834"/>
    <w:rsid w:val="004B2CDE"/>
    <w:rsid w:val="004B31AF"/>
    <w:rsid w:val="004B4346"/>
    <w:rsid w:val="004B4FB5"/>
    <w:rsid w:val="004B5800"/>
    <w:rsid w:val="004B5855"/>
    <w:rsid w:val="004B6747"/>
    <w:rsid w:val="004B6EE2"/>
    <w:rsid w:val="004C04CC"/>
    <w:rsid w:val="004C143D"/>
    <w:rsid w:val="004C23B3"/>
    <w:rsid w:val="004C335D"/>
    <w:rsid w:val="004C35A8"/>
    <w:rsid w:val="004C43B6"/>
    <w:rsid w:val="004C4FB0"/>
    <w:rsid w:val="004C55F4"/>
    <w:rsid w:val="004C56C0"/>
    <w:rsid w:val="004C5783"/>
    <w:rsid w:val="004C5888"/>
    <w:rsid w:val="004C6379"/>
    <w:rsid w:val="004C6D7B"/>
    <w:rsid w:val="004C72E7"/>
    <w:rsid w:val="004C7989"/>
    <w:rsid w:val="004D0664"/>
    <w:rsid w:val="004D15D9"/>
    <w:rsid w:val="004D18B2"/>
    <w:rsid w:val="004D1D2E"/>
    <w:rsid w:val="004D6060"/>
    <w:rsid w:val="004D6923"/>
    <w:rsid w:val="004D6B94"/>
    <w:rsid w:val="004D7B24"/>
    <w:rsid w:val="004D7FD8"/>
    <w:rsid w:val="004E02B0"/>
    <w:rsid w:val="004E04B8"/>
    <w:rsid w:val="004E0E19"/>
    <w:rsid w:val="004E1374"/>
    <w:rsid w:val="004E3879"/>
    <w:rsid w:val="004E38F7"/>
    <w:rsid w:val="004E46C3"/>
    <w:rsid w:val="004E487C"/>
    <w:rsid w:val="004E4F7D"/>
    <w:rsid w:val="004E59B6"/>
    <w:rsid w:val="004E62B0"/>
    <w:rsid w:val="004E6C1F"/>
    <w:rsid w:val="004E7924"/>
    <w:rsid w:val="004F06F6"/>
    <w:rsid w:val="004F2B56"/>
    <w:rsid w:val="004F5F86"/>
    <w:rsid w:val="004F6113"/>
    <w:rsid w:val="004F7BD6"/>
    <w:rsid w:val="005007F9"/>
    <w:rsid w:val="00500A53"/>
    <w:rsid w:val="00502C9D"/>
    <w:rsid w:val="00502E50"/>
    <w:rsid w:val="00503D2E"/>
    <w:rsid w:val="00503EDE"/>
    <w:rsid w:val="005045FE"/>
    <w:rsid w:val="00505A63"/>
    <w:rsid w:val="00510AA2"/>
    <w:rsid w:val="00510FF3"/>
    <w:rsid w:val="00511650"/>
    <w:rsid w:val="00512067"/>
    <w:rsid w:val="005127FE"/>
    <w:rsid w:val="00513F33"/>
    <w:rsid w:val="00514C0B"/>
    <w:rsid w:val="00515695"/>
    <w:rsid w:val="00515A3B"/>
    <w:rsid w:val="00515AA8"/>
    <w:rsid w:val="005161A1"/>
    <w:rsid w:val="00516280"/>
    <w:rsid w:val="00516521"/>
    <w:rsid w:val="0052014D"/>
    <w:rsid w:val="005210A0"/>
    <w:rsid w:val="005233AE"/>
    <w:rsid w:val="00523570"/>
    <w:rsid w:val="005243C2"/>
    <w:rsid w:val="00525F7C"/>
    <w:rsid w:val="00526A5C"/>
    <w:rsid w:val="00526EC8"/>
    <w:rsid w:val="005271EF"/>
    <w:rsid w:val="005304C9"/>
    <w:rsid w:val="005304CF"/>
    <w:rsid w:val="00530544"/>
    <w:rsid w:val="00530808"/>
    <w:rsid w:val="0053135F"/>
    <w:rsid w:val="00531C87"/>
    <w:rsid w:val="00533027"/>
    <w:rsid w:val="005336D1"/>
    <w:rsid w:val="00533C57"/>
    <w:rsid w:val="0053400D"/>
    <w:rsid w:val="00534806"/>
    <w:rsid w:val="0053546B"/>
    <w:rsid w:val="005356AB"/>
    <w:rsid w:val="005373B5"/>
    <w:rsid w:val="005419C5"/>
    <w:rsid w:val="0054221B"/>
    <w:rsid w:val="005435FB"/>
    <w:rsid w:val="0054369D"/>
    <w:rsid w:val="005440F5"/>
    <w:rsid w:val="00545108"/>
    <w:rsid w:val="00546088"/>
    <w:rsid w:val="005469D9"/>
    <w:rsid w:val="00546BA5"/>
    <w:rsid w:val="00546C80"/>
    <w:rsid w:val="00547BD4"/>
    <w:rsid w:val="00550C6D"/>
    <w:rsid w:val="00552C89"/>
    <w:rsid w:val="00552FAC"/>
    <w:rsid w:val="00553C3F"/>
    <w:rsid w:val="005543B2"/>
    <w:rsid w:val="00554552"/>
    <w:rsid w:val="005545B6"/>
    <w:rsid w:val="00554E32"/>
    <w:rsid w:val="00554F54"/>
    <w:rsid w:val="00555F19"/>
    <w:rsid w:val="00560ACA"/>
    <w:rsid w:val="00560D11"/>
    <w:rsid w:val="00561FD5"/>
    <w:rsid w:val="005628A9"/>
    <w:rsid w:val="00562DCD"/>
    <w:rsid w:val="00562DE7"/>
    <w:rsid w:val="00562FDB"/>
    <w:rsid w:val="005702C0"/>
    <w:rsid w:val="005709E6"/>
    <w:rsid w:val="00570FD8"/>
    <w:rsid w:val="005722DA"/>
    <w:rsid w:val="00573AEB"/>
    <w:rsid w:val="00574988"/>
    <w:rsid w:val="005750C1"/>
    <w:rsid w:val="00575A40"/>
    <w:rsid w:val="005762AB"/>
    <w:rsid w:val="0057681F"/>
    <w:rsid w:val="00576C2E"/>
    <w:rsid w:val="00576F39"/>
    <w:rsid w:val="0057728A"/>
    <w:rsid w:val="00577529"/>
    <w:rsid w:val="005800FF"/>
    <w:rsid w:val="0058028B"/>
    <w:rsid w:val="005802F4"/>
    <w:rsid w:val="00580DE5"/>
    <w:rsid w:val="00581601"/>
    <w:rsid w:val="00582E13"/>
    <w:rsid w:val="00582E97"/>
    <w:rsid w:val="005830BB"/>
    <w:rsid w:val="005835CD"/>
    <w:rsid w:val="00584081"/>
    <w:rsid w:val="005847D2"/>
    <w:rsid w:val="00586D22"/>
    <w:rsid w:val="00587359"/>
    <w:rsid w:val="005877B5"/>
    <w:rsid w:val="00587B1F"/>
    <w:rsid w:val="00587CCF"/>
    <w:rsid w:val="00590A21"/>
    <w:rsid w:val="00590A97"/>
    <w:rsid w:val="00593A8E"/>
    <w:rsid w:val="00593EE7"/>
    <w:rsid w:val="0059449A"/>
    <w:rsid w:val="0059478C"/>
    <w:rsid w:val="00595A3E"/>
    <w:rsid w:val="00596B63"/>
    <w:rsid w:val="00597160"/>
    <w:rsid w:val="005A0465"/>
    <w:rsid w:val="005A19BD"/>
    <w:rsid w:val="005A1FD2"/>
    <w:rsid w:val="005A41E7"/>
    <w:rsid w:val="005A4490"/>
    <w:rsid w:val="005A47AD"/>
    <w:rsid w:val="005A6DC9"/>
    <w:rsid w:val="005A79E9"/>
    <w:rsid w:val="005A7E6F"/>
    <w:rsid w:val="005B1459"/>
    <w:rsid w:val="005B165A"/>
    <w:rsid w:val="005B1882"/>
    <w:rsid w:val="005B38E8"/>
    <w:rsid w:val="005B428B"/>
    <w:rsid w:val="005B48C2"/>
    <w:rsid w:val="005B4D3F"/>
    <w:rsid w:val="005B61C5"/>
    <w:rsid w:val="005B6512"/>
    <w:rsid w:val="005C3323"/>
    <w:rsid w:val="005C49AD"/>
    <w:rsid w:val="005C523A"/>
    <w:rsid w:val="005C5B63"/>
    <w:rsid w:val="005C5DD4"/>
    <w:rsid w:val="005C6BC0"/>
    <w:rsid w:val="005C71B9"/>
    <w:rsid w:val="005C7F97"/>
    <w:rsid w:val="005D17B8"/>
    <w:rsid w:val="005D1A6D"/>
    <w:rsid w:val="005D1B20"/>
    <w:rsid w:val="005D1BCB"/>
    <w:rsid w:val="005D3379"/>
    <w:rsid w:val="005D390A"/>
    <w:rsid w:val="005D3EC6"/>
    <w:rsid w:val="005D54AE"/>
    <w:rsid w:val="005E1465"/>
    <w:rsid w:val="005E1B48"/>
    <w:rsid w:val="005E1E17"/>
    <w:rsid w:val="005E2155"/>
    <w:rsid w:val="005E22A5"/>
    <w:rsid w:val="005E237D"/>
    <w:rsid w:val="005E2F4B"/>
    <w:rsid w:val="005E3FA7"/>
    <w:rsid w:val="005E4117"/>
    <w:rsid w:val="005E74BC"/>
    <w:rsid w:val="005F09EB"/>
    <w:rsid w:val="005F1644"/>
    <w:rsid w:val="005F1711"/>
    <w:rsid w:val="005F17FB"/>
    <w:rsid w:val="005F2E12"/>
    <w:rsid w:val="005F46BA"/>
    <w:rsid w:val="005F6F76"/>
    <w:rsid w:val="006003DB"/>
    <w:rsid w:val="00601696"/>
    <w:rsid w:val="00601931"/>
    <w:rsid w:val="00604FD7"/>
    <w:rsid w:val="006051E2"/>
    <w:rsid w:val="006055E9"/>
    <w:rsid w:val="00605EFF"/>
    <w:rsid w:val="00606099"/>
    <w:rsid w:val="006060CE"/>
    <w:rsid w:val="0060616D"/>
    <w:rsid w:val="00610D49"/>
    <w:rsid w:val="006114EB"/>
    <w:rsid w:val="00611907"/>
    <w:rsid w:val="0061199E"/>
    <w:rsid w:val="006120E3"/>
    <w:rsid w:val="00612242"/>
    <w:rsid w:val="0061281D"/>
    <w:rsid w:val="006130B9"/>
    <w:rsid w:val="00613F6B"/>
    <w:rsid w:val="00614E9B"/>
    <w:rsid w:val="00615254"/>
    <w:rsid w:val="006156C2"/>
    <w:rsid w:val="00615EC1"/>
    <w:rsid w:val="006162C6"/>
    <w:rsid w:val="0062039E"/>
    <w:rsid w:val="00622571"/>
    <w:rsid w:val="00622617"/>
    <w:rsid w:val="00623450"/>
    <w:rsid w:val="006236F3"/>
    <w:rsid w:val="0062425A"/>
    <w:rsid w:val="006255BF"/>
    <w:rsid w:val="00625884"/>
    <w:rsid w:val="00627122"/>
    <w:rsid w:val="00627855"/>
    <w:rsid w:val="0062799C"/>
    <w:rsid w:val="00627BDB"/>
    <w:rsid w:val="00630EA8"/>
    <w:rsid w:val="006341FA"/>
    <w:rsid w:val="00634F08"/>
    <w:rsid w:val="006354AA"/>
    <w:rsid w:val="00636827"/>
    <w:rsid w:val="006378A8"/>
    <w:rsid w:val="0063798F"/>
    <w:rsid w:val="00637A22"/>
    <w:rsid w:val="00637C0E"/>
    <w:rsid w:val="00637C33"/>
    <w:rsid w:val="00640C51"/>
    <w:rsid w:val="00641294"/>
    <w:rsid w:val="00641E14"/>
    <w:rsid w:val="00643632"/>
    <w:rsid w:val="00644DA4"/>
    <w:rsid w:val="00644E2D"/>
    <w:rsid w:val="00646596"/>
    <w:rsid w:val="00647C09"/>
    <w:rsid w:val="0065025B"/>
    <w:rsid w:val="006516FD"/>
    <w:rsid w:val="00651D18"/>
    <w:rsid w:val="00651E88"/>
    <w:rsid w:val="00654A60"/>
    <w:rsid w:val="00654AAE"/>
    <w:rsid w:val="0065557F"/>
    <w:rsid w:val="00656B33"/>
    <w:rsid w:val="0066304C"/>
    <w:rsid w:val="006638D5"/>
    <w:rsid w:val="00663F1F"/>
    <w:rsid w:val="00664696"/>
    <w:rsid w:val="00664A20"/>
    <w:rsid w:val="00666615"/>
    <w:rsid w:val="0066661E"/>
    <w:rsid w:val="006679EE"/>
    <w:rsid w:val="00670A84"/>
    <w:rsid w:val="006736C7"/>
    <w:rsid w:val="00674AF8"/>
    <w:rsid w:val="00674DC4"/>
    <w:rsid w:val="00680540"/>
    <w:rsid w:val="006819E8"/>
    <w:rsid w:val="00683C31"/>
    <w:rsid w:val="00685CCF"/>
    <w:rsid w:val="0068620E"/>
    <w:rsid w:val="00690579"/>
    <w:rsid w:val="0069114E"/>
    <w:rsid w:val="006921F5"/>
    <w:rsid w:val="00692682"/>
    <w:rsid w:val="006944E9"/>
    <w:rsid w:val="00694C2D"/>
    <w:rsid w:val="00694C7B"/>
    <w:rsid w:val="0069666D"/>
    <w:rsid w:val="00697479"/>
    <w:rsid w:val="006979D1"/>
    <w:rsid w:val="00697E38"/>
    <w:rsid w:val="006A0A34"/>
    <w:rsid w:val="006A0E11"/>
    <w:rsid w:val="006A104B"/>
    <w:rsid w:val="006A27E9"/>
    <w:rsid w:val="006A2FD8"/>
    <w:rsid w:val="006A30DC"/>
    <w:rsid w:val="006A36C9"/>
    <w:rsid w:val="006A48D8"/>
    <w:rsid w:val="006A495D"/>
    <w:rsid w:val="006A4E6B"/>
    <w:rsid w:val="006A53B2"/>
    <w:rsid w:val="006A5444"/>
    <w:rsid w:val="006A685B"/>
    <w:rsid w:val="006A6F54"/>
    <w:rsid w:val="006A704B"/>
    <w:rsid w:val="006B1526"/>
    <w:rsid w:val="006B19D7"/>
    <w:rsid w:val="006B46A7"/>
    <w:rsid w:val="006B5250"/>
    <w:rsid w:val="006B5A2B"/>
    <w:rsid w:val="006B6DB3"/>
    <w:rsid w:val="006C026F"/>
    <w:rsid w:val="006C0451"/>
    <w:rsid w:val="006C0600"/>
    <w:rsid w:val="006C1AAE"/>
    <w:rsid w:val="006C32A2"/>
    <w:rsid w:val="006C330A"/>
    <w:rsid w:val="006C35CF"/>
    <w:rsid w:val="006C51AE"/>
    <w:rsid w:val="006D07E3"/>
    <w:rsid w:val="006D17D9"/>
    <w:rsid w:val="006D21FF"/>
    <w:rsid w:val="006D241F"/>
    <w:rsid w:val="006D2764"/>
    <w:rsid w:val="006D2872"/>
    <w:rsid w:val="006D3022"/>
    <w:rsid w:val="006D3892"/>
    <w:rsid w:val="006D40CE"/>
    <w:rsid w:val="006D48E5"/>
    <w:rsid w:val="006D52AE"/>
    <w:rsid w:val="006D73E2"/>
    <w:rsid w:val="006E0252"/>
    <w:rsid w:val="006E1ACB"/>
    <w:rsid w:val="006E1C88"/>
    <w:rsid w:val="006E272E"/>
    <w:rsid w:val="006E59BB"/>
    <w:rsid w:val="006E5CF9"/>
    <w:rsid w:val="006E60E0"/>
    <w:rsid w:val="006E6967"/>
    <w:rsid w:val="006F03D5"/>
    <w:rsid w:val="006F04F6"/>
    <w:rsid w:val="006F1505"/>
    <w:rsid w:val="006F1D7D"/>
    <w:rsid w:val="006F2FFF"/>
    <w:rsid w:val="006F427A"/>
    <w:rsid w:val="006F4B46"/>
    <w:rsid w:val="006F53A3"/>
    <w:rsid w:val="006F58AA"/>
    <w:rsid w:val="006F63CA"/>
    <w:rsid w:val="006F66D6"/>
    <w:rsid w:val="006F75CC"/>
    <w:rsid w:val="006F7967"/>
    <w:rsid w:val="007008F1"/>
    <w:rsid w:val="00703281"/>
    <w:rsid w:val="007034F1"/>
    <w:rsid w:val="00703732"/>
    <w:rsid w:val="00705C43"/>
    <w:rsid w:val="007062D6"/>
    <w:rsid w:val="007063C5"/>
    <w:rsid w:val="007070AC"/>
    <w:rsid w:val="00707740"/>
    <w:rsid w:val="00707AEE"/>
    <w:rsid w:val="007119C3"/>
    <w:rsid w:val="00712CAE"/>
    <w:rsid w:val="00712CD8"/>
    <w:rsid w:val="00715C0B"/>
    <w:rsid w:val="00716702"/>
    <w:rsid w:val="00716E52"/>
    <w:rsid w:val="00717901"/>
    <w:rsid w:val="0072156D"/>
    <w:rsid w:val="0072200D"/>
    <w:rsid w:val="0072262D"/>
    <w:rsid w:val="00722C24"/>
    <w:rsid w:val="00723506"/>
    <w:rsid w:val="007243C0"/>
    <w:rsid w:val="00724A19"/>
    <w:rsid w:val="0072511A"/>
    <w:rsid w:val="0072522E"/>
    <w:rsid w:val="007254A4"/>
    <w:rsid w:val="00725FA8"/>
    <w:rsid w:val="00726452"/>
    <w:rsid w:val="00726CFE"/>
    <w:rsid w:val="00730831"/>
    <w:rsid w:val="0073224D"/>
    <w:rsid w:val="0073365A"/>
    <w:rsid w:val="007337F8"/>
    <w:rsid w:val="00735DFC"/>
    <w:rsid w:val="00736810"/>
    <w:rsid w:val="00740E88"/>
    <w:rsid w:val="00741DAA"/>
    <w:rsid w:val="00742420"/>
    <w:rsid w:val="00744127"/>
    <w:rsid w:val="007451AB"/>
    <w:rsid w:val="0074560C"/>
    <w:rsid w:val="00745A69"/>
    <w:rsid w:val="00745D0A"/>
    <w:rsid w:val="00751051"/>
    <w:rsid w:val="007522BA"/>
    <w:rsid w:val="00752DF5"/>
    <w:rsid w:val="00753965"/>
    <w:rsid w:val="007565C7"/>
    <w:rsid w:val="00756917"/>
    <w:rsid w:val="007608E3"/>
    <w:rsid w:val="007608F1"/>
    <w:rsid w:val="00760C9B"/>
    <w:rsid w:val="00760D1D"/>
    <w:rsid w:val="00761053"/>
    <w:rsid w:val="0076138D"/>
    <w:rsid w:val="00761BBF"/>
    <w:rsid w:val="00763516"/>
    <w:rsid w:val="00763D28"/>
    <w:rsid w:val="00765D83"/>
    <w:rsid w:val="0076609D"/>
    <w:rsid w:val="0076755B"/>
    <w:rsid w:val="00770F96"/>
    <w:rsid w:val="00771517"/>
    <w:rsid w:val="0077165E"/>
    <w:rsid w:val="00772432"/>
    <w:rsid w:val="00772B3A"/>
    <w:rsid w:val="00774A82"/>
    <w:rsid w:val="007751AE"/>
    <w:rsid w:val="007753FB"/>
    <w:rsid w:val="007754FD"/>
    <w:rsid w:val="0077644A"/>
    <w:rsid w:val="00777835"/>
    <w:rsid w:val="00781163"/>
    <w:rsid w:val="007815AB"/>
    <w:rsid w:val="00782585"/>
    <w:rsid w:val="00784FA2"/>
    <w:rsid w:val="007850C0"/>
    <w:rsid w:val="00785FC9"/>
    <w:rsid w:val="00790527"/>
    <w:rsid w:val="00792135"/>
    <w:rsid w:val="0079380D"/>
    <w:rsid w:val="007943F6"/>
    <w:rsid w:val="00794AAE"/>
    <w:rsid w:val="00795485"/>
    <w:rsid w:val="00795A7F"/>
    <w:rsid w:val="00795F8B"/>
    <w:rsid w:val="0079611C"/>
    <w:rsid w:val="0079649A"/>
    <w:rsid w:val="0079761B"/>
    <w:rsid w:val="00797FC3"/>
    <w:rsid w:val="007A11F9"/>
    <w:rsid w:val="007A1963"/>
    <w:rsid w:val="007A20E4"/>
    <w:rsid w:val="007A2176"/>
    <w:rsid w:val="007A2719"/>
    <w:rsid w:val="007A2FAA"/>
    <w:rsid w:val="007A6458"/>
    <w:rsid w:val="007A69D7"/>
    <w:rsid w:val="007A779B"/>
    <w:rsid w:val="007B06FB"/>
    <w:rsid w:val="007B27C8"/>
    <w:rsid w:val="007B27DE"/>
    <w:rsid w:val="007B33AD"/>
    <w:rsid w:val="007B3C46"/>
    <w:rsid w:val="007B3FA4"/>
    <w:rsid w:val="007B4A71"/>
    <w:rsid w:val="007B4AA2"/>
    <w:rsid w:val="007B4FBB"/>
    <w:rsid w:val="007B561C"/>
    <w:rsid w:val="007C0C02"/>
    <w:rsid w:val="007C0E04"/>
    <w:rsid w:val="007C1FEF"/>
    <w:rsid w:val="007C2FC8"/>
    <w:rsid w:val="007C3E95"/>
    <w:rsid w:val="007C5977"/>
    <w:rsid w:val="007C5B4E"/>
    <w:rsid w:val="007C6BB0"/>
    <w:rsid w:val="007C734C"/>
    <w:rsid w:val="007C7874"/>
    <w:rsid w:val="007C7DC2"/>
    <w:rsid w:val="007D0ADF"/>
    <w:rsid w:val="007D2287"/>
    <w:rsid w:val="007D2397"/>
    <w:rsid w:val="007D2E87"/>
    <w:rsid w:val="007D43B5"/>
    <w:rsid w:val="007D731B"/>
    <w:rsid w:val="007E0AD4"/>
    <w:rsid w:val="007E0CFE"/>
    <w:rsid w:val="007E1751"/>
    <w:rsid w:val="007E17BB"/>
    <w:rsid w:val="007E2DEA"/>
    <w:rsid w:val="007E3AA8"/>
    <w:rsid w:val="007E471E"/>
    <w:rsid w:val="007E779D"/>
    <w:rsid w:val="007F0297"/>
    <w:rsid w:val="007F108C"/>
    <w:rsid w:val="007F1864"/>
    <w:rsid w:val="007F3507"/>
    <w:rsid w:val="007F406C"/>
    <w:rsid w:val="007F4070"/>
    <w:rsid w:val="007F5B46"/>
    <w:rsid w:val="007F5FC9"/>
    <w:rsid w:val="007F6720"/>
    <w:rsid w:val="007F6AC0"/>
    <w:rsid w:val="007F6C87"/>
    <w:rsid w:val="007F7152"/>
    <w:rsid w:val="00801148"/>
    <w:rsid w:val="00803E1E"/>
    <w:rsid w:val="008042FD"/>
    <w:rsid w:val="00805CF5"/>
    <w:rsid w:val="0080658C"/>
    <w:rsid w:val="0080703D"/>
    <w:rsid w:val="0080723C"/>
    <w:rsid w:val="00812C3B"/>
    <w:rsid w:val="00812FB2"/>
    <w:rsid w:val="00813AB5"/>
    <w:rsid w:val="008140B2"/>
    <w:rsid w:val="00815885"/>
    <w:rsid w:val="00815895"/>
    <w:rsid w:val="008163B4"/>
    <w:rsid w:val="0081730B"/>
    <w:rsid w:val="00817C5D"/>
    <w:rsid w:val="00820AF0"/>
    <w:rsid w:val="008211F5"/>
    <w:rsid w:val="008223DF"/>
    <w:rsid w:val="008225AA"/>
    <w:rsid w:val="00822CCB"/>
    <w:rsid w:val="00823477"/>
    <w:rsid w:val="00824019"/>
    <w:rsid w:val="00824732"/>
    <w:rsid w:val="00825687"/>
    <w:rsid w:val="00825AFA"/>
    <w:rsid w:val="00826408"/>
    <w:rsid w:val="0083097B"/>
    <w:rsid w:val="00831476"/>
    <w:rsid w:val="008327B6"/>
    <w:rsid w:val="00833282"/>
    <w:rsid w:val="00833C02"/>
    <w:rsid w:val="00833E56"/>
    <w:rsid w:val="00834784"/>
    <w:rsid w:val="00837671"/>
    <w:rsid w:val="0084080B"/>
    <w:rsid w:val="00842B40"/>
    <w:rsid w:val="0084329A"/>
    <w:rsid w:val="0084411A"/>
    <w:rsid w:val="00845CDE"/>
    <w:rsid w:val="00846FA4"/>
    <w:rsid w:val="00847039"/>
    <w:rsid w:val="008512C3"/>
    <w:rsid w:val="008523FD"/>
    <w:rsid w:val="00852423"/>
    <w:rsid w:val="00852CE8"/>
    <w:rsid w:val="00854B93"/>
    <w:rsid w:val="008555D4"/>
    <w:rsid w:val="008564C9"/>
    <w:rsid w:val="00856CA0"/>
    <w:rsid w:val="00857798"/>
    <w:rsid w:val="00857C8A"/>
    <w:rsid w:val="0086079B"/>
    <w:rsid w:val="0086193D"/>
    <w:rsid w:val="008636BC"/>
    <w:rsid w:val="008648DA"/>
    <w:rsid w:val="00864CC8"/>
    <w:rsid w:val="00865D7A"/>
    <w:rsid w:val="00866012"/>
    <w:rsid w:val="00866144"/>
    <w:rsid w:val="00866B0E"/>
    <w:rsid w:val="00866D5C"/>
    <w:rsid w:val="00871394"/>
    <w:rsid w:val="008718C0"/>
    <w:rsid w:val="008721A0"/>
    <w:rsid w:val="00874DD4"/>
    <w:rsid w:val="00875C69"/>
    <w:rsid w:val="00876B16"/>
    <w:rsid w:val="008771EF"/>
    <w:rsid w:val="008801FA"/>
    <w:rsid w:val="0088198C"/>
    <w:rsid w:val="00881A97"/>
    <w:rsid w:val="00881EB1"/>
    <w:rsid w:val="008830DB"/>
    <w:rsid w:val="00883D27"/>
    <w:rsid w:val="00884565"/>
    <w:rsid w:val="00885F8E"/>
    <w:rsid w:val="00887678"/>
    <w:rsid w:val="00887859"/>
    <w:rsid w:val="00887B56"/>
    <w:rsid w:val="00890875"/>
    <w:rsid w:val="00890E13"/>
    <w:rsid w:val="00891750"/>
    <w:rsid w:val="00891CBB"/>
    <w:rsid w:val="00892BDC"/>
    <w:rsid w:val="00892EEF"/>
    <w:rsid w:val="00893A3E"/>
    <w:rsid w:val="0089530F"/>
    <w:rsid w:val="0089577B"/>
    <w:rsid w:val="0089673C"/>
    <w:rsid w:val="00897B4F"/>
    <w:rsid w:val="008A0562"/>
    <w:rsid w:val="008A2B6D"/>
    <w:rsid w:val="008A2EC4"/>
    <w:rsid w:val="008A501C"/>
    <w:rsid w:val="008A7CF5"/>
    <w:rsid w:val="008B064F"/>
    <w:rsid w:val="008B0D1D"/>
    <w:rsid w:val="008B0E85"/>
    <w:rsid w:val="008B1317"/>
    <w:rsid w:val="008B14F9"/>
    <w:rsid w:val="008B3925"/>
    <w:rsid w:val="008B4492"/>
    <w:rsid w:val="008B4BD6"/>
    <w:rsid w:val="008B4FCB"/>
    <w:rsid w:val="008B53FA"/>
    <w:rsid w:val="008B5E91"/>
    <w:rsid w:val="008B679A"/>
    <w:rsid w:val="008B7425"/>
    <w:rsid w:val="008B7D82"/>
    <w:rsid w:val="008C0395"/>
    <w:rsid w:val="008C104B"/>
    <w:rsid w:val="008C1D92"/>
    <w:rsid w:val="008C1E5D"/>
    <w:rsid w:val="008C35F7"/>
    <w:rsid w:val="008C4D8C"/>
    <w:rsid w:val="008C5A6F"/>
    <w:rsid w:val="008C6CE8"/>
    <w:rsid w:val="008D125B"/>
    <w:rsid w:val="008D1574"/>
    <w:rsid w:val="008D1CA8"/>
    <w:rsid w:val="008D2C8A"/>
    <w:rsid w:val="008D48FE"/>
    <w:rsid w:val="008D53DE"/>
    <w:rsid w:val="008D5B7C"/>
    <w:rsid w:val="008D741F"/>
    <w:rsid w:val="008D7434"/>
    <w:rsid w:val="008E075B"/>
    <w:rsid w:val="008E09DC"/>
    <w:rsid w:val="008E29AF"/>
    <w:rsid w:val="008E463D"/>
    <w:rsid w:val="008E46B6"/>
    <w:rsid w:val="008E4F20"/>
    <w:rsid w:val="008E51C1"/>
    <w:rsid w:val="008E63B4"/>
    <w:rsid w:val="008E7A0F"/>
    <w:rsid w:val="008E7CBF"/>
    <w:rsid w:val="008F109C"/>
    <w:rsid w:val="008F1631"/>
    <w:rsid w:val="008F1840"/>
    <w:rsid w:val="008F1D0E"/>
    <w:rsid w:val="008F1DCD"/>
    <w:rsid w:val="008F4BDC"/>
    <w:rsid w:val="008F6EE3"/>
    <w:rsid w:val="008F7087"/>
    <w:rsid w:val="008F7B0C"/>
    <w:rsid w:val="00901DFE"/>
    <w:rsid w:val="009033AE"/>
    <w:rsid w:val="0090379D"/>
    <w:rsid w:val="00905169"/>
    <w:rsid w:val="00906109"/>
    <w:rsid w:val="00906180"/>
    <w:rsid w:val="009073D7"/>
    <w:rsid w:val="00907A97"/>
    <w:rsid w:val="00907B2B"/>
    <w:rsid w:val="00907CD0"/>
    <w:rsid w:val="00911AE1"/>
    <w:rsid w:val="0091293E"/>
    <w:rsid w:val="00915166"/>
    <w:rsid w:val="009166A2"/>
    <w:rsid w:val="00920DE7"/>
    <w:rsid w:val="00921E13"/>
    <w:rsid w:val="00922AE2"/>
    <w:rsid w:val="009231F3"/>
    <w:rsid w:val="0092405F"/>
    <w:rsid w:val="00925792"/>
    <w:rsid w:val="009278A7"/>
    <w:rsid w:val="00927ED6"/>
    <w:rsid w:val="0093019F"/>
    <w:rsid w:val="00930209"/>
    <w:rsid w:val="0093086B"/>
    <w:rsid w:val="00931062"/>
    <w:rsid w:val="00934F42"/>
    <w:rsid w:val="00935D6A"/>
    <w:rsid w:val="009361C9"/>
    <w:rsid w:val="00936B4D"/>
    <w:rsid w:val="0093772C"/>
    <w:rsid w:val="00937762"/>
    <w:rsid w:val="00937DC2"/>
    <w:rsid w:val="00940218"/>
    <w:rsid w:val="00941AC0"/>
    <w:rsid w:val="00942401"/>
    <w:rsid w:val="00943765"/>
    <w:rsid w:val="00943F0B"/>
    <w:rsid w:val="0094485E"/>
    <w:rsid w:val="00946BC9"/>
    <w:rsid w:val="009546CC"/>
    <w:rsid w:val="00955853"/>
    <w:rsid w:val="00960604"/>
    <w:rsid w:val="009611EF"/>
    <w:rsid w:val="00961440"/>
    <w:rsid w:val="00961B0E"/>
    <w:rsid w:val="009635BC"/>
    <w:rsid w:val="00963709"/>
    <w:rsid w:val="0096502C"/>
    <w:rsid w:val="00966908"/>
    <w:rsid w:val="00970902"/>
    <w:rsid w:val="009710B2"/>
    <w:rsid w:val="00971206"/>
    <w:rsid w:val="009716CE"/>
    <w:rsid w:val="00972B51"/>
    <w:rsid w:val="009731D9"/>
    <w:rsid w:val="0097458E"/>
    <w:rsid w:val="00974CC4"/>
    <w:rsid w:val="00974DC7"/>
    <w:rsid w:val="00974FBC"/>
    <w:rsid w:val="00975148"/>
    <w:rsid w:val="009754FD"/>
    <w:rsid w:val="009755BA"/>
    <w:rsid w:val="00977574"/>
    <w:rsid w:val="0097783A"/>
    <w:rsid w:val="00983AFC"/>
    <w:rsid w:val="00985859"/>
    <w:rsid w:val="00986332"/>
    <w:rsid w:val="009872D6"/>
    <w:rsid w:val="009876E6"/>
    <w:rsid w:val="00990C1E"/>
    <w:rsid w:val="00990FC5"/>
    <w:rsid w:val="00991E9F"/>
    <w:rsid w:val="0099227C"/>
    <w:rsid w:val="009925D9"/>
    <w:rsid w:val="009937EB"/>
    <w:rsid w:val="009939A8"/>
    <w:rsid w:val="00994894"/>
    <w:rsid w:val="009952F1"/>
    <w:rsid w:val="00995CC3"/>
    <w:rsid w:val="00997C03"/>
    <w:rsid w:val="009A18DE"/>
    <w:rsid w:val="009A1A5B"/>
    <w:rsid w:val="009A21AB"/>
    <w:rsid w:val="009A252D"/>
    <w:rsid w:val="009A2564"/>
    <w:rsid w:val="009A2D3F"/>
    <w:rsid w:val="009A37BA"/>
    <w:rsid w:val="009A4612"/>
    <w:rsid w:val="009A4E28"/>
    <w:rsid w:val="009A5CCB"/>
    <w:rsid w:val="009A5D1B"/>
    <w:rsid w:val="009A630A"/>
    <w:rsid w:val="009A6B4C"/>
    <w:rsid w:val="009A702D"/>
    <w:rsid w:val="009B01E1"/>
    <w:rsid w:val="009B0D42"/>
    <w:rsid w:val="009B1994"/>
    <w:rsid w:val="009B364A"/>
    <w:rsid w:val="009B458E"/>
    <w:rsid w:val="009B48BA"/>
    <w:rsid w:val="009B57A5"/>
    <w:rsid w:val="009B5B54"/>
    <w:rsid w:val="009B69CF"/>
    <w:rsid w:val="009B6CA7"/>
    <w:rsid w:val="009C10DA"/>
    <w:rsid w:val="009C6B56"/>
    <w:rsid w:val="009C6E56"/>
    <w:rsid w:val="009D071E"/>
    <w:rsid w:val="009D0BBE"/>
    <w:rsid w:val="009D129C"/>
    <w:rsid w:val="009D334B"/>
    <w:rsid w:val="009D550C"/>
    <w:rsid w:val="009D5707"/>
    <w:rsid w:val="009D59AC"/>
    <w:rsid w:val="009D633A"/>
    <w:rsid w:val="009D6351"/>
    <w:rsid w:val="009D75A7"/>
    <w:rsid w:val="009E1FAB"/>
    <w:rsid w:val="009E2800"/>
    <w:rsid w:val="009E2A89"/>
    <w:rsid w:val="009E4052"/>
    <w:rsid w:val="009E45B5"/>
    <w:rsid w:val="009E4EF6"/>
    <w:rsid w:val="009E5430"/>
    <w:rsid w:val="009E5C07"/>
    <w:rsid w:val="009E6BC3"/>
    <w:rsid w:val="009E7302"/>
    <w:rsid w:val="009F1349"/>
    <w:rsid w:val="009F2464"/>
    <w:rsid w:val="009F2B84"/>
    <w:rsid w:val="009F3D7D"/>
    <w:rsid w:val="009F501B"/>
    <w:rsid w:val="009F5CC4"/>
    <w:rsid w:val="009F5F6C"/>
    <w:rsid w:val="00A0083C"/>
    <w:rsid w:val="00A022B1"/>
    <w:rsid w:val="00A022DE"/>
    <w:rsid w:val="00A02898"/>
    <w:rsid w:val="00A02ACF"/>
    <w:rsid w:val="00A02C6D"/>
    <w:rsid w:val="00A03256"/>
    <w:rsid w:val="00A06853"/>
    <w:rsid w:val="00A10A73"/>
    <w:rsid w:val="00A10D37"/>
    <w:rsid w:val="00A1243F"/>
    <w:rsid w:val="00A1371A"/>
    <w:rsid w:val="00A13CFF"/>
    <w:rsid w:val="00A14F42"/>
    <w:rsid w:val="00A15AC6"/>
    <w:rsid w:val="00A16E30"/>
    <w:rsid w:val="00A17120"/>
    <w:rsid w:val="00A20338"/>
    <w:rsid w:val="00A225D3"/>
    <w:rsid w:val="00A2315F"/>
    <w:rsid w:val="00A23475"/>
    <w:rsid w:val="00A24089"/>
    <w:rsid w:val="00A24D92"/>
    <w:rsid w:val="00A261F0"/>
    <w:rsid w:val="00A32555"/>
    <w:rsid w:val="00A325C8"/>
    <w:rsid w:val="00A32D3A"/>
    <w:rsid w:val="00A341A0"/>
    <w:rsid w:val="00A363EF"/>
    <w:rsid w:val="00A405D6"/>
    <w:rsid w:val="00A40DAF"/>
    <w:rsid w:val="00A40DC6"/>
    <w:rsid w:val="00A41610"/>
    <w:rsid w:val="00A422C5"/>
    <w:rsid w:val="00A44C35"/>
    <w:rsid w:val="00A45210"/>
    <w:rsid w:val="00A45457"/>
    <w:rsid w:val="00A456F1"/>
    <w:rsid w:val="00A45A66"/>
    <w:rsid w:val="00A45AED"/>
    <w:rsid w:val="00A46344"/>
    <w:rsid w:val="00A4636E"/>
    <w:rsid w:val="00A47649"/>
    <w:rsid w:val="00A47C01"/>
    <w:rsid w:val="00A523A5"/>
    <w:rsid w:val="00A54049"/>
    <w:rsid w:val="00A54A73"/>
    <w:rsid w:val="00A56DB0"/>
    <w:rsid w:val="00A63F44"/>
    <w:rsid w:val="00A654CC"/>
    <w:rsid w:val="00A65C42"/>
    <w:rsid w:val="00A66B0C"/>
    <w:rsid w:val="00A66F40"/>
    <w:rsid w:val="00A67A79"/>
    <w:rsid w:val="00A7040B"/>
    <w:rsid w:val="00A70FC9"/>
    <w:rsid w:val="00A71262"/>
    <w:rsid w:val="00A717DB"/>
    <w:rsid w:val="00A717E5"/>
    <w:rsid w:val="00A72944"/>
    <w:rsid w:val="00A7402A"/>
    <w:rsid w:val="00A7470A"/>
    <w:rsid w:val="00A74A58"/>
    <w:rsid w:val="00A76AAC"/>
    <w:rsid w:val="00A76B69"/>
    <w:rsid w:val="00A8015A"/>
    <w:rsid w:val="00A80315"/>
    <w:rsid w:val="00A807A3"/>
    <w:rsid w:val="00A82D7A"/>
    <w:rsid w:val="00A830E2"/>
    <w:rsid w:val="00A84412"/>
    <w:rsid w:val="00A855FA"/>
    <w:rsid w:val="00A85B3C"/>
    <w:rsid w:val="00A872F0"/>
    <w:rsid w:val="00A9002F"/>
    <w:rsid w:val="00A918C6"/>
    <w:rsid w:val="00A9209D"/>
    <w:rsid w:val="00A922A6"/>
    <w:rsid w:val="00A925D8"/>
    <w:rsid w:val="00A927D4"/>
    <w:rsid w:val="00A945F0"/>
    <w:rsid w:val="00A94B0E"/>
    <w:rsid w:val="00A94DB4"/>
    <w:rsid w:val="00A95842"/>
    <w:rsid w:val="00A95AD3"/>
    <w:rsid w:val="00A95E26"/>
    <w:rsid w:val="00AA0438"/>
    <w:rsid w:val="00AA06F5"/>
    <w:rsid w:val="00AA1230"/>
    <w:rsid w:val="00AA14A5"/>
    <w:rsid w:val="00AA1749"/>
    <w:rsid w:val="00AA1F15"/>
    <w:rsid w:val="00AA39DC"/>
    <w:rsid w:val="00AA4610"/>
    <w:rsid w:val="00AA7016"/>
    <w:rsid w:val="00AA70D7"/>
    <w:rsid w:val="00AB05E3"/>
    <w:rsid w:val="00AB071A"/>
    <w:rsid w:val="00AB0AFB"/>
    <w:rsid w:val="00AB2C87"/>
    <w:rsid w:val="00AB3104"/>
    <w:rsid w:val="00AB329C"/>
    <w:rsid w:val="00AB3CA8"/>
    <w:rsid w:val="00AB4774"/>
    <w:rsid w:val="00AB5014"/>
    <w:rsid w:val="00AB507F"/>
    <w:rsid w:val="00AB6721"/>
    <w:rsid w:val="00AB6F6E"/>
    <w:rsid w:val="00AC0977"/>
    <w:rsid w:val="00AC23C5"/>
    <w:rsid w:val="00AC27FF"/>
    <w:rsid w:val="00AC2E65"/>
    <w:rsid w:val="00AC35CA"/>
    <w:rsid w:val="00AC3647"/>
    <w:rsid w:val="00AC430B"/>
    <w:rsid w:val="00AC6E35"/>
    <w:rsid w:val="00AC7D05"/>
    <w:rsid w:val="00AD174A"/>
    <w:rsid w:val="00AD1B4B"/>
    <w:rsid w:val="00AD2234"/>
    <w:rsid w:val="00AD25AE"/>
    <w:rsid w:val="00AD4021"/>
    <w:rsid w:val="00AD6B23"/>
    <w:rsid w:val="00AD7DD8"/>
    <w:rsid w:val="00AD7FA2"/>
    <w:rsid w:val="00AE33CF"/>
    <w:rsid w:val="00AE3522"/>
    <w:rsid w:val="00AE3C5E"/>
    <w:rsid w:val="00AE438A"/>
    <w:rsid w:val="00AE48B5"/>
    <w:rsid w:val="00AE5175"/>
    <w:rsid w:val="00AE5AD4"/>
    <w:rsid w:val="00AE61BD"/>
    <w:rsid w:val="00AE64C1"/>
    <w:rsid w:val="00AE68A6"/>
    <w:rsid w:val="00AE75C0"/>
    <w:rsid w:val="00AE79D7"/>
    <w:rsid w:val="00AF0578"/>
    <w:rsid w:val="00AF0FA9"/>
    <w:rsid w:val="00AF18C6"/>
    <w:rsid w:val="00AF39B5"/>
    <w:rsid w:val="00AF3B4F"/>
    <w:rsid w:val="00AF5BB4"/>
    <w:rsid w:val="00AF6549"/>
    <w:rsid w:val="00AF7723"/>
    <w:rsid w:val="00B005EF"/>
    <w:rsid w:val="00B00C0D"/>
    <w:rsid w:val="00B04752"/>
    <w:rsid w:val="00B04B47"/>
    <w:rsid w:val="00B04F4D"/>
    <w:rsid w:val="00B061A6"/>
    <w:rsid w:val="00B063A3"/>
    <w:rsid w:val="00B065B9"/>
    <w:rsid w:val="00B11E0A"/>
    <w:rsid w:val="00B11E86"/>
    <w:rsid w:val="00B12B89"/>
    <w:rsid w:val="00B13545"/>
    <w:rsid w:val="00B14D38"/>
    <w:rsid w:val="00B2232C"/>
    <w:rsid w:val="00B23EAD"/>
    <w:rsid w:val="00B2528B"/>
    <w:rsid w:val="00B25AEA"/>
    <w:rsid w:val="00B2670C"/>
    <w:rsid w:val="00B313D9"/>
    <w:rsid w:val="00B34CD9"/>
    <w:rsid w:val="00B3601A"/>
    <w:rsid w:val="00B371DA"/>
    <w:rsid w:val="00B3777D"/>
    <w:rsid w:val="00B37CBE"/>
    <w:rsid w:val="00B37EB4"/>
    <w:rsid w:val="00B4132C"/>
    <w:rsid w:val="00B42415"/>
    <w:rsid w:val="00B4273B"/>
    <w:rsid w:val="00B42DEB"/>
    <w:rsid w:val="00B435F1"/>
    <w:rsid w:val="00B43738"/>
    <w:rsid w:val="00B44D2C"/>
    <w:rsid w:val="00B4630C"/>
    <w:rsid w:val="00B4747A"/>
    <w:rsid w:val="00B47A2D"/>
    <w:rsid w:val="00B5060C"/>
    <w:rsid w:val="00B50E25"/>
    <w:rsid w:val="00B55755"/>
    <w:rsid w:val="00B55F62"/>
    <w:rsid w:val="00B5612E"/>
    <w:rsid w:val="00B56171"/>
    <w:rsid w:val="00B56253"/>
    <w:rsid w:val="00B56457"/>
    <w:rsid w:val="00B57637"/>
    <w:rsid w:val="00B60AEE"/>
    <w:rsid w:val="00B622CA"/>
    <w:rsid w:val="00B62E3D"/>
    <w:rsid w:val="00B62E7B"/>
    <w:rsid w:val="00B630D7"/>
    <w:rsid w:val="00B63AEA"/>
    <w:rsid w:val="00B63BE0"/>
    <w:rsid w:val="00B65D6D"/>
    <w:rsid w:val="00B664AE"/>
    <w:rsid w:val="00B66FA8"/>
    <w:rsid w:val="00B702EC"/>
    <w:rsid w:val="00B71225"/>
    <w:rsid w:val="00B73C4B"/>
    <w:rsid w:val="00B74697"/>
    <w:rsid w:val="00B76F02"/>
    <w:rsid w:val="00B77403"/>
    <w:rsid w:val="00B776AB"/>
    <w:rsid w:val="00B7783D"/>
    <w:rsid w:val="00B815D4"/>
    <w:rsid w:val="00B821F0"/>
    <w:rsid w:val="00B824AA"/>
    <w:rsid w:val="00B82D60"/>
    <w:rsid w:val="00B82E50"/>
    <w:rsid w:val="00B8410D"/>
    <w:rsid w:val="00B87578"/>
    <w:rsid w:val="00B902BB"/>
    <w:rsid w:val="00B902D7"/>
    <w:rsid w:val="00B907D2"/>
    <w:rsid w:val="00B918D6"/>
    <w:rsid w:val="00B925DA"/>
    <w:rsid w:val="00B92782"/>
    <w:rsid w:val="00B92BE6"/>
    <w:rsid w:val="00B92C5D"/>
    <w:rsid w:val="00B9317C"/>
    <w:rsid w:val="00B936AB"/>
    <w:rsid w:val="00B94736"/>
    <w:rsid w:val="00B94FEF"/>
    <w:rsid w:val="00B956CF"/>
    <w:rsid w:val="00B95BE7"/>
    <w:rsid w:val="00B95ECC"/>
    <w:rsid w:val="00B9699C"/>
    <w:rsid w:val="00BA0234"/>
    <w:rsid w:val="00BA1FE2"/>
    <w:rsid w:val="00BA2832"/>
    <w:rsid w:val="00BA2835"/>
    <w:rsid w:val="00BA53C6"/>
    <w:rsid w:val="00BA792C"/>
    <w:rsid w:val="00BA7F79"/>
    <w:rsid w:val="00BB1DC3"/>
    <w:rsid w:val="00BB39E0"/>
    <w:rsid w:val="00BB43B6"/>
    <w:rsid w:val="00BB54B6"/>
    <w:rsid w:val="00BB5DAC"/>
    <w:rsid w:val="00BB6534"/>
    <w:rsid w:val="00BB6D9B"/>
    <w:rsid w:val="00BB6F2A"/>
    <w:rsid w:val="00BC008A"/>
    <w:rsid w:val="00BC087C"/>
    <w:rsid w:val="00BC1551"/>
    <w:rsid w:val="00BC3634"/>
    <w:rsid w:val="00BC4EAC"/>
    <w:rsid w:val="00BC50CA"/>
    <w:rsid w:val="00BC5E08"/>
    <w:rsid w:val="00BC7A77"/>
    <w:rsid w:val="00BC7F74"/>
    <w:rsid w:val="00BD0FD1"/>
    <w:rsid w:val="00BD29D1"/>
    <w:rsid w:val="00BD2B20"/>
    <w:rsid w:val="00BE2B9F"/>
    <w:rsid w:val="00BE2CFE"/>
    <w:rsid w:val="00BE2F68"/>
    <w:rsid w:val="00BE4942"/>
    <w:rsid w:val="00BE5C66"/>
    <w:rsid w:val="00BE66D1"/>
    <w:rsid w:val="00BF0591"/>
    <w:rsid w:val="00BF06C2"/>
    <w:rsid w:val="00BF0D26"/>
    <w:rsid w:val="00BF0FF1"/>
    <w:rsid w:val="00BF14C8"/>
    <w:rsid w:val="00BF1C6A"/>
    <w:rsid w:val="00BF79C8"/>
    <w:rsid w:val="00BF7FF8"/>
    <w:rsid w:val="00C003E7"/>
    <w:rsid w:val="00C00C7B"/>
    <w:rsid w:val="00C010C2"/>
    <w:rsid w:val="00C010E8"/>
    <w:rsid w:val="00C01480"/>
    <w:rsid w:val="00C01756"/>
    <w:rsid w:val="00C01F34"/>
    <w:rsid w:val="00C02ED9"/>
    <w:rsid w:val="00C03510"/>
    <w:rsid w:val="00C03B50"/>
    <w:rsid w:val="00C04876"/>
    <w:rsid w:val="00C054E3"/>
    <w:rsid w:val="00C06417"/>
    <w:rsid w:val="00C06686"/>
    <w:rsid w:val="00C06B84"/>
    <w:rsid w:val="00C06F9B"/>
    <w:rsid w:val="00C0703F"/>
    <w:rsid w:val="00C07263"/>
    <w:rsid w:val="00C1040B"/>
    <w:rsid w:val="00C10439"/>
    <w:rsid w:val="00C115C2"/>
    <w:rsid w:val="00C11677"/>
    <w:rsid w:val="00C1170C"/>
    <w:rsid w:val="00C11D52"/>
    <w:rsid w:val="00C12985"/>
    <w:rsid w:val="00C12C55"/>
    <w:rsid w:val="00C12C57"/>
    <w:rsid w:val="00C14A4C"/>
    <w:rsid w:val="00C165E0"/>
    <w:rsid w:val="00C17417"/>
    <w:rsid w:val="00C2076C"/>
    <w:rsid w:val="00C255FA"/>
    <w:rsid w:val="00C25A16"/>
    <w:rsid w:val="00C26C6F"/>
    <w:rsid w:val="00C30F90"/>
    <w:rsid w:val="00C33690"/>
    <w:rsid w:val="00C34FE3"/>
    <w:rsid w:val="00C35D5A"/>
    <w:rsid w:val="00C377D3"/>
    <w:rsid w:val="00C403AD"/>
    <w:rsid w:val="00C40A62"/>
    <w:rsid w:val="00C41F74"/>
    <w:rsid w:val="00C4212E"/>
    <w:rsid w:val="00C42405"/>
    <w:rsid w:val="00C43745"/>
    <w:rsid w:val="00C4507E"/>
    <w:rsid w:val="00C4734D"/>
    <w:rsid w:val="00C50B54"/>
    <w:rsid w:val="00C563C1"/>
    <w:rsid w:val="00C616D8"/>
    <w:rsid w:val="00C61F5E"/>
    <w:rsid w:val="00C6382F"/>
    <w:rsid w:val="00C63927"/>
    <w:rsid w:val="00C651E0"/>
    <w:rsid w:val="00C6545A"/>
    <w:rsid w:val="00C66C15"/>
    <w:rsid w:val="00C66EA8"/>
    <w:rsid w:val="00C71A1A"/>
    <w:rsid w:val="00C729E3"/>
    <w:rsid w:val="00C72B8A"/>
    <w:rsid w:val="00C731D8"/>
    <w:rsid w:val="00C7567A"/>
    <w:rsid w:val="00C75C81"/>
    <w:rsid w:val="00C76401"/>
    <w:rsid w:val="00C76930"/>
    <w:rsid w:val="00C80B2E"/>
    <w:rsid w:val="00C80EDC"/>
    <w:rsid w:val="00C81D7E"/>
    <w:rsid w:val="00C826AF"/>
    <w:rsid w:val="00C834F6"/>
    <w:rsid w:val="00C8678C"/>
    <w:rsid w:val="00C868A7"/>
    <w:rsid w:val="00C8694D"/>
    <w:rsid w:val="00C873C6"/>
    <w:rsid w:val="00C903CB"/>
    <w:rsid w:val="00C90B1F"/>
    <w:rsid w:val="00C910CF"/>
    <w:rsid w:val="00C91299"/>
    <w:rsid w:val="00C92090"/>
    <w:rsid w:val="00C9322C"/>
    <w:rsid w:val="00C9331D"/>
    <w:rsid w:val="00C94894"/>
    <w:rsid w:val="00C95DC7"/>
    <w:rsid w:val="00C97593"/>
    <w:rsid w:val="00CA04B8"/>
    <w:rsid w:val="00CA159A"/>
    <w:rsid w:val="00CA1D23"/>
    <w:rsid w:val="00CA2964"/>
    <w:rsid w:val="00CA3230"/>
    <w:rsid w:val="00CA3264"/>
    <w:rsid w:val="00CA411C"/>
    <w:rsid w:val="00CA5107"/>
    <w:rsid w:val="00CA5BB4"/>
    <w:rsid w:val="00CA62D8"/>
    <w:rsid w:val="00CA65A8"/>
    <w:rsid w:val="00CA685F"/>
    <w:rsid w:val="00CA7105"/>
    <w:rsid w:val="00CA7FF6"/>
    <w:rsid w:val="00CB133C"/>
    <w:rsid w:val="00CB155C"/>
    <w:rsid w:val="00CB16C5"/>
    <w:rsid w:val="00CB1900"/>
    <w:rsid w:val="00CB205F"/>
    <w:rsid w:val="00CB5209"/>
    <w:rsid w:val="00CB5A33"/>
    <w:rsid w:val="00CB72AB"/>
    <w:rsid w:val="00CC03B8"/>
    <w:rsid w:val="00CC22DB"/>
    <w:rsid w:val="00CC3763"/>
    <w:rsid w:val="00CC4A01"/>
    <w:rsid w:val="00CC6992"/>
    <w:rsid w:val="00CC6F0A"/>
    <w:rsid w:val="00CD1C2D"/>
    <w:rsid w:val="00CD2144"/>
    <w:rsid w:val="00CD72FB"/>
    <w:rsid w:val="00CD7F9C"/>
    <w:rsid w:val="00CE0978"/>
    <w:rsid w:val="00CE4B1B"/>
    <w:rsid w:val="00CE4B6D"/>
    <w:rsid w:val="00CE6997"/>
    <w:rsid w:val="00CE78CD"/>
    <w:rsid w:val="00CE790B"/>
    <w:rsid w:val="00CF02A0"/>
    <w:rsid w:val="00CF0F7B"/>
    <w:rsid w:val="00CF163E"/>
    <w:rsid w:val="00CF17BB"/>
    <w:rsid w:val="00CF2145"/>
    <w:rsid w:val="00CF2953"/>
    <w:rsid w:val="00CF3A1E"/>
    <w:rsid w:val="00CF3E5B"/>
    <w:rsid w:val="00CF4295"/>
    <w:rsid w:val="00CF4D95"/>
    <w:rsid w:val="00CF5DA9"/>
    <w:rsid w:val="00CF62FB"/>
    <w:rsid w:val="00CF7158"/>
    <w:rsid w:val="00D02205"/>
    <w:rsid w:val="00D0303B"/>
    <w:rsid w:val="00D035C0"/>
    <w:rsid w:val="00D03D88"/>
    <w:rsid w:val="00D047ED"/>
    <w:rsid w:val="00D05505"/>
    <w:rsid w:val="00D05ADA"/>
    <w:rsid w:val="00D10761"/>
    <w:rsid w:val="00D123C3"/>
    <w:rsid w:val="00D126B7"/>
    <w:rsid w:val="00D137BE"/>
    <w:rsid w:val="00D13EAE"/>
    <w:rsid w:val="00D1489D"/>
    <w:rsid w:val="00D15A72"/>
    <w:rsid w:val="00D163EF"/>
    <w:rsid w:val="00D20905"/>
    <w:rsid w:val="00D21983"/>
    <w:rsid w:val="00D237D3"/>
    <w:rsid w:val="00D24FE8"/>
    <w:rsid w:val="00D264E9"/>
    <w:rsid w:val="00D27AAF"/>
    <w:rsid w:val="00D27DBB"/>
    <w:rsid w:val="00D27DD4"/>
    <w:rsid w:val="00D31572"/>
    <w:rsid w:val="00D31A0A"/>
    <w:rsid w:val="00D354A4"/>
    <w:rsid w:val="00D35C0A"/>
    <w:rsid w:val="00D36895"/>
    <w:rsid w:val="00D3754F"/>
    <w:rsid w:val="00D375C7"/>
    <w:rsid w:val="00D42064"/>
    <w:rsid w:val="00D426A6"/>
    <w:rsid w:val="00D42F73"/>
    <w:rsid w:val="00D43798"/>
    <w:rsid w:val="00D44024"/>
    <w:rsid w:val="00D45277"/>
    <w:rsid w:val="00D46BC0"/>
    <w:rsid w:val="00D46E24"/>
    <w:rsid w:val="00D476A9"/>
    <w:rsid w:val="00D50976"/>
    <w:rsid w:val="00D50FFF"/>
    <w:rsid w:val="00D51B12"/>
    <w:rsid w:val="00D51BFF"/>
    <w:rsid w:val="00D51FF4"/>
    <w:rsid w:val="00D52930"/>
    <w:rsid w:val="00D543CB"/>
    <w:rsid w:val="00D553BD"/>
    <w:rsid w:val="00D5548B"/>
    <w:rsid w:val="00D5566E"/>
    <w:rsid w:val="00D55996"/>
    <w:rsid w:val="00D55B2E"/>
    <w:rsid w:val="00D56624"/>
    <w:rsid w:val="00D62B4A"/>
    <w:rsid w:val="00D641D2"/>
    <w:rsid w:val="00D64664"/>
    <w:rsid w:val="00D65095"/>
    <w:rsid w:val="00D6665D"/>
    <w:rsid w:val="00D666C4"/>
    <w:rsid w:val="00D66ACF"/>
    <w:rsid w:val="00D67022"/>
    <w:rsid w:val="00D70492"/>
    <w:rsid w:val="00D729BF"/>
    <w:rsid w:val="00D73A36"/>
    <w:rsid w:val="00D73AE5"/>
    <w:rsid w:val="00D75589"/>
    <w:rsid w:val="00D8084A"/>
    <w:rsid w:val="00D80C17"/>
    <w:rsid w:val="00D81245"/>
    <w:rsid w:val="00D83F85"/>
    <w:rsid w:val="00D842A6"/>
    <w:rsid w:val="00D84681"/>
    <w:rsid w:val="00D87D19"/>
    <w:rsid w:val="00D9241A"/>
    <w:rsid w:val="00D94263"/>
    <w:rsid w:val="00D943AE"/>
    <w:rsid w:val="00D94C61"/>
    <w:rsid w:val="00D9575E"/>
    <w:rsid w:val="00D96E23"/>
    <w:rsid w:val="00D97C1D"/>
    <w:rsid w:val="00DA0929"/>
    <w:rsid w:val="00DA2B0B"/>
    <w:rsid w:val="00DA2C84"/>
    <w:rsid w:val="00DA3284"/>
    <w:rsid w:val="00DA3386"/>
    <w:rsid w:val="00DA49FE"/>
    <w:rsid w:val="00DA5AFB"/>
    <w:rsid w:val="00DA66F0"/>
    <w:rsid w:val="00DB269B"/>
    <w:rsid w:val="00DB3537"/>
    <w:rsid w:val="00DB38FD"/>
    <w:rsid w:val="00DB59AE"/>
    <w:rsid w:val="00DB5E2C"/>
    <w:rsid w:val="00DB6B62"/>
    <w:rsid w:val="00DB74FE"/>
    <w:rsid w:val="00DB7F59"/>
    <w:rsid w:val="00DC079B"/>
    <w:rsid w:val="00DC0F6C"/>
    <w:rsid w:val="00DC2199"/>
    <w:rsid w:val="00DC229F"/>
    <w:rsid w:val="00DC2499"/>
    <w:rsid w:val="00DC304B"/>
    <w:rsid w:val="00DC3547"/>
    <w:rsid w:val="00DC486F"/>
    <w:rsid w:val="00DC67CF"/>
    <w:rsid w:val="00DC7BBC"/>
    <w:rsid w:val="00DD0637"/>
    <w:rsid w:val="00DD0767"/>
    <w:rsid w:val="00DD0CA8"/>
    <w:rsid w:val="00DD1EBF"/>
    <w:rsid w:val="00DD20DB"/>
    <w:rsid w:val="00DD2833"/>
    <w:rsid w:val="00DD3490"/>
    <w:rsid w:val="00DD4F9B"/>
    <w:rsid w:val="00DD6744"/>
    <w:rsid w:val="00DD6B98"/>
    <w:rsid w:val="00DD7690"/>
    <w:rsid w:val="00DD7B7F"/>
    <w:rsid w:val="00DE0C93"/>
    <w:rsid w:val="00DE1237"/>
    <w:rsid w:val="00DE165B"/>
    <w:rsid w:val="00DE1838"/>
    <w:rsid w:val="00DE1929"/>
    <w:rsid w:val="00DE2B73"/>
    <w:rsid w:val="00DE3945"/>
    <w:rsid w:val="00DE62F1"/>
    <w:rsid w:val="00DE65C5"/>
    <w:rsid w:val="00DE6880"/>
    <w:rsid w:val="00DF0B61"/>
    <w:rsid w:val="00DF0DCD"/>
    <w:rsid w:val="00DF1FAB"/>
    <w:rsid w:val="00DF211C"/>
    <w:rsid w:val="00DF6571"/>
    <w:rsid w:val="00DF7CA5"/>
    <w:rsid w:val="00DF7D6F"/>
    <w:rsid w:val="00E00867"/>
    <w:rsid w:val="00E008B3"/>
    <w:rsid w:val="00E0316B"/>
    <w:rsid w:val="00E03878"/>
    <w:rsid w:val="00E03B7D"/>
    <w:rsid w:val="00E05221"/>
    <w:rsid w:val="00E05D78"/>
    <w:rsid w:val="00E05E86"/>
    <w:rsid w:val="00E0747B"/>
    <w:rsid w:val="00E077E7"/>
    <w:rsid w:val="00E07CA1"/>
    <w:rsid w:val="00E07DAA"/>
    <w:rsid w:val="00E13028"/>
    <w:rsid w:val="00E13952"/>
    <w:rsid w:val="00E157F9"/>
    <w:rsid w:val="00E16017"/>
    <w:rsid w:val="00E171F5"/>
    <w:rsid w:val="00E17912"/>
    <w:rsid w:val="00E17986"/>
    <w:rsid w:val="00E2004C"/>
    <w:rsid w:val="00E2099B"/>
    <w:rsid w:val="00E209F0"/>
    <w:rsid w:val="00E21814"/>
    <w:rsid w:val="00E21AF3"/>
    <w:rsid w:val="00E22095"/>
    <w:rsid w:val="00E22768"/>
    <w:rsid w:val="00E24EF8"/>
    <w:rsid w:val="00E253C9"/>
    <w:rsid w:val="00E25D55"/>
    <w:rsid w:val="00E2756F"/>
    <w:rsid w:val="00E30234"/>
    <w:rsid w:val="00E34D8D"/>
    <w:rsid w:val="00E37096"/>
    <w:rsid w:val="00E37516"/>
    <w:rsid w:val="00E400EF"/>
    <w:rsid w:val="00E4124E"/>
    <w:rsid w:val="00E4240A"/>
    <w:rsid w:val="00E446CD"/>
    <w:rsid w:val="00E45499"/>
    <w:rsid w:val="00E4560D"/>
    <w:rsid w:val="00E45C2E"/>
    <w:rsid w:val="00E45D65"/>
    <w:rsid w:val="00E47045"/>
    <w:rsid w:val="00E47936"/>
    <w:rsid w:val="00E51571"/>
    <w:rsid w:val="00E51FF8"/>
    <w:rsid w:val="00E5274E"/>
    <w:rsid w:val="00E52B91"/>
    <w:rsid w:val="00E53501"/>
    <w:rsid w:val="00E5623F"/>
    <w:rsid w:val="00E574CB"/>
    <w:rsid w:val="00E602BB"/>
    <w:rsid w:val="00E602F9"/>
    <w:rsid w:val="00E60BC3"/>
    <w:rsid w:val="00E61693"/>
    <w:rsid w:val="00E61EBA"/>
    <w:rsid w:val="00E62396"/>
    <w:rsid w:val="00E6329F"/>
    <w:rsid w:val="00E64845"/>
    <w:rsid w:val="00E6642B"/>
    <w:rsid w:val="00E6681B"/>
    <w:rsid w:val="00E67B2C"/>
    <w:rsid w:val="00E71ECB"/>
    <w:rsid w:val="00E72932"/>
    <w:rsid w:val="00E737B9"/>
    <w:rsid w:val="00E757AC"/>
    <w:rsid w:val="00E75FD6"/>
    <w:rsid w:val="00E76980"/>
    <w:rsid w:val="00E76E40"/>
    <w:rsid w:val="00E7761A"/>
    <w:rsid w:val="00E77F27"/>
    <w:rsid w:val="00E80B90"/>
    <w:rsid w:val="00E81662"/>
    <w:rsid w:val="00E83780"/>
    <w:rsid w:val="00E84181"/>
    <w:rsid w:val="00E860E6"/>
    <w:rsid w:val="00E86C21"/>
    <w:rsid w:val="00E87552"/>
    <w:rsid w:val="00E87C46"/>
    <w:rsid w:val="00E92B6E"/>
    <w:rsid w:val="00E92DD1"/>
    <w:rsid w:val="00E94B9C"/>
    <w:rsid w:val="00E953BE"/>
    <w:rsid w:val="00E95864"/>
    <w:rsid w:val="00E96C66"/>
    <w:rsid w:val="00E96FA0"/>
    <w:rsid w:val="00EA0C41"/>
    <w:rsid w:val="00EA0EB3"/>
    <w:rsid w:val="00EA1B7D"/>
    <w:rsid w:val="00EA2554"/>
    <w:rsid w:val="00EA42EA"/>
    <w:rsid w:val="00EA4FB6"/>
    <w:rsid w:val="00EA53C5"/>
    <w:rsid w:val="00EA663F"/>
    <w:rsid w:val="00EA7166"/>
    <w:rsid w:val="00EB0309"/>
    <w:rsid w:val="00EB0C7E"/>
    <w:rsid w:val="00EB1B68"/>
    <w:rsid w:val="00EB1D1B"/>
    <w:rsid w:val="00EB38CA"/>
    <w:rsid w:val="00EB4351"/>
    <w:rsid w:val="00EB5407"/>
    <w:rsid w:val="00EB682D"/>
    <w:rsid w:val="00EB6AEA"/>
    <w:rsid w:val="00EB7A27"/>
    <w:rsid w:val="00EC01CF"/>
    <w:rsid w:val="00EC07C6"/>
    <w:rsid w:val="00EC09A3"/>
    <w:rsid w:val="00EC0BE0"/>
    <w:rsid w:val="00EC166B"/>
    <w:rsid w:val="00EC1D4E"/>
    <w:rsid w:val="00EC23B6"/>
    <w:rsid w:val="00EC4F16"/>
    <w:rsid w:val="00EC64E4"/>
    <w:rsid w:val="00EC7D96"/>
    <w:rsid w:val="00ED0A7C"/>
    <w:rsid w:val="00ED0A9D"/>
    <w:rsid w:val="00ED2970"/>
    <w:rsid w:val="00ED2B4D"/>
    <w:rsid w:val="00ED376B"/>
    <w:rsid w:val="00ED45C6"/>
    <w:rsid w:val="00ED4C04"/>
    <w:rsid w:val="00ED570C"/>
    <w:rsid w:val="00ED5773"/>
    <w:rsid w:val="00ED6066"/>
    <w:rsid w:val="00ED61D0"/>
    <w:rsid w:val="00ED6A5A"/>
    <w:rsid w:val="00ED7E19"/>
    <w:rsid w:val="00ED7F7D"/>
    <w:rsid w:val="00EE0B13"/>
    <w:rsid w:val="00EE407F"/>
    <w:rsid w:val="00EE63D8"/>
    <w:rsid w:val="00EE6475"/>
    <w:rsid w:val="00EF14B9"/>
    <w:rsid w:val="00EF45B8"/>
    <w:rsid w:val="00EF4A0A"/>
    <w:rsid w:val="00EF5806"/>
    <w:rsid w:val="00EF5C09"/>
    <w:rsid w:val="00F01DEB"/>
    <w:rsid w:val="00F01FBF"/>
    <w:rsid w:val="00F02065"/>
    <w:rsid w:val="00F03FA7"/>
    <w:rsid w:val="00F04E84"/>
    <w:rsid w:val="00F07869"/>
    <w:rsid w:val="00F10360"/>
    <w:rsid w:val="00F113EE"/>
    <w:rsid w:val="00F1220B"/>
    <w:rsid w:val="00F1408F"/>
    <w:rsid w:val="00F14694"/>
    <w:rsid w:val="00F14869"/>
    <w:rsid w:val="00F14BA3"/>
    <w:rsid w:val="00F14CFB"/>
    <w:rsid w:val="00F14F56"/>
    <w:rsid w:val="00F22FD4"/>
    <w:rsid w:val="00F23DFB"/>
    <w:rsid w:val="00F23FE5"/>
    <w:rsid w:val="00F24945"/>
    <w:rsid w:val="00F24C3A"/>
    <w:rsid w:val="00F26CB4"/>
    <w:rsid w:val="00F3009E"/>
    <w:rsid w:val="00F3016C"/>
    <w:rsid w:val="00F306CF"/>
    <w:rsid w:val="00F32905"/>
    <w:rsid w:val="00F34266"/>
    <w:rsid w:val="00F34628"/>
    <w:rsid w:val="00F349D4"/>
    <w:rsid w:val="00F34D70"/>
    <w:rsid w:val="00F350F8"/>
    <w:rsid w:val="00F35B66"/>
    <w:rsid w:val="00F35E69"/>
    <w:rsid w:val="00F369F7"/>
    <w:rsid w:val="00F40E3C"/>
    <w:rsid w:val="00F41222"/>
    <w:rsid w:val="00F41E78"/>
    <w:rsid w:val="00F42D0D"/>
    <w:rsid w:val="00F46C51"/>
    <w:rsid w:val="00F52FFD"/>
    <w:rsid w:val="00F53A13"/>
    <w:rsid w:val="00F54719"/>
    <w:rsid w:val="00F54D78"/>
    <w:rsid w:val="00F5500E"/>
    <w:rsid w:val="00F565ED"/>
    <w:rsid w:val="00F60E74"/>
    <w:rsid w:val="00F62AAD"/>
    <w:rsid w:val="00F62BED"/>
    <w:rsid w:val="00F6487F"/>
    <w:rsid w:val="00F65A99"/>
    <w:rsid w:val="00F65F18"/>
    <w:rsid w:val="00F6689E"/>
    <w:rsid w:val="00F70659"/>
    <w:rsid w:val="00F71D27"/>
    <w:rsid w:val="00F73F9E"/>
    <w:rsid w:val="00F768BD"/>
    <w:rsid w:val="00F815D7"/>
    <w:rsid w:val="00F827DA"/>
    <w:rsid w:val="00F832EC"/>
    <w:rsid w:val="00F855A9"/>
    <w:rsid w:val="00F85A90"/>
    <w:rsid w:val="00F870E0"/>
    <w:rsid w:val="00F905C3"/>
    <w:rsid w:val="00F90A17"/>
    <w:rsid w:val="00F9134A"/>
    <w:rsid w:val="00F94B14"/>
    <w:rsid w:val="00F970D3"/>
    <w:rsid w:val="00F97CF1"/>
    <w:rsid w:val="00F97DE7"/>
    <w:rsid w:val="00FA0F59"/>
    <w:rsid w:val="00FA3AC3"/>
    <w:rsid w:val="00FA3B11"/>
    <w:rsid w:val="00FA50F6"/>
    <w:rsid w:val="00FA5D76"/>
    <w:rsid w:val="00FA6604"/>
    <w:rsid w:val="00FA67EF"/>
    <w:rsid w:val="00FA6C8E"/>
    <w:rsid w:val="00FA770C"/>
    <w:rsid w:val="00FB2C47"/>
    <w:rsid w:val="00FB346E"/>
    <w:rsid w:val="00FB3612"/>
    <w:rsid w:val="00FB3EE5"/>
    <w:rsid w:val="00FB4B1A"/>
    <w:rsid w:val="00FB5EC0"/>
    <w:rsid w:val="00FB5FB6"/>
    <w:rsid w:val="00FB6955"/>
    <w:rsid w:val="00FB748A"/>
    <w:rsid w:val="00FB75F7"/>
    <w:rsid w:val="00FB7D3B"/>
    <w:rsid w:val="00FC0A6D"/>
    <w:rsid w:val="00FC102C"/>
    <w:rsid w:val="00FC1302"/>
    <w:rsid w:val="00FC15EE"/>
    <w:rsid w:val="00FC18BE"/>
    <w:rsid w:val="00FC2262"/>
    <w:rsid w:val="00FC2421"/>
    <w:rsid w:val="00FC2E73"/>
    <w:rsid w:val="00FC2F05"/>
    <w:rsid w:val="00FC3695"/>
    <w:rsid w:val="00FC3AC4"/>
    <w:rsid w:val="00FC4A52"/>
    <w:rsid w:val="00FC593A"/>
    <w:rsid w:val="00FC5BB6"/>
    <w:rsid w:val="00FC60DF"/>
    <w:rsid w:val="00FC64DA"/>
    <w:rsid w:val="00FC68E9"/>
    <w:rsid w:val="00FC6FCA"/>
    <w:rsid w:val="00FC790C"/>
    <w:rsid w:val="00FD24C7"/>
    <w:rsid w:val="00FD38D3"/>
    <w:rsid w:val="00FD3C97"/>
    <w:rsid w:val="00FD4DD4"/>
    <w:rsid w:val="00FD5F65"/>
    <w:rsid w:val="00FD66E4"/>
    <w:rsid w:val="00FE001F"/>
    <w:rsid w:val="00FE1D97"/>
    <w:rsid w:val="00FE2145"/>
    <w:rsid w:val="00FE2676"/>
    <w:rsid w:val="00FE2D17"/>
    <w:rsid w:val="00FE4D1E"/>
    <w:rsid w:val="00FE623B"/>
    <w:rsid w:val="00FE653D"/>
    <w:rsid w:val="00FF00D3"/>
    <w:rsid w:val="00FF04CC"/>
    <w:rsid w:val="00FF157F"/>
    <w:rsid w:val="00FF1C60"/>
    <w:rsid w:val="00FF1D16"/>
    <w:rsid w:val="00FF1D37"/>
    <w:rsid w:val="00FF1D96"/>
    <w:rsid w:val="00FF36BC"/>
    <w:rsid w:val="00FF43EE"/>
    <w:rsid w:val="00FF5A01"/>
    <w:rsid w:val="00FF6342"/>
    <w:rsid w:val="00FF6590"/>
    <w:rsid w:val="00FF6B6C"/>
    <w:rsid w:val="00FF6D7F"/>
    <w:rsid w:val="00FF71D8"/>
    <w:rsid w:val="00FF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05D1"/>
  <w15:chartTrackingRefBased/>
  <w15:docId w15:val="{64BE49AB-4C70-4A16-B587-45F4EE1C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5CB4"/>
    <w:pPr>
      <w:ind w:left="360"/>
    </w:pPr>
    <w:rPr>
      <w:rFonts w:ascii="Times New Roman" w:hAnsi="Times New Roman" w:cs="Times New Roman"/>
      <w:sz w:val="24"/>
      <w:szCs w:val="24"/>
    </w:rPr>
  </w:style>
  <w:style w:type="paragraph" w:styleId="Heading1">
    <w:name w:val="heading 1"/>
    <w:basedOn w:val="ListParagraph"/>
    <w:next w:val="Normal"/>
    <w:link w:val="Heading1Char"/>
    <w:qFormat/>
    <w:rsid w:val="00FC68E9"/>
    <w:pPr>
      <w:numPr>
        <w:numId w:val="3"/>
      </w:numPr>
      <w:tabs>
        <w:tab w:val="num" w:pos="360"/>
      </w:tabs>
      <w:ind w:left="0" w:firstLine="0"/>
      <w:outlineLvl w:val="0"/>
    </w:pPr>
    <w:rPr>
      <w:b/>
      <w:bCs/>
    </w:rPr>
  </w:style>
  <w:style w:type="paragraph" w:styleId="Heading2">
    <w:name w:val="heading 2"/>
    <w:basedOn w:val="Heading1"/>
    <w:next w:val="Normal"/>
    <w:link w:val="Heading2Char"/>
    <w:unhideWhenUsed/>
    <w:qFormat/>
    <w:rsid w:val="001C5CB4"/>
    <w:pPr>
      <w:numPr>
        <w:numId w:val="6"/>
      </w:numPr>
      <w:tabs>
        <w:tab w:val="num" w:pos="360"/>
      </w:tabs>
      <w:ind w:left="360" w:firstLine="0"/>
      <w:outlineLvl w:val="1"/>
    </w:pPr>
    <w:rPr>
      <w:b w:val="0"/>
      <w:bCs w:val="0"/>
      <w:i/>
      <w:iCs/>
      <w:u w:val="none"/>
    </w:rPr>
  </w:style>
  <w:style w:type="paragraph" w:styleId="Heading3">
    <w:name w:val="heading 3"/>
    <w:basedOn w:val="Normal"/>
    <w:next w:val="Normal"/>
    <w:link w:val="Heading3Char"/>
    <w:uiPriority w:val="9"/>
    <w:unhideWhenUsed/>
    <w:qFormat/>
    <w:rsid w:val="003B723A"/>
    <w:pPr>
      <w:ind w:left="0"/>
      <w:outlineLvl w:val="2"/>
    </w:pPr>
    <w:rPr>
      <w:b/>
      <w:bCs/>
      <w:i/>
      <w:iCs/>
    </w:rPr>
  </w:style>
  <w:style w:type="paragraph" w:styleId="Heading4">
    <w:name w:val="heading 4"/>
    <w:basedOn w:val="ListParagraph"/>
    <w:next w:val="Normal"/>
    <w:link w:val="Heading4Char"/>
    <w:uiPriority w:val="9"/>
    <w:unhideWhenUsed/>
    <w:qFormat/>
    <w:rsid w:val="00DE1237"/>
    <w:pPr>
      <w:numPr>
        <w:ilvl w:val="1"/>
        <w:numId w:val="3"/>
      </w:numPr>
      <w:tabs>
        <w:tab w:val="num" w:pos="360"/>
      </w:tabs>
      <w:ind w:left="36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5CB4"/>
    <w:pPr>
      <w:tabs>
        <w:tab w:val="center" w:pos="4680"/>
        <w:tab w:val="right" w:pos="9360"/>
      </w:tabs>
      <w:spacing w:after="0" w:line="240" w:lineRule="auto"/>
    </w:pPr>
  </w:style>
  <w:style w:type="character" w:customStyle="1" w:styleId="HeaderChar">
    <w:name w:val="Header Char"/>
    <w:basedOn w:val="DefaultParagraphFont"/>
    <w:link w:val="Header"/>
    <w:rsid w:val="00FC68E9"/>
    <w:rPr>
      <w:rFonts w:ascii="Times New Roman" w:hAnsi="Times New Roman" w:cs="Times New Roman"/>
      <w:sz w:val="24"/>
      <w:szCs w:val="24"/>
    </w:rPr>
  </w:style>
  <w:style w:type="paragraph" w:styleId="Footer">
    <w:name w:val="footer"/>
    <w:basedOn w:val="Normal"/>
    <w:link w:val="FooterChar"/>
    <w:uiPriority w:val="99"/>
    <w:unhideWhenUsed/>
    <w:rsid w:val="001C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8E9"/>
    <w:rPr>
      <w:rFonts w:ascii="Times New Roman" w:hAnsi="Times New Roman" w:cs="Times New Roman"/>
      <w:sz w:val="24"/>
      <w:szCs w:val="24"/>
    </w:rPr>
  </w:style>
  <w:style w:type="paragraph" w:styleId="ListParagraph">
    <w:name w:val="List Paragraph"/>
    <w:basedOn w:val="Normal"/>
    <w:uiPriority w:val="34"/>
    <w:qFormat/>
    <w:rsid w:val="001C5CB4"/>
    <w:pPr>
      <w:numPr>
        <w:numId w:val="11"/>
      </w:numPr>
      <w:contextualSpacing/>
    </w:pPr>
    <w:rPr>
      <w:u w:val="single"/>
    </w:rPr>
  </w:style>
  <w:style w:type="character" w:customStyle="1" w:styleId="Heading1Char">
    <w:name w:val="Heading 1 Char"/>
    <w:basedOn w:val="DefaultParagraphFont"/>
    <w:link w:val="Heading1"/>
    <w:rsid w:val="00FC68E9"/>
    <w:rPr>
      <w:rFonts w:ascii="Times New Roman" w:hAnsi="Times New Roman" w:cs="Times New Roman"/>
      <w:b/>
      <w:bCs/>
      <w:sz w:val="24"/>
      <w:szCs w:val="24"/>
      <w:u w:val="single"/>
    </w:rPr>
  </w:style>
  <w:style w:type="paragraph" w:styleId="Title">
    <w:name w:val="Title"/>
    <w:basedOn w:val="Normal"/>
    <w:next w:val="Normal"/>
    <w:link w:val="TitleChar"/>
    <w:uiPriority w:val="10"/>
    <w:qFormat/>
    <w:rsid w:val="00FC68E9"/>
    <w:pPr>
      <w:jc w:val="center"/>
    </w:pPr>
    <w:rPr>
      <w:caps/>
    </w:rPr>
  </w:style>
  <w:style w:type="character" w:customStyle="1" w:styleId="TitleChar">
    <w:name w:val="Title Char"/>
    <w:basedOn w:val="DefaultParagraphFont"/>
    <w:link w:val="Title"/>
    <w:uiPriority w:val="10"/>
    <w:rsid w:val="00FC68E9"/>
    <w:rPr>
      <w:rFonts w:ascii="Times New Roman" w:hAnsi="Times New Roman" w:cs="Times New Roman"/>
      <w:caps/>
      <w:sz w:val="24"/>
      <w:szCs w:val="24"/>
    </w:rPr>
  </w:style>
  <w:style w:type="character" w:customStyle="1" w:styleId="Heading2Char">
    <w:name w:val="Heading 2 Char"/>
    <w:basedOn w:val="DefaultParagraphFont"/>
    <w:link w:val="Heading2"/>
    <w:rsid w:val="00FC68E9"/>
    <w:rPr>
      <w:rFonts w:ascii="Times New Roman" w:hAnsi="Times New Roman" w:cs="Times New Roman"/>
      <w:i/>
      <w:iCs/>
      <w:sz w:val="24"/>
      <w:szCs w:val="24"/>
    </w:rPr>
  </w:style>
  <w:style w:type="paragraph" w:styleId="Subtitle">
    <w:name w:val="Subtitle"/>
    <w:basedOn w:val="Normal"/>
    <w:next w:val="Normal"/>
    <w:link w:val="SubtitleChar"/>
    <w:uiPriority w:val="11"/>
    <w:qFormat/>
    <w:rsid w:val="00FC68E9"/>
  </w:style>
  <w:style w:type="character" w:customStyle="1" w:styleId="SubtitleChar">
    <w:name w:val="Subtitle Char"/>
    <w:basedOn w:val="DefaultParagraphFont"/>
    <w:link w:val="Subtitle"/>
    <w:uiPriority w:val="11"/>
    <w:rsid w:val="00FC68E9"/>
    <w:rPr>
      <w:rFonts w:ascii="Times New Roman" w:hAnsi="Times New Roman" w:cs="Times New Roman"/>
      <w:sz w:val="24"/>
      <w:szCs w:val="24"/>
    </w:rPr>
  </w:style>
  <w:style w:type="paragraph" w:styleId="BalloonText">
    <w:name w:val="Balloon Text"/>
    <w:basedOn w:val="Normal"/>
    <w:link w:val="BalloonTextChar"/>
    <w:semiHidden/>
    <w:unhideWhenUsed/>
    <w:rsid w:val="001C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68E9"/>
    <w:rPr>
      <w:rFonts w:ascii="Segoe UI" w:hAnsi="Segoe UI" w:cs="Segoe UI"/>
      <w:sz w:val="18"/>
      <w:szCs w:val="18"/>
    </w:rPr>
  </w:style>
  <w:style w:type="character" w:styleId="FootnoteReference">
    <w:name w:val="footnote reference"/>
    <w:basedOn w:val="DefaultParagraphFont"/>
    <w:semiHidden/>
    <w:unhideWhenUsed/>
    <w:rsid w:val="00FC68E9"/>
    <w:rPr>
      <w:vertAlign w:val="superscript"/>
    </w:rPr>
  </w:style>
  <w:style w:type="character" w:customStyle="1" w:styleId="Heading3Char">
    <w:name w:val="Heading 3 Char"/>
    <w:basedOn w:val="DefaultParagraphFont"/>
    <w:link w:val="Heading3"/>
    <w:uiPriority w:val="9"/>
    <w:rsid w:val="003B723A"/>
    <w:rPr>
      <w:rFonts w:ascii="Times New Roman" w:hAnsi="Times New Roman" w:cs="Times New Roman"/>
      <w:b/>
      <w:bCs/>
      <w:i/>
      <w:iCs/>
      <w:sz w:val="24"/>
      <w:szCs w:val="24"/>
    </w:rPr>
  </w:style>
  <w:style w:type="character" w:styleId="CommentReference">
    <w:name w:val="annotation reference"/>
    <w:semiHidden/>
    <w:rsid w:val="003B723A"/>
    <w:rPr>
      <w:sz w:val="16"/>
      <w:szCs w:val="16"/>
    </w:rPr>
  </w:style>
  <w:style w:type="paragraph" w:styleId="CommentText">
    <w:name w:val="annotation text"/>
    <w:basedOn w:val="Normal"/>
    <w:link w:val="CommentTextChar"/>
    <w:semiHidden/>
    <w:rsid w:val="001C5CB4"/>
    <w:pPr>
      <w:spacing w:after="0" w:line="240" w:lineRule="auto"/>
      <w:ind w:left="0"/>
    </w:pPr>
    <w:rPr>
      <w:rFonts w:eastAsia="Times New Roman"/>
      <w:sz w:val="20"/>
      <w:szCs w:val="20"/>
    </w:rPr>
  </w:style>
  <w:style w:type="character" w:customStyle="1" w:styleId="CommentTextChar">
    <w:name w:val="Comment Text Char"/>
    <w:basedOn w:val="DefaultParagraphFont"/>
    <w:link w:val="CommentText"/>
    <w:semiHidden/>
    <w:rsid w:val="003B723A"/>
    <w:rPr>
      <w:rFonts w:ascii="Times New Roman" w:eastAsia="Times New Roman" w:hAnsi="Times New Roman" w:cs="Times New Roman"/>
      <w:sz w:val="20"/>
      <w:szCs w:val="20"/>
    </w:rPr>
  </w:style>
  <w:style w:type="character" w:styleId="Hyperlink">
    <w:name w:val="Hyperlink"/>
    <w:rsid w:val="00C91299"/>
    <w:rPr>
      <w:color w:val="0000FF"/>
      <w:u w:val="single"/>
    </w:rPr>
  </w:style>
  <w:style w:type="character" w:customStyle="1" w:styleId="UnresolvedMention1">
    <w:name w:val="Unresolved Mention1"/>
    <w:basedOn w:val="DefaultParagraphFont"/>
    <w:uiPriority w:val="99"/>
    <w:semiHidden/>
    <w:unhideWhenUsed/>
    <w:rsid w:val="00C91299"/>
    <w:rPr>
      <w:color w:val="605E5C"/>
      <w:shd w:val="clear" w:color="auto" w:fill="E1DFDD"/>
    </w:rPr>
  </w:style>
  <w:style w:type="paragraph" w:styleId="NoSpacing">
    <w:name w:val="No Spacing"/>
    <w:uiPriority w:val="1"/>
    <w:qFormat/>
    <w:rsid w:val="00C91299"/>
    <w:pPr>
      <w:spacing w:after="0" w:line="240" w:lineRule="auto"/>
      <w:ind w:left="360"/>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DE1237"/>
    <w:rPr>
      <w:rFonts w:ascii="Times New Roman" w:hAnsi="Times New Roman" w:cs="Times New Roman"/>
      <w:b/>
      <w:bCs/>
      <w:sz w:val="24"/>
      <w:szCs w:val="24"/>
      <w:u w:val="single"/>
    </w:rPr>
  </w:style>
  <w:style w:type="character" w:styleId="PageNumber">
    <w:name w:val="page number"/>
    <w:basedOn w:val="DefaultParagraphFont"/>
    <w:rsid w:val="006A0A34"/>
  </w:style>
  <w:style w:type="paragraph" w:styleId="CommentSubject">
    <w:name w:val="annotation subject"/>
    <w:basedOn w:val="CommentText"/>
    <w:next w:val="CommentText"/>
    <w:link w:val="CommentSubjectChar"/>
    <w:semiHidden/>
    <w:rsid w:val="006A0A34"/>
    <w:rPr>
      <w:b/>
      <w:bCs/>
    </w:rPr>
  </w:style>
  <w:style w:type="character" w:customStyle="1" w:styleId="CommentSubjectChar">
    <w:name w:val="Comment Subject Char"/>
    <w:basedOn w:val="CommentTextChar"/>
    <w:link w:val="CommentSubject"/>
    <w:semiHidden/>
    <w:rsid w:val="006A0A34"/>
    <w:rPr>
      <w:rFonts w:ascii="Times New Roman" w:eastAsia="Times New Roman" w:hAnsi="Times New Roman" w:cs="Times New Roman"/>
      <w:b/>
      <w:bCs/>
      <w:sz w:val="20"/>
      <w:szCs w:val="20"/>
    </w:rPr>
  </w:style>
  <w:style w:type="paragraph" w:customStyle="1" w:styleId="ParaNumChar1Char">
    <w:name w:val="ParaNum Char1 Char"/>
    <w:basedOn w:val="Normal"/>
    <w:link w:val="ParaNumChar1CharChar"/>
    <w:rsid w:val="001C5CB4"/>
    <w:pPr>
      <w:numPr>
        <w:numId w:val="15"/>
      </w:numPr>
      <w:tabs>
        <w:tab w:val="left" w:pos="1440"/>
      </w:tabs>
      <w:spacing w:after="240" w:line="240" w:lineRule="auto"/>
    </w:pPr>
    <w:rPr>
      <w:rFonts w:eastAsia="Times New Roman"/>
      <w:szCs w:val="20"/>
    </w:rPr>
  </w:style>
  <w:style w:type="character" w:customStyle="1" w:styleId="ParaNumChar1CharChar">
    <w:name w:val="ParaNum Char1 Char Char"/>
    <w:link w:val="ParaNumChar1Char"/>
    <w:rsid w:val="006A0A34"/>
    <w:rPr>
      <w:rFonts w:ascii="Times New Roman" w:eastAsia="Times New Roman" w:hAnsi="Times New Roman" w:cs="Times New Roman"/>
      <w:sz w:val="24"/>
      <w:szCs w:val="20"/>
    </w:rPr>
  </w:style>
  <w:style w:type="paragraph" w:customStyle="1" w:styleId="ParaNum">
    <w:name w:val="ParaNum"/>
    <w:basedOn w:val="Normal"/>
    <w:rsid w:val="001C5CB4"/>
    <w:pPr>
      <w:widowControl w:val="0"/>
      <w:numPr>
        <w:numId w:val="16"/>
      </w:numPr>
      <w:tabs>
        <w:tab w:val="left" w:pos="1080"/>
      </w:tabs>
      <w:spacing w:after="220" w:line="240" w:lineRule="auto"/>
      <w:ind w:left="0"/>
    </w:pPr>
    <w:rPr>
      <w:rFonts w:eastAsia="Times New Roman"/>
      <w:snapToGrid w:val="0"/>
      <w:kern w:val="28"/>
      <w:szCs w:val="22"/>
      <w:lang w:bidi="he-IL"/>
    </w:rPr>
  </w:style>
  <w:style w:type="paragraph" w:styleId="Revision">
    <w:name w:val="Revision"/>
    <w:hidden/>
    <w:uiPriority w:val="99"/>
    <w:semiHidden/>
    <w:rsid w:val="001C5CB4"/>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1C5CB4"/>
    <w:pPr>
      <w:widowControl w:val="0"/>
      <w:tabs>
        <w:tab w:val="left" w:pos="-720"/>
      </w:tabs>
      <w:suppressAutoHyphens/>
      <w:spacing w:after="0" w:line="240" w:lineRule="auto"/>
      <w:ind w:left="0"/>
      <w:jc w:val="both"/>
    </w:pPr>
    <w:rPr>
      <w:rFonts w:eastAsia="Times New Roman"/>
      <w:spacing w:val="-3"/>
      <w:szCs w:val="20"/>
    </w:rPr>
  </w:style>
  <w:style w:type="character" w:customStyle="1" w:styleId="BodyTextChar">
    <w:name w:val="Body Text Char"/>
    <w:basedOn w:val="DefaultParagraphFont"/>
    <w:link w:val="BodyText"/>
    <w:rsid w:val="006A0A34"/>
    <w:rPr>
      <w:rFonts w:ascii="Times New Roman" w:eastAsia="Times New Roman" w:hAnsi="Times New Roman" w:cs="Times New Roman"/>
      <w:spacing w:val="-3"/>
      <w:sz w:val="24"/>
      <w:szCs w:val="20"/>
    </w:rPr>
  </w:style>
  <w:style w:type="paragraph" w:styleId="FootnoteText">
    <w:name w:val="footnote text"/>
    <w:basedOn w:val="Normal"/>
    <w:link w:val="FootnoteTextChar"/>
    <w:semiHidden/>
    <w:unhideWhenUsed/>
    <w:rsid w:val="006A0A34"/>
    <w:pPr>
      <w:spacing w:after="0" w:line="240" w:lineRule="auto"/>
      <w:ind w:left="0"/>
    </w:pPr>
    <w:rPr>
      <w:rFonts w:eastAsia="Times New Roman"/>
      <w:sz w:val="20"/>
      <w:szCs w:val="20"/>
    </w:rPr>
  </w:style>
  <w:style w:type="character" w:customStyle="1" w:styleId="FootnoteTextChar">
    <w:name w:val="Footnote Text Char"/>
    <w:basedOn w:val="DefaultParagraphFont"/>
    <w:link w:val="FootnoteText"/>
    <w:semiHidden/>
    <w:rsid w:val="006A0A34"/>
    <w:rPr>
      <w:rFonts w:ascii="Times New Roman" w:eastAsia="Times New Roman" w:hAnsi="Times New Roman" w:cs="Times New Roman"/>
      <w:sz w:val="20"/>
      <w:szCs w:val="20"/>
    </w:rPr>
  </w:style>
  <w:style w:type="table" w:styleId="TableGrid">
    <w:name w:val="Table Grid"/>
    <w:basedOn w:val="TableNormal"/>
    <w:uiPriority w:val="39"/>
    <w:rsid w:val="003B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5B97"/>
    <w:rPr>
      <w:color w:val="954F72" w:themeColor="followedHyperlink"/>
      <w:u w:val="single"/>
    </w:rPr>
  </w:style>
  <w:style w:type="character" w:styleId="UnresolvedMention">
    <w:name w:val="Unresolved Mention"/>
    <w:basedOn w:val="DefaultParagraphFont"/>
    <w:uiPriority w:val="99"/>
    <w:unhideWhenUsed/>
    <w:rsid w:val="00326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47690011">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03">
      <w:bodyDiv w:val="1"/>
      <w:marLeft w:val="0"/>
      <w:marRight w:val="0"/>
      <w:marTop w:val="0"/>
      <w:marBottom w:val="0"/>
      <w:divBdr>
        <w:top w:val="none" w:sz="0" w:space="0" w:color="auto"/>
        <w:left w:val="none" w:sz="0" w:space="0" w:color="auto"/>
        <w:bottom w:val="none" w:sz="0" w:space="0" w:color="auto"/>
        <w:right w:val="none" w:sz="0" w:space="0" w:color="auto"/>
      </w:divBdr>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476607884">
      <w:bodyDiv w:val="1"/>
      <w:marLeft w:val="0"/>
      <w:marRight w:val="0"/>
      <w:marTop w:val="0"/>
      <w:marBottom w:val="0"/>
      <w:divBdr>
        <w:top w:val="none" w:sz="0" w:space="0" w:color="auto"/>
        <w:left w:val="none" w:sz="0" w:space="0" w:color="auto"/>
        <w:bottom w:val="none" w:sz="0" w:space="0" w:color="auto"/>
        <w:right w:val="none" w:sz="0" w:space="0" w:color="auto"/>
      </w:divBdr>
    </w:div>
    <w:div w:id="523325225">
      <w:bodyDiv w:val="1"/>
      <w:marLeft w:val="0"/>
      <w:marRight w:val="0"/>
      <w:marTop w:val="0"/>
      <w:marBottom w:val="0"/>
      <w:divBdr>
        <w:top w:val="none" w:sz="0" w:space="0" w:color="auto"/>
        <w:left w:val="none" w:sz="0" w:space="0" w:color="auto"/>
        <w:bottom w:val="none" w:sz="0" w:space="0" w:color="auto"/>
        <w:right w:val="none" w:sz="0" w:space="0" w:color="auto"/>
      </w:divBdr>
    </w:div>
    <w:div w:id="627273687">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73158688">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74521079">
      <w:bodyDiv w:val="1"/>
      <w:marLeft w:val="0"/>
      <w:marRight w:val="0"/>
      <w:marTop w:val="0"/>
      <w:marBottom w:val="0"/>
      <w:divBdr>
        <w:top w:val="none" w:sz="0" w:space="0" w:color="auto"/>
        <w:left w:val="none" w:sz="0" w:space="0" w:color="auto"/>
        <w:bottom w:val="none" w:sz="0" w:space="0" w:color="auto"/>
        <w:right w:val="none" w:sz="0" w:space="0" w:color="auto"/>
      </w:divBdr>
    </w:div>
    <w:div w:id="1835560856">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universalservice.org/usaclogin/login.asp"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7D06-1F5B-4E69-A14A-B012BFF6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C85DD-009E-41ED-BAD4-787B0BF62E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2917C7-9745-4FA2-BFAE-9B7EFFC7ABC9}">
  <ds:schemaRefs>
    <ds:schemaRef ds:uri="http://schemas.microsoft.com/sharepoint/v3/contenttype/forms"/>
  </ds:schemaRefs>
</ds:datastoreItem>
</file>

<file path=customXml/itemProps4.xml><?xml version="1.0" encoding="utf-8"?>
<ds:datastoreItem xmlns:ds="http://schemas.openxmlformats.org/officeDocument/2006/customXml" ds:itemID="{8ECEAB47-07F7-144F-A9C4-CB8693B4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11968</Words>
  <Characters>68220</Characters>
  <Application>Microsoft Office Word</Application>
  <DocSecurity>4</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Cruikshank</dc:creator>
  <cp:keywords/>
  <dc:description/>
  <cp:lastModifiedBy>Nicole Ongele</cp:lastModifiedBy>
  <cp:revision>2</cp:revision>
  <cp:lastPrinted>2022-01-02T23:10:00Z</cp:lastPrinted>
  <dcterms:created xsi:type="dcterms:W3CDTF">2022-06-01T13:51:00Z</dcterms:created>
  <dcterms:modified xsi:type="dcterms:W3CDTF">2022-06-01T13:51:00Z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