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6D43" w:rsidR="005F1FFC" w:rsidP="005F1FFC" w:rsidRDefault="005F1FFC" w14:paraId="7E088B25" w14:textId="77777777"/>
    <w:p w:rsidR="003225D2" w:rsidP="001650D5" w:rsidRDefault="005F1FFC"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Pr="00BF6D43" w:rsidR="001650D5" w:rsidP="001650D5" w:rsidRDefault="00D056D0" w14:paraId="2F27FDD4" w14:textId="2DE529A3">
      <w:pPr>
        <w:jc w:val="center"/>
        <w:rPr>
          <w:b/>
          <w:caps/>
          <w:sz w:val="24"/>
          <w:szCs w:val="24"/>
        </w:rPr>
      </w:pPr>
      <w:r>
        <w:rPr>
          <w:b/>
          <w:caps/>
          <w:sz w:val="24"/>
          <w:szCs w:val="24"/>
        </w:rPr>
        <w:t>Consumer complaint Intake System Company portal boarding form</w:t>
      </w:r>
    </w:p>
    <w:p w:rsidRPr="00BF6D43" w:rsidR="003225D2" w:rsidP="003225D2" w:rsidRDefault="003225D2" w14:paraId="4ACA79D4" w14:textId="14534B13">
      <w:pPr>
        <w:jc w:val="center"/>
        <w:rPr>
          <w:b/>
          <w:bCs/>
          <w:sz w:val="24"/>
          <w:szCs w:val="24"/>
        </w:rPr>
      </w:pPr>
      <w:r w:rsidRPr="00BF6D43">
        <w:rPr>
          <w:b/>
          <w:bCs/>
          <w:sz w:val="24"/>
          <w:szCs w:val="24"/>
        </w:rPr>
        <w:t>OMB CONTROL NO.</w:t>
      </w:r>
      <w:r w:rsidR="00401424">
        <w:rPr>
          <w:b/>
          <w:bCs/>
          <w:sz w:val="24"/>
          <w:szCs w:val="24"/>
        </w:rPr>
        <w:t xml:space="preserve">: </w:t>
      </w:r>
      <w:r w:rsidRPr="00BF6D43" w:rsidR="00E81562">
        <w:rPr>
          <w:b/>
          <w:bCs/>
          <w:sz w:val="24"/>
          <w:szCs w:val="24"/>
        </w:rPr>
        <w:t>3170-0</w:t>
      </w:r>
      <w:r w:rsidR="001650D5">
        <w:rPr>
          <w:b/>
          <w:bCs/>
          <w:sz w:val="24"/>
          <w:szCs w:val="24"/>
        </w:rPr>
        <w:t>0</w:t>
      </w:r>
      <w:r w:rsidR="00D056D0">
        <w:rPr>
          <w:b/>
          <w:bCs/>
          <w:sz w:val="24"/>
          <w:szCs w:val="24"/>
        </w:rPr>
        <w:t>54</w:t>
      </w:r>
    </w:p>
    <w:p w:rsidRPr="00BF6D43" w:rsidR="00A4452C" w:rsidP="000F0DD6" w:rsidRDefault="00CF1807" w14:paraId="7DC5C315" w14:textId="0B2A5A15">
      <w:pPr>
        <w:tabs>
          <w:tab w:val="left" w:pos="880"/>
        </w:tabs>
        <w:rPr>
          <w:b/>
          <w:caps/>
          <w:sz w:val="24"/>
        </w:rPr>
      </w:pPr>
      <w:r w:rsidRPr="00BF6D43">
        <w:rPr>
          <w:b/>
          <w:caps/>
          <w:sz w:val="24"/>
        </w:rPr>
        <w:tab/>
      </w:r>
    </w:p>
    <w:p w:rsidRPr="00BF6D43" w:rsidR="005F1FFC" w:rsidP="005F1FFC" w:rsidRDefault="005F1FFC" w14:paraId="14A29F18" w14:textId="77777777">
      <w:pPr>
        <w:jc w:val="center"/>
        <w:rPr>
          <w:b/>
          <w:sz w:val="24"/>
        </w:rPr>
      </w:pP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rsidRDefault="005F1FFC" w14:paraId="1F5F91FF" w14:textId="58367C83">
      <w:pPr>
        <w:rPr>
          <w:sz w:val="24"/>
        </w:rPr>
      </w:pPr>
    </w:p>
    <w:p w:rsidRPr="00D056D0" w:rsidR="00D056D0" w:rsidP="00D056D0" w:rsidRDefault="005A323A" w14:paraId="05F31932" w14:textId="69404A6A">
      <w:pPr>
        <w:rPr>
          <w:sz w:val="24"/>
        </w:rPr>
      </w:pPr>
      <w:r>
        <w:rPr>
          <w:sz w:val="24"/>
        </w:rPr>
        <w:t xml:space="preserve">The </w:t>
      </w:r>
      <w:r w:rsidR="00EE6A8F">
        <w:rPr>
          <w:sz w:val="24"/>
        </w:rPr>
        <w:t xml:space="preserve">Consumer Financial Protection </w:t>
      </w:r>
      <w:r w:rsidRPr="00D056D0" w:rsidR="00D056D0">
        <w:rPr>
          <w:sz w:val="24"/>
        </w:rPr>
        <w:t>Bureau</w:t>
      </w:r>
      <w:r w:rsidR="00EE6A8F">
        <w:rPr>
          <w:sz w:val="24"/>
        </w:rPr>
        <w:t xml:space="preserve"> (CFPB or the Bureau)</w:t>
      </w:r>
      <w:r w:rsidRPr="00D056D0" w:rsidR="00D056D0">
        <w:rPr>
          <w:sz w:val="24"/>
        </w:rPr>
        <w:t xml:space="preserve"> has used the Boarding Form to sign up more than 1,200 companies.  Information collected via the Boarding Form helps the Bureau route complaints to the correct company.  This information includes company name, names of company representatives, and affiliate/subsidiary relationships.  Typically, a company completes the Boarding Form after the Bureau has received a complaint about a company.  Some companies opt to complete the form in advance of the Bureau receiving a complaint, for example, when a depository institution attains an asset level that brings it under the Bureau’s supervisory authority.  There are operational efficiencies realized by companies and the Bureau by having a single OMB-approved form used to board companies to the secure portal. </w:t>
      </w:r>
      <w:r w:rsidR="00563EEE">
        <w:rPr>
          <w:sz w:val="24"/>
        </w:rPr>
        <w:t xml:space="preserve"> </w:t>
      </w:r>
      <w:r w:rsidRPr="00D056D0" w:rsidR="00D056D0">
        <w:rPr>
          <w:sz w:val="24"/>
        </w:rPr>
        <w:t>Companies benefit from being able to join the portal before a complaint has been submitted about them, receiving their first complaint via the secure portal as soon as it is available.  This also enables users to become familiar with the portal.  Using a single OMB-approved form also provides the public with transparency into and clarity about the nature of the information collection itself.  Additionally, the Bureau realizes operational efficiencies by collecting consistent information across companies.</w:t>
      </w:r>
    </w:p>
    <w:p w:rsidRPr="00BF6D43" w:rsidR="00E939D3" w:rsidP="005F1FFC" w:rsidRDefault="00E939D3" w14:paraId="2A8A43BC"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rsidRDefault="005F1FFC" w14:paraId="04B2529C" w14:textId="369B9A03">
      <w:pPr>
        <w:rPr>
          <w:sz w:val="24"/>
        </w:rPr>
      </w:pPr>
    </w:p>
    <w:p w:rsidRPr="00BF6D43" w:rsidR="00D056D0" w:rsidP="005F1FFC" w:rsidRDefault="00D056D0" w14:paraId="0A7032F2" w14:textId="5A5CB71F">
      <w:pPr>
        <w:rPr>
          <w:sz w:val="24"/>
        </w:rPr>
      </w:pPr>
      <w:r w:rsidRPr="00D056D0">
        <w:rPr>
          <w:sz w:val="24"/>
        </w:rPr>
        <w:t xml:space="preserve">Information collected from companies completing the Boarding Form will support due diligence authentication of company identity, inform complaint processing, and give companies secure web-portal access to complaint information.  </w:t>
      </w:r>
    </w:p>
    <w:p w:rsidRPr="00BF6D43" w:rsidR="00E939D3" w:rsidP="005F1FFC" w:rsidRDefault="00E939D3" w14:paraId="19B9EB12" w14:textId="77777777"/>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00E939D3" w:rsidP="00E81562" w:rsidRDefault="00D056D0" w14:paraId="7CEBA56C" w14:textId="553EB144">
      <w:pPr>
        <w:rPr>
          <w:b/>
          <w:sz w:val="24"/>
        </w:rPr>
      </w:pPr>
      <w:r w:rsidRPr="00D056D0">
        <w:rPr>
          <w:rFonts w:eastAsia="Calibri"/>
          <w:sz w:val="24"/>
          <w:szCs w:val="22"/>
        </w:rPr>
        <w:t>The Boarding Form provides a comprehensive list of questions to be posed to companies’ representatives through collections that will be primarily web-based (</w:t>
      </w:r>
      <w:proofErr w:type="gramStart"/>
      <w:r w:rsidRPr="00D056D0">
        <w:rPr>
          <w:rFonts w:eastAsia="Calibri"/>
          <w:sz w:val="24"/>
          <w:szCs w:val="22"/>
        </w:rPr>
        <w:t>i.e.</w:t>
      </w:r>
      <w:proofErr w:type="gramEnd"/>
      <w:r w:rsidRPr="00D056D0">
        <w:rPr>
          <w:rFonts w:eastAsia="Calibri"/>
          <w:sz w:val="24"/>
          <w:szCs w:val="22"/>
        </w:rPr>
        <w:t xml:space="preserve"> the representative will submit the completed form by email).  The form of questions will include open-ended and closed-ended (</w:t>
      </w:r>
      <w:proofErr w:type="gramStart"/>
      <w:r w:rsidRPr="00D056D0">
        <w:rPr>
          <w:rFonts w:eastAsia="Calibri"/>
          <w:sz w:val="24"/>
          <w:szCs w:val="22"/>
        </w:rPr>
        <w:t>i.e.</w:t>
      </w:r>
      <w:proofErr w:type="gramEnd"/>
      <w:r w:rsidRPr="00D056D0">
        <w:rPr>
          <w:rFonts w:eastAsia="Calibri"/>
          <w:sz w:val="24"/>
          <w:szCs w:val="22"/>
        </w:rPr>
        <w:t xml:space="preserve"> multiple choice).</w:t>
      </w:r>
    </w:p>
    <w:p w:rsidRPr="00BF6D43" w:rsidR="00D056D0" w:rsidP="00E81562" w:rsidRDefault="00D056D0" w14:paraId="5C426B2F" w14:textId="77777777">
      <w:pPr>
        <w:rPr>
          <w:b/>
          <w:sz w:val="24"/>
        </w:rPr>
      </w:pP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5F1FFC" w:rsidP="005F1FFC" w:rsidRDefault="005F1FFC" w14:paraId="7339726A" w14:textId="28A9263D">
      <w:pPr>
        <w:rPr>
          <w:sz w:val="24"/>
        </w:rPr>
      </w:pPr>
    </w:p>
    <w:p w:rsidRPr="00BF6D43" w:rsidR="00D056D0" w:rsidP="005F1FFC" w:rsidRDefault="00D056D0" w14:paraId="7C2CB152" w14:textId="373CF66A">
      <w:pPr>
        <w:rPr>
          <w:sz w:val="24"/>
        </w:rPr>
      </w:pPr>
      <w:r w:rsidRPr="00D056D0">
        <w:rPr>
          <w:sz w:val="24"/>
        </w:rPr>
        <w:t>This information collection request does not seek to duplicate any other form being developed by other Federal or State agencies.  The</w:t>
      </w:r>
      <w:r w:rsidR="003A35EF">
        <w:rPr>
          <w:sz w:val="24"/>
        </w:rPr>
        <w:t>se</w:t>
      </w:r>
      <w:r w:rsidRPr="00D056D0">
        <w:rPr>
          <w:sz w:val="24"/>
        </w:rPr>
        <w:t xml:space="preserve"> information collections will improve the processing of individual consumer complaints and inquiries.  The Bureau strives to integrate technology to make the process efficient and user-friendly for companies.</w:t>
      </w:r>
    </w:p>
    <w:p w:rsidRPr="00BF6D43" w:rsidR="00BE61FE" w:rsidP="005F1FFC" w:rsidRDefault="00BE61FE" w14:paraId="1111F676" w14:textId="77777777">
      <w:pPr>
        <w:rPr>
          <w:sz w:val="24"/>
        </w:rPr>
      </w:pPr>
    </w:p>
    <w:p w:rsidRPr="00BF6D43" w:rsidR="00092D91" w:rsidP="00092D91" w:rsidRDefault="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P="00092D91" w:rsidRDefault="005F1FFC" w14:paraId="6511B9A0" w14:textId="3AF42A17">
      <w:pPr>
        <w:pStyle w:val="BodyText"/>
      </w:pPr>
    </w:p>
    <w:p w:rsidRPr="00BF6D43" w:rsidR="00D056D0" w:rsidP="00092D91" w:rsidRDefault="00D056D0" w14:paraId="43FF83C8" w14:textId="3F2831A3">
      <w:pPr>
        <w:pStyle w:val="BodyText"/>
      </w:pPr>
      <w:r w:rsidRPr="00D056D0">
        <w:t>Some small businesses and other small entities may be involved in the</w:t>
      </w:r>
      <w:r w:rsidR="006F288C">
        <w:t>se</w:t>
      </w:r>
      <w:r w:rsidRPr="00D056D0">
        <w:t xml:space="preserve"> information collections.  However, the</w:t>
      </w:r>
      <w:r w:rsidR="0010607C">
        <w:t>se</w:t>
      </w:r>
      <w:r w:rsidRPr="00D056D0">
        <w:t xml:space="preserve"> information collections are voluntary for small businesses and are not anticipated to </w:t>
      </w:r>
      <w:r w:rsidR="0010607C">
        <w:t xml:space="preserve">significantly </w:t>
      </w:r>
      <w:r w:rsidRPr="00D056D0">
        <w:t>burden small businesses.  The Bureau will minimize any burden by request</w:t>
      </w:r>
      <w:r w:rsidR="00FA5CCF">
        <w:t>ing</w:t>
      </w:r>
      <w:r w:rsidRPr="00D056D0">
        <w:t xml:space="preserve"> readily</w:t>
      </w:r>
      <w:r w:rsidR="004C1995">
        <w:t xml:space="preserve"> </w:t>
      </w:r>
      <w:r w:rsidRPr="00D056D0">
        <w:t xml:space="preserve">available information and using plain, short, </w:t>
      </w:r>
      <w:r w:rsidR="00FA5CCF">
        <w:t xml:space="preserve">and </w:t>
      </w:r>
      <w:r w:rsidRPr="00D056D0">
        <w:t>easy-to-complete information collection instruments.</w:t>
      </w:r>
    </w:p>
    <w:p w:rsidRPr="00BF6D43" w:rsidR="00E939D3" w:rsidP="005F1FFC" w:rsidRDefault="00E939D3" w14:paraId="2EE74F06" w14:textId="77777777">
      <w:pPr>
        <w:pStyle w:val="BodyText"/>
      </w:pPr>
    </w:p>
    <w:p w:rsidRPr="00BF6D43" w:rsidR="00F660E8" w:rsidP="00F660E8" w:rsidRDefault="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rsidRDefault="005F1FFC" w14:paraId="039568CD" w14:textId="6C1C163F">
      <w:pPr>
        <w:rPr>
          <w:sz w:val="24"/>
        </w:rPr>
      </w:pPr>
    </w:p>
    <w:p w:rsidRPr="00BF6D43" w:rsidR="00D056D0" w:rsidP="005F1FFC" w:rsidRDefault="00D056D0" w14:paraId="0C8E5F35" w14:textId="707B6B15">
      <w:pPr>
        <w:rPr>
          <w:sz w:val="24"/>
        </w:rPr>
      </w:pPr>
      <w:r w:rsidRPr="00D056D0">
        <w:rPr>
          <w:sz w:val="24"/>
        </w:rPr>
        <w:t>Collecting, investigating, and responding to consumer complaints is one of the Bureau’s primary functions.</w:t>
      </w:r>
      <w:r w:rsidRPr="00D056D0">
        <w:rPr>
          <w:sz w:val="24"/>
          <w:vertAlign w:val="superscript"/>
        </w:rPr>
        <w:footnoteReference w:id="1"/>
      </w:r>
      <w:r w:rsidRPr="00D056D0">
        <w:rPr>
          <w:sz w:val="24"/>
          <w:vertAlign w:val="superscript"/>
        </w:rPr>
        <w:t xml:space="preserve">   </w:t>
      </w:r>
      <w:r w:rsidRPr="00D056D0">
        <w:rPr>
          <w:sz w:val="24"/>
        </w:rPr>
        <w:t>The submission of information by companies using the Boarding Form will be voluntary.  If the Boarding Form is not used, the Bureau will not be able to maximize the efficiency of complaint handling in partnership with companies.  There are operational efficiencies realized by companies and the Bureau by having a single OMB-approved form used to board companies to the secure portal.  Companies benefit from being able to join the portal before a complaint has been submitted about them, receiving their first complaint via the secure portal as soon as it is available. This also enables users to become familiar with the portal.  Using a single OMB-approved form also provides the public with transparency into and clarity about the nature of the information collection itself.  Additionally, the Bureau realizes operational efficiencies by collecting consistent information across companies.</w:t>
      </w:r>
    </w:p>
    <w:p w:rsidRPr="00BF6D43" w:rsidR="00E939D3" w:rsidP="00BE61FE" w:rsidRDefault="00E939D3" w14:paraId="224E9EAF" w14:textId="77777777">
      <w:pPr>
        <w:rPr>
          <w:sz w:val="24"/>
        </w:rPr>
      </w:pP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lastRenderedPageBreak/>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proofErr w:type="gramStart"/>
      <w:r w:rsidRPr="00BF6D43">
        <w:rPr>
          <w:b/>
          <w:bCs/>
          <w:sz w:val="24"/>
          <w:szCs w:val="24"/>
        </w:rPr>
        <w:t>quarterly;</w:t>
      </w:r>
      <w:proofErr w:type="gramEnd"/>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proofErr w:type="gramStart"/>
      <w:r w:rsidRPr="00BF6D43">
        <w:rPr>
          <w:b/>
          <w:bCs/>
          <w:sz w:val="24"/>
          <w:szCs w:val="24"/>
        </w:rPr>
        <w:t>it;</w:t>
      </w:r>
      <w:proofErr w:type="gramEnd"/>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proofErr w:type="gramStart"/>
      <w:r w:rsidRPr="00BF6D43">
        <w:rPr>
          <w:b/>
          <w:bCs/>
          <w:sz w:val="24"/>
          <w:szCs w:val="24"/>
        </w:rPr>
        <w:t>document;</w:t>
      </w:r>
      <w:proofErr w:type="gramEnd"/>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proofErr w:type="gramStart"/>
      <w:r w:rsidRPr="00BF6D43">
        <w:rPr>
          <w:b/>
          <w:bCs/>
          <w:sz w:val="24"/>
          <w:szCs w:val="24"/>
        </w:rPr>
        <w:t>years;</w:t>
      </w:r>
      <w:proofErr w:type="gramEnd"/>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D056D0" w:rsidP="00D056D0" w:rsidRDefault="00D056D0" w14:paraId="6F594071" w14:textId="4E0A2AC2">
      <w:pPr>
        <w:rPr>
          <w:sz w:val="24"/>
        </w:rPr>
      </w:pPr>
    </w:p>
    <w:p w:rsidRPr="00BF6D43" w:rsidR="00D056D0" w:rsidP="00D056D0" w:rsidRDefault="00D056D0" w14:paraId="77172A1E" w14:textId="1C2B8C12">
      <w:pPr>
        <w:rPr>
          <w:sz w:val="24"/>
        </w:rPr>
      </w:pPr>
      <w:r w:rsidRPr="00D056D0">
        <w:rPr>
          <w:sz w:val="24"/>
        </w:rPr>
        <w:t>There are no special circumstances.  The collection of information is conducted in a manner consistent with the guidelines in 5 CFR § 1320(5)(d)(2).</w:t>
      </w:r>
    </w:p>
    <w:p w:rsidRPr="00BF6D43" w:rsidR="00E939D3" w:rsidP="005F1FFC" w:rsidRDefault="00E939D3" w14:paraId="630F2A4B" w14:textId="77777777">
      <w:pPr>
        <w:ind w:left="720"/>
        <w:rPr>
          <w:sz w:val="24"/>
        </w:rPr>
      </w:pPr>
    </w:p>
    <w:p w:rsidRPr="00BF6D43"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proofErr w:type="gramStart"/>
      <w:r w:rsidRPr="00BF6D43">
        <w:rPr>
          <w:b/>
          <w:bCs/>
          <w:sz w:val="24"/>
          <w:szCs w:val="24"/>
        </w:rPr>
        <w:t>publication</w:t>
      </w:r>
      <w:proofErr w:type="gramEnd"/>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00DB4142" w:rsidP="00DB4142" w:rsidRDefault="00DB4142" w14:paraId="342F47DB" w14:textId="77777777">
      <w:pPr>
        <w:rPr>
          <w:bCs/>
          <w:sz w:val="24"/>
        </w:rPr>
      </w:pPr>
      <w:r>
        <w:rPr>
          <w:bCs/>
          <w:sz w:val="24"/>
        </w:rPr>
        <w:t>Per requirements in 44 USC 3506(c)(2)(a), the Bureau published a 60-day notice within the Federal Register</w:t>
      </w:r>
      <w:r>
        <w:rPr>
          <w:rStyle w:val="FootnoteReference"/>
          <w:bCs/>
          <w:sz w:val="24"/>
        </w:rPr>
        <w:footnoteReference w:id="2"/>
      </w:r>
      <w:r>
        <w:rPr>
          <w:bCs/>
          <w:sz w:val="24"/>
        </w:rPr>
        <w:t>.  No comments were received.</w:t>
      </w:r>
    </w:p>
    <w:p w:rsidR="00DB4142" w:rsidP="00DB4142" w:rsidRDefault="00DB4142" w14:paraId="14E47248" w14:textId="77777777">
      <w:pPr>
        <w:rPr>
          <w:bCs/>
          <w:sz w:val="24"/>
        </w:rPr>
      </w:pPr>
    </w:p>
    <w:p w:rsidR="00DB4142" w:rsidP="00DB4142" w:rsidRDefault="00DB4142" w14:paraId="1B00DFD8" w14:textId="77777777">
      <w:pPr>
        <w:rPr>
          <w:bCs/>
          <w:sz w:val="24"/>
        </w:rPr>
      </w:pPr>
      <w:r>
        <w:rPr>
          <w:bCs/>
          <w:sz w:val="24"/>
        </w:rPr>
        <w:t>Per requirements in 44 USC 3507(b), the Bureau also published a 30-day notice within the Federal Register</w:t>
      </w:r>
      <w:r>
        <w:rPr>
          <w:rStyle w:val="FootnoteReference"/>
          <w:bCs/>
          <w:sz w:val="24"/>
        </w:rPr>
        <w:footnoteReference w:id="3"/>
      </w:r>
      <w:r>
        <w:rPr>
          <w:bCs/>
          <w:sz w:val="24"/>
        </w:rPr>
        <w:t>.  That notice directed respondents to submit comments directly to the OMB desk officer per normative procedure.</w:t>
      </w:r>
    </w:p>
    <w:p w:rsidRPr="00BF6D43" w:rsidR="00E939D3" w:rsidP="005F1FFC" w:rsidRDefault="00E939D3" w14:paraId="6891C959"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rsidRDefault="005F1FFC" w14:paraId="0EFC2C53" w14:textId="5C2CF1DD">
      <w:pPr>
        <w:rPr>
          <w:sz w:val="24"/>
        </w:rPr>
      </w:pPr>
    </w:p>
    <w:p w:rsidRPr="00BF6D43" w:rsidR="00D8511F" w:rsidP="005F1FFC" w:rsidRDefault="00D8511F" w14:paraId="43479143" w14:textId="771B6722">
      <w:pPr>
        <w:rPr>
          <w:sz w:val="24"/>
        </w:rPr>
      </w:pPr>
      <w:r w:rsidRPr="00D8511F">
        <w:rPr>
          <w:sz w:val="24"/>
        </w:rPr>
        <w:t>The information collections do not provide any payment or gift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Pr="00BF6D43" w:rsidR="005F1FFC" w:rsidP="005F1FFC" w:rsidRDefault="005F1FFC" w14:paraId="59FF77B7" w14:textId="77777777">
      <w:pPr>
        <w:ind w:left="720"/>
        <w:rPr>
          <w:sz w:val="24"/>
        </w:rPr>
      </w:pPr>
    </w:p>
    <w:p w:rsidRPr="00D8511F" w:rsidR="00D8511F" w:rsidP="00D8511F" w:rsidRDefault="00D8511F" w14:paraId="6010ECEA" w14:textId="00AB8E11">
      <w:pPr>
        <w:rPr>
          <w:sz w:val="24"/>
        </w:rPr>
      </w:pPr>
      <w:r w:rsidRPr="00D8511F">
        <w:rPr>
          <w:sz w:val="24"/>
        </w:rPr>
        <w:t>All information collection activities will be conducted in full compliance with the requirements for the protection of nonpublic information and personally identifiable information and for data security and integrity set forth in the federal privacy laws, including the Bureau’s rules (12 CFR § 1070.50 et seq.) pursuant to the Privacy Act (5 U.S.C. § 552a).  At the point of information collection, the Bureau’s website explains that personally identifiable information will be kept private to the extent permitted by law and Bureau rules.  The Bureau website privacy policy further explains the Bureau’s privacy practices.</w:t>
      </w:r>
      <w:r w:rsidRPr="00D8511F">
        <w:rPr>
          <w:sz w:val="24"/>
          <w:vertAlign w:val="superscript"/>
        </w:rPr>
        <w:footnoteReference w:id="4"/>
      </w:r>
      <w:r w:rsidRPr="00D8511F">
        <w:rPr>
          <w:sz w:val="24"/>
        </w:rPr>
        <w:t xml:space="preserve">  The form includes a Privacy Act </w:t>
      </w:r>
      <w:proofErr w:type="gramStart"/>
      <w:r w:rsidR="0016702A">
        <w:rPr>
          <w:sz w:val="24"/>
        </w:rPr>
        <w:t>s</w:t>
      </w:r>
      <w:r w:rsidRPr="00D8511F">
        <w:rPr>
          <w:sz w:val="24"/>
        </w:rPr>
        <w:t>tatement</w:t>
      </w:r>
      <w:proofErr w:type="gramEnd"/>
      <w:r w:rsidRPr="00D8511F">
        <w:rPr>
          <w:sz w:val="24"/>
        </w:rPr>
        <w:t xml:space="preserve"> and the website privacy policy will be located on the bottom of the web-form page.</w:t>
      </w:r>
    </w:p>
    <w:p w:rsidRPr="00D8511F" w:rsidR="00D8511F" w:rsidP="00D8511F" w:rsidRDefault="00D8511F" w14:paraId="045DA640" w14:textId="77777777">
      <w:pPr>
        <w:rPr>
          <w:sz w:val="24"/>
        </w:rPr>
      </w:pPr>
    </w:p>
    <w:p w:rsidRPr="00D8511F" w:rsidR="00D8511F" w:rsidP="00D8511F" w:rsidRDefault="00D8511F" w14:paraId="17BFA58B" w14:textId="77777777">
      <w:pPr>
        <w:rPr>
          <w:sz w:val="24"/>
        </w:rPr>
      </w:pPr>
      <w:r w:rsidRPr="00D8511F">
        <w:rPr>
          <w:sz w:val="24"/>
        </w:rPr>
        <w:t>The Bureau has in place the appropriate security measures to ensure data is safeguarded, including the use of locked file storage, confidentiality stamping, restricted system access, data encryption, restricted print options, and disposal by cross-cut shredding.  The information system is fully compliant with the Federal Information Security Management Act of 2002 security category of “Moderate, Moderate, Low.”</w:t>
      </w:r>
    </w:p>
    <w:p w:rsidRPr="00D8511F" w:rsidR="00D8511F" w:rsidP="00D8511F" w:rsidRDefault="00D8511F" w14:paraId="2E3E7321" w14:textId="77777777">
      <w:pPr>
        <w:rPr>
          <w:sz w:val="24"/>
        </w:rPr>
      </w:pPr>
    </w:p>
    <w:p w:rsidRPr="00D8511F" w:rsidR="00D8511F" w:rsidP="00D8511F" w:rsidRDefault="00D8511F" w14:paraId="2CD38438" w14:textId="6AED3A7F">
      <w:pPr>
        <w:rPr>
          <w:sz w:val="24"/>
        </w:rPr>
      </w:pPr>
      <w:r w:rsidRPr="00D8511F">
        <w:rPr>
          <w:sz w:val="24"/>
        </w:rPr>
        <w:t xml:space="preserve">On March 20, 2013, the Bureau published a Privacy Impact Assessment (PIA) for the Consumer Response System. </w:t>
      </w:r>
      <w:r w:rsidRPr="001727A9" w:rsidR="005F5CDD">
        <w:rPr>
          <w:color w:val="000000"/>
          <w:sz w:val="24"/>
          <w:szCs w:val="24"/>
        </w:rPr>
        <w:t>Pursuant to</w:t>
      </w:r>
      <w:r w:rsidR="005F5CDD">
        <w:rPr>
          <w:color w:val="000000"/>
          <w:sz w:val="24"/>
          <w:szCs w:val="24"/>
        </w:rPr>
        <w:t xml:space="preserve"> the E-Government Act of 2002,</w:t>
      </w:r>
      <w:r w:rsidRPr="00120C6F" w:rsidR="005F5CDD">
        <w:rPr>
          <w:sz w:val="24"/>
        </w:rPr>
        <w:t xml:space="preserve"> </w:t>
      </w:r>
      <w:r w:rsidR="005F5CDD">
        <w:rPr>
          <w:sz w:val="24"/>
        </w:rPr>
        <w:t>t</w:t>
      </w:r>
      <w:r w:rsidRPr="00D8511F">
        <w:rPr>
          <w:sz w:val="24"/>
        </w:rPr>
        <w:t xml:space="preserve">he Bureau uses PIAs to document how the personally identifiable information (PII) it collects is used, secured, and destroyed in a way that protects </w:t>
      </w:r>
      <w:proofErr w:type="gramStart"/>
      <w:r w:rsidRPr="00D8511F">
        <w:rPr>
          <w:sz w:val="24"/>
        </w:rPr>
        <w:t>each individual’s</w:t>
      </w:r>
      <w:proofErr w:type="gramEnd"/>
      <w:r w:rsidRPr="00D8511F">
        <w:rPr>
          <w:sz w:val="24"/>
        </w:rPr>
        <w:t xml:space="preserve"> privacy.  </w:t>
      </w:r>
      <w:r w:rsidR="005F5CDD">
        <w:rPr>
          <w:color w:val="000000"/>
          <w:sz w:val="24"/>
          <w:szCs w:val="24"/>
        </w:rPr>
        <w:t>Additionally, the PIA identifies privacy risks associated with the system and information collection and mitigations the Bureau takes to address these risks</w:t>
      </w:r>
      <w:r w:rsidRPr="001727A9" w:rsidR="005F5CDD">
        <w:rPr>
          <w:color w:val="000000"/>
          <w:sz w:val="24"/>
          <w:szCs w:val="24"/>
        </w:rPr>
        <w:t>.</w:t>
      </w:r>
      <w:r w:rsidR="005F5CDD">
        <w:rPr>
          <w:color w:val="000000"/>
          <w:sz w:val="24"/>
          <w:szCs w:val="24"/>
        </w:rPr>
        <w:t xml:space="preserve"> </w:t>
      </w:r>
      <w:r w:rsidRPr="00D8511F">
        <w:rPr>
          <w:sz w:val="24"/>
        </w:rPr>
        <w:t>The PIA is p</w:t>
      </w:r>
      <w:r w:rsidR="005F5CDD">
        <w:rPr>
          <w:sz w:val="24"/>
        </w:rPr>
        <w:t>ublished</w:t>
      </w:r>
      <w:r w:rsidRPr="00D8511F">
        <w:rPr>
          <w:sz w:val="24"/>
        </w:rPr>
        <w:t xml:space="preserve"> on the Bureau’s website at </w:t>
      </w:r>
      <w:hyperlink w:history="1" r:id="rId13">
        <w:r w:rsidRPr="00D8511F">
          <w:rPr>
            <w:rStyle w:val="Hyperlink"/>
            <w:sz w:val="24"/>
          </w:rPr>
          <w:t>https://files.consumerfinance.gov/f/201303_CFPB_PIA-Consumer-Response-System.pdf</w:t>
        </w:r>
      </w:hyperlink>
      <w:r w:rsidRPr="00D8511F">
        <w:rPr>
          <w:sz w:val="24"/>
        </w:rPr>
        <w:t>.</w:t>
      </w:r>
      <w:r w:rsidR="00C36866">
        <w:rPr>
          <w:sz w:val="24"/>
        </w:rPr>
        <w:t xml:space="preserve"> </w:t>
      </w:r>
      <w:r w:rsidR="00147B21">
        <w:rPr>
          <w:sz w:val="24"/>
        </w:rPr>
        <w:t xml:space="preserve"> </w:t>
      </w:r>
      <w:r w:rsidRPr="00120C6F" w:rsidR="005F5CDD">
        <w:rPr>
          <w:sz w:val="24"/>
        </w:rPr>
        <w:t>The PIA is currently in the process of being updated.</w:t>
      </w:r>
      <w:r w:rsidRPr="00D8511F">
        <w:rPr>
          <w:sz w:val="24"/>
        </w:rPr>
        <w:t xml:space="preserve"> </w:t>
      </w:r>
    </w:p>
    <w:p w:rsidRPr="00D8511F" w:rsidR="00D8511F" w:rsidP="00D8511F" w:rsidRDefault="00D8511F" w14:paraId="498419E8" w14:textId="77777777">
      <w:pPr>
        <w:rPr>
          <w:sz w:val="24"/>
        </w:rPr>
      </w:pPr>
    </w:p>
    <w:p w:rsidRPr="00D8511F" w:rsidR="00D8511F" w:rsidP="00D8511F" w:rsidRDefault="00D8511F" w14:paraId="6BE2B0A5" w14:textId="77E60029">
      <w:pPr>
        <w:rPr>
          <w:sz w:val="24"/>
        </w:rPr>
      </w:pPr>
      <w:r w:rsidRPr="00D8511F">
        <w:rPr>
          <w:sz w:val="24"/>
        </w:rPr>
        <w:lastRenderedPageBreak/>
        <w:t>Additionally, in accordance with the Privacy Act of 1974, as amended, the Bureau published a Systems of Records Notice (SORN) in the Federal Register (</w:t>
      </w:r>
      <w:r w:rsidR="00304F94">
        <w:rPr>
          <w:sz w:val="24"/>
        </w:rPr>
        <w:t>83</w:t>
      </w:r>
      <w:r w:rsidRPr="00D8511F">
        <w:rPr>
          <w:sz w:val="24"/>
        </w:rPr>
        <w:t xml:space="preserve"> FR</w:t>
      </w:r>
      <w:r w:rsidR="00304F94">
        <w:rPr>
          <w:sz w:val="24"/>
        </w:rPr>
        <w:t xml:space="preserve"> </w:t>
      </w:r>
      <w:r w:rsidRPr="009B366A" w:rsidR="00304F94">
        <w:rPr>
          <w:sz w:val="24"/>
        </w:rPr>
        <w:t>32640</w:t>
      </w:r>
      <w:r w:rsidRPr="00D8511F">
        <w:rPr>
          <w:sz w:val="24"/>
        </w:rPr>
        <w:t xml:space="preserve">, </w:t>
      </w:r>
      <w:r w:rsidR="00304F94">
        <w:rPr>
          <w:sz w:val="24"/>
        </w:rPr>
        <w:t>July</w:t>
      </w:r>
      <w:r w:rsidRPr="00D8511F">
        <w:rPr>
          <w:sz w:val="24"/>
        </w:rPr>
        <w:t>1</w:t>
      </w:r>
      <w:r w:rsidR="00304F94">
        <w:rPr>
          <w:sz w:val="24"/>
        </w:rPr>
        <w:t>3</w:t>
      </w:r>
      <w:r w:rsidRPr="00D8511F">
        <w:rPr>
          <w:sz w:val="24"/>
        </w:rPr>
        <w:t>, 201</w:t>
      </w:r>
      <w:r w:rsidR="00304F94">
        <w:rPr>
          <w:sz w:val="24"/>
        </w:rPr>
        <w:t>8</w:t>
      </w:r>
      <w:r w:rsidRPr="00D8511F">
        <w:rPr>
          <w:sz w:val="24"/>
        </w:rPr>
        <w:t>).  The title for the SORN is CFPB.005—Consumer Response System. The SORN is available on the Internet at</w:t>
      </w:r>
      <w:r w:rsidR="00C36866">
        <w:rPr>
          <w:sz w:val="24"/>
        </w:rPr>
        <w:t xml:space="preserve"> </w:t>
      </w:r>
      <w:hyperlink w:history="1" r:id="rId14">
        <w:r w:rsidRPr="009A13AB" w:rsidR="00304F94">
          <w:rPr>
            <w:rStyle w:val="Hyperlink"/>
            <w:sz w:val="24"/>
            <w:szCs w:val="24"/>
          </w:rPr>
          <w:t>https://www.federalregister.gov/documents/2018/07/13/2018-14990/privacy-act-of-1974-system-of-records</w:t>
        </w:r>
      </w:hyperlink>
      <w:r w:rsidRPr="00D8511F">
        <w:rPr>
          <w:sz w:val="24"/>
        </w:rPr>
        <w:t>.</w:t>
      </w:r>
    </w:p>
    <w:p w:rsidRPr="00BF6D43" w:rsidR="00D8511F" w:rsidP="00D8511F" w:rsidRDefault="00D8511F" w14:paraId="4838C8B6" w14:textId="77777777">
      <w:pPr>
        <w:rPr>
          <w:sz w:val="24"/>
        </w:rPr>
      </w:pPr>
    </w:p>
    <w:p w:rsidRPr="00BF6D43" w:rsidR="00F660E8" w:rsidP="00F660E8" w:rsidRDefault="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5F1FFC" w:rsidRDefault="005F1FFC" w14:paraId="74706F28" w14:textId="77777777">
      <w:pPr>
        <w:ind w:left="720"/>
        <w:rPr>
          <w:sz w:val="24"/>
        </w:rPr>
      </w:pPr>
    </w:p>
    <w:p w:rsidR="00A93967" w:rsidP="005F1FFC" w:rsidRDefault="00D8511F" w14:paraId="42E5A68A" w14:textId="5081103D">
      <w:pPr>
        <w:pStyle w:val="BodyText"/>
      </w:pPr>
      <w:r w:rsidRPr="00D8511F">
        <w:t xml:space="preserve">While much of the information requested in the Boarding Form is commercial information generally available to the public, some fields do ask for sensitive, nonpublic information.  For instance, the form asks for the company’s point-of-contact and a designee </w:t>
      </w:r>
      <w:r w:rsidRPr="00D8511F" w:rsidR="00147B21">
        <w:t>and</w:t>
      </w:r>
      <w:r w:rsidRPr="00D8511F">
        <w:t xml:space="preserve"> asks for the company’s tax ID number.  Nonpublic information will not be disclosed to the public and will be held in an encrypted system for their protection.</w:t>
      </w:r>
    </w:p>
    <w:p w:rsidRPr="00BF6D43" w:rsidR="00D8511F" w:rsidP="005F1FFC" w:rsidRDefault="00D8511F" w14:paraId="0F89F3CA" w14:textId="77777777">
      <w:pPr>
        <w:pStyle w:val="BodyText"/>
      </w:pP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rsidRDefault="00BC16BB" w14:paraId="18388E76" w14:textId="23CF03E1">
      <w:pPr>
        <w:rPr>
          <w:bCs/>
          <w:sz w:val="24"/>
        </w:rPr>
      </w:pPr>
    </w:p>
    <w:p w:rsidRPr="00D8511F" w:rsidR="00D8511F" w:rsidP="00D8511F" w:rsidRDefault="00D8511F" w14:paraId="67A9231E" w14:textId="12190C98">
      <w:pPr>
        <w:rPr>
          <w:bCs/>
          <w:sz w:val="24"/>
        </w:rPr>
      </w:pPr>
      <w:r w:rsidRPr="00D8511F">
        <w:rPr>
          <w:bCs/>
          <w:sz w:val="24"/>
        </w:rPr>
        <w:t xml:space="preserve">Respondents include companies that are the subjects of consumer complaints and companies that are service providers of the companies that are the subjects of consumer complaints.  The Bureau estimates that approximately </w:t>
      </w:r>
      <w:r w:rsidR="00CC4163">
        <w:rPr>
          <w:bCs/>
          <w:sz w:val="24"/>
        </w:rPr>
        <w:t>400</w:t>
      </w:r>
      <w:r w:rsidRPr="00D8511F">
        <w:rPr>
          <w:bCs/>
          <w:sz w:val="24"/>
        </w:rPr>
        <w:t xml:space="preserve"> companies will submit the Boarding Form for the first time per year.  Th</w:t>
      </w:r>
      <w:r w:rsidR="001D4E14">
        <w:rPr>
          <w:bCs/>
          <w:sz w:val="24"/>
        </w:rPr>
        <w:t xml:space="preserve">is form’s previous clearance </w:t>
      </w:r>
      <w:r w:rsidR="006957A5">
        <w:rPr>
          <w:bCs/>
          <w:sz w:val="24"/>
        </w:rPr>
        <w:t>proposed</w:t>
      </w:r>
      <w:r w:rsidRPr="00D8511F">
        <w:rPr>
          <w:bCs/>
          <w:sz w:val="24"/>
        </w:rPr>
        <w:t xml:space="preserve"> an estimate of </w:t>
      </w:r>
      <w:r w:rsidR="00A84143">
        <w:rPr>
          <w:bCs/>
          <w:sz w:val="24"/>
        </w:rPr>
        <w:t>500</w:t>
      </w:r>
      <w:r w:rsidR="006957A5">
        <w:rPr>
          <w:bCs/>
          <w:sz w:val="24"/>
        </w:rPr>
        <w:t xml:space="preserve">.  However, </w:t>
      </w:r>
      <w:r w:rsidRPr="00D8511F">
        <w:rPr>
          <w:bCs/>
          <w:sz w:val="24"/>
        </w:rPr>
        <w:t xml:space="preserve">that estimate is now being </w:t>
      </w:r>
      <w:r w:rsidR="006957A5">
        <w:rPr>
          <w:bCs/>
          <w:sz w:val="24"/>
        </w:rPr>
        <w:t xml:space="preserve">revised </w:t>
      </w:r>
      <w:r w:rsidRPr="00D8511F">
        <w:rPr>
          <w:bCs/>
          <w:sz w:val="24"/>
        </w:rPr>
        <w:t xml:space="preserve">to </w:t>
      </w:r>
      <w:r w:rsidR="00CC4163">
        <w:rPr>
          <w:bCs/>
          <w:sz w:val="24"/>
        </w:rPr>
        <w:t>400</w:t>
      </w:r>
      <w:r w:rsidRPr="00D8511F">
        <w:rPr>
          <w:bCs/>
          <w:sz w:val="24"/>
        </w:rPr>
        <w:t xml:space="preserve"> to better reflect </w:t>
      </w:r>
      <w:r w:rsidRPr="00D8511F">
        <w:rPr>
          <w:bCs/>
          <w:sz w:val="24"/>
        </w:rPr>
        <w:lastRenderedPageBreak/>
        <w:t>recent available boarding information.  In addition, an estimated 50 companies</w:t>
      </w:r>
      <w:r w:rsidR="00317695">
        <w:rPr>
          <w:bCs/>
          <w:sz w:val="24"/>
        </w:rPr>
        <w:t xml:space="preserve"> (a subset of the 400 respondents)</w:t>
      </w:r>
      <w:r w:rsidRPr="00D8511F">
        <w:rPr>
          <w:bCs/>
          <w:sz w:val="24"/>
        </w:rPr>
        <w:t xml:space="preserve"> will submit </w:t>
      </w:r>
      <w:r w:rsidR="00232D54">
        <w:rPr>
          <w:bCs/>
          <w:sz w:val="24"/>
        </w:rPr>
        <w:t>the recently</w:t>
      </w:r>
      <w:r w:rsidRPr="00D8511F">
        <w:rPr>
          <w:bCs/>
          <w:sz w:val="24"/>
        </w:rPr>
        <w:t xml:space="preserve"> updated</w:t>
      </w:r>
      <w:r w:rsidR="008C2865">
        <w:rPr>
          <w:bCs/>
          <w:sz w:val="24"/>
        </w:rPr>
        <w:t xml:space="preserve"> version of the</w:t>
      </w:r>
      <w:r w:rsidRPr="00D8511F">
        <w:rPr>
          <w:bCs/>
          <w:sz w:val="24"/>
        </w:rPr>
        <w:t xml:space="preserve"> form per year</w:t>
      </w:r>
      <w:r w:rsidR="00317695">
        <w:rPr>
          <w:bCs/>
          <w:sz w:val="24"/>
        </w:rPr>
        <w:t>.</w:t>
      </w:r>
    </w:p>
    <w:p w:rsidRPr="00D8511F" w:rsidR="00D8511F" w:rsidP="00D8511F" w:rsidRDefault="00D8511F" w14:paraId="68BB572F" w14:textId="5F755DD8">
      <w:pPr>
        <w:rPr>
          <w:b/>
          <w:bCs/>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2"/>
        <w:gridCol w:w="1454"/>
        <w:gridCol w:w="1278"/>
        <w:gridCol w:w="1309"/>
        <w:gridCol w:w="1123"/>
        <w:gridCol w:w="1136"/>
      </w:tblGrid>
      <w:tr w:rsidRPr="001062EE" w:rsidR="00D8511F" w:rsidTr="00EA4424" w14:paraId="52E63DE1" w14:textId="77777777">
        <w:tc>
          <w:tcPr>
            <w:tcW w:w="2222" w:type="dxa"/>
            <w:tcBorders>
              <w:bottom w:val="single" w:color="auto" w:sz="4" w:space="0"/>
            </w:tcBorders>
            <w:shd w:val="clear" w:color="auto" w:fill="D9D9D9" w:themeFill="background1" w:themeFillShade="D9"/>
          </w:tcPr>
          <w:p w:rsidRPr="001062EE" w:rsidR="00D8511F" w:rsidP="00D8511F" w:rsidRDefault="00D8511F" w14:paraId="760C9B09" w14:textId="77777777">
            <w:pPr>
              <w:rPr>
                <w:b/>
                <w:bCs/>
              </w:rPr>
            </w:pPr>
            <w:r w:rsidRPr="001062EE">
              <w:rPr>
                <w:b/>
                <w:bCs/>
              </w:rPr>
              <w:t>Collection of Information</w:t>
            </w:r>
          </w:p>
        </w:tc>
        <w:tc>
          <w:tcPr>
            <w:tcW w:w="1454" w:type="dxa"/>
            <w:tcBorders>
              <w:bottom w:val="single" w:color="auto" w:sz="4" w:space="0"/>
            </w:tcBorders>
            <w:shd w:val="clear" w:color="auto" w:fill="D9D9D9" w:themeFill="background1" w:themeFillShade="D9"/>
          </w:tcPr>
          <w:p w:rsidRPr="001062EE" w:rsidR="00D8511F" w:rsidP="00D8511F" w:rsidRDefault="00D8511F" w14:paraId="5CA496DD" w14:textId="77777777">
            <w:pPr>
              <w:rPr>
                <w:b/>
                <w:bCs/>
              </w:rPr>
            </w:pPr>
            <w:r w:rsidRPr="001062EE">
              <w:rPr>
                <w:b/>
                <w:bCs/>
              </w:rPr>
              <w:t>Number of Respondents</w:t>
            </w:r>
          </w:p>
        </w:tc>
        <w:tc>
          <w:tcPr>
            <w:tcW w:w="1278" w:type="dxa"/>
            <w:tcBorders>
              <w:bottom w:val="single" w:color="auto" w:sz="4" w:space="0"/>
            </w:tcBorders>
            <w:shd w:val="clear" w:color="auto" w:fill="D9D9D9" w:themeFill="background1" w:themeFillShade="D9"/>
          </w:tcPr>
          <w:p w:rsidRPr="001062EE" w:rsidR="00D8511F" w:rsidP="00D8511F" w:rsidRDefault="00D8511F" w14:paraId="313C7A06" w14:textId="77777777">
            <w:pPr>
              <w:rPr>
                <w:b/>
                <w:bCs/>
              </w:rPr>
            </w:pPr>
            <w:r w:rsidRPr="001062EE">
              <w:rPr>
                <w:b/>
                <w:bCs/>
              </w:rPr>
              <w:t>Frequency</w:t>
            </w:r>
          </w:p>
        </w:tc>
        <w:tc>
          <w:tcPr>
            <w:tcW w:w="1309" w:type="dxa"/>
            <w:tcBorders>
              <w:bottom w:val="single" w:color="auto" w:sz="4" w:space="0"/>
            </w:tcBorders>
            <w:shd w:val="clear" w:color="auto" w:fill="D9D9D9" w:themeFill="background1" w:themeFillShade="D9"/>
          </w:tcPr>
          <w:p w:rsidRPr="001062EE" w:rsidR="00D8511F" w:rsidP="00D8511F" w:rsidRDefault="00D8511F" w14:paraId="7821F492" w14:textId="77777777">
            <w:pPr>
              <w:rPr>
                <w:b/>
                <w:bCs/>
              </w:rPr>
            </w:pPr>
            <w:r w:rsidRPr="001062EE">
              <w:rPr>
                <w:b/>
                <w:bCs/>
                <w:lang w:val="x-none"/>
              </w:rPr>
              <w:t>Number of Respon</w:t>
            </w:r>
            <w:r w:rsidRPr="001062EE">
              <w:rPr>
                <w:b/>
                <w:bCs/>
              </w:rPr>
              <w:t>ses</w:t>
            </w:r>
          </w:p>
        </w:tc>
        <w:tc>
          <w:tcPr>
            <w:tcW w:w="1123" w:type="dxa"/>
            <w:tcBorders>
              <w:bottom w:val="single" w:color="auto" w:sz="4" w:space="0"/>
            </w:tcBorders>
            <w:shd w:val="clear" w:color="auto" w:fill="D9D9D9" w:themeFill="background1" w:themeFillShade="D9"/>
          </w:tcPr>
          <w:p w:rsidRPr="001062EE" w:rsidR="00D8511F" w:rsidP="00D8511F" w:rsidRDefault="00D8511F" w14:paraId="49B06E50" w14:textId="77777777">
            <w:pPr>
              <w:rPr>
                <w:b/>
                <w:bCs/>
              </w:rPr>
            </w:pPr>
            <w:r w:rsidRPr="001062EE">
              <w:rPr>
                <w:b/>
                <w:bCs/>
              </w:rPr>
              <w:t>Response Time (Hours)</w:t>
            </w:r>
          </w:p>
        </w:tc>
        <w:tc>
          <w:tcPr>
            <w:tcW w:w="1136" w:type="dxa"/>
            <w:tcBorders>
              <w:bottom w:val="single" w:color="auto" w:sz="4" w:space="0"/>
            </w:tcBorders>
            <w:shd w:val="clear" w:color="auto" w:fill="D9D9D9" w:themeFill="background1" w:themeFillShade="D9"/>
          </w:tcPr>
          <w:p w:rsidRPr="001062EE" w:rsidR="00D8511F" w:rsidP="00D8511F" w:rsidRDefault="00D8511F" w14:paraId="1084D4D9" w14:textId="77777777">
            <w:pPr>
              <w:rPr>
                <w:b/>
                <w:bCs/>
              </w:rPr>
            </w:pPr>
            <w:r w:rsidRPr="001062EE">
              <w:rPr>
                <w:b/>
                <w:bCs/>
              </w:rPr>
              <w:t xml:space="preserve">Burden (Hours) </w:t>
            </w:r>
          </w:p>
        </w:tc>
      </w:tr>
      <w:tr w:rsidRPr="001062EE" w:rsidR="00D8511F" w:rsidTr="00EA4424" w14:paraId="30F778C6" w14:textId="77777777">
        <w:tc>
          <w:tcPr>
            <w:tcW w:w="2222" w:type="dxa"/>
          </w:tcPr>
          <w:p w:rsidRPr="001062EE" w:rsidR="00D8511F" w:rsidP="00D8511F" w:rsidRDefault="00D8511F" w14:paraId="65E0D1A7" w14:textId="4FBC6A28">
            <w:pPr>
              <w:rPr>
                <w:bCs/>
              </w:rPr>
            </w:pPr>
            <w:r w:rsidRPr="001062EE">
              <w:rPr>
                <w:bCs/>
              </w:rPr>
              <w:t>Company Portal Boarding Form</w:t>
            </w:r>
          </w:p>
        </w:tc>
        <w:tc>
          <w:tcPr>
            <w:tcW w:w="1454" w:type="dxa"/>
          </w:tcPr>
          <w:p w:rsidRPr="001062EE" w:rsidR="00D8511F" w:rsidP="001062EE" w:rsidRDefault="00CC4163" w14:paraId="7CD7E99A" w14:textId="07696BA1">
            <w:pPr>
              <w:jc w:val="right"/>
              <w:rPr>
                <w:bCs/>
              </w:rPr>
            </w:pPr>
            <w:r w:rsidRPr="001062EE">
              <w:rPr>
                <w:bCs/>
              </w:rPr>
              <w:t>4</w:t>
            </w:r>
            <w:r w:rsidRPr="001062EE" w:rsidR="00D8511F">
              <w:rPr>
                <w:bCs/>
              </w:rPr>
              <w:t>00</w:t>
            </w:r>
            <w:r w:rsidR="0014141B">
              <w:rPr>
                <w:rStyle w:val="FootnoteReference"/>
                <w:b/>
                <w:bCs/>
              </w:rPr>
              <w:footnoteReference w:id="5"/>
            </w:r>
          </w:p>
        </w:tc>
        <w:tc>
          <w:tcPr>
            <w:tcW w:w="1278" w:type="dxa"/>
          </w:tcPr>
          <w:p w:rsidRPr="001062EE" w:rsidR="00D8511F" w:rsidP="001062EE" w:rsidRDefault="00D8511F" w14:paraId="0229B568" w14:textId="258BD445">
            <w:pPr>
              <w:jc w:val="right"/>
              <w:rPr>
                <w:bCs/>
              </w:rPr>
            </w:pPr>
            <w:r w:rsidRPr="001062EE">
              <w:rPr>
                <w:bCs/>
              </w:rPr>
              <w:t>1</w:t>
            </w:r>
          </w:p>
        </w:tc>
        <w:tc>
          <w:tcPr>
            <w:tcW w:w="1309" w:type="dxa"/>
          </w:tcPr>
          <w:p w:rsidRPr="001062EE" w:rsidR="00D8511F" w:rsidP="001062EE" w:rsidRDefault="00CC4163" w14:paraId="1520FF05" w14:textId="3027FD99">
            <w:pPr>
              <w:jc w:val="right"/>
              <w:rPr>
                <w:bCs/>
              </w:rPr>
            </w:pPr>
            <w:r w:rsidRPr="001062EE">
              <w:rPr>
                <w:bCs/>
              </w:rPr>
              <w:t>4</w:t>
            </w:r>
            <w:r w:rsidRPr="001062EE" w:rsidR="00D8511F">
              <w:rPr>
                <w:bCs/>
              </w:rPr>
              <w:t>00</w:t>
            </w:r>
          </w:p>
        </w:tc>
        <w:tc>
          <w:tcPr>
            <w:tcW w:w="1123" w:type="dxa"/>
          </w:tcPr>
          <w:p w:rsidRPr="001062EE" w:rsidR="00D8511F" w:rsidP="001062EE" w:rsidRDefault="00D8511F" w14:paraId="2DE42B0D" w14:textId="470FCCD5">
            <w:pPr>
              <w:jc w:val="right"/>
              <w:rPr>
                <w:bCs/>
              </w:rPr>
            </w:pPr>
            <w:r w:rsidRPr="001062EE">
              <w:rPr>
                <w:bCs/>
              </w:rPr>
              <w:t>0.</w:t>
            </w:r>
            <w:r w:rsidR="006E4A0C">
              <w:rPr>
                <w:bCs/>
              </w:rPr>
              <w:t>2125</w:t>
            </w:r>
            <w:r w:rsidRPr="001062EE">
              <w:rPr>
                <w:bCs/>
              </w:rPr>
              <w:t xml:space="preserve"> </w:t>
            </w:r>
          </w:p>
        </w:tc>
        <w:tc>
          <w:tcPr>
            <w:tcW w:w="1136" w:type="dxa"/>
          </w:tcPr>
          <w:p w:rsidRPr="001062EE" w:rsidR="00D8511F" w:rsidP="001062EE" w:rsidRDefault="00D8511F" w14:paraId="25546019" w14:textId="77777777">
            <w:pPr>
              <w:jc w:val="right"/>
              <w:rPr>
                <w:bCs/>
              </w:rPr>
            </w:pPr>
            <w:r w:rsidRPr="001062EE">
              <w:rPr>
                <w:bCs/>
              </w:rPr>
              <w:t>85</w:t>
            </w:r>
          </w:p>
        </w:tc>
      </w:tr>
    </w:tbl>
    <w:p w:rsidRPr="00BF6D43" w:rsidR="00D8511F" w:rsidP="005F1FFC" w:rsidRDefault="00D8511F" w14:paraId="0B55A14D" w14:textId="77777777">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5F1FFC" w:rsidP="005F1FFC" w:rsidRDefault="005F1FFC" w14:paraId="3715E245" w14:textId="6F19B307">
      <w:pPr>
        <w:rPr>
          <w:b/>
          <w:sz w:val="24"/>
        </w:rPr>
      </w:pPr>
    </w:p>
    <w:p w:rsidRPr="00BF6D43" w:rsidR="00D8511F" w:rsidP="005F1FFC" w:rsidRDefault="00D8511F" w14:paraId="47F60C41" w14:textId="2752852F">
      <w:pPr>
        <w:rPr>
          <w:b/>
          <w:sz w:val="24"/>
        </w:rPr>
      </w:pPr>
      <w:r w:rsidRPr="00D8511F">
        <w:rPr>
          <w:rFonts w:eastAsia="Calibri"/>
          <w:sz w:val="24"/>
          <w:szCs w:val="22"/>
        </w:rPr>
        <w:t>There will be no annualized capital or start-up costs for the respondents to collect and submit this information.</w:t>
      </w:r>
    </w:p>
    <w:p w:rsidRPr="00BF6D43" w:rsidR="00A93967" w:rsidP="005F1FFC" w:rsidRDefault="00A93967" w14:paraId="7426A13C" w14:textId="77777777">
      <w:pPr>
        <w:ind w:left="720"/>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D8511F" w:rsidP="00D8511F" w:rsidRDefault="00D8511F" w14:paraId="4E56E666" w14:textId="76D1B935">
      <w:pPr>
        <w:rPr>
          <w:sz w:val="24"/>
        </w:rPr>
      </w:pPr>
    </w:p>
    <w:p w:rsidR="00D8511F" w:rsidP="00D8511F" w:rsidRDefault="00A84143" w14:paraId="66BB2482" w14:textId="424607CA">
      <w:pPr>
        <w:rPr>
          <w:sz w:val="24"/>
        </w:rPr>
      </w:pPr>
      <w:r>
        <w:rPr>
          <w:sz w:val="24"/>
        </w:rPr>
        <w:t>C</w:t>
      </w:r>
      <w:r w:rsidRPr="00D8511F" w:rsidR="00D8511F">
        <w:rPr>
          <w:sz w:val="24"/>
        </w:rPr>
        <w:t xml:space="preserve">ompanies </w:t>
      </w:r>
      <w:r>
        <w:rPr>
          <w:sz w:val="24"/>
        </w:rPr>
        <w:t>are required to</w:t>
      </w:r>
      <w:r w:rsidRPr="00D8511F" w:rsidR="00D8511F">
        <w:rPr>
          <w:sz w:val="24"/>
        </w:rPr>
        <w:t xml:space="preserve"> submit the form electronically</w:t>
      </w:r>
      <w:r>
        <w:rPr>
          <w:sz w:val="24"/>
        </w:rPr>
        <w:t xml:space="preserve"> as an email address is required to access the company portal</w:t>
      </w:r>
      <w:r w:rsidRPr="00D8511F" w:rsidR="00D8511F">
        <w:rPr>
          <w:sz w:val="24"/>
        </w:rPr>
        <w:t xml:space="preserve">. </w:t>
      </w:r>
      <w:r w:rsidR="001B07CD">
        <w:rPr>
          <w:sz w:val="24"/>
        </w:rPr>
        <w:t xml:space="preserve"> Therefore, there </w:t>
      </w:r>
      <w:r w:rsidRPr="00D8511F" w:rsidR="00D8511F">
        <w:rPr>
          <w:sz w:val="24"/>
        </w:rPr>
        <w:t xml:space="preserve">will be no costs </w:t>
      </w:r>
      <w:r w:rsidR="00B80FA5">
        <w:rPr>
          <w:sz w:val="24"/>
        </w:rPr>
        <w:t>to</w:t>
      </w:r>
      <w:r w:rsidRPr="00D8511F" w:rsidR="00D8511F">
        <w:rPr>
          <w:sz w:val="24"/>
        </w:rPr>
        <w:t xml:space="preserve"> the federal government.</w:t>
      </w:r>
    </w:p>
    <w:p w:rsidRPr="00BF6D43" w:rsidR="00D8511F" w:rsidP="00D8511F" w:rsidRDefault="00D8511F" w14:paraId="1477FB16" w14:textId="77777777">
      <w:pPr>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Pr="00BF6D43" w:rsidR="005F1FFC" w:rsidP="005F1FFC" w:rsidRDefault="005F1FFC" w14:paraId="7D933924" w14:textId="77777777">
      <w:pPr>
        <w:numPr>
          <w:ilvl w:val="12"/>
          <w:numId w:val="0"/>
        </w:numPr>
        <w:rPr>
          <w:sz w:val="24"/>
        </w:rPr>
      </w:pPr>
    </w:p>
    <w:p w:rsidRPr="00D8511F" w:rsidR="00D8511F" w:rsidP="00D8511F" w:rsidRDefault="00D8511F" w14:paraId="7B0006CE" w14:textId="2984D36B">
      <w:pPr>
        <w:rPr>
          <w:sz w:val="24"/>
        </w:rPr>
      </w:pPr>
      <w:bookmarkStart w:name="_Hlk90299441" w:id="0"/>
      <w:r w:rsidRPr="00D8511F">
        <w:rPr>
          <w:sz w:val="24"/>
        </w:rPr>
        <w:t xml:space="preserve">The Bureau has </w:t>
      </w:r>
      <w:r w:rsidR="00417C43">
        <w:rPr>
          <w:sz w:val="24"/>
        </w:rPr>
        <w:t xml:space="preserve">reduced </w:t>
      </w:r>
      <w:r w:rsidRPr="00D8511F">
        <w:rPr>
          <w:sz w:val="24"/>
        </w:rPr>
        <w:t xml:space="preserve">the </w:t>
      </w:r>
      <w:r w:rsidR="00417C43">
        <w:rPr>
          <w:sz w:val="24"/>
        </w:rPr>
        <w:t xml:space="preserve">estimated </w:t>
      </w:r>
      <w:r w:rsidR="000175F8">
        <w:rPr>
          <w:sz w:val="24"/>
        </w:rPr>
        <w:t xml:space="preserve">number of </w:t>
      </w:r>
      <w:r w:rsidRPr="00D8511F">
        <w:rPr>
          <w:sz w:val="24"/>
        </w:rPr>
        <w:t xml:space="preserve">annual responses. </w:t>
      </w:r>
      <w:r w:rsidR="000175F8">
        <w:rPr>
          <w:sz w:val="24"/>
        </w:rPr>
        <w:t xml:space="preserve"> </w:t>
      </w:r>
      <w:r w:rsidRPr="00D8511F">
        <w:rPr>
          <w:sz w:val="24"/>
        </w:rPr>
        <w:t>The Bureau has</w:t>
      </w:r>
      <w:r w:rsidR="00DD6837">
        <w:rPr>
          <w:sz w:val="24"/>
        </w:rPr>
        <w:t xml:space="preserve"> reduced</w:t>
      </w:r>
      <w:r w:rsidRPr="00D8511F">
        <w:rPr>
          <w:sz w:val="24"/>
        </w:rPr>
        <w:t xml:space="preserve"> the annual number of un</w:t>
      </w:r>
      <w:r w:rsidR="00282103">
        <w:rPr>
          <w:sz w:val="24"/>
        </w:rPr>
        <w:t>-</w:t>
      </w:r>
      <w:r w:rsidRPr="00D8511F">
        <w:rPr>
          <w:sz w:val="24"/>
        </w:rPr>
        <w:t>boarded companies</w:t>
      </w:r>
      <w:r w:rsidR="00853361">
        <w:rPr>
          <w:sz w:val="24"/>
        </w:rPr>
        <w:t xml:space="preserve"> (i.e., respondents)</w:t>
      </w:r>
      <w:r w:rsidRPr="00D8511F">
        <w:rPr>
          <w:sz w:val="24"/>
        </w:rPr>
        <w:t xml:space="preserve"> who will complete this form </w:t>
      </w:r>
      <w:r w:rsidR="001B07CD">
        <w:rPr>
          <w:sz w:val="24"/>
        </w:rPr>
        <w:t>from 500 to 400</w:t>
      </w:r>
      <w:r w:rsidRPr="00D8511F">
        <w:rPr>
          <w:sz w:val="24"/>
        </w:rPr>
        <w:t>.</w:t>
      </w:r>
      <w:bookmarkEnd w:id="0"/>
      <w:r w:rsidR="00C467FA">
        <w:rPr>
          <w:sz w:val="24"/>
        </w:rPr>
        <w:t xml:space="preserve">  </w:t>
      </w:r>
      <w:r w:rsidR="000B15CB">
        <w:rPr>
          <w:sz w:val="24"/>
        </w:rPr>
        <w:t xml:space="preserve">The total annual burden is also being reduced by nine hours to accommodate revised estimates concerning applicable burden per response and the reduction in expected </w:t>
      </w:r>
      <w:r w:rsidR="00417C43">
        <w:rPr>
          <w:sz w:val="24"/>
        </w:rPr>
        <w:t>respondents.</w:t>
      </w:r>
    </w:p>
    <w:p w:rsidRPr="00D8511F" w:rsidR="00D8511F" w:rsidP="00D8511F" w:rsidRDefault="00D8511F" w14:paraId="4B120A57" w14:textId="77777777">
      <w:pPr>
        <w:rPr>
          <w:sz w:val="24"/>
        </w:rPr>
      </w:pPr>
    </w:p>
    <w:p w:rsidRPr="00BF6D43" w:rsidR="00F660E8" w:rsidP="00F660E8" w:rsidRDefault="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Pr="00BF6D43" w:rsidR="005F1FFC" w:rsidP="005F1FFC" w:rsidRDefault="005F1FFC" w14:paraId="3C07C2B3" w14:textId="007CA232">
      <w:pPr>
        <w:rPr>
          <w:sz w:val="24"/>
        </w:rPr>
      </w:pPr>
      <w:r w:rsidRPr="00BF6D43">
        <w:rPr>
          <w:sz w:val="24"/>
        </w:rPr>
        <w:t xml:space="preserve">  </w:t>
      </w:r>
    </w:p>
    <w:p w:rsidRPr="00F22428" w:rsidR="005F1FFC" w:rsidP="005F1FFC" w:rsidRDefault="00F22428" w14:paraId="77B89593" w14:textId="34A0A0E9">
      <w:pPr>
        <w:rPr>
          <w:bCs/>
          <w:sz w:val="24"/>
        </w:rPr>
      </w:pPr>
      <w:r w:rsidRPr="00F22428">
        <w:rPr>
          <w:bCs/>
          <w:sz w:val="24"/>
        </w:rPr>
        <w:t>Data collected through the Boarding Form will be analyzed and certain information may be provided in reports to be issued by the Bureau to Congress, as required by the Dodd-</w:t>
      </w:r>
      <w:r w:rsidRPr="00F22428">
        <w:rPr>
          <w:bCs/>
          <w:sz w:val="24"/>
        </w:rPr>
        <w:lastRenderedPageBreak/>
        <w:t xml:space="preserve">Frank Act.  </w:t>
      </w:r>
      <w:r w:rsidR="00B1485B">
        <w:rPr>
          <w:bCs/>
          <w:sz w:val="24"/>
        </w:rPr>
        <w:t>Specifically</w:t>
      </w:r>
      <w:r w:rsidRPr="00F22428">
        <w:rPr>
          <w:bCs/>
          <w:sz w:val="24"/>
        </w:rPr>
        <w:t>, Section 1013(b)(3)(C) of the Dodd-Frank Act requires the Bureau to provide annual reports to Congress containing information and analysis about complaint numbers, types, and where applicable, resolution.</w:t>
      </w:r>
      <w:r w:rsidRPr="00F22428">
        <w:rPr>
          <w:bCs/>
          <w:sz w:val="24"/>
          <w:vertAlign w:val="superscript"/>
        </w:rPr>
        <w:footnoteReference w:id="6"/>
      </w:r>
      <w:r w:rsidRPr="00F22428">
        <w:rPr>
          <w:bCs/>
          <w:sz w:val="24"/>
        </w:rPr>
        <w:t xml:space="preserve">  The Bureau may publish trend reports based on aggregate data in summaries, reports, and briefings.  Presentations of analyses may include frequency, classification, and cross-tabulation across consumer financial products or services, demographic and economic characteristics, and financial management behavior.</w:t>
      </w:r>
    </w:p>
    <w:p w:rsidRPr="00BF6D43" w:rsidR="00F22428" w:rsidP="005F1FFC" w:rsidRDefault="00F22428" w14:paraId="654DBEC3" w14:textId="77777777">
      <w:pPr>
        <w:rPr>
          <w:sz w:val="24"/>
        </w:rPr>
      </w:pPr>
    </w:p>
    <w:p w:rsidRPr="00BF6D43" w:rsidR="00F660E8" w:rsidP="00F660E8" w:rsidRDefault="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Pr="00BF6D43" w:rsidR="005F1FFC" w:rsidP="005F1FFC" w:rsidRDefault="005F1FFC" w14:paraId="195A2521" w14:textId="77777777">
      <w:pPr>
        <w:rPr>
          <w:sz w:val="24"/>
        </w:rPr>
      </w:pPr>
    </w:p>
    <w:p w:rsidRPr="00BF6D43" w:rsidR="00791AC9" w:rsidP="005F1FFC" w:rsidRDefault="00F22428" w14:paraId="2449748D" w14:textId="40474534">
      <w:pPr>
        <w:rPr>
          <w:sz w:val="24"/>
        </w:rPr>
      </w:pPr>
      <w:r w:rsidRPr="00F22428">
        <w:rPr>
          <w:sz w:val="24"/>
        </w:rPr>
        <w:t>The expiration date for OMB approval will be displayed on the form.  Further, the OMB control number and expiration date will be displayed on the Federal government’s electronic PRA docket at www.reginfo.gov.</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005F1FFC" w:rsidP="005F1FFC" w:rsidRDefault="005F1FFC" w14:paraId="6066F545" w14:textId="72DF6692">
      <w:pPr>
        <w:pStyle w:val="BodyText"/>
      </w:pPr>
    </w:p>
    <w:p w:rsidRPr="00F22428" w:rsidR="00F22428" w:rsidP="00F22428" w:rsidRDefault="00F22428" w14:paraId="572F5CA2" w14:textId="77777777">
      <w:pPr>
        <w:pStyle w:val="BodyText"/>
      </w:pPr>
      <w:r w:rsidRPr="00F22428">
        <w:t>The Bureau certifies that this collection of information is consistent with the requirements of 5 CFR §1320.9 and the related provisions of 5 CFR §1320.8(b)(3) and is not seeking an exemption to these certification requirements.</w:t>
      </w:r>
    </w:p>
    <w:p w:rsidRPr="00F22428" w:rsidR="00F22428" w:rsidP="00F22428" w:rsidRDefault="00F22428" w14:paraId="4F0196CE" w14:textId="77777777">
      <w:pPr>
        <w:pStyle w:val="BodyText"/>
      </w:pPr>
    </w:p>
    <w:p w:rsidRPr="00F22428" w:rsidR="00F22428" w:rsidP="00F22428" w:rsidRDefault="00F22428" w14:paraId="0B034284" w14:textId="77777777">
      <w:pPr>
        <w:pStyle w:val="BodyText"/>
        <w:rPr>
          <w:b/>
        </w:rPr>
      </w:pPr>
      <w:r w:rsidRPr="00F22428">
        <w:rPr>
          <w:b/>
        </w:rPr>
        <w:t>B.  COLLECTIONS OF INFORMATION EMPLOYING STATISTICAL METHODS</w:t>
      </w:r>
    </w:p>
    <w:p w:rsidRPr="00F22428" w:rsidR="00F22428" w:rsidP="00F22428" w:rsidRDefault="00F22428" w14:paraId="171B8817" w14:textId="77777777">
      <w:pPr>
        <w:pStyle w:val="BodyText"/>
        <w:rPr>
          <w:b/>
        </w:rPr>
      </w:pPr>
    </w:p>
    <w:p w:rsidRPr="00F22428" w:rsidR="00F22428" w:rsidP="00F22428" w:rsidRDefault="00F22428" w14:paraId="16408E6F" w14:textId="77777777">
      <w:pPr>
        <w:pStyle w:val="BodyText"/>
      </w:pPr>
      <w:r w:rsidRPr="00F22428">
        <w:t xml:space="preserve">This information collection does not employ statistical methods.  </w:t>
      </w:r>
    </w:p>
    <w:p w:rsidRPr="00F22428" w:rsidR="00F22428" w:rsidP="00F22428" w:rsidRDefault="00F22428" w14:paraId="45A4F504" w14:textId="77777777">
      <w:pPr>
        <w:pStyle w:val="BodyText"/>
      </w:pPr>
    </w:p>
    <w:p w:rsidRPr="00F22428" w:rsidR="00F22428" w:rsidP="00F22428" w:rsidRDefault="00F22428" w14:paraId="6458793C" w14:textId="77777777">
      <w:pPr>
        <w:pStyle w:val="BodyText"/>
      </w:pPr>
    </w:p>
    <w:p w:rsidRPr="00BF6D43" w:rsidR="00F22428" w:rsidP="005F1FFC" w:rsidRDefault="00F22428" w14:paraId="7F6EF0BD" w14:textId="77777777">
      <w:pPr>
        <w:pStyle w:val="BodyText"/>
      </w:pPr>
    </w:p>
    <w:sectPr w:rsidRPr="00BF6D43" w:rsidR="00F22428" w:rsidSect="0079547E">
      <w:headerReference w:type="default"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DE56" w14:textId="77777777" w:rsidR="0091493D" w:rsidRDefault="0091493D" w:rsidP="0079547E">
      <w:r>
        <w:separator/>
      </w:r>
    </w:p>
  </w:endnote>
  <w:endnote w:type="continuationSeparator" w:id="0">
    <w:p w14:paraId="4B74B893" w14:textId="77777777" w:rsidR="0091493D" w:rsidRDefault="0091493D"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F79B" w14:textId="77777777" w:rsidR="0091493D" w:rsidRDefault="0091493D" w:rsidP="0079547E">
      <w:r>
        <w:separator/>
      </w:r>
    </w:p>
  </w:footnote>
  <w:footnote w:type="continuationSeparator" w:id="0">
    <w:p w14:paraId="3B40CF7F" w14:textId="77777777" w:rsidR="0091493D" w:rsidRDefault="0091493D" w:rsidP="0079547E">
      <w:r>
        <w:continuationSeparator/>
      </w:r>
    </w:p>
  </w:footnote>
  <w:footnote w:id="1">
    <w:p w14:paraId="1A9FCEDC" w14:textId="77777777" w:rsidR="00D056D0" w:rsidRDefault="00D056D0" w:rsidP="00D056D0">
      <w:pPr>
        <w:pStyle w:val="FootnoteText"/>
        <w:rPr>
          <w:szCs w:val="24"/>
        </w:rPr>
      </w:pPr>
      <w:r w:rsidRPr="00DA78A7">
        <w:rPr>
          <w:rStyle w:val="FootnoteReference"/>
          <w:szCs w:val="24"/>
        </w:rPr>
        <w:footnoteRef/>
      </w:r>
      <w:r w:rsidRPr="00DA78A7">
        <w:rPr>
          <w:szCs w:val="24"/>
        </w:rPr>
        <w:t xml:space="preserve"> Dodd-Frank Act § 1021(c)(2), codified at 12 U.S.C. § 5511(c)(2).</w:t>
      </w:r>
      <w:r>
        <w:rPr>
          <w:szCs w:val="24"/>
        </w:rPr>
        <w:t xml:space="preserve"> </w:t>
      </w:r>
      <w:r w:rsidRPr="006337CF">
        <w:rPr>
          <w:i/>
        </w:rPr>
        <w:t>See also</w:t>
      </w:r>
      <w:r w:rsidRPr="001D58AE">
        <w:t xml:space="preserve"> </w:t>
      </w:r>
      <w:r w:rsidRPr="00957794">
        <w:t xml:space="preserve">Section 1034 </w:t>
      </w:r>
      <w:r>
        <w:rPr>
          <w:shd w:val="clear" w:color="auto" w:fill="FFFFFF"/>
        </w:rPr>
        <w:t xml:space="preserve">(discussing </w:t>
      </w:r>
      <w:r w:rsidRPr="00957794">
        <w:rPr>
          <w:shd w:val="clear" w:color="auto" w:fill="FFFFFF"/>
        </w:rPr>
        <w:t>responses to complaints)</w:t>
      </w:r>
      <w:r w:rsidRPr="00957794">
        <w:t xml:space="preserve">, codified at </w:t>
      </w:r>
      <w:r w:rsidRPr="00957794">
        <w:rPr>
          <w:shd w:val="clear" w:color="auto" w:fill="FFFFFF"/>
        </w:rPr>
        <w:t>12 U.S.C. § 5534</w:t>
      </w:r>
      <w:r>
        <w:rPr>
          <w:szCs w:val="24"/>
        </w:rPr>
        <w:t>.</w:t>
      </w:r>
      <w:r w:rsidRPr="00DA78A7">
        <w:rPr>
          <w:szCs w:val="24"/>
        </w:rPr>
        <w:t xml:space="preserve"> </w:t>
      </w:r>
    </w:p>
    <w:p w14:paraId="7FCF7DCC" w14:textId="77777777" w:rsidR="00D056D0" w:rsidRPr="00DA78A7" w:rsidRDefault="00D056D0" w:rsidP="00D056D0">
      <w:pPr>
        <w:pStyle w:val="FootnoteText"/>
        <w:rPr>
          <w:szCs w:val="24"/>
        </w:rPr>
      </w:pPr>
    </w:p>
  </w:footnote>
  <w:footnote w:id="2">
    <w:p w14:paraId="63D00070" w14:textId="0EBF8872" w:rsidR="00DB4142" w:rsidRDefault="00DB4142" w:rsidP="00DB4142">
      <w:pPr>
        <w:pStyle w:val="FootnoteText"/>
      </w:pPr>
      <w:r>
        <w:rPr>
          <w:rStyle w:val="FootnoteReference"/>
        </w:rPr>
        <w:footnoteRef/>
      </w:r>
      <w:r>
        <w:t xml:space="preserve"> 8</w:t>
      </w:r>
      <w:r w:rsidR="00E27A3B">
        <w:t>7</w:t>
      </w:r>
      <w:r>
        <w:t xml:space="preserve"> FR </w:t>
      </w:r>
      <w:r w:rsidR="00C66EF9">
        <w:t>4570</w:t>
      </w:r>
      <w:r>
        <w:t xml:space="preserve"> (</w:t>
      </w:r>
      <w:r w:rsidR="00C66EF9">
        <w:t>1/28/2022</w:t>
      </w:r>
      <w:r>
        <w:t>).</w:t>
      </w:r>
    </w:p>
  </w:footnote>
  <w:footnote w:id="3">
    <w:p w14:paraId="3DADBCAD" w14:textId="6C1168A1" w:rsidR="00DB4142" w:rsidRDefault="00DB4142" w:rsidP="00DB4142">
      <w:pPr>
        <w:pStyle w:val="FootnoteText"/>
      </w:pPr>
      <w:r>
        <w:rPr>
          <w:rStyle w:val="FootnoteReference"/>
        </w:rPr>
        <w:footnoteRef/>
      </w:r>
      <w:r>
        <w:t xml:space="preserve"> </w:t>
      </w:r>
      <w:r w:rsidR="00343822">
        <w:t xml:space="preserve">87 FR </w:t>
      </w:r>
      <w:r w:rsidR="00395D29">
        <w:t>31536 (5/24/2022).</w:t>
      </w:r>
    </w:p>
  </w:footnote>
  <w:footnote w:id="4">
    <w:p w14:paraId="729FA233" w14:textId="77777777" w:rsidR="00D8511F" w:rsidRDefault="00D8511F" w:rsidP="00D8511F">
      <w:pPr>
        <w:pStyle w:val="FootnoteText"/>
        <w:rPr>
          <w:szCs w:val="24"/>
        </w:rPr>
      </w:pPr>
      <w:r w:rsidRPr="00113D63">
        <w:rPr>
          <w:rStyle w:val="FootnoteReference"/>
          <w:szCs w:val="24"/>
        </w:rPr>
        <w:footnoteRef/>
      </w:r>
      <w:r w:rsidRPr="00113D63">
        <w:rPr>
          <w:szCs w:val="24"/>
        </w:rPr>
        <w:t xml:space="preserve"> </w:t>
      </w:r>
      <w:r w:rsidRPr="00113D63">
        <w:rPr>
          <w:i/>
          <w:szCs w:val="24"/>
        </w:rPr>
        <w:t>See</w:t>
      </w:r>
      <w:r w:rsidRPr="00113D63">
        <w:rPr>
          <w:szCs w:val="24"/>
        </w:rPr>
        <w:t xml:space="preserve"> </w:t>
      </w:r>
      <w:hyperlink r:id="rId1" w:history="1">
        <w:r w:rsidRPr="00314362">
          <w:rPr>
            <w:rStyle w:val="Hyperlink"/>
            <w:szCs w:val="24"/>
          </w:rPr>
          <w:t>https://www.consumerfinance.gov/privacy/privacy-policy/</w:t>
        </w:r>
      </w:hyperlink>
      <w:r w:rsidRPr="00113D63">
        <w:rPr>
          <w:szCs w:val="24"/>
        </w:rPr>
        <w:t>.</w:t>
      </w:r>
    </w:p>
    <w:p w14:paraId="711E6CE5" w14:textId="77777777" w:rsidR="00D8511F" w:rsidRPr="00D808E9" w:rsidRDefault="00D8511F" w:rsidP="00D8511F">
      <w:pPr>
        <w:pStyle w:val="FootnoteText"/>
        <w:rPr>
          <w:sz w:val="22"/>
          <w:szCs w:val="22"/>
        </w:rPr>
      </w:pPr>
    </w:p>
  </w:footnote>
  <w:footnote w:id="5">
    <w:p w14:paraId="7252B283" w14:textId="2D453F8F" w:rsidR="0014141B" w:rsidRDefault="0014141B" w:rsidP="0014141B">
      <w:pPr>
        <w:pStyle w:val="FootnoteText"/>
      </w:pPr>
      <w:r>
        <w:rPr>
          <w:rStyle w:val="FootnoteReference"/>
        </w:rPr>
        <w:footnoteRef/>
      </w:r>
      <w:r>
        <w:t xml:space="preserve"> </w:t>
      </w:r>
      <w:r w:rsidRPr="001062EE">
        <w:t>Companies that submit a revised form are a subset of those that previously submitted an initial Boarding Form</w:t>
      </w:r>
      <w:r w:rsidR="00644872">
        <w:t xml:space="preserve">.  Therefore, the </w:t>
      </w:r>
      <w:r w:rsidRPr="001062EE">
        <w:t xml:space="preserve">estimated total of annual </w:t>
      </w:r>
      <w:r w:rsidR="00644872">
        <w:t>r</w:t>
      </w:r>
      <w:r w:rsidRPr="001062EE">
        <w:t>espondents is about 400.</w:t>
      </w:r>
    </w:p>
  </w:footnote>
  <w:footnote w:id="6">
    <w:p w14:paraId="7F7A9EF2" w14:textId="77777777" w:rsidR="00F22428" w:rsidRPr="00DA78A7" w:rsidRDefault="00F22428" w:rsidP="00F22428">
      <w:pPr>
        <w:rPr>
          <w:rFonts w:ascii="Arial" w:eastAsia="Calibri" w:hAnsi="Arial" w:cs="Arial"/>
        </w:rPr>
      </w:pPr>
      <w:r w:rsidRPr="00DA78A7">
        <w:rPr>
          <w:rStyle w:val="FootnoteReference"/>
        </w:rPr>
        <w:footnoteRef/>
      </w:r>
      <w:r>
        <w:t xml:space="preserve"> Codified at </w:t>
      </w:r>
      <w:r w:rsidRPr="00046EDD">
        <w:rPr>
          <w:shd w:val="clear" w:color="auto" w:fill="FFFFFF"/>
        </w:rPr>
        <w:t xml:space="preserve">12 U.S.C. § </w:t>
      </w:r>
      <w:r w:rsidRPr="00DA78A7">
        <w:t>5493(b)(3)(C).</w:t>
      </w:r>
      <w:r>
        <w:t xml:space="preserve"> </w:t>
      </w:r>
      <w:r w:rsidRPr="00DA78A7">
        <w:t xml:space="preserve"> </w:t>
      </w:r>
      <w:r w:rsidRPr="00DA78A7">
        <w:rPr>
          <w:i/>
        </w:rPr>
        <w:t xml:space="preserve">See also </w:t>
      </w:r>
      <w:r w:rsidRPr="00DA78A7">
        <w:t>Section 1016(c)(4)</w:t>
      </w:r>
      <w:r w:rsidRPr="005A18F9">
        <w:rPr>
          <w:shd w:val="clear" w:color="auto" w:fill="FFFFFF"/>
        </w:rPr>
        <w:t xml:space="preserve"> </w:t>
      </w:r>
      <w:r w:rsidRPr="00DA78A7">
        <w:rPr>
          <w:shd w:val="clear" w:color="auto" w:fill="FFFFFF"/>
        </w:rPr>
        <w:t>(requiring that the Bureau’s semi-annual reports to Congress include “</w:t>
      </w:r>
      <w:r w:rsidRPr="00DA78A7">
        <w:rPr>
          <w:rFonts w:eastAsia="Calibri"/>
        </w:rPr>
        <w:t>an analysis of complaints about consumer financial products or services that the Bureau has received and collected in its central database on complaints during the preceding year”)</w:t>
      </w:r>
      <w:r w:rsidRPr="00DA78A7">
        <w:t xml:space="preserve">, codified at </w:t>
      </w:r>
      <w:r w:rsidRPr="00046EDD">
        <w:rPr>
          <w:shd w:val="clear" w:color="auto" w:fill="FFFFFF"/>
        </w:rPr>
        <w:t xml:space="preserve">12 U.S.C. </w:t>
      </w:r>
      <w:r w:rsidRPr="00DA78A7">
        <w:rPr>
          <w:shd w:val="clear" w:color="auto" w:fill="FFFFFF"/>
        </w:rPr>
        <w:t>§ 5496(c)(4)</w:t>
      </w:r>
      <w:r>
        <w:rPr>
          <w:rFonts w:eastAsia="Calibri"/>
        </w:rPr>
        <w:t>.</w:t>
      </w:r>
      <w:r w:rsidRPr="00DA78A7">
        <w:rPr>
          <w:rFonts w:ascii="Arial" w:eastAsia="Calibri"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924E" w14:textId="6A64B2E7" w:rsidR="00B35205" w:rsidRDefault="00D056D0">
    <w:pPr>
      <w:pStyle w:val="Header"/>
    </w:pPr>
    <w:r>
      <w:t>Consumer Complaint Intake System Company Portal Boarding Form</w:t>
    </w:r>
  </w:p>
  <w:p w14:paraId="3E4932DB" w14:textId="17704468" w:rsidR="00B35205" w:rsidRDefault="00B35205">
    <w:pPr>
      <w:pStyle w:val="Header"/>
    </w:pPr>
    <w:r>
      <w:t>OMB Control Number</w:t>
    </w:r>
    <w:r w:rsidR="00401424">
      <w:t>:</w:t>
    </w:r>
    <w:r>
      <w:t xml:space="preserve"> </w:t>
    </w:r>
    <w:r w:rsidR="00E81562">
      <w:t>3170-</w:t>
    </w:r>
    <w:r w:rsidR="00D056D0">
      <w:t>0054</w:t>
    </w:r>
  </w:p>
  <w:p w14:paraId="55DC3A5D" w14:textId="68A2DEBB" w:rsidR="00D06AC2" w:rsidRDefault="00D06AC2">
    <w:pPr>
      <w:pStyle w:val="Header"/>
    </w:pPr>
    <w:r>
      <w:t>RIN: N/A</w:t>
    </w:r>
  </w:p>
  <w:p w14:paraId="1519E99E" w14:textId="443AB2BB" w:rsidR="00D06AC2" w:rsidRDefault="00D06AC2">
    <w:pPr>
      <w:pStyle w:val="Header"/>
    </w:pPr>
    <w:r>
      <w:t>OMB Expiration Date: 6/30/2022</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7"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7"/>
  </w:num>
  <w:num w:numId="5">
    <w:abstractNumId w:val="13"/>
  </w:num>
  <w:num w:numId="6">
    <w:abstractNumId w:val="12"/>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7"/>
  </w:num>
  <w:num w:numId="17">
    <w:abstractNumId w:val="2"/>
  </w:num>
  <w:num w:numId="18">
    <w:abstractNumId w:val="6"/>
  </w:num>
  <w:num w:numId="19">
    <w:abstractNumId w:val="3"/>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09C1"/>
    <w:rsid w:val="0001380B"/>
    <w:rsid w:val="00014936"/>
    <w:rsid w:val="000175F8"/>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A44E3"/>
    <w:rsid w:val="000B15CB"/>
    <w:rsid w:val="000C1729"/>
    <w:rsid w:val="000C39BD"/>
    <w:rsid w:val="000D0B4D"/>
    <w:rsid w:val="000D3E1A"/>
    <w:rsid w:val="000D74D0"/>
    <w:rsid w:val="000F0DD6"/>
    <w:rsid w:val="000F5117"/>
    <w:rsid w:val="00100120"/>
    <w:rsid w:val="0010607C"/>
    <w:rsid w:val="001062EE"/>
    <w:rsid w:val="00110F8E"/>
    <w:rsid w:val="001345AE"/>
    <w:rsid w:val="001346E6"/>
    <w:rsid w:val="00135A84"/>
    <w:rsid w:val="0014141B"/>
    <w:rsid w:val="00141E34"/>
    <w:rsid w:val="00143C38"/>
    <w:rsid w:val="00143D87"/>
    <w:rsid w:val="00144BFF"/>
    <w:rsid w:val="00147B21"/>
    <w:rsid w:val="00162371"/>
    <w:rsid w:val="001639C2"/>
    <w:rsid w:val="001650D5"/>
    <w:rsid w:val="00166D3B"/>
    <w:rsid w:val="00166FBE"/>
    <w:rsid w:val="0016702A"/>
    <w:rsid w:val="00174E6D"/>
    <w:rsid w:val="00177293"/>
    <w:rsid w:val="00177F7F"/>
    <w:rsid w:val="00187617"/>
    <w:rsid w:val="001912C5"/>
    <w:rsid w:val="00194264"/>
    <w:rsid w:val="001B07CD"/>
    <w:rsid w:val="001B12AF"/>
    <w:rsid w:val="001B50EB"/>
    <w:rsid w:val="001C1DAC"/>
    <w:rsid w:val="001C4457"/>
    <w:rsid w:val="001C59A8"/>
    <w:rsid w:val="001C6E05"/>
    <w:rsid w:val="001D4E14"/>
    <w:rsid w:val="001D5558"/>
    <w:rsid w:val="001E418A"/>
    <w:rsid w:val="001F0989"/>
    <w:rsid w:val="002004A5"/>
    <w:rsid w:val="002029FA"/>
    <w:rsid w:val="002063CD"/>
    <w:rsid w:val="00211F72"/>
    <w:rsid w:val="002153B7"/>
    <w:rsid w:val="002215EA"/>
    <w:rsid w:val="00226237"/>
    <w:rsid w:val="00232D54"/>
    <w:rsid w:val="002341FB"/>
    <w:rsid w:val="00235BD3"/>
    <w:rsid w:val="002376B2"/>
    <w:rsid w:val="00240CF4"/>
    <w:rsid w:val="00242C81"/>
    <w:rsid w:val="00253FF0"/>
    <w:rsid w:val="00255107"/>
    <w:rsid w:val="00256325"/>
    <w:rsid w:val="002678C2"/>
    <w:rsid w:val="00274CC0"/>
    <w:rsid w:val="00282103"/>
    <w:rsid w:val="00294DF4"/>
    <w:rsid w:val="0029506E"/>
    <w:rsid w:val="002978C3"/>
    <w:rsid w:val="002A7EA2"/>
    <w:rsid w:val="002B0AB2"/>
    <w:rsid w:val="002B341A"/>
    <w:rsid w:val="002B7700"/>
    <w:rsid w:val="002C126F"/>
    <w:rsid w:val="002C5221"/>
    <w:rsid w:val="002C5F25"/>
    <w:rsid w:val="002C6BC6"/>
    <w:rsid w:val="002D1431"/>
    <w:rsid w:val="002D19AD"/>
    <w:rsid w:val="002D2C81"/>
    <w:rsid w:val="002D5173"/>
    <w:rsid w:val="002D789D"/>
    <w:rsid w:val="002E0DDE"/>
    <w:rsid w:val="002E0E6B"/>
    <w:rsid w:val="002E65EF"/>
    <w:rsid w:val="002E7B73"/>
    <w:rsid w:val="002F17DC"/>
    <w:rsid w:val="002F4F70"/>
    <w:rsid w:val="00302B1C"/>
    <w:rsid w:val="00304F94"/>
    <w:rsid w:val="003105AC"/>
    <w:rsid w:val="00312C7C"/>
    <w:rsid w:val="003161D3"/>
    <w:rsid w:val="00316F7F"/>
    <w:rsid w:val="00316FE0"/>
    <w:rsid w:val="00317695"/>
    <w:rsid w:val="003225D2"/>
    <w:rsid w:val="003252C5"/>
    <w:rsid w:val="00327A0B"/>
    <w:rsid w:val="0033632B"/>
    <w:rsid w:val="003372E9"/>
    <w:rsid w:val="00340510"/>
    <w:rsid w:val="003427C8"/>
    <w:rsid w:val="00343822"/>
    <w:rsid w:val="00345720"/>
    <w:rsid w:val="003560DF"/>
    <w:rsid w:val="0036198E"/>
    <w:rsid w:val="00366EAF"/>
    <w:rsid w:val="003832F7"/>
    <w:rsid w:val="0038607F"/>
    <w:rsid w:val="0038749E"/>
    <w:rsid w:val="00395D29"/>
    <w:rsid w:val="003A1CBC"/>
    <w:rsid w:val="003A35EF"/>
    <w:rsid w:val="003A66A4"/>
    <w:rsid w:val="003B4917"/>
    <w:rsid w:val="003B602F"/>
    <w:rsid w:val="003C30A7"/>
    <w:rsid w:val="003C4F2E"/>
    <w:rsid w:val="003D1A46"/>
    <w:rsid w:val="003D3ED3"/>
    <w:rsid w:val="003D6913"/>
    <w:rsid w:val="003D6C6B"/>
    <w:rsid w:val="003D6EA7"/>
    <w:rsid w:val="003E083F"/>
    <w:rsid w:val="003E34FA"/>
    <w:rsid w:val="00401424"/>
    <w:rsid w:val="00404AB0"/>
    <w:rsid w:val="00417C43"/>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1995"/>
    <w:rsid w:val="004C77CB"/>
    <w:rsid w:val="004D665B"/>
    <w:rsid w:val="004E1F5B"/>
    <w:rsid w:val="00511C92"/>
    <w:rsid w:val="00512499"/>
    <w:rsid w:val="00513ACA"/>
    <w:rsid w:val="005148FE"/>
    <w:rsid w:val="0051614E"/>
    <w:rsid w:val="005168DD"/>
    <w:rsid w:val="00516CC6"/>
    <w:rsid w:val="005270DF"/>
    <w:rsid w:val="0053103C"/>
    <w:rsid w:val="00532872"/>
    <w:rsid w:val="00533076"/>
    <w:rsid w:val="005339D5"/>
    <w:rsid w:val="00536912"/>
    <w:rsid w:val="0054251A"/>
    <w:rsid w:val="00551320"/>
    <w:rsid w:val="00553771"/>
    <w:rsid w:val="00563EEE"/>
    <w:rsid w:val="00570454"/>
    <w:rsid w:val="0057278C"/>
    <w:rsid w:val="00573509"/>
    <w:rsid w:val="0057551F"/>
    <w:rsid w:val="00594C60"/>
    <w:rsid w:val="00594E95"/>
    <w:rsid w:val="00595988"/>
    <w:rsid w:val="005A1AE0"/>
    <w:rsid w:val="005A323A"/>
    <w:rsid w:val="005B3933"/>
    <w:rsid w:val="005B6341"/>
    <w:rsid w:val="005D2B19"/>
    <w:rsid w:val="005D36FD"/>
    <w:rsid w:val="005D6DBE"/>
    <w:rsid w:val="005E5175"/>
    <w:rsid w:val="005E6D47"/>
    <w:rsid w:val="005F1FFC"/>
    <w:rsid w:val="005F249F"/>
    <w:rsid w:val="005F5CDD"/>
    <w:rsid w:val="00600A9A"/>
    <w:rsid w:val="006213DD"/>
    <w:rsid w:val="00625395"/>
    <w:rsid w:val="00626F36"/>
    <w:rsid w:val="00634112"/>
    <w:rsid w:val="00635204"/>
    <w:rsid w:val="00637913"/>
    <w:rsid w:val="00641707"/>
    <w:rsid w:val="00643848"/>
    <w:rsid w:val="00644872"/>
    <w:rsid w:val="00650767"/>
    <w:rsid w:val="0065680E"/>
    <w:rsid w:val="00664D05"/>
    <w:rsid w:val="00665C34"/>
    <w:rsid w:val="00682CD6"/>
    <w:rsid w:val="0068349A"/>
    <w:rsid w:val="00690B79"/>
    <w:rsid w:val="00694ED0"/>
    <w:rsid w:val="006957A5"/>
    <w:rsid w:val="006A0A91"/>
    <w:rsid w:val="006A456B"/>
    <w:rsid w:val="006A5577"/>
    <w:rsid w:val="006B7AD2"/>
    <w:rsid w:val="006C511F"/>
    <w:rsid w:val="006C7C21"/>
    <w:rsid w:val="006D1E8C"/>
    <w:rsid w:val="006D37FD"/>
    <w:rsid w:val="006D4E10"/>
    <w:rsid w:val="006E2197"/>
    <w:rsid w:val="006E4A0C"/>
    <w:rsid w:val="006E6951"/>
    <w:rsid w:val="006F0A01"/>
    <w:rsid w:val="006F13DD"/>
    <w:rsid w:val="006F2252"/>
    <w:rsid w:val="006F288C"/>
    <w:rsid w:val="007011FA"/>
    <w:rsid w:val="00705574"/>
    <w:rsid w:val="007059EE"/>
    <w:rsid w:val="00706218"/>
    <w:rsid w:val="00707ECA"/>
    <w:rsid w:val="00710CC5"/>
    <w:rsid w:val="00715C7F"/>
    <w:rsid w:val="00722872"/>
    <w:rsid w:val="00726864"/>
    <w:rsid w:val="007319B7"/>
    <w:rsid w:val="00732F4F"/>
    <w:rsid w:val="00733C46"/>
    <w:rsid w:val="007355AA"/>
    <w:rsid w:val="00744ECB"/>
    <w:rsid w:val="0074629B"/>
    <w:rsid w:val="00751358"/>
    <w:rsid w:val="00751D7E"/>
    <w:rsid w:val="00760419"/>
    <w:rsid w:val="00763D5B"/>
    <w:rsid w:val="00765C7B"/>
    <w:rsid w:val="00791AC9"/>
    <w:rsid w:val="0079339F"/>
    <w:rsid w:val="00793479"/>
    <w:rsid w:val="0079547E"/>
    <w:rsid w:val="007A30EB"/>
    <w:rsid w:val="007A6EE8"/>
    <w:rsid w:val="007C0923"/>
    <w:rsid w:val="007C3C35"/>
    <w:rsid w:val="007C7E60"/>
    <w:rsid w:val="007D3D93"/>
    <w:rsid w:val="007E513E"/>
    <w:rsid w:val="007E7E37"/>
    <w:rsid w:val="007F3057"/>
    <w:rsid w:val="007F35B6"/>
    <w:rsid w:val="007F4556"/>
    <w:rsid w:val="00810FF4"/>
    <w:rsid w:val="0081330B"/>
    <w:rsid w:val="00814193"/>
    <w:rsid w:val="00816792"/>
    <w:rsid w:val="00816AA8"/>
    <w:rsid w:val="0081724D"/>
    <w:rsid w:val="00823FDC"/>
    <w:rsid w:val="00826EE4"/>
    <w:rsid w:val="00853361"/>
    <w:rsid w:val="00855E15"/>
    <w:rsid w:val="008573A2"/>
    <w:rsid w:val="008576C7"/>
    <w:rsid w:val="008636E3"/>
    <w:rsid w:val="008671F9"/>
    <w:rsid w:val="00875B65"/>
    <w:rsid w:val="0088222A"/>
    <w:rsid w:val="00882935"/>
    <w:rsid w:val="008964E9"/>
    <w:rsid w:val="008970DC"/>
    <w:rsid w:val="008A6525"/>
    <w:rsid w:val="008B001F"/>
    <w:rsid w:val="008B2CB9"/>
    <w:rsid w:val="008B40CD"/>
    <w:rsid w:val="008B54DF"/>
    <w:rsid w:val="008C2865"/>
    <w:rsid w:val="008C44A7"/>
    <w:rsid w:val="008C7818"/>
    <w:rsid w:val="008D3161"/>
    <w:rsid w:val="008D38AE"/>
    <w:rsid w:val="008D3940"/>
    <w:rsid w:val="008D3E7C"/>
    <w:rsid w:val="008E164F"/>
    <w:rsid w:val="008E3E92"/>
    <w:rsid w:val="008E5D30"/>
    <w:rsid w:val="008E777F"/>
    <w:rsid w:val="0090025B"/>
    <w:rsid w:val="00904477"/>
    <w:rsid w:val="009104A1"/>
    <w:rsid w:val="0091493D"/>
    <w:rsid w:val="0092092B"/>
    <w:rsid w:val="00923029"/>
    <w:rsid w:val="009336CF"/>
    <w:rsid w:val="00941067"/>
    <w:rsid w:val="00954684"/>
    <w:rsid w:val="00955CDF"/>
    <w:rsid w:val="0096247A"/>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5BE9"/>
    <w:rsid w:val="009D7886"/>
    <w:rsid w:val="009E1042"/>
    <w:rsid w:val="009E47CC"/>
    <w:rsid w:val="009E76E0"/>
    <w:rsid w:val="009F0BC4"/>
    <w:rsid w:val="009F3A08"/>
    <w:rsid w:val="009F4469"/>
    <w:rsid w:val="009F49A3"/>
    <w:rsid w:val="009F6E69"/>
    <w:rsid w:val="009F7985"/>
    <w:rsid w:val="009F7E64"/>
    <w:rsid w:val="00A0364C"/>
    <w:rsid w:val="00A0474C"/>
    <w:rsid w:val="00A06C9A"/>
    <w:rsid w:val="00A13C84"/>
    <w:rsid w:val="00A30AA0"/>
    <w:rsid w:val="00A358CE"/>
    <w:rsid w:val="00A36144"/>
    <w:rsid w:val="00A37BFF"/>
    <w:rsid w:val="00A4452C"/>
    <w:rsid w:val="00A55878"/>
    <w:rsid w:val="00A622E9"/>
    <w:rsid w:val="00A637BE"/>
    <w:rsid w:val="00A67A6C"/>
    <w:rsid w:val="00A71151"/>
    <w:rsid w:val="00A818AE"/>
    <w:rsid w:val="00A83ED2"/>
    <w:rsid w:val="00A84128"/>
    <w:rsid w:val="00A84143"/>
    <w:rsid w:val="00A90DA3"/>
    <w:rsid w:val="00A92A19"/>
    <w:rsid w:val="00A93967"/>
    <w:rsid w:val="00AA633C"/>
    <w:rsid w:val="00AA66A0"/>
    <w:rsid w:val="00AA6EC1"/>
    <w:rsid w:val="00AC2DFF"/>
    <w:rsid w:val="00AC636B"/>
    <w:rsid w:val="00AD0BCB"/>
    <w:rsid w:val="00AD2890"/>
    <w:rsid w:val="00AD7C75"/>
    <w:rsid w:val="00AE218B"/>
    <w:rsid w:val="00AF1678"/>
    <w:rsid w:val="00AF51D0"/>
    <w:rsid w:val="00B0041E"/>
    <w:rsid w:val="00B02F1E"/>
    <w:rsid w:val="00B03988"/>
    <w:rsid w:val="00B07D28"/>
    <w:rsid w:val="00B10271"/>
    <w:rsid w:val="00B1485B"/>
    <w:rsid w:val="00B16815"/>
    <w:rsid w:val="00B258FB"/>
    <w:rsid w:val="00B30BA4"/>
    <w:rsid w:val="00B33BEB"/>
    <w:rsid w:val="00B35205"/>
    <w:rsid w:val="00B43E7B"/>
    <w:rsid w:val="00B5626E"/>
    <w:rsid w:val="00B7194A"/>
    <w:rsid w:val="00B76BED"/>
    <w:rsid w:val="00B804F3"/>
    <w:rsid w:val="00B80FA5"/>
    <w:rsid w:val="00B83C57"/>
    <w:rsid w:val="00B84322"/>
    <w:rsid w:val="00B85F31"/>
    <w:rsid w:val="00B860C7"/>
    <w:rsid w:val="00B92BDE"/>
    <w:rsid w:val="00B96DD6"/>
    <w:rsid w:val="00B974E3"/>
    <w:rsid w:val="00BA1433"/>
    <w:rsid w:val="00BA4383"/>
    <w:rsid w:val="00BC10FD"/>
    <w:rsid w:val="00BC16BB"/>
    <w:rsid w:val="00BC31A4"/>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5B3E"/>
    <w:rsid w:val="00C26D14"/>
    <w:rsid w:val="00C3225C"/>
    <w:rsid w:val="00C34282"/>
    <w:rsid w:val="00C34CD3"/>
    <w:rsid w:val="00C35E68"/>
    <w:rsid w:val="00C36866"/>
    <w:rsid w:val="00C37D4E"/>
    <w:rsid w:val="00C40CD8"/>
    <w:rsid w:val="00C41186"/>
    <w:rsid w:val="00C4132E"/>
    <w:rsid w:val="00C41820"/>
    <w:rsid w:val="00C44DA9"/>
    <w:rsid w:val="00C45868"/>
    <w:rsid w:val="00C467FA"/>
    <w:rsid w:val="00C51760"/>
    <w:rsid w:val="00C540B2"/>
    <w:rsid w:val="00C602F5"/>
    <w:rsid w:val="00C62364"/>
    <w:rsid w:val="00C63AB0"/>
    <w:rsid w:val="00C6633F"/>
    <w:rsid w:val="00C66EF9"/>
    <w:rsid w:val="00C701D2"/>
    <w:rsid w:val="00C70859"/>
    <w:rsid w:val="00C7631A"/>
    <w:rsid w:val="00C801D4"/>
    <w:rsid w:val="00C812E5"/>
    <w:rsid w:val="00C86DD8"/>
    <w:rsid w:val="00C8745F"/>
    <w:rsid w:val="00C92F5D"/>
    <w:rsid w:val="00CA1440"/>
    <w:rsid w:val="00CA6DAB"/>
    <w:rsid w:val="00CB1926"/>
    <w:rsid w:val="00CB33D0"/>
    <w:rsid w:val="00CB5026"/>
    <w:rsid w:val="00CB6B31"/>
    <w:rsid w:val="00CB6D80"/>
    <w:rsid w:val="00CC2D48"/>
    <w:rsid w:val="00CC384D"/>
    <w:rsid w:val="00CC4163"/>
    <w:rsid w:val="00CC45DE"/>
    <w:rsid w:val="00CC5231"/>
    <w:rsid w:val="00CC7299"/>
    <w:rsid w:val="00CC7831"/>
    <w:rsid w:val="00CD2ADA"/>
    <w:rsid w:val="00CD5F33"/>
    <w:rsid w:val="00CE13C5"/>
    <w:rsid w:val="00CE2CA6"/>
    <w:rsid w:val="00CE36FF"/>
    <w:rsid w:val="00CE65D6"/>
    <w:rsid w:val="00CE6EF6"/>
    <w:rsid w:val="00CE781E"/>
    <w:rsid w:val="00CF1807"/>
    <w:rsid w:val="00CF54AB"/>
    <w:rsid w:val="00CF6E73"/>
    <w:rsid w:val="00D035AE"/>
    <w:rsid w:val="00D056D0"/>
    <w:rsid w:val="00D06AC2"/>
    <w:rsid w:val="00D13CC0"/>
    <w:rsid w:val="00D152D6"/>
    <w:rsid w:val="00D1559F"/>
    <w:rsid w:val="00D1640B"/>
    <w:rsid w:val="00D1702D"/>
    <w:rsid w:val="00D21CAF"/>
    <w:rsid w:val="00D27EE7"/>
    <w:rsid w:val="00D35E81"/>
    <w:rsid w:val="00D41323"/>
    <w:rsid w:val="00D51A8E"/>
    <w:rsid w:val="00D5266A"/>
    <w:rsid w:val="00D54E06"/>
    <w:rsid w:val="00D561AD"/>
    <w:rsid w:val="00D80B46"/>
    <w:rsid w:val="00D84541"/>
    <w:rsid w:val="00D8511F"/>
    <w:rsid w:val="00D86091"/>
    <w:rsid w:val="00DA0CF0"/>
    <w:rsid w:val="00DA25FB"/>
    <w:rsid w:val="00DA62F9"/>
    <w:rsid w:val="00DB4142"/>
    <w:rsid w:val="00DD1FDE"/>
    <w:rsid w:val="00DD20FC"/>
    <w:rsid w:val="00DD3EB0"/>
    <w:rsid w:val="00DD40BE"/>
    <w:rsid w:val="00DD6837"/>
    <w:rsid w:val="00DD6F06"/>
    <w:rsid w:val="00DE2E05"/>
    <w:rsid w:val="00DE3025"/>
    <w:rsid w:val="00DE6849"/>
    <w:rsid w:val="00DE70D6"/>
    <w:rsid w:val="00DF2DAA"/>
    <w:rsid w:val="00E0047E"/>
    <w:rsid w:val="00E0306E"/>
    <w:rsid w:val="00E22A8C"/>
    <w:rsid w:val="00E2598F"/>
    <w:rsid w:val="00E27A3B"/>
    <w:rsid w:val="00E30F77"/>
    <w:rsid w:val="00E31770"/>
    <w:rsid w:val="00E32296"/>
    <w:rsid w:val="00E34C47"/>
    <w:rsid w:val="00E35C99"/>
    <w:rsid w:val="00E365FF"/>
    <w:rsid w:val="00E44531"/>
    <w:rsid w:val="00E509E8"/>
    <w:rsid w:val="00E577E0"/>
    <w:rsid w:val="00E6073A"/>
    <w:rsid w:val="00E621CC"/>
    <w:rsid w:val="00E63DE1"/>
    <w:rsid w:val="00E657F7"/>
    <w:rsid w:val="00E66CDA"/>
    <w:rsid w:val="00E81562"/>
    <w:rsid w:val="00E81DA1"/>
    <w:rsid w:val="00E85B4C"/>
    <w:rsid w:val="00E939D3"/>
    <w:rsid w:val="00EA1984"/>
    <w:rsid w:val="00EA4424"/>
    <w:rsid w:val="00EA669E"/>
    <w:rsid w:val="00EB0A8A"/>
    <w:rsid w:val="00EB4209"/>
    <w:rsid w:val="00EB4DF0"/>
    <w:rsid w:val="00EB554A"/>
    <w:rsid w:val="00EC2804"/>
    <w:rsid w:val="00ED26B5"/>
    <w:rsid w:val="00EE31E1"/>
    <w:rsid w:val="00EE4369"/>
    <w:rsid w:val="00EE6A8F"/>
    <w:rsid w:val="00EE6C88"/>
    <w:rsid w:val="00EF1284"/>
    <w:rsid w:val="00EF233B"/>
    <w:rsid w:val="00F04735"/>
    <w:rsid w:val="00F07733"/>
    <w:rsid w:val="00F07C26"/>
    <w:rsid w:val="00F10718"/>
    <w:rsid w:val="00F10F75"/>
    <w:rsid w:val="00F13A08"/>
    <w:rsid w:val="00F1588B"/>
    <w:rsid w:val="00F213B5"/>
    <w:rsid w:val="00F22428"/>
    <w:rsid w:val="00F2419A"/>
    <w:rsid w:val="00F26141"/>
    <w:rsid w:val="00F307E5"/>
    <w:rsid w:val="00F3206E"/>
    <w:rsid w:val="00F32331"/>
    <w:rsid w:val="00F32901"/>
    <w:rsid w:val="00F348C5"/>
    <w:rsid w:val="00F43FAC"/>
    <w:rsid w:val="00F449B5"/>
    <w:rsid w:val="00F50D5F"/>
    <w:rsid w:val="00F52081"/>
    <w:rsid w:val="00F52D42"/>
    <w:rsid w:val="00F561CC"/>
    <w:rsid w:val="00F5744D"/>
    <w:rsid w:val="00F60B0E"/>
    <w:rsid w:val="00F62EE2"/>
    <w:rsid w:val="00F660E8"/>
    <w:rsid w:val="00F70BBC"/>
    <w:rsid w:val="00F7353F"/>
    <w:rsid w:val="00F804DD"/>
    <w:rsid w:val="00F85F5D"/>
    <w:rsid w:val="00F9485D"/>
    <w:rsid w:val="00F97A0C"/>
    <w:rsid w:val="00FA2381"/>
    <w:rsid w:val="00FA5CCF"/>
    <w:rsid w:val="00FB4384"/>
    <w:rsid w:val="00FB4B0E"/>
    <w:rsid w:val="00FB531D"/>
    <w:rsid w:val="00FB76AA"/>
    <w:rsid w:val="00FD39F0"/>
    <w:rsid w:val="00FD45EB"/>
    <w:rsid w:val="00FD666D"/>
    <w:rsid w:val="00FE2193"/>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BodyTextIndent">
    <w:name w:val="Body Text Indent"/>
    <w:basedOn w:val="Normal"/>
    <w:link w:val="BodyTextIndentChar"/>
    <w:semiHidden/>
    <w:unhideWhenUsed/>
    <w:rsid w:val="00D8511F"/>
    <w:pPr>
      <w:spacing w:after="120"/>
      <w:ind w:left="360"/>
    </w:pPr>
  </w:style>
  <w:style w:type="character" w:customStyle="1" w:styleId="BodyTextIndentChar">
    <w:name w:val="Body Text Indent Char"/>
    <w:basedOn w:val="DefaultParagraphFont"/>
    <w:link w:val="BodyTextIndent"/>
    <w:semiHidden/>
    <w:rsid w:val="00D8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819737074">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iles.consumerfinance.gov/f/201303_CFPB_PIA-Consumer-Response-System.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documents/2018/07/13/2018-14990/privacy-act-of-1974-system-of-record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umerfinance.gov/priv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CFPBCDO-2004683907-2131921</_dlc_DocId>
    <_dlc_DocIdUrl xmlns="5e6029f0-4cb2-4578-9dca-18ac3ce3eaca">
      <Url>https://bcfp365.sharepoint.com/sites/cdo/_layouts/15/DocIdRedir.aspx?ID=CFPBCDO-2004683907-2131921</Url>
      <Description>CFPBCDO-2004683907-2131921</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s>
</ds:datastoreItem>
</file>

<file path=customXml/itemProps2.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3.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4.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5.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6.xml><?xml version="1.0" encoding="utf-8"?>
<ds:datastoreItem xmlns:ds="http://schemas.openxmlformats.org/officeDocument/2006/customXml" ds:itemID="{1902544D-497D-42B9-8D31-207C26576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2555</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17086</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45</cp:revision>
  <cp:lastPrinted>2017-07-25T10:39:00Z</cp:lastPrinted>
  <dcterms:created xsi:type="dcterms:W3CDTF">2022-05-24T17:31:00Z</dcterms:created>
  <dcterms:modified xsi:type="dcterms:W3CDTF">2022-05-24T19:31:00Z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bc624848-6b9c-46b8-a9fb-94693f306ef1</vt:lpwstr>
  </property>
  <property fmtid="{D5CDD505-2E9C-101B-9397-08002B2CF9AE}" pid="5" name="TaxKeyword">
    <vt:lpwstr/>
  </property>
</Properties>
</file>